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r>
        <w:rPr>
          <w:rFonts w:hint="eastAsia" w:ascii="宋体"/>
          <w:b/>
          <w:color w:val="auto"/>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hAnsi="宋体" w:cs="Calibri Light"/>
          <w:color w:val="auto"/>
          <w:kern w:val="0"/>
          <w:sz w:val="28"/>
          <w:szCs w:val="28"/>
        </w:rPr>
      </w:pPr>
      <w:r>
        <w:rPr>
          <w:rFonts w:hint="eastAsia" w:ascii="宋体" w:hAnsi="宋体" w:cs="Calibri Light"/>
          <w:color w:val="auto"/>
          <w:kern w:val="0"/>
          <w:sz w:val="28"/>
          <w:szCs w:val="28"/>
        </w:rPr>
        <w:t>采购编号：台财采确临</w:t>
      </w:r>
      <w:r>
        <w:rPr>
          <w:rFonts w:hint="eastAsia" w:ascii="宋体" w:hAnsi="宋体" w:cs="宋体"/>
          <w:color w:val="auto"/>
          <w:kern w:val="0"/>
          <w:sz w:val="28"/>
          <w:szCs w:val="28"/>
        </w:rPr>
        <w:t>[</w:t>
      </w:r>
      <w:r>
        <w:rPr>
          <w:rFonts w:hint="eastAsia" w:ascii="宋体" w:hAnsi="宋体" w:cs="Calibri Light"/>
          <w:color w:val="auto"/>
          <w:kern w:val="0"/>
          <w:sz w:val="28"/>
          <w:szCs w:val="28"/>
        </w:rPr>
        <w:t>2022</w:t>
      </w:r>
      <w:r>
        <w:rPr>
          <w:rFonts w:hint="eastAsia" w:ascii="宋体" w:hAnsi="宋体" w:cs="宋体"/>
          <w:color w:val="auto"/>
          <w:kern w:val="0"/>
          <w:sz w:val="28"/>
          <w:szCs w:val="28"/>
        </w:rPr>
        <w:t>]3290</w:t>
      </w:r>
      <w:r>
        <w:rPr>
          <w:rFonts w:hint="eastAsia" w:ascii="宋体" w:hAnsi="宋体" w:cs="Calibri Light"/>
          <w:color w:val="auto"/>
          <w:kern w:val="0"/>
          <w:sz w:val="28"/>
          <w:szCs w:val="28"/>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b/>
          <w:color w:val="auto"/>
          <w:kern w:val="0"/>
          <w:sz w:val="32"/>
        </w:rPr>
      </w:pPr>
      <w:r>
        <w:rPr>
          <w:rFonts w:hint="eastAsia" w:ascii="宋体" w:hAnsi="宋体"/>
          <w:b/>
          <w:color w:val="auto"/>
          <w:sz w:val="36"/>
        </w:rPr>
        <w:t>（线上电子招投标）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rPr>
      </w:pPr>
    </w:p>
    <w:p>
      <w:pPr>
        <w:autoSpaceDE w:val="0"/>
        <w:autoSpaceDN w:val="0"/>
        <w:adjustRightInd w:val="0"/>
        <w:spacing w:line="360" w:lineRule="auto"/>
        <w:rPr>
          <w:rFonts w:ascii="宋体"/>
          <w:b/>
          <w:color w:val="auto"/>
          <w:kern w:val="0"/>
          <w:sz w:val="52"/>
          <w:szCs w:val="52"/>
        </w:rPr>
      </w:pPr>
    </w:p>
    <w:p>
      <w:pPr>
        <w:autoSpaceDE w:val="0"/>
        <w:autoSpaceDN w:val="0"/>
        <w:adjustRightInd w:val="0"/>
        <w:spacing w:line="360" w:lineRule="auto"/>
        <w:ind w:firstLine="1797" w:firstLineChars="642"/>
        <w:jc w:val="left"/>
        <w:rPr>
          <w:rFonts w:ascii="宋体"/>
          <w:color w:val="auto"/>
          <w:kern w:val="0"/>
          <w:sz w:val="28"/>
        </w:rPr>
      </w:pPr>
    </w:p>
    <w:p>
      <w:pPr>
        <w:autoSpaceDE w:val="0"/>
        <w:autoSpaceDN w:val="0"/>
        <w:adjustRightInd w:val="0"/>
        <w:spacing w:line="360" w:lineRule="auto"/>
        <w:jc w:val="left"/>
        <w:rPr>
          <w:rFonts w:ascii="宋体"/>
          <w:color w:val="auto"/>
          <w:kern w:val="0"/>
          <w:sz w:val="28"/>
        </w:rPr>
      </w:pPr>
    </w:p>
    <w:p>
      <w:pPr>
        <w:autoSpaceDE w:val="0"/>
        <w:autoSpaceDN w:val="0"/>
        <w:adjustRightInd w:val="0"/>
        <w:spacing w:line="360" w:lineRule="auto"/>
        <w:jc w:val="left"/>
        <w:rPr>
          <w:rFonts w:ascii="宋体"/>
          <w:color w:val="auto"/>
          <w:kern w:val="0"/>
          <w:sz w:val="28"/>
        </w:rPr>
      </w:pPr>
    </w:p>
    <w:p>
      <w:pPr>
        <w:autoSpaceDE w:val="0"/>
        <w:autoSpaceDN w:val="0"/>
        <w:adjustRightInd w:val="0"/>
        <w:spacing w:line="360" w:lineRule="auto"/>
        <w:jc w:val="left"/>
        <w:rPr>
          <w:rFonts w:ascii="宋体"/>
          <w:color w:val="auto"/>
          <w:kern w:val="0"/>
          <w:sz w:val="28"/>
        </w:rPr>
      </w:pPr>
    </w:p>
    <w:p>
      <w:pPr>
        <w:autoSpaceDE w:val="0"/>
        <w:autoSpaceDN w:val="0"/>
        <w:adjustRightInd w:val="0"/>
        <w:spacing w:line="360" w:lineRule="auto"/>
        <w:ind w:right="-197" w:rightChars="-94"/>
        <w:jc w:val="center"/>
        <w:rPr>
          <w:rFonts w:ascii="宋体"/>
          <w:color w:val="auto"/>
          <w:kern w:val="0"/>
          <w:sz w:val="28"/>
        </w:rPr>
      </w:pPr>
      <w:r>
        <w:rPr>
          <w:rFonts w:hint="eastAsia" w:ascii="宋体"/>
          <w:color w:val="auto"/>
          <w:kern w:val="0"/>
          <w:sz w:val="28"/>
        </w:rPr>
        <w:t>采购项目：2022年台州市区交通标线采购项目</w:t>
      </w:r>
    </w:p>
    <w:p>
      <w:pPr>
        <w:autoSpaceDE w:val="0"/>
        <w:autoSpaceDN w:val="0"/>
        <w:adjustRightInd w:val="0"/>
        <w:spacing w:line="360" w:lineRule="auto"/>
        <w:jc w:val="center"/>
        <w:rPr>
          <w:rFonts w:ascii="宋体"/>
          <w:color w:val="auto"/>
          <w:kern w:val="0"/>
          <w:sz w:val="28"/>
        </w:rPr>
      </w:pPr>
      <w:r>
        <w:rPr>
          <w:rFonts w:hint="eastAsia" w:ascii="宋体"/>
          <w:color w:val="auto"/>
          <w:kern w:val="0"/>
          <w:sz w:val="28"/>
        </w:rPr>
        <w:t>采购人：台州市公安局交通警察局（盖章）</w:t>
      </w:r>
    </w:p>
    <w:p>
      <w:pPr>
        <w:autoSpaceDE w:val="0"/>
        <w:autoSpaceDN w:val="0"/>
        <w:adjustRightInd w:val="0"/>
        <w:spacing w:line="360" w:lineRule="auto"/>
        <w:rPr>
          <w:rFonts w:ascii="宋体"/>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color w:val="auto"/>
          <w:kern w:val="0"/>
          <w:sz w:val="28"/>
          <w:szCs w:val="28"/>
        </w:rPr>
      </w:pPr>
      <w:r>
        <w:rPr>
          <w:rFonts w:hint="eastAsia" w:ascii="宋体" w:hAnsi="宋体" w:cs="宋体"/>
          <w:color w:val="auto"/>
          <w:kern w:val="0"/>
          <w:sz w:val="28"/>
          <w:szCs w:val="28"/>
        </w:rPr>
        <w:t>浙江百和工程咨询有限公司（盖章）</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hAnsi="宋体" w:cs="宋体"/>
          <w:color w:val="auto"/>
          <w:kern w:val="0"/>
          <w:sz w:val="28"/>
          <w:szCs w:val="28"/>
        </w:rPr>
      </w:pPr>
      <w:r>
        <w:rPr>
          <w:rFonts w:hint="eastAsia" w:ascii="宋体" w:hAnsi="宋体"/>
          <w:color w:val="auto"/>
          <w:sz w:val="28"/>
          <w:szCs w:val="28"/>
        </w:rPr>
        <w:t>2</w:t>
      </w:r>
      <w:r>
        <w:rPr>
          <w:rFonts w:ascii="宋体" w:hAnsi="宋体"/>
          <w:color w:val="auto"/>
          <w:sz w:val="28"/>
          <w:szCs w:val="28"/>
        </w:rPr>
        <w:t>0</w:t>
      </w:r>
      <w:r>
        <w:rPr>
          <w:rFonts w:hint="eastAsia" w:ascii="宋体" w:hAnsi="宋体"/>
          <w:color w:val="auto"/>
          <w:sz w:val="28"/>
          <w:szCs w:val="28"/>
        </w:rPr>
        <w:t>22</w:t>
      </w:r>
      <w:r>
        <w:rPr>
          <w:rFonts w:hint="eastAsia" w:ascii="宋体" w:hAnsi="宋体" w:cs="宋体"/>
          <w:color w:val="auto"/>
          <w:kern w:val="0"/>
          <w:sz w:val="28"/>
          <w:szCs w:val="28"/>
        </w:rPr>
        <w:t>年7月</w:t>
      </w:r>
    </w:p>
    <w:p>
      <w:pPr>
        <w:spacing w:line="360" w:lineRule="auto"/>
        <w:rPr>
          <w:color w:val="auto"/>
        </w:rPr>
      </w:pPr>
    </w:p>
    <w:p>
      <w:pPr>
        <w:spacing w:line="360" w:lineRule="auto"/>
        <w:jc w:val="center"/>
        <w:rPr>
          <w:rFonts w:ascii="宋体" w:hAnsi="宋体" w:cs="Arial"/>
          <w:b/>
          <w:bCs/>
          <w:color w:val="auto"/>
          <w:sz w:val="36"/>
          <w:szCs w:val="36"/>
        </w:rPr>
      </w:pPr>
    </w:p>
    <w:p>
      <w:pPr>
        <w:spacing w:line="360" w:lineRule="auto"/>
        <w:jc w:val="center"/>
        <w:rPr>
          <w:rFonts w:ascii="宋体" w:hAnsi="宋体" w:cs="Arial"/>
          <w:b/>
          <w:bCs/>
          <w:color w:val="auto"/>
          <w:sz w:val="36"/>
          <w:szCs w:val="36"/>
        </w:rPr>
      </w:pPr>
      <w:r>
        <w:rPr>
          <w:rFonts w:hint="eastAsia" w:ascii="宋体" w:hAnsi="宋体" w:cs="Arial"/>
          <w:b/>
          <w:bCs/>
          <w:color w:val="auto"/>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rPr>
      </w:pPr>
    </w:p>
    <w:p>
      <w:pPr>
        <w:spacing w:line="360" w:lineRule="auto"/>
        <w:rPr>
          <w:rFonts w:ascii="新宋体" w:hAnsi="新宋体" w:eastAsia="新宋体"/>
          <w:color w:val="auto"/>
          <w:sz w:val="28"/>
          <w:szCs w:val="28"/>
        </w:rPr>
      </w:pP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公开招标采购公告</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投标人须知</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评标办法及评分标准</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公开招标需求</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政府采购合同主要条款指引</w:t>
      </w:r>
    </w:p>
    <w:p>
      <w:pPr>
        <w:numPr>
          <w:ilvl w:val="0"/>
          <w:numId w:val="2"/>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投标文件格式附件</w: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tabs>
          <w:tab w:val="left" w:pos="180"/>
          <w:tab w:val="left" w:pos="360"/>
          <w:tab w:val="left" w:pos="540"/>
          <w:tab w:val="left" w:pos="8280"/>
        </w:tabs>
        <w:autoSpaceDE w:val="0"/>
        <w:autoSpaceDN w:val="0"/>
        <w:adjustRightInd w:val="0"/>
        <w:spacing w:after="156" w:afterLines="50" w:line="360" w:lineRule="auto"/>
        <w:ind w:right="23"/>
        <w:jc w:val="center"/>
        <w:rPr>
          <w:rFonts w:asciiTheme="majorEastAsia" w:hAnsiTheme="majorEastAsia" w:eastAsiaTheme="majorEastAsia"/>
          <w:b/>
          <w:color w:val="auto"/>
          <w:kern w:val="0"/>
          <w:sz w:val="36"/>
          <w:szCs w:val="36"/>
        </w:rPr>
      </w:pPr>
      <w:r>
        <w:rPr>
          <w:rFonts w:hint="eastAsia" w:asciiTheme="majorEastAsia" w:hAnsiTheme="majorEastAsia" w:eastAsiaTheme="majorEastAsia"/>
          <w:b/>
          <w:color w:val="auto"/>
          <w:kern w:val="0"/>
          <w:sz w:val="36"/>
          <w:szCs w:val="36"/>
        </w:rPr>
        <w:t>第一章  公开</w:t>
      </w:r>
      <w:r>
        <w:rPr>
          <w:rFonts w:hint="eastAsia" w:asciiTheme="majorEastAsia" w:hAnsiTheme="majorEastAsia" w:eastAsiaTheme="majorEastAsia"/>
          <w:b/>
          <w:color w:val="auto"/>
          <w:sz w:val="36"/>
          <w:szCs w:val="36"/>
        </w:rPr>
        <w:t>招标采购公告</w:t>
      </w:r>
    </w:p>
    <w:p>
      <w:pPr>
        <w:tabs>
          <w:tab w:val="left" w:pos="180"/>
          <w:tab w:val="left" w:pos="360"/>
          <w:tab w:val="left" w:pos="540"/>
          <w:tab w:val="left" w:pos="8280"/>
        </w:tabs>
        <w:autoSpaceDE w:val="0"/>
        <w:autoSpaceDN w:val="0"/>
        <w:adjustRightInd w:val="0"/>
        <w:spacing w:line="360" w:lineRule="auto"/>
        <w:ind w:right="23" w:firstLine="539"/>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auto"/>
          <w:kern w:val="0"/>
          <w:sz w:val="24"/>
        </w:rPr>
        <w:t xml:space="preserve">, </w:t>
      </w:r>
      <w:r>
        <w:rPr>
          <w:rFonts w:hint="eastAsia" w:asciiTheme="minorEastAsia" w:hAnsiTheme="minorEastAsia" w:eastAsiaTheme="minorEastAsia"/>
          <w:color w:val="auto"/>
          <w:kern w:val="0"/>
          <w:sz w:val="24"/>
        </w:rPr>
        <w:t>受采购人委托，现就</w:t>
      </w:r>
      <w:r>
        <w:rPr>
          <w:rFonts w:hint="eastAsia" w:asciiTheme="minorEastAsia" w:hAnsiTheme="minorEastAsia" w:eastAsiaTheme="minorEastAsia"/>
          <w:color w:val="auto"/>
          <w:sz w:val="24"/>
          <w:u w:val="single"/>
        </w:rPr>
        <w:t>台州市公安局交通警察局</w:t>
      </w:r>
      <w:r>
        <w:rPr>
          <w:rFonts w:hint="eastAsia" w:asciiTheme="minorEastAsia" w:hAnsiTheme="minorEastAsia" w:eastAsiaTheme="minorEastAsia"/>
          <w:color w:val="auto"/>
          <w:sz w:val="24"/>
        </w:rPr>
        <w:t>（单位</w:t>
      </w:r>
      <w:r>
        <w:rPr>
          <w:rFonts w:asciiTheme="minorEastAsia" w:hAnsiTheme="minorEastAsia" w:eastAsiaTheme="minorEastAsia"/>
          <w:color w:val="auto"/>
          <w:sz w:val="24"/>
        </w:rPr>
        <w:t>名称</w:t>
      </w:r>
      <w:r>
        <w:rPr>
          <w:rFonts w:hint="eastAsia" w:asciiTheme="minorEastAsia" w:hAnsiTheme="minorEastAsia" w:eastAsiaTheme="minorEastAsia"/>
          <w:color w:val="auto"/>
          <w:sz w:val="24"/>
        </w:rPr>
        <w:t>）</w:t>
      </w:r>
      <w:r>
        <w:rPr>
          <w:rFonts w:hint="eastAsia" w:asciiTheme="minorEastAsia" w:hAnsiTheme="minorEastAsia" w:eastAsiaTheme="minorEastAsia"/>
          <w:color w:val="auto"/>
          <w:kern w:val="0"/>
          <w:sz w:val="24"/>
        </w:rPr>
        <w:t>的</w:t>
      </w:r>
      <w:r>
        <w:rPr>
          <w:rFonts w:hint="eastAsia" w:asciiTheme="minorEastAsia" w:hAnsiTheme="minorEastAsia" w:eastAsiaTheme="minorEastAsia"/>
          <w:color w:val="auto"/>
          <w:sz w:val="24"/>
          <w:u w:val="single"/>
        </w:rPr>
        <w:t>2022年台州市区交通标线采购项目</w:t>
      </w:r>
      <w:r>
        <w:rPr>
          <w:rFonts w:hint="eastAsia" w:asciiTheme="minorEastAsia" w:hAnsiTheme="minorEastAsia" w:eastAsiaTheme="minorEastAsia"/>
          <w:color w:val="auto"/>
          <w:sz w:val="24"/>
        </w:rPr>
        <w:t>（项目</w:t>
      </w:r>
      <w:r>
        <w:rPr>
          <w:rFonts w:asciiTheme="minorEastAsia" w:hAnsiTheme="minorEastAsia" w:eastAsiaTheme="minorEastAsia"/>
          <w:color w:val="auto"/>
          <w:sz w:val="24"/>
        </w:rPr>
        <w:t>名称</w:t>
      </w:r>
      <w:r>
        <w:rPr>
          <w:rFonts w:hint="eastAsia" w:asciiTheme="minorEastAsia" w:hAnsiTheme="minorEastAsia" w:eastAsiaTheme="minorEastAsia"/>
          <w:color w:val="auto"/>
          <w:sz w:val="24"/>
        </w:rPr>
        <w:t>）</w:t>
      </w:r>
      <w:r>
        <w:rPr>
          <w:rFonts w:hint="eastAsia" w:asciiTheme="minorEastAsia" w:hAnsiTheme="minorEastAsia" w:eastAsiaTheme="minorEastAsia"/>
          <w:color w:val="auto"/>
          <w:kern w:val="0"/>
          <w:sz w:val="24"/>
        </w:rPr>
        <w:t>进行公开招标采购，欢迎合格供应商前来投标。</w:t>
      </w:r>
    </w:p>
    <w:p>
      <w:pPr>
        <w:numPr>
          <w:ilvl w:val="0"/>
          <w:numId w:val="3"/>
        </w:numPr>
        <w:tabs>
          <w:tab w:val="left" w:pos="180"/>
          <w:tab w:val="left" w:pos="360"/>
          <w:tab w:val="left" w:pos="540"/>
          <w:tab w:val="left" w:pos="8280"/>
        </w:tabs>
        <w:autoSpaceDE w:val="0"/>
        <w:autoSpaceDN w:val="0"/>
        <w:adjustRightInd w:val="0"/>
        <w:spacing w:line="360" w:lineRule="auto"/>
        <w:ind w:left="539" w:right="23"/>
        <w:jc w:val="left"/>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项目编号：台财采确临[2022]3290号</w:t>
      </w:r>
    </w:p>
    <w:p>
      <w:pPr>
        <w:tabs>
          <w:tab w:val="left" w:pos="180"/>
          <w:tab w:val="left" w:pos="360"/>
          <w:tab w:val="left" w:pos="540"/>
          <w:tab w:val="left" w:pos="8280"/>
        </w:tabs>
        <w:autoSpaceDE w:val="0"/>
        <w:autoSpaceDN w:val="0"/>
        <w:adjustRightInd w:val="0"/>
        <w:spacing w:line="360" w:lineRule="auto"/>
        <w:ind w:right="23" w:firstLine="482" w:firstLineChars="200"/>
        <w:jc w:val="left"/>
        <w:rPr>
          <w:rFonts w:asciiTheme="minorEastAsia" w:hAnsiTheme="minorEastAsia" w:eastAsiaTheme="minorEastAsia"/>
          <w:color w:val="auto"/>
          <w:sz w:val="24"/>
        </w:rPr>
      </w:pPr>
      <w:r>
        <w:rPr>
          <w:rFonts w:hint="eastAsia" w:asciiTheme="minorEastAsia" w:hAnsiTheme="minorEastAsia" w:eastAsiaTheme="minorEastAsia"/>
          <w:b/>
          <w:color w:val="auto"/>
          <w:kern w:val="0"/>
          <w:sz w:val="24"/>
        </w:rPr>
        <w:t>二、招标项目概况：</w:t>
      </w:r>
    </w:p>
    <w:tbl>
      <w:tblPr>
        <w:tblStyle w:val="35"/>
        <w:tblW w:w="10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02"/>
        <w:gridCol w:w="1154"/>
        <w:gridCol w:w="845"/>
        <w:gridCol w:w="736"/>
        <w:gridCol w:w="1187"/>
        <w:gridCol w:w="150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20"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序号</w:t>
            </w:r>
          </w:p>
        </w:tc>
        <w:tc>
          <w:tcPr>
            <w:tcW w:w="1402" w:type="dxa"/>
            <w:vAlign w:val="center"/>
          </w:tcPr>
          <w:p>
            <w:pP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标项内容</w:t>
            </w:r>
          </w:p>
        </w:tc>
        <w:tc>
          <w:tcPr>
            <w:tcW w:w="1154"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宋体" w:hAnsi="宋体" w:cs="宋体"/>
                <w:b/>
                <w:color w:val="auto"/>
                <w:kern w:val="0"/>
                <w:sz w:val="24"/>
              </w:rPr>
              <w:t>简要技术要求</w:t>
            </w:r>
          </w:p>
        </w:tc>
        <w:tc>
          <w:tcPr>
            <w:tcW w:w="845"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数量</w:t>
            </w:r>
          </w:p>
        </w:tc>
        <w:tc>
          <w:tcPr>
            <w:tcW w:w="736"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单位</w:t>
            </w:r>
          </w:p>
        </w:tc>
        <w:tc>
          <w:tcPr>
            <w:tcW w:w="1187"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w:t>
            </w:r>
          </w:p>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（万元）</w:t>
            </w:r>
          </w:p>
        </w:tc>
        <w:tc>
          <w:tcPr>
            <w:tcW w:w="1500" w:type="dxa"/>
            <w:vAlign w:val="center"/>
          </w:tcPr>
          <w:p>
            <w:pPr>
              <w:tabs>
                <w:tab w:val="left" w:pos="8280"/>
              </w:tabs>
              <w:autoSpaceDE w:val="0"/>
              <w:autoSpaceDN w:val="0"/>
              <w:adjustRightInd w:val="0"/>
              <w:spacing w:line="360" w:lineRule="auto"/>
              <w:ind w:right="25" w:firstLine="240"/>
              <w:jc w:val="center"/>
              <w:rPr>
                <w:rFonts w:asciiTheme="minorEastAsia" w:hAnsiTheme="minorEastAsia"/>
                <w:b/>
                <w:color w:val="auto"/>
                <w:sz w:val="24"/>
              </w:rPr>
            </w:pPr>
            <w:r>
              <w:rPr>
                <w:rFonts w:hint="eastAsia" w:ascii="宋体" w:hAnsi="宋体" w:cs="宋体"/>
                <w:b/>
                <w:color w:val="auto"/>
                <w:sz w:val="24"/>
              </w:rPr>
              <w:t>交货期（交付期）</w:t>
            </w:r>
          </w:p>
        </w:tc>
        <w:tc>
          <w:tcPr>
            <w:tcW w:w="2732" w:type="dxa"/>
            <w:vAlign w:val="center"/>
          </w:tcPr>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维护地点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720"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1402"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2022年台州市区交通标线采购项目</w:t>
            </w:r>
          </w:p>
        </w:tc>
        <w:tc>
          <w:tcPr>
            <w:tcW w:w="1154"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详见技术需求</w:t>
            </w:r>
          </w:p>
        </w:tc>
        <w:tc>
          <w:tcPr>
            <w:tcW w:w="845"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736"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项</w:t>
            </w:r>
          </w:p>
        </w:tc>
        <w:tc>
          <w:tcPr>
            <w:tcW w:w="1187" w:type="dxa"/>
            <w:vAlign w:val="center"/>
          </w:tcPr>
          <w:p>
            <w:pPr>
              <w:tabs>
                <w:tab w:val="left" w:pos="8280"/>
              </w:tabs>
              <w:autoSpaceDE w:val="0"/>
              <w:autoSpaceDN w:val="0"/>
              <w:adjustRightIn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800</w:t>
            </w:r>
          </w:p>
        </w:tc>
        <w:tc>
          <w:tcPr>
            <w:tcW w:w="1500"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合同签订后120天</w:t>
            </w:r>
          </w:p>
        </w:tc>
        <w:tc>
          <w:tcPr>
            <w:tcW w:w="2732" w:type="dxa"/>
            <w:vAlign w:val="center"/>
          </w:tcPr>
          <w:p>
            <w:pPr>
              <w:tabs>
                <w:tab w:val="left" w:pos="8280"/>
              </w:tabs>
              <w:autoSpaceDE w:val="0"/>
              <w:autoSpaceDN w:val="0"/>
              <w:adjustRightInd w:val="0"/>
              <w:spacing w:line="360" w:lineRule="auto"/>
              <w:ind w:right="25"/>
              <w:jc w:val="center"/>
              <w:rPr>
                <w:rFonts w:ascii="宋体" w:hAnsi="宋体" w:cs="宋体"/>
                <w:color w:val="auto"/>
                <w:szCs w:val="21"/>
              </w:rPr>
            </w:pPr>
            <w:r>
              <w:rPr>
                <w:rFonts w:hint="eastAsia" w:asciiTheme="minorEastAsia" w:hAnsiTheme="minorEastAsia" w:eastAsiaTheme="minorEastAsia"/>
                <w:color w:val="auto"/>
                <w:sz w:val="24"/>
              </w:rPr>
              <w:t>椒江区域、黄岩区域、路桥区域、台州湾产业集聚区管委会区域、台州经济开发区管委会区域内的道路</w:t>
            </w:r>
          </w:p>
        </w:tc>
      </w:tr>
    </w:tbl>
    <w:p>
      <w:pPr>
        <w:tabs>
          <w:tab w:val="left" w:pos="180"/>
          <w:tab w:val="left" w:pos="360"/>
          <w:tab w:val="left" w:pos="540"/>
          <w:tab w:val="left" w:pos="8280"/>
        </w:tabs>
        <w:autoSpaceDE w:val="0"/>
        <w:autoSpaceDN w:val="0"/>
        <w:adjustRightInd w:val="0"/>
        <w:spacing w:line="360" w:lineRule="auto"/>
        <w:ind w:left="539" w:right="23"/>
        <w:jc w:val="left"/>
        <w:rPr>
          <w:rFonts w:asciiTheme="minorEastAsia" w:hAnsiTheme="minorEastAsia" w:eastAsiaTheme="minorEastAsia"/>
          <w:b/>
          <w:color w:val="auto"/>
          <w:kern w:val="0"/>
          <w:sz w:val="24"/>
        </w:rPr>
      </w:pPr>
      <w:r>
        <w:rPr>
          <w:rFonts w:hint="eastAsia" w:asciiTheme="minorEastAsia" w:hAnsiTheme="minorEastAsia" w:eastAsiaTheme="minorEastAsia"/>
          <w:b/>
          <w:color w:val="auto"/>
          <w:sz w:val="24"/>
        </w:rPr>
        <w:t>三、合格投标人的资格条件：</w:t>
      </w:r>
    </w:p>
    <w:p>
      <w:pPr>
        <w:pStyle w:val="47"/>
        <w:adjustRightInd w:val="0"/>
        <w:spacing w:before="0" w:line="360" w:lineRule="auto"/>
        <w:ind w:left="102" w:right="102"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（一）符合《中华人民共和国政府采购法》第二十二条规定的投标人资格条件。</w:t>
      </w:r>
    </w:p>
    <w:p>
      <w:pPr>
        <w:pStyle w:val="47"/>
        <w:adjustRightInd w:val="0"/>
        <w:spacing w:before="0" w:line="360" w:lineRule="auto"/>
        <w:ind w:left="102" w:right="102" w:firstLine="480"/>
        <w:rPr>
          <w:rFonts w:asciiTheme="minorEastAsia" w:hAnsiTheme="minorEastAsia" w:eastAsiaTheme="minorEastAsia"/>
          <w:color w:val="auto"/>
          <w:sz w:val="24"/>
          <w:szCs w:val="24"/>
        </w:rPr>
      </w:pPr>
      <w:r>
        <w:rPr>
          <w:rFonts w:hint="eastAsia" w:ascii="宋体" w:eastAsia="宋体"/>
          <w:color w:val="auto"/>
          <w:sz w:val="24"/>
          <w:szCs w:val="24"/>
        </w:rPr>
        <w:t>（二）未被“信用中国”（www.creditchina.gov.cn）、中国政府采购网（www.ccgp.gov.cn）列入失信被执行人、重大税收违法案件当事人名单、政府采购严重违法失信行为记录名单。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280"/>
        </w:tabs>
        <w:autoSpaceDE w:val="0"/>
        <w:autoSpaceDN w:val="0"/>
        <w:adjustRightInd w:val="0"/>
        <w:spacing w:line="360" w:lineRule="auto"/>
        <w:ind w:right="23" w:firstLine="600" w:firstLineChars="250"/>
        <w:jc w:val="left"/>
        <w:rPr>
          <w:rFonts w:ascii="宋体" w:hAnsi="宋体" w:cs="宋体"/>
          <w:color w:val="auto"/>
          <w:kern w:val="0"/>
          <w:sz w:val="24"/>
          <w:lang w:bidi="ar"/>
        </w:rPr>
      </w:pPr>
      <w:r>
        <w:rPr>
          <w:rFonts w:hint="eastAsia" w:ascii="宋体" w:hAnsi="宋体" w:cs="宋体"/>
          <w:color w:val="auto"/>
          <w:kern w:val="0"/>
          <w:sz w:val="24"/>
          <w:lang w:bidi="ar"/>
        </w:rPr>
        <w:t>（三）落实政府采购政策需满足的资格要求：本项目按照《政府采购促进中小企业发展管理办法》【财库〔2020〕46号】第七条规定：专门面向中小企业采购。</w:t>
      </w:r>
    </w:p>
    <w:p>
      <w:pPr>
        <w:tabs>
          <w:tab w:val="left" w:pos="180"/>
          <w:tab w:val="left" w:pos="360"/>
          <w:tab w:val="left" w:pos="540"/>
          <w:tab w:val="left" w:pos="8280"/>
        </w:tabs>
        <w:autoSpaceDE w:val="0"/>
        <w:autoSpaceDN w:val="0"/>
        <w:adjustRightInd w:val="0"/>
        <w:spacing w:line="360" w:lineRule="auto"/>
        <w:ind w:right="23" w:firstLine="600" w:firstLineChars="250"/>
        <w:jc w:val="left"/>
        <w:rPr>
          <w:rFonts w:asciiTheme="minorEastAsia" w:hAnsiTheme="minorEastAsia" w:eastAsiaTheme="minorEastAsia"/>
          <w:color w:val="auto"/>
          <w:sz w:val="24"/>
        </w:rPr>
      </w:pPr>
      <w:r>
        <w:rPr>
          <w:rFonts w:hint="eastAsia" w:ascii="宋体" w:hAnsi="宋体" w:cs="宋体"/>
          <w:color w:val="auto"/>
          <w:kern w:val="0"/>
          <w:sz w:val="24"/>
          <w:lang w:bidi="ar"/>
        </w:rPr>
        <w:t>（四）</w:t>
      </w:r>
      <w:r>
        <w:rPr>
          <w:rFonts w:hint="eastAsia" w:asciiTheme="minorEastAsia" w:hAnsiTheme="minorEastAsia" w:eastAsiaTheme="minorEastAsia"/>
          <w:color w:val="auto"/>
          <w:sz w:val="24"/>
        </w:rPr>
        <w:t>本项目不接受联合体投标</w:t>
      </w:r>
      <w:r>
        <w:rPr>
          <w:rFonts w:hint="eastAsia" w:ascii="宋体" w:hAnsi="宋体"/>
          <w:color w:val="auto"/>
          <w:sz w:val="24"/>
        </w:rPr>
        <w:t>。</w:t>
      </w:r>
    </w:p>
    <w:p>
      <w:pPr>
        <w:tabs>
          <w:tab w:val="left" w:pos="180"/>
          <w:tab w:val="left" w:pos="360"/>
          <w:tab w:val="left" w:pos="540"/>
          <w:tab w:val="left" w:pos="8280"/>
        </w:tabs>
        <w:autoSpaceDE w:val="0"/>
        <w:autoSpaceDN w:val="0"/>
        <w:adjustRightInd w:val="0"/>
        <w:spacing w:line="360" w:lineRule="auto"/>
        <w:ind w:right="23" w:firstLine="482" w:firstLineChars="200"/>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四、招标文件获取的方式、时间：</w:t>
      </w:r>
    </w:p>
    <w:p>
      <w:pPr>
        <w:widowControl/>
        <w:spacing w:line="360" w:lineRule="auto"/>
        <w:ind w:firstLine="420"/>
        <w:jc w:val="left"/>
        <w:rPr>
          <w:rFonts w:ascii="宋体" w:hAnsi="宋体" w:cs="宋体"/>
          <w:color w:val="auto"/>
          <w:kern w:val="0"/>
          <w:sz w:val="27"/>
          <w:szCs w:val="27"/>
        </w:rPr>
      </w:pPr>
      <w:r>
        <w:rPr>
          <w:rFonts w:hint="eastAsia" w:ascii="宋体" w:hAnsi="宋体" w:cs="宋体"/>
          <w:color w:val="auto"/>
          <w:kern w:val="0"/>
          <w:sz w:val="24"/>
        </w:rPr>
        <w:t>1、本项目招标文件实行“政府采购云平台”在线获取，不提供招标文件纸质版。供应商获取招标文件前应先完成“政府采购云平台”的账号注册；</w:t>
      </w:r>
    </w:p>
    <w:p>
      <w:pPr>
        <w:widowControl/>
        <w:spacing w:line="360" w:lineRule="auto"/>
        <w:ind w:firstLine="480"/>
        <w:jc w:val="left"/>
        <w:rPr>
          <w:rFonts w:ascii="宋体" w:hAnsi="宋体" w:cs="宋体"/>
          <w:color w:val="auto"/>
          <w:kern w:val="0"/>
          <w:sz w:val="27"/>
          <w:szCs w:val="27"/>
        </w:rPr>
      </w:pPr>
      <w:r>
        <w:rPr>
          <w:rFonts w:hint="eastAsia" w:ascii="宋体" w:hAnsi="宋体" w:cs="宋体"/>
          <w:color w:val="auto"/>
          <w:kern w:val="0"/>
          <w:sz w:val="24"/>
        </w:rPr>
        <w:t>2、地点：</w:t>
      </w:r>
    </w:p>
    <w:p>
      <w:pPr>
        <w:widowControl/>
        <w:tabs>
          <w:tab w:val="right" w:pos="8306"/>
        </w:tabs>
        <w:spacing w:line="360" w:lineRule="auto"/>
        <w:ind w:firstLine="480"/>
        <w:jc w:val="left"/>
        <w:rPr>
          <w:rFonts w:ascii="宋体" w:hAnsi="宋体" w:cs="宋体"/>
          <w:color w:val="auto"/>
          <w:kern w:val="0"/>
          <w:sz w:val="27"/>
          <w:szCs w:val="27"/>
        </w:rPr>
      </w:pPr>
      <w:r>
        <w:rPr>
          <w:rFonts w:hint="eastAsia" w:ascii="宋体" w:hAnsi="宋体" w:cs="宋体"/>
          <w:color w:val="auto"/>
          <w:kern w:val="0"/>
          <w:sz w:val="24"/>
        </w:rPr>
        <w:t>（1）政采云平台（http://zfcg.czt.zj.gov.cn）；</w:t>
      </w:r>
      <w:r>
        <w:rPr>
          <w:rFonts w:ascii="宋体" w:hAnsi="宋体" w:cs="宋体"/>
          <w:color w:val="auto"/>
          <w:kern w:val="0"/>
          <w:sz w:val="24"/>
        </w:rPr>
        <w:tab/>
      </w:r>
    </w:p>
    <w:p>
      <w:pPr>
        <w:widowControl/>
        <w:spacing w:line="360" w:lineRule="auto"/>
        <w:ind w:firstLine="480"/>
        <w:jc w:val="left"/>
        <w:rPr>
          <w:rFonts w:ascii="宋体" w:hAnsi="宋体" w:cs="宋体"/>
          <w:color w:val="auto"/>
          <w:kern w:val="0"/>
          <w:sz w:val="27"/>
          <w:szCs w:val="27"/>
        </w:rPr>
      </w:pPr>
      <w:r>
        <w:rPr>
          <w:rFonts w:hint="eastAsia" w:ascii="宋体" w:hAnsi="宋体" w:cs="宋体"/>
          <w:color w:val="auto"/>
          <w:kern w:val="0"/>
          <w:sz w:val="24"/>
        </w:rPr>
        <w:t>（2）供应商网上报名操作指南：“浙江政府采购网-办事指南-省采中心-网上报名”（http://zfcg.czt.zj.gov.cn/bs_other/2018-03-30/12002.html）。</w:t>
      </w:r>
    </w:p>
    <w:p>
      <w:pPr>
        <w:widowControl/>
        <w:spacing w:line="360" w:lineRule="auto"/>
        <w:ind w:firstLine="480"/>
        <w:jc w:val="left"/>
        <w:rPr>
          <w:rFonts w:ascii="宋体" w:hAnsi="宋体" w:cs="宋体"/>
          <w:color w:val="auto"/>
          <w:kern w:val="0"/>
          <w:sz w:val="27"/>
          <w:szCs w:val="27"/>
        </w:rPr>
      </w:pPr>
      <w:r>
        <w:rPr>
          <w:rFonts w:hint="eastAsia" w:ascii="宋体" w:hAnsi="宋体" w:cs="宋体"/>
          <w:color w:val="auto"/>
          <w:kern w:val="0"/>
          <w:sz w:val="24"/>
        </w:rPr>
        <w:t>3、方式：潜在供应商登陆政采云平台，在线申请获取招标文件（进入“项目采购”应用，在获取招标文件菜单中选择项目，申请获取招标文件，本项目招标文件不收取工本费；</w:t>
      </w:r>
      <w:r>
        <w:rPr>
          <w:rFonts w:hint="eastAsia" w:ascii="宋体" w:hAnsi="宋体" w:cs="宋体"/>
          <w:color w:val="auto"/>
          <w:kern w:val="0"/>
          <w:sz w:val="24"/>
          <w:u w:val="single"/>
        </w:rPr>
        <w:t>仅需浏览招标文件的供应商可点击“游客，浏览招标文件”直接下载招标文件浏览</w:t>
      </w:r>
      <w:r>
        <w:rPr>
          <w:rFonts w:hint="eastAsia" w:ascii="宋体" w:hAnsi="宋体" w:cs="宋体"/>
          <w:color w:val="auto"/>
          <w:kern w:val="0"/>
          <w:sz w:val="24"/>
        </w:rPr>
        <w:t>）；</w:t>
      </w:r>
    </w:p>
    <w:p>
      <w:pPr>
        <w:widowControl/>
        <w:spacing w:line="360" w:lineRule="auto"/>
        <w:ind w:firstLine="480"/>
        <w:jc w:val="left"/>
        <w:rPr>
          <w:rFonts w:ascii="宋体" w:hAnsi="宋体" w:cs="宋体"/>
          <w:color w:val="auto"/>
          <w:kern w:val="0"/>
          <w:sz w:val="27"/>
          <w:szCs w:val="27"/>
        </w:rPr>
      </w:pPr>
      <w:r>
        <w:rPr>
          <w:rFonts w:hint="eastAsia" w:ascii="宋体" w:hAnsi="宋体" w:cs="宋体"/>
          <w:color w:val="auto"/>
          <w:kern w:val="0"/>
          <w:sz w:val="24"/>
        </w:rPr>
        <w:t>4、供应商获取招标文件时须提交的文件资料：无；</w:t>
      </w:r>
    </w:p>
    <w:p>
      <w:pPr>
        <w:widowControl/>
        <w:spacing w:line="360" w:lineRule="auto"/>
        <w:ind w:firstLine="480"/>
        <w:jc w:val="left"/>
        <w:rPr>
          <w:rFonts w:ascii="宋体" w:hAnsi="宋体" w:cs="宋体"/>
          <w:color w:val="auto"/>
          <w:kern w:val="0"/>
          <w:sz w:val="27"/>
          <w:szCs w:val="27"/>
        </w:rPr>
      </w:pPr>
      <w:r>
        <w:rPr>
          <w:rFonts w:hint="eastAsia" w:ascii="宋体" w:hAnsi="宋体" w:cs="宋体"/>
          <w:color w:val="auto"/>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0" w:firstLineChars="200"/>
        <w:rPr>
          <w:rFonts w:ascii="宋体" w:hAnsi="宋体" w:cs="仿宋"/>
          <w:color w:val="auto"/>
          <w:sz w:val="24"/>
        </w:rPr>
      </w:pPr>
      <w:r>
        <w:rPr>
          <w:rFonts w:hint="eastAsia" w:ascii="宋体" w:hAnsi="宋体" w:cs="宋体"/>
          <w:color w:val="auto"/>
          <w:kern w:val="0"/>
          <w:sz w:val="24"/>
        </w:rPr>
        <w:t>注：请供应商按上述要求获取招标文件，如未在“政采云”系统内完成相关流程，引起的投标无效责任自负。</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left"/>
        <w:rPr>
          <w:rFonts w:ascii="宋体" w:hAnsi="宋体"/>
          <w:b/>
          <w:color w:val="auto"/>
          <w:kern w:val="0"/>
          <w:sz w:val="24"/>
        </w:rPr>
      </w:pPr>
      <w:r>
        <w:rPr>
          <w:rFonts w:hint="eastAsia" w:ascii="宋体" w:hAnsi="宋体" w:cs="Calibri Light"/>
          <w:b/>
          <w:color w:val="auto"/>
          <w:sz w:val="24"/>
        </w:rPr>
        <w:t>五、电子</w:t>
      </w:r>
      <w:r>
        <w:rPr>
          <w:rFonts w:hint="eastAsia" w:ascii="宋体" w:hAnsi="宋体"/>
          <w:b/>
          <w:color w:val="auto"/>
          <w:kern w:val="0"/>
          <w:sz w:val="24"/>
        </w:rPr>
        <w:t>投标文件递交截止时间及开标时间、地点：</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0"/>
        <w:jc w:val="left"/>
        <w:rPr>
          <w:rFonts w:ascii="宋体" w:hAnsi="宋体" w:cs="仿宋"/>
          <w:color w:val="auto"/>
          <w:sz w:val="24"/>
        </w:rPr>
      </w:pPr>
      <w:r>
        <w:rPr>
          <w:rFonts w:hint="eastAsia" w:ascii="宋体" w:hAnsi="宋体" w:cs="仿宋"/>
          <w:color w:val="auto"/>
          <w:sz w:val="24"/>
        </w:rPr>
        <w:t>1、电子投标文件递交截止时间及开标时间：</w:t>
      </w:r>
      <w:r>
        <w:rPr>
          <w:rFonts w:hint="eastAsia" w:asciiTheme="majorEastAsia" w:hAnsiTheme="majorEastAsia" w:eastAsiaTheme="majorEastAsia" w:cstheme="majorEastAsia"/>
          <w:color w:val="auto"/>
          <w:sz w:val="24"/>
        </w:rPr>
        <w:t>2022年8月</w:t>
      </w:r>
      <w:r>
        <w:rPr>
          <w:rFonts w:hint="eastAsia" w:asciiTheme="majorEastAsia" w:hAnsiTheme="majorEastAsia" w:eastAsiaTheme="majorEastAsia" w:cstheme="majorEastAsia"/>
          <w:color w:val="auto"/>
          <w:sz w:val="24"/>
          <w:lang w:val="en-US" w:eastAsia="zh-CN"/>
        </w:rPr>
        <w:t>12</w:t>
      </w:r>
      <w:r>
        <w:rPr>
          <w:rFonts w:hint="eastAsia" w:asciiTheme="majorEastAsia" w:hAnsiTheme="majorEastAsia" w:eastAsiaTheme="majorEastAsia" w:cstheme="majorEastAsia"/>
          <w:color w:val="auto"/>
          <w:sz w:val="24"/>
        </w:rPr>
        <w:t>日09时00分</w:t>
      </w:r>
      <w:r>
        <w:rPr>
          <w:rFonts w:hint="eastAsia" w:asciiTheme="majorEastAsia" w:hAnsiTheme="majorEastAsia" w:eastAsiaTheme="majorEastAsia" w:cstheme="majorEastAsia"/>
          <w:color w:val="auto"/>
          <w:sz w:val="24"/>
        </w:rPr>
        <w:t>（北京时间）</w:t>
      </w:r>
      <w:r>
        <w:rPr>
          <w:rFonts w:hint="eastAsia" w:ascii="宋体" w:hAnsi="宋体" w:cs="仿宋"/>
          <w:color w:val="auto"/>
          <w:sz w:val="24"/>
        </w:rPr>
        <w:t>；</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0"/>
        <w:jc w:val="left"/>
        <w:rPr>
          <w:rFonts w:ascii="宋体" w:hAnsi="宋体" w:cs="仿宋"/>
          <w:color w:val="auto"/>
          <w:sz w:val="24"/>
        </w:rPr>
      </w:pPr>
      <w:r>
        <w:rPr>
          <w:rFonts w:ascii="宋体" w:hAnsi="宋体" w:cs="仿宋"/>
          <w:color w:val="auto"/>
          <w:sz w:val="24"/>
        </w:rPr>
        <w:t>2</w:t>
      </w:r>
      <w:r>
        <w:rPr>
          <w:rFonts w:hint="eastAsia" w:ascii="宋体" w:hAnsi="宋体" w:cs="仿宋"/>
          <w:color w:val="auto"/>
          <w:sz w:val="24"/>
        </w:rPr>
        <w:t>、开标地点及电子投标文件提交地点：通过“政府采购云平台（www.zcygov.cn）”实行在线投标响应；</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2" w:firstLineChars="200"/>
        <w:jc w:val="left"/>
        <w:rPr>
          <w:rFonts w:ascii="宋体" w:hAnsi="宋体" w:cs="Calibri Light"/>
          <w:color w:val="auto"/>
          <w:kern w:val="0"/>
          <w:sz w:val="24"/>
        </w:rPr>
      </w:pPr>
      <w:r>
        <w:rPr>
          <w:rFonts w:hint="eastAsia" w:ascii="宋体" w:hAnsi="宋体" w:cs="Calibri Light"/>
          <w:b/>
          <w:bCs/>
          <w:color w:val="auto"/>
          <w:sz w:val="24"/>
        </w:rPr>
        <w:t>六、投标保证金</w:t>
      </w:r>
      <w:r>
        <w:rPr>
          <w:rFonts w:hint="eastAsia" w:ascii="宋体" w:hAnsi="宋体" w:cs="Calibri Light"/>
          <w:b/>
          <w:color w:val="auto"/>
          <w:sz w:val="24"/>
        </w:rPr>
        <w:t>：</w:t>
      </w:r>
    </w:p>
    <w:p>
      <w:pPr>
        <w:spacing w:line="360" w:lineRule="auto"/>
        <w:ind w:firstLine="480" w:firstLineChars="200"/>
        <w:rPr>
          <w:rFonts w:ascii="宋体" w:hAnsi="宋体" w:cs="仿宋"/>
          <w:color w:val="auto"/>
          <w:sz w:val="24"/>
        </w:rPr>
      </w:pPr>
      <w:r>
        <w:rPr>
          <w:rFonts w:hint="eastAsia" w:ascii="宋体" w:hAnsi="宋体" w:cs="仿宋"/>
          <w:color w:val="auto"/>
          <w:sz w:val="24"/>
        </w:rPr>
        <w:t>无</w:t>
      </w:r>
    </w:p>
    <w:p>
      <w:pPr>
        <w:spacing w:line="360" w:lineRule="auto"/>
        <w:ind w:firstLine="482" w:firstLineChars="200"/>
        <w:rPr>
          <w:rFonts w:ascii="宋体" w:hAnsi="宋体" w:cs="仿宋"/>
          <w:b/>
          <w:bCs/>
          <w:color w:val="auto"/>
          <w:sz w:val="24"/>
        </w:rPr>
      </w:pPr>
      <w:r>
        <w:rPr>
          <w:rFonts w:hint="eastAsia" w:ascii="宋体" w:hAnsi="宋体" w:cs="仿宋"/>
          <w:b/>
          <w:bCs/>
          <w:color w:val="auto"/>
          <w:sz w:val="24"/>
        </w:rPr>
        <w:t>七、在线投标响应（电子投标）说明：</w:t>
      </w:r>
    </w:p>
    <w:p>
      <w:pPr>
        <w:spacing w:line="360" w:lineRule="auto"/>
        <w:ind w:firstLine="480" w:firstLineChars="200"/>
        <w:rPr>
          <w:rFonts w:ascii="宋体" w:hAnsi="宋体" w:cs="Calibri Light"/>
          <w:color w:val="auto"/>
          <w:kern w:val="0"/>
          <w:sz w:val="24"/>
        </w:rPr>
      </w:pPr>
      <w:r>
        <w:rPr>
          <w:rFonts w:hint="eastAsia" w:ascii="宋体" w:hAnsi="宋体" w:cs="Calibri Light"/>
          <w:color w:val="auto"/>
          <w:kern w:val="0"/>
          <w:sz w:val="24"/>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spacing w:line="360" w:lineRule="auto"/>
        <w:ind w:firstLine="480" w:firstLineChars="200"/>
        <w:rPr>
          <w:rFonts w:ascii="宋体" w:hAnsi="宋体" w:cs="Calibri Light"/>
          <w:color w:val="auto"/>
          <w:kern w:val="0"/>
          <w:sz w:val="24"/>
        </w:rPr>
      </w:pPr>
      <w:r>
        <w:rPr>
          <w:rFonts w:hint="eastAsia" w:ascii="宋体" w:hAnsi="宋体" w:cs="Calibri Light"/>
          <w:color w:val="auto"/>
          <w:kern w:val="0"/>
          <w:sz w:val="24"/>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pPr>
        <w:spacing w:line="360" w:lineRule="auto"/>
        <w:ind w:firstLine="480" w:firstLineChars="200"/>
        <w:rPr>
          <w:rFonts w:ascii="宋体" w:hAnsi="宋体" w:cs="Calibri Light"/>
          <w:color w:val="auto"/>
          <w:kern w:val="0"/>
          <w:sz w:val="24"/>
        </w:rPr>
      </w:pPr>
      <w:r>
        <w:rPr>
          <w:rFonts w:hint="eastAsia" w:ascii="宋体" w:hAnsi="宋体" w:cs="Calibri Light"/>
          <w:color w:val="auto"/>
          <w:kern w:val="0"/>
          <w:sz w:val="24"/>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Calibri Light"/>
          <w:color w:val="auto"/>
          <w:kern w:val="0"/>
          <w:sz w:val="24"/>
        </w:rPr>
      </w:pPr>
      <w:r>
        <w:rPr>
          <w:rFonts w:hint="eastAsia" w:ascii="宋体" w:hAnsi="宋体" w:cs="Calibri Light"/>
          <w:color w:val="auto"/>
          <w:kern w:val="0"/>
          <w:sz w:val="24"/>
        </w:rPr>
        <w:t>3、投标供应商应当在投标截止时间前，将生成的“电子加密投标文件”上传递交至“政府采购云平台”。投标截止时间以后上传递交的投标文件将被“政府采购云平台”拒收。</w:t>
      </w:r>
    </w:p>
    <w:p>
      <w:pPr>
        <w:spacing w:line="360" w:lineRule="auto"/>
        <w:ind w:firstLine="480" w:firstLineChars="200"/>
        <w:rPr>
          <w:rFonts w:ascii="宋体" w:hAnsi="宋体" w:cs="Calibri Light"/>
          <w:color w:val="auto"/>
          <w:kern w:val="0"/>
          <w:sz w:val="24"/>
        </w:rPr>
      </w:pPr>
      <w:r>
        <w:rPr>
          <w:rFonts w:hint="eastAsia" w:ascii="宋体" w:hAnsi="宋体" w:cs="Calibri Light"/>
          <w:color w:val="auto"/>
          <w:kern w:val="0"/>
          <w:sz w:val="24"/>
        </w:rPr>
        <w:t>4、投标供应商在“政府采购云平台”完成“电子加密投标文件”的上传递交后，还可以（EMS邮寄或顺丰邮寄形式）在投标截止时间前递交以介质（U盘）存储的数据电文形式的“备份投标文件”，“备份投标文件”应当密封包装并在包装上标注投标项目名称、投标单位名称并加盖公章。</w:t>
      </w:r>
    </w:p>
    <w:p>
      <w:pPr>
        <w:spacing w:line="360" w:lineRule="auto"/>
        <w:ind w:firstLine="480" w:firstLineChars="200"/>
        <w:rPr>
          <w:rFonts w:cs="Arial" w:asciiTheme="minorEastAsia" w:hAnsiTheme="minorEastAsia" w:eastAsiaTheme="minorEastAsia"/>
          <w:color w:val="auto"/>
          <w:sz w:val="24"/>
        </w:rPr>
      </w:pPr>
      <w:r>
        <w:rPr>
          <w:rFonts w:hint="eastAsia" w:ascii="宋体" w:hAnsi="宋体" w:cs="Calibri Light"/>
          <w:color w:val="auto"/>
          <w:kern w:val="0"/>
          <w:sz w:val="24"/>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360" w:lineRule="auto"/>
        <w:ind w:firstLine="482" w:firstLineChars="200"/>
        <w:rPr>
          <w:rFonts w:ascii="宋体" w:hAnsi="宋体" w:cs="Arial"/>
          <w:color w:val="auto"/>
          <w:sz w:val="24"/>
        </w:rPr>
      </w:pPr>
      <w:r>
        <w:rPr>
          <w:rFonts w:hint="eastAsia" w:cs="Arial" w:asciiTheme="minorEastAsia" w:hAnsiTheme="minorEastAsia" w:eastAsiaTheme="minorEastAsia"/>
          <w:b/>
          <w:bCs/>
          <w:color w:val="auto"/>
          <w:sz w:val="24"/>
        </w:rPr>
        <w:t>八</w:t>
      </w:r>
      <w:r>
        <w:rPr>
          <w:rFonts w:cs="Arial" w:asciiTheme="minorEastAsia" w:hAnsiTheme="minorEastAsia" w:eastAsiaTheme="minorEastAsia"/>
          <w:b/>
          <w:bCs/>
          <w:color w:val="auto"/>
          <w:sz w:val="24"/>
        </w:rPr>
        <w:t>、</w:t>
      </w:r>
      <w:r>
        <w:rPr>
          <w:rFonts w:hint="eastAsia" w:ascii="宋体" w:hAnsi="宋体" w:cs="Arial"/>
          <w:b/>
          <w:color w:val="auto"/>
          <w:sz w:val="24"/>
        </w:rPr>
        <w:t>相关注意事项</w:t>
      </w:r>
      <w:r>
        <w:rPr>
          <w:rFonts w:hint="eastAsia" w:ascii="宋体" w:hAnsi="宋体" w:cs="Arial"/>
          <w:color w:val="auto"/>
          <w:sz w:val="24"/>
        </w:rPr>
        <w:t>：</w:t>
      </w:r>
    </w:p>
    <w:p>
      <w:pPr>
        <w:spacing w:line="360" w:lineRule="auto"/>
        <w:ind w:firstLine="480" w:firstLineChars="200"/>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Calibri Light"/>
          <w:color w:val="auto"/>
          <w:kern w:val="0"/>
          <w:sz w:val="24"/>
        </w:rPr>
      </w:pPr>
      <w:r>
        <w:rPr>
          <w:rFonts w:hint="eastAsia" w:ascii="宋体" w:hAnsi="宋体" w:cs="Calibri Light"/>
          <w:color w:val="auto"/>
          <w:kern w:val="0"/>
          <w:sz w:val="24"/>
        </w:rPr>
        <w:t>采购人书面质疑接收人：杨警官</w:t>
      </w:r>
    </w:p>
    <w:p>
      <w:pPr>
        <w:spacing w:line="360" w:lineRule="auto"/>
        <w:ind w:firstLine="480" w:firstLineChars="200"/>
        <w:rPr>
          <w:rFonts w:ascii="宋体" w:hAnsi="宋体" w:cs="Calibri Light"/>
          <w:color w:val="auto"/>
          <w:kern w:val="0"/>
          <w:sz w:val="24"/>
        </w:rPr>
      </w:pPr>
      <w:r>
        <w:rPr>
          <w:rFonts w:hint="eastAsia" w:ascii="宋体" w:hAnsi="宋体" w:cs="Calibri Light"/>
          <w:color w:val="auto"/>
          <w:kern w:val="0"/>
          <w:sz w:val="24"/>
        </w:rPr>
        <w:t>联系电话：0</w:t>
      </w:r>
      <w:r>
        <w:rPr>
          <w:rFonts w:ascii="宋体" w:hAnsi="宋体" w:cs="Calibri Light"/>
          <w:color w:val="auto"/>
          <w:kern w:val="0"/>
          <w:sz w:val="24"/>
        </w:rPr>
        <w:t>576-88212750</w:t>
      </w:r>
    </w:p>
    <w:p>
      <w:pPr>
        <w:spacing w:line="360" w:lineRule="auto"/>
        <w:ind w:firstLine="480" w:firstLineChars="200"/>
        <w:rPr>
          <w:rFonts w:cs="Arial" w:asciiTheme="minorEastAsia" w:hAnsiTheme="minorEastAsia" w:eastAsiaTheme="minorEastAsia"/>
          <w:color w:val="auto"/>
          <w:sz w:val="24"/>
        </w:rPr>
      </w:pPr>
      <w:r>
        <w:rPr>
          <w:rFonts w:hint="eastAsia" w:ascii="宋体" w:hAnsi="宋体" w:cs="Calibri Light"/>
          <w:color w:val="auto"/>
          <w:kern w:val="0"/>
          <w:sz w:val="24"/>
        </w:rPr>
        <w:t>书面质疑接收地址：台州市椒江区康平路2号</w:t>
      </w:r>
    </w:p>
    <w:p>
      <w:pPr>
        <w:spacing w:line="360" w:lineRule="auto"/>
        <w:ind w:firstLine="480" w:firstLineChars="200"/>
        <w:rPr>
          <w:rFonts w:cs="Arial" w:asciiTheme="minorEastAsia" w:hAnsiTheme="minorEastAsia" w:eastAsiaTheme="minorEastAsia"/>
          <w:color w:val="auto"/>
          <w:sz w:val="24"/>
        </w:rPr>
      </w:pPr>
    </w:p>
    <w:p>
      <w:pPr>
        <w:spacing w:line="360" w:lineRule="auto"/>
        <w:ind w:firstLine="480" w:firstLineChars="200"/>
        <w:rPr>
          <w:rFonts w:ascii="宋体" w:hAnsi="宋体" w:cs="Calibri Light"/>
          <w:color w:val="auto"/>
          <w:kern w:val="0"/>
          <w:sz w:val="24"/>
        </w:rPr>
      </w:pPr>
      <w:r>
        <w:rPr>
          <w:rFonts w:hint="eastAsia" w:ascii="宋体" w:hAnsi="宋体" w:cs="Calibri Light"/>
          <w:color w:val="auto"/>
          <w:kern w:val="0"/>
          <w:sz w:val="24"/>
        </w:rPr>
        <w:t>招标</w:t>
      </w:r>
      <w:r>
        <w:rPr>
          <w:rFonts w:ascii="宋体" w:hAnsi="宋体" w:cs="Calibri Light"/>
          <w:color w:val="auto"/>
          <w:kern w:val="0"/>
          <w:sz w:val="24"/>
        </w:rPr>
        <w:t>代理机构</w:t>
      </w:r>
      <w:r>
        <w:rPr>
          <w:rFonts w:hint="eastAsia" w:ascii="宋体" w:hAnsi="宋体" w:cs="Calibri Light"/>
          <w:color w:val="auto"/>
          <w:kern w:val="0"/>
          <w:sz w:val="24"/>
        </w:rPr>
        <w:t>书面质疑接收人：徐工</w:t>
      </w:r>
    </w:p>
    <w:p>
      <w:pPr>
        <w:spacing w:line="360" w:lineRule="auto"/>
        <w:ind w:firstLine="480" w:firstLineChars="200"/>
        <w:rPr>
          <w:rFonts w:ascii="宋体" w:hAnsi="宋体" w:cs="Calibri Light"/>
          <w:color w:val="auto"/>
          <w:kern w:val="0"/>
          <w:sz w:val="24"/>
        </w:rPr>
      </w:pPr>
      <w:r>
        <w:rPr>
          <w:rFonts w:hint="eastAsia" w:ascii="宋体" w:hAnsi="宋体" w:cs="Calibri Light"/>
          <w:color w:val="auto"/>
          <w:kern w:val="0"/>
          <w:sz w:val="24"/>
        </w:rPr>
        <w:t>联系电话：</w:t>
      </w:r>
      <w:r>
        <w:rPr>
          <w:rFonts w:ascii="宋体" w:hAnsi="宋体" w:cs="Calibri Light"/>
          <w:color w:val="auto"/>
          <w:kern w:val="0"/>
          <w:sz w:val="24"/>
        </w:rPr>
        <w:t>13566655825</w:t>
      </w:r>
    </w:p>
    <w:p>
      <w:pPr>
        <w:spacing w:line="360" w:lineRule="auto"/>
        <w:ind w:firstLine="480" w:firstLineChars="200"/>
        <w:rPr>
          <w:rFonts w:cs="Arial" w:asciiTheme="minorEastAsia" w:hAnsiTheme="minorEastAsia" w:eastAsiaTheme="minorEastAsia"/>
          <w:color w:val="auto"/>
          <w:sz w:val="24"/>
        </w:rPr>
      </w:pPr>
      <w:r>
        <w:rPr>
          <w:rFonts w:hint="eastAsia" w:ascii="宋体" w:hAnsi="宋体" w:cs="Calibri Light"/>
          <w:color w:val="auto"/>
          <w:kern w:val="0"/>
          <w:sz w:val="24"/>
        </w:rPr>
        <w:t>书面质疑接收地址：浙江省台州市椒江区爱华路18号新台州大厦</w:t>
      </w:r>
      <w:r>
        <w:rPr>
          <w:rFonts w:ascii="宋体" w:hAnsi="宋体" w:cs="Calibri Light"/>
          <w:color w:val="auto"/>
          <w:kern w:val="0"/>
          <w:sz w:val="24"/>
        </w:rPr>
        <w:t>206</w:t>
      </w:r>
    </w:p>
    <w:p>
      <w:pPr>
        <w:spacing w:line="360" w:lineRule="auto"/>
        <w:ind w:firstLine="590" w:firstLineChars="245"/>
        <w:rPr>
          <w:rFonts w:asciiTheme="minorEastAsia" w:hAnsiTheme="minorEastAsia" w:eastAsiaTheme="minorEastAsia"/>
          <w:b/>
          <w:color w:val="auto"/>
          <w:sz w:val="24"/>
        </w:rPr>
      </w:pPr>
      <w:r>
        <w:rPr>
          <w:rFonts w:hint="eastAsia" w:asciiTheme="minorEastAsia" w:hAnsiTheme="minorEastAsia" w:eastAsiaTheme="minorEastAsia"/>
          <w:b/>
          <w:color w:val="auto"/>
          <w:sz w:val="24"/>
        </w:rPr>
        <w:t>九、联系方式：</w:t>
      </w:r>
    </w:p>
    <w:p>
      <w:pPr>
        <w:spacing w:line="360" w:lineRule="auto"/>
        <w:ind w:firstLine="472"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（一）采购代理机构</w:t>
      </w:r>
    </w:p>
    <w:p>
      <w:pPr>
        <w:spacing w:line="360" w:lineRule="auto"/>
        <w:ind w:firstLine="600" w:firstLineChars="250"/>
        <w:rPr>
          <w:rFonts w:ascii="宋体" w:hAnsi="宋体" w:cs="仿宋"/>
          <w:color w:val="auto"/>
          <w:sz w:val="24"/>
        </w:rPr>
      </w:pPr>
      <w:r>
        <w:rPr>
          <w:rFonts w:hint="eastAsia" w:ascii="宋体" w:hAnsi="宋体" w:cs="仿宋"/>
          <w:color w:val="auto"/>
          <w:sz w:val="24"/>
        </w:rPr>
        <w:t>采购代理机构名称：浙江百和工程咨询有限公司</w:t>
      </w:r>
    </w:p>
    <w:p>
      <w:pPr>
        <w:spacing w:line="360" w:lineRule="auto"/>
        <w:ind w:firstLine="600" w:firstLineChars="250"/>
        <w:rPr>
          <w:rFonts w:ascii="宋体" w:hAnsi="宋体" w:cs="仿宋"/>
          <w:color w:val="auto"/>
          <w:sz w:val="24"/>
        </w:rPr>
      </w:pPr>
      <w:r>
        <w:rPr>
          <w:rFonts w:hint="eastAsia" w:ascii="宋体" w:hAnsi="宋体" w:cs="仿宋"/>
          <w:color w:val="auto"/>
          <w:sz w:val="24"/>
        </w:rPr>
        <w:t>项目联系人：吴女士　</w:t>
      </w:r>
    </w:p>
    <w:p>
      <w:pPr>
        <w:spacing w:line="360" w:lineRule="auto"/>
        <w:ind w:firstLine="600" w:firstLineChars="250"/>
        <w:rPr>
          <w:rFonts w:ascii="宋体" w:hAnsi="宋体" w:cs="仿宋"/>
          <w:color w:val="auto"/>
          <w:sz w:val="24"/>
        </w:rPr>
      </w:pPr>
      <w:r>
        <w:rPr>
          <w:rFonts w:hint="eastAsia" w:ascii="宋体" w:hAnsi="宋体" w:cs="仿宋"/>
          <w:color w:val="auto"/>
          <w:sz w:val="24"/>
        </w:rPr>
        <w:t xml:space="preserve">联系电话：15825475513     </w:t>
      </w:r>
    </w:p>
    <w:p>
      <w:pPr>
        <w:spacing w:line="360" w:lineRule="auto"/>
        <w:ind w:firstLine="600" w:firstLineChars="250"/>
        <w:rPr>
          <w:rFonts w:cs="Arial" w:asciiTheme="minorEastAsia" w:hAnsiTheme="minorEastAsia" w:eastAsiaTheme="minorEastAsia"/>
          <w:color w:val="auto"/>
          <w:sz w:val="24"/>
        </w:rPr>
      </w:pPr>
      <w:r>
        <w:rPr>
          <w:rFonts w:hint="eastAsia" w:ascii="宋体" w:hAnsi="宋体" w:cs="仿宋"/>
          <w:color w:val="auto"/>
          <w:sz w:val="24"/>
        </w:rPr>
        <w:t>地址：</w:t>
      </w:r>
      <w:r>
        <w:rPr>
          <w:rFonts w:hint="eastAsia" w:ascii="宋体" w:hAnsi="宋体" w:cs="Calibri Light"/>
          <w:color w:val="auto"/>
          <w:kern w:val="0"/>
          <w:sz w:val="24"/>
        </w:rPr>
        <w:t>浙江省台州市椒江区爱华路18号新台州大厦</w:t>
      </w:r>
      <w:r>
        <w:rPr>
          <w:rFonts w:ascii="宋体" w:hAnsi="宋体" w:cs="Calibri Light"/>
          <w:color w:val="auto"/>
          <w:kern w:val="0"/>
          <w:sz w:val="24"/>
        </w:rPr>
        <w:t>206</w:t>
      </w:r>
    </w:p>
    <w:p>
      <w:pPr>
        <w:spacing w:line="360" w:lineRule="auto"/>
        <w:ind w:firstLine="602" w:firstLineChars="25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（二）采购人</w:t>
      </w:r>
    </w:p>
    <w:p>
      <w:pPr>
        <w:spacing w:line="360" w:lineRule="auto"/>
        <w:ind w:firstLine="600" w:firstLineChars="250"/>
        <w:rPr>
          <w:rFonts w:ascii="宋体" w:hAnsi="宋体" w:cs="宋体"/>
          <w:color w:val="auto"/>
          <w:sz w:val="24"/>
        </w:rPr>
      </w:pPr>
      <w:r>
        <w:rPr>
          <w:rFonts w:hint="eastAsia" w:ascii="宋体" w:hAnsi="宋体" w:cs="宋体"/>
          <w:color w:val="auto"/>
          <w:sz w:val="24"/>
        </w:rPr>
        <w:t>采购人名称：台州市公安局交通警察局</w:t>
      </w:r>
    </w:p>
    <w:p>
      <w:pPr>
        <w:spacing w:line="360" w:lineRule="auto"/>
        <w:ind w:firstLine="600" w:firstLineChars="250"/>
        <w:rPr>
          <w:rFonts w:ascii="宋体" w:hAnsi="宋体" w:cs="宋体"/>
          <w:color w:val="auto"/>
          <w:sz w:val="24"/>
        </w:rPr>
      </w:pPr>
      <w:r>
        <w:rPr>
          <w:rFonts w:hint="eastAsia" w:ascii="宋体" w:hAnsi="宋体" w:cs="宋体"/>
          <w:color w:val="auto"/>
          <w:sz w:val="24"/>
        </w:rPr>
        <w:t xml:space="preserve">联系人：尤先生     </w:t>
      </w:r>
    </w:p>
    <w:p>
      <w:pPr>
        <w:spacing w:line="360" w:lineRule="auto"/>
        <w:ind w:firstLine="600" w:firstLineChars="250"/>
        <w:rPr>
          <w:rFonts w:ascii="宋体" w:hAnsi="宋体" w:cs="宋体"/>
          <w:color w:val="auto"/>
          <w:sz w:val="24"/>
          <w:shd w:val="clear" w:color="auto" w:fill="FFFFFF"/>
        </w:rPr>
      </w:pPr>
      <w:r>
        <w:rPr>
          <w:rFonts w:hint="eastAsia" w:ascii="宋体" w:hAnsi="宋体" w:cs="宋体"/>
          <w:color w:val="auto"/>
          <w:sz w:val="24"/>
        </w:rPr>
        <w:t>联系电话：</w:t>
      </w:r>
      <w:r>
        <w:rPr>
          <w:rFonts w:hint="eastAsia" w:ascii="宋体" w:hAnsi="宋体" w:cs="宋体"/>
          <w:color w:val="auto"/>
          <w:sz w:val="24"/>
          <w:shd w:val="clear" w:color="auto" w:fill="FFFFFF"/>
        </w:rPr>
        <w:t>13957654567</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采购人地址：浙江省台州市椒江区机场北路451号</w:t>
      </w:r>
    </w:p>
    <w:p>
      <w:pPr>
        <w:spacing w:line="360" w:lineRule="auto"/>
        <w:ind w:firstLine="472"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（三）同级政府采购监督管理部门</w:t>
      </w:r>
    </w:p>
    <w:p>
      <w:pPr>
        <w:spacing w:line="360" w:lineRule="auto"/>
        <w:ind w:left="525" w:leftChars="250"/>
        <w:rPr>
          <w:rFonts w:ascii="宋体" w:hAnsi="宋体" w:cs="仿宋"/>
          <w:color w:val="auto"/>
          <w:sz w:val="24"/>
        </w:rPr>
      </w:pPr>
      <w:r>
        <w:rPr>
          <w:rFonts w:hint="eastAsia" w:ascii="宋体" w:hAnsi="宋体" w:cs="仿宋"/>
          <w:color w:val="auto"/>
          <w:sz w:val="24"/>
        </w:rPr>
        <w:t>名称：台州市财政局政府采购监管处</w:t>
      </w:r>
    </w:p>
    <w:p>
      <w:pPr>
        <w:spacing w:line="360" w:lineRule="auto"/>
        <w:ind w:firstLine="600" w:firstLineChars="250"/>
        <w:rPr>
          <w:rFonts w:ascii="宋体" w:hAnsi="宋体" w:cs="仿宋"/>
          <w:color w:val="auto"/>
          <w:sz w:val="24"/>
        </w:rPr>
      </w:pPr>
      <w:r>
        <w:rPr>
          <w:rFonts w:hint="eastAsia" w:ascii="宋体" w:hAnsi="宋体" w:cs="仿宋"/>
          <w:color w:val="auto"/>
          <w:sz w:val="24"/>
        </w:rPr>
        <w:t>联系人：陈女士、李工</w:t>
      </w:r>
    </w:p>
    <w:p>
      <w:pPr>
        <w:spacing w:line="360" w:lineRule="auto"/>
        <w:ind w:firstLine="600" w:firstLineChars="250"/>
        <w:rPr>
          <w:rFonts w:ascii="宋体" w:hAnsi="宋体" w:cs="仿宋"/>
          <w:color w:val="auto"/>
          <w:sz w:val="24"/>
        </w:rPr>
      </w:pPr>
      <w:r>
        <w:rPr>
          <w:rFonts w:hint="eastAsia" w:ascii="宋体" w:hAnsi="宋体" w:cs="仿宋"/>
          <w:color w:val="auto"/>
          <w:sz w:val="24"/>
        </w:rPr>
        <w:t>监督投诉电话：</w:t>
      </w:r>
      <w:r>
        <w:rPr>
          <w:rFonts w:ascii="宋体" w:hAnsi="宋体" w:cs="仿宋"/>
          <w:color w:val="auto"/>
          <w:sz w:val="24"/>
        </w:rPr>
        <w:t>0576-88206705</w:t>
      </w:r>
      <w:r>
        <w:rPr>
          <w:rFonts w:hint="eastAsia" w:ascii="宋体" w:hAnsi="宋体" w:cs="仿宋"/>
          <w:color w:val="auto"/>
          <w:sz w:val="24"/>
        </w:rPr>
        <w:t>、0576-88206731</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60" w:lineRule="auto"/>
        <w:ind w:right="386" w:firstLine="600" w:firstLineChars="250"/>
        <w:rPr>
          <w:color w:val="auto"/>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仿宋"/>
          <w:color w:val="auto"/>
          <w:sz w:val="24"/>
        </w:rPr>
        <w:t>地址：台州市椒江区纬一路66号</w:t>
      </w:r>
    </w:p>
    <w:p>
      <w:pPr>
        <w:numPr>
          <w:ilvl w:val="0"/>
          <w:numId w:val="4"/>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投标人须知</w:t>
      </w:r>
    </w:p>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前附表</w:t>
      </w:r>
    </w:p>
    <w:tbl>
      <w:tblPr>
        <w:tblStyle w:val="3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67"/>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序号</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项    目</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供应商特定资格要求</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kern w:val="0"/>
                <w:sz w:val="24"/>
              </w:rPr>
              <w:t>答疑会或</w:t>
            </w:r>
            <w:r>
              <w:rPr>
                <w:rFonts w:hint="eastAsia" w:asciiTheme="majorEastAsia" w:hAnsiTheme="majorEastAsia" w:eastAsiaTheme="majorEastAsia" w:cstheme="majorEastAsia"/>
                <w:color w:val="auto"/>
                <w:sz w:val="24"/>
              </w:rPr>
              <w:t>现场踏勘</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cs="Arial" w:asciiTheme="minorEastAsia" w:hAnsiTheme="minorEastAsia" w:eastAsiaTheme="minorEastAsia"/>
                <w:color w:val="auto"/>
                <w:sz w:val="24"/>
              </w:rPr>
              <w:t>本项目不组织答疑会或现场踏勘，</w:t>
            </w:r>
            <w:r>
              <w:rPr>
                <w:rFonts w:hint="eastAsia" w:ascii="宋体" w:hAnsi="宋体" w:cs="宋体"/>
                <w:b/>
                <w:bCs/>
                <w:color w:val="auto"/>
                <w:sz w:val="24"/>
              </w:rPr>
              <w:t>投标人如需现场踏勘，可联系采购人</w:t>
            </w:r>
            <w:r>
              <w:rPr>
                <w:rFonts w:hint="eastAsia" w:cs="Arial" w:asciiTheme="minorEastAsia" w:hAnsiTheme="minorEastAsia" w:eastAsiaTheme="minorEastAsia"/>
                <w:color w:val="auto"/>
                <w:sz w:val="24"/>
              </w:rPr>
              <w:t>联系人：</w:t>
            </w:r>
            <w:r>
              <w:rPr>
                <w:rFonts w:hint="eastAsia" w:ascii="宋体" w:hAnsi="宋体" w:cs="宋体"/>
                <w:color w:val="auto"/>
                <w:sz w:val="24"/>
              </w:rPr>
              <w:t>尤先生</w:t>
            </w:r>
            <w:r>
              <w:rPr>
                <w:rFonts w:hint="eastAsia" w:cs="Arial" w:asciiTheme="minorEastAsia" w:hAnsiTheme="minorEastAsia" w:eastAsiaTheme="minorEastAsia"/>
                <w:color w:val="auto"/>
                <w:sz w:val="24"/>
              </w:rPr>
              <w:t>；联系电话：13957654567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投标文件的编制</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rPr>
            </w:pPr>
            <w:r>
              <w:rPr>
                <w:rFonts w:hint="eastAsia"/>
                <w:color w:val="auto"/>
                <w:sz w:val="24"/>
              </w:rPr>
              <w:t>一、供应商应先安装“政采云电子交易客户端”，并按照本招标文件和“政府采购云平台”的要求，通过“政采云电子交易客户端”编制并加密投标文件。</w:t>
            </w:r>
          </w:p>
          <w:p>
            <w:pPr>
              <w:spacing w:line="360" w:lineRule="auto"/>
              <w:rPr>
                <w:b/>
                <w:bCs/>
                <w:color w:val="auto"/>
                <w:sz w:val="24"/>
              </w:rPr>
            </w:pPr>
            <w:r>
              <w:rPr>
                <w:rFonts w:hint="eastAsia" w:ascii="宋体"/>
                <w:color w:val="auto"/>
                <w:szCs w:val="21"/>
                <w:lang w:val="zh-CN"/>
              </w:rPr>
              <w:t>▲</w:t>
            </w:r>
            <w:r>
              <w:rPr>
                <w:rFonts w:hint="eastAsia"/>
                <w:b/>
                <w:bCs/>
                <w:color w:val="auto"/>
                <w:sz w:val="24"/>
              </w:rPr>
              <w:t>二、样品一套，内容如下：</w:t>
            </w:r>
          </w:p>
          <w:p>
            <w:pPr>
              <w:spacing w:line="360" w:lineRule="auto"/>
              <w:rPr>
                <w:color w:val="auto"/>
                <w:sz w:val="24"/>
              </w:rPr>
            </w:pPr>
            <w:r>
              <w:rPr>
                <w:rFonts w:hint="eastAsia"/>
                <w:color w:val="auto"/>
                <w:sz w:val="24"/>
              </w:rPr>
              <w:t>1、铝板上画0.5米长15公分宽的震荡标线（白色）；</w:t>
            </w:r>
          </w:p>
          <w:p>
            <w:pPr>
              <w:spacing w:line="360" w:lineRule="auto"/>
              <w:rPr>
                <w:color w:val="auto"/>
                <w:sz w:val="24"/>
              </w:rPr>
            </w:pPr>
            <w:r>
              <w:rPr>
                <w:rFonts w:hint="eastAsia"/>
                <w:color w:val="auto"/>
                <w:sz w:val="24"/>
              </w:rPr>
              <w:t>2、</w:t>
            </w:r>
            <w:r>
              <w:rPr>
                <w:color w:val="auto"/>
                <w:sz w:val="24"/>
              </w:rPr>
              <w:t>铝板上画0.5米长15公分宽普通标线（白色）</w:t>
            </w:r>
            <w:r>
              <w:rPr>
                <w:rFonts w:hint="eastAsia"/>
                <w:color w:val="auto"/>
                <w:sz w:val="24"/>
              </w:rPr>
              <w:t>；</w:t>
            </w:r>
          </w:p>
          <w:p>
            <w:pPr>
              <w:spacing w:line="360" w:lineRule="auto"/>
              <w:rPr>
                <w:color w:val="auto"/>
                <w:sz w:val="24"/>
              </w:rPr>
            </w:pPr>
            <w:r>
              <w:rPr>
                <w:rFonts w:hint="eastAsia"/>
                <w:color w:val="auto"/>
                <w:sz w:val="24"/>
              </w:rPr>
              <w:t>3、</w:t>
            </w:r>
            <w:r>
              <w:rPr>
                <w:color w:val="auto"/>
                <w:sz w:val="24"/>
              </w:rPr>
              <w:t>铝板上画0.5米长15公分宽雨夜标线（白色）</w:t>
            </w:r>
            <w:r>
              <w:rPr>
                <w:rFonts w:hint="eastAsia"/>
                <w:color w:val="auto"/>
                <w:sz w:val="24"/>
              </w:rPr>
              <w:t>；</w:t>
            </w:r>
          </w:p>
          <w:p>
            <w:pPr>
              <w:snapToGrid w:val="0"/>
              <w:spacing w:line="360" w:lineRule="auto"/>
              <w:rPr>
                <w:color w:val="auto"/>
                <w:sz w:val="24"/>
              </w:rPr>
            </w:pPr>
            <w:r>
              <w:rPr>
                <w:rFonts w:hint="eastAsia"/>
                <w:color w:val="auto"/>
                <w:sz w:val="24"/>
              </w:rPr>
              <w:t>4、根据采购人提供的沥青路面和水泥路面标线用高压水清除后的前后对比照片各一张（彩色，尺寸为A4纸大小）。</w:t>
            </w:r>
          </w:p>
          <w:p>
            <w:pPr>
              <w:snapToGrid w:val="0"/>
              <w:spacing w:line="360" w:lineRule="auto"/>
              <w:rPr>
                <w:color w:val="auto"/>
                <w:sz w:val="24"/>
              </w:rPr>
            </w:pPr>
            <w:r>
              <w:rPr>
                <w:rFonts w:hint="eastAsia"/>
                <w:b/>
                <w:bCs/>
                <w:color w:val="auto"/>
                <w:sz w:val="24"/>
              </w:rPr>
              <w:t>三、样品要求如下</w:t>
            </w:r>
            <w:r>
              <w:rPr>
                <w:rFonts w:hint="eastAsia"/>
                <w:color w:val="auto"/>
                <w:sz w:val="24"/>
              </w:rPr>
              <w:t>：</w:t>
            </w:r>
          </w:p>
          <w:p>
            <w:pPr>
              <w:pStyle w:val="18"/>
              <w:spacing w:line="360" w:lineRule="auto"/>
              <w:rPr>
                <w:rFonts w:ascii="宋体" w:hAnsi="宋体" w:cs="宋体"/>
                <w:bCs/>
                <w:color w:val="auto"/>
                <w:sz w:val="24"/>
              </w:rPr>
            </w:pPr>
            <w:r>
              <w:rPr>
                <w:rFonts w:hint="eastAsia" w:ascii="宋体" w:hAnsi="宋体" w:cs="宋体"/>
                <w:bCs/>
                <w:color w:val="auto"/>
                <w:sz w:val="24"/>
              </w:rPr>
              <w:t>1、密封包装，外包装上需写明项目名称、采购编号、及投标公司全称。包装封口应由法定代表人或全权代表签字或盖章，评标时，对提交样品的供应商，由采购人随机编号，专家评审小组按编号评分。涉及检测报告、照片等佐证材料的样品，采用先打分后核实的方式；</w:t>
            </w:r>
          </w:p>
          <w:p>
            <w:pPr>
              <w:snapToGrid w:val="0"/>
              <w:spacing w:line="360" w:lineRule="auto"/>
              <w:rPr>
                <w:rFonts w:ascii="宋体" w:hAnsi="宋体" w:cs="宋体"/>
                <w:b/>
                <w:bCs/>
                <w:color w:val="auto"/>
                <w:sz w:val="24"/>
              </w:rPr>
            </w:pPr>
            <w:r>
              <w:rPr>
                <w:rFonts w:hint="eastAsia" w:ascii="宋体"/>
                <w:color w:val="auto"/>
                <w:szCs w:val="21"/>
                <w:lang w:val="zh-CN"/>
              </w:rPr>
              <w:t>▲</w:t>
            </w:r>
            <w:r>
              <w:rPr>
                <w:rFonts w:hint="eastAsia" w:ascii="宋体" w:hAnsi="宋体" w:cs="宋体"/>
                <w:color w:val="auto"/>
                <w:sz w:val="24"/>
              </w:rPr>
              <w:t>2、样品的</w:t>
            </w:r>
            <w:r>
              <w:rPr>
                <w:rFonts w:hint="eastAsia" w:ascii="宋体" w:hAnsi="宋体" w:cs="宋体"/>
                <w:color w:val="auto"/>
                <w:sz w:val="24"/>
                <w:lang w:val="zh-CN"/>
              </w:rPr>
              <w:t>技术规范要求同本项目供货要求，见招标文件第四章公开招标需求，随样品注明</w:t>
            </w:r>
            <w:r>
              <w:rPr>
                <w:rFonts w:hint="eastAsia" w:ascii="宋体" w:hAnsi="宋体" w:cs="宋体"/>
                <w:color w:val="auto"/>
                <w:sz w:val="24"/>
              </w:rPr>
              <w:t>样品清单、材质、型号、品牌等信息。</w:t>
            </w:r>
            <w:r>
              <w:rPr>
                <w:rFonts w:hint="eastAsia" w:ascii="宋体" w:hAnsi="宋体" w:cs="宋体"/>
                <w:b/>
                <w:bCs/>
                <w:color w:val="auto"/>
                <w:sz w:val="24"/>
              </w:rPr>
              <w:t>样品不得体现或影射投标人的信息，否则按无效标处理；</w:t>
            </w:r>
          </w:p>
          <w:p>
            <w:pPr>
              <w:pStyle w:val="19"/>
              <w:spacing w:line="360" w:lineRule="auto"/>
              <w:ind w:left="0" w:leftChars="0"/>
              <w:rPr>
                <w:rFonts w:ascii="宋体" w:hAnsi="宋体" w:cs="宋体"/>
                <w:color w:val="auto"/>
                <w:sz w:val="24"/>
              </w:rPr>
            </w:pPr>
            <w:r>
              <w:rPr>
                <w:rFonts w:hint="eastAsia" w:ascii="宋体"/>
                <w:color w:val="auto"/>
                <w:szCs w:val="21"/>
                <w:lang w:val="zh-CN"/>
              </w:rPr>
              <w:t>▲</w:t>
            </w:r>
            <w:r>
              <w:rPr>
                <w:rFonts w:hint="eastAsia" w:ascii="宋体" w:hAnsi="宋体" w:cs="宋体"/>
                <w:color w:val="auto"/>
                <w:sz w:val="24"/>
              </w:rPr>
              <w:t>3、中标人的样品将封存并作为实际供货的比较标准，投标人不得以样品精制和批量赶制为理由致使实际供货产品存与投标样品存在品质差异。</w:t>
            </w:r>
          </w:p>
          <w:p>
            <w:pPr>
              <w:snapToGrid w:val="0"/>
              <w:spacing w:line="360" w:lineRule="auto"/>
              <w:rPr>
                <w:rFonts w:ascii="宋体" w:hAnsi="宋体" w:cs="宋体"/>
                <w:color w:val="auto"/>
                <w:sz w:val="24"/>
              </w:rPr>
            </w:pPr>
            <w:r>
              <w:rPr>
                <w:rFonts w:hint="eastAsia" w:ascii="宋体" w:hAnsi="宋体" w:cs="宋体"/>
                <w:color w:val="auto"/>
                <w:sz w:val="24"/>
              </w:rPr>
              <w:t>4、投标截止时间（2022年</w:t>
            </w:r>
            <w:r>
              <w:rPr>
                <w:rFonts w:ascii="宋体" w:hAnsi="宋体" w:cs="宋体"/>
                <w:color w:val="auto"/>
                <w:sz w:val="24"/>
              </w:rPr>
              <w:t>8</w:t>
            </w:r>
            <w:r>
              <w:rPr>
                <w:rFonts w:hint="eastAsia" w:ascii="宋体" w:hAnsi="宋体" w:cs="宋体"/>
                <w:color w:val="auto"/>
                <w:sz w:val="24"/>
              </w:rPr>
              <w:t>月</w:t>
            </w:r>
            <w:r>
              <w:rPr>
                <w:rFonts w:hint="eastAsia" w:ascii="宋体" w:hAnsi="宋体" w:cs="宋体"/>
                <w:color w:val="auto"/>
                <w:sz w:val="24"/>
                <w:lang w:val="en-US" w:eastAsia="zh-CN"/>
              </w:rPr>
              <w:t>12</w:t>
            </w:r>
            <w:r>
              <w:rPr>
                <w:rFonts w:hint="eastAsia" w:ascii="宋体" w:hAnsi="宋体" w:cs="宋体"/>
                <w:color w:val="auto"/>
                <w:sz w:val="24"/>
              </w:rPr>
              <w:t>日09时00分（北京时间））前接收样品（供应商应提前留足时间，逾期或不符合规定的样品恕不接受）</w:t>
            </w:r>
          </w:p>
          <w:p>
            <w:pPr>
              <w:snapToGrid w:val="0"/>
              <w:spacing w:line="360" w:lineRule="auto"/>
              <w:rPr>
                <w:rFonts w:ascii="宋体" w:hAnsi="宋体" w:cs="宋体"/>
                <w:color w:val="auto"/>
                <w:sz w:val="24"/>
              </w:rPr>
            </w:pPr>
            <w:r>
              <w:rPr>
                <w:rFonts w:hint="eastAsia" w:ascii="宋体" w:hAnsi="宋体" w:cs="宋体"/>
                <w:color w:val="auto"/>
                <w:sz w:val="24"/>
              </w:rPr>
              <w:t>5、递交地点：浙江省台州市椒江区爱华路18号新台州大厦206</w:t>
            </w:r>
          </w:p>
          <w:p>
            <w:pPr>
              <w:snapToGrid w:val="0"/>
              <w:spacing w:line="360" w:lineRule="auto"/>
              <w:rPr>
                <w:color w:val="auto"/>
              </w:rPr>
            </w:pPr>
            <w:r>
              <w:rPr>
                <w:rFonts w:hint="eastAsia" w:ascii="宋体" w:hAnsi="宋体" w:cs="宋体"/>
                <w:color w:val="auto"/>
                <w:sz w:val="24"/>
              </w:rPr>
              <w:t>6、接收人：吴女士，联系电话：15825475513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Light"/>
                <w:color w:val="auto"/>
                <w:sz w:val="24"/>
              </w:rPr>
            </w:pPr>
            <w:r>
              <w:rPr>
                <w:rFonts w:hint="eastAsia" w:ascii="宋体" w:hAnsi="宋体" w:cs="Calibri Light"/>
                <w:color w:val="auto"/>
                <w:sz w:val="24"/>
              </w:rPr>
              <w:t>4</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Light"/>
                <w:color w:val="auto"/>
                <w:sz w:val="24"/>
              </w:rPr>
            </w:pPr>
            <w:r>
              <w:rPr>
                <w:rFonts w:hint="eastAsia" w:ascii="宋体" w:hAnsi="宋体" w:cs="宋体"/>
                <w:color w:val="auto"/>
                <w:sz w:val="24"/>
              </w:rPr>
              <w:t>投标文件的签章</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Light"/>
                <w:color w:val="auto"/>
                <w:sz w:val="24"/>
              </w:rPr>
            </w:pPr>
            <w:r>
              <w:rPr>
                <w:rFonts w:hint="eastAsia" w:ascii="宋体" w:hAnsi="宋体" w:cs="宋体"/>
                <w:color w:val="auto"/>
                <w:sz w:val="24"/>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Light"/>
                <w:color w:val="auto"/>
                <w:sz w:val="24"/>
              </w:rPr>
            </w:pPr>
            <w:r>
              <w:rPr>
                <w:rFonts w:hint="eastAsia" w:ascii="宋体" w:hAnsi="宋体" w:cs="Calibri Light"/>
                <w:color w:val="auto"/>
                <w:sz w:val="24"/>
              </w:rPr>
              <w:t>5</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Light"/>
                <w:color w:val="auto"/>
                <w:sz w:val="24"/>
              </w:rPr>
            </w:pPr>
            <w:r>
              <w:rPr>
                <w:rFonts w:hint="eastAsia" w:ascii="宋体" w:hAnsi="宋体" w:cs="宋体"/>
                <w:color w:val="auto"/>
                <w:sz w:val="24"/>
              </w:rPr>
              <w:t>投标文件的形式</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☑电子投标文件（包括“电子加密投标文件”和“备份投标文件”，在投标文件编制完成后同时生成）；</w:t>
            </w:r>
          </w:p>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（1）“电子加密投标文件”是指通过“政采云电子交易客户端”完成投标文件编制后生成并加密的数据电文形式的投标文件。</w:t>
            </w:r>
          </w:p>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（2）“备份投标文件”是指与“电子加密投标文件”同时生成的数据电文形式的电子文件（备份标书），其他方式编制的备份投标文件视为无效备份投标文件。</w:t>
            </w:r>
          </w:p>
          <w:p>
            <w:pPr>
              <w:pStyle w:val="19"/>
              <w:ind w:left="0" w:leftChars="0"/>
              <w:rPr>
                <w:rFonts w:eastAsiaTheme="majorEastAsia"/>
                <w:color w:val="auto"/>
              </w:rPr>
            </w:pPr>
            <w:r>
              <w:rPr>
                <w:rFonts w:hint="eastAsia" w:asciiTheme="majorEastAsia" w:hAnsiTheme="majorEastAsia" w:eastAsiaTheme="majorEastAsia" w:cstheme="majorEastAsia"/>
                <w:color w:val="auto"/>
                <w:sz w:val="24"/>
              </w:rPr>
              <w:t>（3）样品一套。</w:t>
            </w:r>
          </w:p>
          <w:p>
            <w:pPr>
              <w:spacing w:line="360" w:lineRule="auto"/>
              <w:rPr>
                <w:rFonts w:eastAsiaTheme="minorEastAsia"/>
                <w:color w:val="auto"/>
              </w:rPr>
            </w:pPr>
            <w:r>
              <w:rPr>
                <w:rFonts w:hint="eastAsia" w:asciiTheme="majorEastAsia" w:hAnsiTheme="majorEastAsia" w:eastAsiaTheme="majorEastAsia" w:cstheme="majorEastAsia"/>
                <w:color w:val="auto"/>
                <w:sz w:val="24"/>
              </w:rPr>
              <w:t>（4）中标后需提供纸质投标文件给招标代理机构作为备案存档，纸质投标文件系电子投标文件纸质版，两者内容应一致；数量为：资格证明文件</w:t>
            </w:r>
            <w:r>
              <w:rPr>
                <w:rFonts w:hint="eastAsia" w:asciiTheme="majorEastAsia" w:hAnsiTheme="majorEastAsia" w:eastAsiaTheme="majorEastAsia" w:cstheme="majorEastAsia"/>
                <w:b/>
                <w:bCs/>
                <w:color w:val="auto"/>
                <w:sz w:val="24"/>
              </w:rPr>
              <w:t>1</w:t>
            </w:r>
            <w:r>
              <w:rPr>
                <w:rFonts w:hint="eastAsia" w:asciiTheme="majorEastAsia" w:hAnsiTheme="majorEastAsia" w:eastAsiaTheme="majorEastAsia" w:cstheme="majorEastAsia"/>
                <w:color w:val="auto"/>
                <w:sz w:val="24"/>
              </w:rPr>
              <w:t>份；商务与技术文件</w:t>
            </w:r>
            <w:r>
              <w:rPr>
                <w:rFonts w:hint="eastAsia" w:asciiTheme="majorEastAsia" w:hAnsiTheme="majorEastAsia" w:eastAsiaTheme="majorEastAsia" w:cstheme="majorEastAsia"/>
                <w:b/>
                <w:bCs/>
                <w:color w:val="auto"/>
                <w:sz w:val="24"/>
              </w:rPr>
              <w:t>1</w:t>
            </w:r>
            <w:r>
              <w:rPr>
                <w:rFonts w:hint="eastAsia" w:asciiTheme="majorEastAsia" w:hAnsiTheme="majorEastAsia" w:eastAsiaTheme="majorEastAsia" w:cstheme="majorEastAsia"/>
                <w:color w:val="auto"/>
                <w:sz w:val="24"/>
              </w:rPr>
              <w:t>份；报价文件</w:t>
            </w:r>
            <w:r>
              <w:rPr>
                <w:rFonts w:hint="eastAsia" w:asciiTheme="majorEastAsia" w:hAnsiTheme="majorEastAsia" w:eastAsiaTheme="majorEastAsia" w:cstheme="majorEastAsia"/>
                <w:b/>
                <w:bCs/>
                <w:color w:val="auto"/>
                <w:sz w:val="24"/>
              </w:rPr>
              <w:t>1</w:t>
            </w:r>
            <w:r>
              <w:rPr>
                <w:rFonts w:hint="eastAsia" w:asciiTheme="majorEastAsia" w:hAnsiTheme="majorEastAsia" w:eastAsiaTheme="majorEastAsia" w:cstheme="majorEastAsia"/>
                <w:color w:val="auto"/>
                <w:sz w:val="24"/>
              </w:rPr>
              <w:t>份。邮寄到浙江省台州市椒江区爱华路18号新台州大厦206。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Light"/>
                <w:color w:val="auto"/>
                <w:sz w:val="24"/>
              </w:rPr>
            </w:pPr>
            <w:r>
              <w:rPr>
                <w:rFonts w:hint="eastAsia" w:asciiTheme="majorEastAsia" w:hAnsiTheme="majorEastAsia" w:eastAsiaTheme="majorEastAsia" w:cstheme="majorEastAsia"/>
                <w:color w:val="auto"/>
                <w:sz w:val="24"/>
              </w:rPr>
              <w:t>6</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Light"/>
                <w:color w:val="auto"/>
                <w:sz w:val="24"/>
              </w:rPr>
            </w:pPr>
            <w:r>
              <w:rPr>
                <w:rFonts w:hint="eastAsia" w:ascii="宋体" w:hAnsi="宋体" w:cs="宋体"/>
                <w:color w:val="auto"/>
                <w:sz w:val="24"/>
              </w:rPr>
              <w:t>投标文件份数</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（1）“电子加密投标文件”：在线上传递交、一份。</w:t>
            </w:r>
          </w:p>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 “备份投标文件”：密封包装后于投标截止时间前邮寄至招标代理处一份。</w:t>
            </w:r>
          </w:p>
          <w:p>
            <w:pPr>
              <w:pStyle w:val="19"/>
              <w:ind w:left="0" w:leftChars="0"/>
              <w:rPr>
                <w:color w:val="auto"/>
              </w:rPr>
            </w:pPr>
            <w:r>
              <w:rPr>
                <w:rFonts w:hint="eastAsia" w:asciiTheme="majorEastAsia" w:hAnsiTheme="majorEastAsia" w:eastAsiaTheme="majorEastAsia" w:cstheme="majorEastAsia"/>
                <w:color w:val="auto"/>
                <w:sz w:val="24"/>
              </w:rPr>
              <w:t>（3）样品一套。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Light"/>
                <w:color w:val="auto"/>
                <w:sz w:val="24"/>
              </w:rPr>
            </w:pPr>
            <w:r>
              <w:rPr>
                <w:rFonts w:hint="eastAsia" w:ascii="宋体" w:hAnsi="宋体" w:cs="Calibri Light"/>
                <w:color w:val="auto"/>
                <w:sz w:val="24"/>
              </w:rPr>
              <w:t>7</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Light"/>
                <w:color w:val="auto"/>
                <w:sz w:val="24"/>
              </w:rPr>
            </w:pPr>
            <w:r>
              <w:rPr>
                <w:rFonts w:hint="eastAsia" w:ascii="宋体" w:hAnsi="宋体" w:cs="宋体"/>
                <w:color w:val="auto"/>
                <w:sz w:val="24"/>
              </w:rPr>
              <w:t>投标文件的上传和递交</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（1）“电子加密投标文件”的上传、递交：</w:t>
            </w:r>
          </w:p>
          <w:p>
            <w:pPr>
              <w:spacing w:line="360" w:lineRule="auto"/>
              <w:rPr>
                <w:rFonts w:ascii="宋体" w:hAnsi="宋体" w:cs="宋体"/>
                <w:color w:val="auto"/>
                <w:sz w:val="24"/>
              </w:rPr>
            </w:pPr>
            <w:r>
              <w:rPr>
                <w:rFonts w:hint="eastAsia" w:ascii="宋体" w:hAnsi="宋体" w:cs="宋体"/>
                <w:color w:val="auto"/>
                <w:sz w:val="24"/>
              </w:rPr>
              <w:t>a.投标供应商应在投标截止时间前将“电子加密投标文件”成功上传递交至“政府采购云平台”，否则投标无效。</w:t>
            </w:r>
          </w:p>
          <w:p>
            <w:pPr>
              <w:spacing w:line="360" w:lineRule="auto"/>
              <w:rPr>
                <w:rFonts w:ascii="宋体" w:hAnsi="宋体" w:cs="宋体"/>
                <w:color w:val="auto"/>
                <w:sz w:val="24"/>
              </w:rPr>
            </w:pPr>
            <w:r>
              <w:rPr>
                <w:rFonts w:hint="eastAsia" w:ascii="宋体" w:hAnsi="宋体" w:cs="宋体"/>
                <w:color w:val="auto"/>
                <w:sz w:val="24"/>
              </w:rPr>
              <w:t>b.“电子加密投标文件”成功上传递交后，供应商可自行打印投标文件接收回执。</w:t>
            </w:r>
          </w:p>
          <w:p>
            <w:pPr>
              <w:spacing w:line="360" w:lineRule="auto"/>
              <w:rPr>
                <w:rFonts w:ascii="宋体" w:hAnsi="宋体" w:cs="宋体"/>
                <w:color w:val="auto"/>
                <w:sz w:val="24"/>
              </w:rPr>
            </w:pPr>
            <w:r>
              <w:rPr>
                <w:rFonts w:hint="eastAsia" w:ascii="宋体" w:hAnsi="宋体" w:cs="宋体"/>
                <w:color w:val="auto"/>
                <w:sz w:val="24"/>
              </w:rPr>
              <w:t>（2）“备份投标文件”的密封包装、递交：</w:t>
            </w:r>
          </w:p>
          <w:p>
            <w:pPr>
              <w:spacing w:line="360" w:lineRule="auto"/>
              <w:rPr>
                <w:rFonts w:ascii="宋体" w:hAnsi="宋体" w:cs="宋体"/>
                <w:color w:val="auto"/>
                <w:sz w:val="24"/>
              </w:rPr>
            </w:pPr>
            <w:r>
              <w:rPr>
                <w:rFonts w:hint="eastAsia" w:ascii="宋体" w:hAnsi="宋体" w:cs="宋体"/>
                <w:color w:val="auto"/>
                <w:sz w:val="24"/>
              </w:rPr>
              <w:t>a. “备份投标文件”以U盘的形式存储，并密封包装，在包装上标注投标项目名称、投标单位名称并加盖公章。没有密封包装或者（以收到邮件时间为准）逾期邮寄送达至投标地点的将不予接收；</w:t>
            </w:r>
          </w:p>
          <w:p>
            <w:pPr>
              <w:spacing w:line="360" w:lineRule="auto"/>
              <w:rPr>
                <w:rFonts w:ascii="宋体" w:hAnsi="宋体" w:cs="宋体"/>
                <w:color w:val="auto"/>
                <w:sz w:val="24"/>
              </w:rPr>
            </w:pPr>
            <w:r>
              <w:rPr>
                <w:rFonts w:ascii="宋体" w:hAnsi="宋体" w:cs="宋体"/>
                <w:color w:val="auto"/>
                <w:sz w:val="24"/>
              </w:rPr>
              <w:t>b</w:t>
            </w:r>
            <w:r>
              <w:rPr>
                <w:rFonts w:hint="eastAsia" w:ascii="宋体" w:hAnsi="宋体" w:cs="宋体"/>
                <w:color w:val="auto"/>
                <w:sz w:val="24"/>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360" w:lineRule="auto"/>
              <w:rPr>
                <w:rFonts w:ascii="宋体" w:hAnsi="宋体" w:cs="宋体"/>
                <w:b/>
                <w:bCs/>
                <w:color w:val="auto"/>
                <w:sz w:val="24"/>
              </w:rPr>
            </w:pPr>
            <w:r>
              <w:rPr>
                <w:rFonts w:hint="eastAsia" w:ascii="宋体" w:hAnsi="宋体" w:cs="宋体"/>
                <w:b/>
                <w:bCs/>
                <w:color w:val="auto"/>
                <w:sz w:val="24"/>
              </w:rPr>
              <w:t xml:space="preserve">注： </w:t>
            </w:r>
          </w:p>
          <w:p>
            <w:pPr>
              <w:spacing w:line="360" w:lineRule="auto"/>
              <w:rPr>
                <w:rFonts w:ascii="宋体" w:hAnsi="宋体" w:cs="Calibri Light"/>
                <w:b/>
                <w:bCs/>
                <w:color w:val="auto"/>
                <w:sz w:val="24"/>
              </w:rPr>
            </w:pPr>
            <w:r>
              <w:rPr>
                <w:rFonts w:hint="eastAsia" w:ascii="宋体" w:hAnsi="宋体" w:cs="Calibri Light"/>
                <w:b/>
                <w:bCs/>
                <w:color w:val="auto"/>
                <w:sz w:val="24"/>
              </w:rPr>
              <w:t>邮寄地址：浙江省台州市椒江区爱华路18号新台州大厦</w:t>
            </w:r>
            <w:r>
              <w:rPr>
                <w:rFonts w:ascii="宋体" w:hAnsi="宋体" w:cs="Calibri Light"/>
                <w:b/>
                <w:bCs/>
                <w:color w:val="auto"/>
                <w:sz w:val="24"/>
              </w:rPr>
              <w:t>206</w:t>
            </w:r>
            <w:r>
              <w:rPr>
                <w:rFonts w:hint="eastAsia" w:ascii="宋体" w:hAnsi="宋体" w:cs="Calibri Light"/>
                <w:b/>
                <w:bCs/>
                <w:color w:val="auto"/>
                <w:sz w:val="24"/>
              </w:rPr>
              <w:t>；</w:t>
            </w:r>
          </w:p>
          <w:p>
            <w:pPr>
              <w:spacing w:line="360" w:lineRule="auto"/>
              <w:rPr>
                <w:rFonts w:ascii="宋体" w:hAnsi="宋体" w:cs="Calibri Light"/>
                <w:b/>
                <w:bCs/>
                <w:color w:val="auto"/>
                <w:sz w:val="24"/>
              </w:rPr>
            </w:pPr>
            <w:r>
              <w:rPr>
                <w:rFonts w:hint="eastAsia" w:ascii="宋体" w:hAnsi="宋体" w:cs="Calibri Light"/>
                <w:b/>
                <w:bCs/>
                <w:color w:val="auto"/>
                <w:sz w:val="24"/>
              </w:rPr>
              <w:t>收件人：吴女士</w:t>
            </w:r>
          </w:p>
          <w:p>
            <w:pPr>
              <w:spacing w:line="360" w:lineRule="auto"/>
              <w:rPr>
                <w:rFonts w:ascii="宋体" w:hAnsi="宋体" w:cs="Calibri Light"/>
                <w:b/>
                <w:bCs/>
                <w:color w:val="auto"/>
                <w:sz w:val="24"/>
              </w:rPr>
            </w:pPr>
            <w:r>
              <w:rPr>
                <w:rFonts w:hint="eastAsia" w:ascii="宋体" w:hAnsi="宋体" w:cs="Calibri Light"/>
                <w:b/>
                <w:bCs/>
                <w:color w:val="auto"/>
                <w:sz w:val="24"/>
              </w:rPr>
              <w:t>联系电话：15825475513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Calibri Light"/>
                <w:color w:val="auto"/>
                <w:sz w:val="24"/>
              </w:rPr>
            </w:pPr>
            <w:r>
              <w:rPr>
                <w:rFonts w:hint="eastAsia" w:ascii="宋体" w:hAnsi="宋体" w:cs="Calibri Light"/>
                <w:color w:val="auto"/>
                <w:sz w:val="24"/>
              </w:rPr>
              <w:t>8</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电子加密投标文件的解密和异常情况处理</w:t>
            </w:r>
          </w:p>
          <w:p>
            <w:pPr>
              <w:spacing w:line="360" w:lineRule="auto"/>
              <w:jc w:val="center"/>
              <w:rPr>
                <w:rFonts w:ascii="宋体" w:hAnsi="宋体" w:cs="Calibri Light"/>
                <w:color w:val="auto"/>
                <w:sz w:val="24"/>
              </w:rPr>
            </w:pP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（1）开标后，采购组织机构将向各投标供应商发出“电子加密投标文件”的解密通知，各投标供应商代表应当在接到解密通知后30分钟内自行完成“电子加密投标文件”的在线解密。</w:t>
            </w:r>
          </w:p>
          <w:p>
            <w:pPr>
              <w:spacing w:line="360" w:lineRule="auto"/>
              <w:rPr>
                <w:rFonts w:ascii="宋体" w:hAnsi="宋体" w:cs="宋体"/>
                <w:color w:val="auto"/>
                <w:sz w:val="24"/>
              </w:rPr>
            </w:pPr>
            <w:r>
              <w:rPr>
                <w:rFonts w:hint="eastAsia" w:ascii="宋体" w:hAnsi="宋体" w:cs="宋体"/>
                <w:color w:val="auto"/>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ascii="宋体" w:hAnsi="宋体" w:cs="Calibri Light"/>
                <w:color w:val="auto"/>
                <w:sz w:val="24"/>
              </w:rPr>
            </w:pPr>
            <w:r>
              <w:rPr>
                <w:rFonts w:hint="eastAsia" w:ascii="宋体" w:hAnsi="宋体" w:cs="宋体"/>
                <w:color w:val="auto"/>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asciiTheme="majorEastAsia" w:hAnsiTheme="majorEastAsia" w:eastAsiaTheme="majorEastAsia" w:cstheme="majorEastAsia"/>
                <w:color w:val="auto"/>
                <w:sz w:val="24"/>
              </w:rPr>
              <w:t>9</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投标有效期</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投标有效期为开标后90天，</w:t>
            </w:r>
            <w:r>
              <w:rPr>
                <w:rFonts w:hint="eastAsia" w:asciiTheme="majorEastAsia" w:hAnsiTheme="majorEastAsia" w:eastAsiaTheme="majorEastAsia" w:cstheme="majorEastAsia"/>
                <w:color w:val="auto"/>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asciiTheme="majorEastAsia" w:hAnsiTheme="majorEastAsia" w:eastAsiaTheme="majorEastAsia" w:cstheme="majorEastAsia"/>
                <w:color w:val="auto"/>
                <w:sz w:val="24"/>
              </w:rPr>
              <w:t>10</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投标文件递交</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截止时间：2022年8月</w:t>
            </w:r>
            <w:r>
              <w:rPr>
                <w:rFonts w:hint="eastAsia" w:asciiTheme="majorEastAsia" w:hAnsiTheme="majorEastAsia" w:eastAsiaTheme="majorEastAsia" w:cstheme="majorEastAsia"/>
                <w:color w:val="auto"/>
                <w:sz w:val="24"/>
                <w:lang w:val="en-US" w:eastAsia="zh-CN"/>
              </w:rPr>
              <w:t>12</w:t>
            </w:r>
            <w:r>
              <w:rPr>
                <w:rFonts w:hint="eastAsia" w:asciiTheme="majorEastAsia" w:hAnsiTheme="majorEastAsia" w:eastAsiaTheme="majorEastAsia" w:cstheme="majorEastAsia"/>
                <w:color w:val="auto"/>
                <w:sz w:val="24"/>
              </w:rPr>
              <w:t>日09时00分（北京时间）</w:t>
            </w:r>
          </w:p>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递交地点：详见公告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asciiTheme="majorEastAsia" w:hAnsiTheme="majorEastAsia" w:eastAsiaTheme="majorEastAsia" w:cstheme="majorEastAsia"/>
                <w:color w:val="auto"/>
                <w:sz w:val="24"/>
              </w:rPr>
              <w:t>11</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开标时间及地点</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时间：2022年8月</w:t>
            </w:r>
            <w:r>
              <w:rPr>
                <w:rFonts w:hint="eastAsia" w:asciiTheme="majorEastAsia" w:hAnsiTheme="majorEastAsia" w:eastAsiaTheme="majorEastAsia" w:cstheme="majorEastAsia"/>
                <w:color w:val="auto"/>
                <w:sz w:val="24"/>
                <w:lang w:val="en-US" w:eastAsia="zh-CN"/>
              </w:rPr>
              <w:t>12</w:t>
            </w:r>
            <w:r>
              <w:rPr>
                <w:rFonts w:hint="eastAsia" w:asciiTheme="majorEastAsia" w:hAnsiTheme="majorEastAsia" w:eastAsiaTheme="majorEastAsia" w:cstheme="majorEastAsia"/>
                <w:color w:val="auto"/>
                <w:sz w:val="24"/>
              </w:rPr>
              <w:t>日09时00分（北京时间）</w:t>
            </w:r>
            <w:r>
              <w:rPr>
                <w:rFonts w:hint="eastAsia" w:asciiTheme="majorEastAsia" w:hAnsiTheme="majorEastAsia" w:eastAsiaTheme="majorEastAsia" w:cstheme="majorEastAsia"/>
                <w:color w:val="auto"/>
                <w:sz w:val="24"/>
              </w:rPr>
              <w:t xml:space="preserve">         </w:t>
            </w:r>
          </w:p>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地点：详见公告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asciiTheme="majorEastAsia" w:hAnsiTheme="majorEastAsia" w:eastAsiaTheme="majorEastAsia" w:cstheme="majorEastAsia"/>
                <w:color w:val="auto"/>
                <w:sz w:val="24"/>
              </w:rPr>
              <w:t>12</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投标保证金</w:t>
            </w:r>
          </w:p>
        </w:tc>
        <w:tc>
          <w:tcPr>
            <w:tcW w:w="6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asciiTheme="majorEastAsia" w:hAnsiTheme="majorEastAsia" w:eastAsiaTheme="majorEastAsia" w:cstheme="majorEastAsia"/>
                <w:color w:val="auto"/>
                <w:sz w:val="24"/>
              </w:rPr>
              <w:t>13</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履约保证金</w:t>
            </w:r>
          </w:p>
        </w:tc>
        <w:tc>
          <w:tcPr>
            <w:tcW w:w="6209" w:type="dxa"/>
            <w:tcBorders>
              <w:top w:val="single" w:color="auto" w:sz="4" w:space="0"/>
              <w:left w:val="single" w:color="auto" w:sz="4" w:space="0"/>
              <w:bottom w:val="single" w:color="auto" w:sz="4" w:space="0"/>
              <w:right w:val="single" w:color="auto" w:sz="4" w:space="0"/>
            </w:tcBorders>
            <w:vAlign w:val="center"/>
          </w:tcPr>
          <w:p>
            <w:pPr>
              <w:pStyle w:val="18"/>
              <w:rPr>
                <w:rFonts w:ascii="宋体" w:hAnsi="宋体" w:cs="宋体"/>
                <w:color w:val="auto"/>
                <w:sz w:val="24"/>
              </w:rPr>
            </w:pPr>
            <w:r>
              <w:rPr>
                <w:rFonts w:hint="eastAsia" w:asciiTheme="majorEastAsia" w:hAnsiTheme="majorEastAsia" w:eastAsiaTheme="majorEastAsia" w:cstheme="majorEastAsia"/>
                <w:color w:val="auto"/>
                <w:sz w:val="24"/>
              </w:rPr>
              <w:t>履约保证金为合同金额的1%，签订合同后 3 个工作日内向采购人提交（履约保证金可采用支票、汇票、保函、担保等形式），验收合格后无息退还。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asciiTheme="majorEastAsia" w:hAnsiTheme="majorEastAsia" w:eastAsiaTheme="majorEastAsia" w:cstheme="majorEastAsia"/>
                <w:color w:val="auto"/>
                <w:sz w:val="24"/>
              </w:rPr>
              <w:t>14</w:t>
            </w:r>
          </w:p>
        </w:tc>
        <w:tc>
          <w:tcPr>
            <w:tcW w:w="22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lang w:val="zh-CN"/>
              </w:rPr>
            </w:pPr>
            <w:r>
              <w:rPr>
                <w:rFonts w:hint="eastAsia" w:asciiTheme="majorEastAsia" w:hAnsiTheme="majorEastAsia" w:eastAsiaTheme="majorEastAsia" w:cstheme="majorEastAsia"/>
                <w:color w:val="auto"/>
                <w:sz w:val="24"/>
                <w:lang w:val="zh-CN"/>
              </w:rPr>
              <w:t>实质性条款</w:t>
            </w:r>
          </w:p>
        </w:tc>
        <w:tc>
          <w:tcPr>
            <w:tcW w:w="6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Theme="majorEastAsia" w:hAnsiTheme="majorEastAsia" w:eastAsiaTheme="majorEastAsia" w:cstheme="majorEastAsia"/>
                <w:color w:val="auto"/>
                <w:kern w:val="0"/>
                <w:sz w:val="24"/>
                <w:lang w:val="zh-CN"/>
              </w:rPr>
            </w:pPr>
            <w:r>
              <w:rPr>
                <w:rFonts w:hint="eastAsia" w:asciiTheme="majorEastAsia" w:hAnsiTheme="majorEastAsia" w:eastAsiaTheme="majorEastAsia" w:cstheme="majorEastAsia"/>
                <w:color w:val="auto"/>
                <w:kern w:val="0"/>
                <w:sz w:val="24"/>
                <w:lang w:val="zh-CN"/>
              </w:rPr>
              <w:t>带“</w:t>
            </w:r>
            <w:r>
              <w:rPr>
                <w:rFonts w:hint="eastAsia" w:asciiTheme="majorEastAsia" w:hAnsiTheme="majorEastAsia" w:eastAsiaTheme="majorEastAsia" w:cstheme="majorEastAsia"/>
                <w:bCs/>
                <w:color w:val="auto"/>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asciiTheme="majorEastAsia" w:hAnsiTheme="majorEastAsia" w:eastAsiaTheme="majorEastAsia" w:cstheme="majorEastAsia"/>
                <w:color w:val="auto"/>
                <w:sz w:val="24"/>
              </w:rPr>
              <w:t>15</w:t>
            </w:r>
          </w:p>
        </w:tc>
        <w:tc>
          <w:tcPr>
            <w:tcW w:w="22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解释权</w:t>
            </w:r>
          </w:p>
        </w:tc>
        <w:tc>
          <w:tcPr>
            <w:tcW w:w="6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本招标文件解释权属于采购人和</w:t>
            </w:r>
            <w:r>
              <w:rPr>
                <w:rFonts w:hint="eastAsia" w:cs="Arial" w:asciiTheme="minorEastAsia" w:hAnsiTheme="minorEastAsia" w:eastAsiaTheme="minorEastAsia"/>
                <w:color w:val="auto"/>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asciiTheme="majorEastAsia" w:hAnsiTheme="majorEastAsia" w:eastAsiaTheme="majorEastAsia" w:cstheme="majorEastAsia"/>
                <w:color w:val="auto"/>
                <w:sz w:val="24"/>
              </w:rPr>
              <w:t>16</w:t>
            </w:r>
          </w:p>
        </w:tc>
        <w:tc>
          <w:tcPr>
            <w:tcW w:w="22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招标代理费</w:t>
            </w:r>
          </w:p>
        </w:tc>
        <w:tc>
          <w:tcPr>
            <w:tcW w:w="62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以中标价为基数，按计价格〔2002〕1980号文件、发改办价格〔2003〕857号、发改价格〔2011〕534号收费标准的75%计取，不足6000元的，按6000元计取。由中标人在领取中标通知书时一次性支付给招标代理机构。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宋体" w:hAnsi="宋体" w:cs="宋体"/>
                <w:color w:val="auto"/>
                <w:sz w:val="24"/>
              </w:rPr>
              <w:t>1</w:t>
            </w:r>
            <w:r>
              <w:rPr>
                <w:rFonts w:ascii="宋体" w:hAnsi="宋体" w:cs="宋体"/>
                <w:color w:val="auto"/>
                <w:sz w:val="24"/>
              </w:rPr>
              <w:t>7</w:t>
            </w:r>
          </w:p>
        </w:tc>
        <w:tc>
          <w:tcPr>
            <w:tcW w:w="22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其他</w:t>
            </w:r>
            <w:r>
              <w:rPr>
                <w:rFonts w:ascii="宋体" w:hAnsi="宋体" w:cs="宋体"/>
                <w:color w:val="auto"/>
                <w:sz w:val="24"/>
              </w:rPr>
              <w:t>事项</w:t>
            </w:r>
          </w:p>
        </w:tc>
        <w:tc>
          <w:tcPr>
            <w:tcW w:w="62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中标供应商如有融资需求，可使用以下银行的政采贷服务。</w:t>
            </w:r>
          </w:p>
          <w:tbl>
            <w:tblPr>
              <w:tblStyle w:val="36"/>
              <w:tblW w:w="5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1227"/>
              <w:gridCol w:w="109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pPr>
                    <w:jc w:val="center"/>
                    <w:rPr>
                      <w:rFonts w:ascii="Calibri" w:hAnsi="Calibri"/>
                      <w:color w:val="auto"/>
                      <w:szCs w:val="21"/>
                    </w:rPr>
                  </w:pPr>
                </w:p>
              </w:tc>
              <w:tc>
                <w:tcPr>
                  <w:tcW w:w="1227" w:type="dxa"/>
                  <w:vAlign w:val="center"/>
                </w:tcPr>
                <w:p>
                  <w:pPr>
                    <w:jc w:val="center"/>
                    <w:rPr>
                      <w:rFonts w:ascii="Calibri" w:hAnsi="Calibri"/>
                      <w:color w:val="auto"/>
                      <w:szCs w:val="21"/>
                    </w:rPr>
                  </w:pPr>
                  <w:r>
                    <w:rPr>
                      <w:rFonts w:hint="eastAsia" w:ascii="Calibri" w:hAnsi="Calibri"/>
                      <w:color w:val="auto"/>
                      <w:szCs w:val="21"/>
                    </w:rPr>
                    <w:t>贷款年利率</w:t>
                  </w:r>
                </w:p>
              </w:tc>
              <w:tc>
                <w:tcPr>
                  <w:tcW w:w="1090" w:type="dxa"/>
                  <w:vAlign w:val="center"/>
                </w:tcPr>
                <w:p>
                  <w:pPr>
                    <w:jc w:val="center"/>
                    <w:rPr>
                      <w:rFonts w:ascii="Calibri" w:hAnsi="Calibri"/>
                      <w:color w:val="auto"/>
                      <w:szCs w:val="21"/>
                    </w:rPr>
                  </w:pPr>
                  <w:r>
                    <w:rPr>
                      <w:rFonts w:hint="eastAsia" w:ascii="Calibri" w:hAnsi="Calibri"/>
                      <w:color w:val="auto"/>
                      <w:szCs w:val="21"/>
                    </w:rPr>
                    <w:t>联系人</w:t>
                  </w:r>
                </w:p>
              </w:tc>
              <w:tc>
                <w:tcPr>
                  <w:tcW w:w="1499" w:type="dxa"/>
                  <w:vAlign w:val="center"/>
                </w:tcPr>
                <w:p>
                  <w:pPr>
                    <w:jc w:val="center"/>
                    <w:rPr>
                      <w:rFonts w:ascii="Calibri" w:hAnsi="Calibri"/>
                      <w:color w:val="auto"/>
                      <w:szCs w:val="21"/>
                    </w:rPr>
                  </w:pPr>
                  <w:r>
                    <w:rPr>
                      <w:rFonts w:hint="eastAsia" w:ascii="Calibri" w:hAnsi="Calibri"/>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82" w:type="dxa"/>
                  <w:vAlign w:val="center"/>
                </w:tcPr>
                <w:p>
                  <w:pPr>
                    <w:jc w:val="center"/>
                    <w:rPr>
                      <w:rFonts w:ascii="Calibri" w:hAnsi="Calibri"/>
                      <w:color w:val="auto"/>
                      <w:szCs w:val="21"/>
                    </w:rPr>
                  </w:pPr>
                  <w:r>
                    <w:rPr>
                      <w:rFonts w:hint="eastAsia" w:ascii="Calibri" w:hAnsi="Calibri"/>
                      <w:color w:val="auto"/>
                      <w:szCs w:val="21"/>
                    </w:rPr>
                    <w:t>中国工商银行</w:t>
                  </w:r>
                </w:p>
              </w:tc>
              <w:tc>
                <w:tcPr>
                  <w:tcW w:w="1227" w:type="dxa"/>
                  <w:vAlign w:val="center"/>
                </w:tcPr>
                <w:p>
                  <w:pPr>
                    <w:jc w:val="center"/>
                    <w:rPr>
                      <w:rFonts w:ascii="Calibri" w:hAnsi="Calibri"/>
                      <w:color w:val="auto"/>
                      <w:szCs w:val="21"/>
                    </w:rPr>
                  </w:pPr>
                  <w:r>
                    <w:rPr>
                      <w:rFonts w:hint="eastAsia" w:ascii="Calibri" w:hAnsi="Calibri"/>
                      <w:color w:val="auto"/>
                      <w:szCs w:val="21"/>
                    </w:rPr>
                    <w:t>3.8%起</w:t>
                  </w:r>
                </w:p>
              </w:tc>
              <w:tc>
                <w:tcPr>
                  <w:tcW w:w="1090" w:type="dxa"/>
                  <w:vAlign w:val="center"/>
                </w:tcPr>
                <w:p>
                  <w:pPr>
                    <w:jc w:val="center"/>
                    <w:rPr>
                      <w:rFonts w:ascii="Calibri" w:hAnsi="Calibri"/>
                      <w:color w:val="auto"/>
                      <w:szCs w:val="21"/>
                    </w:rPr>
                  </w:pPr>
                  <w:r>
                    <w:rPr>
                      <w:rFonts w:hint="eastAsia" w:ascii="Calibri" w:hAnsi="Calibri"/>
                      <w:color w:val="auto"/>
                      <w:szCs w:val="21"/>
                    </w:rPr>
                    <w:t>王霖</w:t>
                  </w:r>
                </w:p>
              </w:tc>
              <w:tc>
                <w:tcPr>
                  <w:tcW w:w="1499" w:type="dxa"/>
                  <w:vAlign w:val="center"/>
                </w:tcPr>
                <w:p>
                  <w:pPr>
                    <w:jc w:val="center"/>
                    <w:rPr>
                      <w:rFonts w:ascii="Calibri" w:hAnsi="Calibri"/>
                      <w:color w:val="auto"/>
                      <w:szCs w:val="21"/>
                    </w:rPr>
                  </w:pPr>
                  <w:r>
                    <w:rPr>
                      <w:rFonts w:hint="eastAsia" w:ascii="Calibri" w:hAnsi="Calibri"/>
                      <w:color w:val="auto"/>
                      <w:szCs w:val="21"/>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pPr>
                    <w:jc w:val="center"/>
                    <w:rPr>
                      <w:rFonts w:ascii="Calibri" w:hAnsi="Calibri"/>
                      <w:color w:val="auto"/>
                      <w:szCs w:val="21"/>
                    </w:rPr>
                  </w:pPr>
                  <w:r>
                    <w:rPr>
                      <w:rFonts w:hint="eastAsia" w:ascii="Calibri" w:hAnsi="Calibri"/>
                      <w:color w:val="auto"/>
                      <w:szCs w:val="21"/>
                    </w:rPr>
                    <w:t>中国农业银行</w:t>
                  </w:r>
                </w:p>
              </w:tc>
              <w:tc>
                <w:tcPr>
                  <w:tcW w:w="1227" w:type="dxa"/>
                  <w:vAlign w:val="center"/>
                </w:tcPr>
                <w:p>
                  <w:pPr>
                    <w:jc w:val="center"/>
                    <w:rPr>
                      <w:rFonts w:ascii="Calibri" w:hAnsi="Calibri"/>
                      <w:color w:val="auto"/>
                      <w:szCs w:val="21"/>
                    </w:rPr>
                  </w:pPr>
                  <w:r>
                    <w:rPr>
                      <w:rFonts w:hint="eastAsia" w:ascii="Calibri" w:hAnsi="Calibri"/>
                      <w:color w:val="auto"/>
                      <w:szCs w:val="21"/>
                    </w:rPr>
                    <w:t>3.8%起</w:t>
                  </w:r>
                </w:p>
              </w:tc>
              <w:tc>
                <w:tcPr>
                  <w:tcW w:w="1090" w:type="dxa"/>
                  <w:vAlign w:val="center"/>
                </w:tcPr>
                <w:p>
                  <w:pPr>
                    <w:jc w:val="center"/>
                    <w:rPr>
                      <w:rFonts w:ascii="Calibri" w:hAnsi="Calibri"/>
                      <w:color w:val="auto"/>
                      <w:szCs w:val="21"/>
                    </w:rPr>
                  </w:pPr>
                  <w:r>
                    <w:rPr>
                      <w:rFonts w:hint="eastAsia" w:ascii="Calibri" w:hAnsi="Calibri"/>
                      <w:color w:val="auto"/>
                      <w:szCs w:val="21"/>
                    </w:rPr>
                    <w:t>龚盛</w:t>
                  </w:r>
                </w:p>
              </w:tc>
              <w:tc>
                <w:tcPr>
                  <w:tcW w:w="1499" w:type="dxa"/>
                  <w:vAlign w:val="center"/>
                </w:tcPr>
                <w:p>
                  <w:pPr>
                    <w:jc w:val="center"/>
                    <w:rPr>
                      <w:rFonts w:ascii="Calibri" w:hAnsi="Calibri"/>
                      <w:color w:val="auto"/>
                      <w:szCs w:val="21"/>
                    </w:rPr>
                  </w:pPr>
                  <w:r>
                    <w:rPr>
                      <w:rFonts w:hint="eastAsia" w:ascii="Calibri" w:hAnsi="Calibri"/>
                      <w:color w:val="auto"/>
                      <w:szCs w:val="21"/>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pPr>
                    <w:jc w:val="center"/>
                    <w:rPr>
                      <w:rFonts w:ascii="Calibri" w:hAnsi="Calibri"/>
                      <w:color w:val="auto"/>
                      <w:szCs w:val="21"/>
                    </w:rPr>
                  </w:pPr>
                  <w:r>
                    <w:rPr>
                      <w:rFonts w:hint="eastAsia" w:ascii="Calibri" w:hAnsi="Calibri"/>
                      <w:color w:val="auto"/>
                      <w:szCs w:val="21"/>
                    </w:rPr>
                    <w:t>中国建设银行</w:t>
                  </w:r>
                </w:p>
              </w:tc>
              <w:tc>
                <w:tcPr>
                  <w:tcW w:w="1227" w:type="dxa"/>
                  <w:vAlign w:val="center"/>
                </w:tcPr>
                <w:p>
                  <w:pPr>
                    <w:jc w:val="center"/>
                    <w:rPr>
                      <w:rFonts w:ascii="Calibri" w:hAnsi="Calibri"/>
                      <w:color w:val="auto"/>
                      <w:szCs w:val="21"/>
                    </w:rPr>
                  </w:pPr>
                  <w:r>
                    <w:rPr>
                      <w:rFonts w:hint="eastAsia" w:ascii="Calibri" w:hAnsi="Calibri"/>
                      <w:color w:val="auto"/>
                      <w:szCs w:val="21"/>
                    </w:rPr>
                    <w:t>3.8%起</w:t>
                  </w:r>
                </w:p>
              </w:tc>
              <w:tc>
                <w:tcPr>
                  <w:tcW w:w="1090" w:type="dxa"/>
                  <w:vAlign w:val="center"/>
                </w:tcPr>
                <w:p>
                  <w:pPr>
                    <w:jc w:val="center"/>
                    <w:rPr>
                      <w:rFonts w:ascii="Calibri" w:hAnsi="Calibri"/>
                      <w:color w:val="auto"/>
                      <w:szCs w:val="21"/>
                    </w:rPr>
                  </w:pPr>
                  <w:r>
                    <w:rPr>
                      <w:rFonts w:hint="eastAsia" w:ascii="Calibri" w:hAnsi="Calibri"/>
                      <w:color w:val="auto"/>
                      <w:szCs w:val="21"/>
                    </w:rPr>
                    <w:t>梅晶晶</w:t>
                  </w:r>
                </w:p>
              </w:tc>
              <w:tc>
                <w:tcPr>
                  <w:tcW w:w="1499" w:type="dxa"/>
                  <w:vAlign w:val="center"/>
                </w:tcPr>
                <w:p>
                  <w:pPr>
                    <w:jc w:val="center"/>
                    <w:rPr>
                      <w:rFonts w:ascii="Calibri" w:hAnsi="Calibri"/>
                      <w:color w:val="auto"/>
                      <w:szCs w:val="21"/>
                    </w:rPr>
                  </w:pPr>
                  <w:r>
                    <w:rPr>
                      <w:rFonts w:hint="eastAsia" w:ascii="Calibri" w:hAnsi="Calibri"/>
                      <w:color w:val="auto"/>
                      <w:szCs w:val="21"/>
                    </w:rPr>
                    <w:t>88525339</w:t>
                  </w:r>
                </w:p>
                <w:p>
                  <w:pPr>
                    <w:jc w:val="center"/>
                    <w:rPr>
                      <w:rFonts w:ascii="Calibri" w:hAnsi="Calibri"/>
                      <w:color w:val="auto"/>
                      <w:szCs w:val="21"/>
                    </w:rPr>
                  </w:pPr>
                  <w:r>
                    <w:rPr>
                      <w:rFonts w:hint="eastAsia" w:ascii="Calibri" w:hAnsi="Calibri"/>
                      <w:color w:val="auto"/>
                      <w:szCs w:val="21"/>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pPr>
                    <w:jc w:val="center"/>
                    <w:rPr>
                      <w:rFonts w:ascii="Calibri" w:hAnsi="Calibri"/>
                      <w:color w:val="auto"/>
                      <w:szCs w:val="21"/>
                    </w:rPr>
                  </w:pPr>
                  <w:r>
                    <w:rPr>
                      <w:rFonts w:hint="eastAsia" w:ascii="Calibri" w:hAnsi="Calibri"/>
                      <w:color w:val="auto"/>
                      <w:szCs w:val="21"/>
                    </w:rPr>
                    <w:t>中国银行</w:t>
                  </w:r>
                </w:p>
              </w:tc>
              <w:tc>
                <w:tcPr>
                  <w:tcW w:w="1227" w:type="dxa"/>
                  <w:vAlign w:val="center"/>
                </w:tcPr>
                <w:p>
                  <w:pPr>
                    <w:jc w:val="center"/>
                    <w:rPr>
                      <w:rFonts w:ascii="Calibri" w:hAnsi="Calibri"/>
                      <w:color w:val="auto"/>
                      <w:szCs w:val="21"/>
                    </w:rPr>
                  </w:pPr>
                  <w:r>
                    <w:rPr>
                      <w:rFonts w:hint="eastAsia" w:ascii="Calibri" w:hAnsi="Calibri"/>
                      <w:color w:val="auto"/>
                      <w:szCs w:val="21"/>
                    </w:rPr>
                    <w:t>3.75%起</w:t>
                  </w:r>
                </w:p>
              </w:tc>
              <w:tc>
                <w:tcPr>
                  <w:tcW w:w="1090" w:type="dxa"/>
                  <w:vAlign w:val="center"/>
                </w:tcPr>
                <w:p>
                  <w:pPr>
                    <w:jc w:val="center"/>
                    <w:rPr>
                      <w:rFonts w:ascii="Calibri" w:hAnsi="Calibri"/>
                      <w:color w:val="auto"/>
                      <w:szCs w:val="21"/>
                    </w:rPr>
                  </w:pPr>
                  <w:r>
                    <w:rPr>
                      <w:rFonts w:hint="eastAsia" w:ascii="Calibri" w:hAnsi="Calibri"/>
                      <w:color w:val="auto"/>
                      <w:szCs w:val="21"/>
                    </w:rPr>
                    <w:t>任茜</w:t>
                  </w:r>
                </w:p>
              </w:tc>
              <w:tc>
                <w:tcPr>
                  <w:tcW w:w="1499" w:type="dxa"/>
                  <w:vAlign w:val="center"/>
                </w:tcPr>
                <w:p>
                  <w:pPr>
                    <w:jc w:val="center"/>
                    <w:rPr>
                      <w:rFonts w:ascii="Calibri" w:hAnsi="Calibri"/>
                      <w:color w:val="auto"/>
                      <w:szCs w:val="21"/>
                    </w:rPr>
                  </w:pPr>
                  <w:r>
                    <w:rPr>
                      <w:rFonts w:hint="eastAsia" w:ascii="Calibri" w:hAnsi="Calibri"/>
                      <w:color w:val="auto"/>
                      <w:szCs w:val="21"/>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pPr>
                    <w:jc w:val="center"/>
                    <w:rPr>
                      <w:rFonts w:ascii="Calibri" w:hAnsi="Calibri"/>
                      <w:color w:val="auto"/>
                      <w:szCs w:val="21"/>
                    </w:rPr>
                  </w:pPr>
                  <w:r>
                    <w:rPr>
                      <w:rFonts w:hint="eastAsia" w:ascii="Calibri" w:hAnsi="Calibri"/>
                      <w:color w:val="auto"/>
                      <w:szCs w:val="21"/>
                    </w:rPr>
                    <w:t>浦发银行台州分行</w:t>
                  </w:r>
                </w:p>
              </w:tc>
              <w:tc>
                <w:tcPr>
                  <w:tcW w:w="1227" w:type="dxa"/>
                  <w:vAlign w:val="center"/>
                </w:tcPr>
                <w:p>
                  <w:pPr>
                    <w:jc w:val="center"/>
                    <w:rPr>
                      <w:rFonts w:ascii="Calibri" w:hAnsi="Calibri"/>
                      <w:color w:val="auto"/>
                      <w:szCs w:val="21"/>
                    </w:rPr>
                  </w:pPr>
                  <w:r>
                    <w:rPr>
                      <w:rFonts w:hint="eastAsia" w:ascii="Calibri" w:hAnsi="Calibri"/>
                      <w:color w:val="auto"/>
                      <w:szCs w:val="21"/>
                    </w:rPr>
                    <w:t>4.05%起</w:t>
                  </w:r>
                </w:p>
              </w:tc>
              <w:tc>
                <w:tcPr>
                  <w:tcW w:w="1090" w:type="dxa"/>
                  <w:vAlign w:val="center"/>
                </w:tcPr>
                <w:p>
                  <w:pPr>
                    <w:jc w:val="center"/>
                    <w:rPr>
                      <w:rFonts w:ascii="Calibri" w:hAnsi="Calibri"/>
                      <w:color w:val="auto"/>
                      <w:szCs w:val="21"/>
                    </w:rPr>
                  </w:pPr>
                  <w:r>
                    <w:rPr>
                      <w:rFonts w:hint="eastAsia" w:ascii="Calibri" w:hAnsi="Calibri"/>
                      <w:color w:val="auto"/>
                      <w:szCs w:val="21"/>
                    </w:rPr>
                    <w:t>王渊</w:t>
                  </w:r>
                </w:p>
              </w:tc>
              <w:tc>
                <w:tcPr>
                  <w:tcW w:w="1499" w:type="dxa"/>
                  <w:vAlign w:val="center"/>
                </w:tcPr>
                <w:p>
                  <w:pPr>
                    <w:jc w:val="center"/>
                    <w:rPr>
                      <w:rFonts w:ascii="Calibri" w:hAnsi="Calibri"/>
                      <w:color w:val="auto"/>
                      <w:szCs w:val="21"/>
                    </w:rPr>
                  </w:pPr>
                  <w:r>
                    <w:rPr>
                      <w:rFonts w:hint="eastAsia" w:ascii="Calibri" w:hAnsi="Calibri"/>
                      <w:color w:val="auto"/>
                      <w:szCs w:val="21"/>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pPr>
                    <w:jc w:val="center"/>
                    <w:rPr>
                      <w:rFonts w:ascii="Calibri" w:hAnsi="Calibri"/>
                      <w:color w:val="auto"/>
                      <w:szCs w:val="21"/>
                    </w:rPr>
                  </w:pPr>
                  <w:r>
                    <w:rPr>
                      <w:rFonts w:hint="eastAsia" w:ascii="Calibri" w:hAnsi="Calibri"/>
                      <w:color w:val="auto"/>
                      <w:szCs w:val="21"/>
                    </w:rPr>
                    <w:t>浦发银行椒江分行</w:t>
                  </w:r>
                </w:p>
              </w:tc>
              <w:tc>
                <w:tcPr>
                  <w:tcW w:w="1227" w:type="dxa"/>
                  <w:vAlign w:val="center"/>
                </w:tcPr>
                <w:p>
                  <w:pPr>
                    <w:jc w:val="center"/>
                    <w:rPr>
                      <w:rFonts w:ascii="Calibri" w:hAnsi="Calibri"/>
                      <w:color w:val="auto"/>
                      <w:szCs w:val="21"/>
                    </w:rPr>
                  </w:pPr>
                  <w:r>
                    <w:rPr>
                      <w:rFonts w:hint="eastAsia" w:ascii="Calibri" w:hAnsi="Calibri"/>
                      <w:color w:val="auto"/>
                      <w:szCs w:val="21"/>
                    </w:rPr>
                    <w:t>4.05%起</w:t>
                  </w:r>
                </w:p>
              </w:tc>
              <w:tc>
                <w:tcPr>
                  <w:tcW w:w="1090" w:type="dxa"/>
                  <w:vAlign w:val="center"/>
                </w:tcPr>
                <w:p>
                  <w:pPr>
                    <w:jc w:val="center"/>
                    <w:rPr>
                      <w:rFonts w:ascii="Calibri" w:hAnsi="Calibri"/>
                      <w:color w:val="auto"/>
                      <w:szCs w:val="21"/>
                    </w:rPr>
                  </w:pPr>
                  <w:r>
                    <w:rPr>
                      <w:rFonts w:hint="eastAsia" w:ascii="Calibri" w:hAnsi="Calibri"/>
                      <w:color w:val="auto"/>
                      <w:szCs w:val="21"/>
                    </w:rPr>
                    <w:t>孙瑞华</w:t>
                  </w:r>
                </w:p>
              </w:tc>
              <w:tc>
                <w:tcPr>
                  <w:tcW w:w="1499" w:type="dxa"/>
                  <w:vAlign w:val="center"/>
                </w:tcPr>
                <w:p>
                  <w:pPr>
                    <w:jc w:val="center"/>
                    <w:rPr>
                      <w:rFonts w:ascii="Calibri" w:hAnsi="Calibri"/>
                      <w:color w:val="auto"/>
                      <w:szCs w:val="21"/>
                    </w:rPr>
                  </w:pPr>
                  <w:r>
                    <w:rPr>
                      <w:rFonts w:hint="eastAsia" w:ascii="Calibri" w:hAnsi="Calibri"/>
                      <w:color w:val="auto"/>
                      <w:szCs w:val="21"/>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pPr>
                    <w:jc w:val="center"/>
                    <w:rPr>
                      <w:rFonts w:ascii="Calibri" w:hAnsi="Calibri"/>
                      <w:color w:val="auto"/>
                      <w:szCs w:val="21"/>
                    </w:rPr>
                  </w:pPr>
                  <w:r>
                    <w:rPr>
                      <w:rFonts w:hint="eastAsia" w:ascii="Calibri" w:hAnsi="Calibri"/>
                      <w:color w:val="auto"/>
                      <w:szCs w:val="21"/>
                    </w:rPr>
                    <w:t>交通银行台州分行</w:t>
                  </w:r>
                </w:p>
              </w:tc>
              <w:tc>
                <w:tcPr>
                  <w:tcW w:w="1227" w:type="dxa"/>
                  <w:vAlign w:val="center"/>
                </w:tcPr>
                <w:p>
                  <w:pPr>
                    <w:jc w:val="center"/>
                    <w:rPr>
                      <w:rFonts w:ascii="Calibri" w:hAnsi="Calibri"/>
                      <w:color w:val="auto"/>
                      <w:szCs w:val="21"/>
                    </w:rPr>
                  </w:pPr>
                  <w:r>
                    <w:rPr>
                      <w:rFonts w:hint="eastAsia" w:ascii="Calibri" w:hAnsi="Calibri"/>
                      <w:color w:val="auto"/>
                      <w:szCs w:val="21"/>
                    </w:rPr>
                    <w:t>3.75%起</w:t>
                  </w:r>
                </w:p>
              </w:tc>
              <w:tc>
                <w:tcPr>
                  <w:tcW w:w="1090" w:type="dxa"/>
                  <w:vAlign w:val="center"/>
                </w:tcPr>
                <w:p>
                  <w:pPr>
                    <w:jc w:val="center"/>
                    <w:rPr>
                      <w:rFonts w:ascii="Calibri" w:hAnsi="Calibri"/>
                      <w:color w:val="auto"/>
                      <w:szCs w:val="21"/>
                    </w:rPr>
                  </w:pPr>
                  <w:r>
                    <w:rPr>
                      <w:rFonts w:hint="eastAsia" w:ascii="Calibri" w:hAnsi="Calibri"/>
                      <w:color w:val="auto"/>
                      <w:szCs w:val="21"/>
                    </w:rPr>
                    <w:t>周翔宇</w:t>
                  </w:r>
                </w:p>
              </w:tc>
              <w:tc>
                <w:tcPr>
                  <w:tcW w:w="1499" w:type="dxa"/>
                  <w:vAlign w:val="center"/>
                </w:tcPr>
                <w:p>
                  <w:pPr>
                    <w:jc w:val="center"/>
                    <w:rPr>
                      <w:rFonts w:ascii="Calibri" w:hAnsi="Calibri"/>
                      <w:color w:val="auto"/>
                      <w:szCs w:val="21"/>
                    </w:rPr>
                  </w:pPr>
                  <w:r>
                    <w:rPr>
                      <w:rFonts w:hint="eastAsia" w:ascii="Calibri" w:hAnsi="Calibri"/>
                      <w:color w:val="auto"/>
                      <w:szCs w:val="21"/>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182" w:type="dxa"/>
                  <w:vAlign w:val="center"/>
                </w:tcPr>
                <w:p>
                  <w:pPr>
                    <w:jc w:val="center"/>
                    <w:rPr>
                      <w:rFonts w:ascii="Calibri" w:hAnsi="Calibri"/>
                      <w:color w:val="auto"/>
                      <w:szCs w:val="21"/>
                    </w:rPr>
                  </w:pPr>
                  <w:r>
                    <w:rPr>
                      <w:rFonts w:hint="eastAsia" w:ascii="Calibri" w:hAnsi="Calibri"/>
                      <w:color w:val="auto"/>
                      <w:szCs w:val="21"/>
                    </w:rPr>
                    <w:t>招商银行台州分行</w:t>
                  </w:r>
                </w:p>
              </w:tc>
              <w:tc>
                <w:tcPr>
                  <w:tcW w:w="1227" w:type="dxa"/>
                  <w:vAlign w:val="center"/>
                </w:tcPr>
                <w:p>
                  <w:pPr>
                    <w:jc w:val="center"/>
                    <w:rPr>
                      <w:rFonts w:ascii="Calibri" w:hAnsi="Calibri"/>
                      <w:color w:val="auto"/>
                      <w:szCs w:val="21"/>
                    </w:rPr>
                  </w:pPr>
                  <w:r>
                    <w:rPr>
                      <w:rFonts w:hint="eastAsia" w:ascii="Calibri" w:hAnsi="Calibri"/>
                      <w:color w:val="auto"/>
                      <w:szCs w:val="21"/>
                    </w:rPr>
                    <w:t>4.32%起</w:t>
                  </w:r>
                </w:p>
              </w:tc>
              <w:tc>
                <w:tcPr>
                  <w:tcW w:w="1090" w:type="dxa"/>
                  <w:vAlign w:val="center"/>
                </w:tcPr>
                <w:p>
                  <w:pPr>
                    <w:jc w:val="center"/>
                    <w:rPr>
                      <w:rFonts w:ascii="Calibri" w:hAnsi="Calibri"/>
                      <w:color w:val="auto"/>
                      <w:szCs w:val="21"/>
                    </w:rPr>
                  </w:pPr>
                  <w:r>
                    <w:rPr>
                      <w:rFonts w:hint="eastAsia" w:ascii="Calibri" w:hAnsi="Calibri"/>
                      <w:color w:val="auto"/>
                      <w:szCs w:val="21"/>
                    </w:rPr>
                    <w:t>王海玲</w:t>
                  </w:r>
                </w:p>
              </w:tc>
              <w:tc>
                <w:tcPr>
                  <w:tcW w:w="1499" w:type="dxa"/>
                  <w:vAlign w:val="center"/>
                </w:tcPr>
                <w:p>
                  <w:pPr>
                    <w:jc w:val="center"/>
                    <w:rPr>
                      <w:rFonts w:ascii="Calibri" w:hAnsi="Calibri"/>
                      <w:color w:val="auto"/>
                      <w:szCs w:val="21"/>
                    </w:rPr>
                  </w:pPr>
                  <w:r>
                    <w:rPr>
                      <w:rFonts w:hint="eastAsia" w:ascii="Calibri" w:hAnsi="Calibri"/>
                      <w:color w:val="auto"/>
                      <w:szCs w:val="21"/>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pPr>
                    <w:jc w:val="center"/>
                    <w:rPr>
                      <w:rFonts w:ascii="Calibri" w:hAnsi="Calibri"/>
                      <w:color w:val="auto"/>
                      <w:szCs w:val="21"/>
                    </w:rPr>
                  </w:pPr>
                  <w:r>
                    <w:rPr>
                      <w:rFonts w:hint="eastAsia" w:ascii="Calibri" w:hAnsi="Calibri"/>
                      <w:color w:val="auto"/>
                      <w:szCs w:val="21"/>
                    </w:rPr>
                    <w:t>浙商银行台州分行</w:t>
                  </w:r>
                </w:p>
              </w:tc>
              <w:tc>
                <w:tcPr>
                  <w:tcW w:w="1227" w:type="dxa"/>
                  <w:vAlign w:val="center"/>
                </w:tcPr>
                <w:p>
                  <w:pPr>
                    <w:jc w:val="center"/>
                    <w:rPr>
                      <w:rFonts w:ascii="Calibri" w:hAnsi="Calibri"/>
                      <w:color w:val="auto"/>
                      <w:szCs w:val="21"/>
                    </w:rPr>
                  </w:pPr>
                  <w:r>
                    <w:rPr>
                      <w:rFonts w:hint="eastAsia" w:ascii="Calibri" w:hAnsi="Calibri"/>
                      <w:color w:val="auto"/>
                      <w:szCs w:val="21"/>
                    </w:rPr>
                    <w:t>5.01%起</w:t>
                  </w:r>
                </w:p>
              </w:tc>
              <w:tc>
                <w:tcPr>
                  <w:tcW w:w="1090" w:type="dxa"/>
                  <w:vAlign w:val="center"/>
                </w:tcPr>
                <w:p>
                  <w:pPr>
                    <w:jc w:val="center"/>
                    <w:rPr>
                      <w:rFonts w:ascii="Calibri" w:hAnsi="Calibri"/>
                      <w:color w:val="auto"/>
                      <w:szCs w:val="21"/>
                    </w:rPr>
                  </w:pPr>
                  <w:r>
                    <w:rPr>
                      <w:rFonts w:hint="eastAsia" w:ascii="Calibri" w:hAnsi="Calibri"/>
                      <w:color w:val="auto"/>
                      <w:szCs w:val="21"/>
                    </w:rPr>
                    <w:t>章涉漪</w:t>
                  </w:r>
                </w:p>
              </w:tc>
              <w:tc>
                <w:tcPr>
                  <w:tcW w:w="1499" w:type="dxa"/>
                  <w:vAlign w:val="center"/>
                </w:tcPr>
                <w:p>
                  <w:pPr>
                    <w:jc w:val="center"/>
                    <w:rPr>
                      <w:rFonts w:ascii="Calibri" w:hAnsi="Calibri"/>
                      <w:color w:val="auto"/>
                      <w:szCs w:val="21"/>
                    </w:rPr>
                  </w:pPr>
                  <w:r>
                    <w:rPr>
                      <w:rFonts w:hint="eastAsia" w:ascii="Calibri" w:hAnsi="Calibri"/>
                      <w:color w:val="auto"/>
                      <w:szCs w:val="21"/>
                    </w:rPr>
                    <w:t>81880185</w:t>
                  </w:r>
                </w:p>
                <w:p>
                  <w:pPr>
                    <w:jc w:val="center"/>
                    <w:rPr>
                      <w:rFonts w:ascii="Calibri" w:hAnsi="Calibri"/>
                      <w:color w:val="auto"/>
                      <w:szCs w:val="21"/>
                    </w:rPr>
                  </w:pPr>
                  <w:r>
                    <w:rPr>
                      <w:rFonts w:hint="eastAsia" w:ascii="Calibri" w:hAnsi="Calibri"/>
                      <w:color w:val="auto"/>
                      <w:szCs w:val="21"/>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pPr>
                    <w:jc w:val="center"/>
                    <w:rPr>
                      <w:rFonts w:ascii="Calibri" w:hAnsi="Calibri"/>
                      <w:color w:val="auto"/>
                      <w:szCs w:val="21"/>
                    </w:rPr>
                  </w:pPr>
                  <w:r>
                    <w:rPr>
                      <w:rFonts w:hint="eastAsia" w:ascii="Calibri" w:hAnsi="Calibri"/>
                      <w:color w:val="auto"/>
                      <w:szCs w:val="21"/>
                    </w:rPr>
                    <w:t>中信银行台州分行</w:t>
                  </w:r>
                </w:p>
              </w:tc>
              <w:tc>
                <w:tcPr>
                  <w:tcW w:w="1227" w:type="dxa"/>
                  <w:vAlign w:val="center"/>
                </w:tcPr>
                <w:p>
                  <w:pPr>
                    <w:jc w:val="center"/>
                    <w:rPr>
                      <w:rFonts w:ascii="Calibri" w:hAnsi="Calibri"/>
                      <w:color w:val="auto"/>
                      <w:szCs w:val="21"/>
                    </w:rPr>
                  </w:pPr>
                  <w:r>
                    <w:rPr>
                      <w:rFonts w:hint="eastAsia" w:ascii="Calibri" w:hAnsi="Calibri"/>
                      <w:color w:val="auto"/>
                      <w:szCs w:val="21"/>
                    </w:rPr>
                    <w:t>4.15%起</w:t>
                  </w:r>
                </w:p>
              </w:tc>
              <w:tc>
                <w:tcPr>
                  <w:tcW w:w="1090" w:type="dxa"/>
                  <w:vAlign w:val="center"/>
                </w:tcPr>
                <w:p>
                  <w:pPr>
                    <w:jc w:val="center"/>
                    <w:rPr>
                      <w:rFonts w:ascii="Calibri" w:hAnsi="Calibri"/>
                      <w:color w:val="auto"/>
                      <w:szCs w:val="21"/>
                    </w:rPr>
                  </w:pPr>
                  <w:r>
                    <w:rPr>
                      <w:rFonts w:hint="eastAsia" w:ascii="Calibri" w:hAnsi="Calibri"/>
                      <w:color w:val="auto"/>
                      <w:szCs w:val="21"/>
                    </w:rPr>
                    <w:t>陈金园</w:t>
                  </w:r>
                </w:p>
              </w:tc>
              <w:tc>
                <w:tcPr>
                  <w:tcW w:w="1499" w:type="dxa"/>
                  <w:vAlign w:val="center"/>
                </w:tcPr>
                <w:p>
                  <w:pPr>
                    <w:jc w:val="center"/>
                    <w:rPr>
                      <w:rFonts w:ascii="Calibri" w:hAnsi="Calibri"/>
                      <w:color w:val="auto"/>
                      <w:szCs w:val="21"/>
                    </w:rPr>
                  </w:pPr>
                  <w:r>
                    <w:rPr>
                      <w:rFonts w:hint="eastAsia" w:ascii="Calibri" w:hAnsi="Calibri"/>
                      <w:color w:val="auto"/>
                      <w:szCs w:val="21"/>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pPr>
                    <w:jc w:val="center"/>
                    <w:rPr>
                      <w:rFonts w:ascii="Calibri" w:hAnsi="Calibri"/>
                      <w:color w:val="auto"/>
                      <w:szCs w:val="21"/>
                    </w:rPr>
                  </w:pPr>
                  <w:r>
                    <w:rPr>
                      <w:rFonts w:hint="eastAsia" w:ascii="Calibri" w:hAnsi="Calibri"/>
                      <w:color w:val="auto"/>
                      <w:szCs w:val="21"/>
                    </w:rPr>
                    <w:t>华夏银行台州分行</w:t>
                  </w:r>
                </w:p>
              </w:tc>
              <w:tc>
                <w:tcPr>
                  <w:tcW w:w="1227" w:type="dxa"/>
                  <w:vAlign w:val="center"/>
                </w:tcPr>
                <w:p>
                  <w:pPr>
                    <w:jc w:val="center"/>
                    <w:rPr>
                      <w:rFonts w:ascii="Calibri" w:hAnsi="Calibri"/>
                      <w:color w:val="auto"/>
                      <w:szCs w:val="21"/>
                    </w:rPr>
                  </w:pPr>
                  <w:r>
                    <w:rPr>
                      <w:rFonts w:hint="eastAsia" w:ascii="Calibri" w:hAnsi="Calibri"/>
                      <w:color w:val="auto"/>
                      <w:szCs w:val="21"/>
                    </w:rPr>
                    <w:t>4.5%起</w:t>
                  </w:r>
                </w:p>
              </w:tc>
              <w:tc>
                <w:tcPr>
                  <w:tcW w:w="1090" w:type="dxa"/>
                  <w:vAlign w:val="center"/>
                </w:tcPr>
                <w:p>
                  <w:pPr>
                    <w:jc w:val="center"/>
                    <w:rPr>
                      <w:rFonts w:ascii="Calibri" w:hAnsi="Calibri"/>
                      <w:color w:val="auto"/>
                      <w:szCs w:val="21"/>
                    </w:rPr>
                  </w:pPr>
                  <w:r>
                    <w:rPr>
                      <w:rFonts w:hint="eastAsia" w:ascii="Calibri" w:hAnsi="Calibri"/>
                      <w:color w:val="auto"/>
                      <w:szCs w:val="21"/>
                    </w:rPr>
                    <w:t>邱明达</w:t>
                  </w:r>
                </w:p>
              </w:tc>
              <w:tc>
                <w:tcPr>
                  <w:tcW w:w="1499" w:type="dxa"/>
                  <w:vAlign w:val="center"/>
                </w:tcPr>
                <w:p>
                  <w:pPr>
                    <w:jc w:val="center"/>
                    <w:rPr>
                      <w:rFonts w:ascii="Calibri" w:hAnsi="Calibri"/>
                      <w:color w:val="auto"/>
                      <w:szCs w:val="21"/>
                    </w:rPr>
                  </w:pPr>
                  <w:r>
                    <w:rPr>
                      <w:rFonts w:hint="eastAsia" w:ascii="Calibri" w:hAnsi="Calibri"/>
                      <w:color w:val="auto"/>
                      <w:szCs w:val="21"/>
                    </w:rPr>
                    <w:t>81871518</w:t>
                  </w:r>
                </w:p>
                <w:p>
                  <w:pPr>
                    <w:jc w:val="center"/>
                    <w:rPr>
                      <w:rFonts w:ascii="Calibri" w:hAnsi="Calibri"/>
                      <w:color w:val="auto"/>
                      <w:szCs w:val="21"/>
                    </w:rPr>
                  </w:pPr>
                  <w:r>
                    <w:rPr>
                      <w:rFonts w:hint="eastAsia" w:ascii="Calibri" w:hAnsi="Calibri"/>
                      <w:color w:val="auto"/>
                      <w:szCs w:val="21"/>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pPr>
                    <w:jc w:val="center"/>
                    <w:rPr>
                      <w:rFonts w:ascii="Calibri" w:hAnsi="Calibri"/>
                      <w:color w:val="auto"/>
                      <w:szCs w:val="21"/>
                    </w:rPr>
                  </w:pPr>
                  <w:r>
                    <w:rPr>
                      <w:rFonts w:hint="eastAsia" w:ascii="Calibri" w:hAnsi="Calibri"/>
                      <w:color w:val="auto"/>
                      <w:szCs w:val="21"/>
                    </w:rPr>
                    <w:t>泰隆银行开发区支行</w:t>
                  </w:r>
                </w:p>
              </w:tc>
              <w:tc>
                <w:tcPr>
                  <w:tcW w:w="1227" w:type="dxa"/>
                  <w:vAlign w:val="center"/>
                </w:tcPr>
                <w:p>
                  <w:pPr>
                    <w:jc w:val="center"/>
                    <w:rPr>
                      <w:rFonts w:ascii="Calibri" w:hAnsi="Calibri"/>
                      <w:color w:val="auto"/>
                      <w:szCs w:val="21"/>
                    </w:rPr>
                  </w:pPr>
                  <w:r>
                    <w:rPr>
                      <w:rFonts w:hint="eastAsia" w:ascii="Calibri" w:hAnsi="Calibri"/>
                      <w:color w:val="auto"/>
                      <w:szCs w:val="21"/>
                    </w:rPr>
                    <w:t>5.6%起</w:t>
                  </w:r>
                </w:p>
              </w:tc>
              <w:tc>
                <w:tcPr>
                  <w:tcW w:w="1090" w:type="dxa"/>
                  <w:vAlign w:val="center"/>
                </w:tcPr>
                <w:p>
                  <w:pPr>
                    <w:jc w:val="center"/>
                    <w:rPr>
                      <w:rFonts w:ascii="Calibri" w:hAnsi="Calibri"/>
                      <w:color w:val="auto"/>
                      <w:szCs w:val="21"/>
                    </w:rPr>
                  </w:pPr>
                  <w:r>
                    <w:rPr>
                      <w:rFonts w:hint="eastAsia" w:ascii="Calibri" w:hAnsi="Calibri"/>
                      <w:color w:val="auto"/>
                      <w:szCs w:val="21"/>
                    </w:rPr>
                    <w:t>梁宛莉</w:t>
                  </w:r>
                </w:p>
              </w:tc>
              <w:tc>
                <w:tcPr>
                  <w:tcW w:w="1499" w:type="dxa"/>
                  <w:vAlign w:val="center"/>
                </w:tcPr>
                <w:p>
                  <w:pPr>
                    <w:jc w:val="center"/>
                    <w:rPr>
                      <w:rFonts w:ascii="Calibri" w:hAnsi="Calibri"/>
                      <w:color w:val="auto"/>
                      <w:szCs w:val="21"/>
                    </w:rPr>
                  </w:pPr>
                  <w:r>
                    <w:rPr>
                      <w:rFonts w:hint="eastAsia" w:ascii="Calibri" w:hAnsi="Calibri"/>
                      <w:color w:val="auto"/>
                      <w:szCs w:val="21"/>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pPr>
                    <w:jc w:val="center"/>
                    <w:rPr>
                      <w:rFonts w:ascii="Calibri" w:hAnsi="Calibri"/>
                      <w:color w:val="auto"/>
                      <w:szCs w:val="21"/>
                    </w:rPr>
                  </w:pPr>
                  <w:r>
                    <w:rPr>
                      <w:rFonts w:hint="eastAsia" w:ascii="Calibri" w:hAnsi="Calibri"/>
                      <w:color w:val="auto"/>
                      <w:szCs w:val="21"/>
                    </w:rPr>
                    <w:t>民泰银行椒江支行</w:t>
                  </w:r>
                </w:p>
              </w:tc>
              <w:tc>
                <w:tcPr>
                  <w:tcW w:w="1227" w:type="dxa"/>
                  <w:vAlign w:val="center"/>
                </w:tcPr>
                <w:p>
                  <w:pPr>
                    <w:jc w:val="center"/>
                    <w:rPr>
                      <w:rFonts w:ascii="Calibri" w:hAnsi="Calibri"/>
                      <w:color w:val="auto"/>
                      <w:szCs w:val="21"/>
                    </w:rPr>
                  </w:pPr>
                  <w:r>
                    <w:rPr>
                      <w:rFonts w:hint="eastAsia" w:ascii="Calibri" w:hAnsi="Calibri"/>
                      <w:color w:val="auto"/>
                      <w:szCs w:val="21"/>
                    </w:rPr>
                    <w:t>5.8%起</w:t>
                  </w:r>
                </w:p>
              </w:tc>
              <w:tc>
                <w:tcPr>
                  <w:tcW w:w="1090" w:type="dxa"/>
                  <w:vAlign w:val="center"/>
                </w:tcPr>
                <w:p>
                  <w:pPr>
                    <w:jc w:val="center"/>
                    <w:rPr>
                      <w:rFonts w:ascii="Calibri" w:hAnsi="Calibri"/>
                      <w:color w:val="auto"/>
                      <w:szCs w:val="21"/>
                    </w:rPr>
                  </w:pPr>
                  <w:r>
                    <w:rPr>
                      <w:rFonts w:hint="eastAsia" w:ascii="Calibri" w:hAnsi="Calibri"/>
                      <w:color w:val="auto"/>
                      <w:szCs w:val="21"/>
                    </w:rPr>
                    <w:t>陈慧珠</w:t>
                  </w:r>
                </w:p>
              </w:tc>
              <w:tc>
                <w:tcPr>
                  <w:tcW w:w="1499" w:type="dxa"/>
                  <w:vAlign w:val="center"/>
                </w:tcPr>
                <w:p>
                  <w:pPr>
                    <w:jc w:val="center"/>
                    <w:rPr>
                      <w:rFonts w:ascii="Calibri" w:hAnsi="Calibri"/>
                      <w:color w:val="auto"/>
                      <w:szCs w:val="21"/>
                    </w:rPr>
                  </w:pPr>
                  <w:r>
                    <w:rPr>
                      <w:rFonts w:hint="eastAsia" w:ascii="Calibri" w:hAnsi="Calibri"/>
                      <w:color w:val="auto"/>
                      <w:szCs w:val="21"/>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pPr>
                    <w:jc w:val="center"/>
                    <w:rPr>
                      <w:rFonts w:ascii="Calibri" w:hAnsi="Calibri"/>
                      <w:color w:val="auto"/>
                      <w:szCs w:val="21"/>
                    </w:rPr>
                  </w:pPr>
                  <w:r>
                    <w:rPr>
                      <w:rFonts w:hint="eastAsia" w:ascii="Calibri" w:hAnsi="Calibri"/>
                      <w:color w:val="auto"/>
                      <w:szCs w:val="21"/>
                    </w:rPr>
                    <w:t>绍兴银行台州分行</w:t>
                  </w:r>
                </w:p>
              </w:tc>
              <w:tc>
                <w:tcPr>
                  <w:tcW w:w="1227" w:type="dxa"/>
                  <w:vAlign w:val="center"/>
                </w:tcPr>
                <w:p>
                  <w:pPr>
                    <w:jc w:val="center"/>
                    <w:rPr>
                      <w:rFonts w:ascii="Calibri" w:hAnsi="Calibri"/>
                      <w:color w:val="auto"/>
                      <w:szCs w:val="21"/>
                    </w:rPr>
                  </w:pPr>
                  <w:r>
                    <w:rPr>
                      <w:rFonts w:hint="eastAsia" w:ascii="Calibri" w:hAnsi="Calibri"/>
                      <w:color w:val="auto"/>
                      <w:szCs w:val="21"/>
                    </w:rPr>
                    <w:t>5.1%起</w:t>
                  </w:r>
                </w:p>
              </w:tc>
              <w:tc>
                <w:tcPr>
                  <w:tcW w:w="1090" w:type="dxa"/>
                  <w:vAlign w:val="center"/>
                </w:tcPr>
                <w:p>
                  <w:pPr>
                    <w:jc w:val="center"/>
                    <w:rPr>
                      <w:rFonts w:ascii="Calibri" w:hAnsi="Calibri"/>
                      <w:color w:val="auto"/>
                      <w:szCs w:val="21"/>
                    </w:rPr>
                  </w:pPr>
                  <w:r>
                    <w:rPr>
                      <w:rFonts w:hint="eastAsia" w:ascii="Calibri" w:hAnsi="Calibri"/>
                      <w:color w:val="auto"/>
                      <w:szCs w:val="21"/>
                    </w:rPr>
                    <w:t>郭庭斌</w:t>
                  </w:r>
                </w:p>
              </w:tc>
              <w:tc>
                <w:tcPr>
                  <w:tcW w:w="1499" w:type="dxa"/>
                  <w:vAlign w:val="center"/>
                </w:tcPr>
                <w:p>
                  <w:pPr>
                    <w:jc w:val="center"/>
                    <w:rPr>
                      <w:rFonts w:ascii="Calibri" w:hAnsi="Calibri"/>
                      <w:color w:val="auto"/>
                      <w:szCs w:val="21"/>
                    </w:rPr>
                  </w:pPr>
                  <w:r>
                    <w:rPr>
                      <w:rFonts w:hint="eastAsia" w:ascii="Calibri" w:hAnsi="Calibri"/>
                      <w:color w:val="auto"/>
                      <w:szCs w:val="21"/>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pPr>
                    <w:jc w:val="center"/>
                    <w:rPr>
                      <w:rFonts w:ascii="Calibri" w:hAnsi="Calibri"/>
                      <w:color w:val="auto"/>
                      <w:szCs w:val="21"/>
                    </w:rPr>
                  </w:pPr>
                  <w:r>
                    <w:rPr>
                      <w:rFonts w:hint="eastAsia" w:ascii="Calibri" w:hAnsi="Calibri"/>
                      <w:color w:val="auto"/>
                      <w:szCs w:val="21"/>
                    </w:rPr>
                    <w:t>温州银行台州分行</w:t>
                  </w:r>
                </w:p>
              </w:tc>
              <w:tc>
                <w:tcPr>
                  <w:tcW w:w="1227" w:type="dxa"/>
                  <w:vAlign w:val="center"/>
                </w:tcPr>
                <w:p>
                  <w:pPr>
                    <w:jc w:val="center"/>
                    <w:rPr>
                      <w:rFonts w:ascii="Calibri" w:hAnsi="Calibri"/>
                      <w:color w:val="auto"/>
                      <w:szCs w:val="21"/>
                    </w:rPr>
                  </w:pPr>
                  <w:r>
                    <w:rPr>
                      <w:rFonts w:hint="eastAsia" w:ascii="Calibri" w:hAnsi="Calibri"/>
                      <w:color w:val="auto"/>
                      <w:szCs w:val="21"/>
                    </w:rPr>
                    <w:t>4.55%起</w:t>
                  </w:r>
                </w:p>
              </w:tc>
              <w:tc>
                <w:tcPr>
                  <w:tcW w:w="1090" w:type="dxa"/>
                  <w:vAlign w:val="center"/>
                </w:tcPr>
                <w:p>
                  <w:pPr>
                    <w:jc w:val="center"/>
                    <w:rPr>
                      <w:rFonts w:ascii="Calibri" w:hAnsi="Calibri"/>
                      <w:color w:val="auto"/>
                      <w:szCs w:val="21"/>
                    </w:rPr>
                  </w:pPr>
                  <w:r>
                    <w:rPr>
                      <w:rFonts w:hint="eastAsia" w:ascii="Calibri" w:hAnsi="Calibri"/>
                      <w:color w:val="auto"/>
                      <w:szCs w:val="21"/>
                    </w:rPr>
                    <w:t>王晓波</w:t>
                  </w:r>
                </w:p>
              </w:tc>
              <w:tc>
                <w:tcPr>
                  <w:tcW w:w="1499" w:type="dxa"/>
                  <w:vAlign w:val="center"/>
                </w:tcPr>
                <w:p>
                  <w:pPr>
                    <w:jc w:val="center"/>
                    <w:rPr>
                      <w:rFonts w:ascii="Calibri" w:hAnsi="Calibri"/>
                      <w:color w:val="auto"/>
                      <w:szCs w:val="21"/>
                    </w:rPr>
                  </w:pPr>
                  <w:r>
                    <w:rPr>
                      <w:rFonts w:hint="eastAsia" w:ascii="Calibri" w:hAnsi="Calibri"/>
                      <w:color w:val="auto"/>
                      <w:szCs w:val="21"/>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pPr>
                    <w:jc w:val="center"/>
                    <w:rPr>
                      <w:rFonts w:ascii="Calibri" w:hAnsi="Calibri"/>
                      <w:color w:val="auto"/>
                      <w:szCs w:val="21"/>
                    </w:rPr>
                  </w:pPr>
                  <w:r>
                    <w:rPr>
                      <w:rFonts w:hint="eastAsia" w:ascii="Calibri" w:hAnsi="Calibri"/>
                      <w:color w:val="auto"/>
                      <w:szCs w:val="21"/>
                    </w:rPr>
                    <w:t>平安银行台州分行</w:t>
                  </w:r>
                </w:p>
              </w:tc>
              <w:tc>
                <w:tcPr>
                  <w:tcW w:w="1227" w:type="dxa"/>
                  <w:vAlign w:val="center"/>
                </w:tcPr>
                <w:p>
                  <w:pPr>
                    <w:jc w:val="center"/>
                    <w:rPr>
                      <w:rFonts w:ascii="Calibri" w:hAnsi="Calibri"/>
                      <w:color w:val="auto"/>
                      <w:szCs w:val="21"/>
                    </w:rPr>
                  </w:pPr>
                  <w:r>
                    <w:rPr>
                      <w:rFonts w:hint="eastAsia" w:ascii="Calibri" w:hAnsi="Calibri"/>
                      <w:color w:val="auto"/>
                      <w:szCs w:val="21"/>
                    </w:rPr>
                    <w:t>6.53%起</w:t>
                  </w:r>
                </w:p>
              </w:tc>
              <w:tc>
                <w:tcPr>
                  <w:tcW w:w="1090" w:type="dxa"/>
                  <w:vAlign w:val="center"/>
                </w:tcPr>
                <w:p>
                  <w:pPr>
                    <w:jc w:val="center"/>
                    <w:rPr>
                      <w:rFonts w:ascii="Calibri" w:hAnsi="Calibri"/>
                      <w:color w:val="auto"/>
                      <w:szCs w:val="21"/>
                    </w:rPr>
                  </w:pPr>
                  <w:r>
                    <w:rPr>
                      <w:rFonts w:hint="eastAsia" w:ascii="Calibri" w:hAnsi="Calibri"/>
                      <w:color w:val="auto"/>
                      <w:szCs w:val="21"/>
                    </w:rPr>
                    <w:t>李俊丽</w:t>
                  </w:r>
                </w:p>
              </w:tc>
              <w:tc>
                <w:tcPr>
                  <w:tcW w:w="1499" w:type="dxa"/>
                  <w:vAlign w:val="center"/>
                </w:tcPr>
                <w:p>
                  <w:pPr>
                    <w:jc w:val="center"/>
                    <w:rPr>
                      <w:rFonts w:ascii="Calibri" w:hAnsi="Calibri"/>
                      <w:color w:val="auto"/>
                      <w:szCs w:val="21"/>
                    </w:rPr>
                  </w:pPr>
                  <w:r>
                    <w:rPr>
                      <w:rFonts w:hint="eastAsia" w:ascii="Calibri" w:hAnsi="Calibri"/>
                      <w:color w:val="auto"/>
                      <w:szCs w:val="21"/>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pPr>
                    <w:jc w:val="center"/>
                    <w:rPr>
                      <w:rFonts w:ascii="Calibri" w:hAnsi="Calibri"/>
                      <w:color w:val="auto"/>
                      <w:szCs w:val="21"/>
                    </w:rPr>
                  </w:pPr>
                  <w:r>
                    <w:rPr>
                      <w:rFonts w:hint="eastAsia" w:ascii="Calibri" w:hAnsi="Calibri"/>
                      <w:color w:val="auto"/>
                      <w:szCs w:val="21"/>
                    </w:rPr>
                    <w:t>宁波银行台州分行</w:t>
                  </w:r>
                </w:p>
              </w:tc>
              <w:tc>
                <w:tcPr>
                  <w:tcW w:w="1227" w:type="dxa"/>
                  <w:vAlign w:val="center"/>
                </w:tcPr>
                <w:p>
                  <w:pPr>
                    <w:jc w:val="center"/>
                    <w:rPr>
                      <w:rFonts w:ascii="Calibri" w:hAnsi="Calibri"/>
                      <w:color w:val="auto"/>
                      <w:szCs w:val="21"/>
                    </w:rPr>
                  </w:pPr>
                  <w:r>
                    <w:rPr>
                      <w:rFonts w:hint="eastAsia" w:ascii="Calibri" w:hAnsi="Calibri"/>
                      <w:color w:val="auto"/>
                      <w:szCs w:val="21"/>
                    </w:rPr>
                    <w:t>4.35%起</w:t>
                  </w:r>
                </w:p>
              </w:tc>
              <w:tc>
                <w:tcPr>
                  <w:tcW w:w="1090" w:type="dxa"/>
                  <w:vAlign w:val="center"/>
                </w:tcPr>
                <w:p>
                  <w:pPr>
                    <w:jc w:val="center"/>
                    <w:rPr>
                      <w:rFonts w:ascii="Calibri" w:hAnsi="Calibri"/>
                      <w:color w:val="auto"/>
                      <w:szCs w:val="21"/>
                    </w:rPr>
                  </w:pPr>
                  <w:r>
                    <w:rPr>
                      <w:rFonts w:hint="eastAsia" w:ascii="Calibri" w:hAnsi="Calibri"/>
                      <w:color w:val="auto"/>
                      <w:szCs w:val="21"/>
                    </w:rPr>
                    <w:t>戴莉丽</w:t>
                  </w:r>
                </w:p>
              </w:tc>
              <w:tc>
                <w:tcPr>
                  <w:tcW w:w="1499" w:type="dxa"/>
                  <w:vAlign w:val="center"/>
                </w:tcPr>
                <w:p>
                  <w:pPr>
                    <w:jc w:val="center"/>
                    <w:rPr>
                      <w:rFonts w:ascii="Calibri" w:hAnsi="Calibri"/>
                      <w:color w:val="auto"/>
                      <w:szCs w:val="21"/>
                    </w:rPr>
                  </w:pPr>
                  <w:r>
                    <w:rPr>
                      <w:rFonts w:hint="eastAsia" w:ascii="Calibri" w:hAnsi="Calibri"/>
                      <w:color w:val="auto"/>
                      <w:szCs w:val="21"/>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pPr>
                    <w:jc w:val="center"/>
                    <w:rPr>
                      <w:rFonts w:ascii="Calibri" w:hAnsi="Calibri"/>
                      <w:color w:val="auto"/>
                      <w:szCs w:val="21"/>
                    </w:rPr>
                  </w:pPr>
                  <w:r>
                    <w:rPr>
                      <w:rFonts w:hint="eastAsia" w:ascii="Calibri" w:hAnsi="Calibri"/>
                      <w:color w:val="auto"/>
                      <w:szCs w:val="21"/>
                    </w:rPr>
                    <w:t>金华银行台州分行</w:t>
                  </w:r>
                </w:p>
              </w:tc>
              <w:tc>
                <w:tcPr>
                  <w:tcW w:w="1227" w:type="dxa"/>
                  <w:vAlign w:val="center"/>
                </w:tcPr>
                <w:p>
                  <w:pPr>
                    <w:jc w:val="center"/>
                    <w:rPr>
                      <w:rFonts w:ascii="Calibri" w:hAnsi="Calibri"/>
                      <w:color w:val="auto"/>
                      <w:szCs w:val="21"/>
                    </w:rPr>
                  </w:pPr>
                  <w:r>
                    <w:rPr>
                      <w:rFonts w:hint="eastAsia" w:ascii="Calibri" w:hAnsi="Calibri"/>
                      <w:color w:val="auto"/>
                      <w:szCs w:val="21"/>
                    </w:rPr>
                    <w:t>4.05%起</w:t>
                  </w:r>
                </w:p>
              </w:tc>
              <w:tc>
                <w:tcPr>
                  <w:tcW w:w="1090" w:type="dxa"/>
                  <w:vAlign w:val="center"/>
                </w:tcPr>
                <w:p>
                  <w:pPr>
                    <w:jc w:val="center"/>
                    <w:rPr>
                      <w:rFonts w:ascii="Calibri" w:hAnsi="Calibri"/>
                      <w:color w:val="auto"/>
                      <w:szCs w:val="21"/>
                    </w:rPr>
                  </w:pPr>
                  <w:r>
                    <w:rPr>
                      <w:rFonts w:hint="eastAsia" w:ascii="Calibri" w:hAnsi="Calibri"/>
                      <w:color w:val="auto"/>
                      <w:szCs w:val="21"/>
                    </w:rPr>
                    <w:t>金雪婷</w:t>
                  </w:r>
                </w:p>
              </w:tc>
              <w:tc>
                <w:tcPr>
                  <w:tcW w:w="1499" w:type="dxa"/>
                  <w:vAlign w:val="center"/>
                </w:tcPr>
                <w:p>
                  <w:pPr>
                    <w:jc w:val="center"/>
                    <w:rPr>
                      <w:rFonts w:ascii="Calibri" w:hAnsi="Calibri"/>
                      <w:color w:val="auto"/>
                      <w:szCs w:val="21"/>
                    </w:rPr>
                  </w:pPr>
                  <w:r>
                    <w:rPr>
                      <w:rFonts w:hint="eastAsia" w:ascii="Calibri" w:hAnsi="Calibri"/>
                      <w:color w:val="auto"/>
                      <w:szCs w:val="21"/>
                    </w:rPr>
                    <w:t>81886670</w:t>
                  </w:r>
                </w:p>
                <w:p>
                  <w:pPr>
                    <w:jc w:val="center"/>
                    <w:rPr>
                      <w:rFonts w:ascii="Calibri" w:hAnsi="Calibri"/>
                      <w:color w:val="auto"/>
                      <w:szCs w:val="21"/>
                    </w:rPr>
                  </w:pPr>
                  <w:r>
                    <w:rPr>
                      <w:rFonts w:hint="eastAsia" w:ascii="Calibri" w:hAnsi="Calibri"/>
                      <w:color w:val="auto"/>
                      <w:szCs w:val="21"/>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pPr>
                    <w:jc w:val="center"/>
                    <w:rPr>
                      <w:rFonts w:ascii="Calibri" w:hAnsi="Calibri"/>
                      <w:color w:val="auto"/>
                      <w:szCs w:val="21"/>
                    </w:rPr>
                  </w:pPr>
                  <w:r>
                    <w:rPr>
                      <w:rFonts w:hint="eastAsia" w:ascii="Calibri" w:hAnsi="Calibri"/>
                      <w:color w:val="auto"/>
                      <w:szCs w:val="21"/>
                    </w:rPr>
                    <w:t>台州银行</w:t>
                  </w:r>
                </w:p>
              </w:tc>
              <w:tc>
                <w:tcPr>
                  <w:tcW w:w="1227" w:type="dxa"/>
                  <w:vAlign w:val="center"/>
                </w:tcPr>
                <w:p>
                  <w:pPr>
                    <w:jc w:val="center"/>
                    <w:rPr>
                      <w:rFonts w:ascii="Calibri" w:hAnsi="Calibri"/>
                      <w:color w:val="auto"/>
                      <w:szCs w:val="21"/>
                    </w:rPr>
                  </w:pPr>
                  <w:r>
                    <w:rPr>
                      <w:rFonts w:hint="eastAsia" w:ascii="Calibri" w:hAnsi="Calibri"/>
                      <w:color w:val="auto"/>
                      <w:szCs w:val="21"/>
                    </w:rPr>
                    <w:t>5.6%起</w:t>
                  </w:r>
                </w:p>
              </w:tc>
              <w:tc>
                <w:tcPr>
                  <w:tcW w:w="1090" w:type="dxa"/>
                  <w:vAlign w:val="center"/>
                </w:tcPr>
                <w:p>
                  <w:pPr>
                    <w:jc w:val="center"/>
                    <w:rPr>
                      <w:rFonts w:ascii="Calibri" w:hAnsi="Calibri"/>
                      <w:color w:val="auto"/>
                      <w:szCs w:val="21"/>
                    </w:rPr>
                  </w:pPr>
                  <w:r>
                    <w:rPr>
                      <w:rFonts w:hint="eastAsia" w:ascii="Calibri" w:hAnsi="Calibri"/>
                      <w:color w:val="auto"/>
                      <w:szCs w:val="21"/>
                    </w:rPr>
                    <w:t>洪婷</w:t>
                  </w:r>
                </w:p>
              </w:tc>
              <w:tc>
                <w:tcPr>
                  <w:tcW w:w="1499" w:type="dxa"/>
                  <w:vAlign w:val="center"/>
                </w:tcPr>
                <w:p>
                  <w:pPr>
                    <w:jc w:val="center"/>
                    <w:rPr>
                      <w:rFonts w:ascii="Calibri" w:hAnsi="Calibri"/>
                      <w:color w:val="auto"/>
                      <w:szCs w:val="21"/>
                    </w:rPr>
                  </w:pPr>
                  <w:r>
                    <w:rPr>
                      <w:rFonts w:hint="eastAsia" w:ascii="Calibri" w:hAnsi="Calibri"/>
                      <w:color w:val="auto"/>
                      <w:szCs w:val="21"/>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pPr>
                    <w:jc w:val="center"/>
                    <w:rPr>
                      <w:rFonts w:ascii="Calibri" w:hAnsi="Calibri"/>
                      <w:color w:val="auto"/>
                      <w:szCs w:val="21"/>
                    </w:rPr>
                  </w:pPr>
                  <w:r>
                    <w:rPr>
                      <w:rFonts w:hint="eastAsia" w:ascii="Calibri" w:hAnsi="Calibri"/>
                      <w:color w:val="auto"/>
                      <w:szCs w:val="21"/>
                    </w:rPr>
                    <w:t>邮储银行台州分行</w:t>
                  </w:r>
                </w:p>
              </w:tc>
              <w:tc>
                <w:tcPr>
                  <w:tcW w:w="1227" w:type="dxa"/>
                  <w:vAlign w:val="center"/>
                </w:tcPr>
                <w:p>
                  <w:pPr>
                    <w:jc w:val="center"/>
                    <w:rPr>
                      <w:rFonts w:ascii="Calibri" w:hAnsi="Calibri"/>
                      <w:color w:val="auto"/>
                      <w:szCs w:val="21"/>
                    </w:rPr>
                  </w:pPr>
                  <w:r>
                    <w:rPr>
                      <w:rFonts w:hint="eastAsia" w:ascii="Calibri" w:hAnsi="Calibri"/>
                      <w:color w:val="auto"/>
                      <w:szCs w:val="21"/>
                    </w:rPr>
                    <w:t>3.85%起</w:t>
                  </w:r>
                </w:p>
              </w:tc>
              <w:tc>
                <w:tcPr>
                  <w:tcW w:w="1090" w:type="dxa"/>
                  <w:vAlign w:val="center"/>
                </w:tcPr>
                <w:p>
                  <w:pPr>
                    <w:jc w:val="center"/>
                    <w:rPr>
                      <w:rFonts w:ascii="Calibri" w:hAnsi="Calibri"/>
                      <w:color w:val="auto"/>
                      <w:szCs w:val="21"/>
                    </w:rPr>
                  </w:pPr>
                  <w:r>
                    <w:rPr>
                      <w:rFonts w:hint="eastAsia" w:ascii="Calibri" w:hAnsi="Calibri"/>
                      <w:color w:val="auto"/>
                      <w:szCs w:val="21"/>
                    </w:rPr>
                    <w:t>董庆</w:t>
                  </w:r>
                </w:p>
              </w:tc>
              <w:tc>
                <w:tcPr>
                  <w:tcW w:w="1499" w:type="dxa"/>
                  <w:vAlign w:val="center"/>
                </w:tcPr>
                <w:p>
                  <w:pPr>
                    <w:jc w:val="center"/>
                    <w:rPr>
                      <w:rFonts w:ascii="Calibri" w:hAnsi="Calibri"/>
                      <w:color w:val="auto"/>
                      <w:szCs w:val="21"/>
                    </w:rPr>
                  </w:pPr>
                  <w:r>
                    <w:rPr>
                      <w:rFonts w:hint="eastAsia" w:ascii="Calibri" w:hAnsi="Calibri"/>
                      <w:color w:val="auto"/>
                      <w:szCs w:val="21"/>
                    </w:rPr>
                    <w:t>81888982</w:t>
                  </w:r>
                </w:p>
                <w:p>
                  <w:pPr>
                    <w:jc w:val="center"/>
                    <w:rPr>
                      <w:rFonts w:ascii="Calibri" w:hAnsi="Calibri"/>
                      <w:color w:val="auto"/>
                      <w:szCs w:val="21"/>
                    </w:rPr>
                  </w:pPr>
                  <w:r>
                    <w:rPr>
                      <w:rFonts w:hint="eastAsia" w:ascii="Calibri" w:hAnsi="Calibri"/>
                      <w:color w:val="auto"/>
                      <w:szCs w:val="21"/>
                    </w:rPr>
                    <w:t>18957683735</w:t>
                  </w:r>
                </w:p>
              </w:tc>
            </w:tr>
          </w:tbl>
          <w:p>
            <w:pPr>
              <w:rPr>
                <w:color w:val="auto"/>
                <w:sz w:val="32"/>
                <w:szCs w:val="32"/>
              </w:rPr>
            </w:pPr>
            <w:r>
              <w:rPr>
                <w:rFonts w:hint="eastAsia" w:ascii="宋体" w:hAnsi="宋体" w:cs="宋体"/>
                <w:color w:val="auto"/>
                <w:sz w:val="24"/>
              </w:rPr>
              <w:t>中标供应商如有合同履约保函需求，可使用以下联系方式：</w:t>
            </w:r>
          </w:p>
          <w:tbl>
            <w:tblPr>
              <w:tblStyle w:val="3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15"/>
              <w:gridCol w:w="1500"/>
              <w:gridCol w:w="867"/>
              <w:gridCol w:w="1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7" w:hRule="atLeast"/>
              </w:trPr>
              <w:tc>
                <w:tcPr>
                  <w:tcW w:w="2415" w:type="dxa"/>
                  <w:vAlign w:val="center"/>
                </w:tcPr>
                <w:p>
                  <w:pPr>
                    <w:jc w:val="center"/>
                    <w:rPr>
                      <w:rFonts w:ascii="Calibri" w:hAnsi="Calibri"/>
                      <w:color w:val="auto"/>
                      <w:szCs w:val="21"/>
                    </w:rPr>
                  </w:pPr>
                  <w:r>
                    <w:rPr>
                      <w:rFonts w:hint="eastAsia" w:ascii="Calibri" w:hAnsi="Calibri"/>
                      <w:color w:val="auto"/>
                      <w:szCs w:val="21"/>
                    </w:rPr>
                    <w:t>保险公司名称</w:t>
                  </w:r>
                </w:p>
              </w:tc>
              <w:tc>
                <w:tcPr>
                  <w:tcW w:w="1500" w:type="dxa"/>
                  <w:vAlign w:val="center"/>
                </w:tcPr>
                <w:p>
                  <w:pPr>
                    <w:jc w:val="center"/>
                    <w:rPr>
                      <w:rFonts w:ascii="Calibri" w:hAnsi="Calibri"/>
                      <w:color w:val="auto"/>
                      <w:szCs w:val="21"/>
                    </w:rPr>
                  </w:pPr>
                  <w:r>
                    <w:rPr>
                      <w:rFonts w:hint="eastAsia" w:ascii="Calibri" w:hAnsi="Calibri"/>
                      <w:color w:val="auto"/>
                      <w:szCs w:val="21"/>
                    </w:rPr>
                    <w:t>保费率</w:t>
                  </w:r>
                </w:p>
              </w:tc>
              <w:tc>
                <w:tcPr>
                  <w:tcW w:w="867" w:type="dxa"/>
                  <w:vAlign w:val="center"/>
                </w:tcPr>
                <w:p>
                  <w:pPr>
                    <w:jc w:val="center"/>
                    <w:rPr>
                      <w:rFonts w:ascii="Calibri" w:hAnsi="Calibri"/>
                      <w:color w:val="auto"/>
                      <w:szCs w:val="21"/>
                    </w:rPr>
                  </w:pPr>
                  <w:r>
                    <w:rPr>
                      <w:rFonts w:hint="eastAsia" w:ascii="Calibri" w:hAnsi="Calibri"/>
                      <w:color w:val="auto"/>
                      <w:szCs w:val="21"/>
                    </w:rPr>
                    <w:t>联系人</w:t>
                  </w:r>
                </w:p>
              </w:tc>
              <w:tc>
                <w:tcPr>
                  <w:tcW w:w="1117" w:type="dxa"/>
                  <w:vAlign w:val="center"/>
                </w:tcPr>
                <w:p>
                  <w:pPr>
                    <w:jc w:val="center"/>
                    <w:rPr>
                      <w:rFonts w:ascii="Calibri" w:hAnsi="Calibri"/>
                      <w:color w:val="auto"/>
                      <w:szCs w:val="21"/>
                    </w:rPr>
                  </w:pPr>
                  <w:r>
                    <w:rPr>
                      <w:rFonts w:hint="eastAsia" w:ascii="Calibri" w:hAnsi="Calibri"/>
                      <w:color w:val="auto"/>
                      <w:szCs w:val="21"/>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pPr>
                    <w:rPr>
                      <w:rFonts w:ascii="Calibri" w:hAnsi="Calibri"/>
                      <w:color w:val="auto"/>
                      <w:szCs w:val="21"/>
                    </w:rPr>
                  </w:pPr>
                  <w:r>
                    <w:rPr>
                      <w:rFonts w:hint="eastAsia" w:ascii="Calibri" w:hAnsi="Calibri"/>
                      <w:color w:val="auto"/>
                      <w:szCs w:val="21"/>
                    </w:rPr>
                    <w:t>中国人寿财产保险股份有限公司台州中心支公司</w:t>
                  </w:r>
                </w:p>
              </w:tc>
              <w:tc>
                <w:tcPr>
                  <w:tcW w:w="1500" w:type="dxa"/>
                </w:tcPr>
                <w:p>
                  <w:pPr>
                    <w:rPr>
                      <w:rFonts w:ascii="Calibri" w:hAnsi="Calibri"/>
                      <w:color w:val="auto"/>
                      <w:szCs w:val="21"/>
                    </w:rPr>
                  </w:pPr>
                  <w:r>
                    <w:rPr>
                      <w:rFonts w:hint="eastAsia" w:ascii="Calibri" w:hAnsi="Calibri"/>
                      <w:color w:val="auto"/>
                      <w:szCs w:val="21"/>
                    </w:rPr>
                    <w:t>年费率1%，最低保费500元</w:t>
                  </w:r>
                </w:p>
              </w:tc>
              <w:tc>
                <w:tcPr>
                  <w:tcW w:w="867" w:type="dxa"/>
                </w:tcPr>
                <w:p>
                  <w:pPr>
                    <w:rPr>
                      <w:rFonts w:ascii="Calibri" w:hAnsi="Calibri"/>
                      <w:color w:val="auto"/>
                      <w:szCs w:val="21"/>
                    </w:rPr>
                  </w:pPr>
                  <w:r>
                    <w:rPr>
                      <w:rFonts w:hint="eastAsia" w:ascii="Calibri" w:hAnsi="Calibri"/>
                      <w:color w:val="auto"/>
                      <w:szCs w:val="21"/>
                    </w:rPr>
                    <w:t>徐凌</w:t>
                  </w:r>
                </w:p>
              </w:tc>
              <w:tc>
                <w:tcPr>
                  <w:tcW w:w="1117" w:type="dxa"/>
                </w:tcPr>
                <w:p>
                  <w:pPr>
                    <w:rPr>
                      <w:rFonts w:ascii="Calibri" w:hAnsi="Calibri"/>
                      <w:color w:val="auto"/>
                      <w:szCs w:val="21"/>
                    </w:rPr>
                  </w:pPr>
                  <w:r>
                    <w:rPr>
                      <w:rFonts w:ascii="Calibri" w:hAnsi="Calibri"/>
                      <w:color w:val="auto"/>
                      <w:szCs w:val="21"/>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pPr>
                    <w:rPr>
                      <w:rFonts w:ascii="Calibri" w:hAnsi="Calibri"/>
                      <w:color w:val="auto"/>
                      <w:szCs w:val="21"/>
                    </w:rPr>
                  </w:pPr>
                  <w:r>
                    <w:rPr>
                      <w:rFonts w:hint="eastAsia" w:ascii="Calibri" w:hAnsi="Calibri"/>
                      <w:color w:val="auto"/>
                      <w:szCs w:val="21"/>
                    </w:rPr>
                    <w:t>永诚财产保险股份有限公司台州分公司</w:t>
                  </w:r>
                </w:p>
              </w:tc>
              <w:tc>
                <w:tcPr>
                  <w:tcW w:w="1500" w:type="dxa"/>
                </w:tcPr>
                <w:p>
                  <w:pPr>
                    <w:rPr>
                      <w:rFonts w:ascii="Calibri" w:hAnsi="Calibri"/>
                      <w:color w:val="auto"/>
                      <w:szCs w:val="21"/>
                    </w:rPr>
                  </w:pPr>
                  <w:r>
                    <w:rPr>
                      <w:rFonts w:hint="eastAsia" w:ascii="Calibri" w:hAnsi="Calibri"/>
                      <w:color w:val="auto"/>
                      <w:szCs w:val="21"/>
                    </w:rPr>
                    <w:t>年费率1%，最低保费1000元</w:t>
                  </w:r>
                </w:p>
              </w:tc>
              <w:tc>
                <w:tcPr>
                  <w:tcW w:w="867" w:type="dxa"/>
                </w:tcPr>
                <w:p>
                  <w:pPr>
                    <w:rPr>
                      <w:rFonts w:ascii="Calibri" w:hAnsi="Calibri"/>
                      <w:color w:val="auto"/>
                      <w:szCs w:val="21"/>
                    </w:rPr>
                  </w:pPr>
                  <w:r>
                    <w:rPr>
                      <w:rFonts w:hint="eastAsia" w:ascii="Calibri" w:hAnsi="Calibri"/>
                      <w:color w:val="auto"/>
                      <w:szCs w:val="21"/>
                    </w:rPr>
                    <w:t>尹刚强</w:t>
                  </w:r>
                </w:p>
              </w:tc>
              <w:tc>
                <w:tcPr>
                  <w:tcW w:w="1117" w:type="dxa"/>
                </w:tcPr>
                <w:p>
                  <w:pPr>
                    <w:rPr>
                      <w:rFonts w:ascii="Calibri" w:hAnsi="Calibri"/>
                      <w:color w:val="auto"/>
                      <w:szCs w:val="21"/>
                    </w:rPr>
                  </w:pPr>
                  <w:r>
                    <w:rPr>
                      <w:rFonts w:ascii="Calibri" w:hAnsi="Calibri"/>
                      <w:color w:val="auto"/>
                      <w:szCs w:val="21"/>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pPr>
                    <w:rPr>
                      <w:rFonts w:ascii="Calibri" w:hAnsi="Calibri"/>
                      <w:color w:val="auto"/>
                      <w:szCs w:val="21"/>
                    </w:rPr>
                  </w:pPr>
                  <w:r>
                    <w:rPr>
                      <w:rFonts w:hint="eastAsia" w:ascii="Calibri" w:hAnsi="Calibri"/>
                      <w:color w:val="auto"/>
                      <w:szCs w:val="21"/>
                    </w:rPr>
                    <w:t>华泰财产保险有限公司台州中心支公司</w:t>
                  </w:r>
                </w:p>
              </w:tc>
              <w:tc>
                <w:tcPr>
                  <w:tcW w:w="1500" w:type="dxa"/>
                </w:tcPr>
                <w:p>
                  <w:pPr>
                    <w:rPr>
                      <w:rFonts w:ascii="Calibri" w:hAnsi="Calibri"/>
                      <w:color w:val="auto"/>
                      <w:szCs w:val="21"/>
                    </w:rPr>
                  </w:pPr>
                  <w:r>
                    <w:rPr>
                      <w:rFonts w:hint="eastAsia" w:ascii="Calibri" w:hAnsi="Calibri"/>
                      <w:color w:val="auto"/>
                      <w:szCs w:val="21"/>
                    </w:rPr>
                    <w:t>年费率0.5%，最低保费1000元</w:t>
                  </w:r>
                </w:p>
              </w:tc>
              <w:tc>
                <w:tcPr>
                  <w:tcW w:w="867" w:type="dxa"/>
                </w:tcPr>
                <w:p>
                  <w:pPr>
                    <w:rPr>
                      <w:rFonts w:ascii="Calibri" w:hAnsi="Calibri"/>
                      <w:color w:val="auto"/>
                      <w:szCs w:val="21"/>
                    </w:rPr>
                  </w:pPr>
                  <w:r>
                    <w:rPr>
                      <w:rFonts w:hint="eastAsia" w:ascii="Calibri" w:hAnsi="Calibri"/>
                      <w:color w:val="auto"/>
                      <w:szCs w:val="21"/>
                    </w:rPr>
                    <w:t>王灵芳</w:t>
                  </w:r>
                </w:p>
              </w:tc>
              <w:tc>
                <w:tcPr>
                  <w:tcW w:w="1117" w:type="dxa"/>
                </w:tcPr>
                <w:p>
                  <w:pPr>
                    <w:rPr>
                      <w:rFonts w:ascii="Calibri" w:hAnsi="Calibri"/>
                      <w:color w:val="auto"/>
                      <w:szCs w:val="21"/>
                    </w:rPr>
                  </w:pPr>
                  <w:r>
                    <w:rPr>
                      <w:rFonts w:ascii="Calibri" w:hAnsi="Calibri"/>
                      <w:color w:val="auto"/>
                      <w:szCs w:val="21"/>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pPr>
                    <w:rPr>
                      <w:rFonts w:ascii="Calibri" w:hAnsi="Calibri"/>
                      <w:color w:val="auto"/>
                      <w:szCs w:val="21"/>
                    </w:rPr>
                  </w:pPr>
                  <w:r>
                    <w:rPr>
                      <w:rFonts w:hint="eastAsia" w:ascii="Calibri" w:hAnsi="Calibri"/>
                      <w:color w:val="auto"/>
                      <w:szCs w:val="21"/>
                    </w:rPr>
                    <w:t>中国大地财产保险股份有限公司台州中心支公司</w:t>
                  </w:r>
                </w:p>
              </w:tc>
              <w:tc>
                <w:tcPr>
                  <w:tcW w:w="1500" w:type="dxa"/>
                </w:tcPr>
                <w:p>
                  <w:pPr>
                    <w:rPr>
                      <w:rFonts w:ascii="Calibri" w:hAnsi="Calibri"/>
                      <w:color w:val="auto"/>
                      <w:szCs w:val="21"/>
                    </w:rPr>
                  </w:pPr>
                  <w:r>
                    <w:rPr>
                      <w:rFonts w:hint="eastAsia" w:ascii="Calibri" w:hAnsi="Calibri"/>
                      <w:color w:val="auto"/>
                      <w:szCs w:val="21"/>
                    </w:rPr>
                    <w:t>年费率1.5%，最低保费1000元</w:t>
                  </w:r>
                </w:p>
              </w:tc>
              <w:tc>
                <w:tcPr>
                  <w:tcW w:w="867" w:type="dxa"/>
                </w:tcPr>
                <w:p>
                  <w:pPr>
                    <w:rPr>
                      <w:rFonts w:ascii="Calibri" w:hAnsi="Calibri"/>
                      <w:color w:val="auto"/>
                      <w:szCs w:val="21"/>
                    </w:rPr>
                  </w:pPr>
                  <w:r>
                    <w:rPr>
                      <w:rFonts w:hint="eastAsia" w:ascii="Calibri" w:hAnsi="Calibri"/>
                      <w:color w:val="auto"/>
                      <w:szCs w:val="21"/>
                    </w:rPr>
                    <w:t>徐小明</w:t>
                  </w:r>
                </w:p>
              </w:tc>
              <w:tc>
                <w:tcPr>
                  <w:tcW w:w="1117" w:type="dxa"/>
                </w:tcPr>
                <w:p>
                  <w:pPr>
                    <w:rPr>
                      <w:rFonts w:ascii="Calibri" w:hAnsi="Calibri"/>
                      <w:color w:val="auto"/>
                      <w:szCs w:val="21"/>
                    </w:rPr>
                  </w:pPr>
                  <w:r>
                    <w:rPr>
                      <w:rFonts w:ascii="Calibri" w:hAnsi="Calibri"/>
                      <w:color w:val="auto"/>
                      <w:szCs w:val="21"/>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pPr>
                    <w:rPr>
                      <w:rFonts w:ascii="Calibri" w:hAnsi="Calibri"/>
                      <w:color w:val="auto"/>
                      <w:szCs w:val="21"/>
                    </w:rPr>
                  </w:pPr>
                  <w:r>
                    <w:rPr>
                      <w:rFonts w:hint="eastAsia" w:ascii="Calibri" w:hAnsi="Calibri"/>
                      <w:color w:val="auto"/>
                      <w:szCs w:val="21"/>
                    </w:rPr>
                    <w:t>阳光保险台州中心支公司</w:t>
                  </w:r>
                </w:p>
              </w:tc>
              <w:tc>
                <w:tcPr>
                  <w:tcW w:w="1500" w:type="dxa"/>
                </w:tcPr>
                <w:p>
                  <w:pPr>
                    <w:rPr>
                      <w:rFonts w:ascii="Calibri" w:hAnsi="Calibri"/>
                      <w:color w:val="auto"/>
                      <w:szCs w:val="21"/>
                    </w:rPr>
                  </w:pPr>
                  <w:r>
                    <w:rPr>
                      <w:rFonts w:hint="eastAsia" w:ascii="Calibri" w:hAnsi="Calibri"/>
                      <w:color w:val="auto"/>
                      <w:szCs w:val="21"/>
                    </w:rPr>
                    <w:t>年费率1%，最低保费500元</w:t>
                  </w:r>
                </w:p>
              </w:tc>
              <w:tc>
                <w:tcPr>
                  <w:tcW w:w="867" w:type="dxa"/>
                </w:tcPr>
                <w:p>
                  <w:pPr>
                    <w:rPr>
                      <w:rFonts w:ascii="Calibri" w:hAnsi="Calibri"/>
                      <w:color w:val="auto"/>
                      <w:szCs w:val="21"/>
                    </w:rPr>
                  </w:pPr>
                  <w:r>
                    <w:rPr>
                      <w:rFonts w:hint="eastAsia" w:ascii="Calibri" w:hAnsi="Calibri"/>
                      <w:color w:val="auto"/>
                      <w:szCs w:val="21"/>
                    </w:rPr>
                    <w:t>林高明</w:t>
                  </w:r>
                </w:p>
              </w:tc>
              <w:tc>
                <w:tcPr>
                  <w:tcW w:w="1117" w:type="dxa"/>
                </w:tcPr>
                <w:p>
                  <w:pPr>
                    <w:rPr>
                      <w:rFonts w:ascii="Calibri" w:hAnsi="Calibri"/>
                      <w:color w:val="auto"/>
                      <w:szCs w:val="21"/>
                    </w:rPr>
                  </w:pPr>
                  <w:r>
                    <w:rPr>
                      <w:rFonts w:ascii="Calibri" w:hAnsi="Calibri"/>
                      <w:color w:val="auto"/>
                      <w:szCs w:val="21"/>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pPr>
                    <w:rPr>
                      <w:rFonts w:ascii="Calibri" w:hAnsi="Calibri"/>
                      <w:color w:val="auto"/>
                      <w:szCs w:val="21"/>
                    </w:rPr>
                  </w:pPr>
                  <w:r>
                    <w:rPr>
                      <w:rFonts w:hint="eastAsia" w:ascii="Calibri" w:hAnsi="Calibri"/>
                      <w:color w:val="auto"/>
                      <w:szCs w:val="21"/>
                    </w:rPr>
                    <w:t>中华联合财产保险股份有限公司台州中心支公司</w:t>
                  </w:r>
                </w:p>
              </w:tc>
              <w:tc>
                <w:tcPr>
                  <w:tcW w:w="1500" w:type="dxa"/>
                </w:tcPr>
                <w:p>
                  <w:pPr>
                    <w:rPr>
                      <w:rFonts w:ascii="Calibri" w:hAnsi="Calibri"/>
                      <w:color w:val="auto"/>
                      <w:szCs w:val="21"/>
                    </w:rPr>
                  </w:pPr>
                  <w:r>
                    <w:rPr>
                      <w:rFonts w:hint="eastAsia" w:ascii="Calibri" w:hAnsi="Calibri"/>
                      <w:color w:val="auto"/>
                      <w:szCs w:val="21"/>
                    </w:rPr>
                    <w:t>年费率2%，最低保费500元</w:t>
                  </w:r>
                </w:p>
              </w:tc>
              <w:tc>
                <w:tcPr>
                  <w:tcW w:w="867" w:type="dxa"/>
                </w:tcPr>
                <w:p>
                  <w:pPr>
                    <w:rPr>
                      <w:rFonts w:ascii="Calibri" w:hAnsi="Calibri"/>
                      <w:color w:val="auto"/>
                      <w:szCs w:val="21"/>
                    </w:rPr>
                  </w:pPr>
                  <w:r>
                    <w:rPr>
                      <w:rFonts w:hint="eastAsia" w:ascii="Calibri" w:hAnsi="Calibri"/>
                      <w:color w:val="auto"/>
                      <w:szCs w:val="21"/>
                    </w:rPr>
                    <w:t>王仙高</w:t>
                  </w:r>
                </w:p>
              </w:tc>
              <w:tc>
                <w:tcPr>
                  <w:tcW w:w="1117" w:type="dxa"/>
                </w:tcPr>
                <w:p>
                  <w:pPr>
                    <w:rPr>
                      <w:rFonts w:ascii="Calibri" w:hAnsi="Calibri"/>
                      <w:color w:val="auto"/>
                      <w:szCs w:val="21"/>
                    </w:rPr>
                  </w:pPr>
                  <w:r>
                    <w:rPr>
                      <w:rFonts w:ascii="Calibri" w:hAnsi="Calibri"/>
                      <w:color w:val="auto"/>
                      <w:szCs w:val="21"/>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pPr>
                    <w:rPr>
                      <w:rFonts w:ascii="Calibri" w:hAnsi="Calibri"/>
                      <w:color w:val="auto"/>
                      <w:szCs w:val="21"/>
                    </w:rPr>
                  </w:pPr>
                  <w:r>
                    <w:rPr>
                      <w:rFonts w:hint="eastAsia" w:ascii="Calibri" w:hAnsi="Calibri"/>
                      <w:color w:val="auto"/>
                      <w:szCs w:val="21"/>
                    </w:rPr>
                    <w:t>中国人民财产保险股份有限公司台州中心支公司</w:t>
                  </w:r>
                </w:p>
              </w:tc>
              <w:tc>
                <w:tcPr>
                  <w:tcW w:w="1500" w:type="dxa"/>
                </w:tcPr>
                <w:p>
                  <w:pPr>
                    <w:rPr>
                      <w:rFonts w:ascii="Calibri" w:hAnsi="Calibri"/>
                      <w:color w:val="auto"/>
                      <w:szCs w:val="21"/>
                    </w:rPr>
                  </w:pPr>
                  <w:r>
                    <w:rPr>
                      <w:rFonts w:hint="eastAsia" w:ascii="Calibri" w:hAnsi="Calibri"/>
                      <w:color w:val="auto"/>
                      <w:szCs w:val="21"/>
                    </w:rPr>
                    <w:t>年费率0.3%，最低保费1000元</w:t>
                  </w:r>
                </w:p>
              </w:tc>
              <w:tc>
                <w:tcPr>
                  <w:tcW w:w="867" w:type="dxa"/>
                </w:tcPr>
                <w:p>
                  <w:pPr>
                    <w:rPr>
                      <w:rFonts w:ascii="Calibri" w:hAnsi="Calibri"/>
                      <w:color w:val="auto"/>
                      <w:szCs w:val="21"/>
                    </w:rPr>
                  </w:pPr>
                  <w:r>
                    <w:rPr>
                      <w:rFonts w:hint="eastAsia" w:ascii="Calibri" w:hAnsi="Calibri"/>
                      <w:color w:val="auto"/>
                      <w:szCs w:val="21"/>
                    </w:rPr>
                    <w:t>王仙春</w:t>
                  </w:r>
                </w:p>
              </w:tc>
              <w:tc>
                <w:tcPr>
                  <w:tcW w:w="1117" w:type="dxa"/>
                </w:tcPr>
                <w:p>
                  <w:pPr>
                    <w:rPr>
                      <w:rFonts w:ascii="Calibri" w:hAnsi="Calibri"/>
                      <w:color w:val="auto"/>
                      <w:szCs w:val="21"/>
                    </w:rPr>
                  </w:pPr>
                  <w:r>
                    <w:rPr>
                      <w:rFonts w:ascii="Calibri" w:hAnsi="Calibri"/>
                      <w:color w:val="auto"/>
                      <w:szCs w:val="21"/>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415" w:type="dxa"/>
                </w:tcPr>
                <w:p>
                  <w:pPr>
                    <w:jc w:val="left"/>
                    <w:rPr>
                      <w:rFonts w:ascii="Calibri" w:hAnsi="Calibri"/>
                      <w:color w:val="auto"/>
                      <w:szCs w:val="21"/>
                    </w:rPr>
                  </w:pPr>
                  <w:r>
                    <w:rPr>
                      <w:rFonts w:hint="eastAsia" w:ascii="Calibri" w:hAnsi="Calibri"/>
                      <w:color w:val="auto"/>
                      <w:szCs w:val="21"/>
                    </w:rPr>
                    <w:t>永安财产保险股份有限公司台州中心支公司</w:t>
                  </w:r>
                </w:p>
              </w:tc>
              <w:tc>
                <w:tcPr>
                  <w:tcW w:w="1500" w:type="dxa"/>
                </w:tcPr>
                <w:p>
                  <w:pPr>
                    <w:jc w:val="left"/>
                    <w:rPr>
                      <w:rFonts w:ascii="Calibri" w:hAnsi="Calibri"/>
                      <w:color w:val="auto"/>
                      <w:szCs w:val="21"/>
                    </w:rPr>
                  </w:pPr>
                  <w:r>
                    <w:rPr>
                      <w:rFonts w:hint="eastAsia" w:ascii="Calibri" w:hAnsi="Calibri"/>
                      <w:color w:val="auto"/>
                      <w:szCs w:val="21"/>
                    </w:rPr>
                    <w:t>年费率0.3%，最低保费1000</w:t>
                  </w:r>
                </w:p>
              </w:tc>
              <w:tc>
                <w:tcPr>
                  <w:tcW w:w="867" w:type="dxa"/>
                </w:tcPr>
                <w:p>
                  <w:pPr>
                    <w:jc w:val="left"/>
                    <w:rPr>
                      <w:rFonts w:ascii="Calibri" w:hAnsi="Calibri"/>
                      <w:color w:val="auto"/>
                      <w:szCs w:val="21"/>
                    </w:rPr>
                  </w:pPr>
                  <w:r>
                    <w:rPr>
                      <w:rFonts w:hint="eastAsia" w:ascii="Calibri" w:hAnsi="Calibri"/>
                      <w:color w:val="auto"/>
                      <w:szCs w:val="21"/>
                    </w:rPr>
                    <w:t>王春宇</w:t>
                  </w:r>
                </w:p>
              </w:tc>
              <w:tc>
                <w:tcPr>
                  <w:tcW w:w="1117" w:type="dxa"/>
                </w:tcPr>
                <w:p>
                  <w:pPr>
                    <w:jc w:val="left"/>
                    <w:rPr>
                      <w:rFonts w:ascii="Calibri" w:hAnsi="Calibri"/>
                      <w:color w:val="auto"/>
                      <w:szCs w:val="21"/>
                    </w:rPr>
                  </w:pPr>
                  <w:r>
                    <w:rPr>
                      <w:rFonts w:ascii="Calibri" w:hAnsi="Calibri"/>
                      <w:color w:val="auto"/>
                      <w:szCs w:val="21"/>
                    </w:rPr>
                    <w:t>13676675331</w:t>
                  </w:r>
                </w:p>
              </w:tc>
            </w:tr>
          </w:tbl>
          <w:p>
            <w:pPr>
              <w:jc w:val="center"/>
              <w:rPr>
                <w:color w:val="auto"/>
                <w:sz w:val="32"/>
                <w:szCs w:val="32"/>
              </w:rPr>
            </w:pPr>
          </w:p>
          <w:p>
            <w:pPr>
              <w:rPr>
                <w:color w:val="auto"/>
                <w:sz w:val="32"/>
                <w:szCs w:val="32"/>
              </w:rPr>
            </w:pPr>
            <w:r>
              <w:rPr>
                <w:rFonts w:hint="eastAsia" w:ascii="宋体" w:hAnsi="宋体" w:cs="宋体"/>
                <w:color w:val="auto"/>
                <w:sz w:val="24"/>
              </w:rPr>
              <w:t>中标供应商如有预付款保函需求，可使用以下联系方式：</w:t>
            </w:r>
          </w:p>
          <w:tbl>
            <w:tblPr>
              <w:tblStyle w:val="3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04"/>
              <w:gridCol w:w="1671"/>
              <w:gridCol w:w="856"/>
              <w:gridCol w:w="10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trPr>
              <w:tc>
                <w:tcPr>
                  <w:tcW w:w="2404" w:type="dxa"/>
                  <w:vAlign w:val="center"/>
                </w:tcPr>
                <w:p>
                  <w:pPr>
                    <w:jc w:val="center"/>
                    <w:rPr>
                      <w:rFonts w:ascii="Calibri" w:hAnsi="Calibri"/>
                      <w:color w:val="auto"/>
                      <w:sz w:val="24"/>
                    </w:rPr>
                  </w:pPr>
                  <w:r>
                    <w:rPr>
                      <w:rFonts w:hint="eastAsia" w:ascii="Calibri" w:hAnsi="Calibri"/>
                      <w:color w:val="auto"/>
                      <w:sz w:val="24"/>
                    </w:rPr>
                    <w:t>保险公司名称</w:t>
                  </w:r>
                </w:p>
              </w:tc>
              <w:tc>
                <w:tcPr>
                  <w:tcW w:w="1671" w:type="dxa"/>
                  <w:vAlign w:val="center"/>
                </w:tcPr>
                <w:p>
                  <w:pPr>
                    <w:jc w:val="center"/>
                    <w:rPr>
                      <w:rFonts w:ascii="Calibri" w:hAnsi="Calibri"/>
                      <w:color w:val="auto"/>
                    </w:rPr>
                  </w:pPr>
                  <w:r>
                    <w:rPr>
                      <w:rFonts w:hint="eastAsia" w:ascii="Calibri" w:hAnsi="Calibri"/>
                      <w:color w:val="auto"/>
                    </w:rPr>
                    <w:t>保费率</w:t>
                  </w:r>
                </w:p>
              </w:tc>
              <w:tc>
                <w:tcPr>
                  <w:tcW w:w="856" w:type="dxa"/>
                  <w:vAlign w:val="center"/>
                </w:tcPr>
                <w:p>
                  <w:pPr>
                    <w:jc w:val="center"/>
                    <w:rPr>
                      <w:rFonts w:ascii="Calibri" w:hAnsi="Calibri"/>
                      <w:color w:val="auto"/>
                    </w:rPr>
                  </w:pPr>
                  <w:r>
                    <w:rPr>
                      <w:rFonts w:hint="eastAsia" w:ascii="Calibri" w:hAnsi="Calibri"/>
                      <w:color w:val="auto"/>
                    </w:rPr>
                    <w:t>联系人</w:t>
                  </w:r>
                </w:p>
              </w:tc>
              <w:tc>
                <w:tcPr>
                  <w:tcW w:w="1026" w:type="dxa"/>
                  <w:vAlign w:val="center"/>
                </w:tcPr>
                <w:p>
                  <w:pPr>
                    <w:jc w:val="center"/>
                    <w:rPr>
                      <w:rFonts w:ascii="Calibri" w:hAnsi="Calibri"/>
                      <w:color w:val="auto"/>
                    </w:rPr>
                  </w:pPr>
                  <w:r>
                    <w:rPr>
                      <w:rFonts w:hint="eastAsia" w:ascii="Calibri" w:hAnsi="Calibri"/>
                      <w:color w:val="auto"/>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404" w:type="dxa"/>
                </w:tcPr>
                <w:p>
                  <w:pPr>
                    <w:rPr>
                      <w:rFonts w:ascii="Calibri" w:hAnsi="Calibri"/>
                      <w:color w:val="auto"/>
                    </w:rPr>
                  </w:pPr>
                  <w:r>
                    <w:rPr>
                      <w:rFonts w:hint="eastAsia" w:ascii="Calibri" w:hAnsi="Calibri"/>
                      <w:color w:val="auto"/>
                    </w:rPr>
                    <w:t>中国人寿财产保险股份有限公司台州中心支公司</w:t>
                  </w:r>
                </w:p>
              </w:tc>
              <w:tc>
                <w:tcPr>
                  <w:tcW w:w="1671" w:type="dxa"/>
                </w:tcPr>
                <w:p>
                  <w:pPr>
                    <w:rPr>
                      <w:rFonts w:ascii="Calibri" w:hAnsi="Calibri"/>
                      <w:color w:val="auto"/>
                    </w:rPr>
                  </w:pPr>
                  <w:r>
                    <w:rPr>
                      <w:rFonts w:hint="eastAsia" w:ascii="Calibri" w:hAnsi="Calibri"/>
                      <w:color w:val="auto"/>
                    </w:rPr>
                    <w:t>年费率3%，最低保费500元</w:t>
                  </w:r>
                </w:p>
              </w:tc>
              <w:tc>
                <w:tcPr>
                  <w:tcW w:w="856" w:type="dxa"/>
                </w:tcPr>
                <w:p>
                  <w:pPr>
                    <w:rPr>
                      <w:rFonts w:ascii="Calibri" w:hAnsi="Calibri"/>
                      <w:color w:val="auto"/>
                    </w:rPr>
                  </w:pPr>
                  <w:r>
                    <w:rPr>
                      <w:rFonts w:hint="eastAsia" w:ascii="Calibri" w:hAnsi="Calibri"/>
                      <w:color w:val="auto"/>
                    </w:rPr>
                    <w:t>徐凌</w:t>
                  </w:r>
                </w:p>
              </w:tc>
              <w:tc>
                <w:tcPr>
                  <w:tcW w:w="1026" w:type="dxa"/>
                </w:tcPr>
                <w:p>
                  <w:pPr>
                    <w:rPr>
                      <w:rFonts w:ascii="Calibri" w:hAnsi="Calibri"/>
                      <w:color w:val="auto"/>
                    </w:rPr>
                  </w:pPr>
                  <w:r>
                    <w:rPr>
                      <w:rFonts w:ascii="Calibri" w:hAnsi="Calibri"/>
                      <w:color w:val="auto"/>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404" w:type="dxa"/>
                </w:tcPr>
                <w:p>
                  <w:pPr>
                    <w:rPr>
                      <w:rFonts w:ascii="Calibri" w:hAnsi="Calibri"/>
                      <w:color w:val="auto"/>
                    </w:rPr>
                  </w:pPr>
                  <w:r>
                    <w:rPr>
                      <w:rFonts w:hint="eastAsia" w:ascii="Calibri" w:hAnsi="Calibri"/>
                      <w:color w:val="auto"/>
                    </w:rPr>
                    <w:t>阳光保险台州中心支公司</w:t>
                  </w:r>
                </w:p>
              </w:tc>
              <w:tc>
                <w:tcPr>
                  <w:tcW w:w="1671" w:type="dxa"/>
                </w:tcPr>
                <w:p>
                  <w:pPr>
                    <w:rPr>
                      <w:rFonts w:ascii="Calibri" w:hAnsi="Calibri"/>
                      <w:color w:val="auto"/>
                    </w:rPr>
                  </w:pPr>
                  <w:r>
                    <w:rPr>
                      <w:rFonts w:hint="eastAsia" w:ascii="Calibri" w:hAnsi="Calibri"/>
                      <w:color w:val="auto"/>
                    </w:rPr>
                    <w:t>年费率1%，最低保费500元</w:t>
                  </w:r>
                </w:p>
              </w:tc>
              <w:tc>
                <w:tcPr>
                  <w:tcW w:w="856" w:type="dxa"/>
                </w:tcPr>
                <w:p>
                  <w:pPr>
                    <w:rPr>
                      <w:rFonts w:ascii="Calibri" w:hAnsi="Calibri"/>
                      <w:color w:val="auto"/>
                    </w:rPr>
                  </w:pPr>
                  <w:r>
                    <w:rPr>
                      <w:rFonts w:hint="eastAsia" w:ascii="Calibri" w:hAnsi="Calibri"/>
                      <w:color w:val="auto"/>
                    </w:rPr>
                    <w:t>林高明</w:t>
                  </w:r>
                </w:p>
              </w:tc>
              <w:tc>
                <w:tcPr>
                  <w:tcW w:w="1026" w:type="dxa"/>
                </w:tcPr>
                <w:p>
                  <w:pPr>
                    <w:rPr>
                      <w:rFonts w:ascii="Calibri" w:hAnsi="Calibri"/>
                      <w:color w:val="auto"/>
                    </w:rPr>
                  </w:pPr>
                  <w:r>
                    <w:rPr>
                      <w:rFonts w:ascii="Calibri" w:hAnsi="Calibri"/>
                      <w:color w:val="auto"/>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2404" w:type="dxa"/>
                </w:tcPr>
                <w:p>
                  <w:pPr>
                    <w:rPr>
                      <w:rFonts w:ascii="Calibri" w:hAnsi="Calibri"/>
                      <w:color w:val="auto"/>
                    </w:rPr>
                  </w:pPr>
                  <w:r>
                    <w:rPr>
                      <w:rFonts w:hint="eastAsia" w:ascii="Calibri" w:hAnsi="Calibri"/>
                      <w:color w:val="auto"/>
                    </w:rPr>
                    <w:t>天安财产保险股份有限公司台州中心支公司</w:t>
                  </w:r>
                </w:p>
              </w:tc>
              <w:tc>
                <w:tcPr>
                  <w:tcW w:w="1671" w:type="dxa"/>
                </w:tcPr>
                <w:p>
                  <w:pPr>
                    <w:rPr>
                      <w:rFonts w:ascii="Calibri" w:hAnsi="Calibri"/>
                      <w:color w:val="auto"/>
                    </w:rPr>
                  </w:pPr>
                  <w:r>
                    <w:rPr>
                      <w:rFonts w:hint="eastAsia" w:ascii="Calibri" w:hAnsi="Calibri"/>
                      <w:color w:val="auto"/>
                    </w:rPr>
                    <w:t>年费率1%-2%，最低保费500元</w:t>
                  </w:r>
                </w:p>
              </w:tc>
              <w:tc>
                <w:tcPr>
                  <w:tcW w:w="856" w:type="dxa"/>
                </w:tcPr>
                <w:p>
                  <w:pPr>
                    <w:rPr>
                      <w:rFonts w:ascii="Calibri" w:hAnsi="Calibri"/>
                      <w:color w:val="auto"/>
                    </w:rPr>
                  </w:pPr>
                  <w:r>
                    <w:rPr>
                      <w:rFonts w:hint="eastAsia" w:ascii="Calibri" w:hAnsi="Calibri"/>
                      <w:color w:val="auto"/>
                    </w:rPr>
                    <w:t>罗赛</w:t>
                  </w:r>
                </w:p>
              </w:tc>
              <w:tc>
                <w:tcPr>
                  <w:tcW w:w="1026" w:type="dxa"/>
                </w:tcPr>
                <w:p>
                  <w:pPr>
                    <w:rPr>
                      <w:rFonts w:ascii="Calibri" w:hAnsi="Calibri"/>
                      <w:color w:val="auto"/>
                    </w:rPr>
                  </w:pPr>
                  <w:r>
                    <w:rPr>
                      <w:rFonts w:hint="eastAsia" w:ascii="Calibri" w:hAnsi="Calibri"/>
                      <w:color w:val="auto"/>
                    </w:rPr>
                    <w:t>13736605643</w:t>
                  </w:r>
                </w:p>
              </w:tc>
            </w:tr>
          </w:tbl>
          <w:p>
            <w:pPr>
              <w:rPr>
                <w:color w:val="auto"/>
              </w:rPr>
            </w:pPr>
          </w:p>
          <w:p>
            <w:pPr>
              <w:autoSpaceDE w:val="0"/>
              <w:autoSpaceDN w:val="0"/>
              <w:adjustRightInd w:val="0"/>
              <w:spacing w:line="360" w:lineRule="auto"/>
              <w:rPr>
                <w:rFonts w:ascii="宋体" w:hAnsi="宋体" w:cs="宋体"/>
                <w:color w:val="auto"/>
                <w:sz w:val="24"/>
              </w:rPr>
            </w:pPr>
          </w:p>
        </w:tc>
      </w:tr>
    </w:tbl>
    <w:p>
      <w:pPr>
        <w:pStyle w:val="22"/>
        <w:snapToGrid w:val="0"/>
        <w:spacing w:before="120" w:after="12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 、总  则</w:t>
      </w:r>
    </w:p>
    <w:p>
      <w:pPr>
        <w:snapToGrid w:val="0"/>
        <w:spacing w:line="360" w:lineRule="auto"/>
        <w:ind w:firstLine="472" w:firstLineChars="196"/>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w:t>
      </w:r>
      <w:r>
        <w:rPr>
          <w:rFonts w:asciiTheme="minorEastAsia" w:hAnsiTheme="minorEastAsia" w:eastAsiaTheme="minorEastAsia"/>
          <w:b/>
          <w:color w:val="auto"/>
          <w:sz w:val="24"/>
        </w:rPr>
        <w:t xml:space="preserve"> 适用范围</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本招标文件适用于</w:t>
      </w:r>
      <w:r>
        <w:rPr>
          <w:rFonts w:hint="eastAsia" w:asciiTheme="minorEastAsia" w:hAnsiTheme="minorEastAsia" w:eastAsiaTheme="minorEastAsia"/>
          <w:bCs/>
          <w:color w:val="auto"/>
          <w:sz w:val="24"/>
        </w:rPr>
        <w:t>本次</w:t>
      </w:r>
      <w:r>
        <w:rPr>
          <w:rFonts w:hint="eastAsia" w:asciiTheme="minorEastAsia" w:hAnsiTheme="minorEastAsia" w:eastAsiaTheme="minorEastAsia"/>
          <w:color w:val="auto"/>
          <w:sz w:val="24"/>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（二）定义</w:t>
      </w:r>
    </w:p>
    <w:p>
      <w:pPr>
        <w:pStyle w:val="8"/>
        <w:keepNext w:val="0"/>
        <w:keepLines w:val="0"/>
        <w:tabs>
          <w:tab w:val="left" w:pos="0"/>
          <w:tab w:val="left" w:pos="851"/>
        </w:tabs>
        <w:autoSpaceDE w:val="0"/>
        <w:autoSpaceDN w:val="0"/>
        <w:adjustRightInd w:val="0"/>
        <w:snapToGrid w:val="0"/>
        <w:spacing w:before="0" w:after="0" w:line="360" w:lineRule="auto"/>
        <w:ind w:firstLine="566" w:firstLineChars="236"/>
        <w:jc w:val="lef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color w:val="auto"/>
          <w:sz w:val="24"/>
          <w:szCs w:val="24"/>
        </w:rPr>
        <w:t>1、</w:t>
      </w:r>
      <w:r>
        <w:rPr>
          <w:rFonts w:hint="eastAsia" w:ascii="宋体" w:hAnsi="宋体"/>
          <w:b w:val="0"/>
          <w:bCs w:val="0"/>
          <w:color w:val="auto"/>
          <w:sz w:val="24"/>
          <w:szCs w:val="24"/>
          <w:lang w:val="zh-CN"/>
        </w:rPr>
        <w:t>“采购组织机构”指采购人委托组织招标的采购代理机构。</w:t>
      </w:r>
    </w:p>
    <w:p>
      <w:pPr>
        <w:snapToGrid w:val="0"/>
        <w:spacing w:line="360" w:lineRule="auto"/>
        <w:ind w:firstLine="566" w:firstLineChars="236"/>
        <w:rPr>
          <w:rFonts w:asciiTheme="minorEastAsia" w:hAnsiTheme="minorEastAsia" w:eastAsiaTheme="minorEastAsia"/>
          <w:color w:val="auto"/>
          <w:sz w:val="24"/>
        </w:rPr>
      </w:pPr>
      <w:r>
        <w:rPr>
          <w:rFonts w:hint="eastAsia" w:asciiTheme="minorEastAsia" w:hAnsiTheme="minorEastAsia" w:eastAsiaTheme="minorEastAsia"/>
          <w:color w:val="auto"/>
          <w:sz w:val="24"/>
        </w:rPr>
        <w:t>2、采购人：是指委托采购代理机构采购本次项目的国家机关、事业单位和团体组织。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投标人</w:t>
      </w:r>
      <w:r>
        <w:rPr>
          <w:rFonts w:hint="eastAsia" w:asciiTheme="minorEastAsia" w:hAnsiTheme="minorEastAsia" w:eastAsiaTheme="minorEastAsia"/>
          <w:color w:val="auto"/>
          <w:sz w:val="24"/>
          <w:lang w:val="en-US" w:eastAsia="zh-CN"/>
        </w:rPr>
        <w:t>/投标供应商</w:t>
      </w:r>
      <w:r>
        <w:rPr>
          <w:rFonts w:hint="eastAsia" w:asciiTheme="minorEastAsia" w:hAnsiTheme="minorEastAsia" w:eastAsiaTheme="minorEastAsia"/>
          <w:color w:val="auto"/>
          <w:sz w:val="24"/>
        </w:rPr>
        <w:t>：是</w:t>
      </w:r>
      <w:r>
        <w:rPr>
          <w:rFonts w:asciiTheme="minorEastAsia" w:hAnsiTheme="minorEastAsia" w:eastAsiaTheme="minorEastAsia"/>
          <w:color w:val="auto"/>
          <w:sz w:val="24"/>
        </w:rPr>
        <w:t>指向</w:t>
      </w:r>
      <w:r>
        <w:rPr>
          <w:rFonts w:hint="eastAsia" w:asciiTheme="minorEastAsia" w:hAnsiTheme="minorEastAsia" w:eastAsiaTheme="minorEastAsia"/>
          <w:color w:val="auto"/>
          <w:sz w:val="24"/>
        </w:rPr>
        <w:t>采购</w:t>
      </w:r>
      <w:r>
        <w:rPr>
          <w:rFonts w:hint="eastAsia" w:ascii="宋体" w:hAnsi="宋体"/>
          <w:color w:val="auto"/>
          <w:sz w:val="24"/>
          <w:lang w:val="zh-CN"/>
        </w:rPr>
        <w:t>组织</w:t>
      </w:r>
      <w:r>
        <w:rPr>
          <w:rFonts w:hint="eastAsia" w:asciiTheme="minorEastAsia" w:hAnsiTheme="minorEastAsia" w:eastAsiaTheme="minorEastAsia"/>
          <w:color w:val="auto"/>
          <w:sz w:val="24"/>
        </w:rPr>
        <w:t>机构</w:t>
      </w:r>
      <w:r>
        <w:rPr>
          <w:rFonts w:asciiTheme="minorEastAsia" w:hAnsiTheme="minorEastAsia" w:eastAsiaTheme="minorEastAsia"/>
          <w:color w:val="auto"/>
          <w:sz w:val="24"/>
        </w:rPr>
        <w:t>提交投标文件的单位或个人。</w:t>
      </w:r>
    </w:p>
    <w:p>
      <w:pPr>
        <w:snapToGrid w:val="0"/>
        <w:spacing w:line="360" w:lineRule="auto"/>
        <w:ind w:left="424" w:leftChars="202" w:firstLine="143"/>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货物</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服务</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“书面形式”包括信函、传真等。</w:t>
      </w:r>
    </w:p>
    <w:p>
      <w:pPr>
        <w:snapToGrid w:val="0"/>
        <w:spacing w:line="360" w:lineRule="auto"/>
        <w:ind w:firstLine="566" w:firstLineChars="23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asciiTheme="minorEastAsia" w:hAnsiTheme="minorEastAsia" w:eastAsiaTheme="minorEastAsia"/>
          <w:color w:val="auto"/>
          <w:sz w:val="24"/>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（三）投标费用</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不论投标结果如何，投标人均应自行承担所有与投标有关的全部费用（招标文件有相关规定除外）。</w:t>
      </w:r>
    </w:p>
    <w:p>
      <w:pPr>
        <w:pStyle w:val="22"/>
        <w:snapToGrid w:val="0"/>
        <w:spacing w:line="360" w:lineRule="auto"/>
        <w:ind w:left="2" w:leftChars="1" w:firstLine="482" w:firstLineChars="200"/>
        <w:rPr>
          <w:rFonts w:hAnsi="宋体"/>
          <w:b/>
          <w:color w:val="auto"/>
          <w:sz w:val="24"/>
        </w:rPr>
      </w:pPr>
      <w:r>
        <w:rPr>
          <w:rFonts w:hint="eastAsia" w:hAnsi="宋体"/>
          <w:b/>
          <w:color w:val="auto"/>
          <w:sz w:val="24"/>
        </w:rPr>
        <w:t>（四）特别说明</w:t>
      </w:r>
    </w:p>
    <w:p>
      <w:pPr>
        <w:pStyle w:val="22"/>
        <w:snapToGrid w:val="0"/>
        <w:spacing w:line="360" w:lineRule="auto"/>
        <w:ind w:left="2" w:leftChars="1"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rPr>
        <w:t>指</w:t>
      </w:r>
      <w:r>
        <w:rPr>
          <w:rFonts w:asciiTheme="minorEastAsia" w:hAnsiTheme="minorEastAsia" w:eastAsiaTheme="minorEastAsia"/>
          <w:color w:val="auto"/>
          <w:sz w:val="24"/>
        </w:rPr>
        <w:t>本法人或控股公司正式员工）。</w:t>
      </w:r>
    </w:p>
    <w:p>
      <w:pPr>
        <w:spacing w:line="360" w:lineRule="auto"/>
        <w:ind w:firstLine="480" w:firstLineChars="200"/>
        <w:rPr>
          <w:rFonts w:asciiTheme="minorEastAsia" w:hAnsiTheme="minorEastAsia" w:eastAsiaTheme="minorEastAsia" w:cstheme="minorBidi"/>
          <w:color w:val="auto"/>
          <w:sz w:val="24"/>
        </w:rPr>
      </w:pPr>
      <w:r>
        <w:rPr>
          <w:rFonts w:hint="eastAsia" w:asciiTheme="minorEastAsia" w:hAnsiTheme="minorEastAsia" w:eastAsiaTheme="minorEastAsia" w:cstheme="minorBidi"/>
          <w:color w:val="auto"/>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rPr>
        <w:tab/>
      </w:r>
    </w:p>
    <w:p>
      <w:pPr>
        <w:pStyle w:val="48"/>
        <w:snapToGrid w:val="0"/>
        <w:spacing w:line="360" w:lineRule="auto"/>
        <w:ind w:firstLineChars="0"/>
        <w:rPr>
          <w:rFonts w:asciiTheme="minorEastAsia" w:hAnsiTheme="minorEastAsia" w:eastAsiaTheme="minorEastAsia" w:cstheme="minorBidi"/>
          <w:color w:val="auto"/>
          <w:sz w:val="24"/>
          <w:szCs w:val="24"/>
        </w:rPr>
      </w:pPr>
      <w:r>
        <w:rPr>
          <w:rFonts w:hint="eastAsia" w:asciiTheme="minorEastAsia" w:hAnsiTheme="minorEastAsia" w:eastAsiaTheme="minorEastAsia" w:cstheme="minorBidi"/>
          <w:color w:val="auto"/>
          <w:sz w:val="24"/>
          <w:szCs w:val="24"/>
        </w:rPr>
        <w:t>3、</w:t>
      </w:r>
      <w:r>
        <w:rPr>
          <w:rFonts w:asciiTheme="minorEastAsia" w:hAnsiTheme="minorEastAsia" w:eastAsiaTheme="minorEastAsia" w:cstheme="minorBidi"/>
          <w:color w:val="auto"/>
          <w:sz w:val="24"/>
          <w:szCs w:val="24"/>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rPr>
        <w:t>，</w:t>
      </w:r>
      <w:r>
        <w:rPr>
          <w:rFonts w:asciiTheme="minorEastAsia" w:hAnsiTheme="minorEastAsia" w:eastAsiaTheme="minorEastAsia" w:cstheme="minorBidi"/>
          <w:color w:val="auto"/>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rPr>
        <w:t>。</w:t>
      </w:r>
    </w:p>
    <w:p>
      <w:pPr>
        <w:pStyle w:val="8"/>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pPr>
        <w:pStyle w:val="8"/>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5、为采购项目提供整体设计、规范编制或者项目管理、监理、检测等服务的供应商，不得再参加该采购项目的其他采购活动。</w:t>
      </w:r>
    </w:p>
    <w:p>
      <w:pPr>
        <w:pStyle w:val="8"/>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6、投标文件格式中的表格式样可以根据项目差别做适当调整,但应当保持表格样式基本形态不变。</w:t>
      </w:r>
    </w:p>
    <w:p>
      <w:pPr>
        <w:pStyle w:val="8"/>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7、单位负责人为同一人或者存在直接控股、管理关系的不同供应商，不得参加同一合同项下的政府采购活动。</w:t>
      </w:r>
    </w:p>
    <w:p>
      <w:pPr>
        <w:pStyle w:val="8"/>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二、招标文件</w:t>
      </w:r>
    </w:p>
    <w:p>
      <w:pPr>
        <w:autoSpaceDE w:val="0"/>
        <w:autoSpaceDN w:val="0"/>
        <w:adjustRightInd w:val="0"/>
        <w:spacing w:line="360" w:lineRule="auto"/>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w:t>
      </w:r>
      <w:r>
        <w:rPr>
          <w:rFonts w:asciiTheme="minorEastAsia" w:hAnsiTheme="minorEastAsia" w:eastAsiaTheme="minorEastAsia"/>
          <w:color w:val="auto"/>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rPr>
        <w:t>。</w:t>
      </w:r>
    </w:p>
    <w:p>
      <w:pPr>
        <w:tabs>
          <w:tab w:val="left" w:pos="1418"/>
        </w:tabs>
        <w:autoSpaceDE w:val="0"/>
        <w:autoSpaceDN w:val="0"/>
        <w:adjustRightInd w:val="0"/>
        <w:spacing w:line="360" w:lineRule="auto"/>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auto"/>
          <w:kern w:val="0"/>
          <w:sz w:val="24"/>
        </w:rPr>
      </w:pPr>
      <w:r>
        <w:rPr>
          <w:rFonts w:hint="eastAsia" w:ascii="宋体"/>
          <w:b/>
          <w:color w:val="auto"/>
          <w:sz w:val="24"/>
          <w:lang w:val="zh-CN"/>
        </w:rPr>
        <w:t>（一）</w:t>
      </w:r>
      <w:r>
        <w:rPr>
          <w:rFonts w:hint="eastAsia" w:asciiTheme="minorEastAsia" w:hAnsiTheme="minorEastAsia" w:eastAsiaTheme="minorEastAsia"/>
          <w:b/>
          <w:bCs/>
          <w:color w:val="auto"/>
          <w:kern w:val="0"/>
          <w:sz w:val="24"/>
        </w:rPr>
        <w:t>投标文件的组成</w:t>
      </w:r>
    </w:p>
    <w:p>
      <w:pPr>
        <w:snapToGrid w:val="0"/>
        <w:spacing w:line="360" w:lineRule="auto"/>
        <w:ind w:firstLine="480" w:firstLineChars="200"/>
        <w:rPr>
          <w:rFonts w:ascii="仿宋_GB2312" w:hAnsi="仿宋_GB2312" w:eastAsia="仿宋_GB2312" w:cs="仿宋_GB2312"/>
          <w:color w:val="auto"/>
          <w:sz w:val="24"/>
          <w:lang w:val="zh-CN"/>
        </w:rPr>
      </w:pPr>
      <w:r>
        <w:rPr>
          <w:rFonts w:hint="eastAsia" w:asciiTheme="minorEastAsia" w:hAnsiTheme="minorEastAsia" w:eastAsiaTheme="minorEastAsia"/>
          <w:color w:val="auto"/>
          <w:kern w:val="0"/>
          <w:sz w:val="24"/>
        </w:rPr>
        <w:t xml:space="preserve">  投标人接到招标文件后，按照采购组织机构的要求提供：资格证明文件、商务与技术文件和报价文件。</w:t>
      </w:r>
    </w:p>
    <w:p>
      <w:pPr>
        <w:snapToGrid w:val="0"/>
        <w:spacing w:line="360" w:lineRule="auto"/>
        <w:ind w:firstLine="482" w:firstLineChars="200"/>
        <w:rPr>
          <w:rFonts w:asciiTheme="minorEastAsia" w:hAnsiTheme="minorEastAsia" w:eastAsiaTheme="minorEastAsia"/>
          <w:color w:val="auto"/>
          <w:kern w:val="0"/>
          <w:sz w:val="24"/>
        </w:rPr>
      </w:pPr>
      <w:r>
        <w:rPr>
          <w:rFonts w:hint="eastAsia" w:ascii="宋体" w:hAnsi="宋体" w:cs="宋体"/>
          <w:b/>
          <w:color w:val="auto"/>
          <w:sz w:val="24"/>
        </w:rPr>
        <w:t>▲</w:t>
      </w:r>
      <w:r>
        <w:rPr>
          <w:rFonts w:hint="eastAsia" w:asciiTheme="minorEastAsia" w:hAnsiTheme="minorEastAsia" w:eastAsiaTheme="minorEastAsia"/>
          <w:b/>
          <w:color w:val="auto"/>
          <w:sz w:val="24"/>
        </w:rPr>
        <w:t>1、资格证明</w:t>
      </w:r>
      <w:r>
        <w:rPr>
          <w:rFonts w:asciiTheme="minorEastAsia" w:hAnsiTheme="minorEastAsia" w:eastAsiaTheme="minorEastAsia"/>
          <w:b/>
          <w:color w:val="auto"/>
          <w:sz w:val="24"/>
        </w:rPr>
        <w:t>文件</w:t>
      </w:r>
      <w:r>
        <w:rPr>
          <w:rFonts w:hint="eastAsia" w:ascii="宋体" w:hAnsi="宋体"/>
          <w:b/>
          <w:color w:val="auto"/>
          <w:sz w:val="24"/>
        </w:rPr>
        <w:t>的组成：</w:t>
      </w:r>
    </w:p>
    <w:p>
      <w:pPr>
        <w:snapToGrid w:val="0"/>
        <w:spacing w:line="360" w:lineRule="auto"/>
        <w:ind w:firstLine="480" w:firstLineChars="200"/>
        <w:rPr>
          <w:rFonts w:asciiTheme="minorEastAsia" w:hAnsiTheme="minorEastAsia" w:eastAsiaTheme="minorEastAsia"/>
          <w:color w:val="auto"/>
          <w:kern w:val="0"/>
          <w:sz w:val="24"/>
        </w:rPr>
      </w:pPr>
      <w:r>
        <w:rPr>
          <w:rFonts w:hint="eastAsia" w:ascii="宋体" w:hAnsi="宋体"/>
          <w:bCs/>
          <w:color w:val="auto"/>
          <w:sz w:val="24"/>
        </w:rPr>
        <w:t>（1）</w:t>
      </w:r>
      <w:r>
        <w:rPr>
          <w:rFonts w:hint="eastAsia" w:asciiTheme="minorEastAsia" w:hAnsiTheme="minorEastAsia" w:eastAsiaTheme="minorEastAsia"/>
          <w:color w:val="auto"/>
          <w:kern w:val="0"/>
          <w:sz w:val="24"/>
        </w:rPr>
        <w:t>投标声明书；</w:t>
      </w:r>
    </w:p>
    <w:p>
      <w:pPr>
        <w:snapToGrid w:val="0"/>
        <w:spacing w:line="360" w:lineRule="auto"/>
        <w:ind w:firstLine="480" w:firstLineChars="200"/>
        <w:rPr>
          <w:rFonts w:asciiTheme="minorEastAsia" w:hAnsiTheme="minorEastAsia" w:eastAsiaTheme="minorEastAsia"/>
          <w:color w:val="auto"/>
          <w:kern w:val="0"/>
          <w:sz w:val="24"/>
        </w:rPr>
      </w:pPr>
      <w:r>
        <w:rPr>
          <w:rFonts w:hint="eastAsia" w:ascii="宋体" w:hAnsi="宋体"/>
          <w:bCs/>
          <w:color w:val="auto"/>
          <w:sz w:val="24"/>
        </w:rPr>
        <w:t>（2）</w:t>
      </w:r>
      <w:r>
        <w:rPr>
          <w:rFonts w:hint="eastAsia" w:asciiTheme="minorEastAsia" w:hAnsiTheme="minorEastAsia" w:eastAsiaTheme="minorEastAsia"/>
          <w:color w:val="auto"/>
          <w:kern w:val="0"/>
          <w:sz w:val="24"/>
        </w:rPr>
        <w:t>授权委托书（法定代表人亲自办理投标事宜的，则无需提交)；</w:t>
      </w:r>
    </w:p>
    <w:p>
      <w:pPr>
        <w:snapToGrid w:val="0"/>
        <w:spacing w:line="360" w:lineRule="auto"/>
        <w:ind w:firstLine="480" w:firstLineChars="200"/>
        <w:rPr>
          <w:rFonts w:asciiTheme="minorEastAsia" w:hAnsiTheme="minorEastAsia" w:eastAsiaTheme="minorEastAsia"/>
          <w:color w:val="auto"/>
          <w:kern w:val="0"/>
          <w:sz w:val="24"/>
        </w:rPr>
      </w:pPr>
      <w:r>
        <w:rPr>
          <w:rFonts w:hint="eastAsia" w:ascii="宋体" w:hAnsi="宋体"/>
          <w:bCs/>
          <w:color w:val="auto"/>
          <w:sz w:val="24"/>
        </w:rPr>
        <w:t>（3）</w:t>
      </w:r>
      <w:r>
        <w:rPr>
          <w:rFonts w:hint="eastAsia" w:asciiTheme="minorEastAsia" w:hAnsiTheme="minorEastAsia" w:eastAsiaTheme="minorEastAsia"/>
          <w:color w:val="auto"/>
          <w:kern w:val="0"/>
          <w:sz w:val="24"/>
        </w:rPr>
        <w:t>法人或者其他组织的营业执照等证明文件，自然人的身份证明；</w:t>
      </w:r>
    </w:p>
    <w:p>
      <w:pPr>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（4）《中小企业声明函》；</w:t>
      </w:r>
      <w:bookmarkStart w:id="1" w:name="_GoBack"/>
      <w:bookmarkEnd w:id="1"/>
    </w:p>
    <w:p>
      <w:pPr>
        <w:snapToGrid w:val="0"/>
        <w:spacing w:line="360" w:lineRule="auto"/>
        <w:ind w:firstLine="482" w:firstLineChars="200"/>
        <w:rPr>
          <w:rFonts w:ascii="宋体" w:hAnsi="宋体" w:cs="宋体"/>
          <w:color w:val="auto"/>
          <w:sz w:val="24"/>
          <w:u w:val="single"/>
        </w:rPr>
      </w:pPr>
      <w:r>
        <w:rPr>
          <w:rFonts w:hint="eastAsia" w:asciiTheme="minorEastAsia" w:hAnsiTheme="minorEastAsia" w:eastAsiaTheme="minorEastAsia"/>
          <w:b/>
          <w:color w:val="auto"/>
          <w:sz w:val="24"/>
        </w:rPr>
        <w:t>2、</w:t>
      </w:r>
      <w:r>
        <w:rPr>
          <w:rFonts w:hint="eastAsia" w:ascii="宋体" w:hAnsi="宋体"/>
          <w:b/>
          <w:color w:val="auto"/>
          <w:sz w:val="24"/>
        </w:rPr>
        <w:t>商务与技术文件的组成：</w:t>
      </w:r>
    </w:p>
    <w:p>
      <w:pPr>
        <w:snapToGrid w:val="0"/>
        <w:spacing w:line="360" w:lineRule="auto"/>
        <w:ind w:firstLine="480" w:firstLineChars="200"/>
        <w:rPr>
          <w:rFonts w:ascii="宋体" w:hAnsi="宋体"/>
          <w:bCs/>
          <w:color w:val="auto"/>
          <w:sz w:val="24"/>
        </w:rPr>
      </w:pPr>
      <w:r>
        <w:rPr>
          <w:rFonts w:hint="eastAsia" w:ascii="宋体" w:hAnsi="宋体"/>
          <w:bCs/>
          <w:color w:val="auto"/>
          <w:sz w:val="24"/>
        </w:rPr>
        <w:t>（1）供应商基本情况；</w:t>
      </w:r>
    </w:p>
    <w:p>
      <w:pPr>
        <w:snapToGrid w:val="0"/>
        <w:spacing w:line="360" w:lineRule="auto"/>
        <w:ind w:firstLine="480" w:firstLineChars="200"/>
        <w:rPr>
          <w:rFonts w:ascii="宋体" w:hAnsi="宋体"/>
          <w:bCs/>
          <w:color w:val="auto"/>
          <w:sz w:val="24"/>
        </w:rPr>
      </w:pPr>
      <w:r>
        <w:rPr>
          <w:rFonts w:hint="eastAsia" w:ascii="宋体" w:hAnsi="宋体"/>
          <w:bCs/>
          <w:color w:val="auto"/>
          <w:sz w:val="24"/>
        </w:rPr>
        <w:t>（2）商务及技术响应表；</w:t>
      </w:r>
    </w:p>
    <w:p>
      <w:pPr>
        <w:snapToGrid w:val="0"/>
        <w:spacing w:line="360" w:lineRule="auto"/>
        <w:ind w:firstLine="480" w:firstLineChars="200"/>
        <w:rPr>
          <w:rFonts w:ascii="宋体" w:hAnsi="宋体"/>
          <w:bCs/>
          <w:color w:val="auto"/>
          <w:sz w:val="24"/>
        </w:rPr>
      </w:pPr>
      <w:r>
        <w:rPr>
          <w:rFonts w:hint="eastAsia" w:ascii="宋体" w:hAnsi="宋体"/>
          <w:bCs/>
          <w:color w:val="auto"/>
          <w:sz w:val="24"/>
        </w:rPr>
        <w:t>（3）投标人客观分自评表；</w:t>
      </w:r>
    </w:p>
    <w:p>
      <w:pPr>
        <w:snapToGrid w:val="0"/>
        <w:spacing w:line="360" w:lineRule="auto"/>
        <w:ind w:firstLine="480" w:firstLineChars="200"/>
        <w:rPr>
          <w:rFonts w:ascii="宋体" w:hAnsi="宋体"/>
          <w:bCs/>
          <w:color w:val="auto"/>
          <w:sz w:val="24"/>
        </w:rPr>
      </w:pPr>
      <w:r>
        <w:rPr>
          <w:rFonts w:hint="eastAsia" w:ascii="宋体" w:hAnsi="宋体"/>
          <w:bCs/>
          <w:color w:val="auto"/>
          <w:sz w:val="24"/>
        </w:rPr>
        <w:t>（4）其余内容根据评标办法自拟；</w:t>
      </w:r>
    </w:p>
    <w:p>
      <w:pPr>
        <w:pStyle w:val="16"/>
        <w:widowControl/>
        <w:adjustRightInd w:val="0"/>
        <w:snapToGrid w:val="0"/>
        <w:spacing w:line="360" w:lineRule="auto"/>
        <w:ind w:left="218" w:leftChars="104" w:firstLine="622" w:firstLineChars="258"/>
        <w:rPr>
          <w:rFonts w:ascii="宋体" w:hAnsi="宋体" w:cs="宋体"/>
          <w:color w:val="auto"/>
          <w:sz w:val="24"/>
          <w:szCs w:val="24"/>
        </w:rPr>
      </w:pPr>
      <w:r>
        <w:rPr>
          <w:rFonts w:hint="eastAsia" w:ascii="宋体"/>
          <w:b/>
          <w:color w:val="auto"/>
          <w:kern w:val="0"/>
          <w:sz w:val="24"/>
        </w:rPr>
        <w:t>招标需求中要求提供的相关证明材料及根据评标办法提供的证明材料均需在投标文件中提供扫描件。</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3、报价文件的组成</w:t>
      </w:r>
    </w:p>
    <w:p>
      <w:pPr>
        <w:autoSpaceDE w:val="0"/>
        <w:autoSpaceDN w:val="0"/>
        <w:adjustRightIn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（1）</w:t>
      </w:r>
      <w:r>
        <w:rPr>
          <w:rFonts w:hint="eastAsia" w:asciiTheme="minorEastAsia" w:hAnsiTheme="minorEastAsia" w:eastAsiaTheme="minorEastAsia"/>
          <w:b/>
          <w:color w:val="auto"/>
          <w:kern w:val="0"/>
          <w:sz w:val="24"/>
        </w:rPr>
        <w:t>报价文件由开标一览表以及供应商认为其他需要说明的内容组成</w:t>
      </w:r>
      <w:r>
        <w:rPr>
          <w:rFonts w:hint="eastAsia" w:asciiTheme="minorEastAsia" w:hAnsiTheme="minorEastAsia" w:eastAsiaTheme="minorEastAsia"/>
          <w:b/>
          <w:color w:val="auto"/>
          <w:kern w:val="0"/>
          <w:sz w:val="24"/>
        </w:rPr>
        <w:t>。</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（2）此报价为投标人一次性报出唯一的最终价格，包含其它一切所要涉及到的费用，有选择的报价将被拒绝。</w:t>
      </w:r>
    </w:p>
    <w:p>
      <w:pPr>
        <w:autoSpaceDE w:val="0"/>
        <w:autoSpaceDN w:val="0"/>
        <w:adjustRightInd w:val="0"/>
        <w:spacing w:line="360" w:lineRule="auto"/>
        <w:ind w:firstLine="480" w:firstLineChars="200"/>
        <w:rPr>
          <w:rFonts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rPr>
        <w:t>3</w:t>
      </w:r>
      <w:r>
        <w:rPr>
          <w:rFonts w:hint="eastAsia" w:asciiTheme="minorEastAsia" w:hAnsiTheme="minorEastAsia" w:eastAsiaTheme="minorEastAsia"/>
          <w:color w:val="auto"/>
          <w:kern w:val="0"/>
          <w:sz w:val="24"/>
          <w:lang w:val="zh-CN"/>
        </w:rPr>
        <w:t>）</w:t>
      </w:r>
      <w:r>
        <w:rPr>
          <w:rFonts w:hint="eastAsia" w:ascii="宋体" w:hAnsi="宋体" w:cs="宋体"/>
          <w:color w:val="auto"/>
          <w:kern w:val="0"/>
          <w:sz w:val="24"/>
          <w:lang w:val="zh-CN"/>
        </w:rPr>
        <w:t>投标报价包含实现本项目的所有功能及安全保障工作所需费用，</w:t>
      </w:r>
      <w:r>
        <w:rPr>
          <w:rFonts w:hint="eastAsia" w:ascii="宋体" w:hAnsi="宋体" w:cs="宋体"/>
          <w:color w:val="auto"/>
          <w:sz w:val="24"/>
        </w:rPr>
        <w:t>其应包括（但不限于）材料、设备、劳务、人员工资、奖金、各种加班费、食宿与交通、手续审批、安全、管理、质保、保险、利润、税金、政策性文件规定及合同包含的所有风险、责任等所有费用（即整个项目直至履约完成，采购人不再另行支付费用）全部费用已包含在开标一览表的投标总报价中。</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asciiTheme="minorEastAsia" w:hAnsiTheme="minorEastAsia" w:eastAsiaTheme="minorEastAsia"/>
          <w:color w:val="auto"/>
          <w:kern w:val="0"/>
          <w:sz w:val="24"/>
        </w:rPr>
        <w:t>4</w:t>
      </w:r>
      <w:r>
        <w:rPr>
          <w:rFonts w:hint="eastAsia" w:asciiTheme="minorEastAsia" w:hAnsiTheme="minorEastAsia" w:eastAsiaTheme="minorEastAsia"/>
          <w:color w:val="auto"/>
          <w:kern w:val="0"/>
          <w:sz w:val="24"/>
        </w:rPr>
        <w:t>）投标报价单不得涂改和增删，如有错漏必须修改，修改处须由同一签署人签字或盖章。由于字迹模糊或表达不清引起的后果由投标人负责。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kern w:val="0"/>
          <w:sz w:val="24"/>
        </w:rPr>
        <w:t>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投标报价应按招标文件中相关附表格式填写。</w:t>
      </w:r>
    </w:p>
    <w:p>
      <w:pPr>
        <w:numPr>
          <w:ilvl w:val="0"/>
          <w:numId w:val="5"/>
        </w:numPr>
        <w:spacing w:line="360" w:lineRule="auto"/>
        <w:rPr>
          <w:rFonts w:asciiTheme="minorEastAsia" w:hAnsiTheme="minorEastAsia" w:eastAsiaTheme="minorEastAsia"/>
          <w:b/>
          <w:bCs/>
          <w:color w:val="auto"/>
          <w:kern w:val="0"/>
          <w:sz w:val="24"/>
        </w:rPr>
      </w:pPr>
      <w:r>
        <w:rPr>
          <w:rFonts w:hint="eastAsia" w:asciiTheme="minorEastAsia" w:hAnsiTheme="minorEastAsia" w:eastAsiaTheme="minorEastAsia"/>
          <w:b/>
          <w:bCs/>
          <w:color w:val="auto"/>
          <w:kern w:val="0"/>
          <w:sz w:val="24"/>
        </w:rPr>
        <w:t>投标文件的</w:t>
      </w:r>
      <w:r>
        <w:rPr>
          <w:rFonts w:hint="eastAsia" w:asciiTheme="minorEastAsia" w:hAnsiTheme="minorEastAsia"/>
          <w:b/>
          <w:bCs/>
          <w:color w:val="auto"/>
          <w:kern w:val="0"/>
          <w:sz w:val="24"/>
        </w:rPr>
        <w:t>制作、封装及</w:t>
      </w:r>
      <w:r>
        <w:rPr>
          <w:rFonts w:hint="eastAsia" w:asciiTheme="minorEastAsia" w:hAnsiTheme="minorEastAsia" w:eastAsiaTheme="minorEastAsia"/>
          <w:b/>
          <w:bCs/>
          <w:color w:val="auto"/>
          <w:kern w:val="0"/>
          <w:sz w:val="24"/>
        </w:rPr>
        <w:t>递交要求</w:t>
      </w:r>
    </w:p>
    <w:p>
      <w:pPr>
        <w:autoSpaceDE w:val="0"/>
        <w:autoSpaceDN w:val="0"/>
        <w:adjustRightInd w:val="0"/>
        <w:spacing w:line="360" w:lineRule="auto"/>
        <w:ind w:firstLine="480"/>
        <w:rPr>
          <w:rFonts w:asciiTheme="minorEastAsia" w:hAnsiTheme="minorEastAsia" w:eastAsiaTheme="minorEastAsia"/>
          <w:b/>
          <w:bCs/>
          <w:color w:val="auto"/>
          <w:sz w:val="24"/>
        </w:rPr>
      </w:pPr>
      <w:r>
        <w:rPr>
          <w:rFonts w:hint="eastAsia" w:asciiTheme="minorEastAsia" w:hAnsiTheme="minorEastAsia"/>
          <w:b/>
          <w:bCs/>
          <w:color w:val="auto"/>
          <w:sz w:val="24"/>
        </w:rPr>
        <w:t>1、投标文件的制作要求</w:t>
      </w:r>
    </w:p>
    <w:p>
      <w:pPr>
        <w:spacing w:line="360" w:lineRule="auto"/>
        <w:ind w:firstLine="480" w:firstLineChars="200"/>
        <w:rPr>
          <w:rFonts w:ascii="宋体" w:hAnsi="宋体" w:cs="Arial"/>
          <w:color w:val="auto"/>
          <w:sz w:val="24"/>
        </w:rPr>
      </w:pPr>
      <w:r>
        <w:rPr>
          <w:rFonts w:hint="eastAsia" w:asciiTheme="minorEastAsia" w:hAnsiTheme="minorEastAsia"/>
          <w:color w:val="auto"/>
          <w:sz w:val="24"/>
        </w:rPr>
        <w:t>（</w:t>
      </w:r>
      <w:r>
        <w:rPr>
          <w:rFonts w:asciiTheme="minorEastAsia" w:hAnsiTheme="minorEastAsia"/>
          <w:color w:val="auto"/>
          <w:sz w:val="24"/>
        </w:rPr>
        <w:t>1）</w:t>
      </w:r>
      <w:r>
        <w:rPr>
          <w:rFonts w:hint="eastAsia" w:ascii="宋体" w:hAnsi="宋体" w:cs="Arial"/>
          <w:color w:val="auto"/>
          <w:sz w:val="24"/>
        </w:rPr>
        <w:t>本项目通过“政府采购云平台（</w:t>
      </w:r>
      <w:r>
        <w:rPr>
          <w:rFonts w:ascii="宋体" w:hAnsi="宋体" w:cs="Arial"/>
          <w:color w:val="auto"/>
          <w:sz w:val="24"/>
        </w:rPr>
        <w:t>www.</w:t>
      </w:r>
      <w:r>
        <w:rPr>
          <w:rFonts w:hint="eastAsia" w:ascii="宋体" w:hAnsi="宋体" w:cs="Arial"/>
          <w:color w:val="auto"/>
          <w:sz w:val="24"/>
        </w:rPr>
        <w:t>zcy</w:t>
      </w:r>
      <w:r>
        <w:rPr>
          <w:rFonts w:ascii="宋体" w:hAnsi="宋体" w:cs="Arial"/>
          <w:color w:val="auto"/>
          <w:sz w:val="24"/>
        </w:rPr>
        <w:t>gov.cn</w:t>
      </w:r>
      <w:r>
        <w:rPr>
          <w:rFonts w:hint="eastAsia" w:ascii="宋体" w:hAnsi="宋体" w:cs="Arial"/>
          <w:color w:val="auto"/>
          <w:sz w:val="24"/>
        </w:rPr>
        <w:t>）”实行在线投标响应（电子投标）。供应商应通过“政采云电子交易客户端”，并按照本招标文件和“政府采购云平台”的要求编制并加密投标文件。</w:t>
      </w:r>
    </w:p>
    <w:p>
      <w:pPr>
        <w:spacing w:line="360" w:lineRule="auto"/>
        <w:ind w:firstLine="420" w:firstLineChars="175"/>
        <w:rPr>
          <w:rFonts w:ascii="宋体" w:hAnsi="宋体" w:cs="Arial"/>
          <w:color w:val="auto"/>
          <w:kern w:val="0"/>
          <w:sz w:val="24"/>
        </w:rPr>
      </w:pPr>
      <w:r>
        <w:rPr>
          <w:rFonts w:hint="eastAsia" w:ascii="宋体" w:hAnsi="宋体" w:cs="Arial"/>
          <w:color w:val="auto"/>
          <w:kern w:val="0"/>
          <w:sz w:val="24"/>
        </w:rPr>
        <w:t>（2）投标供应商应当按照</w:t>
      </w:r>
      <w:r>
        <w:rPr>
          <w:rFonts w:ascii="宋体" w:hAnsi="宋体" w:cs="Arial"/>
          <w:color w:val="auto"/>
          <w:kern w:val="0"/>
          <w:sz w:val="24"/>
        </w:rPr>
        <w:t>本</w:t>
      </w:r>
      <w:r>
        <w:rPr>
          <w:rFonts w:hint="eastAsia" w:ascii="宋体" w:hAnsi="宋体" w:cs="Arial"/>
          <w:color w:val="auto"/>
          <w:kern w:val="0"/>
          <w:sz w:val="24"/>
        </w:rPr>
        <w:t>章节 “投标文件组成”规定的内容及顺序在“政采云电子交易客户端”编制投标文件。其中《资格证明文件》和《商务技术文件》中不得出现本项目投标报价，如因投标人原因提前泄露投标报价，是投标人的责任。</w:t>
      </w:r>
    </w:p>
    <w:p>
      <w:pPr>
        <w:autoSpaceDE w:val="0"/>
        <w:autoSpaceDN w:val="0"/>
        <w:adjustRightInd w:val="0"/>
        <w:spacing w:line="360" w:lineRule="auto"/>
        <w:ind w:firstLine="480"/>
        <w:rPr>
          <w:rFonts w:ascii="宋体" w:hAnsi="宋体"/>
          <w:color w:val="auto"/>
          <w:sz w:val="24"/>
        </w:rPr>
      </w:pPr>
      <w:r>
        <w:rPr>
          <w:rFonts w:hint="eastAsia" w:ascii="宋体" w:hAnsi="宋体"/>
          <w:bCs/>
          <w:color w:val="auto"/>
          <w:sz w:val="24"/>
        </w:rPr>
        <w:t>（3）本文件《第五部分  应提交的有关格式范例》中有</w:t>
      </w:r>
      <w:r>
        <w:rPr>
          <w:rFonts w:ascii="宋体" w:hAnsi="宋体"/>
          <w:bCs/>
          <w:color w:val="auto"/>
          <w:sz w:val="24"/>
        </w:rPr>
        <w:t>提供格式的，投标</w:t>
      </w:r>
      <w:r>
        <w:rPr>
          <w:rFonts w:hint="eastAsia" w:ascii="宋体" w:hAnsi="宋体"/>
          <w:bCs/>
          <w:color w:val="auto"/>
          <w:sz w:val="24"/>
        </w:rPr>
        <w:t>供应商须参</w:t>
      </w:r>
      <w:r>
        <w:rPr>
          <w:rFonts w:ascii="宋体" w:hAnsi="宋体"/>
          <w:bCs/>
          <w:color w:val="auto"/>
          <w:sz w:val="24"/>
        </w:rPr>
        <w:t>照格式</w:t>
      </w:r>
      <w:r>
        <w:rPr>
          <w:rFonts w:hint="eastAsia" w:ascii="宋体" w:hAnsi="宋体"/>
          <w:bCs/>
          <w:color w:val="auto"/>
          <w:sz w:val="24"/>
        </w:rPr>
        <w:t>进行编制（格式中要求提供相关证明材料的还需后附相关证明材料），并按格式要求在指定位置根据要求进行电子签章，否则视为未提供；本文件《第五部分  应提交的有关格式范例》</w:t>
      </w:r>
      <w:r>
        <w:rPr>
          <w:rFonts w:ascii="宋体" w:hAnsi="宋体"/>
          <w:bCs/>
          <w:color w:val="auto"/>
          <w:sz w:val="24"/>
        </w:rPr>
        <w:t>未提供格式的，请各投标单位自行拟定格式</w:t>
      </w:r>
      <w:r>
        <w:rPr>
          <w:rFonts w:hint="eastAsia" w:ascii="宋体" w:hAnsi="宋体"/>
          <w:color w:val="auto"/>
          <w:sz w:val="24"/>
        </w:rPr>
        <w:t>。</w:t>
      </w:r>
    </w:p>
    <w:p>
      <w:pPr>
        <w:autoSpaceDE w:val="0"/>
        <w:autoSpaceDN w:val="0"/>
        <w:adjustRightInd w:val="0"/>
        <w:spacing w:line="360" w:lineRule="auto"/>
        <w:ind w:firstLine="480" w:firstLineChars="200"/>
        <w:rPr>
          <w:rFonts w:ascii="宋体" w:hAnsi="宋体"/>
          <w:color w:val="auto"/>
          <w:kern w:val="0"/>
          <w:sz w:val="24"/>
          <w:lang w:val="zh-CN"/>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）供应商应对所提供的全部资料的真实性承担法律责任。</w:t>
      </w:r>
    </w:p>
    <w:p>
      <w:pPr>
        <w:snapToGrid w:val="0"/>
        <w:spacing w:line="360" w:lineRule="auto"/>
        <w:ind w:firstLine="480" w:firstLineChars="200"/>
        <w:jc w:val="left"/>
        <w:rPr>
          <w:rFonts w:ascii="宋体" w:hAnsi="宋体"/>
          <w:color w:val="auto"/>
          <w:sz w:val="24"/>
        </w:rPr>
      </w:pPr>
      <w:r>
        <w:rPr>
          <w:rFonts w:hint="eastAsia" w:ascii="宋体" w:hAnsi="宋体"/>
          <w:color w:val="auto"/>
          <w:kern w:val="0"/>
          <w:sz w:val="24"/>
          <w:lang w:val="zh-CN"/>
        </w:rPr>
        <w:t>（</w:t>
      </w:r>
      <w:r>
        <w:rPr>
          <w:rFonts w:ascii="宋体" w:hAnsi="宋体"/>
          <w:color w:val="auto"/>
          <w:kern w:val="0"/>
          <w:sz w:val="24"/>
        </w:rPr>
        <w:t>5</w:t>
      </w:r>
      <w:r>
        <w:rPr>
          <w:rFonts w:hint="eastAsia" w:ascii="宋体" w:hAnsi="宋体"/>
          <w:color w:val="auto"/>
          <w:kern w:val="0"/>
          <w:sz w:val="24"/>
          <w:lang w:val="zh-CN"/>
        </w:rPr>
        <w:t>）</w:t>
      </w:r>
      <w:r>
        <w:rPr>
          <w:rFonts w:hint="eastAsia" w:ascii="宋体" w:hAnsi="宋体"/>
          <w:color w:val="auto"/>
          <w:sz w:val="24"/>
        </w:rPr>
        <w:t>投标文件</w:t>
      </w:r>
      <w:r>
        <w:rPr>
          <w:rFonts w:ascii="宋体" w:hAnsi="宋体"/>
          <w:color w:val="auto"/>
          <w:sz w:val="24"/>
        </w:rPr>
        <w:t>以及</w:t>
      </w:r>
      <w:r>
        <w:rPr>
          <w:rFonts w:hint="eastAsia" w:ascii="宋体" w:hAnsi="宋体"/>
          <w:color w:val="auto"/>
          <w:sz w:val="24"/>
        </w:rPr>
        <w:t>投标供应商</w:t>
      </w:r>
      <w:r>
        <w:rPr>
          <w:rFonts w:ascii="宋体" w:hAnsi="宋体"/>
          <w:color w:val="auto"/>
          <w:sz w:val="24"/>
        </w:rPr>
        <w:t>与</w:t>
      </w:r>
      <w:r>
        <w:rPr>
          <w:rFonts w:hint="eastAsia" w:ascii="宋体" w:hAnsi="宋体"/>
          <w:color w:val="auto"/>
          <w:sz w:val="24"/>
        </w:rPr>
        <w:t>采购组织机构</w:t>
      </w:r>
      <w:r>
        <w:rPr>
          <w:rFonts w:ascii="宋体" w:hAnsi="宋体"/>
          <w:color w:val="auto"/>
          <w:sz w:val="24"/>
        </w:rPr>
        <w:t>就有关</w:t>
      </w:r>
      <w:r>
        <w:rPr>
          <w:rFonts w:hint="eastAsia" w:ascii="宋体" w:hAnsi="宋体"/>
          <w:color w:val="auto"/>
          <w:sz w:val="24"/>
        </w:rPr>
        <w:t>招投标</w:t>
      </w:r>
      <w:r>
        <w:rPr>
          <w:rFonts w:ascii="宋体" w:hAnsi="宋体"/>
          <w:color w:val="auto"/>
          <w:sz w:val="24"/>
        </w:rPr>
        <w:t>事宜的所有来往函电，均应以中文汉语书写。除</w:t>
      </w:r>
      <w:r>
        <w:rPr>
          <w:rFonts w:hint="eastAsia" w:ascii="宋体" w:hAnsi="宋体"/>
          <w:color w:val="auto"/>
          <w:sz w:val="24"/>
        </w:rPr>
        <w:t>签字</w:t>
      </w:r>
      <w:r>
        <w:rPr>
          <w:rFonts w:ascii="宋体" w:hAnsi="宋体"/>
          <w:color w:val="auto"/>
          <w:sz w:val="24"/>
        </w:rPr>
        <w:t>、盖章、专用名称等特殊情形外，以中文汉语以外的文字表述的</w:t>
      </w:r>
      <w:r>
        <w:rPr>
          <w:rFonts w:hint="eastAsia" w:ascii="宋体" w:hAnsi="宋体"/>
          <w:color w:val="auto"/>
          <w:sz w:val="24"/>
        </w:rPr>
        <w:t>投标文件</w:t>
      </w:r>
      <w:r>
        <w:rPr>
          <w:rFonts w:ascii="宋体" w:hAnsi="宋体"/>
          <w:color w:val="auto"/>
          <w:sz w:val="24"/>
        </w:rPr>
        <w:t>视同未提供。</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）投标</w:t>
      </w:r>
      <w:r>
        <w:rPr>
          <w:rFonts w:ascii="宋体" w:hAnsi="宋体"/>
          <w:color w:val="auto"/>
          <w:sz w:val="24"/>
        </w:rPr>
        <w:t>计量单位，</w:t>
      </w:r>
      <w:r>
        <w:rPr>
          <w:rFonts w:hint="eastAsia" w:ascii="宋体" w:hAnsi="宋体"/>
          <w:bCs/>
          <w:color w:val="auto"/>
          <w:sz w:val="24"/>
        </w:rPr>
        <w:t>采购文件</w:t>
      </w:r>
      <w:r>
        <w:rPr>
          <w:rFonts w:ascii="宋体" w:hAnsi="宋体"/>
          <w:color w:val="auto"/>
          <w:sz w:val="24"/>
        </w:rPr>
        <w:t>已有明确规定的，使用</w:t>
      </w:r>
      <w:r>
        <w:rPr>
          <w:rFonts w:hint="eastAsia" w:ascii="宋体" w:hAnsi="宋体"/>
          <w:bCs/>
          <w:color w:val="auto"/>
          <w:sz w:val="24"/>
        </w:rPr>
        <w:t>采购文件</w:t>
      </w:r>
      <w:r>
        <w:rPr>
          <w:rFonts w:ascii="宋体" w:hAnsi="宋体"/>
          <w:color w:val="auto"/>
          <w:sz w:val="24"/>
        </w:rPr>
        <w:t>规定的计量单位；</w:t>
      </w:r>
      <w:r>
        <w:rPr>
          <w:rFonts w:hint="eastAsia" w:ascii="宋体" w:hAnsi="宋体"/>
          <w:bCs/>
          <w:color w:val="auto"/>
          <w:sz w:val="24"/>
        </w:rPr>
        <w:t>采购文件</w:t>
      </w:r>
      <w:r>
        <w:rPr>
          <w:rFonts w:ascii="宋体" w:hAnsi="宋体"/>
          <w:color w:val="auto"/>
          <w:sz w:val="24"/>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w:t>
      </w:r>
      <w:r>
        <w:rPr>
          <w:rFonts w:ascii="宋体" w:hAnsi="宋体"/>
          <w:color w:val="auto"/>
          <w:sz w:val="24"/>
        </w:rPr>
        <w:t>若</w:t>
      </w:r>
      <w:r>
        <w:rPr>
          <w:rFonts w:hint="eastAsia" w:ascii="宋体" w:hAnsi="宋体"/>
          <w:color w:val="auto"/>
          <w:sz w:val="24"/>
        </w:rPr>
        <w:t>投标供应商</w:t>
      </w:r>
      <w:r>
        <w:rPr>
          <w:rFonts w:ascii="宋体" w:hAnsi="宋体"/>
          <w:color w:val="auto"/>
          <w:sz w:val="24"/>
        </w:rPr>
        <w:t>不按采购文件的要求提供资格审查材料，其风险由</w:t>
      </w:r>
      <w:r>
        <w:rPr>
          <w:rFonts w:hint="eastAsia" w:ascii="宋体" w:hAnsi="宋体"/>
          <w:color w:val="auto"/>
          <w:sz w:val="24"/>
        </w:rPr>
        <w:t>投标供应商</w:t>
      </w:r>
      <w:r>
        <w:rPr>
          <w:rFonts w:ascii="宋体" w:hAnsi="宋体"/>
          <w:color w:val="auto"/>
          <w:sz w:val="24"/>
        </w:rPr>
        <w:t>自行承担。</w:t>
      </w:r>
    </w:p>
    <w:p>
      <w:pPr>
        <w:autoSpaceDE w:val="0"/>
        <w:autoSpaceDN w:val="0"/>
        <w:adjustRightInd w:val="0"/>
        <w:spacing w:line="360" w:lineRule="auto"/>
        <w:ind w:firstLine="480"/>
        <w:rPr>
          <w:rFonts w:ascii="宋体" w:hAnsi="宋体"/>
          <w:color w:val="auto"/>
          <w:sz w:val="24"/>
        </w:rPr>
      </w:pPr>
      <w:r>
        <w:rPr>
          <w:rFonts w:hint="eastAsia" w:ascii="宋体" w:hAnsi="宋体"/>
          <w:color w:val="auto"/>
          <w:kern w:val="0"/>
          <w:sz w:val="24"/>
        </w:rPr>
        <w:t>（</w:t>
      </w:r>
      <w:r>
        <w:rPr>
          <w:rFonts w:ascii="宋体" w:hAnsi="宋体"/>
          <w:color w:val="auto"/>
          <w:kern w:val="0"/>
          <w:sz w:val="24"/>
        </w:rPr>
        <w:t>8</w:t>
      </w:r>
      <w:r>
        <w:rPr>
          <w:rFonts w:hint="eastAsia" w:ascii="宋体" w:hAnsi="宋体"/>
          <w:color w:val="auto"/>
          <w:kern w:val="0"/>
          <w:sz w:val="24"/>
        </w:rPr>
        <w:t>）</w:t>
      </w:r>
      <w:r>
        <w:rPr>
          <w:rFonts w:hint="eastAsia" w:ascii="宋体" w:hAnsi="宋体"/>
          <w:color w:val="auto"/>
          <w:sz w:val="24"/>
        </w:rPr>
        <w:t>与本次投标无关的内容请不要制作在内，确保投标文件有针对性、简洁明了。</w:t>
      </w:r>
    </w:p>
    <w:p>
      <w:pPr>
        <w:autoSpaceDE w:val="0"/>
        <w:autoSpaceDN w:val="0"/>
        <w:adjustRightInd w:val="0"/>
        <w:spacing w:line="360" w:lineRule="auto"/>
        <w:ind w:firstLine="480"/>
        <w:rPr>
          <w:rFonts w:ascii="宋体" w:hAnsi="宋体"/>
          <w:color w:val="auto"/>
          <w:sz w:val="24"/>
        </w:rPr>
      </w:pPr>
      <w:r>
        <w:rPr>
          <w:rFonts w:hint="eastAsia" w:ascii="宋体" w:hAnsi="宋体"/>
          <w:b/>
          <w:bCs/>
          <w:color w:val="auto"/>
          <w:sz w:val="24"/>
        </w:rPr>
        <w:t>2、投标文件的签章</w:t>
      </w:r>
    </w:p>
    <w:p>
      <w:pPr>
        <w:spacing w:line="360" w:lineRule="auto"/>
        <w:ind w:firstLine="460" w:firstLineChars="192"/>
        <w:rPr>
          <w:rFonts w:ascii="宋体" w:hAnsi="宋体" w:cs="Arial"/>
          <w:bCs/>
          <w:color w:val="auto"/>
          <w:kern w:val="0"/>
          <w:sz w:val="24"/>
        </w:rPr>
      </w:pPr>
      <w:r>
        <w:rPr>
          <w:rFonts w:hint="eastAsia" w:ascii="宋体" w:hAnsi="宋体" w:cs="Arial"/>
          <w:bCs/>
          <w:color w:val="auto"/>
          <w:kern w:val="0"/>
          <w:sz w:val="24"/>
        </w:rPr>
        <w:t>（1）《</w:t>
      </w:r>
      <w:r>
        <w:rPr>
          <w:rFonts w:ascii="宋体" w:hAnsi="宋体" w:cs="Arial"/>
          <w:bCs/>
          <w:color w:val="auto"/>
          <w:kern w:val="0"/>
          <w:sz w:val="24"/>
        </w:rPr>
        <w:t>投标文件</w:t>
      </w:r>
      <w:r>
        <w:rPr>
          <w:rFonts w:hint="eastAsia" w:ascii="宋体" w:hAnsi="宋体" w:cs="Arial"/>
          <w:bCs/>
          <w:color w:val="auto"/>
          <w:kern w:val="0"/>
          <w:sz w:val="24"/>
        </w:rPr>
        <w:t>》的签章：</w:t>
      </w:r>
      <w:r>
        <w:rPr>
          <w:rFonts w:hint="eastAsia" w:ascii="宋体" w:hAnsi="宋体"/>
          <w:bCs/>
          <w:color w:val="auto"/>
          <w:sz w:val="24"/>
        </w:rPr>
        <w:t>见《前附表》；</w:t>
      </w:r>
    </w:p>
    <w:p>
      <w:pPr>
        <w:spacing w:line="360" w:lineRule="auto"/>
        <w:ind w:firstLine="460" w:firstLineChars="192"/>
        <w:rPr>
          <w:rFonts w:ascii="宋体" w:hAnsi="宋体" w:cs="Arial"/>
          <w:bCs/>
          <w:color w:val="auto"/>
          <w:kern w:val="0"/>
          <w:sz w:val="24"/>
        </w:rPr>
      </w:pPr>
      <w:r>
        <w:rPr>
          <w:rFonts w:hint="eastAsia" w:ascii="宋体" w:hAnsi="宋体" w:cs="Arial"/>
          <w:bCs/>
          <w:color w:val="auto"/>
          <w:kern w:val="0"/>
          <w:sz w:val="24"/>
        </w:rPr>
        <w:t>（2） 《</w:t>
      </w:r>
      <w:r>
        <w:rPr>
          <w:rFonts w:ascii="宋体" w:hAnsi="宋体" w:cs="Arial"/>
          <w:bCs/>
          <w:color w:val="auto"/>
          <w:kern w:val="0"/>
          <w:sz w:val="24"/>
        </w:rPr>
        <w:t>投标文件</w:t>
      </w:r>
      <w:r>
        <w:rPr>
          <w:rFonts w:hint="eastAsia" w:ascii="宋体" w:hAnsi="宋体" w:cs="Arial"/>
          <w:bCs/>
          <w:color w:val="auto"/>
          <w:kern w:val="0"/>
          <w:sz w:val="24"/>
        </w:rPr>
        <w:t>》应由投标供应商法定代表人或其授权代表签字（或签章），并时加盖投标供应商公章。</w:t>
      </w:r>
    </w:p>
    <w:p>
      <w:pPr>
        <w:autoSpaceDE w:val="0"/>
        <w:autoSpaceDN w:val="0"/>
        <w:adjustRightInd w:val="0"/>
        <w:spacing w:line="360" w:lineRule="auto"/>
        <w:ind w:firstLine="480"/>
        <w:rPr>
          <w:rFonts w:ascii="宋体" w:hAnsi="宋体"/>
          <w:color w:val="auto"/>
          <w:kern w:val="0"/>
          <w:sz w:val="24"/>
          <w:lang w:val="zh-CN"/>
        </w:rPr>
      </w:pPr>
      <w:r>
        <w:rPr>
          <w:rFonts w:hint="eastAsia" w:ascii="宋体" w:hAnsi="宋体" w:cs="Arial"/>
          <w:bCs/>
          <w:color w:val="auto"/>
          <w:kern w:val="0"/>
          <w:sz w:val="24"/>
        </w:rPr>
        <w:t>（</w:t>
      </w:r>
      <w:r>
        <w:rPr>
          <w:rFonts w:ascii="宋体" w:hAnsi="宋体" w:cs="Arial"/>
          <w:bCs/>
          <w:color w:val="auto"/>
          <w:kern w:val="0"/>
          <w:sz w:val="24"/>
        </w:rPr>
        <w:t>3</w:t>
      </w:r>
      <w:r>
        <w:rPr>
          <w:rFonts w:hint="eastAsia" w:ascii="宋体" w:hAnsi="宋体" w:cs="Arial"/>
          <w:bCs/>
          <w:color w:val="auto"/>
          <w:kern w:val="0"/>
          <w:sz w:val="24"/>
        </w:rPr>
        <w:t>）电子签章操作指南详见</w:t>
      </w:r>
      <w:r>
        <w:rPr>
          <w:rFonts w:hint="eastAsia" w:ascii="宋体" w:hAnsi="宋体" w:cs="Arial"/>
          <w:bCs/>
          <w:color w:val="auto"/>
          <w:sz w:val="24"/>
        </w:rPr>
        <w:t>《供应商项目采购-电子招投标操作指南》。</w:t>
      </w:r>
    </w:p>
    <w:p>
      <w:pPr>
        <w:autoSpaceDE w:val="0"/>
        <w:autoSpaceDN w:val="0"/>
        <w:adjustRightInd w:val="0"/>
        <w:spacing w:line="360" w:lineRule="auto"/>
        <w:ind w:firstLine="480"/>
        <w:rPr>
          <w:rFonts w:ascii="宋体" w:hAnsi="宋体"/>
          <w:b/>
          <w:color w:val="auto"/>
          <w:kern w:val="0"/>
          <w:sz w:val="24"/>
        </w:rPr>
      </w:pPr>
      <w:r>
        <w:rPr>
          <w:rFonts w:hint="eastAsia" w:ascii="宋体" w:hAnsi="宋体"/>
          <w:b/>
          <w:color w:val="auto"/>
          <w:kern w:val="0"/>
          <w:sz w:val="24"/>
        </w:rPr>
        <w:t>3、投标文件的形式</w:t>
      </w:r>
    </w:p>
    <w:p>
      <w:pPr>
        <w:spacing w:line="360" w:lineRule="auto"/>
        <w:ind w:firstLine="422" w:firstLineChars="176"/>
        <w:rPr>
          <w:rFonts w:ascii="宋体" w:hAnsi="宋体" w:cs="Arial"/>
          <w:bCs/>
          <w:color w:val="auto"/>
          <w:sz w:val="24"/>
        </w:rPr>
      </w:pPr>
      <w:r>
        <w:rPr>
          <w:rFonts w:hint="eastAsia" w:ascii="宋体" w:hAnsi="宋体" w:cs="Arial"/>
          <w:bCs/>
          <w:color w:val="auto"/>
          <w:sz w:val="24"/>
        </w:rPr>
        <w:t>（1）投标文件的形式：</w:t>
      </w:r>
      <w:r>
        <w:rPr>
          <w:rFonts w:hint="eastAsia" w:ascii="宋体" w:hAnsi="宋体"/>
          <w:bCs/>
          <w:color w:val="auto"/>
          <w:sz w:val="24"/>
        </w:rPr>
        <w:t>见《前附表》；</w:t>
      </w:r>
    </w:p>
    <w:p>
      <w:pPr>
        <w:spacing w:line="360" w:lineRule="auto"/>
        <w:ind w:firstLine="422" w:firstLineChars="176"/>
        <w:rPr>
          <w:rFonts w:ascii="宋体" w:hAnsi="宋体" w:cs="Arial"/>
          <w:bCs/>
          <w:color w:val="auto"/>
          <w:sz w:val="24"/>
        </w:rPr>
      </w:pPr>
      <w:r>
        <w:rPr>
          <w:rFonts w:hint="eastAsia" w:ascii="宋体" w:hAnsi="宋体" w:cs="Arial"/>
          <w:bCs/>
          <w:color w:val="auto"/>
          <w:sz w:val="24"/>
        </w:rPr>
        <w:t>（2）“电子加密投标文件”：“电子加密投标文件”是指通过“政采云电子交易客户端”完成投标文件编制后生成并加密的数据电文形式的投标文件。</w:t>
      </w:r>
    </w:p>
    <w:p>
      <w:pPr>
        <w:autoSpaceDE w:val="0"/>
        <w:autoSpaceDN w:val="0"/>
        <w:adjustRightInd w:val="0"/>
        <w:spacing w:line="360" w:lineRule="auto"/>
        <w:ind w:firstLine="480"/>
        <w:rPr>
          <w:rFonts w:ascii="宋体" w:hAnsi="宋体" w:cs="Arial"/>
          <w:bCs/>
          <w:color w:val="auto"/>
          <w:sz w:val="24"/>
        </w:rPr>
      </w:pPr>
      <w:r>
        <w:rPr>
          <w:rFonts w:hint="eastAsia" w:ascii="宋体" w:hAnsi="宋体" w:cs="Arial"/>
          <w:bCs/>
          <w:color w:val="auto"/>
          <w:sz w:val="24"/>
        </w:rPr>
        <w:t>（3）“备份投标文件”：“备份投标文件”是指与“电子加密投标文件”同时生成的数据电文形式的电子文件（备份标书），其他方式编制的“备份投标文件”视为无效的“备份投标文件”。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360" w:lineRule="auto"/>
        <w:ind w:firstLine="480"/>
        <w:rPr>
          <w:rFonts w:ascii="宋体" w:hAnsi="宋体"/>
          <w:b/>
          <w:color w:val="auto"/>
          <w:kern w:val="0"/>
          <w:sz w:val="24"/>
        </w:rPr>
      </w:pPr>
      <w:r>
        <w:rPr>
          <w:rFonts w:hint="eastAsia" w:ascii="宋体" w:hAnsi="宋体"/>
          <w:b/>
          <w:color w:val="auto"/>
          <w:kern w:val="0"/>
          <w:sz w:val="24"/>
        </w:rPr>
        <w:t>4、投标文件的份数</w:t>
      </w:r>
    </w:p>
    <w:p>
      <w:pPr>
        <w:autoSpaceDE w:val="0"/>
        <w:autoSpaceDN w:val="0"/>
        <w:adjustRightInd w:val="0"/>
        <w:spacing w:line="360" w:lineRule="auto"/>
        <w:ind w:firstLine="480"/>
        <w:rPr>
          <w:rFonts w:ascii="宋体" w:hAnsi="宋体"/>
          <w:bCs/>
          <w:color w:val="auto"/>
          <w:kern w:val="0"/>
          <w:sz w:val="24"/>
        </w:rPr>
      </w:pPr>
      <w:r>
        <w:rPr>
          <w:rFonts w:hint="eastAsia" w:ascii="宋体" w:hAnsi="宋体"/>
          <w:bCs/>
          <w:color w:val="auto"/>
          <w:kern w:val="0"/>
          <w:sz w:val="24"/>
        </w:rPr>
        <w:t>（1）投标文件的份数：见《前附表》。</w:t>
      </w:r>
    </w:p>
    <w:p>
      <w:pPr>
        <w:tabs>
          <w:tab w:val="left" w:pos="1898"/>
        </w:tabs>
        <w:autoSpaceDE w:val="0"/>
        <w:autoSpaceDN w:val="0"/>
        <w:adjustRightInd w:val="0"/>
        <w:spacing w:line="360" w:lineRule="auto"/>
        <w:ind w:firstLine="482" w:firstLineChars="200"/>
        <w:rPr>
          <w:rFonts w:ascii="宋体" w:hAnsi="宋体"/>
          <w:b/>
          <w:color w:val="auto"/>
          <w:kern w:val="0"/>
          <w:sz w:val="24"/>
        </w:rPr>
      </w:pPr>
      <w:r>
        <w:rPr>
          <w:rFonts w:ascii="宋体" w:hAnsi="宋体"/>
          <w:b/>
          <w:color w:val="auto"/>
          <w:kern w:val="0"/>
          <w:sz w:val="24"/>
        </w:rPr>
        <w:t>5</w:t>
      </w:r>
      <w:r>
        <w:rPr>
          <w:rFonts w:hint="eastAsia" w:ascii="宋体" w:hAnsi="宋体"/>
          <w:b/>
          <w:color w:val="auto"/>
          <w:kern w:val="0"/>
          <w:sz w:val="24"/>
        </w:rPr>
        <w:t>、投标文件的补充、修改和撤回。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宋体" w:hAnsi="宋体"/>
          <w:color w:val="auto"/>
          <w:kern w:val="0"/>
          <w:sz w:val="24"/>
        </w:rPr>
        <w:t>投标截止时间后，投标供应商不得撤回、修改《投标文件》。</w:t>
      </w:r>
    </w:p>
    <w:p>
      <w:pPr>
        <w:tabs>
          <w:tab w:val="left" w:pos="1898"/>
        </w:tabs>
        <w:autoSpaceDE w:val="0"/>
        <w:autoSpaceDN w:val="0"/>
        <w:adjustRightInd w:val="0"/>
        <w:spacing w:line="360" w:lineRule="auto"/>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（三）投标文件的有效期</w:t>
      </w:r>
    </w:p>
    <w:p>
      <w:pPr>
        <w:pStyle w:val="15"/>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lang w:val="en-GB"/>
        </w:rPr>
      </w:pPr>
      <w:r>
        <w:rPr>
          <w:rFonts w:hint="eastAsia" w:ascii="宋体" w:hAnsi="宋体"/>
          <w:color w:val="auto"/>
          <w:sz w:val="24"/>
          <w:lang w:val="en-GB"/>
        </w:rPr>
        <w:t>自投标截止日起90天投标文件应保持有效。有效期不足的投标文件将被拒绝。</w:t>
      </w:r>
    </w:p>
    <w:p>
      <w:pPr>
        <w:pStyle w:val="15"/>
        <w:tabs>
          <w:tab w:val="left" w:pos="454"/>
          <w:tab w:val="left" w:pos="720"/>
          <w:tab w:val="left" w:pos="1200"/>
        </w:tabs>
        <w:snapToGrid w:val="0"/>
        <w:spacing w:line="360" w:lineRule="auto"/>
        <w:ind w:left="0" w:firstLine="480" w:firstLineChars="200"/>
        <w:rPr>
          <w:rFonts w:ascii="宋体" w:hAnsi="宋体"/>
          <w:color w:val="auto"/>
          <w:sz w:val="24"/>
          <w:lang w:val="en-GB"/>
        </w:rPr>
      </w:pPr>
      <w:r>
        <w:rPr>
          <w:rFonts w:hint="eastAsia" w:ascii="宋体" w:hAnsi="宋体"/>
          <w:color w:val="auto"/>
          <w:sz w:val="24"/>
          <w:lang w:val="en-GB"/>
        </w:rPr>
        <w:t>在特殊情况下，采购人可与投标人协商延长投标文件的有效期，这种要求和答复均以书面形式进行。</w:t>
      </w:r>
    </w:p>
    <w:p>
      <w:pPr>
        <w:pStyle w:val="15"/>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color w:val="auto"/>
          <w:sz w:val="24"/>
        </w:rPr>
      </w:pPr>
      <w:r>
        <w:rPr>
          <w:rFonts w:hint="eastAsia" w:ascii="宋体" w:hAnsi="宋体"/>
          <w:color w:val="auto"/>
          <w:sz w:val="24"/>
        </w:rPr>
        <w:t>3.</w:t>
      </w:r>
      <w:r>
        <w:rPr>
          <w:rFonts w:asciiTheme="minorEastAsia" w:hAnsiTheme="minorEastAsia" w:eastAsiaTheme="minorEastAsia"/>
          <w:color w:val="auto"/>
          <w:sz w:val="24"/>
        </w:rPr>
        <w:t>中标人的投标文件自开标之日起至合同履行完毕均应保持有效。</w:t>
      </w:r>
    </w:p>
    <w:p>
      <w:pPr>
        <w:snapToGrid w:val="0"/>
        <w:spacing w:line="360" w:lineRule="auto"/>
        <w:jc w:val="left"/>
        <w:outlineLvl w:val="0"/>
        <w:rPr>
          <w:rFonts w:ascii="宋体" w:hAnsi="宋体"/>
          <w:b/>
          <w:color w:val="auto"/>
          <w:kern w:val="0"/>
          <w:sz w:val="24"/>
        </w:rPr>
      </w:pPr>
      <w:r>
        <w:rPr>
          <w:rFonts w:hint="eastAsia" w:ascii="宋体" w:hAnsi="宋体"/>
          <w:b/>
          <w:color w:val="auto"/>
          <w:kern w:val="0"/>
          <w:sz w:val="24"/>
        </w:rPr>
        <w:t>（四）投标文件的备选方案</w:t>
      </w:r>
    </w:p>
    <w:p>
      <w:pPr>
        <w:tabs>
          <w:tab w:val="left" w:pos="1418"/>
        </w:tabs>
        <w:autoSpaceDE w:val="0"/>
        <w:autoSpaceDN w:val="0"/>
        <w:adjustRightInd w:val="0"/>
        <w:spacing w:line="360" w:lineRule="auto"/>
        <w:ind w:firstLine="480" w:firstLineChars="200"/>
        <w:rPr>
          <w:rFonts w:ascii="宋体" w:hAnsi="宋体"/>
          <w:b/>
          <w:bCs/>
          <w:color w:val="auto"/>
          <w:kern w:val="0"/>
          <w:sz w:val="24"/>
        </w:rPr>
      </w:pPr>
      <w:r>
        <w:rPr>
          <w:rFonts w:hint="eastAsia" w:ascii="宋体" w:hAnsi="宋体"/>
          <w:color w:val="auto"/>
          <w:kern w:val="0"/>
          <w:sz w:val="24"/>
        </w:rPr>
        <w:t>1、投标供应商不得递交任何的投标备选（替代）方案，否则其投标文件将作无效标处理。</w:t>
      </w:r>
      <w:r>
        <w:rPr>
          <w:rFonts w:hint="eastAsia" w:ascii="宋体" w:hAnsi="宋体"/>
          <w:b/>
          <w:bCs/>
          <w:color w:val="auto"/>
          <w:kern w:val="0"/>
          <w:sz w:val="24"/>
        </w:rPr>
        <w:t>与“电子加密投标文件”同时生成的“备份投标文件”不是投标备选（替代）方案。</w:t>
      </w:r>
    </w:p>
    <w:p>
      <w:pPr>
        <w:tabs>
          <w:tab w:val="left" w:pos="1418"/>
        </w:tabs>
        <w:autoSpaceDE w:val="0"/>
        <w:autoSpaceDN w:val="0"/>
        <w:adjustRightInd w:val="0"/>
        <w:spacing w:line="360" w:lineRule="auto"/>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四、投标保证金</w:t>
      </w:r>
    </w:p>
    <w:p>
      <w:pPr>
        <w:tabs>
          <w:tab w:val="left" w:pos="1418"/>
        </w:tabs>
        <w:autoSpaceDE w:val="0"/>
        <w:autoSpaceDN w:val="0"/>
        <w:adjustRightInd w:val="0"/>
        <w:spacing w:line="360" w:lineRule="auto"/>
        <w:rPr>
          <w:rFonts w:ascii="宋体" w:hAnsi="宋体"/>
          <w:bCs/>
          <w:color w:val="auto"/>
          <w:sz w:val="24"/>
        </w:rPr>
      </w:pPr>
      <w:r>
        <w:rPr>
          <w:rFonts w:hint="eastAsia" w:asciiTheme="minorEastAsia" w:hAnsiTheme="minorEastAsia" w:eastAsiaTheme="minorEastAsia"/>
          <w:color w:val="auto"/>
          <w:kern w:val="0"/>
          <w:sz w:val="24"/>
        </w:rPr>
        <w:t>无</w:t>
      </w:r>
    </w:p>
    <w:p>
      <w:pPr>
        <w:snapToGrid w:val="0"/>
        <w:spacing w:line="360" w:lineRule="auto"/>
        <w:jc w:val="left"/>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五、开标</w:t>
      </w:r>
    </w:p>
    <w:p>
      <w:pPr>
        <w:pStyle w:val="8"/>
        <w:spacing w:before="0" w:after="0" w:line="360" w:lineRule="auto"/>
        <w:ind w:left="720" w:hanging="720"/>
        <w:rPr>
          <w:rFonts w:ascii="宋体" w:hAnsi="宋体"/>
          <w:color w:val="auto"/>
          <w:sz w:val="24"/>
          <w:szCs w:val="24"/>
        </w:rPr>
      </w:pPr>
      <w:r>
        <w:rPr>
          <w:rFonts w:hint="eastAsia" w:ascii="宋体" w:hAnsi="宋体" w:cs="宋体"/>
          <w:color w:val="auto"/>
          <w:sz w:val="24"/>
          <w:szCs w:val="24"/>
        </w:rPr>
        <w:t>（一）</w:t>
      </w:r>
      <w:r>
        <w:rPr>
          <w:rFonts w:hint="eastAsia" w:ascii="宋体" w:hAnsi="宋体"/>
          <w:color w:val="auto"/>
          <w:sz w:val="24"/>
          <w:szCs w:val="24"/>
        </w:rPr>
        <w:t>开标</w:t>
      </w:r>
      <w:r>
        <w:rPr>
          <w:rFonts w:hint="eastAsia" w:ascii="宋体" w:hAnsi="宋体" w:cs="宋体"/>
          <w:color w:val="auto"/>
          <w:sz w:val="24"/>
          <w:szCs w:val="24"/>
        </w:rPr>
        <w:t>形式</w:t>
      </w:r>
    </w:p>
    <w:p>
      <w:pPr>
        <w:spacing w:line="360" w:lineRule="auto"/>
        <w:ind w:firstLine="426" w:firstLineChars="177"/>
        <w:rPr>
          <w:rFonts w:ascii="宋体" w:hAnsi="宋体"/>
          <w:b/>
          <w:color w:val="auto"/>
          <w:sz w:val="24"/>
        </w:rPr>
      </w:pPr>
      <w:r>
        <w:rPr>
          <w:rFonts w:hint="eastAsia" w:ascii="宋体" w:hAnsi="宋体"/>
          <w:b/>
          <w:color w:val="auto"/>
          <w:sz w:val="24"/>
        </w:rPr>
        <w:t>1.1 采购组织机构将按照招标文件规定的时间通过“政府采购云平台”组织开标、开启投标文件，所有供应商均应当准时在线参加。</w:t>
      </w:r>
    </w:p>
    <w:p>
      <w:pPr>
        <w:pStyle w:val="8"/>
        <w:spacing w:before="0" w:after="0" w:line="360" w:lineRule="auto"/>
        <w:ind w:left="720" w:hanging="720"/>
        <w:rPr>
          <w:rFonts w:ascii="宋体" w:hAnsi="宋体"/>
          <w:color w:val="auto"/>
          <w:sz w:val="24"/>
          <w:szCs w:val="24"/>
        </w:rPr>
      </w:pPr>
      <w:r>
        <w:rPr>
          <w:rFonts w:hint="eastAsia" w:ascii="宋体" w:hAnsi="宋体" w:cs="宋体"/>
          <w:color w:val="auto"/>
          <w:sz w:val="24"/>
          <w:szCs w:val="24"/>
        </w:rPr>
        <w:t>（二）</w:t>
      </w:r>
      <w:r>
        <w:rPr>
          <w:rFonts w:ascii="宋体" w:hAnsi="宋体"/>
          <w:color w:val="auto"/>
          <w:sz w:val="24"/>
          <w:szCs w:val="24"/>
        </w:rPr>
        <w:t>开标</w:t>
      </w:r>
      <w:r>
        <w:rPr>
          <w:rFonts w:hint="eastAsia" w:ascii="宋体" w:hAnsi="宋体"/>
          <w:color w:val="auto"/>
          <w:sz w:val="24"/>
          <w:szCs w:val="24"/>
        </w:rPr>
        <w:t>说明</w:t>
      </w:r>
    </w:p>
    <w:p>
      <w:pPr>
        <w:spacing w:line="360" w:lineRule="auto"/>
        <w:ind w:firstLine="422" w:firstLineChars="176"/>
        <w:rPr>
          <w:rFonts w:ascii="宋体" w:hAnsi="宋体" w:cs="Arial"/>
          <w:color w:val="auto"/>
          <w:kern w:val="0"/>
          <w:sz w:val="24"/>
        </w:rPr>
      </w:pPr>
      <w:r>
        <w:rPr>
          <w:rFonts w:ascii="宋体" w:hAnsi="宋体" w:cs="Arial"/>
          <w:color w:val="auto"/>
          <w:kern w:val="0"/>
          <w:sz w:val="24"/>
        </w:rPr>
        <w:t>2</w:t>
      </w:r>
      <w:r>
        <w:rPr>
          <w:rFonts w:hint="eastAsia" w:ascii="宋体" w:hAnsi="宋体" w:cs="Arial"/>
          <w:color w:val="auto"/>
          <w:kern w:val="0"/>
          <w:sz w:val="24"/>
        </w:rPr>
        <w:t>.1开标的准备工作由采购组织机构负责落实；</w:t>
      </w:r>
    </w:p>
    <w:p>
      <w:pPr>
        <w:spacing w:line="360" w:lineRule="auto"/>
        <w:ind w:firstLine="422" w:firstLineChars="176"/>
        <w:rPr>
          <w:rFonts w:ascii="宋体" w:hAnsi="宋体" w:cs="Arial"/>
          <w:color w:val="auto"/>
          <w:kern w:val="0"/>
          <w:sz w:val="24"/>
        </w:rPr>
      </w:pPr>
      <w:r>
        <w:rPr>
          <w:rFonts w:ascii="宋体" w:hAnsi="宋体" w:cs="Arial"/>
          <w:color w:val="auto"/>
          <w:kern w:val="0"/>
          <w:sz w:val="24"/>
        </w:rPr>
        <w:t>2</w:t>
      </w:r>
      <w:r>
        <w:rPr>
          <w:rFonts w:hint="eastAsia" w:ascii="宋体" w:hAnsi="宋体" w:cs="Arial"/>
          <w:color w:val="auto"/>
          <w:kern w:val="0"/>
          <w:sz w:val="24"/>
        </w:rPr>
        <w:t>.2</w:t>
      </w:r>
      <w:r>
        <w:rPr>
          <w:rFonts w:hint="eastAsia" w:ascii="宋体" w:hAnsi="宋体"/>
          <w:b/>
          <w:color w:val="auto"/>
          <w:sz w:val="24"/>
        </w:rPr>
        <w:t>采购组织机构将按照招标文件规定的时间通过“政府采购云平台”组织开标、开启投标文件，所有供应商均应当准时在线参加。</w:t>
      </w:r>
      <w:r>
        <w:rPr>
          <w:rFonts w:hint="eastAsia" w:ascii="宋体" w:hAnsi="宋体" w:cs="Arial"/>
          <w:b/>
          <w:color w:val="auto"/>
          <w:kern w:val="0"/>
          <w:sz w:val="24"/>
        </w:rPr>
        <w:t>投标供应商</w:t>
      </w:r>
      <w:r>
        <w:rPr>
          <w:rFonts w:ascii="宋体" w:hAnsi="宋体" w:cs="Arial"/>
          <w:b/>
          <w:color w:val="auto"/>
          <w:kern w:val="0"/>
          <w:sz w:val="24"/>
        </w:rPr>
        <w:t>如不</w:t>
      </w:r>
      <w:r>
        <w:rPr>
          <w:rFonts w:hint="eastAsia" w:ascii="宋体" w:hAnsi="宋体" w:cs="Arial"/>
          <w:b/>
          <w:color w:val="auto"/>
          <w:kern w:val="0"/>
          <w:sz w:val="24"/>
        </w:rPr>
        <w:t>参加</w:t>
      </w:r>
      <w:r>
        <w:rPr>
          <w:rFonts w:ascii="宋体" w:hAnsi="宋体" w:cs="Arial"/>
          <w:b/>
          <w:color w:val="auto"/>
          <w:kern w:val="0"/>
          <w:sz w:val="24"/>
        </w:rPr>
        <w:t>开标大会的，</w:t>
      </w:r>
      <w:r>
        <w:rPr>
          <w:rFonts w:hint="eastAsia" w:ascii="宋体" w:hAnsi="宋体" w:cs="Arial"/>
          <w:b/>
          <w:color w:val="auto"/>
          <w:kern w:val="0"/>
          <w:sz w:val="24"/>
        </w:rPr>
        <w:t>视同认可开标结果，</w:t>
      </w:r>
      <w:r>
        <w:rPr>
          <w:rFonts w:ascii="宋体" w:hAnsi="宋体" w:cs="Arial"/>
          <w:b/>
          <w:color w:val="auto"/>
          <w:kern w:val="0"/>
          <w:sz w:val="24"/>
        </w:rPr>
        <w:t>事后不得对采购相关人员、开标过程和开标结果提出异议</w:t>
      </w:r>
      <w:r>
        <w:rPr>
          <w:rFonts w:hint="eastAsia" w:ascii="宋体" w:hAnsi="宋体" w:cs="Arial"/>
          <w:b/>
          <w:color w:val="auto"/>
          <w:kern w:val="0"/>
          <w:sz w:val="24"/>
        </w:rPr>
        <w:t>，同时投标供应商因未在线参加开标而导致投标文件无法按时解密等一切后果由供应商自己承担。</w:t>
      </w:r>
    </w:p>
    <w:p>
      <w:pPr>
        <w:pStyle w:val="8"/>
        <w:spacing w:before="0" w:after="0" w:line="360" w:lineRule="auto"/>
        <w:ind w:left="720" w:hanging="720"/>
        <w:rPr>
          <w:rFonts w:ascii="宋体" w:hAnsi="宋体"/>
          <w:color w:val="auto"/>
          <w:sz w:val="24"/>
          <w:szCs w:val="24"/>
        </w:rPr>
      </w:pPr>
      <w:r>
        <w:rPr>
          <w:rFonts w:hint="eastAsia" w:ascii="宋体" w:hAnsi="宋体" w:cs="宋体"/>
          <w:color w:val="auto"/>
          <w:sz w:val="24"/>
          <w:szCs w:val="24"/>
        </w:rPr>
        <w:t>（三）</w:t>
      </w:r>
      <w:r>
        <w:rPr>
          <w:rFonts w:ascii="宋体" w:hAnsi="宋体"/>
          <w:color w:val="auto"/>
          <w:sz w:val="24"/>
          <w:szCs w:val="24"/>
        </w:rPr>
        <w:t>开标</w:t>
      </w:r>
      <w:r>
        <w:rPr>
          <w:rFonts w:hint="eastAsia" w:ascii="宋体" w:hAnsi="宋体"/>
          <w:color w:val="auto"/>
          <w:sz w:val="24"/>
          <w:szCs w:val="24"/>
        </w:rPr>
        <w:t>流程（两阶段）</w:t>
      </w:r>
    </w:p>
    <w:p>
      <w:pPr>
        <w:spacing w:line="360" w:lineRule="auto"/>
        <w:ind w:firstLine="426" w:firstLineChars="177"/>
        <w:jc w:val="left"/>
        <w:rPr>
          <w:rFonts w:ascii="宋体" w:hAnsi="宋体" w:cs="Arial"/>
          <w:b/>
          <w:color w:val="auto"/>
          <w:kern w:val="0"/>
          <w:sz w:val="24"/>
        </w:rPr>
      </w:pPr>
      <w:r>
        <w:rPr>
          <w:rFonts w:hint="eastAsia" w:ascii="宋体" w:hAnsi="宋体" w:cs="Arial"/>
          <w:b/>
          <w:color w:val="auto"/>
          <w:kern w:val="0"/>
          <w:sz w:val="24"/>
        </w:rPr>
        <w:t>3.1开标第一阶段</w:t>
      </w:r>
    </w:p>
    <w:p>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w:t>
      </w:r>
      <w:r>
        <w:rPr>
          <w:rFonts w:ascii="宋体" w:hAnsi="宋体" w:cs="Arial"/>
          <w:color w:val="auto"/>
          <w:kern w:val="0"/>
          <w:sz w:val="24"/>
        </w:rPr>
        <w:t>1</w:t>
      </w:r>
      <w:r>
        <w:rPr>
          <w:rFonts w:hint="eastAsia" w:ascii="宋体" w:hAnsi="宋体" w:cs="Arial"/>
          <w:color w:val="auto"/>
          <w:kern w:val="0"/>
          <w:sz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w:t>
      </w:r>
      <w:r>
        <w:rPr>
          <w:rFonts w:ascii="宋体" w:hAnsi="宋体" w:cs="Arial"/>
          <w:color w:val="auto"/>
          <w:kern w:val="0"/>
          <w:sz w:val="24"/>
        </w:rPr>
        <w:t>2</w:t>
      </w:r>
      <w:r>
        <w:rPr>
          <w:rFonts w:hint="eastAsia" w:ascii="宋体" w:hAnsi="宋体" w:cs="Arial"/>
          <w:color w:val="auto"/>
          <w:kern w:val="0"/>
          <w:sz w:val="24"/>
        </w:rPr>
        <w:t>）投标文件解密结束，通过邮件形式发送各投标人组织签署《政府采购活动现场确认声明书》；</w:t>
      </w:r>
    </w:p>
    <w:p>
      <w:pPr>
        <w:spacing w:line="360" w:lineRule="auto"/>
        <w:ind w:firstLine="424" w:firstLineChars="177"/>
        <w:rPr>
          <w:rFonts w:ascii="宋体" w:hAnsi="宋体" w:cs="Arial"/>
          <w:color w:val="auto"/>
          <w:kern w:val="0"/>
          <w:sz w:val="24"/>
        </w:rPr>
      </w:pPr>
      <w:r>
        <w:rPr>
          <w:rFonts w:hint="eastAsia" w:ascii="宋体" w:hAnsi="宋体" w:cs="Arial"/>
          <w:color w:val="auto"/>
          <w:kern w:val="0"/>
          <w:sz w:val="24"/>
        </w:rPr>
        <w:t>（</w:t>
      </w:r>
      <w:r>
        <w:rPr>
          <w:rFonts w:ascii="宋体" w:hAnsi="宋体" w:cs="Arial"/>
          <w:color w:val="auto"/>
          <w:kern w:val="0"/>
          <w:sz w:val="24"/>
        </w:rPr>
        <w:t>3</w:t>
      </w:r>
      <w:r>
        <w:rPr>
          <w:rFonts w:hint="eastAsia" w:ascii="宋体" w:hAnsi="宋体" w:cs="Arial"/>
          <w:color w:val="auto"/>
          <w:kern w:val="0"/>
          <w:sz w:val="24"/>
        </w:rPr>
        <w:t>）开启投标文件，</w:t>
      </w:r>
      <w:r>
        <w:rPr>
          <w:rFonts w:hint="eastAsia" w:ascii="宋体" w:hAnsi="宋体" w:cs="Arial"/>
          <w:b/>
          <w:color w:val="auto"/>
          <w:kern w:val="0"/>
          <w:sz w:val="24"/>
        </w:rPr>
        <w:t>依法对投标供应商的资格进行审查</w:t>
      </w:r>
      <w:r>
        <w:rPr>
          <w:rFonts w:hint="eastAsia" w:ascii="宋体" w:hAnsi="宋体" w:cs="Arial"/>
          <w:color w:val="auto"/>
          <w:kern w:val="0"/>
          <w:sz w:val="24"/>
        </w:rPr>
        <w:t>；</w:t>
      </w:r>
      <w:r>
        <w:rPr>
          <w:rFonts w:ascii="宋体" w:hAnsi="宋体"/>
          <w:color w:val="auto"/>
          <w:sz w:val="24"/>
        </w:rPr>
        <w:t>如发现投标</w:t>
      </w:r>
      <w:r>
        <w:rPr>
          <w:rFonts w:hint="eastAsia" w:ascii="宋体" w:hAnsi="宋体"/>
          <w:color w:val="auto"/>
          <w:sz w:val="24"/>
        </w:rPr>
        <w:t>供应商</w:t>
      </w:r>
      <w:r>
        <w:rPr>
          <w:rFonts w:ascii="宋体" w:hAnsi="宋体"/>
          <w:color w:val="auto"/>
          <w:sz w:val="24"/>
        </w:rPr>
        <w:t>所提</w:t>
      </w:r>
      <w:r>
        <w:rPr>
          <w:rFonts w:hint="eastAsia" w:ascii="宋体" w:hAnsi="宋体"/>
          <w:color w:val="auto"/>
          <w:sz w:val="24"/>
        </w:rPr>
        <w:t>交</w:t>
      </w:r>
      <w:r>
        <w:rPr>
          <w:rFonts w:ascii="宋体" w:hAnsi="宋体"/>
          <w:color w:val="auto"/>
          <w:sz w:val="24"/>
        </w:rPr>
        <w:t>的资格证明材料不合法或</w:t>
      </w:r>
      <w:r>
        <w:rPr>
          <w:rFonts w:hint="eastAsia" w:ascii="宋体" w:hAnsi="宋体"/>
          <w:color w:val="auto"/>
          <w:sz w:val="24"/>
        </w:rPr>
        <w:t>与事实不符</w:t>
      </w:r>
      <w:r>
        <w:rPr>
          <w:rFonts w:ascii="宋体" w:hAnsi="宋体"/>
          <w:color w:val="auto"/>
          <w:sz w:val="24"/>
        </w:rPr>
        <w:t>，采购人可取消</w:t>
      </w:r>
      <w:r>
        <w:rPr>
          <w:rFonts w:hint="eastAsia" w:ascii="宋体" w:hAnsi="宋体"/>
          <w:color w:val="auto"/>
          <w:sz w:val="24"/>
        </w:rPr>
        <w:t>其</w:t>
      </w:r>
      <w:r>
        <w:rPr>
          <w:rFonts w:ascii="宋体" w:hAnsi="宋体"/>
          <w:color w:val="auto"/>
          <w:sz w:val="24"/>
        </w:rPr>
        <w:t>中标资格并追究投标</w:t>
      </w:r>
      <w:r>
        <w:rPr>
          <w:rFonts w:hint="eastAsia" w:ascii="宋体" w:hAnsi="宋体"/>
          <w:color w:val="auto"/>
          <w:sz w:val="24"/>
        </w:rPr>
        <w:t>供应商</w:t>
      </w:r>
      <w:r>
        <w:rPr>
          <w:rFonts w:ascii="宋体" w:hAnsi="宋体"/>
          <w:color w:val="auto"/>
          <w:sz w:val="24"/>
        </w:rPr>
        <w:t>的法律责任。</w:t>
      </w:r>
      <w:r>
        <w:rPr>
          <w:rFonts w:hint="eastAsia" w:ascii="宋体" w:hAnsi="宋体"/>
          <w:b/>
          <w:color w:val="auto"/>
          <w:sz w:val="24"/>
        </w:rPr>
        <w:t>如投标供应商提交的资格证明材料无法证明其符合招标文件规定的“投标供应商资格要求”的，则其</w:t>
      </w:r>
      <w:r>
        <w:rPr>
          <w:rFonts w:hint="eastAsia" w:ascii="宋体" w:hAnsi="宋体" w:cs="Arial"/>
          <w:b/>
          <w:color w:val="auto"/>
          <w:kern w:val="0"/>
          <w:sz w:val="24"/>
        </w:rPr>
        <w:t>资格审查不通过，按无效投标处理，并不进行后续评审。</w:t>
      </w:r>
    </w:p>
    <w:p>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w:t>
      </w:r>
      <w:r>
        <w:rPr>
          <w:rFonts w:ascii="宋体" w:hAnsi="宋体" w:cs="Arial"/>
          <w:color w:val="auto"/>
          <w:kern w:val="0"/>
          <w:sz w:val="24"/>
        </w:rPr>
        <w:t>4</w:t>
      </w:r>
      <w:r>
        <w:rPr>
          <w:rFonts w:hint="eastAsia" w:ascii="宋体" w:hAnsi="宋体" w:cs="Arial"/>
          <w:color w:val="auto"/>
          <w:kern w:val="0"/>
          <w:sz w:val="24"/>
        </w:rPr>
        <w:t>）资格审查通过的投标供应商，由</w:t>
      </w:r>
      <w:r>
        <w:rPr>
          <w:rFonts w:ascii="宋体" w:hAnsi="宋体" w:cs="Arial"/>
          <w:color w:val="auto"/>
          <w:kern w:val="0"/>
          <w:sz w:val="24"/>
        </w:rPr>
        <w:t>评标委员会对</w:t>
      </w:r>
      <w:r>
        <w:rPr>
          <w:rFonts w:hint="eastAsia" w:ascii="宋体" w:hAnsi="宋体" w:cs="Arial"/>
          <w:color w:val="auto"/>
          <w:kern w:val="0"/>
          <w:sz w:val="24"/>
        </w:rPr>
        <w:t>其商务技术文件的符合性审查、商务技术评审；</w:t>
      </w:r>
    </w:p>
    <w:p>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w:t>
      </w:r>
      <w:r>
        <w:rPr>
          <w:rFonts w:ascii="宋体" w:hAnsi="宋体" w:cs="Arial"/>
          <w:color w:val="auto"/>
          <w:kern w:val="0"/>
          <w:sz w:val="24"/>
        </w:rPr>
        <w:t>5</w:t>
      </w:r>
      <w:r>
        <w:rPr>
          <w:rFonts w:hint="eastAsia" w:ascii="宋体" w:hAnsi="宋体" w:cs="Arial"/>
          <w:color w:val="auto"/>
          <w:kern w:val="0"/>
          <w:sz w:val="24"/>
        </w:rPr>
        <w:t>）第一阶段开标结束。</w:t>
      </w:r>
    </w:p>
    <w:p>
      <w:pPr>
        <w:spacing w:line="360" w:lineRule="auto"/>
        <w:ind w:firstLine="426" w:firstLineChars="177"/>
        <w:jc w:val="left"/>
        <w:rPr>
          <w:rFonts w:ascii="宋体" w:hAnsi="宋体" w:cs="Arial"/>
          <w:b/>
          <w:color w:val="auto"/>
          <w:kern w:val="0"/>
          <w:sz w:val="24"/>
        </w:rPr>
      </w:pPr>
      <w:r>
        <w:rPr>
          <w:rFonts w:hint="eastAsia" w:ascii="宋体" w:hAnsi="宋体" w:cs="Arial"/>
          <w:b/>
          <w:color w:val="auto"/>
          <w:kern w:val="0"/>
          <w:sz w:val="24"/>
        </w:rPr>
        <w:t>3.2开标大会第二阶段</w:t>
      </w:r>
    </w:p>
    <w:p>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（1）首先公布符合性审查、商务技术评审无效供应商名称及理由</w:t>
      </w:r>
      <w:r>
        <w:rPr>
          <w:rFonts w:ascii="宋体" w:hAnsi="宋体" w:cs="Arial"/>
          <w:color w:val="auto"/>
          <w:kern w:val="0"/>
          <w:sz w:val="24"/>
        </w:rPr>
        <w:t>；公布经商务技术评审</w:t>
      </w:r>
      <w:r>
        <w:rPr>
          <w:rFonts w:hint="eastAsia" w:ascii="宋体" w:hAnsi="宋体" w:cs="Arial"/>
          <w:color w:val="auto"/>
          <w:kern w:val="0"/>
          <w:sz w:val="24"/>
        </w:rPr>
        <w:t>后有效投标</w:t>
      </w:r>
      <w:r>
        <w:rPr>
          <w:rFonts w:ascii="宋体" w:hAnsi="宋体" w:cs="Arial"/>
          <w:color w:val="auto"/>
          <w:kern w:val="0"/>
          <w:sz w:val="24"/>
        </w:rPr>
        <w:t>供应商</w:t>
      </w:r>
      <w:r>
        <w:rPr>
          <w:rFonts w:hint="eastAsia" w:ascii="宋体" w:hAnsi="宋体" w:cs="Arial"/>
          <w:color w:val="auto"/>
          <w:kern w:val="0"/>
          <w:sz w:val="24"/>
        </w:rPr>
        <w:t>的</w:t>
      </w:r>
      <w:r>
        <w:rPr>
          <w:rFonts w:ascii="宋体" w:hAnsi="宋体" w:cs="Arial"/>
          <w:color w:val="auto"/>
          <w:kern w:val="0"/>
          <w:sz w:val="24"/>
        </w:rPr>
        <w:t>名单，同时公布</w:t>
      </w:r>
      <w:r>
        <w:rPr>
          <w:rFonts w:hint="eastAsia" w:ascii="宋体" w:hAnsi="宋体" w:cs="Arial"/>
          <w:color w:val="auto"/>
          <w:kern w:val="0"/>
          <w:sz w:val="24"/>
        </w:rPr>
        <w:t>其</w:t>
      </w:r>
      <w:r>
        <w:rPr>
          <w:rFonts w:ascii="宋体" w:hAnsi="宋体" w:cs="Arial"/>
          <w:color w:val="auto"/>
          <w:kern w:val="0"/>
          <w:sz w:val="24"/>
        </w:rPr>
        <w:t>商务技术</w:t>
      </w:r>
      <w:r>
        <w:rPr>
          <w:rFonts w:hint="eastAsia" w:ascii="宋体" w:hAnsi="宋体" w:cs="Arial"/>
          <w:color w:val="auto"/>
          <w:kern w:val="0"/>
          <w:sz w:val="24"/>
        </w:rPr>
        <w:t>部分</w:t>
      </w:r>
      <w:r>
        <w:rPr>
          <w:rFonts w:ascii="宋体" w:hAnsi="宋体" w:cs="Arial"/>
          <w:color w:val="auto"/>
          <w:kern w:val="0"/>
          <w:sz w:val="24"/>
        </w:rPr>
        <w:t>得分情况</w:t>
      </w:r>
      <w:r>
        <w:rPr>
          <w:rFonts w:hint="eastAsia" w:ascii="宋体" w:hAnsi="宋体" w:cs="Arial"/>
          <w:color w:val="auto"/>
          <w:kern w:val="0"/>
          <w:sz w:val="24"/>
        </w:rPr>
        <w:t>。</w:t>
      </w:r>
    </w:p>
    <w:p>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（2）开启有效投标供应商的《报价文件》，供应商通过</w:t>
      </w:r>
      <w:r>
        <w:rPr>
          <w:rFonts w:ascii="宋体" w:hAnsi="宋体" w:cs="Arial"/>
          <w:color w:val="auto"/>
          <w:kern w:val="0"/>
          <w:sz w:val="24"/>
        </w:rPr>
        <w:t>政采云平台</w:t>
      </w:r>
      <w:r>
        <w:rPr>
          <w:rFonts w:hint="eastAsia" w:ascii="宋体" w:hAnsi="宋体" w:cs="Arial"/>
          <w:color w:val="auto"/>
          <w:kern w:val="0"/>
          <w:sz w:val="24"/>
        </w:rPr>
        <w:t>对</w:t>
      </w:r>
      <w:r>
        <w:rPr>
          <w:rFonts w:ascii="宋体" w:hAnsi="宋体" w:cs="Arial"/>
          <w:color w:val="auto"/>
          <w:kern w:val="0"/>
          <w:sz w:val="24"/>
        </w:rPr>
        <w:t>报价进行签字确认（不予确认的应说明理由，否则视为无异议）。唱标结束后，由评标委员会对报价的合理性、准确性等进行审查核实</w:t>
      </w:r>
      <w:r>
        <w:rPr>
          <w:rFonts w:hint="eastAsia" w:ascii="宋体" w:hAnsi="宋体" w:cs="Arial"/>
          <w:color w:val="auto"/>
          <w:kern w:val="0"/>
          <w:sz w:val="24"/>
        </w:rPr>
        <w:t>。</w:t>
      </w:r>
    </w:p>
    <w:p>
      <w:pPr>
        <w:spacing w:line="360" w:lineRule="auto"/>
        <w:ind w:firstLine="424" w:firstLineChars="177"/>
        <w:jc w:val="left"/>
        <w:rPr>
          <w:rFonts w:ascii="宋体" w:hAnsi="宋体" w:cs="Arial"/>
          <w:color w:val="auto"/>
          <w:kern w:val="0"/>
          <w:sz w:val="24"/>
        </w:rPr>
      </w:pPr>
      <w:r>
        <w:rPr>
          <w:rFonts w:hint="eastAsia" w:ascii="宋体" w:hAnsi="宋体" w:cs="Arial"/>
          <w:color w:val="auto"/>
          <w:kern w:val="0"/>
          <w:sz w:val="24"/>
        </w:rPr>
        <w:t>（3）评审结束后，公布中标（成交）候选供应商名单，及采购人最终确定中标或成交供应商名单的时间和公告方式等。</w:t>
      </w:r>
    </w:p>
    <w:p>
      <w:pPr>
        <w:autoSpaceDE w:val="0"/>
        <w:autoSpaceDN w:val="0"/>
        <w:adjustRightInd w:val="0"/>
        <w:spacing w:line="360" w:lineRule="auto"/>
        <w:rPr>
          <w:rFonts w:asciiTheme="minorEastAsia" w:hAnsiTheme="minorEastAsia" w:eastAsiaTheme="minorEastAsia"/>
          <w:color w:val="auto"/>
          <w:sz w:val="24"/>
        </w:rPr>
      </w:pPr>
      <w:r>
        <w:rPr>
          <w:rFonts w:hint="eastAsia" w:ascii="宋体" w:hAnsi="宋体" w:cs="Arial"/>
          <w:b/>
          <w:color w:val="auto"/>
          <w:kern w:val="0"/>
          <w:sz w:val="24"/>
        </w:rPr>
        <w:t>特别说明：如遇“政府采购云平台”电子化开标或评审程序调整的，按调整后程序执行。</w:t>
      </w:r>
    </w:p>
    <w:p>
      <w:pPr>
        <w:pStyle w:val="22"/>
        <w:snapToGrid w:val="0"/>
        <w:spacing w:line="360" w:lineRule="auto"/>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六、评标</w:t>
      </w:r>
    </w:p>
    <w:p>
      <w:pPr>
        <w:pStyle w:val="22"/>
        <w:snapToGrid w:val="0"/>
        <w:spacing w:line="360" w:lineRule="auto"/>
        <w:ind w:left="720" w:leftChars="228" w:hanging="241" w:hangingChars="100"/>
        <w:rPr>
          <w:rFonts w:asciiTheme="minorEastAsia" w:hAnsiTheme="minorEastAsia" w:eastAsiaTheme="minorEastAsia"/>
          <w:b/>
          <w:color w:val="auto"/>
          <w:sz w:val="24"/>
        </w:rPr>
      </w:pPr>
      <w:r>
        <w:rPr>
          <w:rFonts w:asciiTheme="minorEastAsia" w:hAnsiTheme="minorEastAsia" w:eastAsiaTheme="minorEastAsia"/>
          <w:b/>
          <w:color w:val="auto"/>
          <w:sz w:val="24"/>
        </w:rPr>
        <w:t>（一）组建评标委员会</w:t>
      </w:r>
    </w:p>
    <w:p>
      <w:pPr>
        <w:pStyle w:val="22"/>
        <w:snapToGrid w:val="0"/>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本项目评标委员会由政府采购评审专家</w:t>
      </w:r>
      <w:r>
        <w:rPr>
          <w:rFonts w:hint="eastAsia" w:asciiTheme="minorEastAsia" w:hAnsiTheme="minorEastAsia" w:eastAsiaTheme="minorEastAsia"/>
          <w:color w:val="auto"/>
          <w:sz w:val="24"/>
        </w:rPr>
        <w:t>和</w:t>
      </w:r>
      <w:r>
        <w:rPr>
          <w:rFonts w:asciiTheme="minorEastAsia" w:hAnsiTheme="minorEastAsia" w:eastAsiaTheme="minorEastAsia"/>
          <w:color w:val="auto"/>
          <w:sz w:val="24"/>
        </w:rPr>
        <w:t>采购人</w:t>
      </w:r>
      <w:r>
        <w:rPr>
          <w:rFonts w:hint="eastAsia" w:asciiTheme="minorEastAsia" w:hAnsiTheme="minorEastAsia" w:eastAsiaTheme="minorEastAsia"/>
          <w:color w:val="auto"/>
          <w:sz w:val="24"/>
        </w:rPr>
        <w:t>评审代表共5人</w:t>
      </w:r>
      <w:r>
        <w:rPr>
          <w:rFonts w:asciiTheme="minorEastAsia" w:hAnsiTheme="minorEastAsia" w:eastAsiaTheme="minorEastAsia"/>
          <w:color w:val="auto"/>
          <w:sz w:val="24"/>
        </w:rPr>
        <w:t>组成</w:t>
      </w:r>
      <w:r>
        <w:rPr>
          <w:rFonts w:hint="eastAsia" w:asciiTheme="minorEastAsia" w:hAnsiTheme="minorEastAsia" w:eastAsiaTheme="minorEastAsia"/>
          <w:color w:val="auto"/>
          <w:sz w:val="24"/>
        </w:rPr>
        <w:t>，其中，其中评审专家不少于成员总数的三分之二</w:t>
      </w:r>
      <w:r>
        <w:rPr>
          <w:rFonts w:asciiTheme="minorEastAsia" w:hAnsiTheme="minorEastAsia" w:eastAsiaTheme="minorEastAsia"/>
          <w:color w:val="auto"/>
          <w:sz w:val="24"/>
        </w:rPr>
        <w:t>。</w:t>
      </w:r>
    </w:p>
    <w:p>
      <w:pPr>
        <w:pStyle w:val="22"/>
        <w:snapToGrid w:val="0"/>
        <w:spacing w:line="360" w:lineRule="auto"/>
        <w:ind w:left="720" w:leftChars="228" w:hanging="241" w:hangingChars="100"/>
        <w:rPr>
          <w:rFonts w:asciiTheme="minorEastAsia" w:hAnsiTheme="minorEastAsia" w:eastAsiaTheme="minorEastAsia"/>
          <w:b/>
          <w:color w:val="auto"/>
          <w:sz w:val="24"/>
        </w:rPr>
      </w:pP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二</w:t>
      </w:r>
      <w:r>
        <w:rPr>
          <w:rFonts w:asciiTheme="minorEastAsia" w:hAnsiTheme="minorEastAsia" w:eastAsiaTheme="minorEastAsia"/>
          <w:b/>
          <w:color w:val="auto"/>
          <w:sz w:val="24"/>
        </w:rPr>
        <w:t>）</w:t>
      </w:r>
      <w:r>
        <w:rPr>
          <w:rFonts w:asciiTheme="minorEastAsia" w:hAnsiTheme="minorEastAsia" w:eastAsiaTheme="minorEastAsia"/>
          <w:b/>
          <w:bCs/>
          <w:color w:val="auto"/>
          <w:sz w:val="24"/>
        </w:rPr>
        <w:t>评标程序</w:t>
      </w:r>
    </w:p>
    <w:p>
      <w:pPr>
        <w:snapToGrid w:val="0"/>
        <w:spacing w:line="360" w:lineRule="auto"/>
        <w:ind w:firstLine="472" w:firstLineChars="196"/>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1、资格</w:t>
      </w:r>
      <w:r>
        <w:rPr>
          <w:rFonts w:asciiTheme="minorEastAsia" w:hAnsiTheme="minorEastAsia" w:eastAsiaTheme="minorEastAsia"/>
          <w:b/>
          <w:bCs/>
          <w:color w:val="auto"/>
          <w:sz w:val="24"/>
        </w:rPr>
        <w:t>审查</w:t>
      </w:r>
    </w:p>
    <w:p>
      <w:pPr>
        <w:pStyle w:val="3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公开招标采购项目开标结束后，采购人或者采购组织机构应当依法对投标人的资格进行审查，对审查发现无效的进行必要的询标，结束后公布无效投标的投标人名单、投标无效的原因。</w:t>
      </w:r>
    </w:p>
    <w:p>
      <w:pPr>
        <w:pStyle w:val="31"/>
        <w:spacing w:before="0" w:beforeAutospacing="0" w:after="0" w:afterAutospacing="0" w:line="360" w:lineRule="auto"/>
        <w:ind w:firstLine="472" w:firstLineChars="196"/>
        <w:jc w:val="both"/>
        <w:rPr>
          <w:rFonts w:hint="default" w:asciiTheme="minorEastAsia" w:hAnsiTheme="minorEastAsia" w:eastAsiaTheme="minorEastAsia"/>
          <w:b/>
          <w:bCs/>
          <w:color w:val="auto"/>
        </w:rPr>
      </w:pPr>
      <w:r>
        <w:rPr>
          <w:rFonts w:asciiTheme="minorEastAsia" w:hAnsiTheme="minorEastAsia" w:eastAsiaTheme="minorEastAsia"/>
          <w:b/>
          <w:bCs/>
          <w:color w:val="auto"/>
        </w:rPr>
        <w:t>2、符合性审查</w:t>
      </w:r>
    </w:p>
    <w:p>
      <w:pPr>
        <w:pStyle w:val="3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31"/>
        <w:spacing w:before="0" w:beforeAutospacing="0" w:after="0" w:afterAutospacing="0" w:line="360" w:lineRule="auto"/>
        <w:ind w:firstLine="482" w:firstLineChars="200"/>
        <w:jc w:val="both"/>
        <w:rPr>
          <w:rFonts w:hint="default" w:asciiTheme="minorEastAsia" w:hAnsiTheme="minorEastAsia" w:eastAsiaTheme="minorEastAsia"/>
          <w:color w:val="auto"/>
        </w:rPr>
      </w:pPr>
      <w:r>
        <w:rPr>
          <w:rFonts w:asciiTheme="minorEastAsia" w:hAnsiTheme="minorEastAsia" w:eastAsiaTheme="minorEastAsia"/>
          <w:b/>
          <w:bCs/>
          <w:color w:val="auto"/>
        </w:rPr>
        <w:t>3、</w:t>
      </w:r>
      <w:r>
        <w:rPr>
          <w:rFonts w:hint="default" w:ascii="Arial" w:hAnsi="Arial" w:cs="Arial"/>
          <w:b/>
          <w:bCs/>
          <w:color w:val="auto"/>
        </w:rPr>
        <w:t>综合比较与评价</w:t>
      </w:r>
    </w:p>
    <w:p>
      <w:pPr>
        <w:pStyle w:val="31"/>
        <w:spacing w:before="0" w:beforeAutospacing="0" w:after="0" w:afterAutospacing="0" w:line="360" w:lineRule="auto"/>
        <w:ind w:firstLine="360" w:firstLineChars="150"/>
        <w:jc w:val="both"/>
        <w:rPr>
          <w:rFonts w:hint="default" w:asciiTheme="minorEastAsia" w:hAnsiTheme="minorEastAsia" w:eastAsiaTheme="minorEastAsia"/>
          <w:color w:val="auto"/>
        </w:rPr>
      </w:pPr>
      <w:r>
        <w:rPr>
          <w:rFonts w:asciiTheme="minorEastAsia" w:hAnsiTheme="minorEastAsia" w:eastAsiaTheme="minorEastAsia"/>
          <w:color w:val="auto"/>
        </w:rPr>
        <w:t>（1）对于投标文件中含义不明确、同类问题表述不一致或者有明显文字和计算错误的内容，评标委员会应当以书面形式要求投标人作出必要的澄清、说明或者补正。</w:t>
      </w:r>
    </w:p>
    <w:p>
      <w:pPr>
        <w:pStyle w:val="31"/>
        <w:spacing w:before="0" w:beforeAutospacing="0" w:after="0" w:afterAutospacing="0" w:line="360" w:lineRule="auto"/>
        <w:ind w:firstLine="360" w:firstLineChars="150"/>
        <w:jc w:val="both"/>
        <w:rPr>
          <w:rFonts w:hint="default" w:asciiTheme="minorEastAsia" w:hAnsiTheme="minorEastAsia" w:eastAsiaTheme="minorEastAsia"/>
          <w:color w:val="auto"/>
        </w:rPr>
      </w:pPr>
      <w:r>
        <w:rPr>
          <w:rFonts w:asciiTheme="minorEastAsia" w:hAnsiTheme="minorEastAsia" w:eastAsiaTheme="minorEastAsia"/>
          <w:color w:val="auto"/>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auto"/>
          <w:sz w:val="24"/>
        </w:rPr>
      </w:pPr>
      <w:r>
        <w:rPr>
          <w:rFonts w:hint="eastAsia" w:ascii="Arial" w:hAnsi="Arial" w:cs="Arial"/>
          <w:b/>
          <w:bCs/>
          <w:color w:val="auto"/>
          <w:sz w:val="24"/>
        </w:rPr>
        <w:t>4、得分确认及评审报告编写</w:t>
      </w:r>
    </w:p>
    <w:p>
      <w:pPr>
        <w:pStyle w:val="22"/>
        <w:snapToGrid w:val="0"/>
        <w:spacing w:line="360" w:lineRule="auto"/>
        <w:ind w:firstLine="420" w:firstLineChars="175"/>
        <w:rPr>
          <w:rFonts w:asciiTheme="minorEastAsia" w:hAnsiTheme="minorEastAsia" w:eastAsiaTheme="minorEastAsia"/>
          <w:color w:val="auto"/>
          <w:sz w:val="24"/>
        </w:rPr>
      </w:pPr>
      <w:r>
        <w:rPr>
          <w:rFonts w:asciiTheme="minorEastAsia" w:hAnsiTheme="minorEastAsia" w:eastAsiaTheme="minorEastAsia"/>
          <w:color w:val="auto"/>
          <w:sz w:val="24"/>
        </w:rPr>
        <w:t>（</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评标委员会对报价文件进行复核，对于系统计算出的价格分及总得分进行确认；</w:t>
      </w:r>
    </w:p>
    <w:p>
      <w:pPr>
        <w:pStyle w:val="31"/>
        <w:spacing w:before="0" w:beforeAutospacing="0" w:after="0" w:afterAutospacing="0" w:line="360" w:lineRule="auto"/>
        <w:ind w:firstLine="420" w:firstLineChars="175"/>
        <w:jc w:val="both"/>
        <w:rPr>
          <w:rFonts w:hint="default" w:asciiTheme="minorEastAsia" w:hAnsiTheme="minorEastAsia" w:eastAsiaTheme="minorEastAsia"/>
          <w:color w:val="auto"/>
        </w:rPr>
      </w:pPr>
      <w:r>
        <w:rPr>
          <w:rFonts w:asciiTheme="minorEastAsia" w:hAnsiTheme="minorEastAsia" w:eastAsiaTheme="minorEastAsia"/>
          <w:color w:val="auto"/>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auto"/>
          <w:sz w:val="24"/>
        </w:rPr>
      </w:pPr>
      <w:r>
        <w:rPr>
          <w:rFonts w:asciiTheme="minorEastAsia" w:hAnsiTheme="minorEastAsia" w:eastAsiaTheme="minorEastAsia"/>
          <w:color w:val="auto"/>
          <w:sz w:val="24"/>
        </w:rPr>
        <w:t>（</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w:t>
      </w:r>
      <w:r>
        <w:rPr>
          <w:rFonts w:hint="eastAsia" w:asciiTheme="minorEastAsia" w:hAnsiTheme="minorEastAsia" w:eastAsiaTheme="minorEastAsia"/>
          <w:color w:val="auto"/>
          <w:kern w:val="0"/>
          <w:sz w:val="24"/>
        </w:rPr>
        <w:t>评标委员会</w:t>
      </w:r>
      <w:r>
        <w:rPr>
          <w:rFonts w:asciiTheme="minorEastAsia" w:hAnsiTheme="minorEastAsia" w:eastAsiaTheme="minorEastAsia"/>
          <w:color w:val="auto"/>
          <w:sz w:val="24"/>
        </w:rPr>
        <w:t>按评标原则</w:t>
      </w:r>
      <w:r>
        <w:rPr>
          <w:rFonts w:hint="eastAsia" w:asciiTheme="minorEastAsia" w:hAnsiTheme="minorEastAsia" w:eastAsiaTheme="minorEastAsia"/>
          <w:color w:val="auto"/>
          <w:sz w:val="24"/>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5、评价</w:t>
      </w:r>
    </w:p>
    <w:p>
      <w:pPr>
        <w:snapToGrid w:val="0"/>
        <w:spacing w:line="360" w:lineRule="auto"/>
        <w:ind w:firstLine="480" w:firstLineChars="200"/>
        <w:rPr>
          <w:rFonts w:asciiTheme="minorEastAsia" w:hAnsiTheme="minorEastAsia" w:eastAsiaTheme="minorEastAsia"/>
          <w:b/>
          <w:color w:val="auto"/>
          <w:kern w:val="0"/>
          <w:sz w:val="24"/>
        </w:rPr>
      </w:pPr>
      <w:r>
        <w:rPr>
          <w:rFonts w:hint="eastAsia" w:asciiTheme="minorEastAsia" w:hAnsiTheme="minorEastAsia" w:eastAsiaTheme="minorEastAsia"/>
          <w:color w:val="auto"/>
          <w:sz w:val="24"/>
        </w:rPr>
        <w:t>采购组织机构对评标委员会评审专家进行评价。</w:t>
      </w:r>
    </w:p>
    <w:p>
      <w:pPr>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b/>
          <w:color w:val="auto"/>
          <w:sz w:val="24"/>
        </w:rPr>
        <w:t>（三）澄清问题的形式</w:t>
      </w:r>
    </w:p>
    <w:p>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color w:val="auto"/>
          <w:sz w:val="24"/>
        </w:rPr>
        <w:t>投标人的澄清、说明或者补正应当采用书面形式，并加盖公章，或者由法定代理人或其授权的代表签字，并不得超出投标文件的范围或者改变投标文件的实质性内容。</w:t>
      </w:r>
    </w:p>
    <w:p>
      <w:pPr>
        <w:pStyle w:val="22"/>
        <w:snapToGrid w:val="0"/>
        <w:spacing w:line="360" w:lineRule="auto"/>
        <w:ind w:left="720" w:leftChars="228" w:hanging="241" w:hangingChars="100"/>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（四）错误修正</w:t>
      </w:r>
    </w:p>
    <w:p>
      <w:pPr>
        <w:pStyle w:val="31"/>
        <w:spacing w:before="0" w:beforeAutospacing="0" w:after="0" w:afterAutospacing="0" w:line="360" w:lineRule="auto"/>
        <w:ind w:firstLine="360" w:firstLineChars="150"/>
        <w:jc w:val="both"/>
        <w:rPr>
          <w:rFonts w:hint="default" w:asciiTheme="minorEastAsia" w:hAnsiTheme="minorEastAsia" w:eastAsiaTheme="minorEastAsia"/>
          <w:color w:val="auto"/>
        </w:rPr>
      </w:pPr>
      <w:r>
        <w:rPr>
          <w:rFonts w:asciiTheme="minorEastAsia" w:hAnsiTheme="minorEastAsia" w:eastAsiaTheme="minorEastAsia"/>
          <w:color w:val="auto"/>
        </w:rPr>
        <w:t>投标文件如果出现计算或表达上的错误，修正错误的原则如下：</w:t>
      </w:r>
    </w:p>
    <w:p>
      <w:pPr>
        <w:pStyle w:val="31"/>
        <w:spacing w:before="0" w:beforeAutospacing="0" w:after="0" w:afterAutospacing="0" w:line="360" w:lineRule="auto"/>
        <w:ind w:firstLine="360" w:firstLineChars="150"/>
        <w:jc w:val="both"/>
        <w:rPr>
          <w:rFonts w:hint="default" w:asciiTheme="minorEastAsia" w:hAnsiTheme="minorEastAsia" w:eastAsiaTheme="minorEastAsia"/>
          <w:color w:val="auto"/>
        </w:rPr>
      </w:pPr>
      <w:r>
        <w:rPr>
          <w:rFonts w:asciiTheme="minorEastAsia" w:hAnsiTheme="minorEastAsia" w:eastAsiaTheme="minorEastAsia"/>
          <w:color w:val="auto"/>
        </w:rPr>
        <w:t>1、投标文件的大写金额和小写金额不一致的，以大写金额为准（大写金额明显错误的除外）；</w:t>
      </w:r>
    </w:p>
    <w:p>
      <w:pPr>
        <w:pStyle w:val="31"/>
        <w:spacing w:before="0" w:beforeAutospacing="0" w:after="0" w:afterAutospacing="0" w:line="360" w:lineRule="auto"/>
        <w:ind w:firstLine="360" w:firstLineChars="150"/>
        <w:jc w:val="both"/>
        <w:rPr>
          <w:rFonts w:hint="default" w:asciiTheme="minorEastAsia" w:hAnsiTheme="minorEastAsia" w:eastAsiaTheme="minorEastAsia"/>
          <w:color w:val="auto"/>
        </w:rPr>
      </w:pPr>
      <w:r>
        <w:rPr>
          <w:rFonts w:asciiTheme="minorEastAsia" w:hAnsiTheme="minorEastAsia" w:eastAsiaTheme="minorEastAsia"/>
          <w:color w:val="auto"/>
        </w:rPr>
        <w:t>2、对不同文字文本投标文件的解释发生异议的，以中文文本为准。</w:t>
      </w:r>
    </w:p>
    <w:p>
      <w:pPr>
        <w:pStyle w:val="31"/>
        <w:spacing w:before="0" w:beforeAutospacing="0" w:after="0" w:afterAutospacing="0" w:line="360" w:lineRule="auto"/>
        <w:ind w:firstLine="360" w:firstLineChars="150"/>
        <w:jc w:val="both"/>
        <w:rPr>
          <w:rFonts w:hint="default" w:asciiTheme="minorEastAsia" w:hAnsiTheme="minorEastAsia" w:eastAsiaTheme="minorEastAsia"/>
          <w:color w:val="auto"/>
        </w:rPr>
      </w:pPr>
      <w:r>
        <w:rPr>
          <w:rFonts w:asciiTheme="minorEastAsia" w:hAnsiTheme="minorEastAsia" w:eastAsiaTheme="minorEastAsia"/>
          <w:color w:val="auto"/>
        </w:rPr>
        <w:t>3、电子投标客户端的开标一览表中填报的报价与报价要求响应文件中的投标函报价不一致的，以投标函为准，修正网上报价。若网上报价无法修正的，以电子投标客户端的开标一览表中的为准，调整投标函报价与报价明细清单，以扫描件形式发送邮件至邮箱：153154789@qq.com；</w:t>
      </w:r>
    </w:p>
    <w:p>
      <w:pPr>
        <w:pStyle w:val="31"/>
        <w:spacing w:before="0" w:beforeAutospacing="0" w:after="0" w:afterAutospacing="0" w:line="360" w:lineRule="auto"/>
        <w:ind w:firstLine="360" w:firstLineChars="150"/>
        <w:jc w:val="both"/>
        <w:rPr>
          <w:rFonts w:hint="default" w:asciiTheme="minorEastAsia" w:hAnsiTheme="minorEastAsia" w:eastAsiaTheme="minorEastAsia"/>
          <w:color w:val="auto"/>
        </w:rPr>
      </w:pPr>
      <w:r>
        <w:rPr>
          <w:rFonts w:asciiTheme="minorEastAsia" w:hAnsiTheme="minorEastAsia" w:eastAsiaTheme="minorEastAsia"/>
          <w:color w:val="auto"/>
        </w:rPr>
        <w:t>4、投标报价清单中的全费用综合单价和合计价不一致的，以全费用综合单价为准，修正合计价；</w:t>
      </w:r>
    </w:p>
    <w:p>
      <w:pPr>
        <w:pStyle w:val="31"/>
        <w:spacing w:before="0" w:beforeAutospacing="0" w:after="0" w:afterAutospacing="0" w:line="360" w:lineRule="auto"/>
        <w:ind w:firstLine="360" w:firstLineChars="150"/>
        <w:jc w:val="both"/>
        <w:rPr>
          <w:rFonts w:hint="default" w:asciiTheme="minorEastAsia" w:hAnsiTheme="minorEastAsia" w:eastAsiaTheme="minorEastAsia"/>
          <w:color w:val="auto"/>
        </w:rPr>
      </w:pPr>
      <w:r>
        <w:rPr>
          <w:rFonts w:asciiTheme="minorEastAsia" w:hAnsiTheme="minorEastAsia" w:eastAsiaTheme="minorEastAsia"/>
          <w:color w:val="auto"/>
        </w:rPr>
        <w:t>5、投标报价清单中的合计价和合计汇总不一致的，以合计价为准，修正合计汇总价；</w:t>
      </w:r>
    </w:p>
    <w:p>
      <w:pPr>
        <w:pStyle w:val="31"/>
        <w:spacing w:before="0" w:beforeAutospacing="0" w:after="0" w:afterAutospacing="0" w:line="360" w:lineRule="auto"/>
        <w:ind w:firstLine="360" w:firstLineChars="150"/>
        <w:jc w:val="both"/>
        <w:rPr>
          <w:rFonts w:hint="default" w:asciiTheme="minorEastAsia" w:hAnsiTheme="minorEastAsia" w:eastAsiaTheme="minorEastAsia"/>
          <w:color w:val="auto"/>
        </w:rPr>
      </w:pPr>
      <w:r>
        <w:rPr>
          <w:rFonts w:asciiTheme="minorEastAsia" w:hAnsiTheme="minorEastAsia" w:eastAsiaTheme="minorEastAsia"/>
          <w:color w:val="auto"/>
        </w:rPr>
        <w:t>6、投标报价汇总表与投标报价清单的合计价格不一致的，以投标报价清单中的合计价格为准，修正投标报价汇总表；</w:t>
      </w:r>
    </w:p>
    <w:p>
      <w:pPr>
        <w:pStyle w:val="31"/>
        <w:spacing w:before="0" w:beforeAutospacing="0" w:after="0" w:afterAutospacing="0" w:line="360" w:lineRule="auto"/>
        <w:ind w:firstLine="360" w:firstLineChars="150"/>
        <w:jc w:val="both"/>
        <w:rPr>
          <w:rFonts w:hint="default" w:asciiTheme="minorEastAsia" w:hAnsiTheme="minorEastAsia" w:eastAsiaTheme="minorEastAsia"/>
          <w:color w:val="auto"/>
        </w:rPr>
      </w:pPr>
      <w:r>
        <w:rPr>
          <w:rFonts w:asciiTheme="minorEastAsia" w:hAnsiTheme="minorEastAsia" w:eastAsiaTheme="minorEastAsia"/>
          <w:color w:val="auto"/>
        </w:rPr>
        <w:t>7、投标函的投标报价与投标报价汇总表不一致的，以投标报价汇总表为准，修正投标函的投标报价；</w:t>
      </w:r>
    </w:p>
    <w:p>
      <w:pPr>
        <w:pStyle w:val="31"/>
        <w:spacing w:before="0" w:beforeAutospacing="0" w:after="0" w:afterAutospacing="0" w:line="360" w:lineRule="auto"/>
        <w:ind w:firstLine="360" w:firstLineChars="150"/>
        <w:jc w:val="both"/>
        <w:rPr>
          <w:rStyle w:val="42"/>
          <w:rFonts w:hint="default" w:asciiTheme="minorEastAsia" w:hAnsiTheme="minorEastAsia" w:eastAsiaTheme="minorEastAsia"/>
          <w:color w:val="auto"/>
          <w:u w:val="none"/>
        </w:rPr>
      </w:pPr>
      <w:r>
        <w:rPr>
          <w:rFonts w:asciiTheme="minorEastAsia" w:hAnsiTheme="minorEastAsia" w:eastAsiaTheme="minorEastAsia"/>
          <w:color w:val="auto"/>
        </w:rPr>
        <w:t>按上述修正错误的原则及方法调整或修正投标文件的投标报价，投标人同意并签字确认后，以扫描件形式发送至指定邮箱：</w:t>
      </w:r>
      <w:r>
        <w:rPr>
          <w:color w:val="auto"/>
        </w:rPr>
        <w:fldChar w:fldCharType="begin"/>
      </w:r>
      <w:r>
        <w:rPr>
          <w:color w:val="auto"/>
        </w:rPr>
        <w:instrText xml:space="preserve"> HYPERLINK "mailto:1530866146@qq.com。调整后的投标报价对投标人具有约束作用。如果投标人不接受修正后的报价，则其投标将作为无效投标处理。" </w:instrText>
      </w:r>
      <w:r>
        <w:rPr>
          <w:color w:val="auto"/>
        </w:rPr>
        <w:fldChar w:fldCharType="separate"/>
      </w:r>
      <w:r>
        <w:rPr>
          <w:rStyle w:val="42"/>
          <w:rFonts w:asciiTheme="minorEastAsia" w:hAnsiTheme="minorEastAsia" w:eastAsiaTheme="minorEastAsia"/>
          <w:color w:val="auto"/>
          <w:u w:val="none"/>
        </w:rPr>
        <w:t>153154789@qq.com。调整后的投标报价对投标人具有约束作用。如果投标人不接受修正后的报价，则其投标将作为无效投标处理。</w:t>
      </w:r>
      <w:r>
        <w:rPr>
          <w:rStyle w:val="42"/>
          <w:rFonts w:asciiTheme="minorEastAsia" w:hAnsiTheme="minorEastAsia" w:eastAsiaTheme="minorEastAsia"/>
          <w:color w:val="auto"/>
          <w:u w:val="none"/>
        </w:rPr>
        <w:fldChar w:fldCharType="end"/>
      </w:r>
    </w:p>
    <w:p>
      <w:pPr>
        <w:pStyle w:val="31"/>
        <w:spacing w:before="0" w:beforeAutospacing="0" w:after="0" w:afterAutospacing="0" w:line="360" w:lineRule="auto"/>
        <w:ind w:firstLine="361" w:firstLineChars="150"/>
        <w:jc w:val="both"/>
        <w:rPr>
          <w:rFonts w:hint="default" w:asciiTheme="minorEastAsia" w:hAnsiTheme="minorEastAsia" w:eastAsiaTheme="minorEastAsia"/>
          <w:b/>
          <w:color w:val="auto"/>
        </w:rPr>
      </w:pPr>
      <w:r>
        <w:rPr>
          <w:rFonts w:asciiTheme="minorEastAsia" w:hAnsiTheme="minorEastAsia" w:eastAsiaTheme="minorEastAsia"/>
          <w:b/>
          <w:bCs/>
          <w:color w:val="auto"/>
        </w:rPr>
        <w:t>（五）</w:t>
      </w:r>
      <w:r>
        <w:rPr>
          <w:rFonts w:asciiTheme="minorEastAsia" w:hAnsiTheme="minorEastAsia" w:eastAsiaTheme="minorEastAsia"/>
          <w:b/>
          <w:color w:val="auto"/>
        </w:rPr>
        <w:t>投标人存在下列情况之一的，投标无效</w:t>
      </w:r>
    </w:p>
    <w:p>
      <w:pPr>
        <w:pStyle w:val="3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b/>
          <w:bCs/>
          <w:color w:val="auto"/>
        </w:rPr>
      </w:pPr>
      <w:r>
        <w:rPr>
          <w:rFonts w:asciiTheme="minorEastAsia" w:hAnsiTheme="minorEastAsia" w:eastAsiaTheme="minorEastAsia"/>
          <w:color w:val="auto"/>
        </w:rPr>
        <w:t>1、资格证明文件或商务与技术文件跟报价文件出现混装或在资格证明文件或商务与技术文件中出现投标报价的，或者报价文件中报价的货物跟商务与技术文件中的投标货物出现重大偏差的；</w:t>
      </w:r>
    </w:p>
    <w:p>
      <w:pPr>
        <w:pStyle w:val="31"/>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w:t>
      </w:r>
      <w:r>
        <w:rPr>
          <w:rFonts w:hint="default" w:asciiTheme="minorEastAsia" w:hAnsiTheme="minorEastAsia" w:eastAsiaTheme="minorEastAsia"/>
          <w:color w:val="auto"/>
        </w:rPr>
        <w:t>2</w:t>
      </w:r>
      <w:r>
        <w:rPr>
          <w:rFonts w:asciiTheme="minorEastAsia" w:hAnsiTheme="minorEastAsia" w:eastAsiaTheme="minorEastAsia"/>
          <w:color w:val="auto"/>
        </w:rPr>
        <w:t>、不具备招标文件中规定的资格要求的。</w:t>
      </w:r>
      <w:r>
        <w:rPr>
          <w:rFonts w:hint="default" w:asciiTheme="minorEastAsia" w:hAnsiTheme="minorEastAsia" w:eastAsiaTheme="minorEastAsia"/>
          <w:color w:val="auto"/>
        </w:rPr>
        <w:tab/>
      </w:r>
    </w:p>
    <w:p>
      <w:pPr>
        <w:pStyle w:val="31"/>
        <w:adjustRightInd w:val="0"/>
        <w:snapToGrid w:val="0"/>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xml:space="preserve">　  </w:t>
      </w:r>
      <w:r>
        <w:rPr>
          <w:rFonts w:hint="default" w:asciiTheme="minorEastAsia" w:hAnsiTheme="minorEastAsia" w:eastAsiaTheme="minorEastAsia"/>
          <w:color w:val="auto"/>
        </w:rPr>
        <w:t>3</w:t>
      </w:r>
      <w:r>
        <w:rPr>
          <w:rFonts w:asciiTheme="minorEastAsia" w:hAnsiTheme="minorEastAsia" w:eastAsiaTheme="minorEastAsia"/>
          <w:color w:val="auto"/>
        </w:rPr>
        <w:t>、投标文件含有采购人不能接受的附加条件的。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auto"/>
          <w:kern w:val="0"/>
          <w:sz w:val="24"/>
        </w:rPr>
      </w:pPr>
      <w:r>
        <w:rPr>
          <w:rFonts w:asciiTheme="minorEastAsia" w:hAnsiTheme="minorEastAsia" w:eastAsiaTheme="minorEastAsia"/>
          <w:color w:val="auto"/>
          <w:kern w:val="0"/>
          <w:sz w:val="24"/>
        </w:rPr>
        <w:t>4</w:t>
      </w:r>
      <w:r>
        <w:rPr>
          <w:rFonts w:hint="eastAsia" w:asciiTheme="minorEastAsia" w:hAnsiTheme="minorEastAsia" w:eastAsiaTheme="minorEastAsia"/>
          <w:color w:val="auto"/>
          <w:sz w:val="24"/>
        </w:rPr>
        <w:t>、投标代表人未能出具身份证明或与法定代表人授权委托人身份不符的；</w:t>
      </w:r>
    </w:p>
    <w:p>
      <w:pPr>
        <w:pStyle w:val="3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hint="default" w:asciiTheme="minorEastAsia" w:hAnsiTheme="minorEastAsia" w:eastAsiaTheme="minorEastAsia"/>
          <w:color w:val="auto"/>
        </w:rPr>
        <w:t>5</w:t>
      </w:r>
      <w:r>
        <w:rPr>
          <w:rFonts w:asciiTheme="minorEastAsia" w:hAnsiTheme="minorEastAsia" w:eastAsiaTheme="minor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hint="default" w:asciiTheme="minorEastAsia" w:hAnsiTheme="minorEastAsia" w:eastAsiaTheme="minorEastAsia"/>
          <w:color w:val="auto"/>
        </w:rPr>
        <w:t>6</w:t>
      </w:r>
      <w:r>
        <w:rPr>
          <w:rFonts w:asciiTheme="minorEastAsia" w:hAnsiTheme="minorEastAsia" w:eastAsiaTheme="minorEastAsia"/>
          <w:color w:val="auto"/>
        </w:rPr>
        <w:t xml:space="preserve">、报价超过招标文件中规定的预算金额/最高限价。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8、投标文件提供虚假材料的。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9</w:t>
      </w:r>
      <w:r>
        <w:rPr>
          <w:rFonts w:asciiTheme="minorEastAsia" w:hAnsiTheme="minorEastAsia" w:eastAsiaTheme="minorEastAsia"/>
          <w:color w:val="auto"/>
          <w:kern w:val="0"/>
          <w:sz w:val="24"/>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rPr>
        <w:t>，并移送采购监管部门</w:t>
      </w:r>
      <w:r>
        <w:rPr>
          <w:rFonts w:asciiTheme="minorEastAsia" w:hAnsiTheme="minorEastAsia" w:eastAsiaTheme="minorEastAsia"/>
          <w:color w:val="auto"/>
          <w:kern w:val="0"/>
          <w:sz w:val="24"/>
        </w:rPr>
        <w:t>：</w:t>
      </w:r>
    </w:p>
    <w:p>
      <w:pPr>
        <w:pStyle w:val="31"/>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（1）不同投标人的投标文件由同一单位或者个人编制；</w:t>
      </w:r>
    </w:p>
    <w:p>
      <w:pPr>
        <w:pStyle w:val="31"/>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（2）不同投标人委托同一单位或者个人办理投标事宜；</w:t>
      </w:r>
    </w:p>
    <w:p>
      <w:pPr>
        <w:pStyle w:val="31"/>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（3）不同投标人的投标文件载明的项目管理成员或者联系人员为同一人；</w:t>
      </w:r>
    </w:p>
    <w:p>
      <w:pPr>
        <w:pStyle w:val="31"/>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（4）不同投标人的投标文件异常一致或者投标报价呈规律性差异；</w:t>
      </w:r>
    </w:p>
    <w:p>
      <w:pPr>
        <w:pStyle w:val="31"/>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（5）不同投标人的投标文件相互混装；</w:t>
      </w:r>
    </w:p>
    <w:p>
      <w:pPr>
        <w:pStyle w:val="31"/>
        <w:spacing w:before="0" w:beforeAutospacing="0" w:after="0" w:afterAutospacing="0" w:line="360" w:lineRule="auto"/>
        <w:jc w:val="both"/>
        <w:rPr>
          <w:rFonts w:hint="default" w:asciiTheme="minorEastAsia" w:hAnsiTheme="minorEastAsia" w:eastAsiaTheme="minorEastAsia"/>
          <w:color w:val="auto"/>
        </w:rPr>
      </w:pPr>
      <w:r>
        <w:rPr>
          <w:rFonts w:asciiTheme="minorEastAsia" w:hAnsiTheme="minorEastAsia" w:eastAsiaTheme="minorEastAsia"/>
          <w:color w:val="auto"/>
        </w:rPr>
        <w:t>　 10、不符合法律、法规和招标文件中规定的其他实质性要求的（招标文件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中打“▲”内容及被拒绝的条款）。</w:t>
      </w:r>
    </w:p>
    <w:p>
      <w:pPr>
        <w:tabs>
          <w:tab w:val="right" w:pos="8306"/>
        </w:tabs>
        <w:autoSpaceDE w:val="0"/>
        <w:autoSpaceDN w:val="0"/>
        <w:adjustRightInd w:val="0"/>
        <w:spacing w:line="360" w:lineRule="auto"/>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   11、仅提交“备份投标文件”或电子投标文件未按时完成解密，又未提供备份电子投标文件的。</w:t>
      </w:r>
    </w:p>
    <w:p>
      <w:pPr>
        <w:autoSpaceDE w:val="0"/>
        <w:autoSpaceDN w:val="0"/>
        <w:adjustRightInd w:val="0"/>
        <w:spacing w:line="360" w:lineRule="auto"/>
        <w:ind w:left="480"/>
        <w:rPr>
          <w:rFonts w:asciiTheme="minorEastAsia" w:hAnsiTheme="minorEastAsia" w:eastAsiaTheme="minorEastAsia"/>
          <w:color w:val="auto"/>
          <w:kern w:val="0"/>
          <w:sz w:val="24"/>
        </w:rPr>
      </w:pPr>
      <w:r>
        <w:rPr>
          <w:rFonts w:hint="eastAsia" w:asciiTheme="minorEastAsia" w:hAnsiTheme="minorEastAsia" w:eastAsiaTheme="minorEastAsia"/>
          <w:b/>
          <w:color w:val="auto"/>
          <w:kern w:val="0"/>
          <w:sz w:val="24"/>
        </w:rPr>
        <w:t>（六）有下列情况之一的，本次招标作为废标处理</w:t>
      </w:r>
    </w:p>
    <w:p>
      <w:pPr>
        <w:pStyle w:val="31"/>
        <w:spacing w:before="0" w:beforeAutospacing="0" w:after="0" w:afterAutospacing="0" w:line="360" w:lineRule="auto"/>
        <w:ind w:firstLine="600" w:firstLineChars="250"/>
        <w:jc w:val="both"/>
        <w:rPr>
          <w:rFonts w:hint="default" w:asciiTheme="minorEastAsia" w:hAnsiTheme="minorEastAsia" w:eastAsiaTheme="minorEastAsia"/>
          <w:color w:val="auto"/>
        </w:rPr>
      </w:pPr>
      <w:r>
        <w:rPr>
          <w:rFonts w:asciiTheme="minorEastAsia" w:hAnsiTheme="minorEastAsia" w:eastAsiaTheme="minorEastAsia"/>
          <w:color w:val="auto"/>
        </w:rPr>
        <w:t>1、出现影响采购公正的违法、违规行为的；</w:t>
      </w:r>
    </w:p>
    <w:p>
      <w:pPr>
        <w:pStyle w:val="31"/>
        <w:spacing w:before="0" w:beforeAutospacing="0" w:after="0" w:afterAutospacing="0" w:line="360" w:lineRule="auto"/>
        <w:ind w:firstLine="600" w:firstLineChars="250"/>
        <w:jc w:val="both"/>
        <w:rPr>
          <w:rFonts w:hint="default" w:asciiTheme="minorEastAsia" w:hAnsiTheme="minorEastAsia" w:eastAsiaTheme="minorEastAsia"/>
          <w:b/>
          <w:bCs/>
          <w:color w:val="auto"/>
        </w:rPr>
      </w:pPr>
      <w:r>
        <w:rPr>
          <w:rFonts w:asciiTheme="minorEastAsia" w:hAnsiTheme="minorEastAsia" w:eastAsiaTheme="minorEastAsia"/>
          <w:color w:val="auto"/>
        </w:rPr>
        <w:t xml:space="preserve">2、评标委员会发现招标文件存在歧义、重大缺陷导致评标工作无法进行，或者招标文件内容违反国家有关强制性规定的； </w:t>
      </w:r>
    </w:p>
    <w:p>
      <w:pPr>
        <w:pStyle w:val="31"/>
        <w:spacing w:before="0" w:beforeAutospacing="0" w:after="0" w:afterAutospacing="0" w:line="360" w:lineRule="auto"/>
        <w:ind w:firstLine="600" w:firstLineChars="250"/>
        <w:jc w:val="both"/>
        <w:rPr>
          <w:rFonts w:hint="default" w:asciiTheme="minorEastAsia" w:hAnsiTheme="minorEastAsia" w:eastAsiaTheme="minorEastAsia"/>
          <w:color w:val="auto"/>
        </w:rPr>
      </w:pPr>
      <w:r>
        <w:rPr>
          <w:rFonts w:asciiTheme="minorEastAsia" w:hAnsiTheme="minorEastAsia" w:eastAsiaTheme="minorEastAsia"/>
          <w:color w:val="auto"/>
        </w:rPr>
        <w:t>3、因重大变故，采购任务取消的；</w:t>
      </w:r>
    </w:p>
    <w:p>
      <w:pPr>
        <w:pStyle w:val="31"/>
        <w:spacing w:before="0" w:beforeAutospacing="0" w:after="0" w:afterAutospacing="0" w:line="360" w:lineRule="auto"/>
        <w:ind w:firstLine="600" w:firstLineChars="250"/>
        <w:jc w:val="both"/>
        <w:rPr>
          <w:rFonts w:hint="default" w:asciiTheme="minorEastAsia" w:hAnsiTheme="minorEastAsia" w:eastAsiaTheme="minorEastAsia"/>
          <w:color w:val="auto"/>
        </w:rPr>
      </w:pPr>
      <w:r>
        <w:rPr>
          <w:rFonts w:asciiTheme="minorEastAsia" w:hAnsiTheme="minorEastAsia" w:eastAsiaTheme="minorEastAsia"/>
          <w:color w:val="auto"/>
        </w:rPr>
        <w:t>4、法律、法规和招标文件规定的其他导致评标结果无效的。</w:t>
      </w:r>
    </w:p>
    <w:p>
      <w:pPr>
        <w:pStyle w:val="31"/>
        <w:spacing w:before="0" w:beforeAutospacing="0" w:after="0" w:afterAutospacing="0" w:line="360" w:lineRule="auto"/>
        <w:ind w:firstLine="600" w:firstLineChars="250"/>
        <w:jc w:val="both"/>
        <w:rPr>
          <w:rFonts w:hint="default" w:asciiTheme="minorEastAsia" w:hAnsiTheme="minorEastAsia" w:eastAsiaTheme="minorEastAsia"/>
          <w:color w:val="auto"/>
        </w:rPr>
      </w:pPr>
      <w:r>
        <w:rPr>
          <w:color w:val="auto"/>
        </w:rPr>
        <w:t>5、因电子交易平台故障无法登录、无法正常操作等导致平台无法正常运行，或者无法保证电子交易的公平、公正和安全时，采购组织机构可中止电子交易活动。</w:t>
      </w:r>
    </w:p>
    <w:p>
      <w:pPr>
        <w:pStyle w:val="22"/>
        <w:tabs>
          <w:tab w:val="left" w:pos="630"/>
        </w:tabs>
        <w:snapToGrid w:val="0"/>
        <w:spacing w:line="360" w:lineRule="auto"/>
        <w:ind w:firstLine="472" w:firstLineChars="196"/>
        <w:rPr>
          <w:rFonts w:asciiTheme="minorEastAsia" w:hAnsiTheme="minorEastAsia" w:eastAsiaTheme="minorEastAsia"/>
          <w:b/>
          <w:color w:val="auto"/>
          <w:sz w:val="24"/>
        </w:rPr>
      </w:pPr>
    </w:p>
    <w:p>
      <w:pPr>
        <w:pStyle w:val="22"/>
        <w:tabs>
          <w:tab w:val="left" w:pos="630"/>
        </w:tabs>
        <w:snapToGrid w:val="0"/>
        <w:spacing w:line="360" w:lineRule="auto"/>
        <w:ind w:firstLine="472" w:firstLineChars="196"/>
        <w:rPr>
          <w:rFonts w:asciiTheme="minorEastAsia" w:hAnsiTheme="minorEastAsia" w:eastAsiaTheme="minorEastAsia"/>
          <w:b/>
          <w:color w:val="auto"/>
          <w:sz w:val="24"/>
        </w:rPr>
      </w:pP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）评标原则和评标办法</w:t>
      </w:r>
    </w:p>
    <w:p>
      <w:pPr>
        <w:pStyle w:val="22"/>
        <w:snapToGrid w:val="0"/>
        <w:spacing w:line="360" w:lineRule="auto"/>
        <w:ind w:firstLine="600" w:firstLineChars="250"/>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snapToGrid w:val="0"/>
        <w:spacing w:line="360" w:lineRule="auto"/>
        <w:ind w:firstLine="600" w:firstLineChars="250"/>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评标办法。具体评标内容及评分标准等详见《第</w:t>
      </w:r>
      <w:r>
        <w:rPr>
          <w:rFonts w:hint="eastAsia" w:asciiTheme="minorEastAsia" w:hAnsiTheme="minorEastAsia" w:eastAsiaTheme="minorEastAsia"/>
          <w:color w:val="auto"/>
          <w:sz w:val="24"/>
        </w:rPr>
        <w:t>三章</w:t>
      </w:r>
      <w:r>
        <w:rPr>
          <w:rFonts w:asciiTheme="minorEastAsia" w:hAnsiTheme="minorEastAsia" w:eastAsiaTheme="minorEastAsia"/>
          <w:color w:val="auto"/>
          <w:sz w:val="24"/>
        </w:rPr>
        <w:t>：评标</w:t>
      </w:r>
      <w:r>
        <w:rPr>
          <w:rFonts w:hint="eastAsia" w:asciiTheme="minorEastAsia" w:hAnsiTheme="minorEastAsia" w:eastAsiaTheme="minorEastAsia"/>
          <w:color w:val="auto"/>
          <w:sz w:val="24"/>
        </w:rPr>
        <w:t>方</w:t>
      </w:r>
      <w:r>
        <w:rPr>
          <w:rFonts w:asciiTheme="minorEastAsia" w:hAnsiTheme="minorEastAsia" w:eastAsiaTheme="minorEastAsia"/>
          <w:color w:val="auto"/>
          <w:sz w:val="24"/>
        </w:rPr>
        <w:t>法及评分标准》。</w:t>
      </w:r>
    </w:p>
    <w:p>
      <w:pPr>
        <w:pStyle w:val="22"/>
        <w:snapToGrid w:val="0"/>
        <w:spacing w:line="360" w:lineRule="auto"/>
        <w:ind w:firstLine="472" w:firstLineChars="196"/>
        <w:rPr>
          <w:rFonts w:asciiTheme="minorEastAsia" w:hAnsiTheme="minorEastAsia" w:eastAsiaTheme="minorEastAsia"/>
          <w:b/>
          <w:color w:val="auto"/>
          <w:sz w:val="24"/>
        </w:rPr>
      </w:pP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八</w:t>
      </w:r>
      <w:r>
        <w:rPr>
          <w:rFonts w:asciiTheme="minorEastAsia" w:hAnsiTheme="minorEastAsia" w:eastAsiaTheme="minorEastAsia"/>
          <w:b/>
          <w:color w:val="auto"/>
          <w:sz w:val="24"/>
        </w:rPr>
        <w:t>）评标过程的监控</w:t>
      </w:r>
    </w:p>
    <w:p>
      <w:pPr>
        <w:pStyle w:val="3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本项目评标过程实行全程录音、录像监控，政府采购监管部门视情进行现场监督，投标人在评标过程中所进行的试图影响评标结果的不公正活动，可能导致其投标被拒绝。</w:t>
      </w:r>
    </w:p>
    <w:p>
      <w:pPr>
        <w:pStyle w:val="31"/>
        <w:spacing w:before="0" w:beforeAutospacing="0" w:after="0" w:afterAutospacing="0" w:line="360" w:lineRule="auto"/>
        <w:ind w:firstLine="361" w:firstLineChars="150"/>
        <w:jc w:val="both"/>
        <w:rPr>
          <w:rFonts w:hint="default" w:asciiTheme="minorEastAsia" w:hAnsiTheme="minorEastAsia" w:eastAsiaTheme="minorEastAsia"/>
          <w:b/>
          <w:color w:val="auto"/>
        </w:rPr>
      </w:pPr>
      <w:r>
        <w:rPr>
          <w:rFonts w:asciiTheme="minorEastAsia" w:hAnsiTheme="minorEastAsia" w:eastAsiaTheme="minorEastAsia"/>
          <w:b/>
          <w:color w:val="auto"/>
        </w:rPr>
        <w:t>七、定标</w:t>
      </w:r>
    </w:p>
    <w:p>
      <w:pPr>
        <w:pStyle w:val="31"/>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1、</w:t>
      </w:r>
      <w:r>
        <w:rPr>
          <w:color w:val="auto"/>
        </w:rPr>
        <w:t>确定中标供应商。</w:t>
      </w:r>
      <w:r>
        <w:rPr>
          <w:rFonts w:asciiTheme="minorEastAsia" w:hAnsiTheme="minorEastAsia" w:eastAsiaTheme="minorEastAsia"/>
          <w:color w:val="auto"/>
        </w:rPr>
        <w:t>评标委员会根据采购人的</w:t>
      </w:r>
      <w:r>
        <w:rPr>
          <w:color w:val="auto"/>
        </w:rPr>
        <w:t>《授权意见确认书》</w:t>
      </w:r>
      <w:r>
        <w:rPr>
          <w:rFonts w:asciiTheme="minorEastAsia" w:hAnsiTheme="minorEastAsia" w:eastAsiaTheme="minorEastAsia"/>
          <w:color w:val="auto"/>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auto"/>
          <w:kern w:val="0"/>
          <w:sz w:val="24"/>
        </w:rPr>
      </w:pPr>
      <w:r>
        <w:rPr>
          <w:rFonts w:asciiTheme="minorEastAsia" w:hAnsiTheme="minorEastAsia" w:eastAsiaTheme="minorEastAsia"/>
          <w:color w:val="auto"/>
          <w:sz w:val="24"/>
        </w:rPr>
        <w:t>2、</w:t>
      </w:r>
      <w:r>
        <w:rPr>
          <w:rFonts w:hint="eastAsia" w:ascii="宋体" w:hAnsi="宋体"/>
          <w:color w:val="auto"/>
          <w:kern w:val="0"/>
          <w:sz w:val="24"/>
        </w:rPr>
        <w:t>发布</w:t>
      </w:r>
      <w:r>
        <w:rPr>
          <w:color w:val="auto"/>
          <w:sz w:val="24"/>
        </w:rPr>
        <w:t>中标</w:t>
      </w:r>
      <w:r>
        <w:rPr>
          <w:rFonts w:hint="eastAsia" w:ascii="宋体" w:hAnsi="宋体"/>
          <w:color w:val="auto"/>
          <w:kern w:val="0"/>
          <w:sz w:val="24"/>
        </w:rPr>
        <w:t>结果公告。采购组织机构应当自中标人</w:t>
      </w:r>
      <w:r>
        <w:rPr>
          <w:rFonts w:ascii="宋体" w:hAnsi="宋体"/>
          <w:color w:val="auto"/>
          <w:kern w:val="0"/>
          <w:sz w:val="24"/>
        </w:rPr>
        <w:t>确定</w:t>
      </w:r>
      <w:r>
        <w:rPr>
          <w:rFonts w:hint="eastAsia" w:ascii="宋体" w:hAnsi="宋体"/>
          <w:color w:val="auto"/>
          <w:kern w:val="0"/>
          <w:sz w:val="24"/>
        </w:rPr>
        <w:t>之日起</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在省级以上财政部门指定的媒体及相关网站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kern w:val="0"/>
          <w:sz w:val="24"/>
        </w:rPr>
        <w:t>中标结果，招标文件应当随中标结果同时公告。</w:t>
      </w:r>
    </w:p>
    <w:p>
      <w:pPr>
        <w:spacing w:line="360" w:lineRule="auto"/>
        <w:ind w:firstLine="480" w:firstLineChars="200"/>
        <w:rPr>
          <w:rFonts w:ascii="宋体" w:hAnsi="宋体"/>
          <w:color w:val="auto"/>
          <w:kern w:val="0"/>
          <w:sz w:val="24"/>
        </w:rPr>
      </w:pPr>
      <w:r>
        <w:rPr>
          <w:rFonts w:hint="eastAsia" w:ascii="宋体" w:hAnsi="宋体"/>
          <w:color w:val="auto"/>
          <w:kern w:val="0"/>
          <w:sz w:val="24"/>
        </w:rPr>
        <w:t>3、发出中标通知书。采购组织机构在发布中标结果的同时，向中标人发出中标通知书。</w:t>
      </w:r>
    </w:p>
    <w:p>
      <w:pPr>
        <w:spacing w:line="360" w:lineRule="auto"/>
        <w:ind w:firstLine="482" w:firstLineChars="200"/>
        <w:rPr>
          <w:rFonts w:ascii="宋体" w:hAnsi="宋体"/>
          <w:color w:val="auto"/>
          <w:kern w:val="0"/>
          <w:sz w:val="24"/>
        </w:rPr>
      </w:pPr>
      <w:r>
        <w:rPr>
          <w:rFonts w:asciiTheme="minorEastAsia" w:hAnsiTheme="minorEastAsia" w:eastAsiaTheme="minorEastAsia"/>
          <w:b/>
          <w:color w:val="auto"/>
          <w:sz w:val="24"/>
        </w:rPr>
        <w:t>八、</w:t>
      </w:r>
      <w:r>
        <w:rPr>
          <w:rFonts w:hint="eastAsia" w:ascii="宋体" w:hAnsi="宋体"/>
          <w:b/>
          <w:color w:val="auto"/>
          <w:kern w:val="0"/>
          <w:sz w:val="24"/>
        </w:rPr>
        <w:t>合同签订及公告</w:t>
      </w:r>
    </w:p>
    <w:p>
      <w:pPr>
        <w:spacing w:line="360" w:lineRule="auto"/>
        <w:ind w:firstLine="482" w:firstLineChars="200"/>
        <w:rPr>
          <w:rFonts w:ascii="宋体" w:hAnsi="宋体"/>
          <w:b/>
          <w:color w:val="auto"/>
          <w:kern w:val="0"/>
          <w:sz w:val="24"/>
        </w:rPr>
      </w:pPr>
      <w:r>
        <w:rPr>
          <w:rFonts w:hint="eastAsia" w:ascii="宋体" w:hAnsi="宋体"/>
          <w:b/>
          <w:color w:val="auto"/>
          <w:sz w:val="24"/>
        </w:rPr>
        <w:t>（一）签订合同</w:t>
      </w:r>
    </w:p>
    <w:p>
      <w:pPr>
        <w:pStyle w:val="31"/>
        <w:spacing w:before="0" w:beforeAutospacing="0" w:after="0" w:afterAutospacing="0" w:line="360" w:lineRule="auto"/>
        <w:ind w:firstLine="600" w:firstLineChars="250"/>
        <w:jc w:val="both"/>
        <w:rPr>
          <w:rFonts w:hint="default"/>
          <w:color w:val="auto"/>
        </w:rPr>
      </w:pPr>
      <w:r>
        <w:rPr>
          <w:color w:val="auto"/>
        </w:rPr>
        <w:t>1、采购人应当自中标通知书发出之日起</w:t>
      </w:r>
      <w:r>
        <w:rPr>
          <w:rFonts w:hint="default"/>
          <w:color w:val="auto"/>
        </w:rPr>
        <w:t>30</w:t>
      </w:r>
      <w:r>
        <w:rPr>
          <w:color w:val="auto"/>
        </w:rPr>
        <w:t>日内，按照招标文件和中标人投标文件的规定，与中标人签订书面合同。所签订的合同不得对招标文件确定的事项和中标人投标文件作实质性修改。</w:t>
      </w:r>
    </w:p>
    <w:p>
      <w:pPr>
        <w:pStyle w:val="31"/>
        <w:spacing w:before="0" w:beforeAutospacing="0" w:after="0" w:afterAutospacing="0" w:line="360" w:lineRule="auto"/>
        <w:ind w:firstLine="600" w:firstLineChars="250"/>
        <w:jc w:val="both"/>
        <w:rPr>
          <w:rFonts w:hint="default"/>
          <w:color w:val="auto"/>
        </w:rPr>
      </w:pPr>
      <w:r>
        <w:rPr>
          <w:color w:val="auto"/>
        </w:rPr>
        <w:t>2、采购人不得向中标人提出任何不合理的要求作为签订合同的条件。</w:t>
      </w:r>
    </w:p>
    <w:p>
      <w:pPr>
        <w:pStyle w:val="31"/>
        <w:spacing w:before="0" w:beforeAutospacing="0" w:after="0" w:afterAutospacing="0" w:line="360" w:lineRule="auto"/>
        <w:ind w:firstLine="600" w:firstLineChars="250"/>
        <w:jc w:val="both"/>
        <w:rPr>
          <w:rFonts w:hint="default"/>
          <w:color w:val="auto"/>
        </w:rPr>
      </w:pPr>
      <w:r>
        <w:rPr>
          <w:color w:val="auto"/>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31"/>
        <w:spacing w:line="360" w:lineRule="auto"/>
        <w:ind w:firstLine="480" w:firstLineChars="200"/>
        <w:rPr>
          <w:rFonts w:hint="default" w:cs="仿宋_GB2312"/>
          <w:color w:val="auto"/>
        </w:rPr>
      </w:pPr>
      <w:r>
        <w:rPr>
          <w:rFonts w:hint="default"/>
          <w:color w:val="auto"/>
        </w:rPr>
        <w:t>4</w:t>
      </w:r>
      <w:r>
        <w:rPr>
          <w:color w:val="auto"/>
        </w:rPr>
        <w:t>、询问或者质疑事项可能影响中标结果的，采购人应当暂停签订合同，已经签订合同的，应当中止履行合同（中标结果的质疑期为中标结果公告期限届满之日起七个工作日）。</w:t>
      </w:r>
    </w:p>
    <w:p>
      <w:pPr>
        <w:pStyle w:val="31"/>
        <w:spacing w:line="360" w:lineRule="auto"/>
        <w:ind w:firstLine="424" w:firstLineChars="176"/>
        <w:rPr>
          <w:rFonts w:hint="default" w:cs="仿宋_GB2312"/>
          <w:b/>
          <w:color w:val="auto"/>
        </w:rPr>
      </w:pPr>
      <w:r>
        <w:rPr>
          <w:b/>
          <w:color w:val="auto"/>
        </w:rPr>
        <w:t>（二）合同公告及备案</w:t>
      </w:r>
    </w:p>
    <w:p>
      <w:pPr>
        <w:pStyle w:val="19"/>
        <w:spacing w:line="360" w:lineRule="auto"/>
        <w:ind w:left="0" w:leftChars="0" w:firstLine="480" w:firstLineChars="200"/>
        <w:jc w:val="left"/>
        <w:rPr>
          <w:rFonts w:ascii="宋体" w:hAnsi="宋体"/>
          <w:color w:val="auto"/>
          <w:sz w:val="24"/>
        </w:rPr>
      </w:pPr>
      <w:r>
        <w:rPr>
          <w:rFonts w:hint="eastAsia" w:ascii="宋体" w:hAnsi="宋体"/>
          <w:color w:val="auto"/>
          <w:sz w:val="24"/>
        </w:rPr>
        <w:t>1、采购人应当自政府采购合同签订之日起2个工作日内，</w:t>
      </w:r>
      <w:r>
        <w:rPr>
          <w:rFonts w:ascii="宋体" w:hAnsi="宋体"/>
          <w:color w:val="auto"/>
          <w:kern w:val="0"/>
          <w:sz w:val="24"/>
        </w:rPr>
        <w:t>在省级以上财政部门指定的</w:t>
      </w:r>
      <w:r>
        <w:rPr>
          <w:rFonts w:hint="eastAsia" w:ascii="宋体" w:hAnsi="宋体"/>
          <w:color w:val="auto"/>
          <w:kern w:val="0"/>
          <w:sz w:val="24"/>
        </w:rPr>
        <w:t>政府采购信息发布</w:t>
      </w:r>
      <w:r>
        <w:rPr>
          <w:rFonts w:ascii="宋体" w:hAnsi="宋体"/>
          <w:color w:val="auto"/>
          <w:kern w:val="0"/>
          <w:sz w:val="24"/>
        </w:rPr>
        <w:t>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sz w:val="24"/>
        </w:rPr>
        <w:t>。</w:t>
      </w:r>
    </w:p>
    <w:p>
      <w:pPr>
        <w:pStyle w:val="19"/>
        <w:spacing w:line="360" w:lineRule="auto"/>
        <w:ind w:left="0" w:leftChars="0" w:firstLine="480" w:firstLineChars="200"/>
        <w:rPr>
          <w:rFonts w:ascii="宋体" w:hAnsi="宋体"/>
          <w:color w:val="auto"/>
          <w:sz w:val="24"/>
        </w:rPr>
      </w:pPr>
      <w:r>
        <w:rPr>
          <w:rFonts w:hint="eastAsia" w:ascii="宋体" w:hAnsi="宋体"/>
          <w:color w:val="auto"/>
          <w:sz w:val="24"/>
        </w:rPr>
        <w:t>2、采购人应当自政府采购合同签订之日起7个工作日内，将政府采购合同副本报同级人民政府财政部门备案以及采购组织机构存档。</w:t>
      </w:r>
    </w:p>
    <w:p>
      <w:pPr>
        <w:spacing w:line="360" w:lineRule="auto"/>
        <w:rPr>
          <w:rFonts w:asciiTheme="minorEastAsia" w:hAnsiTheme="minorEastAsia" w:eastAsiaTheme="minorEastAsia"/>
          <w:b/>
          <w:color w:val="auto"/>
          <w:sz w:val="28"/>
          <w:szCs w:val="28"/>
        </w:rPr>
        <w:sectPr>
          <w:pgSz w:w="11906" w:h="16838"/>
          <w:pgMar w:top="1440" w:right="1800" w:bottom="1440" w:left="1800" w:header="851" w:footer="992" w:gutter="0"/>
          <w:pgNumType w:fmt="numberInDash"/>
          <w:cols w:space="425" w:num="1"/>
          <w:docGrid w:type="lines" w:linePitch="312" w:charSpace="0"/>
        </w:sectPr>
      </w:pPr>
    </w:p>
    <w:p>
      <w:pPr>
        <w:numPr>
          <w:ilvl w:val="0"/>
          <w:numId w:val="4"/>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评标办法及评分标准</w:t>
      </w:r>
    </w:p>
    <w:p>
      <w:pPr>
        <w:autoSpaceDE w:val="0"/>
        <w:autoSpaceDN w:val="0"/>
        <w:spacing w:line="360" w:lineRule="auto"/>
        <w:ind w:firstLine="480" w:firstLineChars="200"/>
        <w:rPr>
          <w:rFonts w:asciiTheme="minorEastAsia" w:hAnsiTheme="minorEastAsia" w:eastAsiaTheme="minorEastAsia"/>
          <w:b/>
          <w:i/>
          <w:color w:val="auto"/>
          <w:kern w:val="0"/>
          <w:sz w:val="24"/>
        </w:rPr>
      </w:pPr>
      <w:r>
        <w:rPr>
          <w:rFonts w:hint="eastAsia" w:asciiTheme="minorEastAsia" w:hAnsiTheme="minorEastAsia" w:eastAsiaTheme="minorEastAsia"/>
          <w:color w:val="auto"/>
          <w:kern w:val="0"/>
          <w:sz w:val="24"/>
        </w:rPr>
        <w:t>一、采购组织机构将组织评标委员会，对投标人提供的投标文件进行综合评审。</w:t>
      </w:r>
    </w:p>
    <w:p>
      <w:pPr>
        <w:autoSpaceDE w:val="0"/>
        <w:autoSpaceDN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二、本次招标项目的评标方法为综合评分法，总计100分。评标标准按以下</w:t>
      </w:r>
      <w:r>
        <w:rPr>
          <w:rFonts w:asciiTheme="minorEastAsia" w:hAnsiTheme="minorEastAsia" w:eastAsiaTheme="minorEastAsia"/>
          <w:color w:val="auto"/>
          <w:kern w:val="0"/>
          <w:sz w:val="24"/>
        </w:rPr>
        <w:t>2</w:t>
      </w:r>
      <w:r>
        <w:rPr>
          <w:rFonts w:hint="eastAsia" w:asciiTheme="minorEastAsia" w:hAnsiTheme="minorEastAsia" w:eastAsiaTheme="minorEastAsia"/>
          <w:color w:val="auto"/>
          <w:kern w:val="0"/>
          <w:sz w:val="24"/>
        </w:rPr>
        <w:t>项内容及分值进行评审。</w:t>
      </w:r>
    </w:p>
    <w:tbl>
      <w:tblPr>
        <w:tblStyle w:val="3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8"/>
        <w:gridCol w:w="5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388" w:type="dxa"/>
            <w:tcBorders>
              <w:tl2br w:val="single" w:color="auto" w:sz="4" w:space="0"/>
            </w:tcBorders>
          </w:tcPr>
          <w:p>
            <w:pPr>
              <w:autoSpaceDE w:val="0"/>
              <w:autoSpaceDN w:val="0"/>
              <w:adjustRightInd w:val="0"/>
              <w:spacing w:line="360" w:lineRule="auto"/>
              <w:jc w:val="left"/>
              <w:rPr>
                <w:rFonts w:ascii="宋体" w:hAnsi="宋体" w:cs="Arial"/>
                <w:color w:val="auto"/>
                <w:sz w:val="24"/>
              </w:rPr>
            </w:pPr>
            <w:r>
              <w:rPr>
                <w:rFonts w:hint="eastAsia" w:ascii="宋体" w:hAnsi="宋体" w:cs="Arial"/>
                <w:color w:val="auto"/>
                <w:sz w:val="24"/>
              </w:rPr>
              <w:t xml:space="preserve">          标段</w:t>
            </w:r>
          </w:p>
          <w:p>
            <w:pPr>
              <w:autoSpaceDE w:val="0"/>
              <w:autoSpaceDN w:val="0"/>
              <w:adjustRightInd w:val="0"/>
              <w:spacing w:line="360" w:lineRule="auto"/>
              <w:jc w:val="left"/>
              <w:rPr>
                <w:rFonts w:ascii="宋体" w:hAnsi="宋体" w:cs="Arial"/>
                <w:color w:val="auto"/>
                <w:sz w:val="24"/>
              </w:rPr>
            </w:pPr>
            <w:r>
              <w:rPr>
                <w:rFonts w:hint="eastAsia" w:ascii="宋体" w:hAnsi="宋体" w:cs="Arial"/>
                <w:color w:val="auto"/>
                <w:sz w:val="24"/>
              </w:rPr>
              <w:t>类别</w:t>
            </w:r>
          </w:p>
        </w:tc>
        <w:tc>
          <w:tcPr>
            <w:tcW w:w="5170" w:type="dxa"/>
            <w:vAlign w:val="center"/>
          </w:tcPr>
          <w:p>
            <w:pPr>
              <w:autoSpaceDE w:val="0"/>
              <w:autoSpaceDN w:val="0"/>
              <w:adjustRightInd w:val="0"/>
              <w:spacing w:line="360" w:lineRule="auto"/>
              <w:jc w:val="center"/>
              <w:rPr>
                <w:rFonts w:ascii="宋体" w:hAnsi="宋体" w:cs="Arial"/>
                <w:color w:val="auto"/>
                <w:sz w:val="24"/>
              </w:rPr>
            </w:pPr>
            <w:r>
              <w:rPr>
                <w:rFonts w:ascii="宋体" w:hAnsi="宋体" w:cs="Arial"/>
                <w:color w:val="auto"/>
                <w:sz w:val="24"/>
              </w:rPr>
              <w:fldChar w:fldCharType="begin"/>
            </w:r>
            <w:r>
              <w:rPr>
                <w:rFonts w:hint="eastAsia" w:ascii="宋体" w:hAnsi="宋体" w:cs="Arial"/>
                <w:color w:val="auto"/>
                <w:sz w:val="24"/>
              </w:rPr>
              <w:instrText xml:space="preserve">= 1 \* CHINESENUM3</w:instrText>
            </w:r>
            <w:r>
              <w:rPr>
                <w:rFonts w:ascii="宋体" w:hAnsi="宋体" w:cs="Arial"/>
                <w:color w:val="auto"/>
                <w:sz w:val="24"/>
              </w:rPr>
              <w:fldChar w:fldCharType="separate"/>
            </w:r>
            <w:r>
              <w:rPr>
                <w:rFonts w:hint="eastAsia" w:ascii="宋体" w:hAnsi="宋体" w:cs="Arial"/>
                <w:color w:val="auto"/>
                <w:sz w:val="24"/>
              </w:rPr>
              <w:t>一</w:t>
            </w:r>
            <w:r>
              <w:rPr>
                <w:rFonts w:ascii="宋体" w:hAnsi="宋体" w:cs="Arial"/>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8" w:type="dxa"/>
            <w:vAlign w:val="center"/>
          </w:tcPr>
          <w:p>
            <w:pPr>
              <w:autoSpaceDE w:val="0"/>
              <w:autoSpaceDN w:val="0"/>
              <w:adjustRightInd w:val="0"/>
              <w:spacing w:line="360" w:lineRule="auto"/>
              <w:jc w:val="center"/>
              <w:rPr>
                <w:rFonts w:ascii="宋体" w:hAnsi="宋体" w:cs="Arial"/>
                <w:color w:val="auto"/>
                <w:sz w:val="24"/>
              </w:rPr>
            </w:pPr>
            <w:r>
              <w:rPr>
                <w:rFonts w:hint="eastAsia" w:ascii="宋体" w:hAnsi="宋体"/>
                <w:color w:val="auto"/>
                <w:kern w:val="0"/>
                <w:sz w:val="24"/>
              </w:rPr>
              <w:t>商务</w:t>
            </w:r>
            <w:r>
              <w:rPr>
                <w:rFonts w:ascii="宋体" w:hAnsi="宋体"/>
                <w:color w:val="auto"/>
                <w:kern w:val="0"/>
                <w:sz w:val="24"/>
              </w:rPr>
              <w:t>与技术</w:t>
            </w:r>
          </w:p>
        </w:tc>
        <w:tc>
          <w:tcPr>
            <w:tcW w:w="5170" w:type="dxa"/>
            <w:vAlign w:val="center"/>
          </w:tcPr>
          <w:p>
            <w:pPr>
              <w:autoSpaceDE w:val="0"/>
              <w:autoSpaceDN w:val="0"/>
              <w:adjustRightInd w:val="0"/>
              <w:spacing w:line="360" w:lineRule="auto"/>
              <w:jc w:val="center"/>
              <w:rPr>
                <w:rFonts w:ascii="宋体" w:hAnsi="宋体" w:cs="Arial"/>
                <w:color w:val="auto"/>
                <w:sz w:val="24"/>
              </w:rPr>
            </w:pPr>
            <w:r>
              <w:rPr>
                <w:rFonts w:hint="eastAsia" w:ascii="宋体" w:hAnsi="宋体" w:cs="Arial"/>
                <w:color w:val="auto"/>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388" w:type="dxa"/>
            <w:vAlign w:val="center"/>
          </w:tcPr>
          <w:p>
            <w:pPr>
              <w:autoSpaceDE w:val="0"/>
              <w:autoSpaceDN w:val="0"/>
              <w:adjustRightInd w:val="0"/>
              <w:spacing w:line="360" w:lineRule="auto"/>
              <w:jc w:val="center"/>
              <w:rPr>
                <w:rFonts w:ascii="宋体" w:hAnsi="宋体" w:cs="Arial"/>
                <w:color w:val="auto"/>
                <w:sz w:val="24"/>
              </w:rPr>
            </w:pPr>
            <w:r>
              <w:rPr>
                <w:rFonts w:hint="eastAsia" w:ascii="宋体" w:hAnsi="宋体"/>
                <w:color w:val="auto"/>
                <w:kern w:val="0"/>
                <w:sz w:val="24"/>
              </w:rPr>
              <w:t>价格</w:t>
            </w:r>
          </w:p>
        </w:tc>
        <w:tc>
          <w:tcPr>
            <w:tcW w:w="5170" w:type="dxa"/>
            <w:vAlign w:val="center"/>
          </w:tcPr>
          <w:p>
            <w:pPr>
              <w:autoSpaceDE w:val="0"/>
              <w:autoSpaceDN w:val="0"/>
              <w:adjustRightInd w:val="0"/>
              <w:spacing w:line="360" w:lineRule="auto"/>
              <w:jc w:val="center"/>
              <w:rPr>
                <w:rFonts w:ascii="宋体" w:hAnsi="宋体" w:cs="Arial"/>
                <w:color w:val="auto"/>
                <w:sz w:val="24"/>
              </w:rPr>
            </w:pPr>
            <w:r>
              <w:rPr>
                <w:rFonts w:hint="eastAsia" w:ascii="宋体" w:hAnsi="宋体" w:cs="Arial"/>
                <w:color w:val="auto"/>
                <w:sz w:val="24"/>
              </w:rPr>
              <w:t>30</w:t>
            </w:r>
          </w:p>
        </w:tc>
      </w:tr>
    </w:tbl>
    <w:p>
      <w:pPr>
        <w:numPr>
          <w:ilvl w:val="0"/>
          <w:numId w:val="6"/>
        </w:numPr>
        <w:autoSpaceDE w:val="0"/>
        <w:autoSpaceDN w:val="0"/>
        <w:adjustRightInd w:val="0"/>
        <w:spacing w:line="360" w:lineRule="auto"/>
        <w:ind w:right="84" w:firstLine="472"/>
        <w:rPr>
          <w:rFonts w:ascii="宋体"/>
          <w:bCs/>
          <w:color w:val="auto"/>
          <w:sz w:val="24"/>
          <w:lang w:val="zh-CN"/>
        </w:rPr>
      </w:pPr>
      <w:r>
        <w:rPr>
          <w:rFonts w:hint="eastAsia" w:ascii="宋体"/>
          <w:bCs/>
          <w:color w:val="auto"/>
          <w:sz w:val="24"/>
          <w:lang w:val="zh-CN"/>
        </w:rPr>
        <w:t>商务与技术文件由评标委员会独立打分。</w:t>
      </w:r>
    </w:p>
    <w:p>
      <w:pPr>
        <w:numPr>
          <w:ilvl w:val="0"/>
          <w:numId w:val="6"/>
        </w:num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bCs/>
          <w:color w:val="auto"/>
          <w:sz w:val="24"/>
          <w:lang w:val="zh-CN"/>
        </w:rPr>
        <w:t>各投标人商务与技术文件</w:t>
      </w:r>
      <w:r>
        <w:rPr>
          <w:rFonts w:hint="eastAsia" w:ascii="宋体"/>
          <w:color w:val="auto"/>
          <w:kern w:val="0"/>
          <w:sz w:val="24"/>
          <w:lang w:val="zh-CN"/>
        </w:rPr>
        <w:t>得分按照评标委员会成</w:t>
      </w:r>
      <w:r>
        <w:rPr>
          <w:rFonts w:hint="eastAsia" w:ascii="宋体"/>
          <w:bCs/>
          <w:color w:val="auto"/>
          <w:sz w:val="24"/>
          <w:lang w:val="zh-CN"/>
        </w:rPr>
        <w:t>员的独立评分结果汇总后的算术平均分计算，计算公式为：</w:t>
      </w:r>
    </w:p>
    <w:p>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hAnsi="宋体"/>
          <w:color w:val="auto"/>
          <w:sz w:val="24"/>
        </w:rPr>
        <w:t>商务与技术文件得分</w:t>
      </w:r>
      <w:r>
        <w:rPr>
          <w:rFonts w:hint="eastAsia" w:ascii="宋体"/>
          <w:bCs/>
          <w:color w:val="auto"/>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color w:val="auto"/>
          <w:sz w:val="24"/>
          <w:lang w:val="zh-CN"/>
        </w:rPr>
      </w:pPr>
      <w:r>
        <w:rPr>
          <w:rFonts w:hint="eastAsia" w:ascii="宋体"/>
          <w:bCs/>
          <w:color w:val="auto"/>
          <w:sz w:val="24"/>
          <w:lang w:val="zh-CN"/>
        </w:rPr>
        <w:t>（三）</w:t>
      </w:r>
      <w:r>
        <w:rPr>
          <w:rFonts w:hint="eastAsia" w:ascii="宋体"/>
          <w:color w:val="auto"/>
          <w:sz w:val="24"/>
          <w:lang w:val="zh-CN"/>
        </w:rPr>
        <w:t>投标报价得分采用低价优先法计算，即满足招标文件要求的最低投标报价为评标基准价，其报价得满分。其他投标人的投标报价得分按下列公式计算：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auto"/>
          <w:sz w:val="24"/>
          <w:u w:val="single"/>
        </w:rPr>
      </w:pPr>
      <w:r>
        <w:rPr>
          <w:rFonts w:hint="eastAsia"/>
          <w:color w:val="auto"/>
          <w:sz w:val="24"/>
        </w:rPr>
        <w:t>投标报价得</w:t>
      </w:r>
      <w:r>
        <w:rPr>
          <w:color w:val="auto"/>
          <w:sz w:val="24"/>
        </w:rPr>
        <w:t>分=(评标基准价／</w:t>
      </w:r>
      <w:r>
        <w:rPr>
          <w:rFonts w:hint="eastAsia" w:ascii="宋体" w:hAnsi="宋体" w:cs="宋体"/>
          <w:color w:val="auto"/>
          <w:sz w:val="24"/>
        </w:rPr>
        <w:t>投标报价</w:t>
      </w:r>
      <w:r>
        <w:rPr>
          <w:rFonts w:ascii="宋体" w:hAnsi="宋体"/>
          <w:color w:val="auto"/>
          <w:sz w:val="24"/>
        </w:rPr>
        <w:t>)×</w:t>
      </w:r>
      <w:r>
        <w:rPr>
          <w:rFonts w:hint="eastAsia" w:ascii="宋体" w:hAnsi="宋体"/>
          <w:color w:val="auto"/>
          <w:sz w:val="24"/>
        </w:rPr>
        <w:t>30%</w:t>
      </w:r>
      <w:r>
        <w:rPr>
          <w:rFonts w:ascii="宋体" w:hAnsi="宋体"/>
          <w:color w:val="auto"/>
          <w:sz w:val="24"/>
        </w:rPr>
        <w:t>×100</w:t>
      </w:r>
      <w:r>
        <w:rPr>
          <w:rFonts w:hint="eastAsia" w:ascii="宋体" w:hAnsi="宋体"/>
          <w:color w:val="auto"/>
          <w:sz w:val="24"/>
        </w:rPr>
        <w:t xml:space="preserve"> 。</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四）本项目专门面向中小企业采购，不再执行价格评审优惠的扶持政策。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四、如综合得分相同，投标报价低者为先；如综合得分且投标报价相同的，货物类采购项目以技术性能得分较高者为先。</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五、提供相同品牌产品的不同投标人参加同一合同项下投标的，按一家供应商认定：评审后得分最高的同品牌投标人获得中标人推荐资格；评审得分相同的，由评标委员会集体推荐一个投标人作为中标候选人，其他同品牌投标人不作为中标候选人。</w:t>
      </w:r>
    </w:p>
    <w:p>
      <w:pPr>
        <w:spacing w:line="360" w:lineRule="auto"/>
        <w:textAlignment w:val="baseline"/>
        <w:rPr>
          <w:rFonts w:ascii="宋体" w:hAnsi="宋体" w:cs="新宋体"/>
          <w:color w:val="auto"/>
          <w:sz w:val="24"/>
        </w:rPr>
      </w:pPr>
      <w:r>
        <w:rPr>
          <w:rFonts w:hint="eastAsia" w:asciiTheme="minorEastAsia" w:hAnsiTheme="minorEastAsia" w:eastAsiaTheme="minorEastAsia"/>
          <w:color w:val="auto"/>
          <w:kern w:val="0"/>
          <w:sz w:val="24"/>
        </w:rPr>
        <w:t>六、本次评分具体分值细化条款</w:t>
      </w:r>
      <w:r>
        <w:rPr>
          <w:rFonts w:hint="eastAsia" w:ascii="宋体" w:hAnsi="宋体" w:cs="新宋体"/>
          <w:color w:val="auto"/>
          <w:sz w:val="24"/>
        </w:rPr>
        <w:t>如下表：</w:t>
      </w:r>
    </w:p>
    <w:tbl>
      <w:tblPr>
        <w:tblStyle w:val="35"/>
        <w:tblpPr w:leftFromText="180" w:rightFromText="180" w:vertAnchor="text" w:horzAnchor="page" w:tblpX="1658" w:tblpY="474"/>
        <w:tblOverlap w:val="never"/>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83"/>
        <w:gridCol w:w="7300"/>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46" w:type="dxa"/>
            <w:shd w:val="clear" w:color="auto" w:fill="DDDDDD"/>
            <w:vAlign w:val="center"/>
          </w:tcPr>
          <w:p>
            <w:pPr>
              <w:rPr>
                <w:rFonts w:ascii="宋体" w:hAnsi="宋体" w:cs="宋体"/>
                <w:color w:val="auto"/>
                <w:szCs w:val="21"/>
              </w:rPr>
            </w:pPr>
            <w:r>
              <w:rPr>
                <w:rFonts w:hint="eastAsia" w:ascii="宋体" w:hAnsi="宋体" w:cs="宋体"/>
                <w:color w:val="auto"/>
                <w:szCs w:val="21"/>
              </w:rPr>
              <w:t>评分项目</w:t>
            </w:r>
          </w:p>
        </w:tc>
        <w:tc>
          <w:tcPr>
            <w:tcW w:w="8183" w:type="dxa"/>
            <w:gridSpan w:val="2"/>
            <w:shd w:val="clear" w:color="auto" w:fill="DDDDDD"/>
            <w:vAlign w:val="center"/>
          </w:tcPr>
          <w:p>
            <w:pPr>
              <w:rPr>
                <w:rFonts w:ascii="宋体" w:hAnsi="宋体" w:cs="宋体"/>
                <w:color w:val="auto"/>
                <w:szCs w:val="21"/>
              </w:rPr>
            </w:pPr>
            <w:r>
              <w:rPr>
                <w:rFonts w:hint="eastAsia" w:ascii="宋体" w:hAnsi="宋体" w:cs="宋体"/>
                <w:color w:val="auto"/>
                <w:szCs w:val="21"/>
              </w:rPr>
              <w:t>评分细则</w:t>
            </w:r>
          </w:p>
        </w:tc>
        <w:tc>
          <w:tcPr>
            <w:tcW w:w="550" w:type="dxa"/>
            <w:shd w:val="clear" w:color="auto" w:fill="DDDDDD"/>
            <w:vAlign w:val="center"/>
          </w:tcPr>
          <w:p>
            <w:pPr>
              <w:rPr>
                <w:rFonts w:ascii="宋体" w:hAnsi="宋体" w:cs="宋体"/>
                <w:color w:val="auto"/>
                <w:szCs w:val="21"/>
              </w:rPr>
            </w:pPr>
            <w:r>
              <w:rPr>
                <w:rFonts w:hint="eastAsia" w:ascii="宋体" w:hAnsi="宋体" w:cs="宋体"/>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46" w:type="dxa"/>
            <w:vMerge w:val="restart"/>
            <w:vAlign w:val="center"/>
          </w:tcPr>
          <w:p>
            <w:pPr>
              <w:rPr>
                <w:rFonts w:ascii="宋体" w:hAnsi="宋体" w:cs="宋体"/>
                <w:color w:val="auto"/>
                <w:szCs w:val="21"/>
              </w:rPr>
            </w:pPr>
            <w:r>
              <w:rPr>
                <w:rFonts w:hint="eastAsia" w:ascii="宋体" w:hAnsi="宋体" w:cs="宋体"/>
                <w:color w:val="auto"/>
                <w:szCs w:val="21"/>
              </w:rPr>
              <w:t>技术性能51分</w:t>
            </w:r>
          </w:p>
        </w:tc>
        <w:tc>
          <w:tcPr>
            <w:tcW w:w="883" w:type="dxa"/>
            <w:vMerge w:val="restart"/>
            <w:vAlign w:val="center"/>
          </w:tcPr>
          <w:p>
            <w:pPr>
              <w:pStyle w:val="107"/>
              <w:jc w:val="center"/>
              <w:rPr>
                <w:rFonts w:hAnsi="宋体"/>
                <w:color w:val="auto"/>
                <w:sz w:val="21"/>
                <w:szCs w:val="21"/>
              </w:rPr>
            </w:pPr>
            <w:r>
              <w:rPr>
                <w:rFonts w:hint="eastAsia" w:hAnsi="宋体"/>
                <w:color w:val="auto"/>
                <w:sz w:val="21"/>
                <w:szCs w:val="21"/>
              </w:rPr>
              <w:t>安装施工组织方案</w:t>
            </w:r>
          </w:p>
          <w:p>
            <w:pPr>
              <w:rPr>
                <w:rFonts w:ascii="宋体" w:hAnsi="宋体" w:cs="宋体"/>
                <w:color w:val="auto"/>
                <w:szCs w:val="21"/>
              </w:rPr>
            </w:pPr>
            <w:r>
              <w:rPr>
                <w:rFonts w:hint="eastAsia" w:ascii="宋体" w:hAnsi="宋体" w:cs="宋体"/>
                <w:color w:val="auto"/>
                <w:szCs w:val="21"/>
              </w:rPr>
              <w:t>（包括交通组织方</w:t>
            </w:r>
          </w:p>
          <w:p>
            <w:pPr>
              <w:rPr>
                <w:rFonts w:ascii="宋体" w:hAnsi="宋体" w:cs="宋体"/>
                <w:color w:val="auto"/>
                <w:szCs w:val="21"/>
              </w:rPr>
            </w:pPr>
            <w:r>
              <w:rPr>
                <w:rFonts w:hint="eastAsia" w:ascii="宋体" w:hAnsi="宋体" w:cs="宋体"/>
                <w:color w:val="auto"/>
                <w:szCs w:val="21"/>
              </w:rPr>
              <w:t>案）</w:t>
            </w:r>
          </w:p>
        </w:tc>
        <w:tc>
          <w:tcPr>
            <w:tcW w:w="7300" w:type="dxa"/>
            <w:vAlign w:val="center"/>
          </w:tcPr>
          <w:p>
            <w:pPr>
              <w:widowControl/>
              <w:spacing w:line="340" w:lineRule="exact"/>
              <w:jc w:val="left"/>
              <w:textAlignment w:val="center"/>
              <w:rPr>
                <w:rFonts w:asciiTheme="majorEastAsia" w:hAnsiTheme="majorEastAsia" w:eastAsiaTheme="majorEastAsia" w:cstheme="majorEastAsia"/>
                <w:color w:val="auto"/>
                <w:szCs w:val="21"/>
              </w:rPr>
            </w:pPr>
            <w:r>
              <w:rPr>
                <w:rFonts w:hint="eastAsia" w:ascii="宋体" w:hAnsi="宋体" w:cs="宋体"/>
                <w:color w:val="auto"/>
                <w:szCs w:val="21"/>
              </w:rPr>
              <w:t>总体实施方案：针对本项目制定总体的服务方案，包括机构设置及运转情况、人员配备情况，投标设备材料的配件、附件、涂料的存储情况以及其它有关资料和材料情况的完整性、合理性和可操作性等。评委根据投标人提供的方案，</w:t>
            </w:r>
          </w:p>
          <w:p>
            <w:pPr>
              <w:widowControl/>
              <w:spacing w:line="340" w:lineRule="exact"/>
              <w:jc w:val="left"/>
              <w:textAlignment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针对本项目提供的技术资料内容比较详细、齐全并符合贴合本项目实际情况，</w:t>
            </w:r>
            <w:r>
              <w:rPr>
                <w:rFonts w:hint="eastAsia" w:ascii="宋体" w:hAnsi="宋体" w:cs="宋体"/>
                <w:color w:val="auto"/>
                <w:szCs w:val="21"/>
              </w:rPr>
              <w:t>完整性高、合理性高和可操作性强</w:t>
            </w:r>
            <w:r>
              <w:rPr>
                <w:rFonts w:hint="eastAsia" w:asciiTheme="majorEastAsia" w:hAnsiTheme="majorEastAsia" w:eastAsiaTheme="majorEastAsia" w:cstheme="majorEastAsia"/>
                <w:color w:val="auto"/>
                <w:szCs w:val="21"/>
              </w:rPr>
              <w:t>得</w:t>
            </w:r>
            <w:r>
              <w:rPr>
                <w:rFonts w:hint="eastAsia" w:ascii="宋体" w:hAnsi="宋体" w:cs="宋体"/>
                <w:color w:val="auto"/>
                <w:szCs w:val="21"/>
              </w:rPr>
              <w:t>6-4.1分</w:t>
            </w:r>
            <w:r>
              <w:rPr>
                <w:rFonts w:hint="eastAsia" w:asciiTheme="majorEastAsia" w:hAnsiTheme="majorEastAsia" w:eastAsiaTheme="majorEastAsia" w:cstheme="majorEastAsia"/>
                <w:color w:val="auto"/>
                <w:szCs w:val="21"/>
              </w:rPr>
              <w:t>；</w:t>
            </w:r>
          </w:p>
          <w:p>
            <w:pPr>
              <w:widowControl/>
              <w:spacing w:line="340" w:lineRule="exact"/>
              <w:jc w:val="left"/>
              <w:textAlignment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针对本项目提供的技术资料内容基本详细、齐全并符合本项目实际情况的，比较</w:t>
            </w:r>
            <w:r>
              <w:rPr>
                <w:rFonts w:hint="eastAsia" w:ascii="宋体" w:hAnsi="宋体" w:cs="宋体"/>
                <w:color w:val="auto"/>
                <w:szCs w:val="21"/>
              </w:rPr>
              <w:t>完整、比较合理</w:t>
            </w:r>
            <w:r>
              <w:rPr>
                <w:rFonts w:hint="eastAsia" w:asciiTheme="majorEastAsia" w:hAnsiTheme="majorEastAsia" w:eastAsiaTheme="majorEastAsia" w:cstheme="majorEastAsia"/>
                <w:color w:val="auto"/>
                <w:szCs w:val="21"/>
              </w:rPr>
              <w:t>得</w:t>
            </w:r>
            <w:r>
              <w:rPr>
                <w:rFonts w:hint="eastAsia" w:ascii="宋体" w:hAnsi="宋体" w:cs="宋体"/>
                <w:color w:val="auto"/>
                <w:szCs w:val="21"/>
              </w:rPr>
              <w:t>4-2.1分</w:t>
            </w:r>
            <w:r>
              <w:rPr>
                <w:rFonts w:hint="eastAsia" w:asciiTheme="majorEastAsia" w:hAnsiTheme="majorEastAsia" w:eastAsiaTheme="majorEastAsia" w:cstheme="majorEastAsia"/>
                <w:color w:val="auto"/>
                <w:szCs w:val="21"/>
              </w:rPr>
              <w:t>；</w:t>
            </w:r>
          </w:p>
          <w:p>
            <w:pPr>
              <w:widowControl/>
              <w:spacing w:line="340" w:lineRule="exact"/>
              <w:jc w:val="left"/>
              <w:textAlignment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针对本项目提供的技术资料内容不够详细、但基本符合本项目实际情况的，基本合理得</w:t>
            </w:r>
            <w:r>
              <w:rPr>
                <w:rFonts w:hint="eastAsia" w:ascii="宋体" w:hAnsi="宋体" w:cs="宋体"/>
                <w:color w:val="auto"/>
                <w:szCs w:val="21"/>
              </w:rPr>
              <w:t>2-1.1分</w:t>
            </w:r>
          </w:p>
          <w:p>
            <w:pPr>
              <w:rPr>
                <w:rFonts w:ascii="宋体" w:hAnsi="宋体" w:cs="宋体"/>
                <w:color w:val="auto"/>
                <w:szCs w:val="21"/>
              </w:rPr>
            </w:pPr>
            <w:r>
              <w:rPr>
                <w:rFonts w:hint="eastAsia" w:asciiTheme="majorEastAsia" w:hAnsiTheme="majorEastAsia" w:eastAsiaTheme="majorEastAsia" w:cstheme="majorEastAsia"/>
                <w:color w:val="auto"/>
                <w:szCs w:val="21"/>
              </w:rPr>
              <w:t>不符合本项目实际情况或未提及的不得分。</w:t>
            </w:r>
            <w:r>
              <w:rPr>
                <w:rFonts w:hint="eastAsia" w:ascii="宋体" w:hAnsi="宋体" w:cs="宋体"/>
                <w:color w:val="auto"/>
                <w:szCs w:val="21"/>
              </w:rPr>
              <w:t>1-0分。</w:t>
            </w:r>
          </w:p>
        </w:tc>
        <w:tc>
          <w:tcPr>
            <w:tcW w:w="550" w:type="dxa"/>
            <w:vAlign w:val="center"/>
          </w:tcPr>
          <w:p>
            <w:pPr>
              <w:rPr>
                <w:rFonts w:ascii="宋体" w:hAnsi="宋体" w:cs="宋体"/>
                <w:color w:val="auto"/>
                <w:szCs w:val="21"/>
              </w:rPr>
            </w:pPr>
            <w:r>
              <w:rPr>
                <w:rFonts w:hint="eastAsia" w:ascii="宋体" w:hAnsi="宋体" w:cs="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46" w:type="dxa"/>
            <w:vMerge w:val="continue"/>
            <w:vAlign w:val="center"/>
          </w:tcPr>
          <w:p>
            <w:pPr>
              <w:rPr>
                <w:rFonts w:ascii="宋体" w:hAnsi="宋体" w:cs="宋体"/>
                <w:color w:val="auto"/>
                <w:szCs w:val="21"/>
              </w:rPr>
            </w:pPr>
          </w:p>
        </w:tc>
        <w:tc>
          <w:tcPr>
            <w:tcW w:w="883" w:type="dxa"/>
            <w:vMerge w:val="continue"/>
            <w:vAlign w:val="center"/>
          </w:tcPr>
          <w:p>
            <w:pPr>
              <w:jc w:val="center"/>
              <w:rPr>
                <w:rFonts w:ascii="宋体" w:hAnsi="宋体" w:cs="宋体"/>
                <w:color w:val="auto"/>
                <w:szCs w:val="21"/>
              </w:rPr>
            </w:pPr>
          </w:p>
        </w:tc>
        <w:tc>
          <w:tcPr>
            <w:tcW w:w="7300" w:type="dxa"/>
            <w:vAlign w:val="center"/>
          </w:tcPr>
          <w:p>
            <w:pPr>
              <w:rPr>
                <w:rFonts w:ascii="宋体" w:hAnsi="宋体" w:cs="宋体"/>
                <w:color w:val="auto"/>
                <w:szCs w:val="21"/>
              </w:rPr>
            </w:pPr>
            <w:r>
              <w:rPr>
                <w:rFonts w:hint="eastAsia" w:ascii="宋体" w:hAnsi="宋体" w:cs="宋体"/>
                <w:color w:val="auto"/>
                <w:szCs w:val="21"/>
              </w:rPr>
              <w:t>质量保障措施：从涂料、玻璃珠等材料质量保证，标线施划厚度、反光持久度等各个环节采取的各项措施来进行评价，</w:t>
            </w:r>
          </w:p>
          <w:p>
            <w:pPr>
              <w:rPr>
                <w:rFonts w:ascii="宋体" w:hAnsi="宋体" w:cs="宋体"/>
                <w:color w:val="auto"/>
                <w:szCs w:val="21"/>
              </w:rPr>
            </w:pPr>
            <w:r>
              <w:rPr>
                <w:rFonts w:hint="eastAsia" w:ascii="宋体" w:hAnsi="宋体" w:cs="宋体"/>
                <w:color w:val="auto"/>
                <w:szCs w:val="21"/>
              </w:rPr>
              <w:t>标线厚度大，反光持久度高，各环节措施到位、技 术全面先进的 6-5.1分，</w:t>
            </w:r>
          </w:p>
          <w:p>
            <w:pPr>
              <w:rPr>
                <w:rFonts w:ascii="宋体" w:hAnsi="宋体" w:cs="宋体"/>
                <w:color w:val="auto"/>
                <w:szCs w:val="21"/>
              </w:rPr>
            </w:pPr>
            <w:r>
              <w:rPr>
                <w:rFonts w:hint="eastAsia" w:ascii="宋体" w:hAnsi="宋体" w:cs="宋体"/>
                <w:color w:val="auto"/>
                <w:szCs w:val="21"/>
              </w:rPr>
              <w:t>标线厚度大，反光持久度高，但方案措施简单，技术较普遍的 5.0-3.6分；</w:t>
            </w:r>
          </w:p>
          <w:p>
            <w:pPr>
              <w:rPr>
                <w:rFonts w:ascii="宋体" w:hAnsi="宋体" w:cs="宋体"/>
                <w:color w:val="auto"/>
                <w:szCs w:val="21"/>
              </w:rPr>
            </w:pPr>
            <w:r>
              <w:rPr>
                <w:rFonts w:hint="eastAsia" w:ascii="宋体" w:hAnsi="宋体" w:cs="宋体"/>
                <w:color w:val="auto"/>
                <w:szCs w:val="21"/>
              </w:rPr>
              <w:t>标线厚度一般，反光持久度一般，方案措施简单，技术较普遍的3.5分-2.1分</w:t>
            </w:r>
          </w:p>
          <w:p>
            <w:pPr>
              <w:rPr>
                <w:rFonts w:ascii="宋体" w:hAnsi="宋体" w:cs="宋体"/>
                <w:color w:val="auto"/>
                <w:szCs w:val="21"/>
              </w:rPr>
            </w:pPr>
            <w:r>
              <w:rPr>
                <w:rFonts w:hint="eastAsia" w:ascii="宋体" w:hAnsi="宋体" w:cs="宋体"/>
                <w:color w:val="auto"/>
                <w:szCs w:val="21"/>
              </w:rPr>
              <w:t>标线厚度差，反光差的，方案片面，缺乏具体防障措施的2-1.1分；</w:t>
            </w:r>
          </w:p>
          <w:p>
            <w:pPr>
              <w:rPr>
                <w:rFonts w:ascii="宋体" w:hAnsi="宋体" w:cs="宋体"/>
                <w:color w:val="auto"/>
                <w:szCs w:val="21"/>
              </w:rPr>
            </w:pPr>
            <w:r>
              <w:rPr>
                <w:rFonts w:hint="eastAsia" w:ascii="宋体" w:hAnsi="宋体" w:cs="宋体"/>
                <w:color w:val="auto"/>
                <w:szCs w:val="21"/>
              </w:rPr>
              <w:t>措施差，未提及的不得分。</w:t>
            </w:r>
          </w:p>
        </w:tc>
        <w:tc>
          <w:tcPr>
            <w:tcW w:w="550" w:type="dxa"/>
            <w:vAlign w:val="center"/>
          </w:tcPr>
          <w:p>
            <w:pPr>
              <w:rPr>
                <w:rFonts w:ascii="宋体" w:hAnsi="宋体" w:cs="宋体"/>
                <w:color w:val="auto"/>
                <w:szCs w:val="21"/>
              </w:rPr>
            </w:pPr>
            <w:r>
              <w:rPr>
                <w:rFonts w:hint="eastAsia" w:ascii="宋体" w:hAnsi="宋体" w:cs="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46" w:type="dxa"/>
            <w:vMerge w:val="continue"/>
            <w:vAlign w:val="center"/>
          </w:tcPr>
          <w:p>
            <w:pPr>
              <w:rPr>
                <w:rFonts w:ascii="宋体" w:hAnsi="宋体" w:cs="宋体"/>
                <w:color w:val="auto"/>
                <w:szCs w:val="21"/>
              </w:rPr>
            </w:pPr>
          </w:p>
        </w:tc>
        <w:tc>
          <w:tcPr>
            <w:tcW w:w="883" w:type="dxa"/>
            <w:vMerge w:val="continue"/>
            <w:vAlign w:val="center"/>
          </w:tcPr>
          <w:p>
            <w:pPr>
              <w:jc w:val="center"/>
              <w:rPr>
                <w:rFonts w:ascii="宋体" w:hAnsi="宋体" w:cs="宋体"/>
                <w:color w:val="auto"/>
                <w:szCs w:val="21"/>
              </w:rPr>
            </w:pPr>
          </w:p>
        </w:tc>
        <w:tc>
          <w:tcPr>
            <w:tcW w:w="7300" w:type="dxa"/>
            <w:vAlign w:val="center"/>
          </w:tcPr>
          <w:p>
            <w:pPr>
              <w:spacing w:line="340" w:lineRule="exact"/>
              <w:textAlignment w:val="center"/>
              <w:rPr>
                <w:rFonts w:asciiTheme="majorEastAsia" w:hAnsiTheme="majorEastAsia" w:eastAsiaTheme="majorEastAsia" w:cstheme="majorEastAsia"/>
                <w:color w:val="auto"/>
                <w:szCs w:val="21"/>
              </w:rPr>
            </w:pPr>
            <w:r>
              <w:rPr>
                <w:rFonts w:hint="eastAsia" w:ascii="宋体" w:hAnsi="宋体" w:cs="宋体"/>
                <w:color w:val="auto"/>
                <w:szCs w:val="21"/>
              </w:rPr>
              <w:t>根据工程施工需要，投标人提前制作标线施划期间施工现场安全设施设置进行模拟演练，并提供相关资料（包括演练照片、文字或视频解读）。</w:t>
            </w:r>
          </w:p>
          <w:p>
            <w:pPr>
              <w:spacing w:line="340" w:lineRule="exact"/>
              <w:textAlignment w:val="center"/>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方案思路清晰明朗、多元化，解决办法阐述非常明确内容齐全并符合本项目实际情况的，</w:t>
            </w:r>
            <w:r>
              <w:rPr>
                <w:rFonts w:hint="eastAsia" w:ascii="宋体" w:hAnsi="宋体" w:cs="宋体"/>
                <w:color w:val="auto"/>
                <w:szCs w:val="21"/>
              </w:rPr>
              <w:t>措施到位，提供完整的资料和照片的得6-4.1分</w:t>
            </w:r>
            <w:r>
              <w:rPr>
                <w:rFonts w:hint="eastAsia" w:asciiTheme="majorEastAsia" w:hAnsiTheme="majorEastAsia" w:eastAsiaTheme="majorEastAsia" w:cstheme="majorEastAsia"/>
                <w:color w:val="auto"/>
                <w:szCs w:val="21"/>
              </w:rPr>
              <w:t>；</w:t>
            </w:r>
          </w:p>
          <w:p>
            <w:pPr>
              <w:spacing w:line="340" w:lineRule="exact"/>
              <w:textAlignment w:val="center"/>
              <w:rPr>
                <w:rFonts w:ascii="宋体" w:hAnsi="宋体" w:cs="宋体"/>
                <w:color w:val="auto"/>
                <w:szCs w:val="21"/>
              </w:rPr>
            </w:pPr>
            <w:r>
              <w:rPr>
                <w:rFonts w:hint="eastAsia" w:asciiTheme="majorEastAsia" w:hAnsiTheme="majorEastAsia" w:eastAsiaTheme="majorEastAsia" w:cstheme="majorEastAsia"/>
                <w:color w:val="auto"/>
                <w:szCs w:val="21"/>
              </w:rPr>
              <w:t>方案解决办法阐述比较明确内容较齐全，措施到位，</w:t>
            </w:r>
            <w:r>
              <w:rPr>
                <w:rFonts w:hint="eastAsia" w:ascii="宋体" w:hAnsi="宋体" w:cs="宋体"/>
                <w:color w:val="auto"/>
                <w:szCs w:val="21"/>
              </w:rPr>
              <w:t>但方案针对项目的实际情况，提供的资料和照片比较简单得4-3.1分；</w:t>
            </w:r>
          </w:p>
          <w:p>
            <w:pPr>
              <w:pStyle w:val="16"/>
              <w:ind w:firstLine="0"/>
              <w:rPr>
                <w:rFonts w:eastAsiaTheme="majorEastAsia"/>
                <w:color w:val="auto"/>
              </w:rPr>
            </w:pPr>
            <w:r>
              <w:rPr>
                <w:rFonts w:hint="eastAsia" w:asciiTheme="majorEastAsia" w:hAnsiTheme="majorEastAsia" w:eastAsiaTheme="majorEastAsia" w:cstheme="majorEastAsia"/>
                <w:color w:val="auto"/>
                <w:szCs w:val="21"/>
              </w:rPr>
              <w:t>方案解决办法阐述比较明确内容较齐全，但没有针对本项目的实际情况，措施不足，</w:t>
            </w:r>
            <w:r>
              <w:rPr>
                <w:rFonts w:hint="eastAsia" w:ascii="宋体" w:hAnsi="宋体" w:cs="宋体"/>
                <w:color w:val="auto"/>
                <w:szCs w:val="21"/>
              </w:rPr>
              <w:t>提供的资料和照片比较简单、片面的得3-2.1分</w:t>
            </w:r>
          </w:p>
          <w:p>
            <w:pPr>
              <w:spacing w:line="340" w:lineRule="exact"/>
              <w:textAlignment w:val="center"/>
              <w:rPr>
                <w:rFonts w:ascii="宋体" w:hAnsi="宋体" w:cs="宋体"/>
                <w:color w:val="auto"/>
                <w:szCs w:val="21"/>
              </w:rPr>
            </w:pPr>
            <w:r>
              <w:rPr>
                <w:rFonts w:hint="eastAsia" w:ascii="宋体" w:hAnsi="宋体" w:cs="宋体"/>
                <w:color w:val="auto"/>
                <w:szCs w:val="21"/>
              </w:rPr>
              <w:t>方案只包含了招标需求中的部分内容演练，实施方案简单，针对实际情况提供资料和照片片面不完整的得：2-1.1分</w:t>
            </w:r>
          </w:p>
          <w:p>
            <w:pPr>
              <w:spacing w:line="340" w:lineRule="exact"/>
              <w:textAlignment w:val="center"/>
              <w:rPr>
                <w:rFonts w:ascii="宋体" w:hAnsi="宋体" w:cs="宋体"/>
                <w:color w:val="auto"/>
                <w:szCs w:val="21"/>
              </w:rPr>
            </w:pPr>
            <w:r>
              <w:rPr>
                <w:rFonts w:hint="eastAsia" w:asciiTheme="majorEastAsia" w:hAnsiTheme="majorEastAsia" w:eastAsiaTheme="majorEastAsia" w:cstheme="majorEastAsia"/>
                <w:color w:val="auto"/>
                <w:szCs w:val="21"/>
              </w:rPr>
              <w:t>方案解决办法不够明确，缺少内容的为得</w:t>
            </w:r>
            <w:r>
              <w:rPr>
                <w:rFonts w:hint="eastAsia" w:ascii="宋体" w:hAnsi="宋体" w:cs="宋体"/>
                <w:color w:val="auto"/>
                <w:szCs w:val="21"/>
              </w:rPr>
              <w:t>1-0分</w:t>
            </w:r>
            <w:r>
              <w:rPr>
                <w:rFonts w:hint="eastAsia" w:asciiTheme="majorEastAsia" w:hAnsiTheme="majorEastAsia" w:eastAsiaTheme="majorEastAsia" w:cstheme="majorEastAsia"/>
                <w:color w:val="auto"/>
                <w:szCs w:val="21"/>
              </w:rPr>
              <w:t>；</w:t>
            </w:r>
          </w:p>
        </w:tc>
        <w:tc>
          <w:tcPr>
            <w:tcW w:w="550" w:type="dxa"/>
            <w:vAlign w:val="center"/>
          </w:tcPr>
          <w:p>
            <w:pPr>
              <w:rPr>
                <w:rFonts w:ascii="宋体" w:hAnsi="宋体" w:cs="宋体"/>
                <w:color w:val="auto"/>
                <w:szCs w:val="21"/>
              </w:rPr>
            </w:pPr>
            <w:r>
              <w:rPr>
                <w:rFonts w:hint="eastAsia" w:ascii="宋体" w:hAnsi="宋体" w:cs="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46" w:type="dxa"/>
            <w:vMerge w:val="continue"/>
            <w:vAlign w:val="center"/>
          </w:tcPr>
          <w:p>
            <w:pPr>
              <w:rPr>
                <w:rFonts w:ascii="宋体" w:hAnsi="宋体" w:cs="宋体"/>
                <w:color w:val="auto"/>
                <w:szCs w:val="21"/>
              </w:rPr>
            </w:pPr>
          </w:p>
        </w:tc>
        <w:tc>
          <w:tcPr>
            <w:tcW w:w="883" w:type="dxa"/>
            <w:vMerge w:val="continue"/>
            <w:vAlign w:val="center"/>
          </w:tcPr>
          <w:p>
            <w:pPr>
              <w:pStyle w:val="107"/>
              <w:rPr>
                <w:rFonts w:hAnsi="宋体"/>
                <w:color w:val="auto"/>
                <w:sz w:val="21"/>
                <w:szCs w:val="21"/>
              </w:rPr>
            </w:pPr>
          </w:p>
        </w:tc>
        <w:tc>
          <w:tcPr>
            <w:tcW w:w="7300" w:type="dxa"/>
            <w:vAlign w:val="center"/>
          </w:tcPr>
          <w:p>
            <w:pPr>
              <w:rPr>
                <w:rFonts w:ascii="宋体" w:hAnsi="宋体" w:cs="宋体"/>
                <w:color w:val="auto"/>
                <w:szCs w:val="21"/>
              </w:rPr>
            </w:pPr>
            <w:r>
              <w:rPr>
                <w:rFonts w:hint="eastAsia" w:ascii="宋体" w:hAnsi="宋体" w:cs="宋体"/>
                <w:color w:val="auto"/>
                <w:szCs w:val="21"/>
              </w:rPr>
              <w:t>施工期间交通组织：</w:t>
            </w:r>
          </w:p>
          <w:p>
            <w:pPr>
              <w:rPr>
                <w:rFonts w:ascii="宋体" w:hAnsi="宋体" w:cs="宋体"/>
                <w:color w:val="auto"/>
                <w:szCs w:val="21"/>
              </w:rPr>
            </w:pPr>
            <w:r>
              <w:rPr>
                <w:rFonts w:hint="eastAsia" w:ascii="宋体" w:hAnsi="宋体" w:cs="宋体"/>
                <w:color w:val="auto"/>
                <w:szCs w:val="21"/>
              </w:rPr>
              <w:t>1、组织机构、工作时间进度表、工作程序和步骤、管理和协调方法等。评委根据投标人提供的方案，分三档打分。</w:t>
            </w:r>
          </w:p>
          <w:p>
            <w:pPr>
              <w:spacing w:line="288" w:lineRule="auto"/>
              <w:rPr>
                <w:rFonts w:ascii="宋体" w:hAnsi="宋体" w:cs="宋体"/>
                <w:color w:val="auto"/>
                <w:szCs w:val="21"/>
              </w:rPr>
            </w:pPr>
            <w:r>
              <w:rPr>
                <w:rFonts w:hint="eastAsia" w:ascii="宋体" w:hAnsi="宋体" w:cs="宋体"/>
                <w:color w:val="auto"/>
                <w:szCs w:val="21"/>
              </w:rPr>
              <w:t>服务方案明确，流程规范性强的，得3-2.0分；方案内容较详细，流程规范较强的，得1.9-1分；方案内容一般的，得0.9-0分。</w:t>
            </w:r>
          </w:p>
          <w:p>
            <w:pPr>
              <w:rPr>
                <w:rFonts w:ascii="宋体" w:hAnsi="宋体" w:cs="宋体"/>
                <w:color w:val="auto"/>
                <w:szCs w:val="21"/>
              </w:rPr>
            </w:pPr>
            <w:r>
              <w:rPr>
                <w:rFonts w:hint="eastAsia" w:ascii="宋体" w:hAnsi="宋体" w:cs="宋体"/>
                <w:color w:val="auto"/>
                <w:szCs w:val="21"/>
              </w:rPr>
              <w:t>2、施工人员的培训、着装、各种道路条件下（含夜间、车流量人流量密集等情况）的施工期间临时交通安全设施的设置及安全管理的相关制度等。</w:t>
            </w:r>
          </w:p>
          <w:p>
            <w:pPr>
              <w:rPr>
                <w:rFonts w:ascii="宋体" w:hAnsi="宋体" w:cs="宋体"/>
                <w:color w:val="auto"/>
                <w:szCs w:val="21"/>
              </w:rPr>
            </w:pPr>
            <w:r>
              <w:rPr>
                <w:rFonts w:hint="eastAsia" w:ascii="宋体" w:hAnsi="宋体" w:cs="宋体"/>
                <w:color w:val="auto"/>
                <w:szCs w:val="21"/>
              </w:rPr>
              <w:t>方案明确合理，措施制度性强的，得3-2.0分；方案较详细，措施制度较强的，得得1.9-1分；方案内容一般的，得0.9-0分。</w:t>
            </w:r>
          </w:p>
        </w:tc>
        <w:tc>
          <w:tcPr>
            <w:tcW w:w="550" w:type="dxa"/>
            <w:vAlign w:val="center"/>
          </w:tcPr>
          <w:p>
            <w:pPr>
              <w:rPr>
                <w:rFonts w:ascii="宋体" w:hAnsi="宋体" w:cs="宋体"/>
                <w:color w:val="auto"/>
                <w:szCs w:val="21"/>
              </w:rPr>
            </w:pPr>
            <w:r>
              <w:rPr>
                <w:rFonts w:hint="eastAsia" w:ascii="宋体" w:hAnsi="宋体" w:cs="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746" w:type="dxa"/>
            <w:vMerge w:val="continue"/>
            <w:vAlign w:val="center"/>
          </w:tcPr>
          <w:p>
            <w:pPr>
              <w:rPr>
                <w:rFonts w:ascii="宋体" w:hAnsi="宋体" w:cs="宋体"/>
                <w:color w:val="auto"/>
                <w:szCs w:val="21"/>
              </w:rPr>
            </w:pPr>
          </w:p>
        </w:tc>
        <w:tc>
          <w:tcPr>
            <w:tcW w:w="883" w:type="dxa"/>
            <w:vAlign w:val="center"/>
          </w:tcPr>
          <w:p>
            <w:pPr>
              <w:pStyle w:val="107"/>
              <w:rPr>
                <w:rFonts w:hAnsi="宋体"/>
                <w:color w:val="auto"/>
                <w:sz w:val="21"/>
                <w:szCs w:val="21"/>
              </w:rPr>
            </w:pPr>
            <w:r>
              <w:rPr>
                <w:rFonts w:hint="eastAsia" w:hAnsi="宋体"/>
                <w:color w:val="auto"/>
                <w:sz w:val="21"/>
                <w:szCs w:val="21"/>
              </w:rPr>
              <w:t>施工现场车辆方案</w:t>
            </w:r>
          </w:p>
        </w:tc>
        <w:tc>
          <w:tcPr>
            <w:tcW w:w="7300" w:type="dxa"/>
            <w:vAlign w:val="center"/>
          </w:tcPr>
          <w:p>
            <w:pPr>
              <w:rPr>
                <w:rFonts w:ascii="宋体" w:hAnsi="宋体" w:cs="宋体"/>
                <w:color w:val="auto"/>
                <w:szCs w:val="21"/>
              </w:rPr>
            </w:pPr>
            <w:r>
              <w:rPr>
                <w:rFonts w:hint="eastAsia" w:ascii="宋体" w:hAnsi="宋体" w:cs="宋体"/>
                <w:color w:val="auto"/>
                <w:szCs w:val="21"/>
              </w:rPr>
              <w:t>现场施工车辆：</w:t>
            </w:r>
          </w:p>
          <w:p>
            <w:pPr>
              <w:rPr>
                <w:rFonts w:ascii="宋体" w:hAnsi="宋体" w:cs="宋体"/>
                <w:color w:val="auto"/>
                <w:szCs w:val="21"/>
              </w:rPr>
            </w:pPr>
            <w:r>
              <w:rPr>
                <w:rFonts w:hint="eastAsia" w:ascii="宋体" w:hAnsi="宋体" w:cs="宋体"/>
                <w:color w:val="auto"/>
                <w:szCs w:val="21"/>
              </w:rPr>
              <w:t>1、提供现场作业车辆（标线施工车辆），少于3辆不得分，提供3辆得2分，提供4辆得3分，4辆以上每增加1辆得0.5分，最高得4分。</w:t>
            </w:r>
          </w:p>
          <w:p>
            <w:pPr>
              <w:rPr>
                <w:rFonts w:ascii="宋体" w:hAnsi="宋体" w:cs="宋体"/>
                <w:color w:val="auto"/>
                <w:szCs w:val="21"/>
              </w:rPr>
            </w:pPr>
            <w:r>
              <w:rPr>
                <w:rFonts w:hint="eastAsia" w:ascii="宋体" w:hAnsi="宋体" w:cs="宋体"/>
                <w:color w:val="auto"/>
                <w:szCs w:val="21"/>
              </w:rPr>
              <w:t>2、提供标线清洗车辆（水除线车辆）1辆得0.5分，最高得1分；</w:t>
            </w:r>
          </w:p>
          <w:p>
            <w:pPr>
              <w:rPr>
                <w:rFonts w:ascii="宋体" w:hAnsi="宋体" w:cs="宋体"/>
                <w:bCs/>
                <w:color w:val="auto"/>
                <w:szCs w:val="21"/>
              </w:rPr>
            </w:pPr>
            <w:r>
              <w:rPr>
                <w:rFonts w:hint="eastAsia" w:ascii="宋体" w:hAnsi="宋体" w:cs="宋体"/>
                <w:color w:val="auto"/>
                <w:szCs w:val="21"/>
              </w:rPr>
              <w:t>上述两点的车辆需提供有效的车辆行驶证</w:t>
            </w:r>
            <w:r>
              <w:rPr>
                <w:rFonts w:hint="eastAsia"/>
                <w:color w:val="auto"/>
              </w:rPr>
              <w:t>扫描件</w:t>
            </w:r>
            <w:r>
              <w:rPr>
                <w:rFonts w:hint="eastAsia" w:ascii="宋体" w:hAnsi="宋体" w:cs="宋体"/>
                <w:color w:val="auto"/>
                <w:szCs w:val="21"/>
              </w:rPr>
              <w:t>和车辆照片为准，如是租赁的，还需在投标文件中提供租赁合同</w:t>
            </w:r>
            <w:r>
              <w:rPr>
                <w:rFonts w:hint="eastAsia"/>
                <w:color w:val="auto"/>
              </w:rPr>
              <w:t>扫描件，</w:t>
            </w:r>
            <w:r>
              <w:rPr>
                <w:rFonts w:hint="eastAsia" w:ascii="宋体" w:hAnsi="宋体" w:cs="宋体"/>
                <w:color w:val="auto"/>
                <w:szCs w:val="21"/>
              </w:rPr>
              <w:t>租赁期限需超过本项目期限。</w:t>
            </w:r>
          </w:p>
          <w:p>
            <w:pPr>
              <w:rPr>
                <w:rFonts w:ascii="宋体" w:hAnsi="宋体" w:cs="宋体"/>
                <w:color w:val="auto"/>
                <w:szCs w:val="21"/>
              </w:rPr>
            </w:pPr>
            <w:r>
              <w:rPr>
                <w:rFonts w:hint="eastAsia" w:ascii="宋体" w:hAnsi="宋体" w:cs="宋体"/>
                <w:color w:val="auto"/>
                <w:szCs w:val="21"/>
              </w:rPr>
              <w:t>。作业车辆必须符合台州市相关交通管理要求,以上车辆履约完成前须专门为本项目服务，不得他用。</w:t>
            </w:r>
          </w:p>
        </w:tc>
        <w:tc>
          <w:tcPr>
            <w:tcW w:w="550" w:type="dxa"/>
            <w:vAlign w:val="center"/>
          </w:tcPr>
          <w:p>
            <w:pPr>
              <w:rPr>
                <w:rFonts w:ascii="宋体" w:hAnsi="宋体" w:cs="宋体"/>
                <w:color w:val="auto"/>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Merge w:val="continue"/>
            <w:vAlign w:val="center"/>
          </w:tcPr>
          <w:p>
            <w:pPr>
              <w:rPr>
                <w:rFonts w:ascii="宋体" w:hAnsi="宋体" w:cs="宋体"/>
                <w:color w:val="auto"/>
                <w:szCs w:val="21"/>
              </w:rPr>
            </w:pPr>
          </w:p>
        </w:tc>
        <w:tc>
          <w:tcPr>
            <w:tcW w:w="883" w:type="dxa"/>
            <w:vAlign w:val="center"/>
          </w:tcPr>
          <w:p>
            <w:pPr>
              <w:rPr>
                <w:rFonts w:ascii="宋体" w:hAnsi="宋体" w:cs="宋体"/>
                <w:color w:val="auto"/>
                <w:szCs w:val="21"/>
              </w:rPr>
            </w:pPr>
            <w:r>
              <w:rPr>
                <w:rFonts w:hint="eastAsia" w:ascii="宋体" w:hAnsi="宋体" w:cs="宋体"/>
                <w:color w:val="auto"/>
                <w:szCs w:val="21"/>
              </w:rPr>
              <w:t>项目实施人员</w:t>
            </w:r>
          </w:p>
        </w:tc>
        <w:tc>
          <w:tcPr>
            <w:tcW w:w="7300" w:type="dxa"/>
            <w:vAlign w:val="center"/>
          </w:tcPr>
          <w:p>
            <w:pPr>
              <w:snapToGrid w:val="0"/>
              <w:spacing w:line="240" w:lineRule="atLeast"/>
              <w:rPr>
                <w:rFonts w:ascii="宋体" w:hAnsi="宋体" w:cs="宋体"/>
                <w:color w:val="auto"/>
                <w:szCs w:val="21"/>
              </w:rPr>
            </w:pPr>
            <w:r>
              <w:rPr>
                <w:rFonts w:hint="eastAsia" w:ascii="宋体" w:hAnsi="宋体" w:cs="宋体"/>
                <w:color w:val="auto"/>
                <w:szCs w:val="21"/>
              </w:rPr>
              <w:t>根据投标人针对本项目配备的团队成员（项目负责人、其它管理维护人员）的职称情况等进行打分。</w:t>
            </w:r>
          </w:p>
          <w:p>
            <w:pPr>
              <w:snapToGrid w:val="0"/>
              <w:spacing w:line="240" w:lineRule="atLeast"/>
              <w:rPr>
                <w:rFonts w:ascii="宋体" w:hAnsi="宋体" w:cs="宋体"/>
                <w:color w:val="auto"/>
                <w:szCs w:val="21"/>
              </w:rPr>
            </w:pPr>
            <w:r>
              <w:rPr>
                <w:rFonts w:hint="eastAsia" w:ascii="宋体" w:hAnsi="宋体" w:cs="宋体"/>
                <w:color w:val="auto"/>
                <w:szCs w:val="21"/>
              </w:rPr>
              <w:t>1.项目负责人具有人社部门颁发的高级工程师证的得2分，中级工程师证得1分。二级及以上注册建造师证得1分，本项最高得3分；</w:t>
            </w:r>
          </w:p>
          <w:p>
            <w:pPr>
              <w:snapToGrid w:val="0"/>
              <w:spacing w:line="240" w:lineRule="atLeast"/>
              <w:rPr>
                <w:rFonts w:ascii="宋体" w:hAnsi="宋体" w:cs="宋体"/>
                <w:color w:val="auto"/>
                <w:szCs w:val="21"/>
              </w:rPr>
            </w:pPr>
            <w:r>
              <w:rPr>
                <w:rFonts w:hint="eastAsia" w:ascii="宋体" w:hAnsi="宋体" w:cs="宋体"/>
                <w:color w:val="auto"/>
                <w:szCs w:val="21"/>
              </w:rPr>
              <w:t>2.项目成员（除项目负责人外）具有工程师职称的每人得1分，助理工程师职称的每人得0.5分，最高得2分；</w:t>
            </w:r>
          </w:p>
          <w:p>
            <w:pPr>
              <w:rPr>
                <w:rFonts w:ascii="宋体" w:hAnsi="宋体" w:cs="宋体"/>
                <w:color w:val="auto"/>
                <w:szCs w:val="21"/>
              </w:rPr>
            </w:pPr>
            <w:r>
              <w:rPr>
                <w:rFonts w:hint="eastAsia" w:ascii="宋体" w:hAnsi="宋体" w:cs="宋体"/>
                <w:b/>
                <w:bCs w:val="0"/>
                <w:color w:val="auto"/>
                <w:szCs w:val="21"/>
              </w:rPr>
              <w:t>注：要求提供人员证书</w:t>
            </w:r>
            <w:r>
              <w:rPr>
                <w:rFonts w:hint="eastAsia"/>
                <w:b/>
                <w:bCs w:val="0"/>
                <w:color w:val="auto"/>
              </w:rPr>
              <w:t>扫描件</w:t>
            </w:r>
            <w:r>
              <w:rPr>
                <w:rFonts w:hint="eastAsia" w:ascii="宋体" w:hAnsi="宋体" w:cs="宋体"/>
                <w:b/>
                <w:bCs w:val="0"/>
                <w:color w:val="auto"/>
                <w:szCs w:val="21"/>
              </w:rPr>
              <w:t>、</w:t>
            </w:r>
            <w:r>
              <w:rPr>
                <w:rFonts w:ascii="宋体" w:hAnsi="宋体"/>
                <w:b/>
                <w:bCs w:val="0"/>
                <w:color w:val="auto"/>
                <w:szCs w:val="21"/>
              </w:rPr>
              <w:t>投标截止日之前</w:t>
            </w:r>
            <w:r>
              <w:rPr>
                <w:rFonts w:hint="eastAsia" w:ascii="宋体" w:hAnsi="宋体"/>
                <w:b/>
                <w:bCs w:val="0"/>
                <w:color w:val="auto"/>
                <w:szCs w:val="21"/>
              </w:rPr>
              <w:t>近六</w:t>
            </w:r>
            <w:r>
              <w:rPr>
                <w:rFonts w:ascii="宋体" w:hAnsi="宋体"/>
                <w:b/>
                <w:bCs w:val="0"/>
                <w:color w:val="auto"/>
                <w:szCs w:val="21"/>
              </w:rPr>
              <w:t>个月的</w:t>
            </w:r>
            <w:r>
              <w:rPr>
                <w:rFonts w:hint="eastAsia" w:ascii="宋体" w:hAnsi="宋体"/>
                <w:b/>
                <w:bCs w:val="0"/>
                <w:color w:val="auto"/>
                <w:szCs w:val="21"/>
              </w:rPr>
              <w:t>代缴个税税单或参加社会保险的《投保单》或《社会保险参保人员证明》等人员在本单位服务的外部证明</w:t>
            </w:r>
            <w:r>
              <w:rPr>
                <w:rFonts w:hint="eastAsia" w:ascii="宋体" w:hAnsi="宋体" w:cs="宋体"/>
                <w:b/>
                <w:bCs w:val="0"/>
                <w:color w:val="auto"/>
                <w:szCs w:val="21"/>
              </w:rPr>
              <w:t>（项目成员组人员包括驻点维护机构人员）</w:t>
            </w:r>
          </w:p>
        </w:tc>
        <w:tc>
          <w:tcPr>
            <w:tcW w:w="550" w:type="dxa"/>
            <w:vAlign w:val="center"/>
          </w:tcPr>
          <w:p>
            <w:pPr>
              <w:rPr>
                <w:rFonts w:ascii="宋体" w:hAnsi="宋体" w:cs="宋体"/>
                <w:color w:val="auto"/>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46" w:type="dxa"/>
            <w:vMerge w:val="continue"/>
            <w:vAlign w:val="center"/>
          </w:tcPr>
          <w:p>
            <w:pPr>
              <w:rPr>
                <w:rFonts w:ascii="宋体" w:hAnsi="宋体" w:cs="宋体"/>
                <w:color w:val="auto"/>
                <w:szCs w:val="21"/>
              </w:rPr>
            </w:pPr>
          </w:p>
        </w:tc>
        <w:tc>
          <w:tcPr>
            <w:tcW w:w="883" w:type="dxa"/>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样品</w:t>
            </w:r>
          </w:p>
          <w:p>
            <w:pPr>
              <w:rPr>
                <w:rFonts w:ascii="宋体" w:hAnsi="宋体" w:cs="宋体"/>
                <w:color w:val="auto"/>
                <w:szCs w:val="21"/>
              </w:rPr>
            </w:pPr>
          </w:p>
        </w:tc>
        <w:tc>
          <w:tcPr>
            <w:tcW w:w="7300" w:type="dxa"/>
            <w:vAlign w:val="center"/>
          </w:tcPr>
          <w:p>
            <w:pPr>
              <w:autoSpaceDE w:val="0"/>
              <w:autoSpaceDN w:val="0"/>
              <w:adjustRightInd w:val="0"/>
              <w:jc w:val="left"/>
              <w:rPr>
                <w:color w:val="auto"/>
              </w:rPr>
            </w:pPr>
            <w:r>
              <w:rPr>
                <w:rFonts w:hint="eastAsia"/>
                <w:color w:val="auto"/>
              </w:rPr>
              <w:t>要求：注明样品清单、材质、型号、品牌等信息。样品不得体现或影射投标人的信息，否则按无效标处理</w:t>
            </w:r>
          </w:p>
          <w:p>
            <w:pPr>
              <w:rPr>
                <w:color w:val="auto"/>
              </w:rPr>
            </w:pPr>
            <w:r>
              <w:rPr>
                <w:rFonts w:hint="eastAsia"/>
                <w:color w:val="auto"/>
              </w:rPr>
              <w:t>1.铝板上画0.5米长15公分宽的震荡标线（白色），根据投标样品的材质、产品品质等进行评价，最高得4分。（提供涂料检测报告扫描件，不提供不得分）</w:t>
            </w:r>
          </w:p>
          <w:p>
            <w:pPr>
              <w:rPr>
                <w:color w:val="auto"/>
              </w:rPr>
            </w:pPr>
            <w:r>
              <w:rPr>
                <w:rFonts w:hint="eastAsia"/>
                <w:color w:val="auto"/>
              </w:rPr>
              <w:t>2.铝板上画0.5米长15公分宽普通标线（白色），根据投标样品的材质、产品品质等进行评价，最高得4分（提供涂料检测报告扫描件，不提供不得分）。</w:t>
            </w:r>
          </w:p>
          <w:p>
            <w:pPr>
              <w:rPr>
                <w:color w:val="auto"/>
              </w:rPr>
            </w:pPr>
            <w:r>
              <w:rPr>
                <w:rFonts w:hint="eastAsia"/>
                <w:color w:val="auto"/>
              </w:rPr>
              <w:t>3.铝板上画0.5米长15公分宽雨夜标线（白色），根据投标样品的材质、产品品质等进行评价，最高得4分（提供涂料检测报告扫描件，不提供不得分）。</w:t>
            </w:r>
          </w:p>
          <w:p>
            <w:pPr>
              <w:rPr>
                <w:color w:val="auto"/>
              </w:rPr>
            </w:pPr>
            <w:r>
              <w:rPr>
                <w:rFonts w:hint="eastAsia"/>
                <w:color w:val="auto"/>
              </w:rPr>
              <w:t>4.根据提供的沥青路面和水泥路面标线用高压水清除后的前后对比照片各一张（彩色，尺寸为A4纸大小。作为中标后施工效果依据之一）进行评价，最高得4分。（未提供照片的不得分）</w:t>
            </w:r>
          </w:p>
        </w:tc>
        <w:tc>
          <w:tcPr>
            <w:tcW w:w="550" w:type="dxa"/>
            <w:vAlign w:val="center"/>
          </w:tcPr>
          <w:p>
            <w:pPr>
              <w:rPr>
                <w:rFonts w:ascii="宋体" w:hAnsi="宋体" w:cs="宋体"/>
                <w:color w:val="auto"/>
                <w:szCs w:val="21"/>
              </w:rPr>
            </w:pPr>
            <w:r>
              <w:rPr>
                <w:rFonts w:hint="eastAsia" w:ascii="宋体" w:hAnsi="宋体" w:cs="宋体"/>
                <w:color w:val="auto"/>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exact"/>
        </w:trPr>
        <w:tc>
          <w:tcPr>
            <w:tcW w:w="746" w:type="dxa"/>
            <w:vMerge w:val="restart"/>
            <w:vAlign w:val="center"/>
          </w:tcPr>
          <w:p>
            <w:pPr>
              <w:rPr>
                <w:rFonts w:ascii="宋体" w:hAnsi="宋体" w:cs="宋体"/>
                <w:color w:val="auto"/>
                <w:szCs w:val="21"/>
              </w:rPr>
            </w:pPr>
            <w:r>
              <w:rPr>
                <w:rFonts w:hint="eastAsia" w:ascii="宋体" w:hAnsi="宋体" w:cs="宋体"/>
                <w:color w:val="auto"/>
                <w:szCs w:val="21"/>
              </w:rPr>
              <w:t>实力信誉及业绩</w:t>
            </w:r>
          </w:p>
          <w:p>
            <w:pPr>
              <w:rPr>
                <w:rFonts w:ascii="宋体" w:hAnsi="宋体" w:cs="宋体"/>
                <w:color w:val="auto"/>
                <w:szCs w:val="21"/>
              </w:rPr>
            </w:pPr>
            <w:r>
              <w:rPr>
                <w:rFonts w:hint="eastAsia" w:ascii="宋体" w:hAnsi="宋体" w:cs="宋体"/>
                <w:color w:val="auto"/>
                <w:szCs w:val="21"/>
              </w:rPr>
              <w:t>9分</w:t>
            </w:r>
          </w:p>
        </w:tc>
        <w:tc>
          <w:tcPr>
            <w:tcW w:w="883" w:type="dxa"/>
            <w:vMerge w:val="restart"/>
            <w:vAlign w:val="center"/>
          </w:tcPr>
          <w:p>
            <w:pPr>
              <w:rPr>
                <w:rFonts w:ascii="宋体" w:hAnsi="宋体" w:cs="宋体"/>
                <w:color w:val="auto"/>
                <w:szCs w:val="21"/>
              </w:rPr>
            </w:pPr>
            <w:r>
              <w:rPr>
                <w:rFonts w:hint="eastAsia" w:ascii="宋体" w:hAnsi="宋体" w:cs="宋体"/>
                <w:color w:val="auto"/>
                <w:szCs w:val="21"/>
              </w:rPr>
              <w:t>投标人实力</w:t>
            </w:r>
          </w:p>
        </w:tc>
        <w:tc>
          <w:tcPr>
            <w:tcW w:w="7300" w:type="dxa"/>
            <w:vAlign w:val="center"/>
          </w:tcPr>
          <w:p>
            <w:pPr>
              <w:rPr>
                <w:rFonts w:ascii="宋体" w:hAnsi="宋体"/>
                <w:color w:val="auto"/>
                <w:szCs w:val="21"/>
              </w:rPr>
            </w:pPr>
            <w:r>
              <w:rPr>
                <w:rFonts w:ascii="宋体" w:hAnsi="宋体"/>
                <w:color w:val="auto"/>
                <w:szCs w:val="21"/>
              </w:rPr>
              <w:t>投标供应商或产品制造商</w:t>
            </w:r>
            <w:r>
              <w:rPr>
                <w:rFonts w:hint="eastAsia" w:ascii="宋体" w:hAnsi="宋体"/>
                <w:color w:val="auto"/>
                <w:szCs w:val="21"/>
              </w:rPr>
              <w:t>具备</w:t>
            </w:r>
            <w:r>
              <w:rPr>
                <w:rFonts w:ascii="宋体" w:hAnsi="宋体"/>
                <w:color w:val="auto"/>
                <w:szCs w:val="21"/>
              </w:rPr>
              <w:t>ISO9001体系</w:t>
            </w:r>
            <w:r>
              <w:rPr>
                <w:rFonts w:hint="eastAsia" w:ascii="宋体" w:hAnsi="宋体"/>
                <w:color w:val="auto"/>
                <w:szCs w:val="21"/>
              </w:rPr>
              <w:t>认证证书、</w:t>
            </w:r>
            <w:r>
              <w:rPr>
                <w:rFonts w:ascii="宋体" w:hAnsi="宋体"/>
                <w:color w:val="auto"/>
                <w:szCs w:val="21"/>
              </w:rPr>
              <w:t>ISO14001体系</w:t>
            </w:r>
            <w:r>
              <w:rPr>
                <w:rFonts w:hint="eastAsia" w:ascii="宋体" w:hAnsi="宋体"/>
                <w:color w:val="auto"/>
                <w:szCs w:val="21"/>
              </w:rPr>
              <w:t>认证证书</w:t>
            </w:r>
            <w:r>
              <w:rPr>
                <w:rFonts w:ascii="宋体" w:hAnsi="宋体"/>
                <w:color w:val="auto"/>
                <w:szCs w:val="21"/>
              </w:rPr>
              <w:t>，</w:t>
            </w:r>
            <w:r>
              <w:rPr>
                <w:rFonts w:hint="eastAsia" w:ascii="宋体" w:hAnsi="宋体"/>
                <w:color w:val="auto"/>
                <w:szCs w:val="21"/>
              </w:rPr>
              <w:t>ISO</w:t>
            </w:r>
            <w:r>
              <w:rPr>
                <w:rFonts w:ascii="宋体" w:hAnsi="宋体"/>
                <w:color w:val="auto"/>
                <w:szCs w:val="21"/>
              </w:rPr>
              <w:t>450</w:t>
            </w:r>
            <w:r>
              <w:rPr>
                <w:rFonts w:hint="eastAsia" w:ascii="宋体" w:hAnsi="宋体"/>
                <w:color w:val="auto"/>
                <w:szCs w:val="21"/>
              </w:rPr>
              <w:t>01职业健康管理体系认证证书，每项得</w:t>
            </w:r>
            <w:r>
              <w:rPr>
                <w:rFonts w:ascii="宋体" w:hAnsi="宋体"/>
                <w:color w:val="auto"/>
                <w:szCs w:val="21"/>
              </w:rPr>
              <w:t>1分</w:t>
            </w:r>
            <w:r>
              <w:rPr>
                <w:rFonts w:hint="eastAsia" w:ascii="宋体" w:hAnsi="宋体"/>
                <w:color w:val="auto"/>
                <w:szCs w:val="21"/>
              </w:rPr>
              <w:t>。</w:t>
            </w:r>
          </w:p>
          <w:p>
            <w:pPr>
              <w:rPr>
                <w:rFonts w:ascii="宋体" w:hAnsi="宋体" w:cs="宋体"/>
                <w:color w:val="auto"/>
                <w:szCs w:val="21"/>
              </w:rPr>
            </w:pPr>
            <w:r>
              <w:rPr>
                <w:rFonts w:asciiTheme="minorEastAsia" w:hAnsiTheme="minorEastAsia"/>
                <w:color w:val="auto"/>
              </w:rPr>
              <w:t>(</w:t>
            </w:r>
            <w:r>
              <w:rPr>
                <w:rFonts w:hint="eastAsia" w:asciiTheme="minorEastAsia" w:hAnsiTheme="minorEastAsia"/>
                <w:color w:val="auto"/>
              </w:rPr>
              <w:t>需</w:t>
            </w:r>
            <w:r>
              <w:rPr>
                <w:rFonts w:asciiTheme="minorEastAsia" w:hAnsiTheme="minorEastAsia"/>
                <w:color w:val="auto"/>
              </w:rPr>
              <w:t>提供</w:t>
            </w:r>
            <w:r>
              <w:rPr>
                <w:rFonts w:hint="eastAsia" w:asciiTheme="minorEastAsia" w:hAnsiTheme="minorEastAsia"/>
                <w:color w:val="auto"/>
              </w:rPr>
              <w:t>证书扫描件，不提供不得分</w:t>
            </w:r>
            <w:r>
              <w:rPr>
                <w:rFonts w:asciiTheme="minorEastAsia" w:hAnsiTheme="minorEastAsia"/>
                <w:color w:val="auto"/>
              </w:rPr>
              <w:t>)</w:t>
            </w:r>
          </w:p>
        </w:tc>
        <w:tc>
          <w:tcPr>
            <w:tcW w:w="550" w:type="dxa"/>
            <w:vAlign w:val="center"/>
          </w:tcPr>
          <w:p>
            <w:pPr>
              <w:rPr>
                <w:rFonts w:ascii="宋体" w:hAnsi="宋体" w:cs="宋体"/>
                <w:color w:val="auto"/>
                <w:szCs w:val="21"/>
              </w:rPr>
            </w:pPr>
            <w:r>
              <w:rPr>
                <w:rFonts w:hint="eastAsia" w:ascii="宋体" w:hAnsi="宋体" w:cs="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746" w:type="dxa"/>
            <w:vMerge w:val="continue"/>
            <w:vAlign w:val="center"/>
          </w:tcPr>
          <w:p>
            <w:pPr>
              <w:rPr>
                <w:rFonts w:ascii="宋体" w:hAnsi="宋体" w:cs="宋体"/>
                <w:color w:val="auto"/>
                <w:szCs w:val="21"/>
              </w:rPr>
            </w:pPr>
          </w:p>
        </w:tc>
        <w:tc>
          <w:tcPr>
            <w:tcW w:w="883" w:type="dxa"/>
            <w:vMerge w:val="continue"/>
            <w:vAlign w:val="center"/>
          </w:tcPr>
          <w:p>
            <w:pPr>
              <w:rPr>
                <w:rFonts w:ascii="宋体" w:hAnsi="宋体" w:cs="宋体"/>
                <w:color w:val="auto"/>
                <w:szCs w:val="21"/>
              </w:rPr>
            </w:pPr>
          </w:p>
        </w:tc>
        <w:tc>
          <w:tcPr>
            <w:tcW w:w="7300" w:type="dxa"/>
            <w:vAlign w:val="center"/>
          </w:tcPr>
          <w:p>
            <w:pPr>
              <w:rPr>
                <w:rFonts w:ascii="宋体" w:hAnsi="宋体" w:cs="宋体"/>
                <w:color w:val="auto"/>
                <w:szCs w:val="21"/>
              </w:rPr>
            </w:pPr>
            <w:r>
              <w:rPr>
                <w:rFonts w:ascii="宋体" w:hAnsi="宋体"/>
                <w:color w:val="auto"/>
                <w:szCs w:val="21"/>
              </w:rPr>
              <w:t>投标供应商</w:t>
            </w:r>
            <w:r>
              <w:rPr>
                <w:rFonts w:hint="eastAsia" w:asciiTheme="minorEastAsia" w:hAnsiTheme="minorEastAsia"/>
                <w:color w:val="auto"/>
                <w:szCs w:val="21"/>
                <w:lang w:eastAsia="zh-CN"/>
              </w:rPr>
              <w:t>具有</w:t>
            </w:r>
            <w:r>
              <w:rPr>
                <w:rFonts w:hint="eastAsia" w:asciiTheme="minorEastAsia" w:hAnsiTheme="minorEastAsia"/>
                <w:color w:val="auto"/>
                <w:szCs w:val="21"/>
              </w:rPr>
              <w:t>公路交通工程专业承包资质（公路安全设施分项）二级及以上资质的</w:t>
            </w:r>
            <w:r>
              <w:rPr>
                <w:rFonts w:hint="eastAsia" w:ascii="宋体" w:hAnsi="宋体" w:cs="宋体"/>
                <w:color w:val="auto"/>
                <w:szCs w:val="21"/>
              </w:rPr>
              <w:t>得3分。</w:t>
            </w:r>
          </w:p>
          <w:p>
            <w:pPr>
              <w:rPr>
                <w:rFonts w:ascii="宋体" w:hAnsi="宋体" w:cs="宋体"/>
                <w:color w:val="auto"/>
                <w:spacing w:val="-2"/>
                <w:szCs w:val="21"/>
              </w:rPr>
            </w:pPr>
            <w:r>
              <w:rPr>
                <w:rFonts w:asciiTheme="minorEastAsia" w:hAnsiTheme="minorEastAsia"/>
                <w:color w:val="auto"/>
                <w:szCs w:val="21"/>
              </w:rPr>
              <w:t>(</w:t>
            </w:r>
            <w:r>
              <w:rPr>
                <w:rFonts w:hint="eastAsia" w:asciiTheme="minorEastAsia" w:hAnsiTheme="minorEastAsia"/>
                <w:color w:val="auto"/>
                <w:szCs w:val="21"/>
              </w:rPr>
              <w:t>需</w:t>
            </w:r>
            <w:r>
              <w:rPr>
                <w:rFonts w:asciiTheme="minorEastAsia" w:hAnsiTheme="minorEastAsia"/>
                <w:color w:val="auto"/>
                <w:szCs w:val="21"/>
              </w:rPr>
              <w:t>提供</w:t>
            </w:r>
            <w:r>
              <w:rPr>
                <w:rFonts w:hint="eastAsia" w:asciiTheme="minorEastAsia" w:hAnsiTheme="minorEastAsia"/>
                <w:color w:val="auto"/>
                <w:szCs w:val="21"/>
              </w:rPr>
              <w:t>证书扫描件，不提供不</w:t>
            </w:r>
            <w:r>
              <w:rPr>
                <w:rFonts w:hint="eastAsia" w:asciiTheme="minorEastAsia" w:hAnsiTheme="minorEastAsia"/>
                <w:color w:val="auto"/>
              </w:rPr>
              <w:t>得分</w:t>
            </w:r>
            <w:r>
              <w:rPr>
                <w:rFonts w:asciiTheme="minorEastAsia" w:hAnsiTheme="minorEastAsia"/>
                <w:color w:val="auto"/>
              </w:rPr>
              <w:t>)</w:t>
            </w:r>
          </w:p>
        </w:tc>
        <w:tc>
          <w:tcPr>
            <w:tcW w:w="550" w:type="dxa"/>
            <w:vAlign w:val="center"/>
          </w:tcPr>
          <w:p>
            <w:pPr>
              <w:rPr>
                <w:rFonts w:ascii="宋体" w:hAnsi="宋体" w:cs="宋体"/>
                <w:color w:val="auto"/>
                <w:szCs w:val="21"/>
              </w:rPr>
            </w:pPr>
            <w:r>
              <w:rPr>
                <w:rFonts w:hint="eastAsia" w:ascii="宋体" w:hAnsi="宋体" w:cs="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746" w:type="dxa"/>
            <w:vMerge w:val="continue"/>
            <w:vAlign w:val="center"/>
          </w:tcPr>
          <w:p>
            <w:pPr>
              <w:rPr>
                <w:rFonts w:ascii="宋体" w:hAnsi="宋体" w:cs="宋体"/>
                <w:color w:val="auto"/>
                <w:szCs w:val="21"/>
              </w:rPr>
            </w:pPr>
          </w:p>
        </w:tc>
        <w:tc>
          <w:tcPr>
            <w:tcW w:w="883" w:type="dxa"/>
            <w:vAlign w:val="center"/>
          </w:tcPr>
          <w:p>
            <w:pPr>
              <w:rPr>
                <w:rFonts w:ascii="宋体" w:hAnsi="宋体" w:cs="宋体"/>
                <w:color w:val="auto"/>
                <w:szCs w:val="21"/>
              </w:rPr>
            </w:pPr>
            <w:r>
              <w:rPr>
                <w:rFonts w:hint="eastAsia" w:ascii="宋体" w:hAnsi="宋体" w:cs="宋体"/>
                <w:color w:val="auto"/>
                <w:szCs w:val="21"/>
              </w:rPr>
              <w:t>项目经验</w:t>
            </w:r>
          </w:p>
        </w:tc>
        <w:tc>
          <w:tcPr>
            <w:tcW w:w="7300" w:type="dxa"/>
            <w:vAlign w:val="center"/>
          </w:tcPr>
          <w:p>
            <w:pPr>
              <w:rPr>
                <w:color w:val="auto"/>
              </w:rPr>
            </w:pPr>
            <w:r>
              <w:rPr>
                <w:rFonts w:hint="eastAsia"/>
                <w:color w:val="auto"/>
              </w:rPr>
              <w:t>投标人提供2019年6月1日至今（以合同签订时间或中标通知书时间为准）实施过的公路或城市道路上的类似项目业绩，每提供1个有效业绩得1分，最高3分。(需提供合同扫描件或中标通知书扫描件，不提供不得分)</w:t>
            </w:r>
          </w:p>
          <w:p>
            <w:pPr>
              <w:pStyle w:val="16"/>
              <w:ind w:firstLine="0"/>
              <w:rPr>
                <w:color w:val="auto"/>
              </w:rPr>
            </w:pPr>
            <w:r>
              <w:rPr>
                <w:rFonts w:hint="eastAsia" w:ascii="宋体" w:hAnsi="宋体" w:cs="宋体"/>
                <w:b/>
                <w:bCs/>
                <w:color w:val="auto"/>
                <w:szCs w:val="21"/>
              </w:rPr>
              <w:t>合</w:t>
            </w:r>
            <w:r>
              <w:rPr>
                <w:rFonts w:hint="eastAsia" w:asciiTheme="minorHAnsi" w:hAnsiTheme="minorHAnsi" w:eastAsiaTheme="minorEastAsia" w:cstheme="minorBidi"/>
                <w:b/>
                <w:bCs/>
                <w:color w:val="auto"/>
                <w:szCs w:val="22"/>
              </w:rPr>
              <w:t>同</w:t>
            </w:r>
            <w:r>
              <w:rPr>
                <w:rFonts w:hint="eastAsia"/>
                <w:color w:val="auto"/>
              </w:rPr>
              <w:t>扫描件</w:t>
            </w:r>
            <w:r>
              <w:rPr>
                <w:rFonts w:hint="eastAsia" w:asciiTheme="minorHAnsi" w:hAnsiTheme="minorHAnsi" w:eastAsiaTheme="minorEastAsia" w:cstheme="minorBidi"/>
                <w:b/>
                <w:bCs/>
                <w:color w:val="auto"/>
                <w:szCs w:val="22"/>
              </w:rPr>
              <w:t>只需提供（含合同首页、标的清单页、盖章页）</w:t>
            </w:r>
          </w:p>
        </w:tc>
        <w:tc>
          <w:tcPr>
            <w:tcW w:w="550" w:type="dxa"/>
            <w:vAlign w:val="center"/>
          </w:tcPr>
          <w:p>
            <w:pPr>
              <w:rPr>
                <w:rFonts w:ascii="宋体" w:hAnsi="宋体" w:cs="宋体"/>
                <w:color w:val="auto"/>
                <w:szCs w:val="21"/>
              </w:rPr>
            </w:pPr>
            <w:r>
              <w:rPr>
                <w:rFonts w:hint="eastAsia" w:ascii="宋体" w:hAnsi="宋体" w:cs="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46" w:type="dxa"/>
            <w:vMerge w:val="restart"/>
            <w:vAlign w:val="center"/>
          </w:tcPr>
          <w:p>
            <w:pPr>
              <w:rPr>
                <w:rFonts w:ascii="宋体" w:hAnsi="宋体" w:cs="宋体"/>
                <w:color w:val="auto"/>
                <w:szCs w:val="21"/>
              </w:rPr>
            </w:pPr>
            <w:r>
              <w:rPr>
                <w:rFonts w:hint="eastAsia" w:ascii="宋体" w:hAnsi="宋体" w:cs="宋体"/>
                <w:color w:val="auto"/>
                <w:szCs w:val="21"/>
              </w:rPr>
              <w:t>售后服务9分</w:t>
            </w:r>
          </w:p>
        </w:tc>
        <w:tc>
          <w:tcPr>
            <w:tcW w:w="8183" w:type="dxa"/>
            <w:gridSpan w:val="2"/>
            <w:vAlign w:val="center"/>
          </w:tcPr>
          <w:p>
            <w:pPr>
              <w:widowControl/>
              <w:jc w:val="left"/>
              <w:rPr>
                <w:rFonts w:ascii="宋体" w:hAnsi="宋体" w:cs="宋体"/>
                <w:color w:val="auto"/>
                <w:szCs w:val="21"/>
              </w:rPr>
            </w:pPr>
            <w:r>
              <w:rPr>
                <w:rFonts w:hint="eastAsia" w:ascii="宋体" w:hAnsi="宋体" w:cs="宋体"/>
                <w:color w:val="auto"/>
                <w:szCs w:val="21"/>
              </w:rPr>
              <w:t>综合质保期、响应速度、服务内容、技术培训计划、供货时间等方面进行打分：</w:t>
            </w:r>
          </w:p>
          <w:p>
            <w:pPr>
              <w:widowControl/>
              <w:jc w:val="left"/>
              <w:rPr>
                <w:rFonts w:ascii="宋体" w:hAnsi="宋体" w:cs="宋体"/>
                <w:color w:val="auto"/>
                <w:szCs w:val="21"/>
              </w:rPr>
            </w:pPr>
            <w:r>
              <w:rPr>
                <w:rFonts w:hint="eastAsia" w:ascii="新宋体" w:hAnsi="新宋体" w:eastAsia="新宋体" w:cs="新宋体"/>
                <w:color w:val="auto"/>
                <w:sz w:val="18"/>
                <w:szCs w:val="18"/>
              </w:rPr>
              <w:t>（</w:t>
            </w:r>
            <w:r>
              <w:rPr>
                <w:rFonts w:hint="eastAsia" w:ascii="宋体" w:hAnsi="宋体" w:cs="宋体"/>
                <w:color w:val="auto"/>
                <w:szCs w:val="21"/>
              </w:rPr>
              <w:t>1）项目售后措施明确、实施切合本项目实际，</w:t>
            </w:r>
            <w:r>
              <w:rPr>
                <w:rFonts w:hint="eastAsia" w:asciiTheme="minorHAnsi" w:hAnsiTheme="minorHAnsi" w:eastAsiaTheme="minorEastAsia" w:cstheme="minorBidi"/>
                <w:color w:val="auto"/>
                <w:szCs w:val="21"/>
              </w:rPr>
              <w:t>保障得力，人力充分，响应高效，预案合理</w:t>
            </w:r>
            <w:r>
              <w:rPr>
                <w:rFonts w:hint="eastAsia" w:ascii="宋体" w:hAnsi="宋体" w:cs="宋体"/>
                <w:color w:val="auto"/>
                <w:szCs w:val="21"/>
              </w:rPr>
              <w:t>、明确，及时及可行并优于项目要求的得6-4.1分；</w:t>
            </w:r>
          </w:p>
          <w:p>
            <w:pPr>
              <w:widowControl/>
              <w:jc w:val="left"/>
              <w:rPr>
                <w:rFonts w:ascii="宋体" w:hAnsi="宋体" w:cs="宋体"/>
                <w:color w:val="auto"/>
                <w:szCs w:val="21"/>
              </w:rPr>
            </w:pPr>
            <w:r>
              <w:rPr>
                <w:rFonts w:hint="eastAsia" w:ascii="宋体" w:hAnsi="宋体" w:cs="宋体"/>
                <w:color w:val="auto"/>
                <w:szCs w:val="21"/>
              </w:rPr>
              <w:t>（2）项目售后措施比较明确、实施基本符合本项目实际，售后过程中各个节点安排基本详细、明确，可行满足要求的得4-3.1分；</w:t>
            </w:r>
          </w:p>
          <w:p>
            <w:pPr>
              <w:widowControl/>
              <w:jc w:val="left"/>
              <w:rPr>
                <w:rFonts w:ascii="宋体" w:hAnsi="宋体" w:cs="宋体"/>
                <w:color w:val="auto"/>
                <w:szCs w:val="21"/>
              </w:rPr>
            </w:pPr>
            <w:r>
              <w:rPr>
                <w:rFonts w:hint="eastAsia" w:ascii="宋体" w:hAnsi="宋体" w:cs="宋体"/>
                <w:color w:val="auto"/>
                <w:szCs w:val="21"/>
              </w:rPr>
              <w:t>（3）项目售后措施比较简单、实施符合本项目实际、售后</w:t>
            </w:r>
            <w:r>
              <w:rPr>
                <w:rFonts w:hint="eastAsia" w:asciiTheme="minorHAnsi" w:hAnsiTheme="minorHAnsi" w:eastAsiaTheme="minorEastAsia" w:cstheme="minorBidi"/>
                <w:color w:val="auto"/>
                <w:szCs w:val="21"/>
              </w:rPr>
              <w:t>保障比较得力，人力比</w:t>
            </w:r>
            <w:r>
              <w:rPr>
                <w:rFonts w:hint="eastAsia" w:cstheme="minorBidi"/>
                <w:color w:val="auto"/>
                <w:szCs w:val="21"/>
              </w:rPr>
              <w:t>较</w:t>
            </w:r>
            <w:r>
              <w:rPr>
                <w:rFonts w:hint="eastAsia" w:asciiTheme="minorHAnsi" w:hAnsiTheme="minorHAnsi" w:eastAsiaTheme="minorEastAsia" w:cstheme="minorBidi"/>
                <w:color w:val="auto"/>
                <w:szCs w:val="21"/>
              </w:rPr>
              <w:t>充分，响应比</w:t>
            </w:r>
            <w:r>
              <w:rPr>
                <w:rFonts w:hint="eastAsia" w:cstheme="minorBidi"/>
                <w:color w:val="auto"/>
                <w:szCs w:val="21"/>
              </w:rPr>
              <w:t>较</w:t>
            </w:r>
            <w:r>
              <w:rPr>
                <w:rFonts w:hint="eastAsia" w:asciiTheme="minorHAnsi" w:hAnsiTheme="minorHAnsi" w:eastAsiaTheme="minorEastAsia" w:cstheme="minorBidi"/>
                <w:color w:val="auto"/>
                <w:szCs w:val="21"/>
              </w:rPr>
              <w:t>高效，预案比</w:t>
            </w:r>
            <w:r>
              <w:rPr>
                <w:rFonts w:hint="eastAsia" w:cstheme="minorBidi"/>
                <w:color w:val="auto"/>
                <w:szCs w:val="21"/>
              </w:rPr>
              <w:t>较</w:t>
            </w:r>
            <w:r>
              <w:rPr>
                <w:rFonts w:hint="eastAsia" w:asciiTheme="minorHAnsi" w:hAnsiTheme="minorHAnsi" w:eastAsiaTheme="minorEastAsia" w:cstheme="minorBidi"/>
                <w:color w:val="auto"/>
                <w:szCs w:val="21"/>
              </w:rPr>
              <w:t>合理</w:t>
            </w:r>
            <w:r>
              <w:rPr>
                <w:rFonts w:hint="eastAsia" w:ascii="宋体" w:hAnsi="宋体" w:cs="宋体"/>
                <w:color w:val="auto"/>
                <w:szCs w:val="21"/>
              </w:rPr>
              <w:t>的得3-2.1分；</w:t>
            </w:r>
          </w:p>
          <w:p>
            <w:pPr>
              <w:widowControl/>
              <w:jc w:val="left"/>
              <w:rPr>
                <w:rFonts w:ascii="宋体" w:hAnsi="宋体" w:cs="宋体"/>
                <w:color w:val="auto"/>
                <w:szCs w:val="21"/>
              </w:rPr>
            </w:pPr>
            <w:r>
              <w:rPr>
                <w:rFonts w:hint="eastAsia" w:ascii="宋体" w:hAnsi="宋体" w:cs="宋体"/>
                <w:color w:val="auto"/>
                <w:szCs w:val="21"/>
              </w:rPr>
              <w:t>（4）项目售后措施不够明确、售后</w:t>
            </w:r>
            <w:r>
              <w:rPr>
                <w:rFonts w:hint="eastAsia" w:asciiTheme="minorHAnsi" w:hAnsiTheme="minorHAnsi" w:eastAsiaTheme="minorEastAsia" w:cstheme="minorBidi"/>
                <w:color w:val="auto"/>
                <w:szCs w:val="21"/>
              </w:rPr>
              <w:t>保障一般，人力一般，响应一般，预案一般得</w:t>
            </w:r>
            <w:r>
              <w:rPr>
                <w:rFonts w:hint="eastAsia" w:ascii="宋体" w:hAnsi="宋体" w:cs="宋体"/>
                <w:color w:val="auto"/>
                <w:szCs w:val="21"/>
              </w:rPr>
              <w:t>2-1.1分。</w:t>
            </w:r>
          </w:p>
          <w:p>
            <w:pPr>
              <w:rPr>
                <w:rFonts w:ascii="宋体" w:hAnsi="宋体" w:cs="宋体"/>
                <w:color w:val="auto"/>
                <w:szCs w:val="21"/>
              </w:rPr>
            </w:pPr>
            <w:r>
              <w:rPr>
                <w:rFonts w:hint="eastAsia" w:ascii="宋体" w:hAnsi="宋体" w:cs="宋体"/>
                <w:color w:val="auto"/>
                <w:szCs w:val="21"/>
              </w:rPr>
              <w:t>（5）</w:t>
            </w:r>
            <w:r>
              <w:rPr>
                <w:rFonts w:hint="eastAsia" w:asciiTheme="minorHAnsi" w:hAnsiTheme="minorHAnsi" w:eastAsiaTheme="minorEastAsia" w:cstheme="minorBidi"/>
                <w:color w:val="auto"/>
                <w:szCs w:val="21"/>
              </w:rPr>
              <w:t>内容不全，措施欠缺，保障低下</w:t>
            </w:r>
            <w:r>
              <w:rPr>
                <w:rFonts w:hint="eastAsia" w:ascii="宋体" w:hAnsi="宋体" w:cs="宋体"/>
                <w:color w:val="auto"/>
                <w:szCs w:val="21"/>
              </w:rPr>
              <w:t>的，得1.0-0分。</w:t>
            </w:r>
          </w:p>
        </w:tc>
        <w:tc>
          <w:tcPr>
            <w:tcW w:w="550" w:type="dxa"/>
            <w:vAlign w:val="center"/>
          </w:tcPr>
          <w:p>
            <w:pPr>
              <w:rPr>
                <w:rFonts w:ascii="宋体" w:hAnsi="宋体" w:cs="宋体"/>
                <w:color w:val="auto"/>
                <w:szCs w:val="21"/>
              </w:rPr>
            </w:pPr>
            <w:r>
              <w:rPr>
                <w:rFonts w:hint="eastAsia" w:ascii="宋体" w:hAnsi="宋体" w:cs="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6" w:type="dxa"/>
            <w:vMerge w:val="continue"/>
            <w:vAlign w:val="center"/>
          </w:tcPr>
          <w:p>
            <w:pPr>
              <w:rPr>
                <w:rFonts w:ascii="宋体" w:hAnsi="宋体" w:cs="宋体"/>
                <w:color w:val="auto"/>
                <w:szCs w:val="21"/>
              </w:rPr>
            </w:pPr>
          </w:p>
        </w:tc>
        <w:tc>
          <w:tcPr>
            <w:tcW w:w="8183" w:type="dxa"/>
            <w:gridSpan w:val="2"/>
            <w:vAlign w:val="center"/>
          </w:tcPr>
          <w:p>
            <w:pPr>
              <w:rPr>
                <w:rFonts w:ascii="宋体" w:hAnsi="宋体" w:cs="宋体"/>
                <w:color w:val="auto"/>
                <w:szCs w:val="21"/>
              </w:rPr>
            </w:pPr>
            <w:r>
              <w:rPr>
                <w:rFonts w:hint="eastAsia" w:ascii="宋体" w:hAnsi="宋体" w:cs="宋体"/>
                <w:color w:val="auto"/>
                <w:kern w:val="0"/>
                <w:szCs w:val="21"/>
              </w:rPr>
              <w:t>评委根据</w:t>
            </w:r>
            <w:r>
              <w:rPr>
                <w:rFonts w:hint="eastAsia" w:ascii="宋体" w:hAnsi="宋体" w:cs="宋体"/>
                <w:color w:val="auto"/>
                <w:szCs w:val="21"/>
              </w:rPr>
              <w:t>本地化服务能力</w:t>
            </w:r>
            <w:r>
              <w:rPr>
                <w:rFonts w:hint="eastAsia" w:ascii="宋体" w:hAnsi="宋体" w:cs="宋体"/>
                <w:color w:val="auto"/>
                <w:kern w:val="0"/>
                <w:szCs w:val="21"/>
              </w:rPr>
              <w:t>进行打分。</w:t>
            </w:r>
            <w:r>
              <w:rPr>
                <w:rFonts w:hint="eastAsia" w:ascii="宋体" w:hAnsi="宋体" w:cs="宋体"/>
                <w:color w:val="auto"/>
              </w:rPr>
              <w:t>评标委员会根据投标人提供的有效服务保证措施进行打分，每提供一条有效措施的得1分，最高得3分。</w:t>
            </w:r>
          </w:p>
        </w:tc>
        <w:tc>
          <w:tcPr>
            <w:tcW w:w="550" w:type="dxa"/>
            <w:vAlign w:val="center"/>
          </w:tcPr>
          <w:p>
            <w:pPr>
              <w:rPr>
                <w:rFonts w:ascii="宋体" w:hAnsi="宋体" w:cs="宋体"/>
                <w:color w:val="auto"/>
                <w:szCs w:val="21"/>
              </w:rPr>
            </w:pPr>
            <w:r>
              <w:rPr>
                <w:rFonts w:hint="eastAsia" w:ascii="宋体" w:hAnsi="宋体" w:cs="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vAlign w:val="center"/>
          </w:tcPr>
          <w:p>
            <w:pPr>
              <w:rPr>
                <w:rFonts w:ascii="宋体" w:hAnsi="宋体" w:cs="宋体"/>
                <w:color w:val="auto"/>
                <w:szCs w:val="21"/>
              </w:rPr>
            </w:pPr>
            <w:r>
              <w:rPr>
                <w:rFonts w:hint="eastAsia" w:ascii="宋体" w:hAnsi="宋体" w:cs="宋体"/>
                <w:color w:val="auto"/>
                <w:szCs w:val="21"/>
              </w:rPr>
              <w:t>政策分</w:t>
            </w:r>
          </w:p>
          <w:p>
            <w:pPr>
              <w:rPr>
                <w:rFonts w:ascii="宋体" w:hAnsi="宋体" w:cs="宋体"/>
                <w:color w:val="auto"/>
                <w:szCs w:val="21"/>
              </w:rPr>
            </w:pPr>
            <w:r>
              <w:rPr>
                <w:rFonts w:hint="eastAsia" w:ascii="宋体" w:hAnsi="宋体" w:cs="宋体"/>
                <w:color w:val="auto"/>
                <w:szCs w:val="21"/>
              </w:rPr>
              <w:t>2分</w:t>
            </w:r>
          </w:p>
        </w:tc>
        <w:tc>
          <w:tcPr>
            <w:tcW w:w="8183" w:type="dxa"/>
            <w:gridSpan w:val="2"/>
            <w:vAlign w:val="center"/>
          </w:tcPr>
          <w:p>
            <w:pPr>
              <w:adjustRightInd w:val="0"/>
              <w:snapToGrid w:val="0"/>
              <w:rPr>
                <w:rFonts w:ascii="仿宋" w:hAnsi="仿宋" w:eastAsia="仿宋" w:cs="仿宋"/>
                <w:color w:val="auto"/>
                <w:sz w:val="24"/>
              </w:rPr>
            </w:pPr>
            <w:r>
              <w:rPr>
                <w:rFonts w:hint="eastAsia" w:ascii="宋体" w:hAnsi="宋体" w:cs="宋体"/>
                <w:color w:val="auto"/>
                <w:kern w:val="0"/>
                <w:szCs w:val="21"/>
              </w:rPr>
              <w:t>投标人或投标产品（或核心产品或服务）符合《政府采购货物和服务招标投标管理办法》第五条规定，属于“节约能源、保护环境、扶持不发达地区和少数民族地区等”等政府采购政策落实对象的，提供相关证明材料和政策依据，每符合一项得1分，最高可得2分；未提供相关证明材料的不得分。（提供相关证明材料和政策依据）。</w:t>
            </w:r>
          </w:p>
        </w:tc>
        <w:tc>
          <w:tcPr>
            <w:tcW w:w="550" w:type="dxa"/>
            <w:vAlign w:val="center"/>
          </w:tcPr>
          <w:p>
            <w:pPr>
              <w:adjustRightInd w:val="0"/>
              <w:snapToGrid w:val="0"/>
              <w:jc w:val="left"/>
              <w:rPr>
                <w:rFonts w:ascii="仿宋" w:hAnsi="仿宋" w:eastAsia="仿宋" w:cs="仿宋"/>
                <w:color w:val="auto"/>
                <w:sz w:val="24"/>
              </w:rPr>
            </w:pPr>
            <w:r>
              <w:rPr>
                <w:rFonts w:hint="eastAsia" w:ascii="仿宋" w:hAnsi="仿宋" w:eastAsia="仿宋" w:cs="仿宋"/>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6" w:type="dxa"/>
            <w:vAlign w:val="center"/>
          </w:tcPr>
          <w:p>
            <w:pPr>
              <w:rPr>
                <w:rFonts w:ascii="宋体" w:hAnsi="宋体" w:cs="宋体"/>
                <w:color w:val="auto"/>
                <w:szCs w:val="21"/>
              </w:rPr>
            </w:pPr>
            <w:r>
              <w:rPr>
                <w:rFonts w:hint="eastAsia" w:ascii="宋体" w:hAnsi="宋体" w:cs="宋体"/>
                <w:color w:val="auto"/>
                <w:szCs w:val="21"/>
              </w:rPr>
              <w:t>价格30分</w:t>
            </w:r>
          </w:p>
        </w:tc>
        <w:tc>
          <w:tcPr>
            <w:tcW w:w="8183" w:type="dxa"/>
            <w:gridSpan w:val="2"/>
            <w:vAlign w:val="center"/>
          </w:tcPr>
          <w:p>
            <w:pPr>
              <w:rPr>
                <w:rFonts w:ascii="宋体" w:hAnsi="宋体" w:cs="宋体"/>
                <w:color w:val="auto"/>
                <w:szCs w:val="21"/>
              </w:rPr>
            </w:pPr>
            <w:r>
              <w:rPr>
                <w:rFonts w:hint="eastAsia" w:ascii="宋体" w:hAnsi="宋体" w:cs="宋体"/>
                <w:color w:val="auto"/>
                <w:szCs w:val="21"/>
              </w:rPr>
              <w:t>取投标合格供应商的投标最终报价最低价为基准价。基准价为30分。投标报价得分＝（评标基准价/最终投标报价）×30 %×100（小数点后保留2位小数）。</w:t>
            </w:r>
          </w:p>
        </w:tc>
        <w:tc>
          <w:tcPr>
            <w:tcW w:w="550" w:type="dxa"/>
            <w:vAlign w:val="center"/>
          </w:tcPr>
          <w:p>
            <w:pPr>
              <w:rPr>
                <w:rFonts w:ascii="宋体" w:hAnsi="宋体" w:cs="宋体"/>
                <w:color w:val="auto"/>
                <w:szCs w:val="21"/>
              </w:rPr>
            </w:pPr>
            <w:r>
              <w:rPr>
                <w:rFonts w:hint="eastAsia" w:ascii="宋体" w:hAnsi="宋体" w:cs="宋体"/>
                <w:color w:val="auto"/>
                <w:szCs w:val="21"/>
              </w:rPr>
              <w:t>30</w:t>
            </w:r>
          </w:p>
        </w:tc>
      </w:tr>
    </w:tbl>
    <w:p>
      <w:pPr>
        <w:pStyle w:val="18"/>
        <w:spacing w:line="360" w:lineRule="auto"/>
        <w:rPr>
          <w:rFonts w:ascii="宋体" w:hAnsi="宋体" w:cs="宋体"/>
          <w:b/>
          <w:bCs/>
          <w:color w:val="auto"/>
          <w:szCs w:val="21"/>
        </w:rPr>
      </w:pPr>
      <w:r>
        <w:rPr>
          <w:rFonts w:hint="eastAsia" w:ascii="宋体" w:hAnsi="宋体" w:cs="宋体"/>
          <w:b/>
          <w:bCs/>
          <w:color w:val="auto"/>
          <w:szCs w:val="21"/>
        </w:rPr>
        <w:t>注：</w:t>
      </w:r>
    </w:p>
    <w:p>
      <w:pPr>
        <w:pStyle w:val="18"/>
        <w:spacing w:line="360" w:lineRule="auto"/>
        <w:rPr>
          <w:rFonts w:ascii="宋体" w:hAnsi="宋体" w:cs="宋体"/>
          <w:b/>
          <w:bCs/>
          <w:color w:val="auto"/>
          <w:szCs w:val="21"/>
        </w:rPr>
      </w:pPr>
      <w:r>
        <w:rPr>
          <w:rFonts w:hint="eastAsia" w:ascii="宋体" w:hAnsi="宋体" w:cs="宋体"/>
          <w:b/>
          <w:bCs/>
          <w:color w:val="auto"/>
          <w:szCs w:val="21"/>
        </w:rPr>
        <w:t>1、样品需密封包装，外包装上需写明项目名称、采购编号、及投标公司全称。包装封口应由法定代表人或全权代表签字或盖章，评标时，对提交样品的供应商，由采购人随机编号，专家评审小组按编号评分。涉及检测报告、照片等佐证材料的样品，采用先打分后核实的方式；</w:t>
      </w:r>
    </w:p>
    <w:p>
      <w:pPr>
        <w:snapToGrid w:val="0"/>
        <w:spacing w:line="360" w:lineRule="auto"/>
        <w:rPr>
          <w:rFonts w:ascii="宋体" w:hAnsi="宋体" w:cs="宋体"/>
          <w:b/>
          <w:bCs/>
          <w:color w:val="auto"/>
          <w:szCs w:val="21"/>
        </w:rPr>
      </w:pPr>
      <w:r>
        <w:rPr>
          <w:rFonts w:hint="eastAsia" w:ascii="宋体" w:hAnsi="宋体" w:cs="宋体"/>
          <w:b/>
          <w:bCs/>
          <w:color w:val="auto"/>
          <w:szCs w:val="21"/>
          <w:lang w:val="zh-CN"/>
        </w:rPr>
        <w:t>▲</w:t>
      </w:r>
      <w:r>
        <w:rPr>
          <w:rFonts w:hint="eastAsia" w:ascii="宋体" w:hAnsi="宋体" w:cs="宋体"/>
          <w:b/>
          <w:bCs/>
          <w:color w:val="auto"/>
          <w:szCs w:val="21"/>
        </w:rPr>
        <w:t>2、样品的</w:t>
      </w:r>
      <w:r>
        <w:rPr>
          <w:rFonts w:hint="eastAsia" w:ascii="宋体" w:hAnsi="宋体" w:cs="宋体"/>
          <w:b/>
          <w:bCs/>
          <w:color w:val="auto"/>
          <w:szCs w:val="21"/>
          <w:lang w:val="zh-CN"/>
        </w:rPr>
        <w:t>技术规范要求同本项目供货要求，见招标文件第四章公开招标需求，随样品注明</w:t>
      </w:r>
      <w:r>
        <w:rPr>
          <w:rFonts w:hint="eastAsia" w:ascii="宋体" w:hAnsi="宋体" w:cs="宋体"/>
          <w:b/>
          <w:bCs/>
          <w:color w:val="auto"/>
          <w:szCs w:val="21"/>
        </w:rPr>
        <w:t>样品清单、材质、型号、品牌等信息。样品不得体现或影射投标人的信息，否则按无效标处理；</w:t>
      </w:r>
    </w:p>
    <w:p>
      <w:pPr>
        <w:spacing w:line="360" w:lineRule="auto"/>
        <w:textAlignment w:val="baseline"/>
        <w:rPr>
          <w:rFonts w:ascii="宋体" w:hAnsi="宋体" w:cs="宋体"/>
          <w:color w:val="auto"/>
          <w:sz w:val="24"/>
        </w:rPr>
      </w:pPr>
    </w:p>
    <w:p>
      <w:pPr>
        <w:autoSpaceDE w:val="0"/>
        <w:autoSpaceDN w:val="0"/>
        <w:adjustRightInd w:val="0"/>
        <w:snapToGrid w:val="0"/>
        <w:spacing w:line="360" w:lineRule="auto"/>
        <w:rPr>
          <w:rFonts w:asciiTheme="minorEastAsia" w:hAnsiTheme="minorEastAsia"/>
          <w:color w:val="auto"/>
          <w:sz w:val="24"/>
        </w:rPr>
      </w:pPr>
    </w:p>
    <w:p>
      <w:pPr>
        <w:autoSpaceDE w:val="0"/>
        <w:autoSpaceDN w:val="0"/>
        <w:adjustRightInd w:val="0"/>
        <w:spacing w:line="360" w:lineRule="auto"/>
        <w:ind w:firstLine="1308"/>
        <w:rPr>
          <w:rFonts w:asciiTheme="minorEastAsia" w:hAnsiTheme="minorEastAsia"/>
          <w:color w:val="auto"/>
          <w:sz w:val="24"/>
        </w:rPr>
      </w:pPr>
    </w:p>
    <w:p>
      <w:pPr>
        <w:spacing w:line="360" w:lineRule="auto"/>
        <w:jc w:val="center"/>
        <w:rPr>
          <w:rFonts w:asciiTheme="minorEastAsia" w:hAnsiTheme="minorEastAsia"/>
          <w:color w:val="auto"/>
          <w:sz w:val="24"/>
        </w:rPr>
      </w:pPr>
    </w:p>
    <w:p>
      <w:pPr>
        <w:spacing w:line="360" w:lineRule="auto"/>
        <w:rPr>
          <w:rFonts w:asciiTheme="minorEastAsia" w:hAnsiTheme="minorEastAsia" w:eastAsiaTheme="minorEastAsia"/>
          <w:b/>
          <w:color w:val="auto"/>
          <w:sz w:val="24"/>
        </w:rPr>
        <w:sectPr>
          <w:pgSz w:w="11906" w:h="16838"/>
          <w:pgMar w:top="1440" w:right="1800" w:bottom="1440" w:left="1800" w:header="851" w:footer="992" w:gutter="0"/>
          <w:pgNumType w:fmt="numberInDash"/>
          <w:cols w:space="425" w:num="1"/>
          <w:docGrid w:type="lines" w:linePitch="312" w:charSpace="0"/>
        </w:sectPr>
      </w:pPr>
    </w:p>
    <w:p>
      <w:pPr>
        <w:rPr>
          <w:color w:val="auto"/>
          <w:sz w:val="24"/>
        </w:rPr>
      </w:pPr>
    </w:p>
    <w:p>
      <w:pPr>
        <w:numPr>
          <w:ilvl w:val="0"/>
          <w:numId w:val="4"/>
        </w:numPr>
        <w:spacing w:line="360" w:lineRule="auto"/>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公开招标需求</w:t>
      </w:r>
    </w:p>
    <w:p>
      <w:pPr>
        <w:pStyle w:val="48"/>
        <w:numPr>
          <w:ilvl w:val="0"/>
          <w:numId w:val="7"/>
        </w:numPr>
        <w:spacing w:line="360" w:lineRule="auto"/>
        <w:ind w:firstLineChars="0"/>
        <w:rPr>
          <w:rFonts w:asciiTheme="majorEastAsia" w:hAnsiTheme="majorEastAsia" w:eastAsiaTheme="majorEastAsia" w:cstheme="minorBidi"/>
          <w:b/>
          <w:bCs/>
          <w:color w:val="auto"/>
          <w:kern w:val="0"/>
          <w:sz w:val="30"/>
          <w:szCs w:val="30"/>
        </w:rPr>
      </w:pPr>
      <w:r>
        <w:rPr>
          <w:rFonts w:hint="eastAsia" w:asciiTheme="majorEastAsia" w:hAnsiTheme="majorEastAsia" w:eastAsiaTheme="majorEastAsia" w:cstheme="minorBidi"/>
          <w:b/>
          <w:bCs/>
          <w:color w:val="auto"/>
          <w:kern w:val="0"/>
          <w:sz w:val="30"/>
          <w:szCs w:val="30"/>
        </w:rPr>
        <w:t>采购项目一览表</w:t>
      </w:r>
    </w:p>
    <w:p>
      <w:pPr>
        <w:tabs>
          <w:tab w:val="left" w:pos="8280"/>
        </w:tabs>
        <w:autoSpaceDE w:val="0"/>
        <w:autoSpaceDN w:val="0"/>
        <w:adjustRightInd w:val="0"/>
        <w:spacing w:line="360" w:lineRule="auto"/>
        <w:ind w:right="25" w:firstLine="280"/>
        <w:rPr>
          <w:rFonts w:asciiTheme="majorEastAsia" w:hAnsiTheme="majorEastAsia" w:eastAsiaTheme="majorEastAsia"/>
          <w:color w:val="auto"/>
          <w:sz w:val="24"/>
        </w:rPr>
      </w:pPr>
      <w:r>
        <w:rPr>
          <w:rFonts w:hint="eastAsia" w:asciiTheme="majorEastAsia" w:hAnsiTheme="majorEastAsia" w:eastAsiaTheme="majorEastAsia"/>
          <w:color w:val="auto"/>
          <w:sz w:val="24"/>
        </w:rPr>
        <w:t>本次招标共</w:t>
      </w:r>
      <w:r>
        <w:rPr>
          <w:rFonts w:asciiTheme="majorEastAsia" w:hAnsiTheme="majorEastAsia" w:eastAsiaTheme="majorEastAsia"/>
          <w:color w:val="auto"/>
          <w:sz w:val="24"/>
          <w:u w:val="single"/>
        </w:rPr>
        <w:t>1</w:t>
      </w:r>
      <w:r>
        <w:rPr>
          <w:rFonts w:hint="eastAsia" w:asciiTheme="majorEastAsia" w:hAnsiTheme="majorEastAsia" w:eastAsiaTheme="majorEastAsia"/>
          <w:color w:val="auto"/>
          <w:sz w:val="24"/>
        </w:rPr>
        <w:t>个标段，具体内容如下表：</w:t>
      </w:r>
    </w:p>
    <w:tbl>
      <w:tblPr>
        <w:tblStyle w:val="35"/>
        <w:tblW w:w="10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02"/>
        <w:gridCol w:w="1154"/>
        <w:gridCol w:w="845"/>
        <w:gridCol w:w="736"/>
        <w:gridCol w:w="1187"/>
        <w:gridCol w:w="150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20"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序号</w:t>
            </w:r>
          </w:p>
        </w:tc>
        <w:tc>
          <w:tcPr>
            <w:tcW w:w="1402" w:type="dxa"/>
            <w:vAlign w:val="center"/>
          </w:tcPr>
          <w:p>
            <w:pP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标项内容</w:t>
            </w:r>
          </w:p>
        </w:tc>
        <w:tc>
          <w:tcPr>
            <w:tcW w:w="1154"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宋体" w:hAnsi="宋体" w:cs="宋体"/>
                <w:b/>
                <w:color w:val="auto"/>
                <w:kern w:val="0"/>
                <w:sz w:val="24"/>
              </w:rPr>
              <w:t>简要技术要求</w:t>
            </w:r>
          </w:p>
        </w:tc>
        <w:tc>
          <w:tcPr>
            <w:tcW w:w="845"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数量</w:t>
            </w:r>
          </w:p>
        </w:tc>
        <w:tc>
          <w:tcPr>
            <w:tcW w:w="736"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单位</w:t>
            </w:r>
          </w:p>
        </w:tc>
        <w:tc>
          <w:tcPr>
            <w:tcW w:w="1187"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w:t>
            </w:r>
          </w:p>
          <w:p>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（万元）</w:t>
            </w:r>
          </w:p>
        </w:tc>
        <w:tc>
          <w:tcPr>
            <w:tcW w:w="1500" w:type="dxa"/>
            <w:vAlign w:val="center"/>
          </w:tcPr>
          <w:p>
            <w:pPr>
              <w:tabs>
                <w:tab w:val="left" w:pos="8280"/>
              </w:tabs>
              <w:autoSpaceDE w:val="0"/>
              <w:autoSpaceDN w:val="0"/>
              <w:adjustRightInd w:val="0"/>
              <w:spacing w:line="360" w:lineRule="auto"/>
              <w:ind w:right="25" w:firstLine="240"/>
              <w:jc w:val="center"/>
              <w:rPr>
                <w:rFonts w:asciiTheme="minorEastAsia" w:hAnsiTheme="minorEastAsia"/>
                <w:b/>
                <w:color w:val="auto"/>
                <w:sz w:val="24"/>
              </w:rPr>
            </w:pPr>
            <w:r>
              <w:rPr>
                <w:rFonts w:hint="eastAsia" w:ascii="宋体" w:hAnsi="宋体" w:cs="宋体"/>
                <w:b/>
                <w:color w:val="auto"/>
                <w:sz w:val="24"/>
              </w:rPr>
              <w:t>交货期（交付期）</w:t>
            </w:r>
          </w:p>
        </w:tc>
        <w:tc>
          <w:tcPr>
            <w:tcW w:w="2732" w:type="dxa"/>
            <w:vAlign w:val="center"/>
          </w:tcPr>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维护地点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720"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1402"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2022年台州市区交通标线采购项目</w:t>
            </w:r>
          </w:p>
        </w:tc>
        <w:tc>
          <w:tcPr>
            <w:tcW w:w="1154"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详见技术需求</w:t>
            </w:r>
          </w:p>
        </w:tc>
        <w:tc>
          <w:tcPr>
            <w:tcW w:w="845"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736"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项</w:t>
            </w:r>
          </w:p>
        </w:tc>
        <w:tc>
          <w:tcPr>
            <w:tcW w:w="1187" w:type="dxa"/>
            <w:vAlign w:val="center"/>
          </w:tcPr>
          <w:p>
            <w:pPr>
              <w:tabs>
                <w:tab w:val="left" w:pos="8280"/>
              </w:tabs>
              <w:autoSpaceDE w:val="0"/>
              <w:autoSpaceDN w:val="0"/>
              <w:adjustRightInd w:val="0"/>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800</w:t>
            </w:r>
          </w:p>
        </w:tc>
        <w:tc>
          <w:tcPr>
            <w:tcW w:w="1500"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合同签订后120天</w:t>
            </w:r>
          </w:p>
        </w:tc>
        <w:tc>
          <w:tcPr>
            <w:tcW w:w="2732"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椒江区域、黄岩区域、路桥区域、台州湾产业集聚区管委会区域、台州经济开发区管委会区域内的道路</w:t>
            </w:r>
          </w:p>
        </w:tc>
      </w:tr>
    </w:tbl>
    <w:p>
      <w:pPr>
        <w:pStyle w:val="3"/>
        <w:rPr>
          <w:color w:val="auto"/>
        </w:rPr>
      </w:pPr>
    </w:p>
    <w:p>
      <w:pPr>
        <w:pStyle w:val="48"/>
        <w:numPr>
          <w:ilvl w:val="0"/>
          <w:numId w:val="7"/>
        </w:numPr>
        <w:spacing w:line="360" w:lineRule="auto"/>
        <w:ind w:firstLineChars="0"/>
        <w:rPr>
          <w:rFonts w:asciiTheme="majorEastAsia" w:hAnsiTheme="majorEastAsia" w:eastAsiaTheme="majorEastAsia" w:cstheme="minorBidi"/>
          <w:b/>
          <w:bCs/>
          <w:color w:val="auto"/>
          <w:kern w:val="0"/>
          <w:sz w:val="30"/>
          <w:szCs w:val="30"/>
        </w:rPr>
      </w:pPr>
      <w:bookmarkStart w:id="0" w:name="_Hlk66271521"/>
      <w:r>
        <w:rPr>
          <w:rFonts w:hint="eastAsia" w:asciiTheme="majorEastAsia" w:hAnsiTheme="majorEastAsia" w:eastAsiaTheme="majorEastAsia" w:cstheme="minorBidi"/>
          <w:b/>
          <w:bCs/>
          <w:color w:val="auto"/>
          <w:kern w:val="0"/>
          <w:sz w:val="30"/>
          <w:szCs w:val="30"/>
        </w:rPr>
        <w:t>采购内容及要求</w:t>
      </w:r>
    </w:p>
    <w:p>
      <w:pPr>
        <w:numPr>
          <w:ilvl w:val="0"/>
          <w:numId w:val="8"/>
        </w:numPr>
        <w:spacing w:line="360" w:lineRule="auto"/>
        <w:ind w:firstLine="482" w:firstLineChars="200"/>
        <w:rPr>
          <w:rFonts w:ascii="宋体" w:hAnsi="宋体" w:cs="宋体"/>
          <w:b/>
          <w:bCs/>
          <w:color w:val="auto"/>
          <w:sz w:val="24"/>
        </w:rPr>
      </w:pPr>
      <w:r>
        <w:rPr>
          <w:rFonts w:hint="eastAsia" w:ascii="宋体" w:hAnsi="宋体" w:cs="宋体"/>
          <w:b/>
          <w:bCs/>
          <w:color w:val="auto"/>
          <w:sz w:val="24"/>
        </w:rPr>
        <w:t>采购清单</w:t>
      </w:r>
    </w:p>
    <w:p>
      <w:pPr>
        <w:pStyle w:val="19"/>
        <w:rPr>
          <w:rFonts w:asciiTheme="minorEastAsia" w:hAnsiTheme="minorEastAsia" w:eastAsiaTheme="minorEastAsia"/>
          <w:color w:val="auto"/>
          <w:sz w:val="24"/>
        </w:rPr>
      </w:pPr>
      <w:r>
        <w:rPr>
          <w:rFonts w:hint="eastAsia" w:asciiTheme="minorEastAsia" w:hAnsiTheme="minorEastAsia" w:eastAsiaTheme="minorEastAsia"/>
          <w:color w:val="auto"/>
          <w:sz w:val="24"/>
        </w:rPr>
        <w:t>材料数量均为预估工作量，履约时以实际发生工作量结算，结算金额不超过本项目预算</w:t>
      </w:r>
    </w:p>
    <w:tbl>
      <w:tblPr>
        <w:tblStyle w:val="35"/>
        <w:tblpPr w:leftFromText="180" w:rightFromText="180" w:vertAnchor="text" w:horzAnchor="page" w:tblpXSpec="center" w:tblpY="549"/>
        <w:tblOverlap w:val="never"/>
        <w:tblW w:w="9755" w:type="dxa"/>
        <w:jc w:val="center"/>
        <w:tblLayout w:type="fixed"/>
        <w:tblCellMar>
          <w:top w:w="0" w:type="dxa"/>
          <w:left w:w="0" w:type="dxa"/>
          <w:bottom w:w="0" w:type="dxa"/>
          <w:right w:w="0" w:type="dxa"/>
        </w:tblCellMar>
      </w:tblPr>
      <w:tblGrid>
        <w:gridCol w:w="738"/>
        <w:gridCol w:w="1467"/>
        <w:gridCol w:w="1642"/>
        <w:gridCol w:w="658"/>
        <w:gridCol w:w="1090"/>
        <w:gridCol w:w="1090"/>
        <w:gridCol w:w="1091"/>
        <w:gridCol w:w="1979"/>
      </w:tblGrid>
      <w:tr>
        <w:tblPrEx>
          <w:tblCellMar>
            <w:top w:w="0" w:type="dxa"/>
            <w:left w:w="0" w:type="dxa"/>
            <w:bottom w:w="0" w:type="dxa"/>
            <w:right w:w="0" w:type="dxa"/>
          </w:tblCellMar>
        </w:tblPrEx>
        <w:trPr>
          <w:trHeight w:val="605" w:hRule="atLeast"/>
          <w:jc w:val="center"/>
        </w:trPr>
        <w:tc>
          <w:tcPr>
            <w:tcW w:w="975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一、标线类</w:t>
            </w:r>
          </w:p>
        </w:tc>
      </w:tr>
      <w:tr>
        <w:tblPrEx>
          <w:tblCellMar>
            <w:top w:w="0" w:type="dxa"/>
            <w:left w:w="0" w:type="dxa"/>
            <w:bottom w:w="0" w:type="dxa"/>
            <w:right w:w="0" w:type="dxa"/>
          </w:tblCellMar>
        </w:tblPrEx>
        <w:trPr>
          <w:trHeight w:val="34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编号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内容/材料</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规格</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数量（预估）</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ascii="宋体" w:hAnsi="宋体" w:cs="宋体"/>
                <w:b/>
                <w:color w:val="auto"/>
                <w:kern w:val="0"/>
                <w:szCs w:val="21"/>
                <w:lang w:bidi="ar"/>
              </w:rPr>
              <w:t>上限</w:t>
            </w:r>
            <w:r>
              <w:rPr>
                <w:rFonts w:hint="eastAsia" w:ascii="宋体" w:hAnsi="宋体" w:cs="宋体"/>
                <w:b/>
                <w:color w:val="auto"/>
                <w:kern w:val="0"/>
                <w:szCs w:val="21"/>
                <w:lang w:bidi="ar"/>
              </w:rPr>
              <w:t>单价（元）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小计（元）</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备注</w:t>
            </w:r>
          </w:p>
        </w:tc>
      </w:tr>
      <w:tr>
        <w:tblPrEx>
          <w:tblCellMar>
            <w:top w:w="0" w:type="dxa"/>
            <w:left w:w="0" w:type="dxa"/>
            <w:bottom w:w="0" w:type="dxa"/>
            <w:right w:w="0" w:type="dxa"/>
          </w:tblCellMar>
        </w:tblPrEx>
        <w:trPr>
          <w:trHeight w:val="34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热熔反光型标线</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r>
              <w:rPr>
                <w:rFonts w:hint="eastAsia" w:ascii="宋体" w:hAnsi="宋体" w:cs="宋体"/>
                <w:color w:val="auto"/>
                <w:szCs w:val="21"/>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135398</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5009726</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详见技术参数，含部分的彩色标线,</w:t>
            </w:r>
          </w:p>
        </w:tc>
      </w:tr>
      <w:tr>
        <w:tblPrEx>
          <w:tblCellMar>
            <w:top w:w="0" w:type="dxa"/>
            <w:left w:w="0" w:type="dxa"/>
            <w:bottom w:w="0" w:type="dxa"/>
            <w:right w:w="0" w:type="dxa"/>
          </w:tblCellMar>
        </w:tblPrEx>
        <w:trPr>
          <w:trHeight w:val="34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水性反光涂料</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标线涂层厚度≥0.7mm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220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45.7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10054</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详见技术参数</w:t>
            </w:r>
          </w:p>
        </w:tc>
      </w:tr>
      <w:tr>
        <w:tblPrEx>
          <w:tblCellMar>
            <w:top w:w="0" w:type="dxa"/>
            <w:left w:w="0" w:type="dxa"/>
            <w:bottom w:w="0" w:type="dxa"/>
            <w:right w:w="0" w:type="dxa"/>
          </w:tblCellMar>
        </w:tblPrEx>
        <w:trPr>
          <w:trHeight w:val="34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双组份反光型涂料</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标线厚度≥0.5mm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220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61.05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13431</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详见技术参数</w:t>
            </w:r>
          </w:p>
        </w:tc>
      </w:tr>
      <w:tr>
        <w:tblPrEx>
          <w:tblCellMar>
            <w:top w:w="0" w:type="dxa"/>
            <w:left w:w="0" w:type="dxa"/>
            <w:bottom w:w="0" w:type="dxa"/>
            <w:right w:w="0" w:type="dxa"/>
          </w:tblCellMar>
        </w:tblPrEx>
        <w:trPr>
          <w:trHeight w:val="34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双组份突起型反光涂料</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标线厚度≥5mm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115.27</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23054</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详见技术参数</w:t>
            </w:r>
          </w:p>
        </w:tc>
      </w:tr>
      <w:tr>
        <w:tblPrEx>
          <w:tblCellMar>
            <w:top w:w="0" w:type="dxa"/>
            <w:left w:w="0" w:type="dxa"/>
            <w:bottom w:w="0" w:type="dxa"/>
            <w:right w:w="0" w:type="dxa"/>
          </w:tblCellMar>
        </w:tblPrEx>
        <w:trPr>
          <w:trHeight w:val="83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热熔突起型标线（震荡标线）</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热熔型厚度≥6mm,长划70mm空110mm,宽150mm线划3颗;宽200mm线划4颗</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11507</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1242756</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其中纵向减速震荡标线按照每个0.3平方米计算（包含尾部变小部分）</w:t>
            </w:r>
          </w:p>
        </w:tc>
      </w:tr>
      <w:tr>
        <w:tblPrEx>
          <w:tblCellMar>
            <w:top w:w="0" w:type="dxa"/>
            <w:left w:w="0" w:type="dxa"/>
            <w:bottom w:w="0" w:type="dxa"/>
            <w:right w:w="0" w:type="dxa"/>
          </w:tblCellMar>
        </w:tblPrEx>
        <w:trPr>
          <w:trHeight w:val="34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彩色防滑路面标线</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厚度≥3.0mm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108</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21600</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Cs w:val="21"/>
              </w:rPr>
            </w:pPr>
            <w:r>
              <w:rPr>
                <w:rFonts w:hint="eastAsia" w:ascii="宋体" w:hAnsi="宋体" w:cs="宋体"/>
                <w:color w:val="auto"/>
                <w:szCs w:val="21"/>
              </w:rPr>
              <w:t>/</w:t>
            </w:r>
          </w:p>
        </w:tc>
      </w:tr>
      <w:tr>
        <w:tblPrEx>
          <w:tblCellMar>
            <w:top w:w="0" w:type="dxa"/>
            <w:left w:w="0" w:type="dxa"/>
            <w:bottom w:w="0" w:type="dxa"/>
            <w:right w:w="0" w:type="dxa"/>
          </w:tblCellMar>
        </w:tblPrEx>
        <w:trPr>
          <w:trHeight w:val="3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热熔雨夜标线</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详见技术参数</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3182</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178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566396</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szCs w:val="21"/>
              </w:rPr>
              <w:t>/</w:t>
            </w:r>
          </w:p>
        </w:tc>
      </w:tr>
      <w:tr>
        <w:tblPrEx>
          <w:tblCellMar>
            <w:top w:w="0" w:type="dxa"/>
            <w:left w:w="0" w:type="dxa"/>
            <w:bottom w:w="0" w:type="dxa"/>
            <w:right w:w="0" w:type="dxa"/>
          </w:tblCellMar>
        </w:tblPrEx>
        <w:trPr>
          <w:trHeight w:val="329"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水磨除线</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r>
              <w:rPr>
                <w:rFonts w:hint="eastAsia" w:ascii="宋体" w:hAnsi="宋体" w:cs="宋体"/>
                <w:color w:val="auto"/>
                <w:szCs w:val="21"/>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19981</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1098955</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水除线</w:t>
            </w:r>
          </w:p>
        </w:tc>
      </w:tr>
      <w:tr>
        <w:tblPrEx>
          <w:tblCellMar>
            <w:top w:w="0" w:type="dxa"/>
            <w:left w:w="0" w:type="dxa"/>
            <w:bottom w:w="0" w:type="dxa"/>
            <w:right w:w="0" w:type="dxa"/>
          </w:tblCellMar>
        </w:tblPrEx>
        <w:trPr>
          <w:trHeight w:val="329"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机械除线</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r>
              <w:rPr>
                <w:rFonts w:hint="eastAsia" w:ascii="宋体" w:hAnsi="宋体" w:cs="宋体"/>
                <w:color w:val="auto"/>
                <w:szCs w:val="21"/>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501</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14028</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机器</w:t>
            </w:r>
            <w:r>
              <w:rPr>
                <w:rFonts w:ascii="宋体" w:hAnsi="宋体" w:cs="宋体"/>
                <w:color w:val="auto"/>
                <w:kern w:val="0"/>
                <w:szCs w:val="21"/>
                <w:lang w:bidi="ar"/>
              </w:rPr>
              <w:t>总计</w:t>
            </w:r>
          </w:p>
        </w:tc>
      </w:tr>
      <w:tr>
        <w:tblPrEx>
          <w:tblCellMar>
            <w:top w:w="0" w:type="dxa"/>
            <w:left w:w="0" w:type="dxa"/>
            <w:bottom w:w="0" w:type="dxa"/>
            <w:right w:w="0" w:type="dxa"/>
          </w:tblCellMar>
        </w:tblPrEx>
        <w:trPr>
          <w:trHeight w:val="924" w:hRule="atLeast"/>
          <w:jc w:val="center"/>
        </w:trPr>
        <w:tc>
          <w:tcPr>
            <w:tcW w:w="975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r>
              <w:rPr>
                <w:rFonts w:hint="eastAsia" w:ascii="宋体" w:hAnsi="宋体" w:cs="宋体"/>
                <w:b/>
                <w:bCs/>
                <w:color w:val="auto"/>
                <w:szCs w:val="21"/>
              </w:rPr>
              <w:t>共计</w:t>
            </w:r>
            <w:r>
              <w:rPr>
                <w:rFonts w:hint="eastAsia" w:ascii="宋体" w:hAnsi="宋体" w:cs="宋体"/>
                <w:b/>
                <w:bCs/>
                <w:color w:val="auto"/>
                <w:szCs w:val="21"/>
                <w:u w:val="single"/>
              </w:rPr>
              <w:t xml:space="preserve">  8000000 元</w:t>
            </w:r>
          </w:p>
        </w:tc>
      </w:tr>
    </w:tbl>
    <w:p>
      <w:pPr>
        <w:numPr>
          <w:ilvl w:val="0"/>
          <w:numId w:val="8"/>
        </w:numPr>
        <w:spacing w:line="360" w:lineRule="auto"/>
        <w:ind w:firstLine="482" w:firstLineChars="200"/>
        <w:rPr>
          <w:rFonts w:ascii="宋体" w:hAnsi="宋体" w:cs="宋体"/>
          <w:b/>
          <w:bCs/>
          <w:color w:val="auto"/>
          <w:sz w:val="24"/>
        </w:rPr>
      </w:pPr>
      <w:r>
        <w:rPr>
          <w:rFonts w:hint="eastAsia" w:ascii="宋体" w:hAnsi="宋体" w:cs="宋体"/>
          <w:b/>
          <w:bCs/>
          <w:color w:val="auto"/>
          <w:sz w:val="24"/>
        </w:rPr>
        <w:t>技术标准和要求</w:t>
      </w:r>
    </w:p>
    <w:p>
      <w:pPr>
        <w:pStyle w:val="44"/>
        <w:rPr>
          <w:color w:val="auto"/>
        </w:rPr>
      </w:pPr>
    </w:p>
    <w:p>
      <w:pPr>
        <w:spacing w:line="360" w:lineRule="auto"/>
        <w:ind w:firstLine="354" w:firstLineChars="147"/>
        <w:rPr>
          <w:rFonts w:ascii="宋体" w:hAnsi="宋体"/>
          <w:b/>
          <w:color w:val="auto"/>
          <w:sz w:val="24"/>
        </w:rPr>
      </w:pPr>
      <w:r>
        <w:rPr>
          <w:rFonts w:hint="eastAsia" w:ascii="宋体" w:hAnsi="宋体"/>
          <w:b/>
          <w:color w:val="auto"/>
          <w:sz w:val="24"/>
        </w:rPr>
        <w:t>2.1、供货要求</w:t>
      </w:r>
    </w:p>
    <w:p>
      <w:pPr>
        <w:spacing w:line="360" w:lineRule="auto"/>
        <w:ind w:firstLine="352" w:firstLineChars="147"/>
        <w:rPr>
          <w:rFonts w:ascii="宋体" w:hAnsi="宋体"/>
          <w:color w:val="auto"/>
          <w:sz w:val="24"/>
        </w:rPr>
      </w:pPr>
      <w:r>
        <w:rPr>
          <w:rFonts w:hint="eastAsia" w:ascii="宋体" w:hAnsi="宋体"/>
          <w:color w:val="auto"/>
          <w:sz w:val="24"/>
        </w:rPr>
        <w:t>（1）本项目采购内容为标线（包含修补市区标线13.5万平方米左右，除线2万平方米左右等）及其全部附件、辅材、备品备件、专用工具等为完成本项目所需的所有设备的提供，人工及技术和售后服务等。</w:t>
      </w:r>
    </w:p>
    <w:p>
      <w:pPr>
        <w:spacing w:line="360" w:lineRule="auto"/>
        <w:ind w:firstLine="352" w:firstLineChars="147"/>
        <w:rPr>
          <w:color w:val="auto"/>
          <w:sz w:val="24"/>
        </w:rPr>
      </w:pPr>
      <w:r>
        <w:rPr>
          <w:rFonts w:hint="eastAsia" w:ascii="宋体" w:hAnsi="宋体"/>
          <w:color w:val="auto"/>
          <w:sz w:val="24"/>
        </w:rPr>
        <w:t>（2）本次招标将从资格审查、制造、供货、运输、安装、备品配件、验收、售后服务、维修技术力量、培训等各个方面，对投标供应商进行全方位的综合考评。</w:t>
      </w:r>
    </w:p>
    <w:p>
      <w:pPr>
        <w:spacing w:line="360" w:lineRule="auto"/>
        <w:ind w:firstLine="354" w:firstLineChars="147"/>
        <w:rPr>
          <w:rFonts w:ascii="宋体" w:hAnsi="宋体"/>
          <w:color w:val="auto"/>
          <w:sz w:val="24"/>
        </w:rPr>
      </w:pPr>
      <w:r>
        <w:rPr>
          <w:rFonts w:hint="eastAsia" w:ascii="宋体" w:hAnsi="宋体"/>
          <w:b/>
          <w:color w:val="auto"/>
          <w:sz w:val="24"/>
        </w:rPr>
        <w:t>2.2、技术规范及规格要求</w:t>
      </w:r>
      <w:r>
        <w:rPr>
          <w:rFonts w:ascii="宋体" w:hAnsi="宋体"/>
          <w:b/>
          <w:color w:val="auto"/>
          <w:sz w:val="24"/>
        </w:rPr>
        <w:tab/>
      </w:r>
    </w:p>
    <w:p>
      <w:pPr>
        <w:spacing w:line="360" w:lineRule="auto"/>
        <w:ind w:firstLine="354" w:firstLineChars="147"/>
        <w:rPr>
          <w:rFonts w:ascii="宋体" w:hAnsi="宋体"/>
          <w:b/>
          <w:color w:val="auto"/>
          <w:sz w:val="24"/>
        </w:rPr>
      </w:pPr>
      <w:r>
        <w:rPr>
          <w:rFonts w:hint="eastAsia" w:ascii="宋体" w:hAnsi="宋体"/>
          <w:b/>
          <w:color w:val="auto"/>
          <w:sz w:val="24"/>
        </w:rPr>
        <w:t>2.2.1、技术规范</w:t>
      </w:r>
    </w:p>
    <w:p>
      <w:pPr>
        <w:spacing w:line="360" w:lineRule="auto"/>
        <w:ind w:firstLine="352" w:firstLineChars="147"/>
        <w:rPr>
          <w:rFonts w:ascii="宋体" w:hAnsi="宋体"/>
          <w:color w:val="auto"/>
          <w:sz w:val="24"/>
        </w:rPr>
      </w:pPr>
      <w:r>
        <w:rPr>
          <w:rFonts w:hint="eastAsia" w:ascii="宋体" w:hAnsi="宋体"/>
          <w:color w:val="auto"/>
          <w:sz w:val="24"/>
        </w:rPr>
        <w:t>（1）《道路交通标志和标线》（GB5768）</w:t>
      </w:r>
    </w:p>
    <w:p>
      <w:pPr>
        <w:spacing w:line="360" w:lineRule="auto"/>
        <w:ind w:firstLine="360" w:firstLineChars="150"/>
        <w:rPr>
          <w:rFonts w:ascii="宋体" w:hAnsi="宋体"/>
          <w:color w:val="auto"/>
          <w:sz w:val="24"/>
        </w:rPr>
      </w:pPr>
      <w:r>
        <w:rPr>
          <w:rFonts w:hint="eastAsia" w:ascii="宋体" w:hAnsi="宋体"/>
          <w:color w:val="auto"/>
          <w:sz w:val="24"/>
        </w:rPr>
        <w:t>（2）《道路交通反光膜》(GB/T 18833－2012)</w:t>
      </w:r>
    </w:p>
    <w:p>
      <w:pPr>
        <w:spacing w:line="360" w:lineRule="auto"/>
        <w:ind w:firstLine="360" w:firstLineChars="150"/>
        <w:rPr>
          <w:rFonts w:ascii="宋体" w:hAnsi="宋体"/>
          <w:color w:val="auto"/>
          <w:sz w:val="24"/>
        </w:rPr>
      </w:pPr>
      <w:r>
        <w:rPr>
          <w:rFonts w:hint="eastAsia" w:ascii="宋体" w:hAnsi="宋体"/>
          <w:color w:val="auto"/>
          <w:sz w:val="24"/>
        </w:rPr>
        <w:t>（3）《交通建设工程工程量清单计价规范第1部分 公路工程(DB33T628.1-2007)</w:t>
      </w:r>
    </w:p>
    <w:p>
      <w:pPr>
        <w:spacing w:line="360" w:lineRule="auto"/>
        <w:ind w:firstLine="360" w:firstLineChars="150"/>
        <w:rPr>
          <w:rFonts w:ascii="宋体" w:hAnsi="宋体" w:cs="宋体"/>
          <w:color w:val="auto"/>
          <w:sz w:val="24"/>
        </w:rPr>
      </w:pPr>
      <w:r>
        <w:rPr>
          <w:rFonts w:hint="eastAsia" w:ascii="宋体" w:hAnsi="宋体"/>
          <w:color w:val="auto"/>
          <w:sz w:val="24"/>
        </w:rPr>
        <w:t>（4）</w:t>
      </w:r>
      <w:r>
        <w:rPr>
          <w:rFonts w:hint="eastAsia" w:ascii="宋体" w:hAnsi="宋体" w:cs="宋体"/>
          <w:color w:val="auto"/>
          <w:sz w:val="24"/>
        </w:rPr>
        <w:t>《公安交通管理外场设备基础施工通用要求》（GA/T 652-2017）</w:t>
      </w:r>
    </w:p>
    <w:p>
      <w:pPr>
        <w:spacing w:line="360" w:lineRule="auto"/>
        <w:ind w:firstLine="360" w:firstLineChars="150"/>
        <w:rPr>
          <w:rFonts w:ascii="宋体" w:hAnsi="宋体"/>
          <w:color w:val="auto"/>
          <w:sz w:val="24"/>
        </w:rPr>
      </w:pPr>
      <w:r>
        <w:rPr>
          <w:rFonts w:hint="eastAsia" w:ascii="宋体" w:hAnsi="宋体"/>
          <w:color w:val="auto"/>
          <w:sz w:val="24"/>
        </w:rPr>
        <w:t>（5）《城市道路交叉口设计规程》</w:t>
      </w:r>
      <w:r>
        <w:rPr>
          <w:rFonts w:ascii="宋体" w:hAnsi="宋体"/>
          <w:color w:val="auto"/>
          <w:sz w:val="24"/>
        </w:rPr>
        <w:t>(CJJ152-2010)</w:t>
      </w:r>
    </w:p>
    <w:p>
      <w:pPr>
        <w:spacing w:line="360" w:lineRule="auto"/>
        <w:ind w:firstLine="360" w:firstLineChars="150"/>
        <w:rPr>
          <w:rFonts w:ascii="宋体" w:hAnsi="宋体"/>
          <w:color w:val="auto"/>
          <w:sz w:val="24"/>
        </w:rPr>
      </w:pPr>
      <w:r>
        <w:rPr>
          <w:rFonts w:hint="eastAsia" w:ascii="宋体" w:hAnsi="宋体"/>
          <w:color w:val="auto"/>
          <w:sz w:val="24"/>
        </w:rPr>
        <w:t>（6）《城市道路工程设计规范》</w:t>
      </w:r>
      <w:r>
        <w:rPr>
          <w:rFonts w:ascii="宋体" w:hAnsi="宋体"/>
          <w:color w:val="auto"/>
          <w:sz w:val="24"/>
        </w:rPr>
        <w:t>(CJJ37-2012)</w:t>
      </w:r>
    </w:p>
    <w:p>
      <w:pPr>
        <w:spacing w:line="360" w:lineRule="auto"/>
        <w:ind w:firstLine="360" w:firstLineChars="150"/>
        <w:rPr>
          <w:rFonts w:ascii="宋体" w:hAnsi="宋体"/>
          <w:color w:val="auto"/>
          <w:sz w:val="24"/>
        </w:rPr>
      </w:pPr>
      <w:r>
        <w:rPr>
          <w:rFonts w:hint="eastAsia" w:ascii="宋体" w:hAnsi="宋体"/>
          <w:color w:val="auto"/>
          <w:sz w:val="24"/>
        </w:rPr>
        <w:t>（7）《城市道路机动车道宽度设计规范》</w:t>
      </w:r>
      <w:r>
        <w:rPr>
          <w:rFonts w:ascii="宋体" w:hAnsi="宋体"/>
          <w:color w:val="auto"/>
          <w:sz w:val="24"/>
        </w:rPr>
        <w:t>(DB331057-2008)</w:t>
      </w:r>
    </w:p>
    <w:p>
      <w:pPr>
        <w:spacing w:line="360" w:lineRule="auto"/>
        <w:ind w:firstLine="360" w:firstLineChars="150"/>
        <w:rPr>
          <w:rFonts w:ascii="宋体" w:hAnsi="宋体"/>
          <w:color w:val="auto"/>
          <w:sz w:val="24"/>
        </w:rPr>
      </w:pPr>
      <w:r>
        <w:rPr>
          <w:rFonts w:hint="eastAsia" w:ascii="宋体" w:hAnsi="宋体"/>
          <w:color w:val="auto"/>
          <w:sz w:val="24"/>
        </w:rPr>
        <w:t>（8）《道路交通标线质量要求和检测方法》</w:t>
      </w:r>
      <w:r>
        <w:rPr>
          <w:rFonts w:ascii="宋体" w:hAnsi="宋体"/>
          <w:color w:val="auto"/>
          <w:sz w:val="24"/>
        </w:rPr>
        <w:t>(GBT16311-2005)</w:t>
      </w:r>
    </w:p>
    <w:p>
      <w:pPr>
        <w:spacing w:line="360" w:lineRule="auto"/>
        <w:ind w:firstLine="360" w:firstLineChars="150"/>
        <w:rPr>
          <w:rFonts w:ascii="宋体" w:hAnsi="宋体"/>
          <w:color w:val="auto"/>
          <w:sz w:val="24"/>
        </w:rPr>
      </w:pPr>
      <w:r>
        <w:rPr>
          <w:rFonts w:hint="eastAsia" w:ascii="宋体" w:hAnsi="宋体"/>
          <w:color w:val="auto"/>
          <w:sz w:val="24"/>
        </w:rPr>
        <w:t>（9）《浙江省城市道路交通标志和标线设置规范》(DB33</w:t>
      </w:r>
      <w:r>
        <w:rPr>
          <w:rFonts w:hint="eastAsia" w:ascii="宋体" w:hAnsi="宋体" w:cs="宋体"/>
          <w:color w:val="auto"/>
          <w:sz w:val="24"/>
        </w:rPr>
        <w:t>/</w:t>
      </w:r>
      <w:r>
        <w:rPr>
          <w:rFonts w:hint="eastAsia" w:ascii="宋体" w:hAnsi="宋体"/>
          <w:color w:val="auto"/>
          <w:sz w:val="24"/>
        </w:rPr>
        <w:t xml:space="preserve">T818-2010) </w:t>
      </w:r>
    </w:p>
    <w:p>
      <w:pPr>
        <w:spacing w:line="360" w:lineRule="auto"/>
        <w:ind w:firstLine="360" w:firstLineChars="150"/>
        <w:rPr>
          <w:rFonts w:ascii="宋体" w:hAnsi="宋体"/>
          <w:color w:val="auto"/>
          <w:sz w:val="24"/>
        </w:rPr>
      </w:pPr>
      <w:r>
        <w:rPr>
          <w:rFonts w:hint="eastAsia" w:ascii="宋体" w:hAnsi="宋体"/>
          <w:color w:val="auto"/>
          <w:sz w:val="24"/>
        </w:rPr>
        <w:t>（10）</w:t>
      </w:r>
      <w:r>
        <w:rPr>
          <w:rFonts w:ascii="宋体" w:hAnsi="宋体"/>
          <w:color w:val="auto"/>
          <w:sz w:val="24"/>
        </w:rPr>
        <w:t xml:space="preserve"> JTJ001—2003</w:t>
      </w:r>
      <w:r>
        <w:rPr>
          <w:rFonts w:hint="eastAsia" w:ascii="宋体" w:hAnsi="宋体"/>
          <w:color w:val="auto"/>
          <w:sz w:val="24"/>
        </w:rPr>
        <w:t>《公路工程技术标准》行业标准。</w:t>
      </w:r>
      <w:r>
        <w:rPr>
          <w:rFonts w:ascii="宋体" w:hAnsi="宋体"/>
          <w:color w:val="auto"/>
          <w:sz w:val="24"/>
        </w:rPr>
        <w:t xml:space="preserve"> </w:t>
      </w:r>
    </w:p>
    <w:p>
      <w:pPr>
        <w:spacing w:line="360" w:lineRule="auto"/>
        <w:ind w:firstLine="360" w:firstLineChars="150"/>
        <w:rPr>
          <w:rFonts w:ascii="宋体" w:hAnsi="宋体"/>
          <w:color w:val="auto"/>
          <w:sz w:val="24"/>
        </w:rPr>
      </w:pPr>
      <w:r>
        <w:rPr>
          <w:rFonts w:hint="eastAsia" w:ascii="宋体" w:hAnsi="宋体"/>
          <w:color w:val="auto"/>
          <w:sz w:val="24"/>
        </w:rPr>
        <w:t>（11）</w:t>
      </w:r>
      <w:r>
        <w:rPr>
          <w:rFonts w:ascii="宋体" w:hAnsi="宋体"/>
          <w:color w:val="auto"/>
          <w:sz w:val="24"/>
        </w:rPr>
        <w:t>DBJ08-39-1994</w:t>
      </w:r>
      <w:r>
        <w:rPr>
          <w:rFonts w:hint="eastAsia" w:ascii="宋体" w:hAnsi="宋体"/>
          <w:color w:val="auto"/>
          <w:sz w:val="24"/>
        </w:rPr>
        <w:t>《道路交通管理设施设置技术规范》。</w:t>
      </w:r>
      <w:r>
        <w:rPr>
          <w:rFonts w:ascii="宋体" w:hAnsi="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rPr>
        <w:t>（12）《城市道路交通标志和标线设置规范》（GB51038-2015)</w:t>
      </w:r>
    </w:p>
    <w:p>
      <w:pPr>
        <w:spacing w:line="360" w:lineRule="auto"/>
        <w:ind w:firstLine="360" w:firstLineChars="150"/>
        <w:rPr>
          <w:rFonts w:ascii="宋体" w:hAnsi="宋体"/>
          <w:color w:val="auto"/>
          <w:sz w:val="24"/>
        </w:rPr>
      </w:pPr>
      <w:r>
        <w:rPr>
          <w:rFonts w:hint="eastAsia" w:ascii="宋体" w:hAnsi="宋体" w:cs="宋体"/>
          <w:color w:val="auto"/>
          <w:sz w:val="24"/>
        </w:rPr>
        <w:t>（13）</w:t>
      </w:r>
      <w:r>
        <w:rPr>
          <w:rFonts w:hint="eastAsia"/>
          <w:color w:val="auto"/>
          <w:sz w:val="24"/>
        </w:rPr>
        <w:t>《路面标线涂料》</w:t>
      </w:r>
      <w:r>
        <w:rPr>
          <w:rFonts w:hint="eastAsia" w:ascii="宋体" w:hAnsi="宋体"/>
          <w:color w:val="auto"/>
          <w:sz w:val="24"/>
        </w:rPr>
        <w:t>JT/T280-2016</w:t>
      </w:r>
    </w:p>
    <w:p>
      <w:pPr>
        <w:spacing w:line="360" w:lineRule="auto"/>
        <w:ind w:firstLine="360" w:firstLineChars="150"/>
        <w:rPr>
          <w:color w:val="auto"/>
          <w:sz w:val="24"/>
        </w:rPr>
      </w:pPr>
      <w:r>
        <w:rPr>
          <w:rFonts w:hint="eastAsia"/>
          <w:color w:val="auto"/>
          <w:sz w:val="24"/>
        </w:rPr>
        <w:t>（14）按现行的国家、省、市施工验收规范、质量评定标准及有关规定。合同工期内的标准、规范，招标文件中的技术要求等</w:t>
      </w:r>
      <w:r>
        <w:rPr>
          <w:color w:val="auto"/>
          <w:sz w:val="24"/>
        </w:rPr>
        <w:t>。</w:t>
      </w:r>
      <w:r>
        <w:rPr>
          <w:rFonts w:hint="eastAsia"/>
          <w:color w:val="auto"/>
          <w:sz w:val="24"/>
        </w:rPr>
        <w:t>如有新版标准则按新发行的标准执行。</w:t>
      </w:r>
    </w:p>
    <w:p>
      <w:pPr>
        <w:spacing w:line="360" w:lineRule="auto"/>
        <w:ind w:firstLine="482" w:firstLineChars="200"/>
        <w:rPr>
          <w:rFonts w:ascii="宋体" w:hAnsi="宋体"/>
          <w:b/>
          <w:color w:val="auto"/>
          <w:sz w:val="24"/>
        </w:rPr>
      </w:pPr>
      <w:r>
        <w:rPr>
          <w:rFonts w:hint="eastAsia" w:ascii="宋体" w:hAnsi="宋体"/>
          <w:b/>
          <w:color w:val="auto"/>
          <w:sz w:val="24"/>
        </w:rPr>
        <w:t>2.2.2、技术规格及要求</w:t>
      </w:r>
    </w:p>
    <w:p>
      <w:pPr>
        <w:autoSpaceDE w:val="0"/>
        <w:autoSpaceDN w:val="0"/>
        <w:adjustRightInd w:val="0"/>
        <w:snapToGrid w:val="0"/>
        <w:spacing w:line="360" w:lineRule="auto"/>
        <w:rPr>
          <w:rFonts w:ascii="宋体" w:hAnsi="宋体" w:cs="宋体"/>
          <w:b/>
          <w:color w:val="auto"/>
          <w:sz w:val="24"/>
          <w:lang w:val="zh-CN" w:bidi="ar"/>
        </w:rPr>
      </w:pPr>
      <w:r>
        <w:rPr>
          <w:rFonts w:hint="eastAsia" w:ascii="宋体" w:hAnsi="宋体" w:cs="宋体"/>
          <w:b/>
          <w:color w:val="auto"/>
          <w:sz w:val="24"/>
          <w:lang w:val="zh-CN" w:bidi="ar"/>
        </w:rPr>
        <w:t>反光热熔标线</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①密度（g/cm3）:1.8~2.3</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②软化点(℃):90~125</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③选用热熔型反光涂料，内含反光微珠必须≥20%，施划时面洒反光微珠</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④初始施划时逆反射系数：白色≥150，黄色≥100</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⑤不粘胎干燥时间≤3min，开放交通干燥时间≤6min</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⑥抗压强度（MPa）:≥12</w:t>
      </w:r>
    </w:p>
    <w:p>
      <w:pPr>
        <w:autoSpaceDE w:val="0"/>
        <w:autoSpaceDN w:val="0"/>
        <w:snapToGrid w:val="0"/>
        <w:spacing w:line="360" w:lineRule="auto"/>
        <w:rPr>
          <w:rFonts w:ascii="宋体" w:hAnsi="宋体" w:cs="宋体"/>
          <w:b/>
          <w:color w:val="auto"/>
          <w:sz w:val="24"/>
          <w:lang w:val="zh-CN" w:bidi="ar"/>
        </w:rPr>
      </w:pPr>
      <w:r>
        <w:rPr>
          <w:rFonts w:hint="eastAsia" w:ascii="宋体" w:hAnsi="宋体" w:cs="宋体"/>
          <w:color w:val="auto"/>
          <w:sz w:val="24"/>
        </w:rPr>
        <w:t>⑦耐磨性（mg）:200 转/1000g 后减重≤80（JM—100 橡胶砂轮）</w:t>
      </w:r>
    </w:p>
    <w:p>
      <w:pPr>
        <w:autoSpaceDE w:val="0"/>
        <w:autoSpaceDN w:val="0"/>
        <w:adjustRightInd w:val="0"/>
        <w:snapToGrid w:val="0"/>
        <w:spacing w:line="360" w:lineRule="auto"/>
        <w:rPr>
          <w:rFonts w:ascii="宋体" w:hAnsi="宋体" w:cs="宋体"/>
          <w:b/>
          <w:color w:val="auto"/>
          <w:sz w:val="24"/>
          <w:lang w:bidi="ar"/>
        </w:rPr>
      </w:pPr>
      <w:r>
        <w:rPr>
          <w:rFonts w:hint="eastAsia" w:ascii="宋体" w:hAnsi="宋体" w:cs="宋体"/>
          <w:b/>
          <w:color w:val="auto"/>
          <w:sz w:val="24"/>
          <w:lang w:bidi="ar"/>
        </w:rPr>
        <w:t>热熔突起型标线</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①密度（g/cm3）:1.8~2.3</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②软化点(℃):≥100</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③选用热熔型反光涂料，内含反光微珠必须≥20%，施划时面洒反光微珠</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④不粘胎干燥时间≤3min，开放交通干燥时间≤6min</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⑤抗压强度（MPa）:23℃±1≥12,50℃±2≥2,</w:t>
      </w:r>
    </w:p>
    <w:p>
      <w:pPr>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rPr>
        <w:t>⑥热熔型厚度≥6mm,长划70mm空110mm,宽150mm线划3颗;宽200mm线划4颗</w:t>
      </w:r>
    </w:p>
    <w:p>
      <w:pPr>
        <w:autoSpaceDE w:val="0"/>
        <w:autoSpaceDN w:val="0"/>
        <w:adjustRightInd w:val="0"/>
        <w:snapToGrid w:val="0"/>
        <w:spacing w:line="360" w:lineRule="auto"/>
        <w:rPr>
          <w:rFonts w:ascii="宋体" w:hAnsi="宋体" w:cs="宋体"/>
          <w:b/>
          <w:color w:val="auto"/>
          <w:sz w:val="24"/>
          <w:lang w:bidi="ar"/>
        </w:rPr>
      </w:pPr>
      <w:r>
        <w:rPr>
          <w:rFonts w:hint="eastAsia" w:ascii="宋体" w:hAnsi="宋体" w:cs="宋体"/>
          <w:b/>
          <w:color w:val="auto"/>
          <w:sz w:val="24"/>
          <w:lang w:val="zh-CN" w:bidi="ar"/>
        </w:rPr>
        <w:t>反光水性标线</w:t>
      </w:r>
      <w:r>
        <w:rPr>
          <w:rFonts w:hint="eastAsia" w:ascii="宋体" w:hAnsi="宋体" w:cs="宋体"/>
          <w:b/>
          <w:color w:val="auto"/>
          <w:sz w:val="24"/>
          <w:lang w:bidi="ar"/>
        </w:rPr>
        <w:t>°</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①粘度（KU 值）:80～120</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②密度（g/cm3）:≥1.6</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③选用环保型水性标线涂料</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④施划时面撒反光微珠</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⑤初始施划时逆反射系数：白色≥200，黄色≥150</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⑥标线厚度≥0.7mm</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⑦不粘胎干燥时间≤10min，开放交通干燥时间≤20min</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⑧耐磨性（mg）:200 转/1000g 后减重≤40</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⑨固体含量（%）:≥75</w:t>
      </w:r>
    </w:p>
    <w:p>
      <w:pPr>
        <w:autoSpaceDE w:val="0"/>
        <w:autoSpaceDN w:val="0"/>
        <w:adjustRightInd w:val="0"/>
        <w:snapToGrid w:val="0"/>
        <w:spacing w:line="360" w:lineRule="auto"/>
        <w:rPr>
          <w:rFonts w:ascii="宋体" w:hAnsi="宋体" w:cs="宋体"/>
          <w:b/>
          <w:color w:val="auto"/>
          <w:sz w:val="24"/>
          <w:lang w:val="zh-CN" w:bidi="ar"/>
        </w:rPr>
      </w:pPr>
      <w:r>
        <w:rPr>
          <w:rFonts w:hint="eastAsia" w:ascii="宋体" w:hAnsi="宋体" w:cs="宋体"/>
          <w:b/>
          <w:color w:val="auto"/>
          <w:sz w:val="24"/>
          <w:lang w:val="zh-CN" w:bidi="ar"/>
        </w:rPr>
        <w:t>双组份反光型涂料</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①密度（g/cm3）:1.5~2.0</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②选用</w:t>
      </w:r>
      <w:r>
        <w:rPr>
          <w:rFonts w:hint="eastAsia" w:ascii="宋体" w:hAnsi="宋体" w:cs="宋体"/>
          <w:color w:val="auto"/>
          <w:sz w:val="24"/>
          <w:lang w:val="zh-CN"/>
        </w:rPr>
        <w:t>双组份</w:t>
      </w:r>
      <w:r>
        <w:rPr>
          <w:rFonts w:hint="eastAsia" w:ascii="宋体" w:hAnsi="宋体" w:cs="宋体"/>
          <w:color w:val="auto"/>
          <w:sz w:val="24"/>
        </w:rPr>
        <w:t>反光涂料，内含反光微珠必须≥20%</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③初始施划时逆反射系数：白色≥350，黄色≥200</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④不粘胎干燥时间≤35min</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⑤耐磨性（mg）:200 转/1000g 后减重≤30</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⑥标线厚度≥0.5mm</w:t>
      </w:r>
    </w:p>
    <w:p>
      <w:pPr>
        <w:autoSpaceDE w:val="0"/>
        <w:autoSpaceDN w:val="0"/>
        <w:adjustRightInd w:val="0"/>
        <w:snapToGrid w:val="0"/>
        <w:spacing w:line="360" w:lineRule="auto"/>
        <w:rPr>
          <w:rFonts w:ascii="宋体" w:hAnsi="宋体" w:cs="宋体"/>
          <w:b/>
          <w:color w:val="auto"/>
          <w:sz w:val="24"/>
          <w:lang w:val="zh-CN" w:bidi="ar"/>
        </w:rPr>
      </w:pPr>
      <w:r>
        <w:rPr>
          <w:rFonts w:hint="eastAsia" w:ascii="宋体" w:hAnsi="宋体" w:cs="宋体"/>
          <w:b/>
          <w:color w:val="auto"/>
          <w:sz w:val="24"/>
          <w:lang w:val="zh-CN" w:bidi="ar"/>
        </w:rPr>
        <w:t>双组份突起型反光涂料</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①密度（g/cm3）:1.5~2.0</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②选用</w:t>
      </w:r>
      <w:r>
        <w:rPr>
          <w:rFonts w:hint="eastAsia" w:ascii="宋体" w:hAnsi="宋体" w:cs="宋体"/>
          <w:color w:val="auto"/>
          <w:sz w:val="24"/>
          <w:lang w:val="zh-CN"/>
        </w:rPr>
        <w:t>双组份突起型</w:t>
      </w:r>
      <w:r>
        <w:rPr>
          <w:rFonts w:hint="eastAsia" w:ascii="宋体" w:hAnsi="宋体" w:cs="宋体"/>
          <w:color w:val="auto"/>
          <w:sz w:val="24"/>
        </w:rPr>
        <w:t>反光涂料，内含反光微珠必须≥20%</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③初始施划时逆反射系数：白色≥350，黄色≥200</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④不粘胎干燥时间≤35min</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⑤耐磨性（mg）:200 转/1000g 后减重≤30</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⑥标线厚度≥5mm</w:t>
      </w:r>
    </w:p>
    <w:p>
      <w:pPr>
        <w:autoSpaceDE w:val="0"/>
        <w:autoSpaceDN w:val="0"/>
        <w:adjustRightInd w:val="0"/>
        <w:snapToGrid w:val="0"/>
        <w:spacing w:line="360" w:lineRule="auto"/>
        <w:rPr>
          <w:rFonts w:ascii="宋体" w:hAnsi="宋体" w:cs="宋体"/>
          <w:b/>
          <w:color w:val="auto"/>
          <w:sz w:val="24"/>
        </w:rPr>
      </w:pPr>
      <w:r>
        <w:rPr>
          <w:rFonts w:hint="eastAsia" w:ascii="宋体" w:hAnsi="宋体" w:cs="宋体"/>
          <w:b/>
          <w:color w:val="auto"/>
          <w:sz w:val="24"/>
          <w:lang w:bidi="ar"/>
        </w:rPr>
        <w:t>热熔雨夜标线的技术要求</w:t>
      </w:r>
    </w:p>
    <w:p>
      <w:pPr>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lang w:bidi="ar"/>
        </w:rPr>
        <w:t>1、热熔雨夜标线应符合</w:t>
      </w:r>
      <w:r>
        <w:rPr>
          <w:rFonts w:hint="eastAsia" w:ascii="宋体" w:hAnsi="宋体" w:cs="Calibri Light"/>
          <w:color w:val="auto"/>
          <w:kern w:val="0"/>
          <w:sz w:val="24"/>
        </w:rPr>
        <w:t>最新的</w:t>
      </w:r>
      <w:r>
        <w:rPr>
          <w:rFonts w:hint="eastAsia" w:ascii="宋体" w:hAnsi="宋体" w:cs="宋体"/>
          <w:color w:val="auto"/>
          <w:sz w:val="24"/>
          <w:lang w:bidi="ar"/>
        </w:rPr>
        <w:t>GB/T 16311《道路交通标线质量要求和检测方法》关于热熔标线的相关技术要求。</w:t>
      </w:r>
    </w:p>
    <w:p>
      <w:pPr>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lang w:bidi="ar"/>
        </w:rPr>
        <w:t>（1）</w:t>
      </w:r>
      <w:r>
        <w:rPr>
          <w:rFonts w:hint="eastAsia" w:ascii="宋体" w:hAnsi="宋体" w:cs="宋体"/>
          <w:snapToGrid w:val="0"/>
          <w:color w:val="auto"/>
          <w:sz w:val="24"/>
          <w:lang w:bidi="ar"/>
        </w:rPr>
        <w:t xml:space="preserve"> </w:t>
      </w:r>
      <w:r>
        <w:rPr>
          <w:rFonts w:hint="eastAsia" w:ascii="宋体" w:hAnsi="宋体" w:cs="宋体"/>
          <w:color w:val="auto"/>
          <w:sz w:val="24"/>
          <w:lang w:bidi="ar"/>
        </w:rPr>
        <w:t>热熔雨夜标线，白色反光标线的逆反射色应为白色，黄色反光标线的逆反射色应为黄色，测试方法应符合JT/T690的相关说明。</w:t>
      </w:r>
    </w:p>
    <w:p>
      <w:pPr>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lang w:bidi="ar"/>
        </w:rPr>
        <w:t>（2）光学逆反射性能</w:t>
      </w:r>
    </w:p>
    <w:p>
      <w:pPr>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lang w:bidi="ar"/>
        </w:rPr>
        <w:t>a. 新划白色标线的初始逆反射亮度系数应满足，干燥状态下的平均值不低于500 mcd·m-2·lx-1,潮湿状态下的平均值不低于350mcd·m-2·lx-1。新划黄色标线的初始逆反射亮度系数应满足，干燥状态下的平均值不低于350 mcd·m-2·lx-1,潮湿状态下的平均值不低于150 mcd·m-2·lx-1。</w:t>
      </w:r>
    </w:p>
    <w:p>
      <w:pPr>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lang w:bidi="ar"/>
        </w:rPr>
        <w:t>干燥状态的测试方法参考ASTM E1710，潮湿状态的测试方法参考ASTM E2177，测试仪器以Delta公司的LTL-X设备为准。</w:t>
      </w:r>
    </w:p>
    <w:p>
      <w:pPr>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lang w:bidi="ar"/>
        </w:rPr>
        <w:t>b. 正常使用期间，雨夜反光标线应满足夜间可视的要求。</w:t>
      </w:r>
    </w:p>
    <w:p>
      <w:pPr>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lang w:bidi="ar"/>
        </w:rPr>
        <w:t>三个月后，干燥状态下白色边线亮度系数平均值不低于300 mcd·m-2·lx-1，潮湿状态下白色边线亮度系数的平均值不低于150 mcd·m-2·lx-1。</w:t>
      </w:r>
    </w:p>
    <w:p>
      <w:pPr>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lang w:bidi="ar"/>
        </w:rPr>
        <w:t>三个月后，干燥状态下黄色边线亮度系数平均值不低于200 mcd·m-2·lx-1，潮湿状态下黄色边线亮度系数的平均值不低于100 mcd·m-2·lx-1。</w:t>
      </w:r>
    </w:p>
    <w:p>
      <w:pPr>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lang w:bidi="ar"/>
        </w:rPr>
        <w:t>干燥状态的测试方法参考ASTM E1710，潮湿状态的测试方法参考ASTM E2177，测试仪器以Delta公司的LTL-X设备为准。</w:t>
      </w:r>
    </w:p>
    <w:p>
      <w:pPr>
        <w:numPr>
          <w:ilvl w:val="0"/>
          <w:numId w:val="9"/>
        </w:numPr>
        <w:autoSpaceDE w:val="0"/>
        <w:autoSpaceDN w:val="0"/>
        <w:adjustRightInd w:val="0"/>
        <w:snapToGrid w:val="0"/>
        <w:spacing w:line="360" w:lineRule="auto"/>
        <w:rPr>
          <w:rFonts w:ascii="宋体" w:hAnsi="宋体" w:cs="宋体"/>
          <w:color w:val="auto"/>
          <w:sz w:val="24"/>
          <w:lang w:bidi="ar"/>
        </w:rPr>
      </w:pPr>
      <w:r>
        <w:rPr>
          <w:rFonts w:hint="eastAsia" w:ascii="宋体" w:hAnsi="宋体" w:cs="宋体"/>
          <w:color w:val="auto"/>
          <w:sz w:val="24"/>
          <w:lang w:bidi="ar"/>
        </w:rPr>
        <w:t>在热熔标线施划表面撒播白色或黄色雨夜反光珠和玻璃珠，雨夜珠撒播量不低于260g/m2，玻璃珠撒播量不低于600g/m2。雨夜珠应为全天候高亮雨夜珠，外观为不规则形状，表层为微晶陶瓷珠涂层结构。</w:t>
      </w:r>
    </w:p>
    <w:p>
      <w:pPr>
        <w:pStyle w:val="16"/>
        <w:spacing w:line="360" w:lineRule="auto"/>
        <w:ind w:firstLine="0"/>
        <w:rPr>
          <w:rFonts w:ascii="宋体" w:hAnsi="宋体" w:cs="宋体"/>
          <w:color w:val="auto"/>
          <w:sz w:val="24"/>
          <w:szCs w:val="24"/>
        </w:rPr>
      </w:pPr>
      <w:r>
        <w:rPr>
          <w:rFonts w:hint="eastAsia" w:ascii="宋体" w:hAnsi="宋体" w:cs="宋体"/>
          <w:b/>
          <w:color w:val="auto"/>
          <w:sz w:val="24"/>
          <w:szCs w:val="24"/>
          <w:lang w:bidi="ar"/>
        </w:rPr>
        <w:t>雨夜标线涂料的技术要求：</w:t>
      </w:r>
    </w:p>
    <w:p>
      <w:pPr>
        <w:autoSpaceDE w:val="0"/>
        <w:autoSpaceDN w:val="0"/>
        <w:adjustRightInd w:val="0"/>
        <w:snapToGrid w:val="0"/>
        <w:spacing w:line="360" w:lineRule="auto"/>
        <w:rPr>
          <w:rFonts w:ascii="宋体" w:hAnsi="宋体" w:cs="宋体"/>
          <w:color w:val="auto"/>
          <w:sz w:val="24"/>
          <w:lang w:bidi="ar"/>
        </w:rPr>
      </w:pPr>
      <w:r>
        <w:rPr>
          <w:rFonts w:hint="eastAsia" w:ascii="宋体" w:hAnsi="宋体" w:cs="宋体"/>
          <w:color w:val="auto"/>
          <w:sz w:val="24"/>
          <w:lang w:bidi="ar"/>
        </w:rPr>
        <w:t>热熔涂料基本组成应满足JT280-2004的要求</w:t>
      </w:r>
    </w:p>
    <w:tbl>
      <w:tblPr>
        <w:tblStyle w:val="35"/>
        <w:tblW w:w="7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0"/>
        <w:gridCol w:w="3085"/>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序号</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项目</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lang w:bidi="ar"/>
              </w:rPr>
              <w:t>技术要求</w:t>
            </w: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lang w:bidi="ar"/>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1</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密度，g/cm3</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2.0-2.6</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lang w:bidi="ar"/>
              </w:rPr>
              <w:t>JTT 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2</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软化点，℃，不低于</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105</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3</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不粘胎干燥时间，min，不高于</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 3</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lang w:bidi="ar"/>
              </w:rPr>
              <w:t>4</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色度性能（白色、黄色）</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 </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rPr>
                <w:rFonts w:ascii="宋体" w:hAnsi="宋体" w:cs="宋体"/>
                <w:color w:val="auto"/>
                <w:szCs w:val="21"/>
              </w:rPr>
            </w:pP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     色品坐标</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lang w:bidi="ar"/>
              </w:rPr>
              <w:t>满足JT/T 280-2004</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rPr>
                <w:rFonts w:ascii="宋体" w:hAnsi="宋体" w:cs="宋体"/>
                <w:color w:val="auto"/>
                <w:szCs w:val="21"/>
              </w:rPr>
            </w:pP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      亮度因数</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ascii="宋体" w:hAnsi="宋体" w:cs="宋体"/>
                <w:color w:val="auto"/>
                <w:szCs w:val="21"/>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5</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抗压强度，Mpa，不低于</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15</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6</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耐磨性，mg，不高于</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70</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7</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玻璃珠含量，%，不低于</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25</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8</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流动度，S</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35±5</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9</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耐水性</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通过</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10</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耐碱性</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通过</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11</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低温开裂性</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通过</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12</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加热稳定性</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通过</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13</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表面邵氏硬度，D，不低于</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70</w:t>
            </w: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邵氏硬度计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14</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落球冲击强度，N.m，不低于</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0.75</w:t>
            </w: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冲击强度仪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15</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总有机物含量，wt%，不低于</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19</w:t>
            </w: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高温烧结法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16</w:t>
            </w:r>
          </w:p>
        </w:tc>
        <w:tc>
          <w:tcPr>
            <w:tcW w:w="30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rPr>
                <w:rFonts w:ascii="宋体" w:hAnsi="宋体" w:cs="宋体"/>
                <w:color w:val="auto"/>
                <w:szCs w:val="21"/>
              </w:rPr>
            </w:pPr>
            <w:r>
              <w:rPr>
                <w:rFonts w:hint="eastAsia" w:ascii="宋体" w:hAnsi="宋体" w:cs="宋体"/>
                <w:color w:val="auto"/>
                <w:szCs w:val="21"/>
                <w:lang w:bidi="ar"/>
              </w:rPr>
              <w:t>Elements粘结性能</w:t>
            </w:r>
          </w:p>
        </w:tc>
        <w:tc>
          <w:tcPr>
            <w:tcW w:w="180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通过</w:t>
            </w:r>
          </w:p>
        </w:tc>
        <w:tc>
          <w:tcPr>
            <w:tcW w:w="162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bottom"/>
          </w:tcPr>
          <w:p>
            <w:pPr>
              <w:adjustRightInd w:val="0"/>
              <w:snapToGrid w:val="0"/>
              <w:jc w:val="center"/>
              <w:rPr>
                <w:rFonts w:ascii="宋体" w:hAnsi="宋体" w:cs="宋体"/>
                <w:color w:val="auto"/>
                <w:szCs w:val="21"/>
              </w:rPr>
            </w:pPr>
            <w:r>
              <w:rPr>
                <w:rFonts w:hint="eastAsia" w:ascii="宋体" w:hAnsi="宋体" w:cs="宋体"/>
                <w:color w:val="auto"/>
                <w:szCs w:val="21"/>
                <w:lang w:bidi="ar"/>
              </w:rPr>
              <w:t>内部</w:t>
            </w:r>
          </w:p>
        </w:tc>
      </w:tr>
    </w:tbl>
    <w:p>
      <w:pPr>
        <w:autoSpaceDE w:val="0"/>
        <w:autoSpaceDN w:val="0"/>
        <w:adjustRightInd w:val="0"/>
        <w:snapToGrid w:val="0"/>
        <w:spacing w:line="440" w:lineRule="exact"/>
        <w:jc w:val="center"/>
        <w:rPr>
          <w:b/>
          <w:color w:val="auto"/>
          <w:szCs w:val="21"/>
        </w:rPr>
      </w:pPr>
      <w:r>
        <w:rPr>
          <w:rFonts w:hint="eastAsia" w:cs="宋体"/>
          <w:b/>
          <w:color w:val="auto"/>
          <w:szCs w:val="21"/>
          <w:lang w:bidi="ar"/>
        </w:rPr>
        <w:t>热熔涂料配方性能指标</w:t>
      </w:r>
    </w:p>
    <w:p>
      <w:pPr>
        <w:pStyle w:val="16"/>
        <w:jc w:val="center"/>
        <w:rPr>
          <w:color w:val="auto"/>
          <w:szCs w:val="21"/>
        </w:rPr>
      </w:pPr>
    </w:p>
    <w:p>
      <w:pPr>
        <w:autoSpaceDE w:val="0"/>
        <w:autoSpaceDN w:val="0"/>
        <w:adjustRightInd w:val="0"/>
        <w:snapToGrid w:val="0"/>
        <w:spacing w:line="360" w:lineRule="auto"/>
        <w:rPr>
          <w:rFonts w:ascii="宋体" w:hAnsi="宋体" w:cs="宋体"/>
          <w:b/>
          <w:color w:val="auto"/>
          <w:sz w:val="24"/>
        </w:rPr>
      </w:pPr>
      <w:r>
        <w:rPr>
          <w:rFonts w:hint="eastAsia" w:ascii="宋体" w:hAnsi="宋体" w:cs="宋体"/>
          <w:b/>
          <w:color w:val="auto"/>
          <w:sz w:val="24"/>
          <w:lang w:bidi="ar"/>
        </w:rPr>
        <w:t>面撒玻璃珠的技术指标</w:t>
      </w:r>
    </w:p>
    <w:p>
      <w:pPr>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lang w:bidi="ar"/>
        </w:rPr>
        <w:t>玻璃珠应满足GB/T 24722-2009的标准，玻璃珠应为无色透明的球体结构，成圆率不低于80%，玻璃珠表面应没有坑槽或划痕，折射率不低于1.5。平均粒径在0.8-1.2 mm。</w:t>
      </w:r>
    </w:p>
    <w:p>
      <w:pPr>
        <w:autoSpaceDE w:val="0"/>
        <w:autoSpaceDN w:val="0"/>
        <w:snapToGrid w:val="0"/>
        <w:spacing w:line="360" w:lineRule="auto"/>
        <w:rPr>
          <w:rFonts w:ascii="宋体" w:hAnsi="宋体" w:cs="宋体"/>
          <w:color w:val="auto"/>
          <w:sz w:val="24"/>
        </w:rPr>
      </w:pPr>
    </w:p>
    <w:p>
      <w:pPr>
        <w:autoSpaceDE w:val="0"/>
        <w:autoSpaceDN w:val="0"/>
        <w:snapToGrid w:val="0"/>
        <w:spacing w:line="360" w:lineRule="auto"/>
        <w:ind w:firstLine="120" w:firstLineChars="50"/>
        <w:rPr>
          <w:rFonts w:ascii="宋体" w:hAnsi="宋体" w:cs="宋体"/>
          <w:b/>
          <w:color w:val="auto"/>
          <w:sz w:val="24"/>
        </w:rPr>
      </w:pPr>
      <w:r>
        <w:rPr>
          <w:rFonts w:hint="eastAsia" w:ascii="宋体" w:hAnsi="宋体" w:cs="宋体"/>
          <w:b/>
          <w:color w:val="auto"/>
          <w:sz w:val="24"/>
        </w:rPr>
        <w:t>标线施划、除线要求</w:t>
      </w:r>
    </w:p>
    <w:p>
      <w:pPr>
        <w:autoSpaceDE w:val="0"/>
        <w:autoSpaceDN w:val="0"/>
        <w:snapToGrid w:val="0"/>
        <w:spacing w:line="360" w:lineRule="auto"/>
        <w:rPr>
          <w:rFonts w:ascii="宋体" w:hAnsi="宋体" w:cs="宋体"/>
          <w:color w:val="auto"/>
          <w:sz w:val="24"/>
        </w:rPr>
      </w:pPr>
      <w:r>
        <w:rPr>
          <w:rFonts w:hint="eastAsia" w:ascii="宋体" w:hAnsi="宋体" w:cs="宋体"/>
          <w:color w:val="auto"/>
          <w:sz w:val="24"/>
        </w:rPr>
        <w:t>（1）对需要铲除的旧线，要做到铲除后不会引起驾驶员的误解和投诉。</w:t>
      </w:r>
    </w:p>
    <w:p>
      <w:pPr>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kern w:val="0"/>
          <w:sz w:val="24"/>
        </w:rPr>
        <w:t>交叉路口驶入段的导向车道内应有导向箭头标明各车道的行驶方向。距路口最近的第一组导向箭头在距停止线2m处设置，第二组在导向车道的起始位置设置，箭头起始端部与导向车道线起始端部平齐，第三组作为预告箭头，在距第二组箭头前30m～50m间隔设置，预告箭头指示方向应与前方导向车道允许行驶方向保持一致。道路设计速度≤40km/h，导向箭头设置2组；道路设计速度40~100km/h，导向箭头设置3组。</w:t>
      </w:r>
    </w:p>
    <w:p>
      <w:pPr>
        <w:spacing w:line="360" w:lineRule="auto"/>
        <w:rPr>
          <w:rFonts w:ascii="宋体" w:hAnsi="宋体" w:cs="宋体"/>
          <w:color w:val="auto"/>
          <w:kern w:val="0"/>
          <w:sz w:val="24"/>
        </w:rPr>
      </w:pPr>
      <w:r>
        <w:rPr>
          <w:rFonts w:hint="eastAsia" w:ascii="宋体" w:hAnsi="宋体" w:cs="宋体"/>
          <w:color w:val="auto"/>
          <w:sz w:val="24"/>
        </w:rPr>
        <w:t>（3）</w:t>
      </w:r>
      <w:r>
        <w:rPr>
          <w:rFonts w:hint="eastAsia" w:ascii="宋体" w:hAnsi="宋体" w:cs="宋体"/>
          <w:color w:val="auto"/>
          <w:kern w:val="0"/>
          <w:sz w:val="24"/>
        </w:rPr>
        <w:t>标线施工注意：(a)交通标线的划法应符合国家和地方的有关规定，做到整齐、清晰、醒目,色泽与漆膜厚薄均匀；划漆线条流畅，线性规则。(b)交通标线材料应具有良好的耐磨性、防滑性和辨认性，并按照规范采用符合要求的涂料。(c)交通标线施工前要清洗地面，除净灰尘和泥土，然后按设计要求放样漆划。标线或底漆施划后，应放置锥形交通路标，待标线干燥后才能撤走。(d)交通标线施工禁止在雨天和潮湿冰冻的路面上进行。热熔型涂料施工时气温不低于10℃。(e)标线涂层厚度为1.8mm；突起型标线涂层突起部分的高度为3~7mm，基线的厚度为1.8mm。(f)撒布在标线涂层上的玻璃珠应分布均匀，其撒布量为0.3kg/ m</w:t>
      </w:r>
      <w:r>
        <w:rPr>
          <w:rFonts w:hint="eastAsia" w:ascii="宋体" w:hAnsi="宋体" w:cs="宋体"/>
          <w:color w:val="auto"/>
          <w:kern w:val="0"/>
          <w:sz w:val="24"/>
          <w:vertAlign w:val="superscript"/>
        </w:rPr>
        <w:t>2</w:t>
      </w:r>
      <w:r>
        <w:rPr>
          <w:rFonts w:hint="eastAsia" w:ascii="宋体" w:hAnsi="宋体" w:cs="宋体"/>
          <w:color w:val="auto"/>
          <w:kern w:val="0"/>
          <w:sz w:val="24"/>
        </w:rPr>
        <w:t>~0.4g/ m</w:t>
      </w:r>
      <w:r>
        <w:rPr>
          <w:rFonts w:hint="eastAsia" w:ascii="宋体" w:hAnsi="宋体" w:cs="宋体"/>
          <w:color w:val="auto"/>
          <w:kern w:val="0"/>
          <w:sz w:val="24"/>
          <w:vertAlign w:val="superscript"/>
        </w:rPr>
        <w:t>2</w:t>
      </w:r>
      <w:r>
        <w:rPr>
          <w:rFonts w:hint="eastAsia" w:ascii="宋体" w:hAnsi="宋体" w:cs="宋体"/>
          <w:color w:val="auto"/>
          <w:kern w:val="0"/>
          <w:sz w:val="24"/>
        </w:rPr>
        <w:t>。（g）标线施工前要和业主方一起踏看施工范围，制作施工计划，并每周向业主方反馈施工进度。</w:t>
      </w:r>
    </w:p>
    <w:p>
      <w:pPr>
        <w:spacing w:line="360" w:lineRule="auto"/>
        <w:rPr>
          <w:rFonts w:ascii="宋体" w:hAnsi="宋体" w:cs="宋体"/>
          <w:b/>
          <w:color w:val="auto"/>
          <w:sz w:val="24"/>
        </w:rPr>
      </w:pPr>
      <w:r>
        <w:rPr>
          <w:rFonts w:hint="eastAsia" w:ascii="宋体" w:hAnsi="宋体" w:cs="宋体"/>
          <w:bCs/>
          <w:color w:val="auto"/>
          <w:sz w:val="24"/>
        </w:rPr>
        <w:t>（4）设备的质量标准、检测标准、测试手段、安装标准</w:t>
      </w:r>
    </w:p>
    <w:p>
      <w:pPr>
        <w:spacing w:line="360" w:lineRule="auto"/>
        <w:rPr>
          <w:rFonts w:ascii="宋体" w:hAnsi="宋体" w:cs="宋体"/>
          <w:color w:val="auto"/>
          <w:sz w:val="24"/>
        </w:rPr>
      </w:pPr>
      <w:r>
        <w:rPr>
          <w:rFonts w:hint="eastAsia" w:ascii="宋体" w:hAnsi="宋体" w:cs="宋体"/>
          <w:color w:val="auto"/>
          <w:sz w:val="24"/>
        </w:rPr>
        <w:t>●JTGF80/1-2004《公路工程质量检验评定标准》</w:t>
      </w:r>
    </w:p>
    <w:p>
      <w:pPr>
        <w:spacing w:line="360" w:lineRule="auto"/>
        <w:rPr>
          <w:rFonts w:ascii="宋体" w:hAnsi="宋体" w:cs="宋体"/>
          <w:color w:val="auto"/>
          <w:sz w:val="24"/>
        </w:rPr>
      </w:pPr>
      <w:r>
        <w:rPr>
          <w:rFonts w:hint="eastAsia" w:ascii="宋体" w:hAnsi="宋体" w:cs="宋体"/>
          <w:color w:val="auto"/>
          <w:sz w:val="24"/>
        </w:rPr>
        <w:t>●GA/T652-2016《公安交通管理外场设备基础施工通用要求》</w:t>
      </w:r>
    </w:p>
    <w:p>
      <w:pPr>
        <w:spacing w:line="360" w:lineRule="auto"/>
        <w:rPr>
          <w:rFonts w:ascii="宋体" w:hAnsi="宋体" w:cs="宋体"/>
          <w:color w:val="auto"/>
          <w:sz w:val="24"/>
        </w:rPr>
      </w:pPr>
      <w:r>
        <w:rPr>
          <w:rFonts w:hint="eastAsia" w:ascii="宋体" w:hAnsi="宋体" w:cs="宋体"/>
          <w:color w:val="auto"/>
          <w:sz w:val="24"/>
        </w:rPr>
        <w:t>●GB/T16311-2005《道路交通标线质量要求和检测方法》等相关规范</w:t>
      </w:r>
    </w:p>
    <w:p>
      <w:pPr>
        <w:tabs>
          <w:tab w:val="left" w:pos="3589"/>
        </w:tabs>
        <w:spacing w:line="360" w:lineRule="auto"/>
        <w:ind w:firstLine="482" w:firstLineChars="200"/>
        <w:rPr>
          <w:rFonts w:ascii="宋体" w:hAnsi="宋体" w:cs="宋体"/>
          <w:b/>
          <w:color w:val="auto"/>
          <w:sz w:val="24"/>
        </w:rPr>
      </w:pPr>
      <w:r>
        <w:rPr>
          <w:rFonts w:hint="eastAsia" w:ascii="宋体" w:hAnsi="宋体" w:cs="宋体"/>
          <w:b/>
          <w:color w:val="auto"/>
          <w:sz w:val="24"/>
        </w:rPr>
        <w:t>▲验收时中标人应提供每个路口、路段标线的工作量清单，标线路口的工作量清单要描述各个方向的工作量。（道路交通标线的箭头、文字或字母、图形、区域等特殊路面标线按区域面积（以设计特殊标线前、后、左、右四侧的最外缘涂敷点或线连接成的顺中心线方向矩形面积）计算数量，其他路面标线按涂敷实际面积计算数量；路面标线玻璃珠包含在涂敷面积内，不单独计量。）</w:t>
      </w:r>
    </w:p>
    <w:p>
      <w:pPr>
        <w:tabs>
          <w:tab w:val="left" w:pos="3589"/>
        </w:tabs>
        <w:spacing w:line="360" w:lineRule="auto"/>
        <w:ind w:firstLine="480" w:firstLineChars="200"/>
        <w:rPr>
          <w:rFonts w:ascii="宋体" w:hAnsi="宋体" w:cs="宋体"/>
          <w:color w:val="auto"/>
          <w:sz w:val="24"/>
        </w:rPr>
      </w:pPr>
      <w:r>
        <w:rPr>
          <w:rFonts w:hint="eastAsia" w:ascii="宋体" w:hAnsi="宋体" w:cs="宋体"/>
          <w:color w:val="auto"/>
          <w:sz w:val="24"/>
        </w:rPr>
        <w:t>评标委员会现场对样品进行测量打分。中标人的样品由双方确认交由采购人进行封存保管，作为检验施工方施工质量、效果的标准之一，在本项目验收合格后退还。样品不能体现或影射任何与投标人有关的信息，否则按无效标处理。</w:t>
      </w:r>
    </w:p>
    <w:p>
      <w:pPr>
        <w:pStyle w:val="16"/>
        <w:numPr>
          <w:ilvl w:val="0"/>
          <w:numId w:val="8"/>
        </w:num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中标单位职责、权限</w:t>
      </w:r>
    </w:p>
    <w:p>
      <w:pPr>
        <w:pStyle w:val="16"/>
        <w:spacing w:line="360" w:lineRule="auto"/>
        <w:ind w:firstLine="0"/>
        <w:rPr>
          <w:rFonts w:ascii="宋体" w:hAnsi="宋体" w:cs="宋体"/>
          <w:color w:val="auto"/>
          <w:sz w:val="24"/>
          <w:szCs w:val="24"/>
        </w:rPr>
      </w:pPr>
      <w:r>
        <w:rPr>
          <w:rFonts w:hint="eastAsia" w:ascii="宋体" w:hAnsi="宋体" w:cs="宋体"/>
          <w:color w:val="auto"/>
          <w:sz w:val="24"/>
          <w:szCs w:val="24"/>
        </w:rPr>
        <w:t xml:space="preserve">(1)按有关技术规范进行施工，确保项目质量。 </w:t>
      </w:r>
    </w:p>
    <w:p>
      <w:pPr>
        <w:pStyle w:val="16"/>
        <w:spacing w:line="360" w:lineRule="auto"/>
        <w:ind w:firstLine="0"/>
        <w:rPr>
          <w:rFonts w:ascii="宋体" w:hAnsi="宋体" w:cs="宋体"/>
          <w:color w:val="auto"/>
          <w:sz w:val="24"/>
          <w:szCs w:val="24"/>
        </w:rPr>
      </w:pPr>
      <w:r>
        <w:rPr>
          <w:rFonts w:hint="eastAsia" w:ascii="宋体" w:hAnsi="宋体" w:cs="宋体"/>
          <w:color w:val="auto"/>
          <w:sz w:val="24"/>
          <w:szCs w:val="24"/>
        </w:rPr>
        <w:t xml:space="preserve">(2)服从采购人、监理工作的进程安排，及时进场并保证工期。 </w:t>
      </w:r>
    </w:p>
    <w:p>
      <w:pPr>
        <w:pStyle w:val="16"/>
        <w:spacing w:line="360" w:lineRule="auto"/>
        <w:ind w:firstLine="0"/>
        <w:rPr>
          <w:rFonts w:ascii="宋体" w:hAnsi="宋体" w:cs="宋体"/>
          <w:color w:val="auto"/>
          <w:sz w:val="24"/>
          <w:szCs w:val="24"/>
        </w:rPr>
      </w:pPr>
      <w:r>
        <w:rPr>
          <w:rFonts w:hint="eastAsia" w:ascii="宋体" w:hAnsi="宋体" w:cs="宋体"/>
          <w:color w:val="auto"/>
          <w:sz w:val="24"/>
          <w:szCs w:val="24"/>
        </w:rPr>
        <w:t xml:space="preserve">(3)接到采购人更改通知时，按更改要求进行工程项目更改，并向监理报备。 </w:t>
      </w:r>
    </w:p>
    <w:p>
      <w:pPr>
        <w:pStyle w:val="16"/>
        <w:spacing w:line="360" w:lineRule="auto"/>
        <w:ind w:firstLine="0"/>
        <w:rPr>
          <w:rFonts w:ascii="宋体" w:hAnsi="宋体" w:cs="宋体"/>
          <w:color w:val="auto"/>
          <w:sz w:val="24"/>
          <w:szCs w:val="24"/>
        </w:rPr>
      </w:pPr>
      <w:r>
        <w:rPr>
          <w:rFonts w:hint="eastAsia" w:ascii="宋体" w:hAnsi="宋体" w:cs="宋体"/>
          <w:color w:val="auto"/>
          <w:sz w:val="24"/>
          <w:szCs w:val="24"/>
        </w:rPr>
        <w:t xml:space="preserve">(4)应严格按本次招投标的规定要求履行并承担自己的职责。 </w:t>
      </w:r>
    </w:p>
    <w:p>
      <w:pPr>
        <w:pStyle w:val="16"/>
        <w:spacing w:line="360" w:lineRule="auto"/>
        <w:ind w:firstLine="0"/>
        <w:rPr>
          <w:rFonts w:ascii="宋体" w:hAnsi="宋体" w:cs="宋体"/>
          <w:color w:val="auto"/>
          <w:sz w:val="24"/>
          <w:szCs w:val="24"/>
        </w:rPr>
      </w:pPr>
      <w:r>
        <w:rPr>
          <w:rFonts w:hint="eastAsia" w:ascii="宋体" w:hAnsi="宋体" w:cs="宋体"/>
          <w:color w:val="auto"/>
          <w:sz w:val="24"/>
          <w:szCs w:val="24"/>
        </w:rPr>
        <w:t xml:space="preserve">(5)按图纸要求、合同条款、技术规范等要求，承担项目的维修、维护等工作。 </w:t>
      </w:r>
    </w:p>
    <w:p>
      <w:pPr>
        <w:pStyle w:val="16"/>
        <w:spacing w:line="360" w:lineRule="auto"/>
        <w:ind w:firstLine="0"/>
        <w:rPr>
          <w:rFonts w:ascii="宋体" w:hAnsi="宋体" w:cs="宋体"/>
          <w:color w:val="auto"/>
          <w:sz w:val="24"/>
          <w:szCs w:val="24"/>
        </w:rPr>
      </w:pPr>
      <w:r>
        <w:rPr>
          <w:rFonts w:hint="eastAsia" w:ascii="宋体" w:hAnsi="宋体" w:cs="宋体"/>
          <w:color w:val="auto"/>
          <w:sz w:val="24"/>
          <w:szCs w:val="24"/>
        </w:rPr>
        <w:t xml:space="preserve">(6)所使用的主要原材料均需要提供检测报告或质量保证单。 </w:t>
      </w:r>
    </w:p>
    <w:p>
      <w:pPr>
        <w:pStyle w:val="16"/>
        <w:spacing w:line="360" w:lineRule="auto"/>
        <w:ind w:firstLine="0"/>
        <w:rPr>
          <w:rFonts w:ascii="宋体" w:hAnsi="宋体" w:cs="宋体"/>
          <w:color w:val="auto"/>
          <w:sz w:val="24"/>
          <w:szCs w:val="24"/>
        </w:rPr>
      </w:pPr>
      <w:r>
        <w:rPr>
          <w:rFonts w:hint="eastAsia" w:ascii="宋体" w:hAnsi="宋体" w:cs="宋体"/>
          <w:color w:val="auto"/>
          <w:sz w:val="24"/>
          <w:szCs w:val="24"/>
        </w:rPr>
        <w:t xml:space="preserve">(7)接受采购人的各项工作业务指导。 </w:t>
      </w:r>
    </w:p>
    <w:p>
      <w:pPr>
        <w:pStyle w:val="16"/>
        <w:spacing w:line="360" w:lineRule="auto"/>
        <w:ind w:firstLine="0"/>
        <w:rPr>
          <w:rFonts w:ascii="宋体" w:hAnsi="宋体" w:cs="宋体"/>
          <w:color w:val="auto"/>
          <w:sz w:val="24"/>
          <w:szCs w:val="24"/>
        </w:rPr>
      </w:pPr>
      <w:r>
        <w:rPr>
          <w:rFonts w:hint="eastAsia" w:ascii="宋体" w:hAnsi="宋体" w:cs="宋体"/>
          <w:color w:val="auto"/>
          <w:sz w:val="24"/>
          <w:szCs w:val="24"/>
        </w:rPr>
        <w:t xml:space="preserve">(8)负责施工场地的安全文明生产。 </w:t>
      </w:r>
    </w:p>
    <w:p>
      <w:pPr>
        <w:pStyle w:val="16"/>
        <w:spacing w:line="360" w:lineRule="auto"/>
        <w:ind w:firstLine="0"/>
        <w:rPr>
          <w:rFonts w:ascii="宋体" w:hAnsi="宋体" w:cs="宋体"/>
          <w:color w:val="auto"/>
          <w:sz w:val="24"/>
          <w:szCs w:val="24"/>
        </w:rPr>
      </w:pPr>
      <w:r>
        <w:rPr>
          <w:rFonts w:hint="eastAsia" w:ascii="宋体" w:hAnsi="宋体" w:cs="宋体"/>
          <w:color w:val="auto"/>
          <w:sz w:val="24"/>
          <w:szCs w:val="24"/>
        </w:rPr>
        <w:t xml:space="preserve">(9)建立项目施工的质量保证体系。 </w:t>
      </w:r>
    </w:p>
    <w:p>
      <w:pPr>
        <w:pStyle w:val="16"/>
        <w:spacing w:line="360" w:lineRule="auto"/>
        <w:ind w:firstLine="0"/>
        <w:rPr>
          <w:rFonts w:ascii="宋体" w:hAnsi="宋体" w:cs="宋体"/>
          <w:color w:val="auto"/>
          <w:sz w:val="24"/>
          <w:szCs w:val="24"/>
        </w:rPr>
      </w:pPr>
      <w:r>
        <w:rPr>
          <w:rFonts w:hint="eastAsia" w:ascii="宋体" w:hAnsi="宋体" w:cs="宋体"/>
          <w:color w:val="auto"/>
          <w:sz w:val="24"/>
          <w:szCs w:val="24"/>
        </w:rPr>
        <w:t xml:space="preserve">(10)负责交通安全设施施工场地、车辆、机械设备、原材料等的施工保障。 </w:t>
      </w:r>
    </w:p>
    <w:p>
      <w:pPr>
        <w:pStyle w:val="16"/>
        <w:spacing w:line="360" w:lineRule="auto"/>
        <w:ind w:firstLine="0"/>
        <w:rPr>
          <w:rFonts w:ascii="宋体" w:hAnsi="宋体" w:cs="宋体"/>
          <w:color w:val="auto"/>
          <w:sz w:val="24"/>
          <w:szCs w:val="24"/>
        </w:rPr>
      </w:pPr>
      <w:r>
        <w:rPr>
          <w:rFonts w:hint="eastAsia" w:ascii="宋体" w:hAnsi="宋体" w:cs="宋体"/>
          <w:color w:val="auto"/>
          <w:sz w:val="24"/>
          <w:szCs w:val="24"/>
        </w:rPr>
        <w:t xml:space="preserve">(11)接受交通警察局、监理对文明施工、安全施工、质量、施工时效等的监管。 </w:t>
      </w:r>
    </w:p>
    <w:p>
      <w:pPr>
        <w:pStyle w:val="16"/>
        <w:spacing w:line="360" w:lineRule="auto"/>
        <w:ind w:firstLine="0"/>
        <w:rPr>
          <w:rFonts w:ascii="宋体" w:hAnsi="宋体" w:cs="宋体"/>
          <w:color w:val="auto"/>
          <w:sz w:val="24"/>
          <w:szCs w:val="24"/>
        </w:rPr>
      </w:pPr>
      <w:r>
        <w:rPr>
          <w:rFonts w:hint="eastAsia" w:ascii="宋体" w:hAnsi="宋体" w:cs="宋体"/>
          <w:color w:val="auto"/>
          <w:sz w:val="24"/>
          <w:szCs w:val="24"/>
        </w:rPr>
        <w:t xml:space="preserve">(12)及时反馈联系单。 </w:t>
      </w:r>
    </w:p>
    <w:p>
      <w:pPr>
        <w:pStyle w:val="16"/>
        <w:spacing w:line="360" w:lineRule="auto"/>
        <w:ind w:firstLine="0"/>
        <w:rPr>
          <w:rFonts w:ascii="宋体" w:hAnsi="宋体" w:cs="宋体"/>
          <w:color w:val="auto"/>
          <w:sz w:val="24"/>
          <w:szCs w:val="24"/>
        </w:rPr>
      </w:pPr>
      <w:r>
        <w:rPr>
          <w:rFonts w:hint="eastAsia" w:ascii="宋体" w:hAnsi="宋体" w:cs="宋体"/>
          <w:color w:val="auto"/>
          <w:sz w:val="24"/>
          <w:szCs w:val="24"/>
        </w:rPr>
        <w:t xml:space="preserve">(13)中标人提供正常施工必须的所有人工（包括工种）、机械设备（包括车辆）、主要原材料等； </w:t>
      </w:r>
    </w:p>
    <w:p>
      <w:pPr>
        <w:pStyle w:val="16"/>
        <w:spacing w:line="360" w:lineRule="auto"/>
        <w:ind w:firstLine="0"/>
        <w:rPr>
          <w:rFonts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kern w:val="0"/>
          <w:sz w:val="24"/>
          <w:szCs w:val="24"/>
        </w:rPr>
        <w:t>14</w:t>
      </w:r>
      <w:r>
        <w:rPr>
          <w:rFonts w:hint="eastAsia" w:ascii="宋体" w:hAnsi="宋体" w:cs="宋体"/>
          <w:color w:val="auto"/>
          <w:sz w:val="24"/>
          <w:szCs w:val="24"/>
        </w:rPr>
        <w:t>)</w:t>
      </w:r>
      <w:r>
        <w:rPr>
          <w:rFonts w:hint="eastAsia" w:ascii="宋体" w:hAnsi="宋体" w:cs="宋体"/>
          <w:color w:val="auto"/>
          <w:kern w:val="0"/>
          <w:sz w:val="24"/>
          <w:szCs w:val="24"/>
        </w:rPr>
        <w:t xml:space="preserve">监理在巡查过程中发现中标单位在施工中不按国家有关标准设置，经采购人确认后，施工单位无条件返工，并承担因返工额外产生的费用； </w:t>
      </w:r>
    </w:p>
    <w:p>
      <w:pPr>
        <w:pStyle w:val="16"/>
        <w:spacing w:line="360" w:lineRule="auto"/>
        <w:ind w:firstLine="0"/>
        <w:rPr>
          <w:rFonts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kern w:val="0"/>
          <w:sz w:val="24"/>
          <w:szCs w:val="24"/>
        </w:rPr>
        <w:t>15</w:t>
      </w:r>
      <w:r>
        <w:rPr>
          <w:rFonts w:hint="eastAsia" w:ascii="宋体" w:hAnsi="宋体" w:cs="宋体"/>
          <w:color w:val="auto"/>
          <w:sz w:val="24"/>
          <w:szCs w:val="24"/>
        </w:rPr>
        <w:t>)</w:t>
      </w:r>
      <w:r>
        <w:rPr>
          <w:rFonts w:hint="eastAsia" w:ascii="宋体" w:hAnsi="宋体" w:cs="宋体"/>
          <w:color w:val="auto"/>
          <w:kern w:val="0"/>
          <w:sz w:val="24"/>
          <w:szCs w:val="24"/>
        </w:rPr>
        <w:t xml:space="preserve">施工结束后中标人提供完工清单，监理及采购人按规定验收； </w:t>
      </w:r>
    </w:p>
    <w:p>
      <w:pPr>
        <w:pStyle w:val="16"/>
        <w:spacing w:line="360" w:lineRule="auto"/>
        <w:ind w:firstLine="0"/>
        <w:rPr>
          <w:rFonts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kern w:val="0"/>
          <w:sz w:val="24"/>
          <w:szCs w:val="24"/>
        </w:rPr>
        <w:t>16</w:t>
      </w:r>
      <w:r>
        <w:rPr>
          <w:rFonts w:hint="eastAsia" w:ascii="宋体" w:hAnsi="宋体" w:cs="宋体"/>
          <w:color w:val="auto"/>
          <w:sz w:val="24"/>
          <w:szCs w:val="24"/>
        </w:rPr>
        <w:t>)</w:t>
      </w:r>
      <w:r>
        <w:rPr>
          <w:rFonts w:hint="eastAsia" w:ascii="宋体" w:hAnsi="宋体" w:cs="宋体"/>
          <w:color w:val="auto"/>
          <w:kern w:val="0"/>
          <w:sz w:val="24"/>
          <w:szCs w:val="24"/>
        </w:rPr>
        <w:t xml:space="preserve">中标单位有下列行为之一的，采购人有权终止合同。 </w:t>
      </w:r>
    </w:p>
    <w:p>
      <w:pPr>
        <w:pStyle w:val="16"/>
        <w:spacing w:line="360" w:lineRule="auto"/>
        <w:ind w:firstLine="0"/>
        <w:rPr>
          <w:rFonts w:ascii="宋体" w:hAnsi="宋体" w:cs="宋体"/>
          <w:color w:val="auto"/>
          <w:kern w:val="0"/>
          <w:sz w:val="24"/>
          <w:szCs w:val="24"/>
        </w:rPr>
      </w:pPr>
      <w:r>
        <w:rPr>
          <w:rFonts w:hint="eastAsia" w:ascii="宋体" w:hAnsi="宋体" w:cs="宋体"/>
          <w:color w:val="auto"/>
          <w:kern w:val="0"/>
          <w:sz w:val="24"/>
          <w:szCs w:val="24"/>
        </w:rPr>
        <w:t xml:space="preserve">A、不符合工程技术标准的； </w:t>
      </w:r>
    </w:p>
    <w:p>
      <w:pPr>
        <w:pStyle w:val="16"/>
        <w:spacing w:line="360" w:lineRule="auto"/>
        <w:ind w:firstLine="0"/>
        <w:rPr>
          <w:rFonts w:ascii="宋体" w:hAnsi="宋体" w:cs="宋体"/>
          <w:color w:val="auto"/>
          <w:kern w:val="0"/>
          <w:sz w:val="24"/>
          <w:szCs w:val="24"/>
        </w:rPr>
      </w:pPr>
      <w:r>
        <w:rPr>
          <w:rFonts w:hint="eastAsia" w:ascii="宋体" w:hAnsi="宋体" w:cs="宋体"/>
          <w:color w:val="auto"/>
          <w:kern w:val="0"/>
          <w:sz w:val="24"/>
          <w:szCs w:val="24"/>
        </w:rPr>
        <w:t xml:space="preserve">B、偷工减料的； </w:t>
      </w:r>
    </w:p>
    <w:p>
      <w:pPr>
        <w:pStyle w:val="16"/>
        <w:spacing w:line="360" w:lineRule="auto"/>
        <w:ind w:firstLine="0"/>
        <w:rPr>
          <w:rFonts w:ascii="宋体" w:hAnsi="宋体" w:cs="宋体"/>
          <w:color w:val="auto"/>
          <w:kern w:val="0"/>
          <w:sz w:val="24"/>
          <w:szCs w:val="24"/>
        </w:rPr>
      </w:pPr>
      <w:r>
        <w:rPr>
          <w:rFonts w:hint="eastAsia" w:ascii="宋体" w:hAnsi="宋体" w:cs="宋体"/>
          <w:color w:val="auto"/>
          <w:kern w:val="0"/>
          <w:sz w:val="24"/>
          <w:szCs w:val="24"/>
        </w:rPr>
        <w:t xml:space="preserve">C、不按图施工的； </w:t>
      </w:r>
    </w:p>
    <w:p>
      <w:pPr>
        <w:pStyle w:val="16"/>
        <w:spacing w:line="360" w:lineRule="auto"/>
        <w:ind w:firstLine="0"/>
        <w:rPr>
          <w:rFonts w:ascii="宋体" w:hAnsi="宋体" w:cs="宋体"/>
          <w:color w:val="auto"/>
          <w:kern w:val="0"/>
          <w:sz w:val="24"/>
          <w:szCs w:val="24"/>
        </w:rPr>
      </w:pPr>
      <w:r>
        <w:rPr>
          <w:rFonts w:hint="eastAsia" w:ascii="宋体" w:hAnsi="宋体" w:cs="宋体"/>
          <w:color w:val="auto"/>
          <w:kern w:val="0"/>
          <w:sz w:val="24"/>
          <w:szCs w:val="24"/>
        </w:rPr>
        <w:t xml:space="preserve">D、造成重特大责任事故的； </w:t>
      </w:r>
    </w:p>
    <w:p>
      <w:pPr>
        <w:pStyle w:val="16"/>
        <w:spacing w:line="360" w:lineRule="auto"/>
        <w:ind w:firstLine="0"/>
        <w:rPr>
          <w:rFonts w:ascii="宋体" w:hAnsi="宋体" w:cs="宋体"/>
          <w:color w:val="auto"/>
          <w:kern w:val="0"/>
          <w:sz w:val="24"/>
          <w:szCs w:val="24"/>
        </w:rPr>
      </w:pPr>
      <w:r>
        <w:rPr>
          <w:rFonts w:hint="eastAsia" w:ascii="宋体" w:hAnsi="宋体" w:cs="宋体"/>
          <w:color w:val="auto"/>
          <w:kern w:val="0"/>
          <w:sz w:val="24"/>
          <w:szCs w:val="24"/>
        </w:rPr>
        <w:t xml:space="preserve">E、不文明安全施工的； </w:t>
      </w:r>
    </w:p>
    <w:p>
      <w:pPr>
        <w:pStyle w:val="16"/>
        <w:spacing w:line="360" w:lineRule="auto"/>
        <w:ind w:firstLine="0"/>
        <w:rPr>
          <w:rFonts w:ascii="宋体" w:hAnsi="宋体" w:cs="宋体"/>
          <w:color w:val="auto"/>
          <w:kern w:val="0"/>
          <w:sz w:val="24"/>
          <w:szCs w:val="24"/>
        </w:rPr>
      </w:pPr>
      <w:r>
        <w:rPr>
          <w:rFonts w:hint="eastAsia" w:ascii="宋体" w:hAnsi="宋体" w:cs="宋体"/>
          <w:color w:val="auto"/>
          <w:kern w:val="0"/>
          <w:sz w:val="24"/>
          <w:szCs w:val="24"/>
        </w:rPr>
        <w:t xml:space="preserve">F、不服从现场民警指挥的； </w:t>
      </w:r>
    </w:p>
    <w:p>
      <w:pPr>
        <w:pStyle w:val="16"/>
        <w:spacing w:line="360" w:lineRule="auto"/>
        <w:ind w:firstLine="0"/>
        <w:rPr>
          <w:rFonts w:ascii="宋体" w:hAnsi="宋体" w:cs="宋体"/>
          <w:color w:val="auto"/>
          <w:kern w:val="0"/>
          <w:sz w:val="24"/>
          <w:szCs w:val="24"/>
        </w:rPr>
      </w:pPr>
      <w:r>
        <w:rPr>
          <w:rFonts w:hint="eastAsia" w:ascii="宋体" w:hAnsi="宋体" w:cs="宋体"/>
          <w:color w:val="auto"/>
          <w:kern w:val="0"/>
          <w:sz w:val="24"/>
          <w:szCs w:val="24"/>
        </w:rPr>
        <w:t xml:space="preserve">G、擅自增设或变更交通安全设施的； </w:t>
      </w:r>
    </w:p>
    <w:p>
      <w:pPr>
        <w:pStyle w:val="16"/>
        <w:spacing w:line="360" w:lineRule="auto"/>
        <w:ind w:firstLine="0"/>
        <w:rPr>
          <w:rFonts w:ascii="宋体" w:hAnsi="宋体" w:cs="宋体"/>
          <w:color w:val="auto"/>
          <w:kern w:val="0"/>
          <w:sz w:val="24"/>
          <w:szCs w:val="24"/>
        </w:rPr>
      </w:pPr>
      <w:r>
        <w:rPr>
          <w:rFonts w:hint="eastAsia" w:ascii="宋体" w:hAnsi="宋体" w:cs="宋体"/>
          <w:color w:val="auto"/>
          <w:kern w:val="0"/>
          <w:sz w:val="24"/>
          <w:szCs w:val="24"/>
        </w:rPr>
        <w:t xml:space="preserve">H、全部或部分工程违法转包； </w:t>
      </w:r>
    </w:p>
    <w:p>
      <w:pPr>
        <w:pStyle w:val="16"/>
        <w:spacing w:line="360" w:lineRule="auto"/>
        <w:ind w:firstLine="0"/>
        <w:rPr>
          <w:rFonts w:ascii="宋体" w:hAnsi="宋体" w:cs="宋体"/>
          <w:color w:val="auto"/>
          <w:kern w:val="0"/>
          <w:sz w:val="24"/>
          <w:szCs w:val="24"/>
        </w:rPr>
      </w:pPr>
      <w:r>
        <w:rPr>
          <w:rFonts w:hint="eastAsia" w:ascii="宋体" w:hAnsi="宋体" w:cs="宋体"/>
          <w:color w:val="auto"/>
          <w:kern w:val="0"/>
          <w:sz w:val="24"/>
          <w:szCs w:val="24"/>
        </w:rPr>
        <w:t>I、多次未按合同履行维护维修工作的；</w:t>
      </w:r>
    </w:p>
    <w:p>
      <w:pPr>
        <w:pStyle w:val="16"/>
        <w:spacing w:line="360" w:lineRule="auto"/>
        <w:ind w:firstLine="0"/>
        <w:rPr>
          <w:rFonts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kern w:val="0"/>
          <w:sz w:val="24"/>
          <w:szCs w:val="24"/>
        </w:rPr>
        <w:t>18</w:t>
      </w:r>
      <w:r>
        <w:rPr>
          <w:rFonts w:hint="eastAsia" w:ascii="宋体" w:hAnsi="宋体" w:cs="宋体"/>
          <w:color w:val="auto"/>
          <w:sz w:val="24"/>
          <w:szCs w:val="24"/>
        </w:rPr>
        <w:t>)</w:t>
      </w:r>
      <w:r>
        <w:rPr>
          <w:rFonts w:hint="eastAsia" w:ascii="宋体" w:hAnsi="宋体" w:cs="宋体"/>
          <w:color w:val="auto"/>
          <w:kern w:val="0"/>
          <w:sz w:val="24"/>
          <w:szCs w:val="24"/>
        </w:rPr>
        <w:t xml:space="preserve">中标人在开展施工前应先制定完善的施工方案，自行办理道路挖掘手续的审批手续，并承担相关费用，尽可能减小因施工对道路通行带来的影响，施工时服从现场交警的管理及指挥； </w:t>
      </w:r>
    </w:p>
    <w:p>
      <w:pPr>
        <w:pStyle w:val="16"/>
        <w:spacing w:line="360" w:lineRule="auto"/>
        <w:ind w:firstLine="0"/>
        <w:rPr>
          <w:rFonts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kern w:val="0"/>
          <w:sz w:val="24"/>
          <w:szCs w:val="24"/>
        </w:rPr>
        <w:t>19</w:t>
      </w:r>
      <w:r>
        <w:rPr>
          <w:rFonts w:hint="eastAsia" w:ascii="宋体" w:hAnsi="宋体" w:cs="宋体"/>
          <w:color w:val="auto"/>
          <w:sz w:val="24"/>
          <w:szCs w:val="24"/>
        </w:rPr>
        <w:t>)</w:t>
      </w:r>
      <w:r>
        <w:rPr>
          <w:rFonts w:hint="eastAsia" w:ascii="宋体" w:hAnsi="宋体" w:cs="宋体"/>
          <w:color w:val="auto"/>
          <w:kern w:val="0"/>
          <w:sz w:val="24"/>
          <w:szCs w:val="24"/>
        </w:rPr>
        <w:t>中标人在台州市区内需有专门的工作场地、工作人员、车辆、设备。</w:t>
      </w:r>
    </w:p>
    <w:p>
      <w:pPr>
        <w:pStyle w:val="48"/>
        <w:numPr>
          <w:ilvl w:val="0"/>
          <w:numId w:val="7"/>
        </w:numPr>
        <w:spacing w:line="360" w:lineRule="auto"/>
        <w:ind w:firstLineChars="0"/>
        <w:rPr>
          <w:rFonts w:asciiTheme="majorEastAsia" w:hAnsiTheme="majorEastAsia" w:eastAsiaTheme="majorEastAsia" w:cstheme="minorBidi"/>
          <w:b/>
          <w:bCs/>
          <w:color w:val="auto"/>
          <w:kern w:val="0"/>
          <w:sz w:val="30"/>
          <w:szCs w:val="30"/>
        </w:rPr>
      </w:pPr>
      <w:r>
        <w:rPr>
          <w:rFonts w:hint="eastAsia" w:asciiTheme="majorEastAsia" w:hAnsiTheme="majorEastAsia" w:eastAsiaTheme="majorEastAsia" w:cstheme="minorBidi"/>
          <w:b/>
          <w:bCs/>
          <w:color w:val="auto"/>
          <w:kern w:val="0"/>
          <w:sz w:val="30"/>
          <w:szCs w:val="30"/>
        </w:rPr>
        <w:t>商务需求</w:t>
      </w:r>
    </w:p>
    <w:p>
      <w:pPr>
        <w:tabs>
          <w:tab w:val="left" w:pos="0"/>
        </w:tabs>
        <w:spacing w:line="360" w:lineRule="auto"/>
        <w:rPr>
          <w:rFonts w:ascii="宋体" w:hAnsi="宋体" w:cs="宋体"/>
          <w:color w:val="auto"/>
          <w:sz w:val="24"/>
        </w:rPr>
      </w:pPr>
      <w:r>
        <w:rPr>
          <w:rFonts w:hint="eastAsia" w:ascii="宋体" w:hAnsi="宋体" w:cs="宋体"/>
          <w:b/>
          <w:bCs/>
          <w:color w:val="auto"/>
          <w:sz w:val="24"/>
        </w:rPr>
        <w:t>1、质保期</w:t>
      </w:r>
      <w:r>
        <w:rPr>
          <w:rFonts w:hint="eastAsia" w:ascii="宋体" w:hAnsi="宋体" w:cs="宋体"/>
          <w:color w:val="auto"/>
          <w:sz w:val="24"/>
        </w:rPr>
        <w:t>：质保期自</w:t>
      </w:r>
      <w:r>
        <w:rPr>
          <w:rFonts w:asciiTheme="minorEastAsia" w:hAnsiTheme="minorEastAsia" w:eastAsiaTheme="minorEastAsia"/>
          <w:color w:val="auto"/>
          <w:sz w:val="24"/>
        </w:rPr>
        <w:t>交</w:t>
      </w:r>
      <w:r>
        <w:rPr>
          <w:rFonts w:hint="eastAsia" w:asciiTheme="minorEastAsia" w:hAnsiTheme="minorEastAsia" w:eastAsiaTheme="minorEastAsia"/>
          <w:color w:val="auto"/>
          <w:sz w:val="24"/>
        </w:rPr>
        <w:t>付</w:t>
      </w:r>
      <w:r>
        <w:rPr>
          <w:rFonts w:asciiTheme="minorEastAsia" w:hAnsiTheme="minorEastAsia" w:eastAsiaTheme="minorEastAsia"/>
          <w:color w:val="auto"/>
          <w:sz w:val="24"/>
        </w:rPr>
        <w:t>验收合格之日起</w:t>
      </w:r>
      <w:r>
        <w:rPr>
          <w:rFonts w:hint="eastAsia" w:asciiTheme="minorEastAsia" w:hAnsiTheme="minorEastAsia" w:eastAsiaTheme="minorEastAsia"/>
          <w:color w:val="auto"/>
          <w:sz w:val="24"/>
        </w:rPr>
        <w:t>，</w:t>
      </w:r>
      <w:r>
        <w:rPr>
          <w:rFonts w:hint="eastAsia" w:ascii="宋体" w:hAnsi="宋体" w:cs="宋体"/>
          <w:color w:val="auto"/>
          <w:sz w:val="24"/>
        </w:rPr>
        <w:t>主次干道标线不少于1年，支路标线不少于2年（技术需求中有列明质保期的按照技术需求中的要求）</w:t>
      </w:r>
    </w:p>
    <w:p>
      <w:pPr>
        <w:tabs>
          <w:tab w:val="left" w:pos="0"/>
        </w:tabs>
        <w:spacing w:line="360" w:lineRule="auto"/>
        <w:rPr>
          <w:rFonts w:ascii="宋体" w:hAnsi="宋体" w:cs="宋体"/>
          <w:color w:val="auto"/>
          <w:sz w:val="24"/>
        </w:rPr>
      </w:pPr>
      <w:r>
        <w:rPr>
          <w:rFonts w:hint="eastAsia" w:ascii="宋体" w:hAnsi="宋体" w:cs="宋体"/>
          <w:b/>
          <w:bCs/>
          <w:color w:val="auto"/>
          <w:sz w:val="24"/>
        </w:rPr>
        <w:t>2、交货期（交付期）：</w:t>
      </w:r>
      <w:r>
        <w:rPr>
          <w:rFonts w:hint="eastAsia" w:ascii="宋体" w:hAnsi="宋体" w:cs="宋体"/>
          <w:color w:val="auto"/>
          <w:sz w:val="24"/>
        </w:rPr>
        <w:t>合同签订后120天。</w:t>
      </w:r>
    </w:p>
    <w:p>
      <w:pPr>
        <w:pStyle w:val="19"/>
        <w:spacing w:line="360" w:lineRule="auto"/>
        <w:ind w:left="0" w:leftChars="0"/>
        <w:rPr>
          <w:rFonts w:ascii="宋体" w:hAnsi="宋体" w:cs="宋体"/>
          <w:color w:val="auto"/>
          <w:sz w:val="24"/>
        </w:rPr>
      </w:pPr>
      <w:r>
        <w:rPr>
          <w:rFonts w:hint="eastAsia" w:ascii="宋体" w:hAnsi="宋体" w:cs="宋体"/>
          <w:b/>
          <w:bCs/>
          <w:color w:val="auto"/>
          <w:sz w:val="24"/>
        </w:rPr>
        <w:t>3、履约保证金：</w:t>
      </w:r>
      <w:r>
        <w:rPr>
          <w:rFonts w:hint="eastAsia" w:ascii="宋体" w:hAnsi="宋体" w:cs="宋体"/>
          <w:color w:val="auto"/>
          <w:sz w:val="24"/>
        </w:rPr>
        <w:t>履约保证金为合同金额的1%，签订合同后 3 个工作日内像采购人提交（履约保证金可采用支票、汇票、保函、担保等形式），验收合格后无息退还。</w:t>
      </w:r>
    </w:p>
    <w:p>
      <w:pPr>
        <w:spacing w:line="360" w:lineRule="auto"/>
        <w:rPr>
          <w:rFonts w:ascii="宋体" w:hAnsi="宋体" w:cs="宋体"/>
          <w:color w:val="auto"/>
          <w:szCs w:val="21"/>
        </w:rPr>
      </w:pPr>
      <w:r>
        <w:rPr>
          <w:rFonts w:hint="eastAsia" w:ascii="宋体" w:hAnsi="宋体" w:cs="宋体"/>
          <w:b/>
          <w:bCs/>
          <w:color w:val="auto"/>
          <w:sz w:val="24"/>
        </w:rPr>
        <w:t>4、付款条件：</w:t>
      </w:r>
      <w:r>
        <w:rPr>
          <w:rFonts w:hint="eastAsia" w:ascii="宋体" w:hAnsi="宋体" w:cs="宋体"/>
          <w:color w:val="auto"/>
          <w:sz w:val="24"/>
        </w:rPr>
        <w:t>合同签订，中标人提供发票后7个工作日内，支付合同总额的</w:t>
      </w:r>
      <w:r>
        <w:rPr>
          <w:rFonts w:ascii="宋体" w:hAnsi="宋体" w:cs="宋体"/>
          <w:color w:val="auto"/>
          <w:sz w:val="24"/>
        </w:rPr>
        <w:t>40</w:t>
      </w:r>
      <w:r>
        <w:rPr>
          <w:rFonts w:hint="eastAsia" w:ascii="宋体" w:hAnsi="宋体" w:cs="宋体"/>
          <w:color w:val="auto"/>
          <w:sz w:val="24"/>
        </w:rPr>
        <w:t>%作为预付款，合同签订后120天内完成项目，通过初验中标人提供发票后7个工作日内支付至实际工程量结算金额的80%，项目整体竣工验收合格并经审核结束，中标人提供发票后7个工作日内支付剩余结算金额（最终结算金额=实际工作量*成交单价。）</w:t>
      </w:r>
    </w:p>
    <w:p>
      <w:pPr>
        <w:pStyle w:val="48"/>
        <w:spacing w:line="360" w:lineRule="auto"/>
        <w:ind w:firstLine="0" w:firstLineChars="0"/>
        <w:rPr>
          <w:rFonts w:ascii="宋体" w:hAnsi="宋体" w:cs="宋体"/>
          <w:b/>
          <w:bCs/>
          <w:color w:val="auto"/>
          <w:sz w:val="24"/>
          <w:szCs w:val="24"/>
        </w:rPr>
      </w:pPr>
      <w:r>
        <w:rPr>
          <w:rFonts w:hint="eastAsia" w:ascii="宋体" w:hAnsi="宋体" w:cs="宋体"/>
          <w:b/>
          <w:bCs/>
          <w:color w:val="auto"/>
          <w:sz w:val="24"/>
          <w:szCs w:val="24"/>
        </w:rPr>
        <w:t>5、其他说明：</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投标报价包含实现本项目的所有功能及安全保障工作所需费用，</w:t>
      </w:r>
      <w:r>
        <w:rPr>
          <w:rFonts w:hint="eastAsia" w:ascii="宋体" w:hAnsi="宋体" w:cs="宋体"/>
          <w:color w:val="auto"/>
          <w:sz w:val="24"/>
        </w:rPr>
        <w:t>其应包括（但不限于）材料、设备、劳务、人员工资、奖金、各种加班费、食宿与交通、手续审批、安全、管理、质保、保险、利润、税金、政策性文件规定及合同包含的所有风险、责任等所有费用（即整个项目直至履约完成，采购人不再另行支付费用）全部费用已包含在开标一览表的投标总报价中。</w:t>
      </w:r>
    </w:p>
    <w:p>
      <w:pPr>
        <w:pStyle w:val="3"/>
        <w:spacing w:line="360" w:lineRule="auto"/>
        <w:ind w:firstLine="480"/>
        <w:rPr>
          <w:rFonts w:ascii="宋体" w:hAnsi="宋体" w:cs="宋体"/>
          <w:color w:val="auto"/>
          <w:kern w:val="0"/>
        </w:rPr>
      </w:pPr>
    </w:p>
    <w:p>
      <w:pPr>
        <w:pStyle w:val="3"/>
        <w:spacing w:line="360" w:lineRule="auto"/>
        <w:ind w:firstLine="480"/>
        <w:rPr>
          <w:rFonts w:ascii="宋体" w:hAnsi="宋体"/>
          <w:color w:val="auto"/>
        </w:rPr>
      </w:pPr>
    </w:p>
    <w:p>
      <w:pPr>
        <w:pStyle w:val="3"/>
        <w:spacing w:line="360" w:lineRule="auto"/>
        <w:ind w:firstLine="480"/>
        <w:rPr>
          <w:rFonts w:ascii="宋体" w:hAnsi="宋体"/>
          <w:color w:val="auto"/>
        </w:rPr>
      </w:pPr>
    </w:p>
    <w:p>
      <w:pPr>
        <w:pStyle w:val="3"/>
        <w:spacing w:line="360" w:lineRule="auto"/>
        <w:ind w:firstLine="480"/>
        <w:rPr>
          <w:rFonts w:ascii="宋体" w:hAnsi="宋体"/>
          <w:color w:val="auto"/>
        </w:rPr>
      </w:pPr>
    </w:p>
    <w:p>
      <w:pPr>
        <w:pStyle w:val="7"/>
        <w:numPr>
          <w:ilvl w:val="1"/>
          <w:numId w:val="0"/>
        </w:numPr>
        <w:spacing w:line="360" w:lineRule="auto"/>
        <w:rPr>
          <w:rFonts w:ascii="宋体" w:hAnsi="宋体"/>
          <w:color w:val="auto"/>
          <w:sz w:val="24"/>
          <w:szCs w:val="24"/>
        </w:rPr>
        <w:sectPr>
          <w:headerReference r:id="rId5" w:type="default"/>
          <w:footerReference r:id="rId6" w:type="default"/>
          <w:pgSz w:w="11906" w:h="16838"/>
          <w:pgMar w:top="1440" w:right="1803" w:bottom="1440" w:left="1803" w:header="851" w:footer="992" w:gutter="0"/>
          <w:pgNumType w:fmt="numberInDash"/>
          <w:cols w:space="0" w:num="1"/>
          <w:docGrid w:type="lines" w:linePitch="332" w:charSpace="0"/>
        </w:sectPr>
      </w:pPr>
    </w:p>
    <w:bookmarkEnd w:id="0"/>
    <w:p>
      <w:pPr>
        <w:numPr>
          <w:ilvl w:val="0"/>
          <w:numId w:val="4"/>
        </w:numPr>
        <w:spacing w:line="360" w:lineRule="auto"/>
        <w:jc w:val="center"/>
        <w:rPr>
          <w:rFonts w:ascii="宋体" w:hAnsi="宋体"/>
          <w:b/>
          <w:color w:val="auto"/>
          <w:sz w:val="36"/>
          <w:szCs w:val="36"/>
        </w:rPr>
      </w:pPr>
      <w:r>
        <w:rPr>
          <w:rFonts w:hint="eastAsia" w:ascii="宋体" w:hAnsi="宋体"/>
          <w:b/>
          <w:color w:val="auto"/>
          <w:sz w:val="36"/>
          <w:szCs w:val="36"/>
        </w:rPr>
        <w:t>政府采购合同主要条款</w:t>
      </w:r>
    </w:p>
    <w:p>
      <w:pPr>
        <w:widowControl/>
        <w:shd w:val="clear" w:color="auto" w:fill="FFFFFF"/>
        <w:spacing w:after="150" w:line="360" w:lineRule="auto"/>
        <w:ind w:firstLine="480"/>
        <w:jc w:val="left"/>
        <w:rPr>
          <w:rFonts w:ascii="宋体" w:hAnsi="宋体"/>
          <w:color w:val="auto"/>
          <w:sz w:val="24"/>
        </w:rPr>
      </w:pPr>
      <w:r>
        <w:rPr>
          <w:rFonts w:ascii="宋体" w:hAnsi="宋体"/>
          <w:color w:val="auto"/>
          <w:sz w:val="24"/>
        </w:rPr>
        <w:t>以下为成交后</w:t>
      </w:r>
      <w:r>
        <w:rPr>
          <w:rFonts w:hint="eastAsia" w:ascii="宋体" w:hAnsi="宋体"/>
          <w:color w:val="auto"/>
          <w:sz w:val="24"/>
        </w:rPr>
        <w:t>签订</w:t>
      </w:r>
      <w:r>
        <w:rPr>
          <w:rFonts w:ascii="宋体" w:hAnsi="宋体"/>
          <w:color w:val="auto"/>
          <w:sz w:val="24"/>
        </w:rPr>
        <w:t>本项目合同的通用条款，成交供应商不得提出实质性的修改，</w:t>
      </w:r>
      <w:r>
        <w:rPr>
          <w:rFonts w:hint="eastAsia" w:ascii="宋体" w:hAnsi="宋体"/>
          <w:color w:val="auto"/>
          <w:sz w:val="24"/>
        </w:rPr>
        <w:t>如有特殊</w:t>
      </w:r>
      <w:r>
        <w:rPr>
          <w:rFonts w:ascii="宋体" w:hAnsi="宋体"/>
          <w:color w:val="auto"/>
          <w:sz w:val="24"/>
        </w:rPr>
        <w:t>条款将由采购人与成交供应商结合本项目具体情况协商后签订。</w:t>
      </w:r>
    </w:p>
    <w:p>
      <w:pPr>
        <w:pStyle w:val="22"/>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项目名称：</w:t>
      </w:r>
      <w:r>
        <w:rPr>
          <w:rFonts w:hint="eastAsia" w:asciiTheme="minorEastAsia" w:hAnsiTheme="minorEastAsia" w:eastAsiaTheme="minorEastAsia"/>
          <w:color w:val="auto"/>
          <w:sz w:val="24"/>
        </w:rPr>
        <w:t>2022年台州市区交通标线采购项目</w:t>
      </w:r>
    </w:p>
    <w:p>
      <w:pPr>
        <w:pStyle w:val="22"/>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项目编号：</w:t>
      </w:r>
    </w:p>
    <w:p>
      <w:pPr>
        <w:pStyle w:val="22"/>
        <w:snapToGrid w:val="0"/>
        <w:spacing w:before="120" w:after="120" w:line="360" w:lineRule="auto"/>
        <w:rPr>
          <w:rFonts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w:t>
      </w:r>
      <w:r>
        <w:rPr>
          <w:rFonts w:hint="eastAsia" w:hAnsi="宋体"/>
          <w:color w:val="auto"/>
          <w:sz w:val="24"/>
        </w:rPr>
        <w:t xml:space="preserve">                            所在地：                              </w:t>
      </w:r>
    </w:p>
    <w:p>
      <w:pPr>
        <w:pStyle w:val="22"/>
        <w:snapToGrid w:val="0"/>
        <w:spacing w:before="120" w:after="120" w:line="360" w:lineRule="auto"/>
        <w:rPr>
          <w:rFonts w:hAnsi="宋体"/>
          <w:color w:val="auto"/>
          <w:sz w:val="24"/>
        </w:rPr>
      </w:pPr>
      <w:r>
        <w:rPr>
          <w:rFonts w:hAnsi="宋体"/>
          <w:color w:val="auto"/>
          <w:sz w:val="24"/>
        </w:rPr>
        <w:t>乙方：（</w:t>
      </w:r>
      <w:r>
        <w:rPr>
          <w:rFonts w:hint="eastAsia" w:hAnsi="宋体"/>
          <w:color w:val="auto"/>
          <w:sz w:val="24"/>
        </w:rPr>
        <w:t>中标供应商</w:t>
      </w:r>
      <w:r>
        <w:rPr>
          <w:rFonts w:hAnsi="宋体"/>
          <w:color w:val="auto"/>
          <w:sz w:val="24"/>
        </w:rPr>
        <w:t>）</w:t>
      </w:r>
      <w:r>
        <w:rPr>
          <w:rFonts w:hint="eastAsia" w:hAnsi="宋体"/>
          <w:color w:val="auto"/>
          <w:sz w:val="24"/>
        </w:rPr>
        <w:t xml:space="preserve">                          所在地：</w:t>
      </w:r>
    </w:p>
    <w:p>
      <w:pPr>
        <w:pStyle w:val="22"/>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color w:val="auto"/>
          <w:sz w:val="24"/>
        </w:rPr>
        <w:t>甲、乙双方根据</w:t>
      </w:r>
      <w:r>
        <w:rPr>
          <w:rFonts w:hint="eastAsia" w:asciiTheme="minorEastAsia" w:hAnsiTheme="minorEastAsia" w:eastAsiaTheme="minorEastAsia"/>
          <w:color w:val="auto"/>
          <w:sz w:val="24"/>
        </w:rPr>
        <w:t>2022年台州市区交通标线采购</w:t>
      </w:r>
      <w:r>
        <w:rPr>
          <w:rFonts w:asciiTheme="minorEastAsia" w:hAnsiTheme="minorEastAsia" w:eastAsiaTheme="minorEastAsia"/>
          <w:color w:val="auto"/>
          <w:sz w:val="24"/>
        </w:rPr>
        <w:t>项目公开招标的结果，签署本合同。</w:t>
      </w:r>
    </w:p>
    <w:p>
      <w:pPr>
        <w:spacing w:line="360" w:lineRule="auto"/>
        <w:rPr>
          <w:rFonts w:ascii="宋体"/>
          <w:color w:val="auto"/>
          <w:sz w:val="24"/>
          <w:lang w:val="zh-CN"/>
        </w:rPr>
      </w:pPr>
      <w:r>
        <w:rPr>
          <w:rFonts w:hint="eastAsia" w:ascii="宋体"/>
          <w:color w:val="auto"/>
          <w:sz w:val="24"/>
          <w:lang w:val="zh-CN"/>
        </w:rPr>
        <w:t xml:space="preserve">一、合同文件： </w:t>
      </w:r>
    </w:p>
    <w:p>
      <w:pPr>
        <w:spacing w:line="360" w:lineRule="auto"/>
        <w:ind w:firstLine="480" w:firstLineChars="200"/>
        <w:rPr>
          <w:rFonts w:ascii="宋体"/>
          <w:color w:val="auto"/>
          <w:sz w:val="24"/>
          <w:lang w:val="zh-CN"/>
        </w:rPr>
      </w:pPr>
      <w:r>
        <w:rPr>
          <w:rFonts w:hint="eastAsia" w:ascii="宋体"/>
          <w:color w:val="auto"/>
          <w:sz w:val="24"/>
          <w:lang w:val="zh-CN"/>
        </w:rPr>
        <w:t>1.合同条款。</w:t>
      </w:r>
    </w:p>
    <w:p>
      <w:pPr>
        <w:spacing w:line="360" w:lineRule="auto"/>
        <w:ind w:firstLine="480" w:firstLineChars="200"/>
        <w:rPr>
          <w:rFonts w:ascii="宋体"/>
          <w:color w:val="auto"/>
          <w:sz w:val="24"/>
          <w:lang w:val="zh-CN"/>
        </w:rPr>
      </w:pPr>
      <w:r>
        <w:rPr>
          <w:rFonts w:hint="eastAsia" w:ascii="宋体"/>
          <w:color w:val="auto"/>
          <w:sz w:val="24"/>
          <w:lang w:val="zh-CN"/>
        </w:rPr>
        <w:t>2.中标通知书。</w:t>
      </w:r>
    </w:p>
    <w:p>
      <w:pPr>
        <w:spacing w:line="360" w:lineRule="auto"/>
        <w:ind w:firstLine="480" w:firstLineChars="200"/>
        <w:rPr>
          <w:rFonts w:ascii="宋体"/>
          <w:color w:val="auto"/>
          <w:sz w:val="24"/>
          <w:lang w:val="zh-CN"/>
        </w:rPr>
      </w:pPr>
      <w:r>
        <w:rPr>
          <w:rFonts w:hint="eastAsia" w:ascii="宋体"/>
          <w:color w:val="auto"/>
          <w:sz w:val="24"/>
          <w:lang w:val="zh-CN"/>
        </w:rPr>
        <w:t>3.更正补充文件。</w:t>
      </w:r>
    </w:p>
    <w:p>
      <w:pPr>
        <w:spacing w:line="360" w:lineRule="auto"/>
        <w:ind w:firstLine="480" w:firstLineChars="200"/>
        <w:rPr>
          <w:rFonts w:ascii="宋体"/>
          <w:color w:val="auto"/>
          <w:sz w:val="24"/>
          <w:lang w:val="zh-CN"/>
        </w:rPr>
      </w:pPr>
      <w:r>
        <w:rPr>
          <w:rFonts w:hint="eastAsia" w:ascii="宋体"/>
          <w:color w:val="auto"/>
          <w:sz w:val="24"/>
          <w:lang w:val="zh-CN"/>
        </w:rPr>
        <w:t>4.招标文件。</w:t>
      </w:r>
    </w:p>
    <w:p>
      <w:pPr>
        <w:spacing w:line="360" w:lineRule="auto"/>
        <w:ind w:firstLine="480" w:firstLineChars="200"/>
        <w:rPr>
          <w:rFonts w:ascii="宋体"/>
          <w:color w:val="auto"/>
          <w:sz w:val="24"/>
          <w:lang w:val="zh-CN"/>
        </w:rPr>
      </w:pPr>
      <w:r>
        <w:rPr>
          <w:rFonts w:hint="eastAsia" w:ascii="宋体"/>
          <w:color w:val="auto"/>
          <w:sz w:val="24"/>
          <w:lang w:val="zh-CN"/>
        </w:rPr>
        <w:t>5.中标供应商投标文件。</w:t>
      </w:r>
    </w:p>
    <w:p>
      <w:pPr>
        <w:spacing w:line="360" w:lineRule="auto"/>
        <w:ind w:firstLine="480" w:firstLineChars="200"/>
        <w:rPr>
          <w:rFonts w:ascii="宋体"/>
          <w:color w:val="auto"/>
          <w:sz w:val="24"/>
          <w:lang w:val="zh-CN"/>
        </w:rPr>
      </w:pPr>
      <w:r>
        <w:rPr>
          <w:rFonts w:hint="eastAsia" w:ascii="宋体"/>
          <w:color w:val="auto"/>
          <w:sz w:val="24"/>
          <w:lang w:val="zh-CN"/>
        </w:rPr>
        <w:t>6.其他。</w:t>
      </w:r>
    </w:p>
    <w:p>
      <w:pPr>
        <w:pStyle w:val="22"/>
        <w:snapToGrid w:val="0"/>
        <w:spacing w:line="360" w:lineRule="auto"/>
        <w:ind w:firstLine="480" w:firstLineChars="200"/>
        <w:rPr>
          <w:rFonts w:hAnsi="Times New Roman"/>
          <w:color w:val="auto"/>
          <w:sz w:val="24"/>
          <w:lang w:val="zh-CN"/>
        </w:rPr>
      </w:pPr>
      <w:r>
        <w:rPr>
          <w:rFonts w:hint="eastAsia"/>
          <w:color w:val="auto"/>
          <w:sz w:val="24"/>
          <w:lang w:val="zh-CN"/>
        </w:rPr>
        <w:t>上述所指合同文件应认为是互相补充和解释的，但是有模棱两可或互相矛盾之处，以其所列内容顺序为准。</w:t>
      </w:r>
    </w:p>
    <w:p>
      <w:pPr>
        <w:pStyle w:val="22"/>
        <w:numPr>
          <w:ilvl w:val="0"/>
          <w:numId w:val="3"/>
        </w:numPr>
        <w:snapToGrid w:val="0"/>
        <w:spacing w:before="120" w:after="120" w:line="360" w:lineRule="auto"/>
        <w:ind w:left="539"/>
        <w:rPr>
          <w:rFonts w:asciiTheme="minorEastAsia" w:hAnsiTheme="minorEastAsia" w:eastAsiaTheme="minorEastAsia"/>
          <w:b/>
          <w:color w:val="auto"/>
          <w:sz w:val="24"/>
        </w:rPr>
      </w:pPr>
      <w:r>
        <w:rPr>
          <w:rFonts w:asciiTheme="minorEastAsia" w:hAnsiTheme="minorEastAsia" w:eastAsiaTheme="minorEastAsia"/>
          <w:b/>
          <w:color w:val="auto"/>
          <w:sz w:val="24"/>
        </w:rPr>
        <w:t>货物内容</w:t>
      </w:r>
    </w:p>
    <w:p>
      <w:pPr>
        <w:pStyle w:val="19"/>
        <w:rPr>
          <w:color w:val="auto"/>
        </w:rPr>
      </w:pPr>
      <w:r>
        <w:rPr>
          <w:rFonts w:hint="eastAsia" w:asciiTheme="minorEastAsia" w:hAnsiTheme="minorEastAsia" w:eastAsiaTheme="minorEastAsia"/>
          <w:color w:val="auto"/>
          <w:sz w:val="24"/>
        </w:rPr>
        <w:t>材料数量均为预估工作量，履约时以实际发生工作量结算，结算金额不超过本项目预算</w:t>
      </w:r>
    </w:p>
    <w:tbl>
      <w:tblPr>
        <w:tblStyle w:val="35"/>
        <w:tblpPr w:leftFromText="180" w:rightFromText="180" w:vertAnchor="text" w:horzAnchor="page" w:tblpXSpec="center" w:tblpY="549"/>
        <w:tblOverlap w:val="never"/>
        <w:tblW w:w="9755" w:type="dxa"/>
        <w:jc w:val="center"/>
        <w:tblLayout w:type="fixed"/>
        <w:tblCellMar>
          <w:top w:w="0" w:type="dxa"/>
          <w:left w:w="0" w:type="dxa"/>
          <w:bottom w:w="0" w:type="dxa"/>
          <w:right w:w="0" w:type="dxa"/>
        </w:tblCellMar>
      </w:tblPr>
      <w:tblGrid>
        <w:gridCol w:w="738"/>
        <w:gridCol w:w="1467"/>
        <w:gridCol w:w="1642"/>
        <w:gridCol w:w="658"/>
        <w:gridCol w:w="1090"/>
        <w:gridCol w:w="1090"/>
        <w:gridCol w:w="1091"/>
        <w:gridCol w:w="1979"/>
      </w:tblGrid>
      <w:tr>
        <w:tblPrEx>
          <w:tblCellMar>
            <w:top w:w="0" w:type="dxa"/>
            <w:left w:w="0" w:type="dxa"/>
            <w:bottom w:w="0" w:type="dxa"/>
            <w:right w:w="0" w:type="dxa"/>
          </w:tblCellMar>
        </w:tblPrEx>
        <w:trPr>
          <w:trHeight w:val="605" w:hRule="atLeast"/>
          <w:jc w:val="center"/>
        </w:trPr>
        <w:tc>
          <w:tcPr>
            <w:tcW w:w="975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一、标线类</w:t>
            </w:r>
          </w:p>
        </w:tc>
      </w:tr>
      <w:tr>
        <w:tblPrEx>
          <w:tblCellMar>
            <w:top w:w="0" w:type="dxa"/>
            <w:left w:w="0" w:type="dxa"/>
            <w:bottom w:w="0" w:type="dxa"/>
            <w:right w:w="0" w:type="dxa"/>
          </w:tblCellMar>
        </w:tblPrEx>
        <w:trPr>
          <w:trHeight w:val="34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编号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内容/材料</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规格</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数量（预估）</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单价（元）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小计（元）</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lang w:bidi="ar"/>
              </w:rPr>
              <w:t>备注</w:t>
            </w:r>
          </w:p>
        </w:tc>
      </w:tr>
      <w:tr>
        <w:tblPrEx>
          <w:tblCellMar>
            <w:top w:w="0" w:type="dxa"/>
            <w:left w:w="0" w:type="dxa"/>
            <w:bottom w:w="0" w:type="dxa"/>
            <w:right w:w="0" w:type="dxa"/>
          </w:tblCellMar>
        </w:tblPrEx>
        <w:trPr>
          <w:trHeight w:val="34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热熔反光型标线</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r>
              <w:rPr>
                <w:rFonts w:hint="eastAsia" w:ascii="宋体" w:hAnsi="宋体" w:cs="宋体"/>
                <w:color w:val="auto"/>
                <w:szCs w:val="21"/>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135398</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详见技术参数，含部分的彩色标线,</w:t>
            </w:r>
          </w:p>
        </w:tc>
      </w:tr>
      <w:tr>
        <w:tblPrEx>
          <w:tblCellMar>
            <w:top w:w="0" w:type="dxa"/>
            <w:left w:w="0" w:type="dxa"/>
            <w:bottom w:w="0" w:type="dxa"/>
            <w:right w:w="0" w:type="dxa"/>
          </w:tblCellMar>
        </w:tblPrEx>
        <w:trPr>
          <w:trHeight w:val="34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水性反光涂料</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标线涂层厚度≥0.7mm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220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详见技术参数</w:t>
            </w:r>
          </w:p>
        </w:tc>
      </w:tr>
      <w:tr>
        <w:tblPrEx>
          <w:tblCellMar>
            <w:top w:w="0" w:type="dxa"/>
            <w:left w:w="0" w:type="dxa"/>
            <w:bottom w:w="0" w:type="dxa"/>
            <w:right w:w="0" w:type="dxa"/>
          </w:tblCellMar>
        </w:tblPrEx>
        <w:trPr>
          <w:trHeight w:val="34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双组份反光型涂料</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标线厚度≥0.5mm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220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详见技术参数</w:t>
            </w:r>
          </w:p>
        </w:tc>
      </w:tr>
      <w:tr>
        <w:tblPrEx>
          <w:tblCellMar>
            <w:top w:w="0" w:type="dxa"/>
            <w:left w:w="0" w:type="dxa"/>
            <w:bottom w:w="0" w:type="dxa"/>
            <w:right w:w="0" w:type="dxa"/>
          </w:tblCellMar>
        </w:tblPrEx>
        <w:trPr>
          <w:trHeight w:val="34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双组份突起型反光涂料</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标线厚度≥5mm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200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详见技术参数</w:t>
            </w:r>
          </w:p>
        </w:tc>
      </w:tr>
      <w:tr>
        <w:tblPrEx>
          <w:tblCellMar>
            <w:top w:w="0" w:type="dxa"/>
            <w:left w:w="0" w:type="dxa"/>
            <w:bottom w:w="0" w:type="dxa"/>
            <w:right w:w="0" w:type="dxa"/>
          </w:tblCellMar>
        </w:tblPrEx>
        <w:trPr>
          <w:trHeight w:val="83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热熔突起型标线（震荡标线）</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热熔型厚度≥6mm,长划70mm空110mm,宽150mm线划3颗;宽200mm线划4颗</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11507</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其中纵向减速震荡标线按照每个0.3平方米计算（包含尾部变小部分）</w:t>
            </w:r>
          </w:p>
        </w:tc>
      </w:tr>
      <w:tr>
        <w:tblPrEx>
          <w:tblCellMar>
            <w:top w:w="0" w:type="dxa"/>
            <w:left w:w="0" w:type="dxa"/>
            <w:bottom w:w="0" w:type="dxa"/>
            <w:right w:w="0" w:type="dxa"/>
          </w:tblCellMar>
        </w:tblPrEx>
        <w:trPr>
          <w:trHeight w:val="34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彩色防滑路面标线</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厚度≥3.0mm</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108</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Cs w:val="21"/>
              </w:rPr>
            </w:pPr>
            <w:r>
              <w:rPr>
                <w:rFonts w:hint="eastAsia" w:ascii="宋体" w:hAnsi="宋体" w:cs="宋体"/>
                <w:color w:val="auto"/>
                <w:szCs w:val="21"/>
              </w:rPr>
              <w:t>/</w:t>
            </w:r>
          </w:p>
        </w:tc>
      </w:tr>
      <w:tr>
        <w:tblPrEx>
          <w:tblCellMar>
            <w:top w:w="0" w:type="dxa"/>
            <w:left w:w="0" w:type="dxa"/>
            <w:bottom w:w="0" w:type="dxa"/>
            <w:right w:w="0" w:type="dxa"/>
          </w:tblCellMar>
        </w:tblPrEx>
        <w:trPr>
          <w:trHeight w:val="315"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热熔雨夜标线</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详见技术参数</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3182</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szCs w:val="21"/>
              </w:rPr>
              <w:t>/</w:t>
            </w:r>
          </w:p>
        </w:tc>
      </w:tr>
      <w:tr>
        <w:tblPrEx>
          <w:tblCellMar>
            <w:top w:w="0" w:type="dxa"/>
            <w:left w:w="0" w:type="dxa"/>
            <w:bottom w:w="0" w:type="dxa"/>
            <w:right w:w="0" w:type="dxa"/>
          </w:tblCellMar>
        </w:tblPrEx>
        <w:trPr>
          <w:trHeight w:val="329"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水磨除线</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r>
              <w:rPr>
                <w:rFonts w:hint="eastAsia" w:ascii="宋体" w:hAnsi="宋体" w:cs="宋体"/>
                <w:color w:val="auto"/>
                <w:szCs w:val="21"/>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19981</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水除线</w:t>
            </w:r>
          </w:p>
        </w:tc>
      </w:tr>
      <w:tr>
        <w:tblPrEx>
          <w:tblCellMar>
            <w:top w:w="0" w:type="dxa"/>
            <w:left w:w="0" w:type="dxa"/>
            <w:bottom w:w="0" w:type="dxa"/>
            <w:right w:w="0" w:type="dxa"/>
          </w:tblCellMar>
        </w:tblPrEx>
        <w:trPr>
          <w:trHeight w:val="329"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机械除线</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r>
              <w:rPr>
                <w:rFonts w:hint="eastAsia" w:ascii="宋体" w:hAnsi="宋体" w:cs="宋体"/>
                <w:color w:val="auto"/>
                <w:szCs w:val="21"/>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0"/>
                <w:szCs w:val="20"/>
                <w:lang w:bidi="ar"/>
              </w:rPr>
              <w:t>501</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Cs w:val="21"/>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机器</w:t>
            </w:r>
            <w:r>
              <w:rPr>
                <w:rFonts w:ascii="宋体" w:hAnsi="宋体" w:cs="宋体"/>
                <w:color w:val="auto"/>
                <w:kern w:val="0"/>
                <w:szCs w:val="21"/>
                <w:lang w:bidi="ar"/>
              </w:rPr>
              <w:t>总计</w:t>
            </w:r>
          </w:p>
        </w:tc>
      </w:tr>
      <w:tr>
        <w:tblPrEx>
          <w:tblCellMar>
            <w:top w:w="0" w:type="dxa"/>
            <w:left w:w="0" w:type="dxa"/>
            <w:bottom w:w="0" w:type="dxa"/>
            <w:right w:w="0" w:type="dxa"/>
          </w:tblCellMar>
        </w:tblPrEx>
        <w:trPr>
          <w:trHeight w:val="865" w:hRule="atLeast"/>
          <w:jc w:val="center"/>
        </w:trPr>
        <w:tc>
          <w:tcPr>
            <w:tcW w:w="975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r>
              <w:rPr>
                <w:rFonts w:hint="eastAsia" w:ascii="宋体" w:hAnsi="宋体" w:cs="宋体"/>
                <w:b/>
                <w:bCs/>
                <w:color w:val="auto"/>
                <w:szCs w:val="21"/>
              </w:rPr>
              <w:t>共计（大写）：_____________元（￥____元）人民币</w:t>
            </w:r>
          </w:p>
        </w:tc>
      </w:tr>
    </w:tbl>
    <w:p>
      <w:pPr>
        <w:pStyle w:val="23"/>
        <w:ind w:left="539" w:leftChars="0"/>
        <w:rPr>
          <w:color w:val="auto"/>
        </w:rPr>
      </w:pPr>
    </w:p>
    <w:p>
      <w:pPr>
        <w:pStyle w:val="22"/>
        <w:snapToGrid w:val="0"/>
        <w:spacing w:before="120" w:after="12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w:t>
      </w:r>
      <w:r>
        <w:rPr>
          <w:rFonts w:asciiTheme="minorEastAsia" w:hAnsiTheme="minorEastAsia" w:eastAsiaTheme="minorEastAsia"/>
          <w:b/>
          <w:color w:val="auto"/>
          <w:sz w:val="24"/>
        </w:rPr>
        <w:t>、合同金额</w:t>
      </w:r>
    </w:p>
    <w:p>
      <w:pPr>
        <w:pStyle w:val="22"/>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 xml:space="preserve"> 本合同金额为（大写）：____________________________________元（￥_______________元）人民币。</w:t>
      </w:r>
    </w:p>
    <w:p>
      <w:pPr>
        <w:pStyle w:val="22"/>
        <w:snapToGrid w:val="0"/>
        <w:spacing w:before="120" w:after="12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w:t>
      </w:r>
      <w:r>
        <w:rPr>
          <w:rFonts w:asciiTheme="minorEastAsia" w:hAnsiTheme="minorEastAsia" w:eastAsiaTheme="minorEastAsia"/>
          <w:b/>
          <w:color w:val="auto"/>
          <w:sz w:val="24"/>
        </w:rPr>
        <w:t>、技术资料</w:t>
      </w:r>
    </w:p>
    <w:p>
      <w:pPr>
        <w:pStyle w:val="22"/>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乙方应按招标文件规定的时间向甲方提供使用货物的有关技术资料。</w:t>
      </w:r>
    </w:p>
    <w:p>
      <w:pPr>
        <w:pStyle w:val="22"/>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napToGrid w:val="0"/>
        <w:spacing w:before="120" w:after="120" w:line="360" w:lineRule="auto"/>
        <w:ind w:left="412" w:hanging="412" w:hangingChars="171"/>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w:t>
      </w:r>
      <w:r>
        <w:rPr>
          <w:rFonts w:asciiTheme="minorEastAsia" w:hAnsiTheme="minorEastAsia" w:eastAsiaTheme="minorEastAsia"/>
          <w:b/>
          <w:color w:val="auto"/>
          <w:sz w:val="24"/>
        </w:rPr>
        <w:t>、知识产权</w:t>
      </w:r>
    </w:p>
    <w:p>
      <w:pPr>
        <w:pStyle w:val="22"/>
        <w:snapToGrid w:val="0"/>
        <w:spacing w:before="120" w:after="120"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乙方应保证所提供的货物或其任何一部分均不会侵犯任何第三方的知识产权。</w:t>
      </w:r>
    </w:p>
    <w:p>
      <w:pPr>
        <w:pStyle w:val="22"/>
        <w:snapToGrid w:val="0"/>
        <w:spacing w:before="120" w:after="120"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2.若侵犯,由乙方赔偿甲方因此遭受的损失（包括但不限于应对及追偿过程中所支付的律师费、差旅费、诉讼费、保全费、鉴定费、评估费等）。</w:t>
      </w:r>
    </w:p>
    <w:p>
      <w:pPr>
        <w:pStyle w:val="22"/>
        <w:snapToGrid w:val="0"/>
        <w:spacing w:before="120" w:after="120" w:line="360" w:lineRule="auto"/>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六</w:t>
      </w:r>
      <w:r>
        <w:rPr>
          <w:rFonts w:asciiTheme="minorEastAsia" w:hAnsiTheme="minorEastAsia" w:eastAsiaTheme="minorEastAsia"/>
          <w:b/>
          <w:color w:val="auto"/>
          <w:sz w:val="24"/>
        </w:rPr>
        <w:t>、产权担保</w:t>
      </w:r>
    </w:p>
    <w:p>
      <w:pPr>
        <w:pStyle w:val="22"/>
        <w:snapToGrid w:val="0"/>
        <w:spacing w:before="120" w:after="120" w:line="360" w:lineRule="auto"/>
        <w:rPr>
          <w:rFonts w:asciiTheme="minorEastAsia" w:hAnsiTheme="minorEastAsia" w:eastAsiaTheme="minorEastAsia"/>
          <w:color w:val="auto"/>
          <w:sz w:val="24"/>
          <w:u w:val="single"/>
        </w:rPr>
      </w:pPr>
      <w:r>
        <w:rPr>
          <w:rFonts w:asciiTheme="minorEastAsia" w:hAnsiTheme="minorEastAsia" w:eastAsiaTheme="minorEastAsia"/>
          <w:color w:val="auto"/>
          <w:sz w:val="24"/>
        </w:rPr>
        <w:t>乙方保证所交付的货物的所有权完全属于乙方且无任何抵押、查封等产权瑕疵。</w:t>
      </w:r>
    </w:p>
    <w:p>
      <w:pPr>
        <w:pStyle w:val="22"/>
        <w:snapToGrid w:val="0"/>
        <w:spacing w:before="120" w:after="120" w:line="360" w:lineRule="auto"/>
        <w:ind w:left="410" w:hanging="410" w:hangingChars="17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、履约保证金</w:t>
      </w:r>
    </w:p>
    <w:p>
      <w:pPr>
        <w:pStyle w:val="22"/>
        <w:snapToGrid w:val="0"/>
        <w:spacing w:before="120" w:after="120" w:line="360" w:lineRule="auto"/>
        <w:ind w:left="408" w:hanging="408" w:hangingChars="170"/>
        <w:rPr>
          <w:rFonts w:asciiTheme="majorEastAsia" w:hAnsiTheme="majorEastAsia" w:eastAsiaTheme="majorEastAsia" w:cstheme="majorEastAsia"/>
          <w:color w:val="auto"/>
          <w:sz w:val="24"/>
          <w:lang w:val="zh-CN"/>
        </w:rPr>
      </w:pPr>
      <w:r>
        <w:rPr>
          <w:rFonts w:hint="eastAsia" w:asciiTheme="majorEastAsia" w:hAnsiTheme="majorEastAsia" w:eastAsiaTheme="majorEastAsia" w:cstheme="majorEastAsia"/>
          <w:color w:val="auto"/>
          <w:sz w:val="24"/>
        </w:rPr>
        <w:t>履约保证金金额为</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元</w:t>
      </w:r>
      <w:r>
        <w:rPr>
          <w:rFonts w:hint="eastAsia" w:hAnsi="宋体" w:cs="宋体"/>
          <w:color w:val="auto"/>
          <w:sz w:val="24"/>
        </w:rPr>
        <w:t>，</w:t>
      </w:r>
      <w:r>
        <w:rPr>
          <w:rFonts w:hint="eastAsia" w:asciiTheme="majorEastAsia" w:hAnsiTheme="majorEastAsia" w:eastAsiaTheme="majorEastAsia" w:cstheme="majorEastAsia"/>
          <w:color w:val="auto"/>
          <w:sz w:val="24"/>
          <w:lang w:val="zh-CN"/>
        </w:rPr>
        <w:t>签订合同后 3 个工作日内向甲方提交</w:t>
      </w:r>
    </w:p>
    <w:p>
      <w:pPr>
        <w:pStyle w:val="22"/>
        <w:snapToGrid w:val="0"/>
        <w:spacing w:before="120" w:after="120" w:line="360" w:lineRule="auto"/>
        <w:rPr>
          <w:rFonts w:hAnsi="宋体" w:cs="宋体"/>
          <w:color w:val="auto"/>
          <w:sz w:val="24"/>
        </w:rPr>
      </w:pPr>
      <w:r>
        <w:rPr>
          <w:rFonts w:hint="eastAsia" w:hAnsi="宋体" w:cs="宋体"/>
          <w:color w:val="auto"/>
          <w:sz w:val="24"/>
        </w:rPr>
        <w:t>（履约保证金可采用支票、汇票、保函、担保等形式），验收合格后无息退还。</w:t>
      </w:r>
    </w:p>
    <w:p>
      <w:pPr>
        <w:pStyle w:val="22"/>
        <w:snapToGrid w:val="0"/>
        <w:spacing w:before="120" w:after="120" w:line="360" w:lineRule="auto"/>
        <w:ind w:left="410" w:hanging="410" w:hangingChars="170"/>
        <w:rPr>
          <w:rFonts w:asciiTheme="minorEastAsia" w:hAnsiTheme="minorEastAsia" w:eastAsiaTheme="minorEastAsia"/>
          <w:b/>
          <w:color w:val="auto"/>
          <w:sz w:val="24"/>
        </w:rPr>
      </w:pPr>
      <w:r>
        <w:rPr>
          <w:rFonts w:hint="eastAsia" w:asciiTheme="minorEastAsia" w:hAnsiTheme="minorEastAsia" w:eastAsiaTheme="minorEastAsia"/>
          <w:b/>
          <w:color w:val="auto"/>
          <w:sz w:val="24"/>
        </w:rPr>
        <w:t>八、转包或分包</w:t>
      </w:r>
    </w:p>
    <w:p>
      <w:pPr>
        <w:snapToGrid w:val="0"/>
        <w:spacing w:before="156" w:beforeLines="50" w:after="156" w:afterLines="5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.本合同范围的货物，应由</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方直接供应，不得转让他人供应；</w:t>
      </w:r>
    </w:p>
    <w:p>
      <w:pPr>
        <w:snapToGrid w:val="0"/>
        <w:spacing w:before="156" w:beforeLines="50" w:after="156" w:afterLines="5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.除非得到</w:t>
      </w:r>
      <w:r>
        <w:rPr>
          <w:rFonts w:asciiTheme="minorEastAsia" w:hAnsiTheme="minorEastAsia" w:eastAsiaTheme="minorEastAsia"/>
          <w:color w:val="auto"/>
          <w:sz w:val="24"/>
        </w:rPr>
        <w:t>甲</w:t>
      </w:r>
      <w:r>
        <w:rPr>
          <w:rFonts w:hint="eastAsia" w:asciiTheme="minorEastAsia" w:hAnsiTheme="minorEastAsia" w:eastAsiaTheme="minorEastAsia"/>
          <w:color w:val="auto"/>
          <w:sz w:val="24"/>
        </w:rPr>
        <w:t>方的书面同意，</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方不得将本合同范围的货物全部或部分分包给他人供应；</w:t>
      </w:r>
    </w:p>
    <w:p>
      <w:pPr>
        <w:snapToGrid w:val="0"/>
        <w:spacing w:before="156" w:beforeLines="50" w:after="156" w:afterLines="5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.如有转让和未经</w:t>
      </w:r>
      <w:r>
        <w:rPr>
          <w:rFonts w:asciiTheme="minorEastAsia" w:hAnsiTheme="minorEastAsia" w:eastAsiaTheme="minorEastAsia"/>
          <w:color w:val="auto"/>
          <w:sz w:val="24"/>
        </w:rPr>
        <w:t>甲</w:t>
      </w:r>
      <w:r>
        <w:rPr>
          <w:rFonts w:hint="eastAsia" w:asciiTheme="minorEastAsia" w:hAnsiTheme="minorEastAsia" w:eastAsiaTheme="minorEastAsia"/>
          <w:color w:val="auto"/>
          <w:sz w:val="24"/>
        </w:rPr>
        <w:t>方同意的分包行为，</w:t>
      </w:r>
      <w:r>
        <w:rPr>
          <w:rFonts w:asciiTheme="minorEastAsia" w:hAnsiTheme="minorEastAsia" w:eastAsiaTheme="minorEastAsia"/>
          <w:color w:val="auto"/>
          <w:sz w:val="24"/>
        </w:rPr>
        <w:t>甲</w:t>
      </w:r>
      <w:r>
        <w:rPr>
          <w:rFonts w:hint="eastAsia" w:asciiTheme="minorEastAsia" w:hAnsiTheme="minorEastAsia" w:eastAsiaTheme="minorEastAsia"/>
          <w:color w:val="auto"/>
          <w:sz w:val="24"/>
        </w:rPr>
        <w:t>方有权解除合同，没收履约保证金并追究乙方的违约责任。</w:t>
      </w:r>
    </w:p>
    <w:p>
      <w:pPr>
        <w:pStyle w:val="22"/>
        <w:snapToGrid w:val="0"/>
        <w:spacing w:before="120" w:after="120" w:line="360" w:lineRule="auto"/>
        <w:rPr>
          <w:rFonts w:asciiTheme="minorEastAsia" w:hAnsiTheme="minorEastAsia" w:eastAsiaTheme="minorEastAsia"/>
          <w:color w:val="auto"/>
          <w:sz w:val="24"/>
        </w:rPr>
      </w:pP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、质保期</w:t>
      </w:r>
    </w:p>
    <w:p>
      <w:pPr>
        <w:tabs>
          <w:tab w:val="left" w:pos="0"/>
        </w:tabs>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w:t>
      </w:r>
      <w:r>
        <w:rPr>
          <w:rFonts w:hint="eastAsia" w:ascii="宋体" w:hAnsi="宋体" w:cs="宋体"/>
          <w:color w:val="auto"/>
          <w:sz w:val="24"/>
        </w:rPr>
        <w:t>主次干道标线不少于1年，支路标线不少于2年（技术需求中有列明质保期的按照技术需求中的要求）</w:t>
      </w:r>
      <w:r>
        <w:rPr>
          <w:rFonts w:asciiTheme="minorEastAsia" w:hAnsiTheme="minorEastAsia" w:eastAsiaTheme="minorEastAsia"/>
          <w:color w:val="auto"/>
          <w:sz w:val="24"/>
        </w:rPr>
        <w:t>（自交</w:t>
      </w:r>
      <w:r>
        <w:rPr>
          <w:rFonts w:hint="eastAsia" w:asciiTheme="minorEastAsia" w:hAnsiTheme="minorEastAsia" w:eastAsiaTheme="minorEastAsia"/>
          <w:color w:val="auto"/>
          <w:sz w:val="24"/>
        </w:rPr>
        <w:t>付</w:t>
      </w:r>
      <w:r>
        <w:rPr>
          <w:rFonts w:asciiTheme="minorEastAsia" w:hAnsiTheme="minorEastAsia" w:eastAsiaTheme="minorEastAsia"/>
          <w:color w:val="auto"/>
          <w:sz w:val="24"/>
        </w:rPr>
        <w:t>验收合格之日起计）</w:t>
      </w:r>
    </w:p>
    <w:p>
      <w:pPr>
        <w:pStyle w:val="22"/>
        <w:snapToGrid w:val="0"/>
        <w:spacing w:before="120" w:after="12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w:t>
      </w:r>
      <w:r>
        <w:rPr>
          <w:rFonts w:asciiTheme="minorEastAsia" w:hAnsiTheme="minorEastAsia" w:eastAsiaTheme="minorEastAsia"/>
          <w:b/>
          <w:color w:val="auto"/>
          <w:sz w:val="24"/>
        </w:rPr>
        <w:t>、交货期、交货方式及交货地点</w:t>
      </w:r>
    </w:p>
    <w:p>
      <w:pPr>
        <w:pStyle w:val="22"/>
        <w:snapToGrid w:val="0"/>
        <w:spacing w:before="120" w:after="120" w:line="36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1</w:t>
      </w:r>
      <w:r>
        <w:rPr>
          <w:rFonts w:hint="eastAsia" w:asciiTheme="minorEastAsia" w:hAnsiTheme="minorEastAsia" w:eastAsiaTheme="minorEastAsia"/>
          <w:bCs/>
          <w:color w:val="auto"/>
          <w:sz w:val="24"/>
        </w:rPr>
        <w:t>.</w:t>
      </w:r>
      <w:r>
        <w:rPr>
          <w:rFonts w:asciiTheme="minorEastAsia" w:hAnsiTheme="minorEastAsia" w:eastAsiaTheme="minorEastAsia"/>
          <w:bCs/>
          <w:color w:val="auto"/>
          <w:sz w:val="24"/>
        </w:rPr>
        <w:t xml:space="preserve"> </w:t>
      </w:r>
      <w:r>
        <w:rPr>
          <w:rFonts w:hint="eastAsia" w:asciiTheme="minorEastAsia" w:hAnsiTheme="minorEastAsia" w:eastAsiaTheme="minorEastAsia"/>
          <w:bCs/>
          <w:color w:val="auto"/>
          <w:sz w:val="24"/>
        </w:rPr>
        <w:t>交货期（交付期）：合同签订后120天</w:t>
      </w:r>
    </w:p>
    <w:p>
      <w:pPr>
        <w:pStyle w:val="22"/>
        <w:snapToGrid w:val="0"/>
        <w:spacing w:before="120" w:after="120" w:line="360" w:lineRule="auto"/>
        <w:rPr>
          <w:rFonts w:hint="eastAsia" w:asciiTheme="minorEastAsia" w:hAnsiTheme="minorEastAsia" w:eastAsiaTheme="minorEastAsia"/>
          <w:bCs/>
          <w:color w:val="auto"/>
          <w:sz w:val="24"/>
          <w:lang w:val="en-US" w:eastAsia="zh-CN"/>
        </w:rPr>
      </w:pP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w:t>
      </w:r>
      <w:r>
        <w:rPr>
          <w:rFonts w:asciiTheme="minorEastAsia" w:hAnsiTheme="minorEastAsia" w:eastAsiaTheme="minorEastAsia"/>
          <w:bCs/>
          <w:color w:val="auto"/>
          <w:sz w:val="24"/>
        </w:rPr>
        <w:t xml:space="preserve"> 交货方式：</w:t>
      </w:r>
    </w:p>
    <w:p>
      <w:pPr>
        <w:pStyle w:val="22"/>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Cs/>
          <w:color w:val="auto"/>
          <w:sz w:val="24"/>
        </w:rPr>
        <w:t>3</w:t>
      </w:r>
      <w:r>
        <w:rPr>
          <w:rFonts w:hint="eastAsia" w:asciiTheme="minorEastAsia" w:hAnsiTheme="minorEastAsia" w:eastAsiaTheme="minorEastAsia"/>
          <w:bCs/>
          <w:color w:val="auto"/>
          <w:sz w:val="24"/>
        </w:rPr>
        <w:t>.</w:t>
      </w:r>
      <w:r>
        <w:rPr>
          <w:rFonts w:asciiTheme="minorEastAsia" w:hAnsiTheme="minorEastAsia" w:eastAsiaTheme="minorEastAsia"/>
          <w:bCs/>
          <w:color w:val="auto"/>
          <w:sz w:val="24"/>
        </w:rPr>
        <w:t xml:space="preserve"> 交货地点：</w:t>
      </w:r>
      <w:r>
        <w:rPr>
          <w:rFonts w:hint="eastAsia" w:asciiTheme="minorEastAsia" w:hAnsiTheme="minorEastAsia" w:eastAsiaTheme="minorEastAsia"/>
          <w:bCs/>
          <w:color w:val="auto"/>
          <w:sz w:val="24"/>
        </w:rPr>
        <w:t>台州市</w:t>
      </w:r>
    </w:p>
    <w:p>
      <w:pPr>
        <w:pStyle w:val="22"/>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一</w:t>
      </w:r>
      <w:r>
        <w:rPr>
          <w:rFonts w:asciiTheme="minorEastAsia" w:hAnsiTheme="minorEastAsia" w:eastAsiaTheme="minorEastAsia"/>
          <w:b/>
          <w:color w:val="auto"/>
          <w:sz w:val="24"/>
        </w:rPr>
        <w:t>、货款支付</w:t>
      </w:r>
    </w:p>
    <w:p>
      <w:pPr>
        <w:tabs>
          <w:tab w:val="left" w:pos="0"/>
        </w:tabs>
        <w:spacing w:line="360" w:lineRule="auto"/>
        <w:ind w:firstLine="480" w:firstLineChars="200"/>
        <w:rPr>
          <w:rFonts w:asciiTheme="minorEastAsia" w:hAnsiTheme="minorEastAsia" w:eastAsiaTheme="minorEastAsia"/>
          <w:bCs/>
          <w:color w:val="auto"/>
          <w:sz w:val="24"/>
        </w:rPr>
      </w:pPr>
      <w:r>
        <w:rPr>
          <w:rFonts w:asciiTheme="minorEastAsia" w:hAnsiTheme="minorEastAsia" w:eastAsiaTheme="minorEastAsia"/>
          <w:bCs/>
          <w:color w:val="auto"/>
          <w:sz w:val="24"/>
        </w:rPr>
        <w:t>1</w:t>
      </w:r>
      <w:r>
        <w:rPr>
          <w:rFonts w:hint="eastAsia" w:asciiTheme="minorEastAsia" w:hAnsiTheme="minorEastAsia" w:eastAsiaTheme="minorEastAsia"/>
          <w:bCs/>
          <w:color w:val="auto"/>
          <w:sz w:val="24"/>
        </w:rPr>
        <w:t>.</w:t>
      </w:r>
      <w:r>
        <w:rPr>
          <w:rFonts w:asciiTheme="minorEastAsia" w:hAnsiTheme="minorEastAsia" w:eastAsiaTheme="minorEastAsia"/>
          <w:bCs/>
          <w:color w:val="auto"/>
          <w:sz w:val="24"/>
        </w:rPr>
        <w:t>付款方式：</w:t>
      </w:r>
      <w:r>
        <w:rPr>
          <w:rFonts w:hint="eastAsia" w:ascii="宋体" w:hAnsi="宋体" w:cs="宋体"/>
          <w:color w:val="auto"/>
          <w:sz w:val="24"/>
        </w:rPr>
        <w:t>合同签订，</w:t>
      </w:r>
      <w:r>
        <w:rPr>
          <w:rFonts w:hint="eastAsia" w:ascii="宋体" w:hAnsi="宋体" w:cs="宋体"/>
          <w:color w:val="auto"/>
          <w:sz w:val="24"/>
          <w:lang w:eastAsia="zh-CN"/>
        </w:rPr>
        <w:t>乙方</w:t>
      </w:r>
      <w:r>
        <w:rPr>
          <w:rFonts w:hint="eastAsia" w:ascii="宋体" w:hAnsi="宋体" w:cs="宋体"/>
          <w:color w:val="auto"/>
          <w:sz w:val="24"/>
        </w:rPr>
        <w:t>提供发票后7个工作日内，支付合同总额的</w:t>
      </w:r>
      <w:r>
        <w:rPr>
          <w:rFonts w:ascii="宋体" w:hAnsi="宋体" w:cs="宋体"/>
          <w:color w:val="auto"/>
          <w:sz w:val="24"/>
        </w:rPr>
        <w:t>40</w:t>
      </w:r>
      <w:r>
        <w:rPr>
          <w:rFonts w:hint="eastAsia" w:ascii="宋体" w:hAnsi="宋体" w:cs="宋体"/>
          <w:color w:val="auto"/>
          <w:sz w:val="24"/>
        </w:rPr>
        <w:t>%作为预付款，合同签订后120天内完成项目，通过初验</w:t>
      </w:r>
      <w:r>
        <w:rPr>
          <w:rFonts w:hint="eastAsia" w:ascii="宋体" w:hAnsi="宋体" w:cs="宋体"/>
          <w:color w:val="auto"/>
          <w:sz w:val="24"/>
          <w:lang w:eastAsia="zh-CN"/>
        </w:rPr>
        <w:t>乙方</w:t>
      </w:r>
      <w:r>
        <w:rPr>
          <w:rFonts w:hint="eastAsia" w:ascii="宋体" w:hAnsi="宋体" w:cs="宋体"/>
          <w:color w:val="auto"/>
          <w:sz w:val="24"/>
        </w:rPr>
        <w:t>提供发票后7个工作日内支付至实际工程量结算金额的80%，项目整体竣工验收合格并经审核结束，</w:t>
      </w:r>
      <w:r>
        <w:rPr>
          <w:rFonts w:hint="eastAsia" w:ascii="宋体" w:hAnsi="宋体" w:cs="宋体"/>
          <w:color w:val="auto"/>
          <w:sz w:val="24"/>
          <w:lang w:eastAsia="zh-CN"/>
        </w:rPr>
        <w:t>乙方</w:t>
      </w:r>
      <w:r>
        <w:rPr>
          <w:rFonts w:hint="eastAsia" w:ascii="宋体" w:hAnsi="宋体" w:cs="宋体"/>
          <w:color w:val="auto"/>
          <w:sz w:val="24"/>
        </w:rPr>
        <w:t>提供发票后7个工作日内支付剩余结算金额；</w:t>
      </w:r>
    </w:p>
    <w:p>
      <w:pPr>
        <w:pStyle w:val="22"/>
        <w:snapToGrid w:val="0"/>
        <w:spacing w:line="360" w:lineRule="auto"/>
        <w:ind w:firstLine="480" w:firstLineChars="200"/>
        <w:rPr>
          <w:rFonts w:asciiTheme="minorEastAsia" w:hAnsiTheme="minorEastAsia" w:eastAsiaTheme="minorEastAsia"/>
          <w:bCs/>
          <w:color w:val="auto"/>
          <w:sz w:val="24"/>
        </w:rPr>
      </w:pPr>
      <w:r>
        <w:rPr>
          <w:rFonts w:hint="eastAsia" w:hAnsi="Times New Roman"/>
          <w:color w:val="auto"/>
          <w:sz w:val="24"/>
          <w:lang w:val="zh-CN"/>
        </w:rPr>
        <w:t>2.最终结算金额=实际工作量*成交单价。</w:t>
      </w:r>
    </w:p>
    <w:p>
      <w:pPr>
        <w:snapToGrid w:val="0"/>
        <w:spacing w:before="156" w:beforeLines="50" w:after="156" w:afterLines="50"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十二、税费</w:t>
      </w:r>
    </w:p>
    <w:p>
      <w:pPr>
        <w:snapToGrid w:val="0"/>
        <w:spacing w:before="156" w:beforeLines="50" w:after="156" w:afterLines="50"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本合同执行中相关的一切税费均由</w:t>
      </w:r>
      <w:r>
        <w:rPr>
          <w:rFonts w:asciiTheme="minorEastAsia" w:hAnsiTheme="minorEastAsia" w:eastAsiaTheme="minorEastAsia"/>
          <w:color w:val="auto"/>
          <w:sz w:val="24"/>
        </w:rPr>
        <w:t>乙</w:t>
      </w:r>
      <w:r>
        <w:rPr>
          <w:rFonts w:hint="eastAsia" w:asciiTheme="minorEastAsia" w:hAnsiTheme="minorEastAsia" w:eastAsiaTheme="minorEastAsia"/>
          <w:color w:val="auto"/>
          <w:sz w:val="24"/>
        </w:rPr>
        <w:t>方负担。</w:t>
      </w:r>
    </w:p>
    <w:p>
      <w:pPr>
        <w:pStyle w:val="22"/>
        <w:snapToGrid w:val="0"/>
        <w:spacing w:before="120" w:after="120" w:line="360" w:lineRule="auto"/>
        <w:ind w:left="412" w:hanging="412" w:hangingChars="171"/>
        <w:rPr>
          <w:rFonts w:asciiTheme="minorEastAsia" w:hAnsiTheme="minorEastAsia" w:eastAsiaTheme="minorEastAsia"/>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三</w:t>
      </w:r>
      <w:r>
        <w:rPr>
          <w:rFonts w:asciiTheme="minorEastAsia" w:hAnsiTheme="minorEastAsia" w:eastAsiaTheme="minorEastAsia"/>
          <w:b/>
          <w:color w:val="auto"/>
          <w:sz w:val="24"/>
        </w:rPr>
        <w:t>、质量保证及售后服务</w:t>
      </w:r>
    </w:p>
    <w:p>
      <w:pPr>
        <w:pStyle w:val="22"/>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乙方应按招标文件规定的货物性能、技术要求、质量标准向甲方提供未经使用的全新产品。</w:t>
      </w:r>
    </w:p>
    <w:p>
      <w:pPr>
        <w:pStyle w:val="22"/>
        <w:snapToGrid w:val="0"/>
        <w:spacing w:before="120" w:after="120" w:line="360" w:lineRule="auto"/>
        <w:ind w:left="480" w:hanging="480" w:hangingChars="200"/>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乙方提供的</w:t>
      </w:r>
      <w:r>
        <w:rPr>
          <w:rFonts w:hint="eastAsia" w:asciiTheme="minorEastAsia" w:hAnsiTheme="minorEastAsia" w:eastAsiaTheme="minorEastAsia"/>
          <w:color w:val="auto"/>
          <w:sz w:val="24"/>
        </w:rPr>
        <w:t>成果</w:t>
      </w:r>
      <w:r>
        <w:rPr>
          <w:rFonts w:asciiTheme="minorEastAsia" w:hAnsiTheme="minorEastAsia" w:eastAsiaTheme="minorEastAsia"/>
          <w:color w:val="auto"/>
          <w:sz w:val="24"/>
        </w:rPr>
        <w:t>在质</w:t>
      </w:r>
      <w:r>
        <w:rPr>
          <w:rFonts w:hint="eastAsia" w:asciiTheme="minorEastAsia" w:hAnsiTheme="minorEastAsia" w:eastAsiaTheme="minorEastAsia"/>
          <w:color w:val="auto"/>
          <w:sz w:val="24"/>
        </w:rPr>
        <w:t>保</w:t>
      </w:r>
      <w:r>
        <w:rPr>
          <w:rFonts w:asciiTheme="minorEastAsia" w:hAnsiTheme="minorEastAsia" w:eastAsiaTheme="minorEastAsia"/>
          <w:color w:val="auto"/>
          <w:sz w:val="24"/>
        </w:rPr>
        <w:t>期内因本身的质量问题发生故障，</w:t>
      </w:r>
      <w:r>
        <w:rPr>
          <w:rFonts w:hint="eastAsia" w:asciiTheme="minorEastAsia" w:hAnsiTheme="minorEastAsia" w:eastAsiaTheme="minorEastAsia"/>
          <w:color w:val="auto"/>
          <w:sz w:val="24"/>
        </w:rPr>
        <w:t>乙方应负责免费提供后续服务。</w:t>
      </w:r>
      <w:r>
        <w:rPr>
          <w:rFonts w:asciiTheme="minorEastAsia" w:hAnsiTheme="minorEastAsia" w:eastAsiaTheme="minorEastAsia"/>
          <w:color w:val="auto"/>
          <w:sz w:val="24"/>
        </w:rPr>
        <w:t>对达不到技术要求者，根据实际情况，经双方协商，可按以下办法处理：</w:t>
      </w:r>
    </w:p>
    <w:p>
      <w:pPr>
        <w:pStyle w:val="22"/>
        <w:snapToGrid w:val="0"/>
        <w:spacing w:before="120" w:after="120" w:line="360" w:lineRule="auto"/>
        <w:ind w:firstLine="420"/>
        <w:rPr>
          <w:rFonts w:hAnsi="宋体"/>
          <w:color w:val="auto"/>
          <w:sz w:val="24"/>
        </w:rPr>
      </w:pPr>
      <w:r>
        <w:rPr>
          <w:rFonts w:hAnsi="宋体"/>
          <w:color w:val="auto"/>
          <w:sz w:val="24"/>
        </w:rPr>
        <w:t>⑴重做：由乙方承担所发生的全部费用。</w:t>
      </w:r>
    </w:p>
    <w:p>
      <w:pPr>
        <w:pStyle w:val="22"/>
        <w:snapToGrid w:val="0"/>
        <w:spacing w:before="120" w:after="120" w:line="360" w:lineRule="auto"/>
        <w:ind w:firstLine="420"/>
        <w:rPr>
          <w:rFonts w:hAnsi="宋体"/>
          <w:color w:val="auto"/>
          <w:sz w:val="24"/>
        </w:rPr>
      </w:pPr>
      <w:r>
        <w:rPr>
          <w:rFonts w:hAnsi="宋体"/>
          <w:color w:val="auto"/>
          <w:sz w:val="24"/>
        </w:rPr>
        <w:t>⑵贬值处理：由甲乙双方合议定价。</w:t>
      </w:r>
    </w:p>
    <w:p>
      <w:pPr>
        <w:pStyle w:val="22"/>
        <w:snapToGrid w:val="0"/>
        <w:spacing w:before="120" w:after="120" w:line="360" w:lineRule="auto"/>
        <w:ind w:left="420" w:leftChars="200"/>
        <w:rPr>
          <w:rFonts w:asciiTheme="minorEastAsia" w:hAnsiTheme="minorEastAsia" w:eastAsiaTheme="minorEastAsia"/>
          <w:color w:val="auto"/>
          <w:sz w:val="24"/>
        </w:rPr>
      </w:pPr>
      <w:r>
        <w:rPr>
          <w:rFonts w:asciiTheme="minorEastAsia" w:hAnsiTheme="minorEastAsia" w:eastAsiaTheme="minorEastAsia"/>
          <w:color w:val="auto"/>
          <w:sz w:val="24"/>
        </w:rPr>
        <w:t>⑶退货处理：乙方应退还甲方支付的合同款，同时应承担该货物的直接费用（运输、</w:t>
      </w:r>
      <w:r>
        <w:rPr>
          <w:rFonts w:hint="eastAsia" w:asciiTheme="minorEastAsia" w:hAnsiTheme="minorEastAsia" w:eastAsiaTheme="minorEastAsia"/>
          <w:color w:val="auto"/>
          <w:sz w:val="24"/>
        </w:rPr>
        <w:t>清洗、</w:t>
      </w:r>
      <w:r>
        <w:rPr>
          <w:rFonts w:asciiTheme="minorEastAsia" w:hAnsiTheme="minorEastAsia" w:eastAsiaTheme="minorEastAsia"/>
          <w:color w:val="auto"/>
          <w:sz w:val="24"/>
        </w:rPr>
        <w:t>保险、检验、货款利息及银行手续费等）。</w:t>
      </w:r>
    </w:p>
    <w:p>
      <w:pPr>
        <w:pStyle w:val="22"/>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如在使用过程中发生质量问题，乙方在接到甲方通知后在</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rPr>
        <w:t>小时内到达甲方</w:t>
      </w:r>
    </w:p>
    <w:p>
      <w:pPr>
        <w:pStyle w:val="22"/>
        <w:snapToGrid w:val="0"/>
        <w:spacing w:before="120" w:after="120" w:line="360" w:lineRule="auto"/>
        <w:ind w:firstLine="360" w:firstLineChars="150"/>
        <w:rPr>
          <w:rFonts w:asciiTheme="minorEastAsia" w:hAnsiTheme="minorEastAsia" w:eastAsiaTheme="minorEastAsia"/>
          <w:color w:val="auto"/>
          <w:sz w:val="24"/>
        </w:rPr>
      </w:pPr>
      <w:r>
        <w:rPr>
          <w:rFonts w:asciiTheme="minorEastAsia" w:hAnsiTheme="minorEastAsia" w:eastAsiaTheme="minorEastAsia"/>
          <w:color w:val="auto"/>
          <w:sz w:val="24"/>
        </w:rPr>
        <w:t>现场。</w:t>
      </w:r>
    </w:p>
    <w:p>
      <w:pPr>
        <w:pStyle w:val="22"/>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在质保期内，乙方应对</w:t>
      </w:r>
      <w:r>
        <w:rPr>
          <w:rFonts w:hint="eastAsia" w:asciiTheme="minorEastAsia" w:hAnsiTheme="minorEastAsia" w:eastAsiaTheme="minorEastAsia"/>
          <w:color w:val="auto"/>
          <w:sz w:val="24"/>
        </w:rPr>
        <w:t>成果</w:t>
      </w:r>
      <w:r>
        <w:rPr>
          <w:rFonts w:asciiTheme="minorEastAsia" w:hAnsiTheme="minorEastAsia" w:eastAsiaTheme="minorEastAsia"/>
          <w:color w:val="auto"/>
          <w:sz w:val="24"/>
        </w:rPr>
        <w:t>出现的质量及安全问题负责处理解决并承担一切</w:t>
      </w:r>
    </w:p>
    <w:p>
      <w:pPr>
        <w:pStyle w:val="22"/>
        <w:snapToGrid w:val="0"/>
        <w:spacing w:before="120" w:after="120" w:line="360" w:lineRule="auto"/>
        <w:ind w:firstLine="360" w:firstLineChars="150"/>
        <w:rPr>
          <w:rFonts w:asciiTheme="minorEastAsia" w:hAnsiTheme="minorEastAsia" w:eastAsiaTheme="minorEastAsia"/>
          <w:color w:val="auto"/>
          <w:sz w:val="24"/>
        </w:rPr>
      </w:pPr>
      <w:r>
        <w:rPr>
          <w:rFonts w:asciiTheme="minorEastAsia" w:hAnsiTheme="minorEastAsia" w:eastAsiaTheme="minorEastAsia"/>
          <w:color w:val="auto"/>
          <w:sz w:val="24"/>
        </w:rPr>
        <w:t>费用。</w:t>
      </w:r>
    </w:p>
    <w:p>
      <w:pPr>
        <w:pStyle w:val="22"/>
        <w:numPr>
          <w:ilvl w:val="0"/>
          <w:numId w:val="10"/>
        </w:numPr>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上述的免费保修期为</w:t>
      </w:r>
      <w:r>
        <w:rPr>
          <w:rFonts w:hint="eastAsia" w:hAnsi="宋体" w:cs="宋体"/>
          <w:color w:val="auto"/>
          <w:sz w:val="24"/>
        </w:rPr>
        <w:t>主次干道标线不少于1年，支路标线不少于2年（技术需求中有列明质保期的按照技术需求中的要求）</w:t>
      </w:r>
      <w:r>
        <w:rPr>
          <w:rFonts w:asciiTheme="minorEastAsia" w:hAnsiTheme="minorEastAsia" w:eastAsiaTheme="minorEastAsia"/>
          <w:color w:val="auto"/>
          <w:sz w:val="24"/>
        </w:rPr>
        <w:t>（自交</w:t>
      </w:r>
      <w:r>
        <w:rPr>
          <w:rFonts w:hint="eastAsia" w:asciiTheme="minorEastAsia" w:hAnsiTheme="minorEastAsia" w:eastAsiaTheme="minorEastAsia"/>
          <w:color w:val="auto"/>
          <w:sz w:val="24"/>
        </w:rPr>
        <w:t>付</w:t>
      </w:r>
      <w:r>
        <w:rPr>
          <w:rFonts w:asciiTheme="minorEastAsia" w:hAnsiTheme="minorEastAsia" w:eastAsiaTheme="minorEastAsia"/>
          <w:color w:val="auto"/>
          <w:sz w:val="24"/>
        </w:rPr>
        <w:t>验收合格之日起计），因人为因素出现的故障不在免费保修范围内。</w:t>
      </w:r>
      <w:r>
        <w:rPr>
          <w:rFonts w:hint="eastAsia" w:asciiTheme="minorEastAsia" w:hAnsiTheme="minorEastAsia" w:eastAsiaTheme="minorEastAsia"/>
          <w:color w:val="auto"/>
          <w:sz w:val="24"/>
        </w:rPr>
        <w:t>超过保修期的机器设备，终生维修，维修时只收部件成本费。</w:t>
      </w:r>
    </w:p>
    <w:p>
      <w:pPr>
        <w:pStyle w:val="22"/>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四</w:t>
      </w:r>
      <w:r>
        <w:rPr>
          <w:rFonts w:asciiTheme="minorEastAsia" w:hAnsiTheme="minorEastAsia" w:eastAsiaTheme="minorEastAsia"/>
          <w:b/>
          <w:color w:val="auto"/>
          <w:sz w:val="24"/>
        </w:rPr>
        <w:t>、调试和验收</w:t>
      </w:r>
    </w:p>
    <w:p>
      <w:pPr>
        <w:pStyle w:val="22"/>
        <w:snapToGrid w:val="0"/>
        <w:spacing w:before="120" w:after="120" w:line="360" w:lineRule="auto"/>
        <w:jc w:val="left"/>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甲方对乙方提交的货物依据招标文件上的技术规格要求和国家有关质量标准</w:t>
      </w:r>
    </w:p>
    <w:p>
      <w:pPr>
        <w:pStyle w:val="22"/>
        <w:snapToGrid w:val="0"/>
        <w:spacing w:before="120" w:after="120" w:line="360" w:lineRule="auto"/>
        <w:ind w:firstLine="360" w:firstLineChars="150"/>
        <w:jc w:val="left"/>
        <w:rPr>
          <w:rFonts w:asciiTheme="minorEastAsia" w:hAnsiTheme="minorEastAsia" w:eastAsiaTheme="minorEastAsia"/>
          <w:color w:val="auto"/>
          <w:sz w:val="24"/>
        </w:rPr>
      </w:pPr>
      <w:r>
        <w:rPr>
          <w:rFonts w:asciiTheme="minorEastAsia" w:hAnsiTheme="minorEastAsia" w:eastAsiaTheme="minorEastAsia"/>
          <w:color w:val="auto"/>
          <w:sz w:val="24"/>
        </w:rPr>
        <w:t>进行现场初步验收，外观、说明书符合招标文件技术要求的，给予签收，初</w:t>
      </w:r>
    </w:p>
    <w:p>
      <w:pPr>
        <w:pStyle w:val="22"/>
        <w:snapToGrid w:val="0"/>
        <w:spacing w:before="120" w:after="120" w:line="360" w:lineRule="auto"/>
        <w:ind w:firstLine="360" w:firstLineChars="150"/>
        <w:jc w:val="left"/>
        <w:rPr>
          <w:rFonts w:asciiTheme="minorEastAsia" w:hAnsiTheme="minorEastAsia" w:eastAsiaTheme="minorEastAsia"/>
          <w:color w:val="auto"/>
          <w:sz w:val="24"/>
        </w:rPr>
      </w:pPr>
      <w:r>
        <w:rPr>
          <w:rFonts w:asciiTheme="minorEastAsia" w:hAnsiTheme="minorEastAsia" w:eastAsiaTheme="minorEastAsia"/>
          <w:color w:val="auto"/>
          <w:sz w:val="24"/>
        </w:rPr>
        <w:t>步验收不合格的不予签收。货到后，甲方需在</w:t>
      </w:r>
      <w:r>
        <w:rPr>
          <w:rFonts w:hint="eastAsia" w:asciiTheme="minorEastAsia" w:hAnsiTheme="minorEastAsia" w:eastAsiaTheme="minorEastAsia"/>
          <w:color w:val="auto"/>
          <w:sz w:val="24"/>
          <w:u w:val="single"/>
        </w:rPr>
        <w:t>五</w:t>
      </w:r>
      <w:r>
        <w:rPr>
          <w:rFonts w:hint="eastAsia" w:asciiTheme="minorEastAsia" w:hAnsiTheme="minorEastAsia" w:eastAsiaTheme="minorEastAsia"/>
          <w:color w:val="auto"/>
          <w:sz w:val="24"/>
        </w:rPr>
        <w:t>个</w:t>
      </w:r>
      <w:r>
        <w:rPr>
          <w:rFonts w:asciiTheme="minorEastAsia" w:hAnsiTheme="minorEastAsia" w:eastAsiaTheme="minorEastAsia"/>
          <w:color w:val="auto"/>
          <w:sz w:val="24"/>
        </w:rPr>
        <w:t>工作日内验收。</w:t>
      </w:r>
    </w:p>
    <w:p>
      <w:pPr>
        <w:pStyle w:val="22"/>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乙方交货前应对产品作出全面检查和对验收文件进行整理，并列出清单，作</w:t>
      </w:r>
    </w:p>
    <w:p>
      <w:pPr>
        <w:pStyle w:val="22"/>
        <w:snapToGrid w:val="0"/>
        <w:spacing w:before="120" w:after="120" w:line="360" w:lineRule="auto"/>
        <w:ind w:firstLine="360" w:firstLineChars="150"/>
        <w:rPr>
          <w:rFonts w:asciiTheme="minorEastAsia" w:hAnsiTheme="minorEastAsia" w:eastAsiaTheme="minorEastAsia"/>
          <w:color w:val="auto"/>
          <w:sz w:val="24"/>
        </w:rPr>
      </w:pPr>
      <w:r>
        <w:rPr>
          <w:rFonts w:asciiTheme="minorEastAsia" w:hAnsiTheme="minorEastAsia" w:eastAsiaTheme="minorEastAsia"/>
          <w:color w:val="auto"/>
          <w:sz w:val="24"/>
        </w:rPr>
        <w:t>为甲方收货验收和使用的技术条件依据，检验的结果应随货物交甲方。</w:t>
      </w:r>
    </w:p>
    <w:p>
      <w:pPr>
        <w:pStyle w:val="22"/>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甲方对乙方提供的货物在使用前进行调试时，乙方需负责安装并培训甲方的</w:t>
      </w:r>
    </w:p>
    <w:p>
      <w:pPr>
        <w:pStyle w:val="22"/>
        <w:snapToGrid w:val="0"/>
        <w:spacing w:before="120" w:after="120" w:line="360" w:lineRule="auto"/>
        <w:ind w:firstLine="360" w:firstLineChars="150"/>
        <w:rPr>
          <w:rFonts w:asciiTheme="minorEastAsia" w:hAnsiTheme="minorEastAsia" w:eastAsiaTheme="minorEastAsia"/>
          <w:color w:val="auto"/>
          <w:sz w:val="24"/>
        </w:rPr>
      </w:pPr>
      <w:r>
        <w:rPr>
          <w:rFonts w:asciiTheme="minorEastAsia" w:hAnsiTheme="minorEastAsia" w:eastAsiaTheme="minorEastAsia"/>
          <w:color w:val="auto"/>
          <w:sz w:val="24"/>
        </w:rPr>
        <w:t>使用操作人员，并协助甲方一起调试，直到符合技术要求，甲方才做最终验</w:t>
      </w:r>
    </w:p>
    <w:p>
      <w:pPr>
        <w:pStyle w:val="22"/>
        <w:snapToGrid w:val="0"/>
        <w:spacing w:before="120" w:after="120" w:line="360" w:lineRule="auto"/>
        <w:ind w:firstLine="360" w:firstLineChars="150"/>
        <w:rPr>
          <w:rFonts w:asciiTheme="minorEastAsia" w:hAnsiTheme="minorEastAsia" w:eastAsiaTheme="minorEastAsia"/>
          <w:color w:val="auto"/>
          <w:sz w:val="24"/>
          <w:u w:val="single"/>
        </w:rPr>
      </w:pPr>
      <w:r>
        <w:rPr>
          <w:rFonts w:asciiTheme="minorEastAsia" w:hAnsiTheme="minorEastAsia" w:eastAsiaTheme="minorEastAsia"/>
          <w:color w:val="auto"/>
          <w:sz w:val="24"/>
        </w:rPr>
        <w:t>收。</w:t>
      </w:r>
    </w:p>
    <w:p>
      <w:pPr>
        <w:pStyle w:val="22"/>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对技术复杂的货物，甲方应请国家认可的专业检测机构参与初步验收及最终</w:t>
      </w:r>
    </w:p>
    <w:p>
      <w:pPr>
        <w:pStyle w:val="22"/>
        <w:snapToGrid w:val="0"/>
        <w:spacing w:before="120" w:after="120" w:line="360" w:lineRule="auto"/>
        <w:ind w:firstLine="360" w:firstLineChars="150"/>
        <w:rPr>
          <w:rFonts w:asciiTheme="minorEastAsia" w:hAnsiTheme="minorEastAsia" w:eastAsiaTheme="minorEastAsia"/>
          <w:color w:val="auto"/>
          <w:sz w:val="24"/>
        </w:rPr>
      </w:pPr>
      <w:r>
        <w:rPr>
          <w:rFonts w:asciiTheme="minorEastAsia" w:hAnsiTheme="minorEastAsia" w:eastAsiaTheme="minorEastAsia"/>
          <w:color w:val="auto"/>
          <w:sz w:val="24"/>
        </w:rPr>
        <w:t>验收，并由其出具质量检测报告。</w:t>
      </w:r>
    </w:p>
    <w:p>
      <w:pPr>
        <w:pStyle w:val="22"/>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验收时乙方必须在现场，验收完毕后作出验收结果报告；验收费用由</w:t>
      </w:r>
      <w:r>
        <w:rPr>
          <w:rFonts w:hint="eastAsia" w:asciiTheme="minorEastAsia" w:hAnsiTheme="minorEastAsia" w:eastAsiaTheme="minorEastAsia"/>
          <w:color w:val="auto"/>
          <w:sz w:val="24"/>
        </w:rPr>
        <w:t>甲</w:t>
      </w:r>
      <w:r>
        <w:rPr>
          <w:rFonts w:asciiTheme="minorEastAsia" w:hAnsiTheme="minorEastAsia" w:eastAsiaTheme="minorEastAsia"/>
          <w:color w:val="auto"/>
          <w:sz w:val="24"/>
        </w:rPr>
        <w:t>方负</w:t>
      </w:r>
    </w:p>
    <w:p>
      <w:pPr>
        <w:pStyle w:val="22"/>
        <w:snapToGrid w:val="0"/>
        <w:spacing w:before="120" w:after="120" w:line="360" w:lineRule="auto"/>
        <w:ind w:firstLine="360" w:firstLineChars="150"/>
        <w:rPr>
          <w:rFonts w:asciiTheme="minorEastAsia" w:hAnsiTheme="minorEastAsia" w:eastAsiaTheme="minorEastAsia"/>
          <w:color w:val="auto"/>
          <w:sz w:val="24"/>
        </w:rPr>
      </w:pPr>
      <w:r>
        <w:rPr>
          <w:rFonts w:asciiTheme="minorEastAsia" w:hAnsiTheme="minorEastAsia" w:eastAsiaTheme="minorEastAsia"/>
          <w:color w:val="auto"/>
          <w:sz w:val="24"/>
        </w:rPr>
        <w:t>责。</w:t>
      </w:r>
    </w:p>
    <w:p>
      <w:pPr>
        <w:pStyle w:val="22"/>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五</w:t>
      </w:r>
      <w:r>
        <w:rPr>
          <w:rFonts w:asciiTheme="minorEastAsia" w:hAnsiTheme="minorEastAsia" w:eastAsiaTheme="minorEastAsia"/>
          <w:b/>
          <w:color w:val="auto"/>
          <w:sz w:val="24"/>
        </w:rPr>
        <w:t>、货物包装、发运及运输</w:t>
      </w:r>
    </w:p>
    <w:p>
      <w:pPr>
        <w:pStyle w:val="22"/>
        <w:snapToGrid w:val="0"/>
        <w:spacing w:before="120" w:after="120" w:line="360" w:lineRule="auto"/>
        <w:ind w:left="480" w:hanging="480" w:hangingChars="200"/>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乙方应在货物发运前对其进行满足运输距离、防潮、防震、防锈和防破损装卸等要求包装，以保证货物安全运达甲方指定地点。</w:t>
      </w:r>
    </w:p>
    <w:p>
      <w:pPr>
        <w:pStyle w:val="22"/>
        <w:snapToGrid w:val="0"/>
        <w:spacing w:before="120" w:after="120" w:line="360" w:lineRule="auto"/>
        <w:ind w:left="480" w:hanging="480" w:hangingChars="200"/>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使用说明书、质量检验证明书、随配附件和工具以及清单一并附于货物内。</w:t>
      </w:r>
    </w:p>
    <w:p>
      <w:pPr>
        <w:pStyle w:val="22"/>
        <w:snapToGrid w:val="0"/>
        <w:spacing w:before="120" w:after="120" w:line="360" w:lineRule="auto"/>
        <w:ind w:left="480" w:hanging="480" w:hangingChars="200"/>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乙方在货物发运手续办理完毕后24小时内或货到甲方48小时前通知甲方，以准备接货。</w:t>
      </w:r>
    </w:p>
    <w:p>
      <w:pPr>
        <w:pStyle w:val="22"/>
        <w:snapToGrid w:val="0"/>
        <w:spacing w:before="120" w:after="120" w:line="360" w:lineRule="auto"/>
        <w:ind w:left="480" w:hanging="480" w:hangingChars="200"/>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货物在交付甲方前发生的风险均由乙方负责。</w:t>
      </w:r>
    </w:p>
    <w:p>
      <w:pPr>
        <w:pStyle w:val="22"/>
        <w:snapToGrid w:val="0"/>
        <w:spacing w:line="360" w:lineRule="auto"/>
        <w:ind w:left="480" w:right="26" w:hanging="480" w:hangingChars="200"/>
        <w:rPr>
          <w:rFonts w:asciiTheme="minorEastAsia" w:hAnsiTheme="minorEastAsia" w:eastAsiaTheme="minorEastAsia"/>
          <w:color w:val="auto"/>
          <w:sz w:val="24"/>
        </w:rPr>
      </w:pPr>
      <w:r>
        <w:rPr>
          <w:rFonts w:asciiTheme="minorEastAsia" w:hAnsiTheme="minorEastAsia" w:eastAsiaTheme="minorEastAsia"/>
          <w:color w:val="auto"/>
          <w:sz w:val="24"/>
        </w:rPr>
        <w:t>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货物在规定的交付期限内由乙方送达甲方指定的地点视为交付，乙方同时需</w:t>
      </w:r>
    </w:p>
    <w:p>
      <w:pPr>
        <w:pStyle w:val="22"/>
        <w:snapToGrid w:val="0"/>
        <w:spacing w:line="360" w:lineRule="auto"/>
        <w:ind w:left="479" w:leftChars="171" w:right="26" w:hanging="120" w:hangingChars="50"/>
        <w:rPr>
          <w:rFonts w:asciiTheme="minorEastAsia" w:hAnsiTheme="minorEastAsia" w:eastAsiaTheme="minorEastAsia"/>
          <w:color w:val="auto"/>
          <w:sz w:val="24"/>
        </w:rPr>
      </w:pPr>
      <w:r>
        <w:rPr>
          <w:rFonts w:asciiTheme="minorEastAsia" w:hAnsiTheme="minorEastAsia" w:eastAsiaTheme="minorEastAsia"/>
          <w:color w:val="auto"/>
          <w:sz w:val="24"/>
        </w:rPr>
        <w:t>通知甲方货物已送达。</w:t>
      </w:r>
    </w:p>
    <w:p>
      <w:pPr>
        <w:pStyle w:val="22"/>
        <w:snapToGrid w:val="0"/>
        <w:spacing w:line="360" w:lineRule="auto"/>
        <w:ind w:right="26"/>
        <w:rPr>
          <w:rFonts w:asciiTheme="minorEastAsia" w:hAnsiTheme="minorEastAsia" w:eastAsiaTheme="minorEastAsia"/>
          <w:color w:val="auto"/>
          <w:sz w:val="24"/>
        </w:rPr>
      </w:pPr>
      <w:r>
        <w:rPr>
          <w:rFonts w:hint="eastAsia" w:asciiTheme="minorEastAsia" w:hAnsiTheme="minorEastAsia" w:eastAsiaTheme="minorEastAsia"/>
          <w:color w:val="auto"/>
          <w:sz w:val="24"/>
        </w:rPr>
        <w:t>6.乙方运送的货物涉及商品包装和快递包装的，参考《商品包装政府采购需求标准（试行）》、《快递包装政府采购需求标准（试行）》(财办库〔2020〕123号)</w:t>
      </w:r>
    </w:p>
    <w:p>
      <w:pPr>
        <w:pStyle w:val="22"/>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六</w:t>
      </w:r>
      <w:r>
        <w:rPr>
          <w:rFonts w:asciiTheme="minorEastAsia" w:hAnsiTheme="minorEastAsia" w:eastAsiaTheme="minorEastAsia"/>
          <w:b/>
          <w:color w:val="auto"/>
          <w:sz w:val="24"/>
        </w:rPr>
        <w:t>、违约责任</w:t>
      </w:r>
    </w:p>
    <w:p>
      <w:pPr>
        <w:pStyle w:val="22"/>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甲方无正当理由拒收货物的，甲方向乙方偿付拒收货款总值的</w:t>
      </w:r>
      <w:r>
        <w:rPr>
          <w:rFonts w:asciiTheme="minorEastAsia" w:hAnsiTheme="minorEastAsia" w:eastAsiaTheme="minorEastAsia"/>
          <w:color w:val="auto"/>
          <w:sz w:val="24"/>
          <w:u w:val="single"/>
        </w:rPr>
        <w:t>百分之五</w:t>
      </w:r>
      <w:r>
        <w:rPr>
          <w:rFonts w:asciiTheme="minorEastAsia" w:hAnsiTheme="minorEastAsia" w:eastAsiaTheme="minorEastAsia"/>
          <w:color w:val="auto"/>
          <w:sz w:val="24"/>
        </w:rPr>
        <w:t>违约金。</w:t>
      </w:r>
    </w:p>
    <w:p>
      <w:pPr>
        <w:pStyle w:val="22"/>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甲方无故逾期验收和办理货款支付手续的,甲方应按逾期付款</w:t>
      </w:r>
      <w:r>
        <w:rPr>
          <w:rFonts w:hint="eastAsia" w:asciiTheme="minorEastAsia" w:hAnsiTheme="minorEastAsia" w:eastAsiaTheme="minorEastAsia"/>
          <w:color w:val="auto"/>
          <w:sz w:val="24"/>
        </w:rPr>
        <w:t>金</w:t>
      </w:r>
      <w:r>
        <w:rPr>
          <w:rFonts w:asciiTheme="minorEastAsia" w:hAnsiTheme="minorEastAsia" w:eastAsiaTheme="minorEastAsia"/>
          <w:color w:val="auto"/>
          <w:sz w:val="24"/>
        </w:rPr>
        <w:t>额</w:t>
      </w:r>
      <w:r>
        <w:rPr>
          <w:rFonts w:asciiTheme="minorEastAsia" w:hAnsiTheme="minorEastAsia" w:eastAsiaTheme="minorEastAsia"/>
          <w:color w:val="auto"/>
          <w:sz w:val="24"/>
          <w:u w:val="single"/>
        </w:rPr>
        <w:t>万分之五</w:t>
      </w:r>
      <w:r>
        <w:rPr>
          <w:rFonts w:hint="eastAsia" w:asciiTheme="minorEastAsia" w:hAnsiTheme="minorEastAsia" w:eastAsiaTheme="minorEastAsia"/>
          <w:color w:val="auto"/>
          <w:sz w:val="24"/>
        </w:rPr>
        <w:t>每</w:t>
      </w:r>
      <w:r>
        <w:rPr>
          <w:rFonts w:asciiTheme="minorEastAsia" w:hAnsiTheme="minorEastAsia" w:eastAsiaTheme="minorEastAsia"/>
          <w:color w:val="auto"/>
          <w:sz w:val="24"/>
        </w:rPr>
        <w:t>日向乙方支付违约金。</w:t>
      </w:r>
    </w:p>
    <w:p>
      <w:pPr>
        <w:pStyle w:val="22"/>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乙方逾期交付货物的，乙方应按逾期交货总额</w:t>
      </w:r>
      <w:r>
        <w:rPr>
          <w:rFonts w:asciiTheme="minorEastAsia" w:hAnsiTheme="minorEastAsia" w:eastAsiaTheme="minorEastAsia"/>
          <w:color w:val="auto"/>
          <w:sz w:val="24"/>
          <w:u w:val="single"/>
        </w:rPr>
        <w:t>千分之六</w:t>
      </w:r>
      <w:r>
        <w:rPr>
          <w:rFonts w:hint="eastAsia" w:asciiTheme="minorEastAsia" w:hAnsiTheme="minorEastAsia" w:eastAsiaTheme="minorEastAsia"/>
          <w:color w:val="auto"/>
          <w:sz w:val="24"/>
        </w:rPr>
        <w:t>每</w:t>
      </w:r>
      <w:r>
        <w:rPr>
          <w:rFonts w:asciiTheme="minorEastAsia" w:hAnsiTheme="minorEastAsia" w:eastAsiaTheme="minorEastAsia"/>
          <w:color w:val="auto"/>
          <w:sz w:val="24"/>
        </w:rPr>
        <w:t>日向甲方支付违约金，由甲方从待付货款中扣除。逾期超过约定日期</w:t>
      </w:r>
      <w:r>
        <w:rPr>
          <w:rFonts w:asciiTheme="minorEastAsia" w:hAnsiTheme="minorEastAsia" w:eastAsiaTheme="minorEastAsia"/>
          <w:color w:val="auto"/>
          <w:sz w:val="24"/>
          <w:u w:val="single"/>
        </w:rPr>
        <w:t>10</w:t>
      </w:r>
      <w:r>
        <w:rPr>
          <w:rFonts w:asciiTheme="minorEastAsia" w:hAnsiTheme="minorEastAsia" w:eastAsiaTheme="minorEastAsia"/>
          <w:color w:val="auto"/>
          <w:sz w:val="24"/>
        </w:rPr>
        <w:t>个工作日不能交货的，甲方可解除本合同。因乙方逾期交货或因其他违约行为导致甲方解除合同的，乙方应向甲方支付合同总值</w:t>
      </w:r>
      <w:r>
        <w:rPr>
          <w:rFonts w:asciiTheme="minorEastAsia" w:hAnsiTheme="minorEastAsia" w:eastAsiaTheme="minorEastAsia"/>
          <w:color w:val="auto"/>
          <w:sz w:val="24"/>
          <w:u w:val="single"/>
        </w:rPr>
        <w:t>5%</w:t>
      </w:r>
      <w:r>
        <w:rPr>
          <w:rFonts w:asciiTheme="minorEastAsia" w:hAnsiTheme="minorEastAsia" w:eastAsiaTheme="minorEastAsia"/>
          <w:color w:val="auto"/>
          <w:sz w:val="24"/>
        </w:rPr>
        <w:t xml:space="preserve">的违约金，如造成甲方损失超过违约金的，超出部分由乙方继续承担赔偿责任。 </w:t>
      </w:r>
    </w:p>
    <w:p>
      <w:pPr>
        <w:pStyle w:val="22"/>
        <w:snapToGrid w:val="0"/>
        <w:spacing w:before="120" w:after="120" w:line="360" w:lineRule="auto"/>
        <w:ind w:left="410" w:hanging="410" w:hangingChars="171"/>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2"/>
        <w:snapToGrid w:val="0"/>
        <w:spacing w:before="120" w:after="120" w:line="360" w:lineRule="auto"/>
        <w:ind w:left="410" w:hanging="410" w:hangingChars="171"/>
        <w:rPr>
          <w:rFonts w:asciiTheme="minorEastAsia" w:hAnsiTheme="minorEastAsia" w:eastAsiaTheme="minorEastAsia"/>
          <w:color w:val="auto"/>
          <w:sz w:val="24"/>
        </w:rPr>
      </w:pPr>
      <w:r>
        <w:rPr>
          <w:rFonts w:hint="eastAsia" w:asciiTheme="minorEastAsia" w:hAnsiTheme="minorEastAsia" w:eastAsiaTheme="minorEastAsia"/>
          <w:color w:val="auto"/>
          <w:sz w:val="24"/>
        </w:rPr>
        <w:t>5.若发生纠纷，由违约方赔偿守约方因纠纷所支付的费用（包括但不限于律师费、差旅费、诉讼费、保全费、鉴定费、评估费等）</w:t>
      </w:r>
    </w:p>
    <w:p>
      <w:pPr>
        <w:pStyle w:val="22"/>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七</w:t>
      </w:r>
      <w:r>
        <w:rPr>
          <w:rFonts w:asciiTheme="minorEastAsia" w:hAnsiTheme="minorEastAsia" w:eastAsiaTheme="minorEastAsia"/>
          <w:b/>
          <w:color w:val="auto"/>
          <w:sz w:val="24"/>
        </w:rPr>
        <w:t>、不可抗力事件处理</w:t>
      </w:r>
    </w:p>
    <w:p>
      <w:pPr>
        <w:pStyle w:val="22"/>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在合同有效期内，任何一方因不可抗力事件导致不能履行合同，则合同履行</w:t>
      </w:r>
    </w:p>
    <w:p>
      <w:pPr>
        <w:pStyle w:val="22"/>
        <w:snapToGrid w:val="0"/>
        <w:spacing w:before="120" w:after="120" w:line="360" w:lineRule="auto"/>
        <w:ind w:firstLine="360" w:firstLineChars="150"/>
        <w:rPr>
          <w:rFonts w:asciiTheme="minorEastAsia" w:hAnsiTheme="minorEastAsia" w:eastAsiaTheme="minorEastAsia"/>
          <w:color w:val="auto"/>
          <w:sz w:val="24"/>
        </w:rPr>
      </w:pPr>
      <w:r>
        <w:rPr>
          <w:rFonts w:asciiTheme="minorEastAsia" w:hAnsiTheme="minorEastAsia" w:eastAsiaTheme="minorEastAsia"/>
          <w:color w:val="auto"/>
          <w:sz w:val="24"/>
        </w:rPr>
        <w:t>期可延长，其延长期与不可抗力影响期相同。</w:t>
      </w:r>
    </w:p>
    <w:p>
      <w:pPr>
        <w:pStyle w:val="22"/>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不可抗力事件发生后，应立即通知对方，并寄送有关权威机构出具的证明。</w:t>
      </w:r>
    </w:p>
    <w:p>
      <w:pPr>
        <w:pStyle w:val="22"/>
        <w:snapToGrid w:val="0"/>
        <w:spacing w:before="120" w:after="12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不可抗力事件延续120天以上，双方应通过友好协商，确定是否继续履行合</w:t>
      </w:r>
    </w:p>
    <w:p>
      <w:pPr>
        <w:pStyle w:val="22"/>
        <w:snapToGrid w:val="0"/>
        <w:spacing w:before="120" w:after="120" w:line="360" w:lineRule="auto"/>
        <w:ind w:firstLine="360" w:firstLineChars="150"/>
        <w:rPr>
          <w:rFonts w:asciiTheme="minorEastAsia" w:hAnsiTheme="minorEastAsia" w:eastAsiaTheme="minorEastAsia"/>
          <w:color w:val="auto"/>
          <w:sz w:val="24"/>
        </w:rPr>
      </w:pPr>
      <w:r>
        <w:rPr>
          <w:rFonts w:asciiTheme="minorEastAsia" w:hAnsiTheme="minorEastAsia" w:eastAsiaTheme="minorEastAsia"/>
          <w:color w:val="auto"/>
          <w:sz w:val="24"/>
        </w:rPr>
        <w:t>同。</w:t>
      </w:r>
    </w:p>
    <w:p>
      <w:pPr>
        <w:pStyle w:val="22"/>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八</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解决争议的方法</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 xml:space="preserve">1. </w:t>
      </w:r>
      <w:r>
        <w:rPr>
          <w:rFonts w:ascii="宋体" w:hAnsi="宋体" w:cs="宋体"/>
          <w:color w:val="auto"/>
          <w:kern w:val="0"/>
          <w:sz w:val="24"/>
        </w:rPr>
        <w:t>如双方在履行合同时发生纠纷，应协商解决；协商不成时，可提请政府采购管理部门调解；调解不成的通过以下方式解决（两种解决方式只能择其一）：</w:t>
      </w:r>
    </w:p>
    <w:p>
      <w:pPr>
        <w:widowControl/>
        <w:spacing w:line="360" w:lineRule="auto"/>
        <w:jc w:val="left"/>
        <w:rPr>
          <w:rFonts w:ascii="宋体" w:hAnsi="宋体" w:cs="宋体"/>
          <w:color w:val="auto"/>
          <w:kern w:val="0"/>
          <w:sz w:val="24"/>
        </w:rPr>
      </w:pPr>
      <w:r>
        <w:rPr>
          <w:rFonts w:ascii="宋体" w:hAnsi="宋体" w:cs="宋体"/>
          <w:color w:val="auto"/>
          <w:kern w:val="0"/>
          <w:sz w:val="24"/>
        </w:rPr>
        <w:t>（1） 提交</w:t>
      </w:r>
      <w:r>
        <w:rPr>
          <w:rFonts w:hAnsi="宋体"/>
          <w:color w:val="auto"/>
          <w:sz w:val="24"/>
          <w:u w:val="single"/>
        </w:rPr>
        <w:t>台州</w:t>
      </w:r>
      <w:r>
        <w:rPr>
          <w:rFonts w:ascii="宋体" w:hAnsi="宋体" w:cs="宋体"/>
          <w:color w:val="auto"/>
          <w:kern w:val="0"/>
          <w:sz w:val="24"/>
        </w:rPr>
        <w:t>仲裁委员会仲裁。</w:t>
      </w:r>
    </w:p>
    <w:p>
      <w:pPr>
        <w:widowControl/>
        <w:spacing w:line="360" w:lineRule="auto"/>
        <w:jc w:val="left"/>
        <w:rPr>
          <w:color w:val="auto"/>
          <w:sz w:val="24"/>
        </w:rPr>
      </w:pPr>
      <w:r>
        <w:rPr>
          <w:rFonts w:ascii="宋体" w:hAnsi="宋体" w:cs="宋体"/>
          <w:color w:val="auto"/>
          <w:kern w:val="0"/>
          <w:sz w:val="24"/>
        </w:rPr>
        <w:t xml:space="preserve">（2） 依法向人民法院提起诉讼。 </w:t>
      </w:r>
    </w:p>
    <w:p>
      <w:pPr>
        <w:pStyle w:val="22"/>
        <w:tabs>
          <w:tab w:val="left" w:pos="5790"/>
        </w:tabs>
        <w:snapToGrid w:val="0"/>
        <w:spacing w:before="120" w:after="120" w:line="360" w:lineRule="auto"/>
        <w:rPr>
          <w:rFonts w:asciiTheme="minorEastAsia" w:hAnsiTheme="minorEastAsia" w:eastAsiaTheme="minorEastAsia"/>
          <w:b/>
          <w:color w:val="auto"/>
          <w:sz w:val="24"/>
        </w:rPr>
      </w:pPr>
      <w:r>
        <w:rPr>
          <w:rFonts w:asciiTheme="minorEastAsia" w:hAnsiTheme="minorEastAsia" w:eastAsiaTheme="minorEastAsia"/>
          <w:b/>
          <w:color w:val="auto"/>
          <w:sz w:val="24"/>
        </w:rPr>
        <w:t>十</w:t>
      </w:r>
      <w:r>
        <w:rPr>
          <w:rFonts w:hint="eastAsia" w:asciiTheme="minorEastAsia" w:hAnsiTheme="minorEastAsia" w:eastAsiaTheme="minorEastAsia"/>
          <w:b/>
          <w:color w:val="auto"/>
          <w:sz w:val="24"/>
        </w:rPr>
        <w:t>九</w:t>
      </w:r>
      <w:r>
        <w:rPr>
          <w:rFonts w:asciiTheme="minorEastAsia" w:hAnsiTheme="minorEastAsia" w:eastAsiaTheme="minorEastAsia"/>
          <w:b/>
          <w:color w:val="auto"/>
          <w:sz w:val="24"/>
        </w:rPr>
        <w:t>、合同生效及其它</w:t>
      </w:r>
      <w:r>
        <w:rPr>
          <w:rFonts w:asciiTheme="minorEastAsia" w:hAnsiTheme="minorEastAsia" w:eastAsiaTheme="minorEastAsia"/>
          <w:b/>
          <w:color w:val="auto"/>
          <w:sz w:val="24"/>
        </w:rPr>
        <w:tab/>
      </w:r>
    </w:p>
    <w:p>
      <w:pPr>
        <w:pStyle w:val="6"/>
        <w:rPr>
          <w:rFonts w:ascii="宋体" w:hAnsi="宋体" w:cs="宋体"/>
          <w:color w:val="auto"/>
          <w:sz w:val="24"/>
          <w:shd w:val="clear" w:color="auto" w:fill="auto"/>
        </w:rPr>
      </w:pPr>
      <w:r>
        <w:rPr>
          <w:rFonts w:ascii="宋体" w:hAnsi="宋体" w:cs="宋体"/>
          <w:color w:val="auto"/>
          <w:sz w:val="24"/>
          <w:shd w:val="clear" w:color="auto" w:fill="auto"/>
        </w:rPr>
        <w:t>1</w:t>
      </w:r>
      <w:r>
        <w:rPr>
          <w:rFonts w:hint="eastAsia" w:ascii="宋体" w:hAnsi="宋体" w:cs="宋体"/>
          <w:color w:val="auto"/>
          <w:sz w:val="24"/>
          <w:shd w:val="clear" w:color="auto" w:fill="auto"/>
        </w:rPr>
        <w:t>.</w:t>
      </w:r>
      <w:r>
        <w:rPr>
          <w:rFonts w:ascii="宋体" w:hAnsi="宋体" w:cs="宋体"/>
          <w:color w:val="auto"/>
          <w:sz w:val="24"/>
          <w:shd w:val="clear" w:color="auto" w:fill="auto"/>
        </w:rPr>
        <w:t xml:space="preserve"> </w:t>
      </w:r>
      <w:r>
        <w:rPr>
          <w:rFonts w:hint="eastAsia" w:ascii="宋体" w:hAnsi="宋体" w:cs="宋体"/>
          <w:color w:val="auto"/>
          <w:sz w:val="24"/>
          <w:shd w:val="clear" w:color="auto" w:fill="auto"/>
        </w:rPr>
        <w:t>其他条款见《专用合同条款》</w:t>
      </w:r>
    </w:p>
    <w:p>
      <w:pPr>
        <w:pStyle w:val="3"/>
        <w:widowControl/>
        <w:spacing w:line="360" w:lineRule="auto"/>
        <w:ind w:right="-88"/>
        <w:rPr>
          <w:rFonts w:asciiTheme="minorEastAsia" w:hAnsiTheme="minorEastAsia" w:eastAsiaTheme="minorEastAsia"/>
          <w:color w:val="auto"/>
        </w:rPr>
      </w:pPr>
      <w:r>
        <w:rPr>
          <w:rFonts w:hint="eastAsia" w:asciiTheme="minorEastAsia" w:hAnsiTheme="minorEastAsia" w:eastAsiaTheme="minorEastAsia"/>
          <w:color w:val="auto"/>
        </w:rPr>
        <w:t>2.</w:t>
      </w:r>
      <w:r>
        <w:rPr>
          <w:rFonts w:asciiTheme="minorEastAsia" w:hAnsiTheme="minorEastAsia" w:eastAsiaTheme="minorEastAsia"/>
          <w:color w:val="auto"/>
        </w:rPr>
        <w:t>合同经双方法定代表人或授权代表</w:t>
      </w:r>
      <w:r>
        <w:rPr>
          <w:rFonts w:hint="eastAsia" w:asciiTheme="minorEastAsia" w:hAnsiTheme="minorEastAsia" w:eastAsiaTheme="minorEastAsia"/>
          <w:color w:val="auto"/>
        </w:rPr>
        <w:t>签字</w:t>
      </w:r>
      <w:r>
        <w:rPr>
          <w:rFonts w:asciiTheme="minorEastAsia" w:hAnsiTheme="minorEastAsia" w:eastAsiaTheme="minorEastAsia"/>
          <w:color w:val="auto"/>
        </w:rPr>
        <w:t>并加盖单位公章后生效。</w:t>
      </w:r>
    </w:p>
    <w:p>
      <w:pPr>
        <w:pStyle w:val="3"/>
        <w:widowControl/>
        <w:spacing w:line="360" w:lineRule="auto"/>
        <w:ind w:right="-88"/>
        <w:rPr>
          <w:rFonts w:asciiTheme="minorEastAsia" w:hAnsiTheme="minorEastAsia" w:eastAsiaTheme="minorEastAsia"/>
          <w:color w:val="auto"/>
        </w:rPr>
      </w:pPr>
      <w:r>
        <w:rPr>
          <w:rFonts w:hint="eastAsia" w:asciiTheme="minorEastAsia" w:hAnsiTheme="minorEastAsia" w:eastAsiaTheme="minorEastAsia"/>
          <w:color w:val="auto"/>
        </w:rPr>
        <w:t>3.</w:t>
      </w:r>
      <w:r>
        <w:rPr>
          <w:rFonts w:asciiTheme="minorEastAsia" w:hAnsiTheme="minorEastAsia" w:eastAsiaTheme="minorEastAsia"/>
          <w:color w:val="auto"/>
        </w:rPr>
        <w:t>本合同未尽事宜，遵照《</w:t>
      </w:r>
      <w:r>
        <w:rPr>
          <w:color w:val="auto"/>
        </w:rPr>
        <w:fldChar w:fldCharType="begin"/>
      </w:r>
      <w:r>
        <w:rPr>
          <w:color w:val="auto"/>
        </w:rPr>
        <w:instrText xml:space="preserve"> HYPERLINK "https://baike.so.com/doc/24285488-25517578.html" \t "https://www.so.com/_blank" </w:instrText>
      </w:r>
      <w:r>
        <w:rPr>
          <w:color w:val="auto"/>
        </w:rPr>
        <w:fldChar w:fldCharType="separate"/>
      </w:r>
      <w:r>
        <w:rPr>
          <w:rFonts w:asciiTheme="minorEastAsia" w:hAnsiTheme="minorEastAsia" w:eastAsiaTheme="minorEastAsia"/>
          <w:color w:val="auto"/>
        </w:rPr>
        <w:t>中华人民共和国民法典</w:t>
      </w:r>
      <w:r>
        <w:rPr>
          <w:rFonts w:asciiTheme="minorEastAsia" w:hAnsiTheme="minorEastAsia" w:eastAsiaTheme="minorEastAsia"/>
          <w:color w:val="auto"/>
        </w:rPr>
        <w:fldChar w:fldCharType="end"/>
      </w:r>
      <w:r>
        <w:rPr>
          <w:rFonts w:asciiTheme="minorEastAsia" w:hAnsiTheme="minorEastAsia" w:eastAsiaTheme="minorEastAsia"/>
          <w:color w:val="auto"/>
        </w:rPr>
        <w:t>》有关条文执行。</w:t>
      </w:r>
    </w:p>
    <w:p>
      <w:pPr>
        <w:pStyle w:val="3"/>
        <w:widowControl/>
        <w:spacing w:line="360" w:lineRule="auto"/>
        <w:ind w:right="-88"/>
        <w:rPr>
          <w:rFonts w:asciiTheme="minorEastAsia" w:hAnsiTheme="minorEastAsia" w:eastAsiaTheme="minorEastAsia"/>
          <w:color w:val="auto"/>
        </w:rPr>
      </w:pPr>
      <w:r>
        <w:rPr>
          <w:rFonts w:hint="eastAsia" w:asciiTheme="minorEastAsia" w:hAnsiTheme="minorEastAsia" w:eastAsiaTheme="minorEastAsia"/>
          <w:color w:val="auto"/>
        </w:rPr>
        <w:t>4.本合同一式伍份。甲、乙双方各执贰份，</w:t>
      </w:r>
      <w:r>
        <w:rPr>
          <w:rFonts w:hint="eastAsia" w:ascii="宋体" w:hAnsi="宋体"/>
          <w:color w:val="auto"/>
        </w:rPr>
        <w:t>采购组织机构向同级人民政府财政部门备案一份</w:t>
      </w:r>
      <w:r>
        <w:rPr>
          <w:rFonts w:hint="eastAsia" w:asciiTheme="minorEastAsia" w:hAnsiTheme="minorEastAsia" w:eastAsiaTheme="minorEastAsia"/>
          <w:color w:val="auto"/>
        </w:rPr>
        <w:t>。本项目未尽事宜以招标文件、投标文件及澄清文件等为准。</w:t>
      </w:r>
    </w:p>
    <w:p>
      <w:pPr>
        <w:widowControl/>
        <w:spacing w:line="360" w:lineRule="auto"/>
        <w:rPr>
          <w:rFonts w:asciiTheme="minorEastAsia" w:hAnsiTheme="minorEastAsia" w:eastAsiaTheme="minorEastAsia"/>
          <w:b/>
          <w:color w:val="auto"/>
          <w:sz w:val="24"/>
        </w:rPr>
      </w:pPr>
    </w:p>
    <w:p>
      <w:pPr>
        <w:widowControl/>
        <w:spacing w:line="360" w:lineRule="auto"/>
        <w:rPr>
          <w:rFonts w:asciiTheme="minorEastAsia" w:hAnsiTheme="minorEastAsia" w:eastAsiaTheme="minorEastAsia"/>
          <w:b/>
          <w:color w:val="auto"/>
          <w:sz w:val="24"/>
        </w:rPr>
      </w:pP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甲方（公章）                                     乙方（公章）</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法定代表人：                                     法定代表人：</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委托代理人：                                     委托代理人：</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联系电话：                                       联系电话：</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开户银行：                                       开户银行：</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帐号：                                           帐号：</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地址及邮编：                                     地址及邮编：</w:t>
      </w:r>
    </w:p>
    <w:p>
      <w:pPr>
        <w:spacing w:line="360" w:lineRule="auto"/>
        <w:rPr>
          <w:rFonts w:asciiTheme="minorEastAsia" w:hAnsiTheme="minorEastAsia" w:eastAsiaTheme="minorEastAsia"/>
          <w:color w:val="auto"/>
          <w:sz w:val="24"/>
        </w:rPr>
      </w:pPr>
    </w:p>
    <w:p>
      <w:pPr>
        <w:autoSpaceDE w:val="0"/>
        <w:autoSpaceDN w:val="0"/>
        <w:adjustRightInd w:val="0"/>
        <w:spacing w:line="360" w:lineRule="auto"/>
        <w:rPr>
          <w:rFonts w:ascii="宋体" w:hAnsi="宋体"/>
          <w:b/>
          <w:color w:val="auto"/>
          <w:kern w:val="0"/>
          <w:sz w:val="30"/>
        </w:rPr>
      </w:pPr>
      <w:r>
        <w:rPr>
          <w:rFonts w:hint="eastAsia" w:asciiTheme="minorEastAsia" w:hAnsiTheme="minorEastAsia" w:eastAsiaTheme="minorEastAsia"/>
          <w:color w:val="auto"/>
          <w:sz w:val="24"/>
        </w:rPr>
        <w:t>签订时间：    年   月    日</w:t>
      </w:r>
    </w:p>
    <w:p>
      <w:pPr>
        <w:pStyle w:val="34"/>
        <w:ind w:firstLine="482"/>
        <w:rPr>
          <w:rFonts w:ascii="宋体" w:hAnsi="宋体" w:cs="宋体"/>
          <w:b/>
          <w:snapToGrid w:val="0"/>
          <w:color w:val="auto"/>
          <w:kern w:val="0"/>
          <w:sz w:val="24"/>
        </w:rPr>
      </w:pPr>
    </w:p>
    <w:p>
      <w:pPr>
        <w:jc w:val="center"/>
        <w:rPr>
          <w:rFonts w:ascii="宋体" w:hAnsi="宋体"/>
          <w:color w:val="auto"/>
        </w:rPr>
      </w:pPr>
    </w:p>
    <w:p>
      <w:pPr>
        <w:pStyle w:val="34"/>
        <w:ind w:left="0" w:leftChars="0" w:firstLine="0" w:firstLineChars="0"/>
        <w:rPr>
          <w:color w:val="auto"/>
        </w:rPr>
      </w:pPr>
    </w:p>
    <w:p>
      <w:pPr>
        <w:pStyle w:val="6"/>
        <w:rPr>
          <w:rFonts w:eastAsia="黑体"/>
          <w:color w:val="auto"/>
          <w:sz w:val="32"/>
          <w:szCs w:val="32"/>
        </w:rPr>
      </w:pPr>
    </w:p>
    <w:p>
      <w:pPr>
        <w:pStyle w:val="6"/>
        <w:rPr>
          <w:rFonts w:eastAsia="黑体"/>
          <w:color w:val="auto"/>
          <w:sz w:val="32"/>
          <w:szCs w:val="32"/>
        </w:rPr>
      </w:pPr>
    </w:p>
    <w:p>
      <w:pPr>
        <w:pStyle w:val="6"/>
        <w:rPr>
          <w:rFonts w:eastAsia="黑体"/>
          <w:color w:val="auto"/>
          <w:sz w:val="32"/>
          <w:szCs w:val="32"/>
        </w:rPr>
      </w:pPr>
    </w:p>
    <w:p>
      <w:pPr>
        <w:pStyle w:val="6"/>
        <w:rPr>
          <w:rFonts w:eastAsia="黑体"/>
          <w:color w:val="auto"/>
          <w:sz w:val="32"/>
          <w:szCs w:val="32"/>
        </w:rPr>
      </w:pPr>
    </w:p>
    <w:p>
      <w:pPr>
        <w:pStyle w:val="6"/>
        <w:rPr>
          <w:rFonts w:eastAsia="黑体"/>
          <w:color w:val="auto"/>
          <w:sz w:val="32"/>
          <w:szCs w:val="32"/>
        </w:rPr>
      </w:pPr>
    </w:p>
    <w:p>
      <w:pPr>
        <w:pStyle w:val="6"/>
        <w:rPr>
          <w:rFonts w:eastAsia="黑体"/>
          <w:color w:val="auto"/>
          <w:sz w:val="32"/>
          <w:szCs w:val="32"/>
        </w:rPr>
      </w:pPr>
    </w:p>
    <w:p>
      <w:pPr>
        <w:pStyle w:val="6"/>
        <w:rPr>
          <w:rFonts w:eastAsia="黑体"/>
          <w:color w:val="auto"/>
          <w:sz w:val="32"/>
          <w:szCs w:val="32"/>
        </w:rPr>
      </w:pPr>
    </w:p>
    <w:p>
      <w:pPr>
        <w:pStyle w:val="6"/>
        <w:rPr>
          <w:rFonts w:eastAsia="黑体"/>
          <w:color w:val="auto"/>
          <w:sz w:val="32"/>
          <w:szCs w:val="32"/>
        </w:rPr>
      </w:pPr>
    </w:p>
    <w:p>
      <w:pPr>
        <w:pStyle w:val="6"/>
        <w:rPr>
          <w:rFonts w:eastAsia="黑体"/>
          <w:color w:val="auto"/>
          <w:sz w:val="32"/>
          <w:szCs w:val="32"/>
        </w:rPr>
      </w:pPr>
    </w:p>
    <w:p>
      <w:pPr>
        <w:pStyle w:val="6"/>
        <w:rPr>
          <w:rFonts w:eastAsia="黑体"/>
          <w:color w:val="auto"/>
          <w:sz w:val="32"/>
          <w:szCs w:val="32"/>
        </w:rPr>
      </w:pPr>
    </w:p>
    <w:p>
      <w:pPr>
        <w:pStyle w:val="6"/>
        <w:rPr>
          <w:rFonts w:eastAsia="黑体"/>
          <w:color w:val="auto"/>
          <w:sz w:val="32"/>
          <w:szCs w:val="32"/>
        </w:rPr>
      </w:pPr>
    </w:p>
    <w:p>
      <w:pPr>
        <w:pStyle w:val="6"/>
        <w:rPr>
          <w:rFonts w:eastAsia="黑体"/>
          <w:color w:val="auto"/>
          <w:sz w:val="32"/>
          <w:szCs w:val="32"/>
        </w:rPr>
      </w:pPr>
    </w:p>
    <w:p>
      <w:pPr>
        <w:pStyle w:val="6"/>
        <w:rPr>
          <w:rFonts w:eastAsia="黑体"/>
          <w:color w:val="auto"/>
          <w:sz w:val="32"/>
          <w:szCs w:val="32"/>
        </w:rPr>
      </w:pPr>
    </w:p>
    <w:p>
      <w:pPr>
        <w:pStyle w:val="6"/>
        <w:rPr>
          <w:rFonts w:eastAsia="黑体"/>
          <w:color w:val="auto"/>
          <w:sz w:val="32"/>
          <w:szCs w:val="32"/>
        </w:rPr>
      </w:pPr>
    </w:p>
    <w:p>
      <w:pPr>
        <w:pStyle w:val="19"/>
        <w:ind w:left="0" w:leftChars="0"/>
        <w:rPr>
          <w:color w:val="auto"/>
        </w:rPr>
      </w:pPr>
    </w:p>
    <w:p>
      <w:pPr>
        <w:pStyle w:val="6"/>
        <w:jc w:val="center"/>
        <w:rPr>
          <w:rFonts w:eastAsia="黑体"/>
          <w:color w:val="auto"/>
          <w:sz w:val="32"/>
          <w:szCs w:val="32"/>
        </w:rPr>
      </w:pPr>
      <w:r>
        <w:rPr>
          <w:rFonts w:hint="eastAsia" w:eastAsia="黑体"/>
          <w:color w:val="auto"/>
          <w:sz w:val="32"/>
          <w:szCs w:val="32"/>
        </w:rPr>
        <w:t>专用合同条款</w:t>
      </w:r>
    </w:p>
    <w:p>
      <w:pPr>
        <w:rPr>
          <w:color w:val="auto"/>
        </w:rPr>
      </w:pPr>
    </w:p>
    <w:p>
      <w:pPr>
        <w:pStyle w:val="9"/>
        <w:tabs>
          <w:tab w:val="left" w:pos="142"/>
          <w:tab w:val="left" w:pos="993"/>
          <w:tab w:val="left" w:pos="1418"/>
          <w:tab w:val="left" w:pos="1560"/>
        </w:tabs>
        <w:spacing w:before="0" w:after="0" w:line="360" w:lineRule="exact"/>
        <w:ind w:firstLine="422" w:firstLineChars="200"/>
        <w:rPr>
          <w:rFonts w:ascii="Times New Roman" w:hAnsi="Times New Roman"/>
          <w:color w:val="auto"/>
          <w:sz w:val="21"/>
          <w:szCs w:val="21"/>
        </w:rPr>
      </w:pPr>
      <w:r>
        <w:rPr>
          <w:rFonts w:ascii="Times New Roman" w:hAnsi="Times New Roman"/>
          <w:color w:val="auto"/>
          <w:sz w:val="21"/>
          <w:szCs w:val="21"/>
        </w:rPr>
        <w:t>1. 一般约定</w:t>
      </w:r>
    </w:p>
    <w:p>
      <w:pPr>
        <w:spacing w:line="360" w:lineRule="exact"/>
        <w:ind w:firstLine="420" w:firstLineChars="200"/>
        <w:rPr>
          <w:color w:val="auto"/>
          <w:szCs w:val="21"/>
        </w:rPr>
      </w:pPr>
      <w:r>
        <w:rPr>
          <w:rFonts w:hint="eastAsia"/>
          <w:color w:val="auto"/>
          <w:szCs w:val="21"/>
        </w:rPr>
        <w:t>1.1</w:t>
      </w:r>
      <w:r>
        <w:rPr>
          <w:color w:val="auto"/>
          <w:szCs w:val="21"/>
        </w:rPr>
        <w:t>监理人：</w:t>
      </w:r>
    </w:p>
    <w:p>
      <w:pPr>
        <w:spacing w:line="360" w:lineRule="exact"/>
        <w:ind w:firstLine="420" w:firstLineChars="200"/>
        <w:rPr>
          <w:color w:val="auto"/>
          <w:szCs w:val="21"/>
        </w:rPr>
      </w:pPr>
      <w:r>
        <w:rPr>
          <w:color w:val="auto"/>
          <w:szCs w:val="21"/>
        </w:rPr>
        <w:t>名    称：；</w:t>
      </w:r>
    </w:p>
    <w:p>
      <w:pPr>
        <w:spacing w:line="360" w:lineRule="exact"/>
        <w:ind w:firstLine="420" w:firstLineChars="200"/>
        <w:rPr>
          <w:color w:val="auto"/>
          <w:szCs w:val="21"/>
        </w:rPr>
      </w:pPr>
      <w:r>
        <w:rPr>
          <w:color w:val="auto"/>
          <w:szCs w:val="21"/>
        </w:rPr>
        <w:t>资质类别和等级：；</w:t>
      </w:r>
    </w:p>
    <w:p>
      <w:pPr>
        <w:spacing w:line="360" w:lineRule="exact"/>
        <w:ind w:firstLine="420" w:firstLineChars="200"/>
        <w:rPr>
          <w:color w:val="auto"/>
          <w:szCs w:val="21"/>
        </w:rPr>
      </w:pPr>
      <w:r>
        <w:rPr>
          <w:color w:val="auto"/>
          <w:szCs w:val="21"/>
        </w:rPr>
        <w:t>联系电话：；</w:t>
      </w:r>
    </w:p>
    <w:p>
      <w:pPr>
        <w:spacing w:line="360" w:lineRule="exact"/>
        <w:ind w:firstLine="420" w:firstLineChars="200"/>
        <w:rPr>
          <w:color w:val="auto"/>
          <w:szCs w:val="21"/>
        </w:rPr>
      </w:pPr>
      <w:r>
        <w:rPr>
          <w:color w:val="auto"/>
          <w:szCs w:val="21"/>
        </w:rPr>
        <w:t>电子信箱：；</w:t>
      </w:r>
    </w:p>
    <w:p>
      <w:pPr>
        <w:spacing w:line="360" w:lineRule="exact"/>
        <w:ind w:firstLine="420" w:firstLineChars="200"/>
        <w:rPr>
          <w:color w:val="auto"/>
          <w:szCs w:val="21"/>
        </w:rPr>
      </w:pPr>
      <w:r>
        <w:rPr>
          <w:color w:val="auto"/>
          <w:szCs w:val="21"/>
        </w:rPr>
        <w:t>通信地址：。</w:t>
      </w:r>
    </w:p>
    <w:p>
      <w:pPr>
        <w:spacing w:line="360" w:lineRule="exact"/>
        <w:ind w:firstLine="420" w:firstLineChars="200"/>
        <w:rPr>
          <w:color w:val="auto"/>
          <w:szCs w:val="21"/>
        </w:rPr>
      </w:pPr>
      <w:r>
        <w:rPr>
          <w:color w:val="auto"/>
          <w:szCs w:val="21"/>
        </w:rPr>
        <w:t>1.</w:t>
      </w:r>
      <w:r>
        <w:rPr>
          <w:rFonts w:hint="eastAsia"/>
          <w:color w:val="auto"/>
          <w:szCs w:val="21"/>
        </w:rPr>
        <w:t>2</w:t>
      </w:r>
      <w:r>
        <w:rPr>
          <w:color w:val="auto"/>
          <w:szCs w:val="21"/>
        </w:rPr>
        <w:t xml:space="preserve">法律 </w:t>
      </w:r>
    </w:p>
    <w:p>
      <w:pPr>
        <w:autoSpaceDE w:val="0"/>
        <w:autoSpaceDN w:val="0"/>
        <w:adjustRightInd w:val="0"/>
        <w:spacing w:line="360" w:lineRule="exact"/>
        <w:ind w:firstLine="420" w:firstLineChars="200"/>
        <w:rPr>
          <w:color w:val="auto"/>
          <w:szCs w:val="21"/>
        </w:rPr>
      </w:pPr>
      <w:r>
        <w:rPr>
          <w:color w:val="auto"/>
          <w:szCs w:val="21"/>
        </w:rPr>
        <w:t>适用于合同的其他规范性文件：</w:t>
      </w:r>
      <w:r>
        <w:rPr>
          <w:rFonts w:hint="eastAsia"/>
          <w:color w:val="auto"/>
          <w:szCs w:val="21"/>
          <w:u w:val="single"/>
        </w:rPr>
        <w:t>《浙江省建设工程计价规则（2018版）》，《通用安装工程工程量计算规范》（GB 50856-2013）、《市政工程工程量计算规范》（GB 50857-2013）、《建设工程工程量计算规范（2013）浙江省补充规定》（浙建站计〔2013〕63号）、《建设工程工程量清单计算规范（2013）浙江省补充规定（二）》（浙建站计〔2014〕31号）、《台州市建设工程工程量清单实施细则》（台建规[2010]300号）、《交通建设工程工程量清单计价规范</w:t>
      </w:r>
      <w:r>
        <w:rPr>
          <w:rFonts w:hint="eastAsia" w:ascii="宋体" w:hAnsi="宋体"/>
          <w:color w:val="auto"/>
          <w:szCs w:val="21"/>
          <w:u w:val="single"/>
        </w:rPr>
        <w:t>第1部分 公路工程(DB33T628.1-2007</w:t>
      </w:r>
      <w:r>
        <w:rPr>
          <w:rFonts w:hint="eastAsia"/>
          <w:color w:val="auto"/>
          <w:szCs w:val="21"/>
          <w:u w:val="single"/>
        </w:rPr>
        <w:t xml:space="preserve">》等工程所在地现行的有关工程造价方面规定 </w:t>
      </w:r>
      <w:r>
        <w:rPr>
          <w:color w:val="auto"/>
          <w:szCs w:val="21"/>
        </w:rPr>
        <w:t>。</w:t>
      </w:r>
    </w:p>
    <w:p>
      <w:pPr>
        <w:spacing w:line="360" w:lineRule="exact"/>
        <w:ind w:firstLine="420" w:firstLineChars="200"/>
        <w:rPr>
          <w:color w:val="auto"/>
          <w:szCs w:val="21"/>
        </w:rPr>
      </w:pPr>
      <w:r>
        <w:rPr>
          <w:color w:val="auto"/>
          <w:szCs w:val="21"/>
        </w:rPr>
        <w:t>1.</w:t>
      </w:r>
      <w:r>
        <w:rPr>
          <w:rFonts w:hint="eastAsia"/>
          <w:color w:val="auto"/>
          <w:szCs w:val="21"/>
        </w:rPr>
        <w:t>3</w:t>
      </w:r>
      <w:r>
        <w:rPr>
          <w:color w:val="auto"/>
          <w:szCs w:val="21"/>
        </w:rPr>
        <w:t>标准和规范</w:t>
      </w:r>
    </w:p>
    <w:p>
      <w:pPr>
        <w:spacing w:line="360" w:lineRule="exact"/>
        <w:ind w:firstLine="308" w:firstLineChars="147"/>
        <w:rPr>
          <w:color w:val="auto"/>
          <w:szCs w:val="21"/>
        </w:rPr>
      </w:pPr>
      <w:r>
        <w:rPr>
          <w:color w:val="auto"/>
          <w:szCs w:val="21"/>
        </w:rPr>
        <w:t>1.</w:t>
      </w:r>
      <w:r>
        <w:rPr>
          <w:rFonts w:hint="eastAsia"/>
          <w:color w:val="auto"/>
          <w:szCs w:val="21"/>
        </w:rPr>
        <w:t>3</w:t>
      </w:r>
      <w:r>
        <w:rPr>
          <w:color w:val="auto"/>
          <w:szCs w:val="21"/>
        </w:rPr>
        <w:t>.1适用于</w:t>
      </w:r>
      <w:r>
        <w:rPr>
          <w:rFonts w:hint="eastAsia"/>
          <w:color w:val="auto"/>
          <w:szCs w:val="21"/>
        </w:rPr>
        <w:t>项目</w:t>
      </w:r>
      <w:r>
        <w:rPr>
          <w:color w:val="auto"/>
          <w:szCs w:val="21"/>
        </w:rPr>
        <w:t>的标准规范包括：</w:t>
      </w:r>
    </w:p>
    <w:p>
      <w:pPr>
        <w:spacing w:line="360" w:lineRule="exact"/>
        <w:ind w:firstLine="308" w:firstLineChars="147"/>
        <w:rPr>
          <w:rFonts w:ascii="宋体" w:hAnsi="宋体"/>
          <w:color w:val="auto"/>
          <w:szCs w:val="21"/>
        </w:rPr>
      </w:pPr>
      <w:r>
        <w:rPr>
          <w:rFonts w:hint="eastAsia" w:ascii="宋体" w:hAnsi="宋体"/>
          <w:color w:val="auto"/>
          <w:szCs w:val="21"/>
        </w:rPr>
        <w:t>（1）《道路交通标志和标线》（GB5768）</w:t>
      </w:r>
    </w:p>
    <w:p>
      <w:pPr>
        <w:spacing w:line="360" w:lineRule="exact"/>
        <w:ind w:firstLine="315" w:firstLineChars="150"/>
        <w:rPr>
          <w:rFonts w:ascii="宋体" w:hAnsi="宋体"/>
          <w:color w:val="auto"/>
          <w:szCs w:val="21"/>
        </w:rPr>
      </w:pPr>
      <w:r>
        <w:rPr>
          <w:rFonts w:hint="eastAsia" w:ascii="宋体" w:hAnsi="宋体"/>
          <w:color w:val="auto"/>
          <w:szCs w:val="21"/>
        </w:rPr>
        <w:t>（2）《道路交通反光膜》(GB/T 18833－2012)</w:t>
      </w:r>
    </w:p>
    <w:p>
      <w:pPr>
        <w:spacing w:line="360" w:lineRule="exact"/>
        <w:ind w:firstLine="315" w:firstLineChars="150"/>
        <w:rPr>
          <w:rFonts w:ascii="宋体" w:hAnsi="宋体"/>
          <w:color w:val="auto"/>
          <w:szCs w:val="21"/>
        </w:rPr>
      </w:pPr>
      <w:r>
        <w:rPr>
          <w:rFonts w:hint="eastAsia" w:ascii="宋体" w:hAnsi="宋体"/>
          <w:color w:val="auto"/>
          <w:szCs w:val="21"/>
        </w:rPr>
        <w:t>（3）《交通建设工程工程量清单计价规范第1部分 公路工程(DB33T628.1-2007)</w:t>
      </w:r>
    </w:p>
    <w:p>
      <w:pPr>
        <w:spacing w:line="360" w:lineRule="exact"/>
        <w:ind w:firstLine="315" w:firstLineChars="150"/>
        <w:rPr>
          <w:rFonts w:ascii="宋体" w:hAnsi="宋体" w:cs="宋体"/>
          <w:color w:val="auto"/>
          <w:szCs w:val="21"/>
        </w:rPr>
      </w:pPr>
      <w:r>
        <w:rPr>
          <w:rFonts w:hint="eastAsia" w:ascii="宋体" w:hAnsi="宋体"/>
          <w:color w:val="auto"/>
          <w:szCs w:val="21"/>
        </w:rPr>
        <w:t>（4）</w:t>
      </w:r>
      <w:r>
        <w:rPr>
          <w:rFonts w:hint="eastAsia" w:ascii="宋体" w:hAnsi="宋体" w:cs="宋体"/>
          <w:color w:val="auto"/>
          <w:szCs w:val="21"/>
        </w:rPr>
        <w:t>《公安交通管理外场设备基础施工通用要求》（GA/T 652-2017）</w:t>
      </w:r>
    </w:p>
    <w:p>
      <w:pPr>
        <w:spacing w:line="360" w:lineRule="exact"/>
        <w:ind w:firstLine="315" w:firstLineChars="150"/>
        <w:rPr>
          <w:rFonts w:ascii="宋体" w:hAnsi="宋体"/>
          <w:color w:val="auto"/>
          <w:szCs w:val="21"/>
        </w:rPr>
      </w:pPr>
      <w:r>
        <w:rPr>
          <w:rFonts w:hint="eastAsia" w:ascii="宋体" w:hAnsi="宋体"/>
          <w:color w:val="auto"/>
          <w:szCs w:val="21"/>
        </w:rPr>
        <w:t>（5）《城市道路交叉口设计规程》</w:t>
      </w:r>
      <w:r>
        <w:rPr>
          <w:rFonts w:ascii="宋体" w:hAnsi="宋体"/>
          <w:color w:val="auto"/>
          <w:szCs w:val="21"/>
        </w:rPr>
        <w:t>(CJJ152-2010)</w:t>
      </w:r>
    </w:p>
    <w:p>
      <w:pPr>
        <w:spacing w:line="360" w:lineRule="exact"/>
        <w:ind w:firstLine="315" w:firstLineChars="150"/>
        <w:rPr>
          <w:rFonts w:ascii="宋体" w:hAnsi="宋体"/>
          <w:color w:val="auto"/>
          <w:szCs w:val="21"/>
        </w:rPr>
      </w:pPr>
      <w:r>
        <w:rPr>
          <w:rFonts w:hint="eastAsia" w:ascii="宋体" w:hAnsi="宋体"/>
          <w:color w:val="auto"/>
          <w:szCs w:val="21"/>
        </w:rPr>
        <w:t>（6）《城市道路工程设计规范》</w:t>
      </w:r>
      <w:r>
        <w:rPr>
          <w:rFonts w:ascii="宋体" w:hAnsi="宋体"/>
          <w:color w:val="auto"/>
          <w:szCs w:val="21"/>
        </w:rPr>
        <w:t>(CJJ37-2012)</w:t>
      </w:r>
    </w:p>
    <w:p>
      <w:pPr>
        <w:spacing w:line="360" w:lineRule="exact"/>
        <w:ind w:firstLine="315" w:firstLineChars="150"/>
        <w:rPr>
          <w:rFonts w:ascii="宋体" w:hAnsi="宋体"/>
          <w:color w:val="auto"/>
          <w:szCs w:val="21"/>
        </w:rPr>
      </w:pPr>
      <w:r>
        <w:rPr>
          <w:rFonts w:hint="eastAsia" w:ascii="宋体" w:hAnsi="宋体"/>
          <w:color w:val="auto"/>
          <w:szCs w:val="21"/>
        </w:rPr>
        <w:t>（7）《城市道路机动车道宽度设计规范》</w:t>
      </w:r>
      <w:r>
        <w:rPr>
          <w:rFonts w:ascii="宋体" w:hAnsi="宋体"/>
          <w:color w:val="auto"/>
          <w:szCs w:val="21"/>
        </w:rPr>
        <w:t>(DB331057-2008)</w:t>
      </w:r>
    </w:p>
    <w:p>
      <w:pPr>
        <w:spacing w:line="360" w:lineRule="exact"/>
        <w:ind w:firstLine="315" w:firstLineChars="150"/>
        <w:rPr>
          <w:rFonts w:ascii="宋体" w:hAnsi="宋体"/>
          <w:color w:val="auto"/>
          <w:szCs w:val="21"/>
        </w:rPr>
      </w:pPr>
      <w:r>
        <w:rPr>
          <w:rFonts w:hint="eastAsia" w:ascii="宋体" w:hAnsi="宋体"/>
          <w:color w:val="auto"/>
          <w:szCs w:val="21"/>
        </w:rPr>
        <w:t>（8）最新《道路交通标线质量要求和检测方法》</w:t>
      </w:r>
      <w:r>
        <w:rPr>
          <w:rFonts w:ascii="宋体" w:hAnsi="宋体"/>
          <w:color w:val="auto"/>
          <w:szCs w:val="21"/>
        </w:rPr>
        <w:t>(GBT16311)</w:t>
      </w:r>
    </w:p>
    <w:p>
      <w:pPr>
        <w:spacing w:line="360" w:lineRule="exact"/>
        <w:ind w:firstLine="315" w:firstLineChars="150"/>
        <w:rPr>
          <w:rFonts w:ascii="宋体" w:hAnsi="宋体"/>
          <w:color w:val="auto"/>
          <w:szCs w:val="21"/>
        </w:rPr>
      </w:pPr>
      <w:r>
        <w:rPr>
          <w:rFonts w:hint="eastAsia" w:ascii="宋体" w:hAnsi="宋体"/>
          <w:color w:val="auto"/>
          <w:szCs w:val="21"/>
        </w:rPr>
        <w:t>（9）《浙江省城市道路交通标志和标线设置规范》(DB33</w:t>
      </w:r>
      <w:r>
        <w:rPr>
          <w:rFonts w:hint="eastAsia" w:ascii="宋体" w:hAnsi="宋体" w:cs="宋体"/>
          <w:color w:val="auto"/>
          <w:szCs w:val="21"/>
        </w:rPr>
        <w:t>/</w:t>
      </w:r>
      <w:r>
        <w:rPr>
          <w:rFonts w:hint="eastAsia" w:ascii="宋体" w:hAnsi="宋体"/>
          <w:color w:val="auto"/>
          <w:szCs w:val="21"/>
        </w:rPr>
        <w:t xml:space="preserve">T818-2010) </w:t>
      </w:r>
    </w:p>
    <w:p>
      <w:pPr>
        <w:spacing w:line="360" w:lineRule="exact"/>
        <w:ind w:firstLine="315" w:firstLineChars="150"/>
        <w:rPr>
          <w:rFonts w:ascii="宋体" w:hAnsi="宋体"/>
          <w:color w:val="auto"/>
          <w:szCs w:val="21"/>
        </w:rPr>
      </w:pPr>
      <w:r>
        <w:rPr>
          <w:rFonts w:hint="eastAsia" w:ascii="宋体" w:hAnsi="宋体"/>
          <w:color w:val="auto"/>
          <w:szCs w:val="21"/>
        </w:rPr>
        <w:t>（10）</w:t>
      </w:r>
      <w:r>
        <w:rPr>
          <w:rFonts w:ascii="宋体" w:hAnsi="宋体"/>
          <w:color w:val="auto"/>
          <w:szCs w:val="21"/>
        </w:rPr>
        <w:t xml:space="preserve"> JTJ001—2003</w:t>
      </w:r>
      <w:r>
        <w:rPr>
          <w:rFonts w:hint="eastAsia" w:ascii="宋体" w:hAnsi="宋体"/>
          <w:color w:val="auto"/>
          <w:szCs w:val="21"/>
        </w:rPr>
        <w:t>《公路工程技术标准》行业标准。</w:t>
      </w:r>
      <w:r>
        <w:rPr>
          <w:rFonts w:ascii="宋体" w:hAnsi="宋体"/>
          <w:color w:val="auto"/>
          <w:szCs w:val="21"/>
        </w:rPr>
        <w:t xml:space="preserve"> </w:t>
      </w:r>
    </w:p>
    <w:p>
      <w:pPr>
        <w:spacing w:line="360" w:lineRule="exact"/>
        <w:ind w:firstLine="315" w:firstLineChars="150"/>
        <w:rPr>
          <w:rFonts w:ascii="宋体" w:hAnsi="宋体"/>
          <w:color w:val="auto"/>
          <w:szCs w:val="21"/>
        </w:rPr>
      </w:pPr>
      <w:r>
        <w:rPr>
          <w:rFonts w:hint="eastAsia" w:ascii="宋体" w:hAnsi="宋体"/>
          <w:color w:val="auto"/>
          <w:szCs w:val="21"/>
        </w:rPr>
        <w:t>（11）</w:t>
      </w:r>
      <w:r>
        <w:rPr>
          <w:rFonts w:ascii="宋体" w:hAnsi="宋体"/>
          <w:color w:val="auto"/>
          <w:szCs w:val="21"/>
        </w:rPr>
        <w:t>DBJ08-39-1994</w:t>
      </w:r>
      <w:r>
        <w:rPr>
          <w:rFonts w:hint="eastAsia" w:ascii="宋体" w:hAnsi="宋体"/>
          <w:color w:val="auto"/>
          <w:szCs w:val="21"/>
        </w:rPr>
        <w:t>《道路交通管理设施设置技术规范》。</w:t>
      </w:r>
      <w:r>
        <w:rPr>
          <w:rFonts w:ascii="宋体" w:hAnsi="宋体"/>
          <w:color w:val="auto"/>
          <w:szCs w:val="21"/>
        </w:rPr>
        <w:t xml:space="preserve"> </w:t>
      </w:r>
    </w:p>
    <w:p>
      <w:pPr>
        <w:spacing w:line="360" w:lineRule="exact"/>
        <w:ind w:firstLine="315" w:firstLineChars="150"/>
        <w:rPr>
          <w:rFonts w:ascii="宋体" w:hAnsi="宋体" w:cs="宋体"/>
          <w:color w:val="auto"/>
          <w:szCs w:val="21"/>
        </w:rPr>
      </w:pPr>
      <w:r>
        <w:rPr>
          <w:rFonts w:hint="eastAsia" w:ascii="宋体" w:hAnsi="宋体" w:cs="宋体"/>
          <w:color w:val="auto"/>
          <w:szCs w:val="21"/>
        </w:rPr>
        <w:t>（12）《城市道路交通标志和标线设置规范》（GB51038-2015)</w:t>
      </w:r>
    </w:p>
    <w:p>
      <w:pPr>
        <w:spacing w:line="360" w:lineRule="exact"/>
        <w:ind w:firstLine="315" w:firstLineChars="150"/>
        <w:rPr>
          <w:rFonts w:ascii="宋体" w:hAnsi="宋体" w:cs="宋体" w:eastAsiaTheme="minorEastAsia"/>
          <w:color w:val="auto"/>
          <w:szCs w:val="21"/>
        </w:rPr>
      </w:pPr>
      <w:r>
        <w:rPr>
          <w:rFonts w:hint="eastAsia" w:ascii="宋体" w:hAnsi="宋体" w:cs="宋体"/>
          <w:color w:val="auto"/>
          <w:szCs w:val="21"/>
        </w:rPr>
        <w:t>（13）</w:t>
      </w:r>
      <w:r>
        <w:rPr>
          <w:rFonts w:hint="eastAsia"/>
          <w:color w:val="auto"/>
          <w:szCs w:val="21"/>
        </w:rPr>
        <w:t>《路面标线涂料》</w:t>
      </w:r>
      <w:r>
        <w:rPr>
          <w:rFonts w:hint="eastAsia" w:ascii="宋体" w:hAnsi="宋体"/>
          <w:color w:val="auto"/>
          <w:szCs w:val="21"/>
        </w:rPr>
        <w:t>JT/T280-2016</w:t>
      </w:r>
    </w:p>
    <w:p>
      <w:pPr>
        <w:spacing w:line="360" w:lineRule="exact"/>
        <w:ind w:firstLine="315" w:firstLineChars="150"/>
        <w:rPr>
          <w:color w:val="auto"/>
          <w:szCs w:val="21"/>
        </w:rPr>
      </w:pPr>
      <w:r>
        <w:rPr>
          <w:rFonts w:hint="eastAsia"/>
          <w:color w:val="auto"/>
          <w:szCs w:val="21"/>
        </w:rPr>
        <w:t>（14）按现行的国家、省、市施工验收规范、质量评定标准及有关规定。合同工期内的标准、规范，招标文件中的技术要求等</w:t>
      </w:r>
      <w:r>
        <w:rPr>
          <w:color w:val="auto"/>
          <w:szCs w:val="21"/>
        </w:rPr>
        <w:t>。</w:t>
      </w:r>
      <w:r>
        <w:rPr>
          <w:rFonts w:hint="eastAsia"/>
          <w:color w:val="auto"/>
          <w:szCs w:val="21"/>
        </w:rPr>
        <w:t>如有新版标准则按新发行的标准执行。</w:t>
      </w:r>
    </w:p>
    <w:p>
      <w:pPr>
        <w:spacing w:line="360" w:lineRule="exact"/>
        <w:ind w:firstLine="420" w:firstLineChars="200"/>
        <w:rPr>
          <w:color w:val="auto"/>
          <w:szCs w:val="21"/>
        </w:rPr>
      </w:pPr>
      <w:r>
        <w:rPr>
          <w:color w:val="auto"/>
          <w:szCs w:val="21"/>
        </w:rPr>
        <w:t>1.</w:t>
      </w:r>
      <w:r>
        <w:rPr>
          <w:rFonts w:hint="eastAsia"/>
          <w:color w:val="auto"/>
          <w:szCs w:val="21"/>
        </w:rPr>
        <w:t>4</w:t>
      </w:r>
      <w:r>
        <w:rPr>
          <w:color w:val="auto"/>
          <w:szCs w:val="21"/>
        </w:rPr>
        <w:t xml:space="preserve"> </w:t>
      </w:r>
      <w:r>
        <w:rPr>
          <w:rFonts w:hint="eastAsia"/>
          <w:color w:val="auto"/>
          <w:szCs w:val="21"/>
        </w:rPr>
        <w:t>乙方</w:t>
      </w:r>
      <w:r>
        <w:rPr>
          <w:color w:val="auto"/>
          <w:szCs w:val="21"/>
        </w:rPr>
        <w:t>文件</w:t>
      </w:r>
    </w:p>
    <w:p>
      <w:pPr>
        <w:spacing w:line="360" w:lineRule="exact"/>
        <w:ind w:firstLine="420" w:firstLineChars="200"/>
        <w:rPr>
          <w:color w:val="auto"/>
          <w:szCs w:val="21"/>
          <w:u w:val="single"/>
        </w:rPr>
      </w:pPr>
      <w:r>
        <w:rPr>
          <w:color w:val="auto"/>
          <w:szCs w:val="21"/>
        </w:rPr>
        <w:t>需要由</w:t>
      </w:r>
      <w:r>
        <w:rPr>
          <w:rFonts w:hint="eastAsia"/>
          <w:color w:val="auto"/>
          <w:szCs w:val="21"/>
        </w:rPr>
        <w:t>乙方</w:t>
      </w:r>
      <w:r>
        <w:rPr>
          <w:color w:val="auto"/>
          <w:szCs w:val="21"/>
        </w:rPr>
        <w:t>提供的文件，包括：</w:t>
      </w:r>
      <w:r>
        <w:rPr>
          <w:rFonts w:hint="eastAsia"/>
          <w:color w:val="auto"/>
          <w:szCs w:val="21"/>
          <w:u w:val="single"/>
        </w:rPr>
        <w:t>项目总进度计划、项目月进度计划表等</w:t>
      </w:r>
    </w:p>
    <w:p>
      <w:pPr>
        <w:spacing w:line="360" w:lineRule="exact"/>
        <w:ind w:firstLine="420" w:firstLineChars="200"/>
        <w:rPr>
          <w:color w:val="auto"/>
          <w:szCs w:val="21"/>
        </w:rPr>
      </w:pPr>
      <w:r>
        <w:rPr>
          <w:rFonts w:hint="eastAsia"/>
          <w:color w:val="auto"/>
          <w:szCs w:val="21"/>
        </w:rPr>
        <w:t>乙方</w:t>
      </w:r>
      <w:r>
        <w:rPr>
          <w:color w:val="auto"/>
          <w:szCs w:val="21"/>
        </w:rPr>
        <w:t>提供的文件的期限为：</w:t>
      </w:r>
      <w:r>
        <w:rPr>
          <w:rFonts w:hint="eastAsia"/>
          <w:color w:val="auto"/>
          <w:szCs w:val="21"/>
          <w:u w:val="single"/>
        </w:rPr>
        <w:t>进度计划在接到开工通知（或确定开工日期）后7天内提交；每月20日前向发包方提交下一月进度计划</w:t>
      </w:r>
      <w:r>
        <w:rPr>
          <w:color w:val="auto"/>
          <w:szCs w:val="21"/>
          <w:u w:val="single"/>
        </w:rPr>
        <w:t>；</w:t>
      </w:r>
    </w:p>
    <w:p>
      <w:pPr>
        <w:spacing w:line="360" w:lineRule="exact"/>
        <w:ind w:firstLine="420" w:firstLineChars="200"/>
        <w:rPr>
          <w:color w:val="auto"/>
          <w:kern w:val="0"/>
          <w:szCs w:val="21"/>
        </w:rPr>
      </w:pPr>
      <w:r>
        <w:rPr>
          <w:color w:val="auto"/>
          <w:szCs w:val="21"/>
        </w:rPr>
        <w:t>1.</w:t>
      </w:r>
      <w:r>
        <w:rPr>
          <w:rFonts w:hint="eastAsia"/>
          <w:color w:val="auto"/>
          <w:szCs w:val="21"/>
        </w:rPr>
        <w:t>5乙方</w:t>
      </w:r>
      <w:r>
        <w:rPr>
          <w:color w:val="auto"/>
          <w:szCs w:val="21"/>
        </w:rPr>
        <w:t>在施工过程中所采用的专利、专有技术、技术秘密的使用费的承担方式：</w:t>
      </w:r>
      <w:r>
        <w:rPr>
          <w:rFonts w:hint="eastAsia"/>
          <w:color w:val="auto"/>
          <w:szCs w:val="21"/>
          <w:u w:val="single"/>
        </w:rPr>
        <w:t>包含在签约合同价内</w:t>
      </w:r>
      <w:r>
        <w:rPr>
          <w:color w:val="auto"/>
          <w:kern w:val="0"/>
          <w:szCs w:val="21"/>
        </w:rPr>
        <w:t>。</w:t>
      </w:r>
    </w:p>
    <w:p>
      <w:pPr>
        <w:spacing w:line="360" w:lineRule="exact"/>
        <w:ind w:firstLine="420" w:firstLineChars="200"/>
        <w:rPr>
          <w:color w:val="auto"/>
          <w:szCs w:val="21"/>
        </w:rPr>
      </w:pPr>
      <w:r>
        <w:rPr>
          <w:color w:val="auto"/>
          <w:szCs w:val="21"/>
        </w:rPr>
        <w:t>1.</w:t>
      </w:r>
      <w:r>
        <w:rPr>
          <w:rFonts w:hint="eastAsia"/>
          <w:color w:val="auto"/>
          <w:szCs w:val="21"/>
        </w:rPr>
        <w:t>6工作</w:t>
      </w:r>
      <w:r>
        <w:rPr>
          <w:color w:val="auto"/>
          <w:szCs w:val="21"/>
        </w:rPr>
        <w:t>量清单错误的修正</w:t>
      </w:r>
    </w:p>
    <w:p>
      <w:pPr>
        <w:spacing w:line="360" w:lineRule="exact"/>
        <w:ind w:firstLine="420" w:firstLineChars="200"/>
        <w:rPr>
          <w:color w:val="auto"/>
          <w:szCs w:val="21"/>
          <w:u w:val="single"/>
        </w:rPr>
      </w:pPr>
      <w:r>
        <w:rPr>
          <w:rFonts w:hint="eastAsia"/>
          <w:color w:val="auto"/>
          <w:szCs w:val="21"/>
        </w:rPr>
        <w:t>出现工作量清单错误时，是否调整合同价格：</w:t>
      </w:r>
      <w:r>
        <w:rPr>
          <w:rFonts w:hint="eastAsia"/>
          <w:color w:val="auto"/>
          <w:szCs w:val="21"/>
          <w:u w:val="single"/>
        </w:rPr>
        <w:t>以实际发生工作量结算，结算金额不超过本项目预算</w:t>
      </w:r>
      <w:r>
        <w:rPr>
          <w:color w:val="auto"/>
          <w:kern w:val="0"/>
          <w:szCs w:val="21"/>
          <w:u w:val="single"/>
        </w:rPr>
        <w:t>。</w:t>
      </w:r>
    </w:p>
    <w:p>
      <w:pPr>
        <w:pStyle w:val="9"/>
        <w:tabs>
          <w:tab w:val="left" w:pos="142"/>
          <w:tab w:val="left" w:pos="993"/>
          <w:tab w:val="left" w:pos="1418"/>
          <w:tab w:val="left" w:pos="1560"/>
        </w:tabs>
        <w:spacing w:before="0" w:after="0" w:line="360" w:lineRule="exact"/>
        <w:ind w:firstLine="422" w:firstLineChars="200"/>
        <w:rPr>
          <w:rFonts w:ascii="Times New Roman" w:hAnsi="Times New Roman" w:eastAsia="黑体"/>
          <w:color w:val="auto"/>
          <w:sz w:val="21"/>
          <w:szCs w:val="21"/>
        </w:rPr>
      </w:pPr>
      <w:r>
        <w:rPr>
          <w:rFonts w:ascii="Times New Roman" w:hAnsi="Times New Roman"/>
          <w:color w:val="auto"/>
          <w:sz w:val="21"/>
          <w:szCs w:val="21"/>
        </w:rPr>
        <w:t xml:space="preserve">2. </w:t>
      </w:r>
      <w:r>
        <w:rPr>
          <w:rFonts w:hint="eastAsia" w:ascii="Times New Roman" w:hAnsi="Times New Roman"/>
          <w:color w:val="auto"/>
          <w:sz w:val="21"/>
          <w:szCs w:val="21"/>
        </w:rPr>
        <w:t>甲方</w:t>
      </w:r>
    </w:p>
    <w:p>
      <w:pPr>
        <w:spacing w:line="360" w:lineRule="exact"/>
        <w:ind w:firstLine="420" w:firstLineChars="200"/>
        <w:rPr>
          <w:color w:val="auto"/>
          <w:szCs w:val="21"/>
        </w:rPr>
      </w:pPr>
      <w:r>
        <w:rPr>
          <w:color w:val="auto"/>
          <w:szCs w:val="21"/>
        </w:rPr>
        <w:t>2.</w:t>
      </w:r>
      <w:r>
        <w:rPr>
          <w:rFonts w:hint="eastAsia"/>
          <w:color w:val="auto"/>
          <w:szCs w:val="21"/>
        </w:rPr>
        <w:t>1甲方</w:t>
      </w:r>
      <w:r>
        <w:rPr>
          <w:color w:val="auto"/>
          <w:szCs w:val="21"/>
        </w:rPr>
        <w:t>代表</w:t>
      </w:r>
    </w:p>
    <w:p>
      <w:pPr>
        <w:spacing w:line="360" w:lineRule="exact"/>
        <w:ind w:firstLine="420" w:firstLineChars="200"/>
        <w:rPr>
          <w:color w:val="auto"/>
          <w:szCs w:val="21"/>
        </w:rPr>
      </w:pPr>
      <w:r>
        <w:rPr>
          <w:rFonts w:hint="eastAsia"/>
          <w:color w:val="auto"/>
          <w:szCs w:val="21"/>
        </w:rPr>
        <w:t>甲方</w:t>
      </w:r>
      <w:r>
        <w:rPr>
          <w:color w:val="auto"/>
          <w:szCs w:val="21"/>
        </w:rPr>
        <w:t>代表：</w:t>
      </w:r>
    </w:p>
    <w:p>
      <w:pPr>
        <w:spacing w:line="360" w:lineRule="exact"/>
        <w:ind w:firstLine="420" w:firstLineChars="200"/>
        <w:rPr>
          <w:color w:val="auto"/>
          <w:szCs w:val="21"/>
        </w:rPr>
      </w:pPr>
      <w:r>
        <w:rPr>
          <w:color w:val="auto"/>
          <w:szCs w:val="21"/>
        </w:rPr>
        <w:t>姓    名：；</w:t>
      </w:r>
    </w:p>
    <w:p>
      <w:pPr>
        <w:spacing w:line="360" w:lineRule="exact"/>
        <w:ind w:firstLine="420" w:firstLineChars="200"/>
        <w:rPr>
          <w:color w:val="auto"/>
          <w:szCs w:val="21"/>
        </w:rPr>
      </w:pPr>
      <w:r>
        <w:rPr>
          <w:color w:val="auto"/>
          <w:szCs w:val="21"/>
        </w:rPr>
        <w:t>身份证号：；</w:t>
      </w:r>
    </w:p>
    <w:p>
      <w:pPr>
        <w:spacing w:line="360" w:lineRule="exact"/>
        <w:ind w:firstLine="420" w:firstLineChars="200"/>
        <w:rPr>
          <w:color w:val="auto"/>
          <w:szCs w:val="21"/>
        </w:rPr>
      </w:pPr>
      <w:r>
        <w:rPr>
          <w:color w:val="auto"/>
          <w:szCs w:val="21"/>
        </w:rPr>
        <w:t>职    务：；</w:t>
      </w:r>
    </w:p>
    <w:p>
      <w:pPr>
        <w:spacing w:line="360" w:lineRule="exact"/>
        <w:ind w:firstLine="420" w:firstLineChars="200"/>
        <w:rPr>
          <w:color w:val="auto"/>
          <w:szCs w:val="21"/>
        </w:rPr>
      </w:pPr>
      <w:r>
        <w:rPr>
          <w:color w:val="auto"/>
          <w:szCs w:val="21"/>
        </w:rPr>
        <w:t>联系电话：；</w:t>
      </w:r>
    </w:p>
    <w:p>
      <w:pPr>
        <w:spacing w:line="360" w:lineRule="exact"/>
        <w:ind w:firstLine="420" w:firstLineChars="200"/>
        <w:rPr>
          <w:color w:val="auto"/>
          <w:szCs w:val="21"/>
        </w:rPr>
      </w:pPr>
      <w:r>
        <w:rPr>
          <w:color w:val="auto"/>
          <w:szCs w:val="21"/>
        </w:rPr>
        <w:t>电子信箱：；</w:t>
      </w:r>
    </w:p>
    <w:p>
      <w:pPr>
        <w:spacing w:line="360" w:lineRule="exact"/>
        <w:ind w:firstLine="420" w:firstLineChars="200"/>
        <w:rPr>
          <w:color w:val="auto"/>
          <w:szCs w:val="21"/>
        </w:rPr>
      </w:pPr>
      <w:r>
        <w:rPr>
          <w:color w:val="auto"/>
          <w:szCs w:val="21"/>
        </w:rPr>
        <w:t>通信地址：。</w:t>
      </w:r>
    </w:p>
    <w:p>
      <w:pPr>
        <w:spacing w:line="360" w:lineRule="exact"/>
        <w:ind w:firstLine="420" w:firstLineChars="200"/>
        <w:rPr>
          <w:color w:val="auto"/>
          <w:szCs w:val="21"/>
          <w:u w:val="single"/>
        </w:rPr>
      </w:pPr>
      <w:r>
        <w:rPr>
          <w:rFonts w:hint="eastAsia"/>
          <w:color w:val="auto"/>
          <w:szCs w:val="21"/>
        </w:rPr>
        <w:t>甲方</w:t>
      </w:r>
      <w:r>
        <w:rPr>
          <w:color w:val="auto"/>
          <w:szCs w:val="21"/>
        </w:rPr>
        <w:t>对</w:t>
      </w:r>
      <w:r>
        <w:rPr>
          <w:rFonts w:hint="eastAsia"/>
          <w:color w:val="auto"/>
          <w:szCs w:val="21"/>
        </w:rPr>
        <w:t>甲方</w:t>
      </w:r>
      <w:r>
        <w:rPr>
          <w:color w:val="auto"/>
          <w:szCs w:val="21"/>
        </w:rPr>
        <w:t>代表的授权范围如下：</w:t>
      </w:r>
      <w:r>
        <w:rPr>
          <w:rFonts w:hint="eastAsia"/>
          <w:color w:val="auto"/>
          <w:szCs w:val="21"/>
        </w:rPr>
        <w:t>。</w:t>
      </w:r>
    </w:p>
    <w:p>
      <w:pPr>
        <w:spacing w:line="360" w:lineRule="exact"/>
        <w:ind w:firstLine="420" w:firstLineChars="200"/>
        <w:rPr>
          <w:color w:val="auto"/>
          <w:szCs w:val="21"/>
        </w:rPr>
      </w:pPr>
      <w:r>
        <w:rPr>
          <w:color w:val="auto"/>
          <w:szCs w:val="21"/>
        </w:rPr>
        <w:t>2.</w:t>
      </w:r>
      <w:r>
        <w:rPr>
          <w:rFonts w:hint="eastAsia"/>
          <w:color w:val="auto"/>
          <w:szCs w:val="21"/>
        </w:rPr>
        <w:t>2</w:t>
      </w:r>
      <w:r>
        <w:rPr>
          <w:color w:val="auto"/>
          <w:szCs w:val="21"/>
        </w:rPr>
        <w:t>施工现场、施工条件和基础资料的提供</w:t>
      </w:r>
    </w:p>
    <w:p>
      <w:pPr>
        <w:pStyle w:val="9"/>
        <w:tabs>
          <w:tab w:val="left" w:pos="142"/>
          <w:tab w:val="left" w:pos="993"/>
          <w:tab w:val="left" w:pos="1418"/>
          <w:tab w:val="left" w:pos="1560"/>
        </w:tabs>
        <w:spacing w:before="0" w:after="0" w:line="360" w:lineRule="exact"/>
        <w:ind w:firstLine="422" w:firstLineChars="200"/>
        <w:rPr>
          <w:rFonts w:ascii="Times New Roman" w:hAnsi="Times New Roman" w:eastAsia="黑体"/>
          <w:color w:val="auto"/>
          <w:sz w:val="21"/>
          <w:szCs w:val="21"/>
        </w:rPr>
      </w:pPr>
      <w:r>
        <w:rPr>
          <w:rFonts w:ascii="Times New Roman" w:hAnsi="Times New Roman"/>
          <w:color w:val="auto"/>
          <w:sz w:val="21"/>
          <w:szCs w:val="21"/>
        </w:rPr>
        <w:t xml:space="preserve">3. </w:t>
      </w:r>
      <w:r>
        <w:rPr>
          <w:rFonts w:hint="eastAsia" w:ascii="Times New Roman" w:hAnsi="Times New Roman"/>
          <w:color w:val="auto"/>
          <w:sz w:val="21"/>
          <w:szCs w:val="21"/>
        </w:rPr>
        <w:t>乙方</w:t>
      </w:r>
    </w:p>
    <w:p>
      <w:pPr>
        <w:spacing w:line="360" w:lineRule="exact"/>
        <w:ind w:firstLine="420" w:firstLineChars="200"/>
        <w:rPr>
          <w:color w:val="auto"/>
          <w:szCs w:val="21"/>
        </w:rPr>
      </w:pPr>
      <w:r>
        <w:rPr>
          <w:color w:val="auto"/>
          <w:szCs w:val="21"/>
        </w:rPr>
        <w:t xml:space="preserve">3.1 </w:t>
      </w:r>
      <w:r>
        <w:rPr>
          <w:rFonts w:hint="eastAsia"/>
          <w:color w:val="auto"/>
          <w:szCs w:val="21"/>
        </w:rPr>
        <w:t>乙方</w:t>
      </w:r>
      <w:r>
        <w:rPr>
          <w:color w:val="auto"/>
          <w:szCs w:val="21"/>
        </w:rPr>
        <w:t>的一般义务</w:t>
      </w:r>
    </w:p>
    <w:p>
      <w:pPr>
        <w:spacing w:line="360" w:lineRule="exact"/>
        <w:ind w:firstLine="420" w:firstLineChars="200"/>
        <w:rPr>
          <w:color w:val="auto"/>
          <w:szCs w:val="21"/>
        </w:rPr>
      </w:pPr>
      <w:r>
        <w:rPr>
          <w:color w:val="auto"/>
          <w:kern w:val="0"/>
          <w:szCs w:val="21"/>
        </w:rPr>
        <w:t>（</w:t>
      </w:r>
      <w:r>
        <w:rPr>
          <w:rFonts w:hint="eastAsia"/>
          <w:color w:val="auto"/>
          <w:kern w:val="0"/>
          <w:szCs w:val="21"/>
        </w:rPr>
        <w:t>1</w:t>
      </w:r>
      <w:r>
        <w:rPr>
          <w:color w:val="auto"/>
          <w:kern w:val="0"/>
          <w:szCs w:val="21"/>
        </w:rPr>
        <w:t>）</w:t>
      </w:r>
      <w:r>
        <w:rPr>
          <w:rFonts w:hint="eastAsia"/>
          <w:color w:val="auto"/>
          <w:szCs w:val="21"/>
        </w:rPr>
        <w:t>乙方</w:t>
      </w:r>
      <w:r>
        <w:rPr>
          <w:color w:val="auto"/>
          <w:szCs w:val="21"/>
        </w:rPr>
        <w:t>提交的竣工资料的内容：</w:t>
      </w:r>
      <w:r>
        <w:rPr>
          <w:rFonts w:hint="eastAsia"/>
          <w:color w:val="auto"/>
          <w:szCs w:val="21"/>
          <w:u w:val="single"/>
        </w:rPr>
        <w:t>向甲方提交按规范规定应由乙方编制部分的竣工资料</w:t>
      </w:r>
      <w:r>
        <w:rPr>
          <w:color w:val="auto"/>
          <w:szCs w:val="21"/>
        </w:rPr>
        <w:t>。</w:t>
      </w:r>
    </w:p>
    <w:p>
      <w:pPr>
        <w:spacing w:line="360" w:lineRule="exact"/>
        <w:ind w:firstLine="420" w:firstLineChars="200"/>
        <w:rPr>
          <w:color w:val="auto"/>
          <w:szCs w:val="21"/>
        </w:rPr>
      </w:pPr>
      <w:r>
        <w:rPr>
          <w:rFonts w:hint="eastAsia"/>
          <w:color w:val="auto"/>
          <w:szCs w:val="21"/>
        </w:rPr>
        <w:t>乙方</w:t>
      </w:r>
      <w:r>
        <w:rPr>
          <w:color w:val="auto"/>
          <w:szCs w:val="21"/>
        </w:rPr>
        <w:t>需要提交的竣工资料套数：</w:t>
      </w:r>
      <w:r>
        <w:rPr>
          <w:rFonts w:hint="eastAsia"/>
          <w:color w:val="auto"/>
          <w:szCs w:val="21"/>
          <w:u w:val="single"/>
        </w:rPr>
        <w:t xml:space="preserve"> 纸质七套，电子资料1套</w:t>
      </w:r>
      <w:r>
        <w:rPr>
          <w:color w:val="auto"/>
          <w:szCs w:val="21"/>
          <w:u w:val="single"/>
        </w:rPr>
        <w:t>。</w:t>
      </w:r>
    </w:p>
    <w:p>
      <w:pPr>
        <w:spacing w:line="360" w:lineRule="exact"/>
        <w:ind w:firstLine="420" w:firstLineChars="200"/>
        <w:rPr>
          <w:color w:val="auto"/>
          <w:szCs w:val="21"/>
        </w:rPr>
      </w:pPr>
      <w:r>
        <w:rPr>
          <w:rFonts w:hint="eastAsia"/>
          <w:color w:val="auto"/>
          <w:szCs w:val="21"/>
        </w:rPr>
        <w:t>乙方</w:t>
      </w:r>
      <w:r>
        <w:rPr>
          <w:color w:val="auto"/>
          <w:szCs w:val="21"/>
        </w:rPr>
        <w:t>提交的竣工资料的费用承担：</w:t>
      </w:r>
      <w:r>
        <w:rPr>
          <w:rFonts w:hint="eastAsia"/>
          <w:color w:val="auto"/>
          <w:szCs w:val="21"/>
          <w:u w:val="single"/>
        </w:rPr>
        <w:t xml:space="preserve">由乙方承担 </w:t>
      </w:r>
      <w:r>
        <w:rPr>
          <w:color w:val="auto"/>
          <w:szCs w:val="21"/>
        </w:rPr>
        <w:t>。</w:t>
      </w:r>
    </w:p>
    <w:p>
      <w:pPr>
        <w:spacing w:line="360" w:lineRule="exact"/>
        <w:ind w:firstLine="420" w:firstLineChars="200"/>
        <w:rPr>
          <w:color w:val="auto"/>
          <w:szCs w:val="21"/>
        </w:rPr>
      </w:pPr>
      <w:r>
        <w:rPr>
          <w:rFonts w:hint="eastAsia"/>
          <w:color w:val="auto"/>
          <w:szCs w:val="21"/>
        </w:rPr>
        <w:t>乙方</w:t>
      </w:r>
      <w:r>
        <w:rPr>
          <w:color w:val="auto"/>
          <w:szCs w:val="21"/>
        </w:rPr>
        <w:t>提交的竣工资料移交时间：</w:t>
      </w:r>
      <w:r>
        <w:rPr>
          <w:rFonts w:hint="eastAsia"/>
          <w:color w:val="auto"/>
          <w:szCs w:val="21"/>
          <w:u w:val="single"/>
        </w:rPr>
        <w:t>项目竣工验收合格后7天内</w:t>
      </w:r>
      <w:r>
        <w:rPr>
          <w:color w:val="auto"/>
          <w:szCs w:val="21"/>
        </w:rPr>
        <w:t>。</w:t>
      </w:r>
    </w:p>
    <w:p>
      <w:pPr>
        <w:spacing w:line="360" w:lineRule="exact"/>
        <w:ind w:firstLine="420" w:firstLineChars="200"/>
        <w:rPr>
          <w:color w:val="auto"/>
          <w:szCs w:val="21"/>
        </w:rPr>
      </w:pPr>
      <w:r>
        <w:rPr>
          <w:rFonts w:hint="eastAsia"/>
          <w:color w:val="auto"/>
          <w:szCs w:val="21"/>
        </w:rPr>
        <w:t>乙方</w:t>
      </w:r>
      <w:r>
        <w:rPr>
          <w:color w:val="auto"/>
          <w:szCs w:val="21"/>
        </w:rPr>
        <w:t>提交的竣工资料形式要求：</w:t>
      </w:r>
      <w:r>
        <w:rPr>
          <w:rFonts w:hint="eastAsia"/>
          <w:color w:val="auto"/>
          <w:szCs w:val="21"/>
          <w:u w:val="single"/>
        </w:rPr>
        <w:t>纸质及相关电子资料</w:t>
      </w:r>
      <w:r>
        <w:rPr>
          <w:color w:val="auto"/>
          <w:szCs w:val="21"/>
        </w:rPr>
        <w:t>。</w:t>
      </w:r>
    </w:p>
    <w:p>
      <w:pPr>
        <w:spacing w:line="360" w:lineRule="exact"/>
        <w:ind w:firstLine="420" w:firstLineChars="200"/>
        <w:rPr>
          <w:color w:val="auto"/>
          <w:kern w:val="0"/>
          <w:szCs w:val="21"/>
        </w:rPr>
      </w:pPr>
      <w:r>
        <w:rPr>
          <w:color w:val="auto"/>
          <w:kern w:val="0"/>
          <w:szCs w:val="21"/>
        </w:rPr>
        <w:t>（</w:t>
      </w:r>
      <w:r>
        <w:rPr>
          <w:rFonts w:hint="eastAsia"/>
          <w:color w:val="auto"/>
          <w:kern w:val="0"/>
          <w:szCs w:val="21"/>
        </w:rPr>
        <w:t>2</w:t>
      </w:r>
      <w:r>
        <w:rPr>
          <w:color w:val="auto"/>
          <w:kern w:val="0"/>
          <w:szCs w:val="21"/>
        </w:rPr>
        <w:t>）</w:t>
      </w:r>
      <w:r>
        <w:rPr>
          <w:rFonts w:hint="eastAsia"/>
          <w:color w:val="auto"/>
          <w:kern w:val="0"/>
          <w:szCs w:val="21"/>
        </w:rPr>
        <w:t>乙方</w:t>
      </w:r>
      <w:r>
        <w:rPr>
          <w:color w:val="auto"/>
          <w:kern w:val="0"/>
          <w:szCs w:val="21"/>
        </w:rPr>
        <w:t>应履行的其他义务：</w:t>
      </w:r>
    </w:p>
    <w:p>
      <w:pPr>
        <w:spacing w:line="360" w:lineRule="exact"/>
        <w:ind w:firstLine="420" w:firstLineChars="200"/>
        <w:rPr>
          <w:color w:val="auto"/>
          <w:szCs w:val="21"/>
          <w:u w:val="single"/>
        </w:rPr>
      </w:pPr>
      <w:r>
        <w:rPr>
          <w:rFonts w:hint="eastAsia"/>
          <w:color w:val="auto"/>
          <w:szCs w:val="21"/>
          <w:u w:val="single"/>
        </w:rPr>
        <w:t>a、在施工中必须严格按照规范操作，采取相应防护措施，对不按规范要求施工或未采取防护措施的，造成的损失由乙方承担。</w:t>
      </w:r>
    </w:p>
    <w:p>
      <w:pPr>
        <w:spacing w:line="360" w:lineRule="exact"/>
        <w:ind w:firstLine="420" w:firstLineChars="200"/>
        <w:rPr>
          <w:color w:val="auto"/>
          <w:szCs w:val="21"/>
          <w:u w:val="single"/>
        </w:rPr>
      </w:pPr>
      <w:r>
        <w:rPr>
          <w:rFonts w:hint="eastAsia"/>
          <w:color w:val="auto"/>
          <w:szCs w:val="21"/>
          <w:u w:val="single"/>
        </w:rPr>
        <w:t>b 、本项目施工安全由乙方负总责。</w:t>
      </w:r>
    </w:p>
    <w:p>
      <w:pPr>
        <w:spacing w:line="360" w:lineRule="exact"/>
        <w:ind w:firstLine="420" w:firstLineChars="200"/>
        <w:rPr>
          <w:color w:val="auto"/>
          <w:szCs w:val="21"/>
          <w:u w:val="single"/>
        </w:rPr>
      </w:pPr>
      <w:r>
        <w:rPr>
          <w:rFonts w:hint="eastAsia"/>
          <w:color w:val="auto"/>
          <w:szCs w:val="21"/>
          <w:u w:val="single"/>
        </w:rPr>
        <w:t>c 、按当地有关部门要求,由乙方办理有关施工场地交通、环卫和施工噪音管理等手续。</w:t>
      </w:r>
    </w:p>
    <w:p>
      <w:pPr>
        <w:spacing w:line="360" w:lineRule="exact"/>
        <w:ind w:firstLine="420" w:firstLineChars="200"/>
        <w:rPr>
          <w:color w:val="auto"/>
          <w:kern w:val="0"/>
          <w:szCs w:val="21"/>
          <w:u w:val="single"/>
        </w:rPr>
      </w:pPr>
      <w:r>
        <w:rPr>
          <w:rFonts w:hint="eastAsia"/>
          <w:color w:val="auto"/>
          <w:kern w:val="0"/>
          <w:szCs w:val="21"/>
        </w:rPr>
        <w:t>（3）乙方诚实信用的承诺：</w:t>
      </w:r>
      <w:r>
        <w:rPr>
          <w:rFonts w:hint="eastAsia"/>
          <w:color w:val="auto"/>
          <w:kern w:val="0"/>
          <w:szCs w:val="21"/>
          <w:u w:val="single"/>
        </w:rPr>
        <w:t xml:space="preserve"> 严格按投标文件要求和合同条款执行          。</w:t>
      </w:r>
    </w:p>
    <w:p>
      <w:pPr>
        <w:spacing w:line="360" w:lineRule="exact"/>
        <w:ind w:firstLine="420" w:firstLineChars="200"/>
        <w:rPr>
          <w:color w:val="auto"/>
          <w:kern w:val="0"/>
          <w:szCs w:val="21"/>
          <w:u w:val="single"/>
        </w:rPr>
      </w:pPr>
      <w:r>
        <w:rPr>
          <w:rFonts w:hint="eastAsia"/>
          <w:color w:val="auto"/>
          <w:kern w:val="0"/>
          <w:szCs w:val="21"/>
        </w:rPr>
        <w:t>（4）乙方使用新技术、工法、工艺的承诺</w:t>
      </w:r>
      <w:r>
        <w:rPr>
          <w:rFonts w:hint="eastAsia"/>
          <w:color w:val="auto"/>
          <w:kern w:val="0"/>
          <w:szCs w:val="21"/>
          <w:u w:val="single"/>
        </w:rPr>
        <w:t xml:space="preserve">：   /        。 </w:t>
      </w:r>
    </w:p>
    <w:p>
      <w:pPr>
        <w:spacing w:line="360" w:lineRule="exact"/>
        <w:ind w:firstLine="420" w:firstLineChars="200"/>
        <w:rPr>
          <w:color w:val="auto"/>
          <w:kern w:val="0"/>
          <w:szCs w:val="21"/>
        </w:rPr>
      </w:pPr>
      <w:r>
        <w:rPr>
          <w:rFonts w:hint="eastAsia"/>
          <w:color w:val="auto"/>
          <w:kern w:val="0"/>
          <w:szCs w:val="21"/>
          <w:u w:val="single"/>
        </w:rPr>
        <w:t>3.2</w:t>
      </w:r>
      <w:r>
        <w:rPr>
          <w:rFonts w:hint="eastAsia"/>
          <w:color w:val="auto"/>
          <w:kern w:val="0"/>
          <w:szCs w:val="21"/>
        </w:rPr>
        <w:t>乙方</w:t>
      </w:r>
      <w:r>
        <w:rPr>
          <w:color w:val="auto"/>
          <w:kern w:val="0"/>
          <w:szCs w:val="21"/>
        </w:rPr>
        <w:t>应履行的其他义务：</w:t>
      </w:r>
    </w:p>
    <w:p>
      <w:pPr>
        <w:tabs>
          <w:tab w:val="left" w:pos="0"/>
        </w:tabs>
        <w:spacing w:line="360" w:lineRule="exact"/>
        <w:ind w:firstLine="315" w:firstLineChars="150"/>
        <w:rPr>
          <w:rFonts w:ascii="宋体" w:hAnsi="宋体"/>
          <w:color w:val="auto"/>
          <w:szCs w:val="21"/>
        </w:rPr>
      </w:pPr>
      <w:r>
        <w:rPr>
          <w:rFonts w:hint="eastAsia" w:ascii="宋体" w:hAnsi="宋体"/>
          <w:color w:val="auto"/>
          <w:szCs w:val="21"/>
        </w:rPr>
        <w:t xml:space="preserve">（1）按有关技术规范进行施工，确保项目质量。 </w:t>
      </w:r>
    </w:p>
    <w:p>
      <w:pPr>
        <w:tabs>
          <w:tab w:val="left" w:pos="0"/>
        </w:tabs>
        <w:spacing w:line="360" w:lineRule="exact"/>
        <w:ind w:firstLine="315" w:firstLineChars="150"/>
        <w:rPr>
          <w:rFonts w:ascii="宋体" w:hAnsi="宋体"/>
          <w:color w:val="auto"/>
          <w:szCs w:val="21"/>
        </w:rPr>
      </w:pPr>
      <w:r>
        <w:rPr>
          <w:rFonts w:hint="eastAsia" w:ascii="宋体" w:hAnsi="宋体"/>
          <w:color w:val="auto"/>
          <w:szCs w:val="21"/>
        </w:rPr>
        <w:t xml:space="preserve">（2）服从甲方、监理工作的进程安排，及时进场并保证工期。 </w:t>
      </w:r>
    </w:p>
    <w:p>
      <w:pPr>
        <w:tabs>
          <w:tab w:val="left" w:pos="0"/>
        </w:tabs>
        <w:spacing w:line="360" w:lineRule="exact"/>
        <w:ind w:firstLine="420" w:firstLineChars="200"/>
        <w:rPr>
          <w:rFonts w:ascii="宋体" w:hAnsi="宋体"/>
          <w:color w:val="auto"/>
          <w:szCs w:val="21"/>
        </w:rPr>
      </w:pPr>
      <w:r>
        <w:rPr>
          <w:rFonts w:hint="eastAsia" w:ascii="宋体" w:hAnsi="宋体"/>
          <w:color w:val="auto"/>
          <w:szCs w:val="21"/>
        </w:rPr>
        <w:t xml:space="preserve">(3)接到甲方更改通知时，按更改要求进行项目更改，并向监理报备。 </w:t>
      </w:r>
    </w:p>
    <w:p>
      <w:pPr>
        <w:tabs>
          <w:tab w:val="left" w:pos="0"/>
        </w:tabs>
        <w:spacing w:line="360" w:lineRule="exact"/>
        <w:ind w:firstLine="420" w:firstLineChars="200"/>
        <w:rPr>
          <w:rFonts w:ascii="宋体" w:hAnsi="宋体"/>
          <w:color w:val="auto"/>
          <w:szCs w:val="21"/>
        </w:rPr>
      </w:pPr>
      <w:r>
        <w:rPr>
          <w:rFonts w:hint="eastAsia" w:ascii="宋体" w:hAnsi="宋体"/>
          <w:color w:val="auto"/>
          <w:szCs w:val="21"/>
        </w:rPr>
        <w:t xml:space="preserve">(4)应严格按本次招投标的规定要求履行并承担自己的职责。 </w:t>
      </w:r>
    </w:p>
    <w:p>
      <w:pPr>
        <w:tabs>
          <w:tab w:val="left" w:pos="0"/>
        </w:tabs>
        <w:spacing w:line="360" w:lineRule="exact"/>
        <w:ind w:firstLine="420" w:firstLineChars="200"/>
        <w:rPr>
          <w:rFonts w:ascii="宋体" w:hAnsi="宋体"/>
          <w:color w:val="auto"/>
          <w:szCs w:val="21"/>
        </w:rPr>
      </w:pPr>
      <w:r>
        <w:rPr>
          <w:rFonts w:hint="eastAsia" w:ascii="宋体" w:hAnsi="宋体"/>
          <w:color w:val="auto"/>
          <w:szCs w:val="21"/>
        </w:rPr>
        <w:t xml:space="preserve">(5)按图纸要求、合同条款、技术规范等要求，承担项目的维修、维护等工作。 </w:t>
      </w:r>
    </w:p>
    <w:p>
      <w:pPr>
        <w:tabs>
          <w:tab w:val="left" w:pos="0"/>
        </w:tabs>
        <w:spacing w:line="360" w:lineRule="exact"/>
        <w:ind w:firstLine="420" w:firstLineChars="200"/>
        <w:rPr>
          <w:rFonts w:ascii="宋体" w:hAnsi="宋体"/>
          <w:color w:val="auto"/>
          <w:szCs w:val="21"/>
        </w:rPr>
      </w:pPr>
      <w:r>
        <w:rPr>
          <w:rFonts w:hint="eastAsia" w:ascii="宋体" w:hAnsi="宋体"/>
          <w:color w:val="auto"/>
          <w:szCs w:val="21"/>
        </w:rPr>
        <w:t xml:space="preserve">(6)所使用的主要原材料均需要提供检测报告或质量保证单。 </w:t>
      </w:r>
    </w:p>
    <w:p>
      <w:pPr>
        <w:tabs>
          <w:tab w:val="left" w:pos="0"/>
        </w:tabs>
        <w:spacing w:line="360" w:lineRule="exact"/>
        <w:ind w:firstLine="420" w:firstLineChars="200"/>
        <w:rPr>
          <w:rFonts w:ascii="宋体" w:hAnsi="宋体"/>
          <w:color w:val="auto"/>
          <w:szCs w:val="21"/>
        </w:rPr>
      </w:pPr>
      <w:r>
        <w:rPr>
          <w:rFonts w:hint="eastAsia" w:ascii="宋体" w:hAnsi="宋体"/>
          <w:color w:val="auto"/>
          <w:szCs w:val="21"/>
        </w:rPr>
        <w:t xml:space="preserve">(7)接受甲方的各项工作业务指导。 </w:t>
      </w:r>
    </w:p>
    <w:p>
      <w:pPr>
        <w:tabs>
          <w:tab w:val="left" w:pos="0"/>
        </w:tabs>
        <w:spacing w:line="360" w:lineRule="exact"/>
        <w:ind w:firstLine="420" w:firstLineChars="200"/>
        <w:rPr>
          <w:rFonts w:ascii="宋体" w:hAnsi="宋体"/>
          <w:color w:val="auto"/>
          <w:szCs w:val="21"/>
        </w:rPr>
      </w:pPr>
      <w:r>
        <w:rPr>
          <w:rFonts w:hint="eastAsia" w:ascii="宋体" w:hAnsi="宋体"/>
          <w:color w:val="auto"/>
          <w:szCs w:val="21"/>
        </w:rPr>
        <w:t xml:space="preserve">(8)负责施工场地的安全文明生产。 </w:t>
      </w:r>
    </w:p>
    <w:p>
      <w:pPr>
        <w:tabs>
          <w:tab w:val="left" w:pos="0"/>
        </w:tabs>
        <w:spacing w:line="360" w:lineRule="exact"/>
        <w:ind w:firstLine="420" w:firstLineChars="200"/>
        <w:rPr>
          <w:rFonts w:ascii="宋体" w:hAnsi="宋体"/>
          <w:color w:val="auto"/>
          <w:szCs w:val="21"/>
        </w:rPr>
      </w:pPr>
      <w:r>
        <w:rPr>
          <w:rFonts w:hint="eastAsia" w:ascii="宋体" w:hAnsi="宋体"/>
          <w:color w:val="auto"/>
          <w:szCs w:val="21"/>
        </w:rPr>
        <w:t xml:space="preserve">(9)建立项目施工的质量保证体系。 </w:t>
      </w:r>
    </w:p>
    <w:p>
      <w:pPr>
        <w:tabs>
          <w:tab w:val="left" w:pos="0"/>
        </w:tabs>
        <w:spacing w:line="360" w:lineRule="exact"/>
        <w:ind w:firstLine="420" w:firstLineChars="200"/>
        <w:rPr>
          <w:rFonts w:ascii="宋体" w:hAnsi="宋体"/>
          <w:color w:val="auto"/>
          <w:szCs w:val="21"/>
        </w:rPr>
      </w:pPr>
      <w:r>
        <w:rPr>
          <w:rFonts w:hint="eastAsia" w:ascii="宋体" w:hAnsi="宋体"/>
          <w:color w:val="auto"/>
          <w:szCs w:val="21"/>
        </w:rPr>
        <w:t xml:space="preserve">(10)负责交通安全设施施工场地、车辆、机械设备、原材料等的施工保障。 </w:t>
      </w:r>
    </w:p>
    <w:p>
      <w:pPr>
        <w:tabs>
          <w:tab w:val="left" w:pos="0"/>
        </w:tabs>
        <w:spacing w:line="360" w:lineRule="exact"/>
        <w:ind w:firstLine="315" w:firstLineChars="150"/>
        <w:rPr>
          <w:rFonts w:ascii="宋体" w:hAnsi="宋体"/>
          <w:color w:val="auto"/>
          <w:szCs w:val="21"/>
        </w:rPr>
      </w:pPr>
      <w:r>
        <w:rPr>
          <w:rFonts w:hint="eastAsia" w:ascii="宋体" w:hAnsi="宋体"/>
          <w:color w:val="auto"/>
          <w:szCs w:val="21"/>
        </w:rPr>
        <w:t xml:space="preserve"> (11)接受甲方、监理对文明施工、安全施工、质量、施工时效等的监管。 </w:t>
      </w:r>
    </w:p>
    <w:p>
      <w:pPr>
        <w:tabs>
          <w:tab w:val="left" w:pos="0"/>
        </w:tabs>
        <w:spacing w:line="360" w:lineRule="exact"/>
        <w:ind w:firstLine="315" w:firstLineChars="150"/>
        <w:rPr>
          <w:rFonts w:ascii="宋体" w:hAnsi="宋体"/>
          <w:color w:val="auto"/>
          <w:szCs w:val="21"/>
        </w:rPr>
      </w:pPr>
      <w:r>
        <w:rPr>
          <w:rFonts w:hint="eastAsia" w:ascii="宋体" w:hAnsi="宋体"/>
          <w:color w:val="auto"/>
          <w:szCs w:val="21"/>
        </w:rPr>
        <w:t xml:space="preserve"> (12)及时反馈联系单。  </w:t>
      </w:r>
    </w:p>
    <w:p>
      <w:pPr>
        <w:tabs>
          <w:tab w:val="left" w:pos="0"/>
        </w:tabs>
        <w:spacing w:line="360" w:lineRule="exact"/>
        <w:ind w:firstLine="315" w:firstLineChars="150"/>
        <w:rPr>
          <w:rFonts w:ascii="宋体" w:hAnsi="宋体"/>
          <w:color w:val="auto"/>
          <w:szCs w:val="21"/>
        </w:rPr>
      </w:pPr>
      <w:r>
        <w:rPr>
          <w:rFonts w:hint="eastAsia" w:ascii="宋体" w:hAnsi="宋体"/>
          <w:color w:val="auto"/>
          <w:szCs w:val="21"/>
        </w:rPr>
        <w:t xml:space="preserve">（13）乙方应提供正常施工必须的所有人工（包括工种）、机械设备（包括车辆）、主要原材料等； </w:t>
      </w:r>
    </w:p>
    <w:p>
      <w:pPr>
        <w:tabs>
          <w:tab w:val="left" w:pos="0"/>
        </w:tabs>
        <w:spacing w:line="360" w:lineRule="exact"/>
        <w:ind w:firstLine="315" w:firstLineChars="150"/>
        <w:rPr>
          <w:rFonts w:ascii="宋体" w:hAnsi="宋体"/>
          <w:color w:val="auto"/>
          <w:szCs w:val="21"/>
        </w:rPr>
      </w:pPr>
      <w:r>
        <w:rPr>
          <w:rFonts w:hint="eastAsia" w:ascii="宋体" w:hAnsi="宋体"/>
          <w:color w:val="auto"/>
          <w:szCs w:val="21"/>
        </w:rPr>
        <w:t xml:space="preserve">（14）监理在巡查过程中发现乙方在施工中不按国家有关标准设置，经甲方确认后，乙方无条件返工，并承担因返工额外产生的费用； </w:t>
      </w:r>
    </w:p>
    <w:p>
      <w:pPr>
        <w:tabs>
          <w:tab w:val="left" w:pos="0"/>
        </w:tabs>
        <w:spacing w:line="360" w:lineRule="exact"/>
        <w:ind w:firstLine="315" w:firstLineChars="150"/>
        <w:rPr>
          <w:rFonts w:ascii="宋体" w:hAnsi="宋体"/>
          <w:color w:val="auto"/>
          <w:szCs w:val="21"/>
        </w:rPr>
      </w:pPr>
      <w:r>
        <w:rPr>
          <w:rFonts w:hint="eastAsia" w:ascii="宋体" w:hAnsi="宋体"/>
          <w:color w:val="auto"/>
          <w:szCs w:val="21"/>
        </w:rPr>
        <w:t>(15）施工结束后乙方提供完工清单，监理及甲方按规定验收；</w:t>
      </w:r>
    </w:p>
    <w:p>
      <w:pPr>
        <w:tabs>
          <w:tab w:val="left" w:pos="0"/>
        </w:tabs>
        <w:spacing w:line="360" w:lineRule="exact"/>
        <w:ind w:firstLine="210" w:firstLineChars="100"/>
        <w:rPr>
          <w:rFonts w:ascii="宋体" w:hAnsi="宋体"/>
          <w:color w:val="auto"/>
          <w:szCs w:val="21"/>
        </w:rPr>
      </w:pPr>
      <w:r>
        <w:rPr>
          <w:rFonts w:hint="eastAsia" w:ascii="宋体" w:hAnsi="宋体"/>
          <w:color w:val="auto"/>
          <w:szCs w:val="21"/>
        </w:rPr>
        <w:t xml:space="preserve">（16）乙方有下列行为之一的，甲方有权终止合同。 </w:t>
      </w:r>
    </w:p>
    <w:p>
      <w:pPr>
        <w:tabs>
          <w:tab w:val="left" w:pos="0"/>
        </w:tabs>
        <w:spacing w:line="360" w:lineRule="exact"/>
        <w:ind w:firstLine="630" w:firstLineChars="300"/>
        <w:rPr>
          <w:rFonts w:ascii="宋体" w:hAnsi="宋体"/>
          <w:color w:val="auto"/>
          <w:szCs w:val="21"/>
        </w:rPr>
      </w:pPr>
      <w:r>
        <w:rPr>
          <w:rFonts w:hint="eastAsia" w:ascii="宋体" w:hAnsi="宋体"/>
          <w:color w:val="auto"/>
          <w:szCs w:val="21"/>
        </w:rPr>
        <w:t xml:space="preserve">A、不符合技术标准的； </w:t>
      </w:r>
    </w:p>
    <w:p>
      <w:pPr>
        <w:tabs>
          <w:tab w:val="left" w:pos="0"/>
        </w:tabs>
        <w:spacing w:line="360" w:lineRule="exact"/>
        <w:ind w:firstLine="630" w:firstLineChars="300"/>
        <w:rPr>
          <w:rFonts w:ascii="宋体" w:hAnsi="宋体"/>
          <w:color w:val="auto"/>
          <w:szCs w:val="21"/>
        </w:rPr>
      </w:pPr>
      <w:r>
        <w:rPr>
          <w:rFonts w:hint="eastAsia" w:ascii="宋体" w:hAnsi="宋体"/>
          <w:color w:val="auto"/>
          <w:szCs w:val="21"/>
        </w:rPr>
        <w:t xml:space="preserve">B、偷工减料的； </w:t>
      </w:r>
    </w:p>
    <w:p>
      <w:pPr>
        <w:tabs>
          <w:tab w:val="left" w:pos="0"/>
        </w:tabs>
        <w:spacing w:line="360" w:lineRule="exact"/>
        <w:ind w:firstLine="630" w:firstLineChars="300"/>
        <w:rPr>
          <w:rFonts w:ascii="宋体" w:hAnsi="宋体"/>
          <w:color w:val="auto"/>
          <w:szCs w:val="21"/>
        </w:rPr>
      </w:pPr>
      <w:r>
        <w:rPr>
          <w:rFonts w:hint="eastAsia" w:ascii="宋体" w:hAnsi="宋体"/>
          <w:color w:val="auto"/>
          <w:szCs w:val="21"/>
        </w:rPr>
        <w:t xml:space="preserve">C、不按图施工的； </w:t>
      </w:r>
    </w:p>
    <w:p>
      <w:pPr>
        <w:tabs>
          <w:tab w:val="left" w:pos="0"/>
        </w:tabs>
        <w:spacing w:line="360" w:lineRule="exact"/>
        <w:ind w:firstLine="630" w:firstLineChars="300"/>
        <w:rPr>
          <w:rFonts w:ascii="宋体" w:hAnsi="宋体"/>
          <w:color w:val="auto"/>
          <w:szCs w:val="21"/>
        </w:rPr>
      </w:pPr>
      <w:r>
        <w:rPr>
          <w:rFonts w:hint="eastAsia" w:ascii="宋体" w:hAnsi="宋体"/>
          <w:color w:val="auto"/>
          <w:szCs w:val="21"/>
        </w:rPr>
        <w:t xml:space="preserve">D、造成重特大责任事故的； </w:t>
      </w:r>
    </w:p>
    <w:p>
      <w:pPr>
        <w:tabs>
          <w:tab w:val="left" w:pos="0"/>
        </w:tabs>
        <w:spacing w:line="360" w:lineRule="exact"/>
        <w:ind w:firstLine="630" w:firstLineChars="300"/>
        <w:rPr>
          <w:rFonts w:ascii="宋体" w:hAnsi="宋体"/>
          <w:color w:val="auto"/>
          <w:szCs w:val="21"/>
        </w:rPr>
      </w:pPr>
      <w:r>
        <w:rPr>
          <w:rFonts w:hint="eastAsia" w:ascii="宋体" w:hAnsi="宋体"/>
          <w:color w:val="auto"/>
          <w:szCs w:val="21"/>
        </w:rPr>
        <w:t xml:space="preserve">E、不文明安全施工的； </w:t>
      </w:r>
    </w:p>
    <w:p>
      <w:pPr>
        <w:tabs>
          <w:tab w:val="left" w:pos="0"/>
        </w:tabs>
        <w:spacing w:line="360" w:lineRule="exact"/>
        <w:ind w:firstLine="630" w:firstLineChars="300"/>
        <w:rPr>
          <w:rFonts w:ascii="宋体" w:hAnsi="宋体"/>
          <w:color w:val="auto"/>
          <w:szCs w:val="21"/>
        </w:rPr>
      </w:pPr>
      <w:r>
        <w:rPr>
          <w:rFonts w:hint="eastAsia" w:ascii="宋体" w:hAnsi="宋体"/>
          <w:color w:val="auto"/>
          <w:szCs w:val="21"/>
        </w:rPr>
        <w:t xml:space="preserve">F、不服从现场民警指挥的； </w:t>
      </w:r>
    </w:p>
    <w:p>
      <w:pPr>
        <w:tabs>
          <w:tab w:val="left" w:pos="0"/>
        </w:tabs>
        <w:spacing w:line="360" w:lineRule="exact"/>
        <w:ind w:firstLine="630" w:firstLineChars="300"/>
        <w:rPr>
          <w:rFonts w:ascii="宋体" w:hAnsi="宋体"/>
          <w:color w:val="auto"/>
          <w:szCs w:val="21"/>
        </w:rPr>
      </w:pPr>
      <w:r>
        <w:rPr>
          <w:rFonts w:hint="eastAsia" w:ascii="宋体" w:hAnsi="宋体"/>
          <w:color w:val="auto"/>
          <w:szCs w:val="21"/>
        </w:rPr>
        <w:t xml:space="preserve">G、擅自增设或变更交通安全设施的； </w:t>
      </w:r>
    </w:p>
    <w:p>
      <w:pPr>
        <w:tabs>
          <w:tab w:val="left" w:pos="0"/>
        </w:tabs>
        <w:spacing w:line="360" w:lineRule="exact"/>
        <w:ind w:firstLine="630" w:firstLineChars="300"/>
        <w:rPr>
          <w:rFonts w:ascii="宋体" w:hAnsi="宋体"/>
          <w:color w:val="auto"/>
          <w:szCs w:val="21"/>
        </w:rPr>
      </w:pPr>
      <w:r>
        <w:rPr>
          <w:rFonts w:hint="eastAsia" w:ascii="宋体" w:hAnsi="宋体"/>
          <w:color w:val="auto"/>
          <w:szCs w:val="21"/>
        </w:rPr>
        <w:t xml:space="preserve">H 、全部或部分项目违法转包； </w:t>
      </w:r>
    </w:p>
    <w:p>
      <w:pPr>
        <w:tabs>
          <w:tab w:val="left" w:pos="0"/>
        </w:tabs>
        <w:spacing w:line="360" w:lineRule="exact"/>
        <w:ind w:firstLine="630" w:firstLineChars="300"/>
        <w:rPr>
          <w:rFonts w:ascii="宋体" w:hAnsi="宋体"/>
          <w:color w:val="auto"/>
          <w:szCs w:val="21"/>
        </w:rPr>
      </w:pPr>
      <w:r>
        <w:rPr>
          <w:rFonts w:hint="eastAsia" w:ascii="宋体" w:hAnsi="宋体"/>
          <w:color w:val="auto"/>
          <w:szCs w:val="21"/>
        </w:rPr>
        <w:t>I、多次未按合同履行维护维修工作的；</w:t>
      </w:r>
    </w:p>
    <w:p>
      <w:pPr>
        <w:tabs>
          <w:tab w:val="left" w:pos="0"/>
        </w:tabs>
        <w:spacing w:line="360" w:lineRule="exact"/>
        <w:ind w:firstLine="315" w:firstLineChars="150"/>
        <w:rPr>
          <w:rFonts w:ascii="宋体" w:hAnsi="宋体"/>
          <w:color w:val="auto"/>
          <w:szCs w:val="21"/>
        </w:rPr>
      </w:pPr>
      <w:r>
        <w:rPr>
          <w:rFonts w:hint="eastAsia" w:ascii="宋体" w:hAnsi="宋体"/>
          <w:color w:val="auto"/>
          <w:szCs w:val="21"/>
        </w:rPr>
        <w:t xml:space="preserve">（17）乙方在施工项目中应先制定完善的施工方案，尽可能减小因施工对道路通行带来的影响，施工时应服从现场交警的管理及指挥； </w:t>
      </w:r>
    </w:p>
    <w:p>
      <w:pPr>
        <w:tabs>
          <w:tab w:val="left" w:pos="0"/>
        </w:tabs>
        <w:spacing w:line="360" w:lineRule="exact"/>
        <w:ind w:firstLine="210" w:firstLineChars="100"/>
        <w:rPr>
          <w:rFonts w:ascii="宋体" w:hAnsi="宋体"/>
          <w:color w:val="auto"/>
          <w:szCs w:val="21"/>
        </w:rPr>
      </w:pPr>
      <w:r>
        <w:rPr>
          <w:rFonts w:hint="eastAsia" w:ascii="宋体" w:hAnsi="宋体"/>
          <w:color w:val="auto"/>
          <w:szCs w:val="21"/>
        </w:rPr>
        <w:t>（18）乙方在台州市区内需有专门的工作场地、工作人员、车辆、设备及维护工具承担交通警察局的交通安全设施任务。</w:t>
      </w:r>
    </w:p>
    <w:p>
      <w:pPr>
        <w:tabs>
          <w:tab w:val="left" w:pos="0"/>
        </w:tabs>
        <w:spacing w:line="360" w:lineRule="exact"/>
        <w:ind w:firstLine="210" w:firstLineChars="100"/>
        <w:rPr>
          <w:rFonts w:ascii="宋体" w:hAnsi="宋体"/>
          <w:color w:val="auto"/>
          <w:szCs w:val="21"/>
        </w:rPr>
      </w:pPr>
      <w:r>
        <w:rPr>
          <w:rFonts w:hint="eastAsia" w:ascii="宋体" w:hAnsi="宋体"/>
          <w:color w:val="auto"/>
          <w:szCs w:val="21"/>
        </w:rPr>
        <w:t>（19）乙方对抢修、维修不及时造成的后果，除进行赔偿外，还需根据产生的后果严重程度，承担相应的法律责任。</w:t>
      </w:r>
    </w:p>
    <w:p>
      <w:pPr>
        <w:spacing w:line="360" w:lineRule="exact"/>
        <w:ind w:firstLine="420" w:firstLineChars="200"/>
        <w:rPr>
          <w:color w:val="auto"/>
          <w:szCs w:val="21"/>
        </w:rPr>
      </w:pPr>
      <w:r>
        <w:rPr>
          <w:color w:val="auto"/>
          <w:szCs w:val="21"/>
        </w:rPr>
        <w:t>3.</w:t>
      </w:r>
      <w:r>
        <w:rPr>
          <w:rFonts w:hint="eastAsia"/>
          <w:color w:val="auto"/>
          <w:szCs w:val="21"/>
        </w:rPr>
        <w:t>3</w:t>
      </w:r>
      <w:r>
        <w:rPr>
          <w:color w:val="auto"/>
          <w:szCs w:val="21"/>
        </w:rPr>
        <w:t>项目经理</w:t>
      </w:r>
    </w:p>
    <w:p>
      <w:pPr>
        <w:spacing w:line="360" w:lineRule="exact"/>
        <w:ind w:firstLine="420" w:firstLineChars="200"/>
        <w:rPr>
          <w:color w:val="auto"/>
          <w:szCs w:val="21"/>
        </w:rPr>
      </w:pPr>
      <w:r>
        <w:rPr>
          <w:color w:val="auto"/>
          <w:kern w:val="0"/>
          <w:szCs w:val="21"/>
        </w:rPr>
        <w:t>3.</w:t>
      </w:r>
      <w:r>
        <w:rPr>
          <w:rFonts w:hint="eastAsia"/>
          <w:color w:val="auto"/>
          <w:kern w:val="0"/>
          <w:szCs w:val="21"/>
        </w:rPr>
        <w:t>3</w:t>
      </w:r>
      <w:r>
        <w:rPr>
          <w:color w:val="auto"/>
          <w:kern w:val="0"/>
          <w:szCs w:val="21"/>
        </w:rPr>
        <w:t xml:space="preserve">.1 </w:t>
      </w:r>
      <w:r>
        <w:rPr>
          <w:color w:val="auto"/>
          <w:szCs w:val="21"/>
        </w:rPr>
        <w:t>项目经理：</w:t>
      </w:r>
    </w:p>
    <w:p>
      <w:pPr>
        <w:spacing w:line="360" w:lineRule="exact"/>
        <w:ind w:firstLine="420" w:firstLineChars="200"/>
        <w:rPr>
          <w:color w:val="auto"/>
          <w:szCs w:val="21"/>
        </w:rPr>
      </w:pPr>
      <w:r>
        <w:rPr>
          <w:color w:val="auto"/>
          <w:szCs w:val="21"/>
        </w:rPr>
        <w:t>姓    名：；</w:t>
      </w:r>
    </w:p>
    <w:p>
      <w:pPr>
        <w:spacing w:line="360" w:lineRule="exact"/>
        <w:ind w:firstLine="420" w:firstLineChars="200"/>
        <w:rPr>
          <w:color w:val="auto"/>
          <w:szCs w:val="21"/>
        </w:rPr>
      </w:pPr>
      <w:r>
        <w:rPr>
          <w:color w:val="auto"/>
          <w:szCs w:val="21"/>
        </w:rPr>
        <w:t>身份证号：；</w:t>
      </w:r>
    </w:p>
    <w:p>
      <w:pPr>
        <w:spacing w:line="360" w:lineRule="exact"/>
        <w:ind w:firstLine="420" w:firstLineChars="200"/>
        <w:rPr>
          <w:color w:val="auto"/>
          <w:szCs w:val="21"/>
        </w:rPr>
      </w:pPr>
      <w:r>
        <w:rPr>
          <w:color w:val="auto"/>
          <w:szCs w:val="21"/>
        </w:rPr>
        <w:t>联系电话：；</w:t>
      </w:r>
    </w:p>
    <w:p>
      <w:pPr>
        <w:spacing w:line="360" w:lineRule="exact"/>
        <w:ind w:firstLine="420" w:firstLineChars="200"/>
        <w:rPr>
          <w:color w:val="auto"/>
          <w:szCs w:val="21"/>
        </w:rPr>
      </w:pPr>
      <w:r>
        <w:rPr>
          <w:color w:val="auto"/>
          <w:szCs w:val="21"/>
        </w:rPr>
        <w:t>电子信箱：；</w:t>
      </w:r>
    </w:p>
    <w:p>
      <w:pPr>
        <w:spacing w:line="360" w:lineRule="exact"/>
        <w:ind w:firstLine="420" w:firstLineChars="200"/>
        <w:rPr>
          <w:color w:val="auto"/>
          <w:szCs w:val="21"/>
        </w:rPr>
      </w:pPr>
      <w:r>
        <w:rPr>
          <w:color w:val="auto"/>
          <w:szCs w:val="21"/>
        </w:rPr>
        <w:t>通信地址：；</w:t>
      </w:r>
    </w:p>
    <w:p>
      <w:pPr>
        <w:spacing w:line="360" w:lineRule="exact"/>
        <w:ind w:firstLine="420" w:firstLineChars="200"/>
        <w:rPr>
          <w:color w:val="auto"/>
          <w:szCs w:val="21"/>
        </w:rPr>
      </w:pPr>
      <w:r>
        <w:rPr>
          <w:rFonts w:hint="eastAsia"/>
          <w:color w:val="auto"/>
          <w:szCs w:val="21"/>
        </w:rPr>
        <w:t>乙方</w:t>
      </w:r>
      <w:r>
        <w:rPr>
          <w:color w:val="auto"/>
          <w:szCs w:val="21"/>
        </w:rPr>
        <w:t>对项目经理的授权范围如下：。</w:t>
      </w:r>
    </w:p>
    <w:p>
      <w:pPr>
        <w:spacing w:line="360" w:lineRule="exact"/>
        <w:ind w:firstLine="420" w:firstLineChars="200"/>
        <w:rPr>
          <w:color w:val="auto"/>
          <w:kern w:val="0"/>
          <w:szCs w:val="21"/>
        </w:rPr>
      </w:pPr>
      <w:r>
        <w:rPr>
          <w:color w:val="auto"/>
          <w:kern w:val="0"/>
          <w:szCs w:val="21"/>
        </w:rPr>
        <w:t>关于项目经理每月在施工现场的时间要求：</w:t>
      </w:r>
      <w:r>
        <w:rPr>
          <w:rFonts w:hint="eastAsia"/>
          <w:color w:val="auto"/>
          <w:szCs w:val="21"/>
          <w:u w:val="single"/>
        </w:rPr>
        <w:t xml:space="preserve">月到岗率须达到《台州市施工现场关键岗位人员管理实施细则》（台建规[2006]330号）要求 </w:t>
      </w:r>
      <w:r>
        <w:rPr>
          <w:color w:val="auto"/>
          <w:szCs w:val="21"/>
        </w:rPr>
        <w:t xml:space="preserve"> 。</w:t>
      </w:r>
    </w:p>
    <w:p>
      <w:pPr>
        <w:spacing w:line="360" w:lineRule="exact"/>
        <w:ind w:firstLine="420" w:firstLineChars="200"/>
        <w:rPr>
          <w:color w:val="auto"/>
          <w:kern w:val="0"/>
          <w:szCs w:val="21"/>
        </w:rPr>
      </w:pPr>
      <w:r>
        <w:rPr>
          <w:rFonts w:hint="eastAsia"/>
          <w:color w:val="auto"/>
          <w:szCs w:val="21"/>
          <w:u w:val="single"/>
        </w:rPr>
        <w:t>乙方未提交劳动合同，以及没有为项目经理缴纳社会保险证明的违约责任：甲方有权要求更换项目经理，由此增加的费用和（或）延误的工期由乙方承担，按每更换一人次扣除履约保证金额的20%；及至甲方可通知乙方全部解除合同，所有履约保证金归甲方，并赔偿甲方损失</w:t>
      </w:r>
      <w:r>
        <w:rPr>
          <w:color w:val="auto"/>
          <w:szCs w:val="21"/>
        </w:rPr>
        <w:t>。</w:t>
      </w:r>
    </w:p>
    <w:p>
      <w:pPr>
        <w:spacing w:line="360" w:lineRule="exact"/>
        <w:ind w:firstLine="420" w:firstLineChars="200"/>
        <w:rPr>
          <w:color w:val="auto"/>
          <w:szCs w:val="21"/>
          <w:u w:val="single"/>
        </w:rPr>
      </w:pPr>
      <w:r>
        <w:rPr>
          <w:color w:val="auto"/>
          <w:kern w:val="0"/>
          <w:szCs w:val="21"/>
        </w:rPr>
        <w:t>项目经理未经批准，擅自离开施工现场的违约责任：</w:t>
      </w:r>
      <w:r>
        <w:rPr>
          <w:rFonts w:hint="eastAsia"/>
          <w:color w:val="auto"/>
          <w:szCs w:val="21"/>
          <w:u w:val="single"/>
        </w:rPr>
        <w:t>月到岗率须达到《台州市施工现场关键岗位人员管理实施细则》（台建规[2006]330号）要求，不足天数，每天扣除履约保证金额的0.1%，每月结算；连续二个月达不到要求且项目经理不能到岗的，甲方有权终止合同，没收全部履约保证金，同时赔偿甲方由此造成的损失。另遇有项目检查、验收或参观等活动时，无特殊原因不得离开施工现场</w:t>
      </w:r>
      <w:r>
        <w:rPr>
          <w:color w:val="auto"/>
          <w:szCs w:val="21"/>
        </w:rPr>
        <w:t>。</w:t>
      </w:r>
    </w:p>
    <w:p>
      <w:pPr>
        <w:spacing w:line="360" w:lineRule="exact"/>
        <w:ind w:firstLine="420" w:firstLineChars="200"/>
        <w:rPr>
          <w:color w:val="auto"/>
          <w:szCs w:val="21"/>
        </w:rPr>
      </w:pPr>
      <w:r>
        <w:rPr>
          <w:color w:val="auto"/>
          <w:szCs w:val="21"/>
        </w:rPr>
        <w:t>3.</w:t>
      </w:r>
      <w:r>
        <w:rPr>
          <w:rFonts w:hint="eastAsia"/>
          <w:color w:val="auto"/>
          <w:szCs w:val="21"/>
        </w:rPr>
        <w:t>3</w:t>
      </w:r>
      <w:r>
        <w:rPr>
          <w:color w:val="auto"/>
          <w:szCs w:val="21"/>
        </w:rPr>
        <w:t>.</w:t>
      </w:r>
      <w:r>
        <w:rPr>
          <w:rFonts w:hint="eastAsia"/>
          <w:color w:val="auto"/>
          <w:szCs w:val="21"/>
        </w:rPr>
        <w:t>2</w:t>
      </w:r>
      <w:r>
        <w:rPr>
          <w:color w:val="auto"/>
          <w:szCs w:val="21"/>
        </w:rPr>
        <w:t xml:space="preserve"> </w:t>
      </w:r>
      <w:r>
        <w:rPr>
          <w:rFonts w:hint="eastAsia"/>
          <w:color w:val="auto"/>
          <w:szCs w:val="21"/>
        </w:rPr>
        <w:t>乙方</w:t>
      </w:r>
      <w:r>
        <w:rPr>
          <w:color w:val="auto"/>
          <w:szCs w:val="21"/>
        </w:rPr>
        <w:t>擅自更换项目经理的违约责任：</w:t>
      </w:r>
      <w:r>
        <w:rPr>
          <w:rFonts w:hint="eastAsia"/>
          <w:color w:val="auto"/>
          <w:szCs w:val="21"/>
          <w:u w:val="single"/>
        </w:rPr>
        <w:t>项目经理因发生重大安全事故不适合再任、生病住院、终止劳动合同关系（提供相关部门或单位证明材料）、被责令停止执业、羁押或判刑情形，无法继续担任项目经理，乙方向甲方提出申请，甲方应同意更换，并报所在地建设行政主管部门批准、备案，更换到位的项目经理资质、信用等级不低于原项目经理；除上述情形外不允许更换，如乙方</w:t>
      </w:r>
      <w:r>
        <w:rPr>
          <w:color w:val="auto"/>
          <w:szCs w:val="21"/>
          <w:u w:val="single"/>
        </w:rPr>
        <w:t>擅自更换</w:t>
      </w:r>
      <w:r>
        <w:rPr>
          <w:rFonts w:hint="eastAsia"/>
          <w:color w:val="auto"/>
          <w:szCs w:val="21"/>
          <w:u w:val="single"/>
        </w:rPr>
        <w:t>，按每更换一人次扣除履约保证金额的20%；及至甲方可通知乙方全部解除合同，所有履约保证金归甲方，并赔偿甲方损失</w:t>
      </w:r>
      <w:r>
        <w:rPr>
          <w:color w:val="auto"/>
          <w:szCs w:val="21"/>
        </w:rPr>
        <w:t>。</w:t>
      </w:r>
    </w:p>
    <w:p>
      <w:pPr>
        <w:spacing w:line="360" w:lineRule="exact"/>
        <w:ind w:firstLine="420" w:firstLineChars="200"/>
        <w:rPr>
          <w:color w:val="auto"/>
          <w:szCs w:val="21"/>
        </w:rPr>
      </w:pPr>
      <w:r>
        <w:rPr>
          <w:color w:val="auto"/>
          <w:szCs w:val="21"/>
        </w:rPr>
        <w:t>3.</w:t>
      </w:r>
      <w:r>
        <w:rPr>
          <w:rFonts w:hint="eastAsia"/>
          <w:color w:val="auto"/>
          <w:szCs w:val="21"/>
        </w:rPr>
        <w:t>3</w:t>
      </w:r>
      <w:r>
        <w:rPr>
          <w:color w:val="auto"/>
          <w:szCs w:val="21"/>
        </w:rPr>
        <w:t>.</w:t>
      </w:r>
      <w:r>
        <w:rPr>
          <w:rFonts w:hint="eastAsia"/>
          <w:color w:val="auto"/>
          <w:szCs w:val="21"/>
        </w:rPr>
        <w:t>3</w:t>
      </w:r>
      <w:r>
        <w:rPr>
          <w:color w:val="auto"/>
          <w:szCs w:val="21"/>
        </w:rPr>
        <w:t xml:space="preserve"> </w:t>
      </w:r>
      <w:r>
        <w:rPr>
          <w:rFonts w:hint="eastAsia"/>
          <w:color w:val="auto"/>
          <w:szCs w:val="21"/>
        </w:rPr>
        <w:t>乙方</w:t>
      </w:r>
      <w:r>
        <w:rPr>
          <w:color w:val="auto"/>
          <w:szCs w:val="21"/>
        </w:rPr>
        <w:t>无正当理由拒绝更换项目经理的违约责任</w:t>
      </w:r>
      <w:r>
        <w:rPr>
          <w:rFonts w:hint="eastAsia"/>
          <w:color w:val="auto"/>
          <w:szCs w:val="21"/>
        </w:rPr>
        <w:t>：</w:t>
      </w:r>
      <w:r>
        <w:rPr>
          <w:rFonts w:hint="eastAsia"/>
          <w:color w:val="auto"/>
          <w:szCs w:val="21"/>
          <w:u w:val="single"/>
        </w:rPr>
        <w:t>甲方可通知乙方全部解除合同，所有履约保证金归甲方，同时赔偿甲方损失</w:t>
      </w:r>
      <w:r>
        <w:rPr>
          <w:color w:val="auto"/>
          <w:szCs w:val="21"/>
        </w:rPr>
        <w:t>。</w:t>
      </w:r>
    </w:p>
    <w:p>
      <w:pPr>
        <w:spacing w:line="360" w:lineRule="exact"/>
        <w:ind w:firstLine="420" w:firstLineChars="200"/>
        <w:rPr>
          <w:color w:val="auto"/>
          <w:szCs w:val="21"/>
        </w:rPr>
      </w:pPr>
      <w:r>
        <w:rPr>
          <w:color w:val="auto"/>
          <w:szCs w:val="21"/>
        </w:rPr>
        <w:t>3.</w:t>
      </w:r>
      <w:r>
        <w:rPr>
          <w:rFonts w:hint="eastAsia"/>
          <w:color w:val="auto"/>
          <w:szCs w:val="21"/>
        </w:rPr>
        <w:t>4</w:t>
      </w:r>
      <w:r>
        <w:rPr>
          <w:color w:val="auto"/>
          <w:szCs w:val="21"/>
        </w:rPr>
        <w:t xml:space="preserve"> </w:t>
      </w:r>
      <w:r>
        <w:rPr>
          <w:rFonts w:hint="eastAsia"/>
          <w:color w:val="auto"/>
          <w:szCs w:val="21"/>
        </w:rPr>
        <w:t>乙方</w:t>
      </w:r>
      <w:r>
        <w:rPr>
          <w:color w:val="auto"/>
          <w:szCs w:val="21"/>
        </w:rPr>
        <w:t>人员</w:t>
      </w:r>
    </w:p>
    <w:p>
      <w:pPr>
        <w:spacing w:line="360" w:lineRule="exact"/>
        <w:ind w:firstLine="420" w:firstLineChars="200"/>
        <w:rPr>
          <w:color w:val="auto"/>
          <w:szCs w:val="21"/>
        </w:rPr>
      </w:pPr>
      <w:r>
        <w:rPr>
          <w:color w:val="auto"/>
          <w:szCs w:val="21"/>
        </w:rPr>
        <w:t>3.</w:t>
      </w:r>
      <w:r>
        <w:rPr>
          <w:rFonts w:hint="eastAsia"/>
          <w:color w:val="auto"/>
          <w:szCs w:val="21"/>
        </w:rPr>
        <w:t>4</w:t>
      </w:r>
      <w:r>
        <w:rPr>
          <w:color w:val="auto"/>
          <w:szCs w:val="21"/>
        </w:rPr>
        <w:t xml:space="preserve">.1 </w:t>
      </w:r>
      <w:r>
        <w:rPr>
          <w:rFonts w:hint="eastAsia"/>
          <w:color w:val="auto"/>
          <w:szCs w:val="21"/>
        </w:rPr>
        <w:t>乙方</w:t>
      </w:r>
      <w:r>
        <w:rPr>
          <w:color w:val="auto"/>
          <w:szCs w:val="21"/>
        </w:rPr>
        <w:t>提交项目管理机构及施工现场管理人员安排报告的期限：</w:t>
      </w:r>
      <w:r>
        <w:rPr>
          <w:rFonts w:hint="eastAsia"/>
          <w:color w:val="auto"/>
          <w:szCs w:val="21"/>
          <w:u w:val="single"/>
        </w:rPr>
        <w:t>接到开工通知（或确定开工日期）后7天内</w:t>
      </w:r>
      <w:r>
        <w:rPr>
          <w:color w:val="auto"/>
          <w:szCs w:val="21"/>
        </w:rPr>
        <w:t>。</w:t>
      </w:r>
    </w:p>
    <w:p>
      <w:pPr>
        <w:spacing w:line="360" w:lineRule="exact"/>
        <w:ind w:firstLine="420" w:firstLineChars="200"/>
        <w:rPr>
          <w:color w:val="auto"/>
          <w:szCs w:val="21"/>
          <w:u w:val="single"/>
        </w:rPr>
      </w:pPr>
      <w:r>
        <w:rPr>
          <w:color w:val="auto"/>
          <w:szCs w:val="21"/>
        </w:rPr>
        <w:t>3.</w:t>
      </w:r>
      <w:r>
        <w:rPr>
          <w:rFonts w:hint="eastAsia"/>
          <w:color w:val="auto"/>
          <w:szCs w:val="21"/>
        </w:rPr>
        <w:t>4</w:t>
      </w:r>
      <w:r>
        <w:rPr>
          <w:color w:val="auto"/>
          <w:szCs w:val="21"/>
        </w:rPr>
        <w:t>.</w:t>
      </w:r>
      <w:r>
        <w:rPr>
          <w:rFonts w:hint="eastAsia"/>
          <w:color w:val="auto"/>
          <w:szCs w:val="21"/>
        </w:rPr>
        <w:t>2</w:t>
      </w:r>
      <w:r>
        <w:rPr>
          <w:color w:val="auto"/>
          <w:szCs w:val="21"/>
        </w:rPr>
        <w:t xml:space="preserve"> </w:t>
      </w:r>
      <w:r>
        <w:rPr>
          <w:rFonts w:hint="eastAsia"/>
          <w:color w:val="auto"/>
          <w:szCs w:val="21"/>
        </w:rPr>
        <w:t>乙方</w:t>
      </w:r>
      <w:r>
        <w:rPr>
          <w:color w:val="auto"/>
          <w:szCs w:val="21"/>
        </w:rPr>
        <w:t>无正当理由拒绝撤换主要施工管理人员的违约责任：</w:t>
      </w:r>
      <w:r>
        <w:rPr>
          <w:rFonts w:hint="eastAsia"/>
          <w:color w:val="auto"/>
          <w:szCs w:val="21"/>
          <w:u w:val="single"/>
        </w:rPr>
        <w:t>甲方可通知乙方全部解除合同，所有履约保证金归甲方，同时赔偿甲方损失</w:t>
      </w:r>
      <w:r>
        <w:rPr>
          <w:color w:val="auto"/>
          <w:szCs w:val="21"/>
          <w:u w:val="single"/>
        </w:rPr>
        <w:t>。</w:t>
      </w:r>
    </w:p>
    <w:p>
      <w:pPr>
        <w:spacing w:line="360" w:lineRule="exact"/>
        <w:ind w:firstLine="420" w:firstLineChars="200"/>
        <w:rPr>
          <w:color w:val="auto"/>
          <w:szCs w:val="21"/>
          <w:u w:val="single"/>
        </w:rPr>
      </w:pPr>
      <w:r>
        <w:rPr>
          <w:color w:val="auto"/>
          <w:szCs w:val="21"/>
          <w:u w:val="single"/>
        </w:rPr>
        <w:t>3.</w:t>
      </w:r>
      <w:r>
        <w:rPr>
          <w:rFonts w:hint="eastAsia"/>
          <w:color w:val="auto"/>
          <w:szCs w:val="21"/>
          <w:u w:val="single"/>
        </w:rPr>
        <w:t>4</w:t>
      </w:r>
      <w:r>
        <w:rPr>
          <w:color w:val="auto"/>
          <w:szCs w:val="21"/>
          <w:u w:val="single"/>
        </w:rPr>
        <w:t>.</w:t>
      </w:r>
      <w:r>
        <w:rPr>
          <w:rFonts w:hint="eastAsia"/>
          <w:color w:val="auto"/>
          <w:szCs w:val="21"/>
          <w:u w:val="single"/>
        </w:rPr>
        <w:t>3</w:t>
      </w:r>
      <w:r>
        <w:rPr>
          <w:color w:val="auto"/>
          <w:szCs w:val="21"/>
          <w:u w:val="single"/>
        </w:rPr>
        <w:t xml:space="preserve"> </w:t>
      </w:r>
      <w:r>
        <w:rPr>
          <w:rFonts w:hint="eastAsia"/>
          <w:color w:val="auto"/>
          <w:szCs w:val="21"/>
          <w:u w:val="single"/>
        </w:rPr>
        <w:t>乙方</w:t>
      </w:r>
      <w:r>
        <w:rPr>
          <w:color w:val="auto"/>
          <w:szCs w:val="21"/>
          <w:u w:val="single"/>
        </w:rPr>
        <w:t>主要施工管理人员离开施工现场的批准要求：</w:t>
      </w:r>
      <w:r>
        <w:rPr>
          <w:rFonts w:hint="eastAsia"/>
          <w:color w:val="auto"/>
          <w:szCs w:val="21"/>
          <w:u w:val="single"/>
        </w:rPr>
        <w:t>按通用条款执行；另遇有项目检查、验收或参观等活动时，无特殊原因不得请假</w:t>
      </w:r>
      <w:r>
        <w:rPr>
          <w:color w:val="auto"/>
          <w:szCs w:val="21"/>
        </w:rPr>
        <w:t>。</w:t>
      </w:r>
    </w:p>
    <w:p>
      <w:pPr>
        <w:spacing w:line="360" w:lineRule="exact"/>
        <w:ind w:firstLine="420" w:firstLineChars="200"/>
        <w:rPr>
          <w:color w:val="auto"/>
          <w:szCs w:val="21"/>
        </w:rPr>
      </w:pPr>
      <w:r>
        <w:rPr>
          <w:rFonts w:hint="eastAsia"/>
          <w:color w:val="auto"/>
          <w:szCs w:val="21"/>
        </w:rPr>
        <w:t>乙方</w:t>
      </w:r>
      <w:r>
        <w:rPr>
          <w:color w:val="auto"/>
          <w:szCs w:val="21"/>
        </w:rPr>
        <w:t>主要施工管理人员擅自离开施工现场的违约责任：</w:t>
      </w:r>
      <w:r>
        <w:rPr>
          <w:rFonts w:hint="eastAsia"/>
          <w:color w:val="auto"/>
          <w:szCs w:val="21"/>
          <w:u w:val="single"/>
        </w:rPr>
        <w:t>《台州市施工现场关键岗位人员管理实施细则》（台建规[2006]330号）规定的关键岗位人员到岗率达不到合同约定的天数的，不足天数每人次每天扣除履约保证金额的0.05%，每月结算</w:t>
      </w:r>
      <w:r>
        <w:rPr>
          <w:color w:val="auto"/>
          <w:szCs w:val="21"/>
        </w:rPr>
        <w:t>。</w:t>
      </w:r>
    </w:p>
    <w:p>
      <w:pPr>
        <w:spacing w:line="360" w:lineRule="exact"/>
        <w:ind w:firstLine="420" w:firstLineChars="200"/>
        <w:rPr>
          <w:color w:val="auto"/>
          <w:szCs w:val="21"/>
        </w:rPr>
      </w:pPr>
      <w:r>
        <w:rPr>
          <w:color w:val="auto"/>
          <w:szCs w:val="21"/>
        </w:rPr>
        <w:t>3.</w:t>
      </w:r>
      <w:r>
        <w:rPr>
          <w:rFonts w:hint="eastAsia"/>
          <w:color w:val="auto"/>
          <w:szCs w:val="21"/>
        </w:rPr>
        <w:t>5</w:t>
      </w:r>
      <w:r>
        <w:rPr>
          <w:color w:val="auto"/>
          <w:szCs w:val="21"/>
        </w:rPr>
        <w:t xml:space="preserve"> </w:t>
      </w:r>
      <w:r>
        <w:rPr>
          <w:rFonts w:hint="eastAsia"/>
          <w:color w:val="auto"/>
          <w:szCs w:val="21"/>
        </w:rPr>
        <w:t>项目</w:t>
      </w:r>
      <w:r>
        <w:rPr>
          <w:color w:val="auto"/>
          <w:szCs w:val="21"/>
        </w:rPr>
        <w:t>照管与成品、半成品保护</w:t>
      </w:r>
    </w:p>
    <w:p>
      <w:pPr>
        <w:spacing w:line="360" w:lineRule="exact"/>
        <w:ind w:firstLine="420" w:firstLineChars="200"/>
        <w:rPr>
          <w:color w:val="auto"/>
          <w:kern w:val="0"/>
          <w:szCs w:val="21"/>
          <w:u w:val="single"/>
        </w:rPr>
      </w:pPr>
      <w:r>
        <w:rPr>
          <w:rFonts w:hint="eastAsia"/>
          <w:color w:val="auto"/>
          <w:kern w:val="0"/>
          <w:szCs w:val="21"/>
        </w:rPr>
        <w:t>乙方</w:t>
      </w:r>
      <w:r>
        <w:rPr>
          <w:color w:val="auto"/>
          <w:kern w:val="0"/>
          <w:szCs w:val="21"/>
        </w:rPr>
        <w:t>负责照管</w:t>
      </w:r>
      <w:r>
        <w:rPr>
          <w:rFonts w:hint="eastAsia"/>
          <w:color w:val="auto"/>
          <w:kern w:val="0"/>
          <w:szCs w:val="21"/>
        </w:rPr>
        <w:t>项目</w:t>
      </w:r>
      <w:r>
        <w:rPr>
          <w:color w:val="auto"/>
          <w:kern w:val="0"/>
          <w:szCs w:val="21"/>
        </w:rPr>
        <w:t>及</w:t>
      </w:r>
      <w:r>
        <w:rPr>
          <w:rFonts w:hint="eastAsia"/>
          <w:color w:val="auto"/>
          <w:kern w:val="0"/>
          <w:szCs w:val="21"/>
        </w:rPr>
        <w:t>项目</w:t>
      </w:r>
      <w:r>
        <w:rPr>
          <w:color w:val="auto"/>
          <w:kern w:val="0"/>
          <w:szCs w:val="21"/>
        </w:rPr>
        <w:t>相关的材料、</w:t>
      </w:r>
      <w:r>
        <w:rPr>
          <w:rFonts w:hint="eastAsia"/>
          <w:color w:val="auto"/>
          <w:kern w:val="0"/>
          <w:szCs w:val="21"/>
        </w:rPr>
        <w:t>项目</w:t>
      </w:r>
      <w:r>
        <w:rPr>
          <w:color w:val="auto"/>
          <w:kern w:val="0"/>
          <w:szCs w:val="21"/>
        </w:rPr>
        <w:t>设备的起始时间：</w:t>
      </w:r>
      <w:r>
        <w:rPr>
          <w:rFonts w:hint="eastAsia"/>
          <w:color w:val="auto"/>
          <w:szCs w:val="21"/>
          <w:u w:val="single"/>
        </w:rPr>
        <w:t>按合同通用条款执行</w:t>
      </w:r>
      <w:r>
        <w:rPr>
          <w:color w:val="auto"/>
          <w:kern w:val="0"/>
          <w:szCs w:val="21"/>
        </w:rPr>
        <w:t>。</w:t>
      </w:r>
    </w:p>
    <w:p>
      <w:pPr>
        <w:spacing w:line="360" w:lineRule="exact"/>
        <w:ind w:firstLine="422" w:firstLineChars="200"/>
        <w:rPr>
          <w:b/>
          <w:color w:val="auto"/>
          <w:szCs w:val="21"/>
        </w:rPr>
      </w:pPr>
      <w:r>
        <w:rPr>
          <w:rFonts w:hint="eastAsia"/>
          <w:b/>
          <w:color w:val="auto"/>
          <w:szCs w:val="21"/>
        </w:rPr>
        <w:t>3.6其他事项</w:t>
      </w:r>
    </w:p>
    <w:p>
      <w:pPr>
        <w:spacing w:line="360" w:lineRule="exact"/>
        <w:ind w:firstLine="422" w:firstLineChars="200"/>
        <w:rPr>
          <w:b/>
          <w:color w:val="auto"/>
          <w:szCs w:val="21"/>
        </w:rPr>
      </w:pPr>
      <w:r>
        <w:rPr>
          <w:rFonts w:hint="eastAsia"/>
          <w:b/>
          <w:color w:val="auto"/>
          <w:szCs w:val="21"/>
        </w:rPr>
        <w:t>施工时间为：高峰期除外（交警要求高峰施工的除外）。</w:t>
      </w:r>
    </w:p>
    <w:p>
      <w:pPr>
        <w:spacing w:line="360" w:lineRule="exact"/>
        <w:ind w:firstLine="422" w:firstLineChars="200"/>
        <w:rPr>
          <w:b/>
          <w:color w:val="auto"/>
          <w:szCs w:val="21"/>
        </w:rPr>
      </w:pPr>
      <w:r>
        <w:rPr>
          <w:rFonts w:hint="eastAsia"/>
          <w:b/>
          <w:color w:val="auto"/>
          <w:szCs w:val="21"/>
        </w:rPr>
        <w:t>标线主次干道施工时间为：每天的20时至次日7时（交警要求除外）。</w:t>
      </w:r>
    </w:p>
    <w:p>
      <w:pPr>
        <w:pStyle w:val="9"/>
        <w:tabs>
          <w:tab w:val="left" w:pos="142"/>
          <w:tab w:val="left" w:pos="993"/>
          <w:tab w:val="left" w:pos="1418"/>
          <w:tab w:val="left" w:pos="1560"/>
        </w:tabs>
        <w:spacing w:before="0" w:after="0" w:line="360" w:lineRule="exact"/>
        <w:ind w:firstLine="422" w:firstLineChars="200"/>
        <w:rPr>
          <w:rFonts w:ascii="Times New Roman" w:hAnsi="Times New Roman"/>
          <w:color w:val="auto"/>
          <w:sz w:val="21"/>
          <w:szCs w:val="21"/>
        </w:rPr>
      </w:pPr>
      <w:r>
        <w:rPr>
          <w:rFonts w:ascii="Times New Roman" w:hAnsi="Times New Roman"/>
          <w:color w:val="auto"/>
          <w:sz w:val="21"/>
          <w:szCs w:val="21"/>
        </w:rPr>
        <w:t>4. 监理人</w:t>
      </w:r>
    </w:p>
    <w:p>
      <w:pPr>
        <w:spacing w:line="360" w:lineRule="exact"/>
        <w:ind w:firstLine="420" w:firstLineChars="200"/>
        <w:rPr>
          <w:color w:val="auto"/>
          <w:szCs w:val="21"/>
        </w:rPr>
      </w:pPr>
      <w:r>
        <w:rPr>
          <w:color w:val="auto"/>
          <w:szCs w:val="21"/>
        </w:rPr>
        <w:t>4.1监理人的一般规定</w:t>
      </w:r>
    </w:p>
    <w:p>
      <w:pPr>
        <w:spacing w:line="360" w:lineRule="exact"/>
        <w:ind w:firstLine="420" w:firstLineChars="200"/>
        <w:rPr>
          <w:color w:val="auto"/>
          <w:szCs w:val="21"/>
        </w:rPr>
      </w:pPr>
      <w:r>
        <w:rPr>
          <w:color w:val="auto"/>
          <w:szCs w:val="21"/>
        </w:rPr>
        <w:t>关于监理人的监理内容：</w:t>
      </w:r>
      <w:r>
        <w:rPr>
          <w:rFonts w:hint="eastAsia"/>
          <w:color w:val="auto"/>
          <w:szCs w:val="21"/>
          <w:u w:val="single"/>
        </w:rPr>
        <w:t>按本项目监理合同约定内容</w:t>
      </w:r>
      <w:r>
        <w:rPr>
          <w:color w:val="auto"/>
          <w:szCs w:val="21"/>
        </w:rPr>
        <w:t>。</w:t>
      </w:r>
    </w:p>
    <w:p>
      <w:pPr>
        <w:spacing w:line="360" w:lineRule="exact"/>
        <w:ind w:firstLine="420" w:firstLineChars="200"/>
        <w:rPr>
          <w:color w:val="auto"/>
          <w:szCs w:val="21"/>
        </w:rPr>
      </w:pPr>
      <w:r>
        <w:rPr>
          <w:color w:val="auto"/>
          <w:szCs w:val="21"/>
        </w:rPr>
        <w:t>关于监理人的监理权限：</w:t>
      </w:r>
      <w:r>
        <w:rPr>
          <w:rFonts w:hint="eastAsia"/>
          <w:color w:val="auto"/>
          <w:szCs w:val="21"/>
          <w:u w:val="single"/>
        </w:rPr>
        <w:t>[按本项目监理合同约定内容，涉及项目变更（含设计变更等参建各方变更）均需报甲方审批后生效]</w:t>
      </w:r>
      <w:r>
        <w:rPr>
          <w:color w:val="auto"/>
          <w:szCs w:val="21"/>
        </w:rPr>
        <w:t xml:space="preserve">。 </w:t>
      </w:r>
    </w:p>
    <w:p>
      <w:pPr>
        <w:spacing w:line="360" w:lineRule="exact"/>
        <w:ind w:firstLine="420" w:firstLineChars="200"/>
        <w:rPr>
          <w:color w:val="auto"/>
          <w:szCs w:val="21"/>
        </w:rPr>
      </w:pPr>
      <w:r>
        <w:rPr>
          <w:color w:val="auto"/>
          <w:szCs w:val="21"/>
        </w:rPr>
        <w:t>关于监理人在施工现场的办公场所、生活场所的提供和费用承担的约定：</w:t>
      </w:r>
      <w:r>
        <w:rPr>
          <w:rFonts w:hint="eastAsia"/>
          <w:color w:val="auto"/>
          <w:szCs w:val="21"/>
          <w:u w:val="single"/>
        </w:rPr>
        <w:t xml:space="preserve">    /        </w:t>
      </w:r>
      <w:r>
        <w:rPr>
          <w:color w:val="auto"/>
          <w:szCs w:val="21"/>
        </w:rPr>
        <w:t>。</w:t>
      </w:r>
    </w:p>
    <w:p>
      <w:pPr>
        <w:pStyle w:val="9"/>
        <w:tabs>
          <w:tab w:val="left" w:pos="142"/>
          <w:tab w:val="left" w:pos="993"/>
          <w:tab w:val="left" w:pos="1418"/>
          <w:tab w:val="left" w:pos="1560"/>
        </w:tabs>
        <w:spacing w:before="0" w:after="0" w:line="360" w:lineRule="exact"/>
        <w:ind w:firstLine="422" w:firstLineChars="200"/>
        <w:rPr>
          <w:rFonts w:ascii="Times New Roman" w:hAnsi="Times New Roman"/>
          <w:color w:val="auto"/>
          <w:sz w:val="21"/>
          <w:szCs w:val="21"/>
        </w:rPr>
      </w:pPr>
      <w:r>
        <w:rPr>
          <w:rFonts w:ascii="Times New Roman" w:hAnsi="Times New Roman"/>
          <w:color w:val="auto"/>
          <w:sz w:val="21"/>
          <w:szCs w:val="21"/>
        </w:rPr>
        <w:t xml:space="preserve">5. </w:t>
      </w:r>
      <w:r>
        <w:rPr>
          <w:rFonts w:hint="eastAsia" w:ascii="Times New Roman" w:hAnsi="Times New Roman"/>
          <w:color w:val="auto"/>
          <w:sz w:val="21"/>
          <w:szCs w:val="21"/>
        </w:rPr>
        <w:t>项目</w:t>
      </w:r>
      <w:r>
        <w:rPr>
          <w:rFonts w:ascii="Times New Roman" w:hAnsi="Times New Roman"/>
          <w:color w:val="auto"/>
          <w:sz w:val="21"/>
          <w:szCs w:val="21"/>
        </w:rPr>
        <w:t>质量</w:t>
      </w:r>
    </w:p>
    <w:p>
      <w:pPr>
        <w:spacing w:line="360" w:lineRule="exact"/>
        <w:ind w:firstLine="420" w:firstLineChars="200"/>
        <w:rPr>
          <w:color w:val="auto"/>
          <w:szCs w:val="21"/>
        </w:rPr>
      </w:pPr>
      <w:r>
        <w:rPr>
          <w:color w:val="auto"/>
          <w:szCs w:val="21"/>
        </w:rPr>
        <w:t>5.1 质量要求</w:t>
      </w:r>
    </w:p>
    <w:p>
      <w:pPr>
        <w:spacing w:line="360" w:lineRule="exact"/>
        <w:ind w:firstLine="420" w:firstLineChars="200"/>
        <w:rPr>
          <w:color w:val="auto"/>
          <w:szCs w:val="21"/>
          <w:u w:val="single"/>
        </w:rPr>
      </w:pPr>
      <w:r>
        <w:rPr>
          <w:color w:val="auto"/>
          <w:szCs w:val="21"/>
        </w:rPr>
        <w:t>5.1.1 特殊质量标准和要求：</w:t>
      </w:r>
      <w:r>
        <w:rPr>
          <w:rFonts w:hint="eastAsia"/>
          <w:color w:val="auto"/>
          <w:szCs w:val="21"/>
          <w:u w:val="single"/>
        </w:rPr>
        <w:t>合格。</w:t>
      </w:r>
    </w:p>
    <w:p>
      <w:pPr>
        <w:spacing w:line="360" w:lineRule="exact"/>
        <w:ind w:firstLine="420" w:firstLineChars="200"/>
        <w:rPr>
          <w:color w:val="auto"/>
          <w:szCs w:val="21"/>
          <w:u w:val="single"/>
        </w:rPr>
      </w:pPr>
      <w:r>
        <w:rPr>
          <w:color w:val="auto"/>
          <w:szCs w:val="21"/>
        </w:rPr>
        <w:t>关于</w:t>
      </w:r>
      <w:r>
        <w:rPr>
          <w:rFonts w:hint="eastAsia"/>
          <w:color w:val="auto"/>
          <w:szCs w:val="21"/>
        </w:rPr>
        <w:t>项目</w:t>
      </w:r>
      <w:r>
        <w:rPr>
          <w:color w:val="auto"/>
          <w:szCs w:val="21"/>
        </w:rPr>
        <w:t>奖项的约定：</w:t>
      </w:r>
      <w:r>
        <w:rPr>
          <w:rFonts w:hint="eastAsia"/>
          <w:color w:val="auto"/>
          <w:szCs w:val="21"/>
          <w:u w:val="single"/>
        </w:rPr>
        <w:t xml:space="preserve">      /      。</w:t>
      </w:r>
    </w:p>
    <w:p>
      <w:pPr>
        <w:spacing w:line="360" w:lineRule="exact"/>
        <w:ind w:firstLine="420" w:firstLineChars="200"/>
        <w:rPr>
          <w:color w:val="auto"/>
          <w:szCs w:val="21"/>
        </w:rPr>
      </w:pPr>
      <w:r>
        <w:rPr>
          <w:color w:val="auto"/>
          <w:szCs w:val="21"/>
        </w:rPr>
        <w:t>5.</w:t>
      </w:r>
      <w:r>
        <w:rPr>
          <w:rFonts w:hint="eastAsia"/>
          <w:color w:val="auto"/>
          <w:szCs w:val="21"/>
        </w:rPr>
        <w:t>2</w:t>
      </w:r>
      <w:r>
        <w:rPr>
          <w:color w:val="auto"/>
          <w:szCs w:val="21"/>
        </w:rPr>
        <w:t xml:space="preserve"> 隐蔽</w:t>
      </w:r>
      <w:r>
        <w:rPr>
          <w:rFonts w:hint="eastAsia"/>
          <w:color w:val="auto"/>
          <w:szCs w:val="21"/>
        </w:rPr>
        <w:t>项目</w:t>
      </w:r>
      <w:r>
        <w:rPr>
          <w:color w:val="auto"/>
          <w:szCs w:val="21"/>
        </w:rPr>
        <w:t>检查</w:t>
      </w:r>
    </w:p>
    <w:p>
      <w:pPr>
        <w:spacing w:line="360" w:lineRule="exact"/>
        <w:ind w:firstLine="420" w:firstLineChars="200"/>
        <w:rPr>
          <w:color w:val="auto"/>
          <w:szCs w:val="21"/>
        </w:rPr>
      </w:pPr>
      <w:r>
        <w:rPr>
          <w:color w:val="auto"/>
          <w:szCs w:val="21"/>
        </w:rPr>
        <w:t>5.</w:t>
      </w:r>
      <w:r>
        <w:rPr>
          <w:rFonts w:hint="eastAsia"/>
          <w:color w:val="auto"/>
          <w:szCs w:val="21"/>
        </w:rPr>
        <w:t>2</w:t>
      </w:r>
      <w:r>
        <w:rPr>
          <w:color w:val="auto"/>
          <w:szCs w:val="21"/>
        </w:rPr>
        <w:t>.</w:t>
      </w:r>
      <w:r>
        <w:rPr>
          <w:rFonts w:hint="eastAsia"/>
          <w:color w:val="auto"/>
          <w:szCs w:val="21"/>
        </w:rPr>
        <w:t>1乙方</w:t>
      </w:r>
      <w:r>
        <w:rPr>
          <w:color w:val="auto"/>
          <w:szCs w:val="21"/>
        </w:rPr>
        <w:t>提前通知监理人隐蔽</w:t>
      </w:r>
      <w:r>
        <w:rPr>
          <w:rFonts w:hint="eastAsia"/>
          <w:color w:val="auto"/>
          <w:szCs w:val="21"/>
        </w:rPr>
        <w:t>项目</w:t>
      </w:r>
      <w:r>
        <w:rPr>
          <w:color w:val="auto"/>
          <w:szCs w:val="21"/>
        </w:rPr>
        <w:t>检查的期限的约定：</w:t>
      </w:r>
      <w:r>
        <w:rPr>
          <w:rFonts w:hint="eastAsia"/>
          <w:color w:val="auto"/>
          <w:szCs w:val="21"/>
          <w:u w:val="single"/>
        </w:rPr>
        <w:t>按合同通用条款执行</w:t>
      </w:r>
      <w:r>
        <w:rPr>
          <w:color w:val="auto"/>
          <w:szCs w:val="21"/>
        </w:rPr>
        <w:t>。</w:t>
      </w:r>
    </w:p>
    <w:p>
      <w:pPr>
        <w:spacing w:line="360" w:lineRule="exact"/>
        <w:ind w:firstLine="420" w:firstLineChars="200"/>
        <w:rPr>
          <w:color w:val="auto"/>
          <w:szCs w:val="21"/>
        </w:rPr>
      </w:pPr>
      <w:r>
        <w:rPr>
          <w:color w:val="auto"/>
          <w:szCs w:val="21"/>
        </w:rPr>
        <w:t>监理人不能按时进行检查时，应提前</w:t>
      </w:r>
      <w:r>
        <w:rPr>
          <w:rFonts w:hint="eastAsia"/>
          <w:color w:val="auto"/>
          <w:szCs w:val="21"/>
          <w:u w:val="single"/>
        </w:rPr>
        <w:t>24</w:t>
      </w:r>
      <w:r>
        <w:rPr>
          <w:color w:val="auto"/>
          <w:szCs w:val="21"/>
        </w:rPr>
        <w:t>小时提交书面延期要求。</w:t>
      </w:r>
    </w:p>
    <w:p>
      <w:pPr>
        <w:spacing w:line="360" w:lineRule="exact"/>
        <w:ind w:firstLine="420" w:firstLineChars="200"/>
        <w:rPr>
          <w:color w:val="auto"/>
          <w:szCs w:val="21"/>
        </w:rPr>
      </w:pPr>
      <w:r>
        <w:rPr>
          <w:color w:val="auto"/>
          <w:szCs w:val="21"/>
        </w:rPr>
        <w:t>关于延期最长不得超过：</w:t>
      </w:r>
      <w:r>
        <w:rPr>
          <w:rFonts w:hint="eastAsia"/>
          <w:color w:val="auto"/>
          <w:szCs w:val="21"/>
          <w:u w:val="single"/>
        </w:rPr>
        <w:t>24</w:t>
      </w:r>
      <w:r>
        <w:rPr>
          <w:color w:val="auto"/>
          <w:szCs w:val="21"/>
        </w:rPr>
        <w:t>小时。</w:t>
      </w:r>
      <w:r>
        <w:rPr>
          <w:rFonts w:hint="eastAsia"/>
          <w:color w:val="auto"/>
          <w:szCs w:val="21"/>
        </w:rPr>
        <w:t>由此导致工期延误的，工期予以顺延。</w:t>
      </w:r>
    </w:p>
    <w:p>
      <w:pPr>
        <w:spacing w:line="360" w:lineRule="exact"/>
        <w:ind w:firstLine="422" w:firstLineChars="200"/>
        <w:jc w:val="left"/>
        <w:rPr>
          <w:b/>
          <w:bCs/>
          <w:color w:val="auto"/>
          <w:szCs w:val="21"/>
          <w:u w:val="single"/>
        </w:rPr>
      </w:pPr>
      <w:r>
        <w:rPr>
          <w:rFonts w:hint="eastAsia"/>
          <w:b/>
          <w:bCs/>
          <w:color w:val="auto"/>
          <w:szCs w:val="21"/>
          <w:u w:val="single"/>
        </w:rPr>
        <w:t>隐蔽项目监管过程、验收过程、验收部位除办理纸质验收记录，还应留置监管过程、验收部位、验收过程、主要验收人员相片、影像等资料。</w:t>
      </w:r>
    </w:p>
    <w:p>
      <w:pPr>
        <w:pStyle w:val="9"/>
        <w:tabs>
          <w:tab w:val="left" w:pos="142"/>
          <w:tab w:val="left" w:pos="993"/>
          <w:tab w:val="left" w:pos="1418"/>
          <w:tab w:val="left" w:pos="1560"/>
        </w:tabs>
        <w:spacing w:before="0" w:after="0" w:line="360" w:lineRule="exact"/>
        <w:ind w:firstLine="422" w:firstLineChars="200"/>
        <w:rPr>
          <w:rFonts w:ascii="Times New Roman" w:hAnsi="Times New Roman" w:eastAsia="宋体"/>
          <w:b w:val="0"/>
          <w:color w:val="auto"/>
          <w:sz w:val="21"/>
          <w:szCs w:val="21"/>
        </w:rPr>
      </w:pPr>
      <w:r>
        <w:rPr>
          <w:rFonts w:ascii="Times New Roman" w:hAnsi="Times New Roman"/>
          <w:color w:val="auto"/>
          <w:sz w:val="21"/>
          <w:szCs w:val="21"/>
        </w:rPr>
        <w:t>6. 安全文明施工与环境保护</w:t>
      </w:r>
    </w:p>
    <w:p>
      <w:pPr>
        <w:spacing w:line="360" w:lineRule="exact"/>
        <w:ind w:firstLine="420" w:firstLineChars="200"/>
        <w:rPr>
          <w:color w:val="auto"/>
          <w:szCs w:val="21"/>
        </w:rPr>
      </w:pPr>
      <w:r>
        <w:rPr>
          <w:color w:val="auto"/>
          <w:szCs w:val="21"/>
        </w:rPr>
        <w:t>6.1安全文明施工</w:t>
      </w:r>
    </w:p>
    <w:p>
      <w:pPr>
        <w:spacing w:line="360" w:lineRule="exact"/>
        <w:ind w:firstLine="420" w:firstLineChars="200"/>
        <w:rPr>
          <w:color w:val="auto"/>
          <w:szCs w:val="21"/>
        </w:rPr>
      </w:pPr>
      <w:r>
        <w:rPr>
          <w:color w:val="auto"/>
          <w:szCs w:val="21"/>
        </w:rPr>
        <w:t>6.1.1 项目安全生产的达标目标及相应事项的约定：</w:t>
      </w:r>
      <w:r>
        <w:rPr>
          <w:rFonts w:hint="eastAsia"/>
          <w:color w:val="auto"/>
          <w:szCs w:val="21"/>
          <w:u w:val="single"/>
        </w:rPr>
        <w:t>按《浙江省建筑施工安全标准化管理规定》（浙建建[2012]54号）及省、市建筑业、安全监督等相关主管部门发布的有关管理规定执行</w:t>
      </w:r>
      <w:r>
        <w:rPr>
          <w:color w:val="auto"/>
          <w:szCs w:val="21"/>
          <w:u w:val="single"/>
        </w:rPr>
        <w:t>。</w:t>
      </w:r>
    </w:p>
    <w:p>
      <w:pPr>
        <w:spacing w:line="360" w:lineRule="exact"/>
        <w:ind w:firstLine="420" w:firstLineChars="200"/>
        <w:rPr>
          <w:color w:val="auto"/>
          <w:szCs w:val="21"/>
        </w:rPr>
      </w:pPr>
      <w:r>
        <w:rPr>
          <w:color w:val="auto"/>
          <w:szCs w:val="21"/>
        </w:rPr>
        <w:t>6.1.</w:t>
      </w:r>
      <w:r>
        <w:rPr>
          <w:rFonts w:hint="eastAsia"/>
          <w:color w:val="auto"/>
          <w:szCs w:val="21"/>
        </w:rPr>
        <w:t>2</w:t>
      </w:r>
      <w:r>
        <w:rPr>
          <w:color w:val="auto"/>
          <w:szCs w:val="21"/>
        </w:rPr>
        <w:t>关于治安保卫的特别约定：</w:t>
      </w:r>
      <w:r>
        <w:rPr>
          <w:rFonts w:hint="eastAsia"/>
          <w:color w:val="auto"/>
          <w:szCs w:val="21"/>
          <w:u w:val="single"/>
        </w:rPr>
        <w:t>按合同通用条款</w:t>
      </w:r>
      <w:r>
        <w:rPr>
          <w:color w:val="auto"/>
          <w:szCs w:val="21"/>
        </w:rPr>
        <w:t>。</w:t>
      </w:r>
    </w:p>
    <w:p>
      <w:pPr>
        <w:spacing w:line="360" w:lineRule="exact"/>
        <w:ind w:firstLine="420" w:firstLineChars="200"/>
        <w:rPr>
          <w:color w:val="auto"/>
          <w:szCs w:val="21"/>
        </w:rPr>
      </w:pPr>
      <w:r>
        <w:rPr>
          <w:color w:val="auto"/>
          <w:szCs w:val="21"/>
        </w:rPr>
        <w:t>关于编制施工场地治安管理计划的约定：</w:t>
      </w:r>
      <w:r>
        <w:rPr>
          <w:rFonts w:hint="eastAsia"/>
          <w:color w:val="auto"/>
          <w:szCs w:val="21"/>
          <w:u w:val="single"/>
        </w:rPr>
        <w:t>按合同通用条款</w:t>
      </w:r>
      <w:r>
        <w:rPr>
          <w:color w:val="auto"/>
          <w:szCs w:val="21"/>
        </w:rPr>
        <w:t>。</w:t>
      </w:r>
    </w:p>
    <w:p>
      <w:pPr>
        <w:spacing w:line="360" w:lineRule="exact"/>
        <w:ind w:firstLine="420" w:firstLineChars="200"/>
        <w:rPr>
          <w:color w:val="auto"/>
          <w:szCs w:val="21"/>
        </w:rPr>
      </w:pPr>
      <w:r>
        <w:rPr>
          <w:rFonts w:hint="eastAsia"/>
          <w:color w:val="auto"/>
          <w:szCs w:val="21"/>
        </w:rPr>
        <w:t>6.1.3 文明施工</w:t>
      </w:r>
    </w:p>
    <w:p>
      <w:pPr>
        <w:spacing w:line="360" w:lineRule="exact"/>
        <w:ind w:firstLine="420" w:firstLineChars="200"/>
        <w:rPr>
          <w:color w:val="auto"/>
          <w:szCs w:val="21"/>
        </w:rPr>
      </w:pPr>
      <w:r>
        <w:rPr>
          <w:rFonts w:hint="eastAsia"/>
          <w:color w:val="auto"/>
          <w:szCs w:val="21"/>
        </w:rPr>
        <w:t>合同当事人对文明施工的要求：</w:t>
      </w:r>
      <w:r>
        <w:rPr>
          <w:rFonts w:hint="eastAsia"/>
          <w:color w:val="auto"/>
          <w:szCs w:val="21"/>
          <w:u w:val="single"/>
        </w:rPr>
        <w:t>按省、市发有关文明施工管理规定执行。</w:t>
      </w:r>
      <w:r>
        <w:rPr>
          <w:rFonts w:hint="eastAsia"/>
          <w:color w:val="auto"/>
          <w:szCs w:val="21"/>
        </w:rPr>
        <w:t>。</w:t>
      </w:r>
    </w:p>
    <w:p>
      <w:pPr>
        <w:spacing w:line="360" w:lineRule="exact"/>
        <w:ind w:firstLine="420" w:firstLineChars="200"/>
        <w:rPr>
          <w:color w:val="auto"/>
          <w:szCs w:val="21"/>
        </w:rPr>
      </w:pPr>
      <w:r>
        <w:rPr>
          <w:color w:val="auto"/>
          <w:szCs w:val="21"/>
        </w:rPr>
        <w:t>6.1.</w:t>
      </w:r>
      <w:r>
        <w:rPr>
          <w:rFonts w:hint="eastAsia"/>
          <w:color w:val="auto"/>
          <w:szCs w:val="21"/>
        </w:rPr>
        <w:t>4</w:t>
      </w:r>
      <w:r>
        <w:rPr>
          <w:color w:val="auto"/>
          <w:szCs w:val="21"/>
        </w:rPr>
        <w:t xml:space="preserve"> 关于安全文明施工费支付比例和支付期限的约定：</w:t>
      </w:r>
      <w:r>
        <w:rPr>
          <w:rFonts w:hint="eastAsia"/>
          <w:color w:val="auto"/>
          <w:szCs w:val="21"/>
          <w:u w:val="single"/>
        </w:rPr>
        <w:t>安全文明施工费包含在签约合同价内。乙方经甲方同意采取合同以外的安全措施所产生的费用，由发、乙方协商处理；未经甲方同意，甲方可不承担由此增加费用；安全文明施工费支付比例、期限及使用按通用条款执行</w:t>
      </w:r>
      <w:r>
        <w:rPr>
          <w:color w:val="auto"/>
          <w:szCs w:val="21"/>
        </w:rPr>
        <w:t>。</w:t>
      </w:r>
    </w:p>
    <w:p>
      <w:pPr>
        <w:pStyle w:val="9"/>
        <w:tabs>
          <w:tab w:val="left" w:pos="142"/>
          <w:tab w:val="left" w:pos="993"/>
          <w:tab w:val="left" w:pos="1418"/>
          <w:tab w:val="left" w:pos="1560"/>
        </w:tabs>
        <w:spacing w:before="0" w:after="0" w:line="360" w:lineRule="exact"/>
        <w:ind w:firstLine="422" w:firstLineChars="200"/>
        <w:rPr>
          <w:rFonts w:ascii="Times New Roman" w:hAnsi="Times New Roman"/>
          <w:color w:val="auto"/>
          <w:sz w:val="21"/>
          <w:szCs w:val="21"/>
        </w:rPr>
      </w:pPr>
      <w:r>
        <w:rPr>
          <w:rFonts w:ascii="Times New Roman" w:hAnsi="Times New Roman"/>
          <w:color w:val="auto"/>
          <w:sz w:val="21"/>
          <w:szCs w:val="21"/>
        </w:rPr>
        <w:t>7. 工期和进度</w:t>
      </w:r>
    </w:p>
    <w:p>
      <w:pPr>
        <w:spacing w:line="360" w:lineRule="exact"/>
        <w:ind w:firstLine="420" w:firstLineChars="200"/>
        <w:rPr>
          <w:color w:val="auto"/>
          <w:szCs w:val="21"/>
        </w:rPr>
      </w:pPr>
      <w:r>
        <w:rPr>
          <w:color w:val="auto"/>
          <w:szCs w:val="21"/>
        </w:rPr>
        <w:t>7.1 施工组织设计</w:t>
      </w:r>
    </w:p>
    <w:p>
      <w:pPr>
        <w:autoSpaceDE w:val="0"/>
        <w:autoSpaceDN w:val="0"/>
        <w:adjustRightInd w:val="0"/>
        <w:spacing w:line="360" w:lineRule="exact"/>
        <w:ind w:firstLine="420" w:firstLineChars="200"/>
        <w:rPr>
          <w:color w:val="auto"/>
          <w:kern w:val="0"/>
          <w:szCs w:val="21"/>
        </w:rPr>
      </w:pPr>
      <w:r>
        <w:rPr>
          <w:color w:val="auto"/>
          <w:szCs w:val="21"/>
        </w:rPr>
        <w:t>7.1.</w:t>
      </w:r>
      <w:r>
        <w:rPr>
          <w:rFonts w:hint="eastAsia"/>
          <w:color w:val="auto"/>
          <w:szCs w:val="21"/>
        </w:rPr>
        <w:t>1 合</w:t>
      </w:r>
      <w:r>
        <w:rPr>
          <w:rFonts w:hint="eastAsia"/>
          <w:color w:val="auto"/>
          <w:kern w:val="0"/>
          <w:szCs w:val="21"/>
        </w:rPr>
        <w:t>同当事人约定的</w:t>
      </w:r>
      <w:r>
        <w:rPr>
          <w:color w:val="auto"/>
          <w:kern w:val="0"/>
          <w:szCs w:val="21"/>
        </w:rPr>
        <w:t>施工组织设计</w:t>
      </w:r>
      <w:r>
        <w:rPr>
          <w:rFonts w:hint="eastAsia"/>
          <w:color w:val="auto"/>
          <w:kern w:val="0"/>
          <w:szCs w:val="21"/>
        </w:rPr>
        <w:t>应包括的其他内容</w:t>
      </w:r>
      <w:r>
        <w:rPr>
          <w:color w:val="auto"/>
          <w:kern w:val="0"/>
          <w:szCs w:val="21"/>
        </w:rPr>
        <w:t>：</w:t>
      </w:r>
      <w:r>
        <w:rPr>
          <w:rFonts w:hint="eastAsia"/>
          <w:color w:val="auto"/>
          <w:szCs w:val="21"/>
          <w:u w:val="single"/>
        </w:rPr>
        <w:t xml:space="preserve">/  </w:t>
      </w:r>
      <w:r>
        <w:rPr>
          <w:color w:val="auto"/>
          <w:szCs w:val="21"/>
        </w:rPr>
        <w:t>。</w:t>
      </w:r>
    </w:p>
    <w:p>
      <w:pPr>
        <w:autoSpaceDE w:val="0"/>
        <w:autoSpaceDN w:val="0"/>
        <w:adjustRightInd w:val="0"/>
        <w:spacing w:line="360" w:lineRule="exact"/>
        <w:ind w:firstLine="420" w:firstLineChars="200"/>
        <w:rPr>
          <w:color w:val="auto"/>
          <w:kern w:val="0"/>
          <w:szCs w:val="21"/>
        </w:rPr>
      </w:pPr>
      <w:r>
        <w:rPr>
          <w:color w:val="auto"/>
          <w:szCs w:val="21"/>
        </w:rPr>
        <w:t xml:space="preserve">7.1.2 </w:t>
      </w:r>
      <w:r>
        <w:rPr>
          <w:color w:val="auto"/>
          <w:kern w:val="0"/>
          <w:szCs w:val="21"/>
        </w:rPr>
        <w:t>施工组织设计的提交和修改</w:t>
      </w:r>
    </w:p>
    <w:p>
      <w:pPr>
        <w:autoSpaceDE w:val="0"/>
        <w:autoSpaceDN w:val="0"/>
        <w:adjustRightInd w:val="0"/>
        <w:spacing w:line="360" w:lineRule="exact"/>
        <w:ind w:firstLine="420" w:firstLineChars="200"/>
        <w:rPr>
          <w:color w:val="auto"/>
          <w:szCs w:val="21"/>
        </w:rPr>
      </w:pPr>
      <w:r>
        <w:rPr>
          <w:rFonts w:hint="eastAsia"/>
          <w:color w:val="auto"/>
          <w:kern w:val="0"/>
          <w:szCs w:val="21"/>
        </w:rPr>
        <w:t>乙方</w:t>
      </w:r>
      <w:r>
        <w:rPr>
          <w:color w:val="auto"/>
          <w:kern w:val="0"/>
          <w:szCs w:val="21"/>
        </w:rPr>
        <w:t>提交详细施工组织设计的期限的约定：</w:t>
      </w:r>
      <w:r>
        <w:rPr>
          <w:rFonts w:hint="eastAsia"/>
          <w:color w:val="auto"/>
          <w:szCs w:val="21"/>
          <w:u w:val="single"/>
        </w:rPr>
        <w:t>接到开工通知（或确定开工日期）后7天内，专项施工方案在相应部位施工前7天。甲方对乙方的施工组织设计（或方案）提出质疑和合理修正时，乙方应7天内提供修正完成并重新提交；每月20日前向发包方提交下一月进度计划和施工方案</w:t>
      </w:r>
      <w:r>
        <w:rPr>
          <w:color w:val="auto"/>
          <w:szCs w:val="21"/>
        </w:rPr>
        <w:t>。</w:t>
      </w:r>
    </w:p>
    <w:p>
      <w:pPr>
        <w:spacing w:line="360" w:lineRule="exact"/>
        <w:ind w:firstLine="420" w:firstLineChars="200"/>
        <w:rPr>
          <w:color w:val="auto"/>
          <w:szCs w:val="21"/>
        </w:rPr>
      </w:pPr>
      <w:r>
        <w:rPr>
          <w:rFonts w:hint="eastAsia"/>
          <w:color w:val="auto"/>
          <w:szCs w:val="21"/>
        </w:rPr>
        <w:t>甲方</w:t>
      </w:r>
      <w:r>
        <w:rPr>
          <w:color w:val="auto"/>
          <w:szCs w:val="21"/>
        </w:rPr>
        <w:t>和监理人在收到</w:t>
      </w:r>
      <w:r>
        <w:rPr>
          <w:rFonts w:hint="eastAsia"/>
          <w:color w:val="auto"/>
          <w:szCs w:val="21"/>
        </w:rPr>
        <w:t>详细的施工组织设计</w:t>
      </w:r>
      <w:r>
        <w:rPr>
          <w:color w:val="auto"/>
          <w:szCs w:val="21"/>
        </w:rPr>
        <w:t>后确认或提出修改意见的期限：</w:t>
      </w:r>
      <w:r>
        <w:rPr>
          <w:rFonts w:hint="eastAsia"/>
          <w:color w:val="auto"/>
          <w:szCs w:val="21"/>
          <w:u w:val="single"/>
        </w:rPr>
        <w:t>收到相应文件后7天内</w:t>
      </w:r>
      <w:r>
        <w:rPr>
          <w:color w:val="auto"/>
          <w:szCs w:val="21"/>
          <w:u w:val="single"/>
        </w:rPr>
        <w:t>。</w:t>
      </w:r>
    </w:p>
    <w:p>
      <w:pPr>
        <w:spacing w:line="360" w:lineRule="exact"/>
        <w:ind w:firstLine="420" w:firstLineChars="200"/>
        <w:rPr>
          <w:color w:val="auto"/>
          <w:szCs w:val="21"/>
        </w:rPr>
      </w:pPr>
      <w:r>
        <w:rPr>
          <w:color w:val="auto"/>
          <w:szCs w:val="21"/>
        </w:rPr>
        <w:t>7.2 施工进度计划</w:t>
      </w:r>
    </w:p>
    <w:p>
      <w:pPr>
        <w:spacing w:line="360" w:lineRule="exact"/>
        <w:ind w:firstLine="420" w:firstLineChars="200"/>
        <w:rPr>
          <w:color w:val="auto"/>
          <w:szCs w:val="21"/>
        </w:rPr>
      </w:pPr>
      <w:r>
        <w:rPr>
          <w:color w:val="auto"/>
          <w:szCs w:val="21"/>
        </w:rPr>
        <w:t>7.2.</w:t>
      </w:r>
      <w:r>
        <w:rPr>
          <w:rFonts w:hint="eastAsia"/>
          <w:color w:val="auto"/>
          <w:szCs w:val="21"/>
        </w:rPr>
        <w:t>1</w:t>
      </w:r>
      <w:r>
        <w:rPr>
          <w:color w:val="auto"/>
          <w:szCs w:val="21"/>
        </w:rPr>
        <w:t>施工进度计划的修订</w:t>
      </w:r>
    </w:p>
    <w:p>
      <w:pPr>
        <w:spacing w:line="360" w:lineRule="exact"/>
        <w:ind w:firstLine="420" w:firstLineChars="200"/>
        <w:rPr>
          <w:color w:val="auto"/>
          <w:szCs w:val="21"/>
        </w:rPr>
      </w:pPr>
      <w:r>
        <w:rPr>
          <w:rFonts w:hint="eastAsia"/>
          <w:color w:val="auto"/>
          <w:szCs w:val="21"/>
        </w:rPr>
        <w:t>甲方</w:t>
      </w:r>
      <w:r>
        <w:rPr>
          <w:color w:val="auto"/>
          <w:szCs w:val="21"/>
        </w:rPr>
        <w:t>和监理人在收到修订的施工进度计划后确认或提出修改意见的期限：</w:t>
      </w:r>
      <w:r>
        <w:rPr>
          <w:rFonts w:hint="eastAsia"/>
          <w:color w:val="auto"/>
          <w:szCs w:val="21"/>
          <w:u w:val="single"/>
        </w:rPr>
        <w:t>收到相应文件后7天内</w:t>
      </w:r>
      <w:r>
        <w:rPr>
          <w:color w:val="auto"/>
          <w:szCs w:val="21"/>
        </w:rPr>
        <w:t>。</w:t>
      </w:r>
    </w:p>
    <w:p>
      <w:pPr>
        <w:spacing w:line="360" w:lineRule="exact"/>
        <w:ind w:firstLine="420" w:firstLineChars="200"/>
        <w:rPr>
          <w:color w:val="auto"/>
          <w:szCs w:val="21"/>
        </w:rPr>
      </w:pPr>
      <w:r>
        <w:rPr>
          <w:color w:val="auto"/>
          <w:szCs w:val="21"/>
        </w:rPr>
        <w:t>7.3 开工</w:t>
      </w:r>
    </w:p>
    <w:p>
      <w:pPr>
        <w:spacing w:line="360" w:lineRule="exact"/>
        <w:ind w:firstLine="420" w:firstLineChars="200"/>
        <w:rPr>
          <w:color w:val="auto"/>
          <w:szCs w:val="21"/>
        </w:rPr>
      </w:pPr>
      <w:r>
        <w:rPr>
          <w:color w:val="auto"/>
          <w:szCs w:val="21"/>
        </w:rPr>
        <w:t>7.3.1 开工准备</w:t>
      </w:r>
    </w:p>
    <w:p>
      <w:pPr>
        <w:spacing w:line="360" w:lineRule="exact"/>
        <w:ind w:firstLine="420" w:firstLineChars="200"/>
        <w:rPr>
          <w:color w:val="auto"/>
          <w:szCs w:val="21"/>
          <w:u w:val="single"/>
        </w:rPr>
      </w:pPr>
      <w:r>
        <w:rPr>
          <w:color w:val="auto"/>
          <w:szCs w:val="21"/>
        </w:rPr>
        <w:t>关于</w:t>
      </w:r>
      <w:r>
        <w:rPr>
          <w:rFonts w:hint="eastAsia"/>
          <w:color w:val="auto"/>
          <w:szCs w:val="21"/>
        </w:rPr>
        <w:t>乙方</w:t>
      </w:r>
      <w:r>
        <w:rPr>
          <w:color w:val="auto"/>
          <w:szCs w:val="21"/>
        </w:rPr>
        <w:t>提交</w:t>
      </w:r>
      <w:r>
        <w:rPr>
          <w:rFonts w:hint="eastAsia"/>
          <w:color w:val="auto"/>
          <w:kern w:val="0"/>
          <w:szCs w:val="21"/>
        </w:rPr>
        <w:t>项目</w:t>
      </w:r>
      <w:r>
        <w:rPr>
          <w:color w:val="auto"/>
          <w:kern w:val="0"/>
          <w:szCs w:val="21"/>
        </w:rPr>
        <w:t>开工报审表的期限：</w:t>
      </w:r>
      <w:r>
        <w:rPr>
          <w:rFonts w:hint="eastAsia"/>
          <w:color w:val="auto"/>
          <w:szCs w:val="21"/>
          <w:u w:val="single"/>
        </w:rPr>
        <w:t>接到开工通知（或确定开工日期）后7天内</w:t>
      </w:r>
      <w:r>
        <w:rPr>
          <w:color w:val="auto"/>
          <w:szCs w:val="21"/>
        </w:rPr>
        <w:t>。</w:t>
      </w:r>
    </w:p>
    <w:p>
      <w:pPr>
        <w:spacing w:line="360" w:lineRule="exact"/>
        <w:ind w:firstLine="420" w:firstLineChars="200"/>
        <w:rPr>
          <w:color w:val="auto"/>
          <w:szCs w:val="21"/>
        </w:rPr>
      </w:pPr>
      <w:r>
        <w:rPr>
          <w:color w:val="auto"/>
          <w:szCs w:val="21"/>
        </w:rPr>
        <w:t>关于</w:t>
      </w:r>
      <w:r>
        <w:rPr>
          <w:rFonts w:hint="eastAsia"/>
          <w:color w:val="auto"/>
          <w:szCs w:val="21"/>
        </w:rPr>
        <w:t>甲方</w:t>
      </w:r>
      <w:r>
        <w:rPr>
          <w:color w:val="auto"/>
          <w:szCs w:val="21"/>
        </w:rPr>
        <w:t>应完成的其他开工准备工作及期限：</w:t>
      </w:r>
      <w:r>
        <w:rPr>
          <w:rFonts w:hint="eastAsia"/>
          <w:color w:val="auto"/>
          <w:szCs w:val="21"/>
          <w:u w:val="single"/>
        </w:rPr>
        <w:t>开工前7天</w:t>
      </w:r>
      <w:r>
        <w:rPr>
          <w:color w:val="auto"/>
          <w:szCs w:val="21"/>
        </w:rPr>
        <w:t>。</w:t>
      </w:r>
    </w:p>
    <w:p>
      <w:pPr>
        <w:spacing w:line="360" w:lineRule="exact"/>
        <w:ind w:firstLine="420" w:firstLineChars="200"/>
        <w:rPr>
          <w:color w:val="auto"/>
          <w:szCs w:val="21"/>
        </w:rPr>
      </w:pPr>
      <w:r>
        <w:rPr>
          <w:color w:val="auto"/>
          <w:szCs w:val="21"/>
        </w:rPr>
        <w:t>关于</w:t>
      </w:r>
      <w:r>
        <w:rPr>
          <w:rFonts w:hint="eastAsia"/>
          <w:color w:val="auto"/>
          <w:szCs w:val="21"/>
        </w:rPr>
        <w:t>乙方</w:t>
      </w:r>
      <w:r>
        <w:rPr>
          <w:color w:val="auto"/>
          <w:szCs w:val="21"/>
        </w:rPr>
        <w:t>应完成的其他开工准备工作及期限：</w:t>
      </w:r>
      <w:r>
        <w:rPr>
          <w:rFonts w:hint="eastAsia"/>
          <w:color w:val="auto"/>
          <w:szCs w:val="21"/>
          <w:u w:val="single"/>
        </w:rPr>
        <w:t>开工前</w:t>
      </w:r>
      <w:r>
        <w:rPr>
          <w:color w:val="auto"/>
          <w:szCs w:val="21"/>
        </w:rPr>
        <w:t>。</w:t>
      </w:r>
    </w:p>
    <w:p>
      <w:pPr>
        <w:spacing w:line="360" w:lineRule="exact"/>
        <w:ind w:firstLine="420" w:firstLineChars="200"/>
        <w:rPr>
          <w:color w:val="auto"/>
          <w:szCs w:val="21"/>
        </w:rPr>
      </w:pPr>
      <w:r>
        <w:rPr>
          <w:color w:val="auto"/>
          <w:szCs w:val="21"/>
        </w:rPr>
        <w:t>7.3.2开工通知</w:t>
      </w:r>
    </w:p>
    <w:p>
      <w:pPr>
        <w:spacing w:line="360" w:lineRule="exact"/>
        <w:ind w:firstLine="420" w:firstLineChars="200"/>
        <w:rPr>
          <w:color w:val="auto"/>
          <w:szCs w:val="21"/>
        </w:rPr>
      </w:pPr>
      <w:r>
        <w:rPr>
          <w:rFonts w:hint="eastAsia"/>
          <w:color w:val="auto"/>
          <w:szCs w:val="21"/>
        </w:rPr>
        <w:t>甲方（或监理人）在计划开工日期前7天向乙方发出开工通知，工期自开工通知中载明的开工日期起算。</w:t>
      </w:r>
    </w:p>
    <w:p>
      <w:pPr>
        <w:spacing w:line="360" w:lineRule="exact"/>
        <w:ind w:firstLine="420" w:firstLineChars="200"/>
        <w:rPr>
          <w:color w:val="auto"/>
          <w:szCs w:val="21"/>
        </w:rPr>
      </w:pPr>
      <w:r>
        <w:rPr>
          <w:color w:val="auto"/>
          <w:szCs w:val="21"/>
        </w:rPr>
        <w:t>因</w:t>
      </w:r>
      <w:r>
        <w:rPr>
          <w:rFonts w:hint="eastAsia"/>
          <w:color w:val="auto"/>
          <w:szCs w:val="21"/>
        </w:rPr>
        <w:t>甲方</w:t>
      </w:r>
      <w:r>
        <w:rPr>
          <w:color w:val="auto"/>
          <w:szCs w:val="21"/>
        </w:rPr>
        <w:t>原因造成监理人未能在计划开工日期之日起</w:t>
      </w:r>
      <w:r>
        <w:rPr>
          <w:rFonts w:hint="eastAsia"/>
          <w:color w:val="auto"/>
          <w:szCs w:val="21"/>
          <w:u w:val="single"/>
        </w:rPr>
        <w:t>60</w:t>
      </w:r>
      <w:r>
        <w:rPr>
          <w:color w:val="auto"/>
          <w:szCs w:val="21"/>
        </w:rPr>
        <w:t>天内发出开工通知的，</w:t>
      </w:r>
      <w:r>
        <w:rPr>
          <w:rFonts w:hint="eastAsia"/>
          <w:color w:val="auto"/>
          <w:szCs w:val="21"/>
        </w:rPr>
        <w:t>乙方</w:t>
      </w:r>
      <w:r>
        <w:rPr>
          <w:color w:val="auto"/>
          <w:szCs w:val="21"/>
        </w:rPr>
        <w:t>有权提出价格调整要求，或者解除合同。</w:t>
      </w:r>
      <w:r>
        <w:rPr>
          <w:rFonts w:hint="eastAsia"/>
          <w:color w:val="auto"/>
          <w:szCs w:val="21"/>
        </w:rPr>
        <w:t>甲方应当承担由此增加的费用或赔偿乙方的损失。</w:t>
      </w:r>
    </w:p>
    <w:p>
      <w:pPr>
        <w:spacing w:line="360" w:lineRule="exact"/>
        <w:ind w:firstLine="420" w:firstLineChars="200"/>
        <w:rPr>
          <w:color w:val="auto"/>
          <w:szCs w:val="21"/>
        </w:rPr>
      </w:pPr>
      <w:r>
        <w:rPr>
          <w:color w:val="auto"/>
          <w:szCs w:val="21"/>
        </w:rPr>
        <w:t>7.4 测量放线</w:t>
      </w:r>
    </w:p>
    <w:p>
      <w:pPr>
        <w:spacing w:line="360" w:lineRule="exact"/>
        <w:ind w:firstLine="420" w:firstLineChars="200"/>
        <w:rPr>
          <w:color w:val="auto"/>
          <w:szCs w:val="21"/>
          <w:u w:val="single"/>
        </w:rPr>
      </w:pPr>
      <w:r>
        <w:rPr>
          <w:color w:val="auto"/>
          <w:szCs w:val="21"/>
        </w:rPr>
        <w:t>7.4.1</w:t>
      </w:r>
      <w:r>
        <w:rPr>
          <w:rFonts w:hint="eastAsia"/>
          <w:color w:val="auto"/>
          <w:szCs w:val="21"/>
        </w:rPr>
        <w:t>甲方</w:t>
      </w:r>
      <w:r>
        <w:rPr>
          <w:color w:val="auto"/>
          <w:szCs w:val="21"/>
        </w:rPr>
        <w:t>通过监理人向</w:t>
      </w:r>
      <w:r>
        <w:rPr>
          <w:rFonts w:hint="eastAsia"/>
          <w:color w:val="auto"/>
          <w:szCs w:val="21"/>
        </w:rPr>
        <w:t>乙方</w:t>
      </w:r>
      <w:r>
        <w:rPr>
          <w:color w:val="auto"/>
          <w:szCs w:val="21"/>
        </w:rPr>
        <w:t>提供测量基准点、基准线和水准点及其书面资料的期限：</w:t>
      </w:r>
      <w:r>
        <w:rPr>
          <w:rFonts w:hint="eastAsia"/>
          <w:color w:val="auto"/>
          <w:szCs w:val="21"/>
          <w:u w:val="single"/>
        </w:rPr>
        <w:t>按合同通用条款执行</w:t>
      </w:r>
      <w:r>
        <w:rPr>
          <w:color w:val="auto"/>
          <w:szCs w:val="21"/>
        </w:rPr>
        <w:t>。</w:t>
      </w:r>
    </w:p>
    <w:p>
      <w:pPr>
        <w:spacing w:line="360" w:lineRule="exact"/>
        <w:ind w:firstLine="420" w:firstLineChars="200"/>
        <w:rPr>
          <w:color w:val="auto"/>
          <w:szCs w:val="21"/>
        </w:rPr>
      </w:pPr>
      <w:r>
        <w:rPr>
          <w:color w:val="auto"/>
          <w:szCs w:val="21"/>
        </w:rPr>
        <w:t xml:space="preserve">7.5 </w:t>
      </w:r>
      <w:r>
        <w:rPr>
          <w:rFonts w:hint="eastAsia"/>
          <w:color w:val="auto"/>
          <w:szCs w:val="21"/>
        </w:rPr>
        <w:t>工期进度</w:t>
      </w:r>
    </w:p>
    <w:p>
      <w:pPr>
        <w:spacing w:line="360" w:lineRule="auto"/>
        <w:ind w:firstLine="482" w:firstLineChars="200"/>
        <w:rPr>
          <w:b/>
          <w:bCs/>
          <w:color w:val="auto"/>
          <w:szCs w:val="21"/>
        </w:rPr>
      </w:pPr>
      <w:r>
        <w:rPr>
          <w:rFonts w:hint="eastAsia" w:ascii="宋体" w:hAnsi="宋体" w:cs="宋体"/>
          <w:b/>
          <w:bCs/>
          <w:color w:val="auto"/>
          <w:sz w:val="24"/>
        </w:rPr>
        <w:t xml:space="preserve"> </w:t>
      </w:r>
      <w:r>
        <w:rPr>
          <w:rFonts w:hint="eastAsia" w:ascii="宋体" w:hAnsi="宋体" w:cs="宋体"/>
          <w:b/>
          <w:bCs/>
          <w:color w:val="auto"/>
          <w:szCs w:val="21"/>
        </w:rPr>
        <w:t>开工后50天内完成不少于总工作量的50%，90天内完成不少于总工作量85%，本工程工期120天。</w:t>
      </w:r>
    </w:p>
    <w:p>
      <w:pPr>
        <w:spacing w:line="360" w:lineRule="exact"/>
        <w:ind w:firstLine="420" w:firstLineChars="200"/>
        <w:rPr>
          <w:color w:val="auto"/>
          <w:szCs w:val="21"/>
        </w:rPr>
      </w:pPr>
      <w:r>
        <w:rPr>
          <w:rFonts w:hint="eastAsia"/>
          <w:color w:val="auto"/>
          <w:szCs w:val="21"/>
        </w:rPr>
        <w:t>7.6</w:t>
      </w:r>
      <w:r>
        <w:rPr>
          <w:color w:val="auto"/>
          <w:szCs w:val="21"/>
        </w:rPr>
        <w:t>工期延误</w:t>
      </w:r>
    </w:p>
    <w:p>
      <w:pPr>
        <w:spacing w:line="360" w:lineRule="exact"/>
        <w:ind w:firstLine="420" w:firstLineChars="200"/>
        <w:rPr>
          <w:color w:val="auto"/>
          <w:szCs w:val="21"/>
        </w:rPr>
      </w:pPr>
      <w:r>
        <w:rPr>
          <w:color w:val="auto"/>
          <w:szCs w:val="21"/>
        </w:rPr>
        <w:t>7.</w:t>
      </w:r>
      <w:r>
        <w:rPr>
          <w:rFonts w:hint="eastAsia"/>
          <w:color w:val="auto"/>
          <w:szCs w:val="21"/>
        </w:rPr>
        <w:t>6</w:t>
      </w:r>
      <w:r>
        <w:rPr>
          <w:color w:val="auto"/>
          <w:szCs w:val="21"/>
        </w:rPr>
        <w:t>.1 因</w:t>
      </w:r>
      <w:r>
        <w:rPr>
          <w:rFonts w:hint="eastAsia"/>
          <w:color w:val="auto"/>
          <w:szCs w:val="21"/>
        </w:rPr>
        <w:t>甲方</w:t>
      </w:r>
      <w:r>
        <w:rPr>
          <w:color w:val="auto"/>
          <w:szCs w:val="21"/>
        </w:rPr>
        <w:t>原因导致工期延误</w:t>
      </w:r>
    </w:p>
    <w:p>
      <w:pPr>
        <w:spacing w:line="360" w:lineRule="exact"/>
        <w:ind w:firstLine="420" w:firstLineChars="200"/>
        <w:rPr>
          <w:color w:val="auto"/>
          <w:szCs w:val="21"/>
          <w:u w:val="single"/>
        </w:rPr>
      </w:pPr>
      <w:r>
        <w:rPr>
          <w:color w:val="auto"/>
          <w:szCs w:val="21"/>
        </w:rPr>
        <w:t>（7）因</w:t>
      </w:r>
      <w:r>
        <w:rPr>
          <w:rFonts w:hint="eastAsia"/>
          <w:color w:val="auto"/>
          <w:szCs w:val="21"/>
        </w:rPr>
        <w:t>甲方</w:t>
      </w:r>
      <w:r>
        <w:rPr>
          <w:color w:val="auto"/>
          <w:szCs w:val="21"/>
        </w:rPr>
        <w:t>原因导致工期延误的其他情形：</w:t>
      </w:r>
      <w:r>
        <w:rPr>
          <w:rFonts w:hint="eastAsia"/>
          <w:color w:val="auto"/>
          <w:szCs w:val="21"/>
          <w:u w:val="single"/>
        </w:rPr>
        <w:t>/。</w:t>
      </w:r>
    </w:p>
    <w:p>
      <w:pPr>
        <w:spacing w:line="360" w:lineRule="exact"/>
        <w:ind w:firstLine="420" w:firstLineChars="200"/>
        <w:rPr>
          <w:color w:val="auto"/>
          <w:szCs w:val="21"/>
        </w:rPr>
      </w:pPr>
      <w:r>
        <w:rPr>
          <w:color w:val="auto"/>
          <w:szCs w:val="21"/>
        </w:rPr>
        <w:t>7.</w:t>
      </w:r>
      <w:r>
        <w:rPr>
          <w:rFonts w:hint="eastAsia"/>
          <w:color w:val="auto"/>
          <w:szCs w:val="21"/>
        </w:rPr>
        <w:t>6</w:t>
      </w:r>
      <w:r>
        <w:rPr>
          <w:color w:val="auto"/>
          <w:szCs w:val="21"/>
        </w:rPr>
        <w:t>.2 因</w:t>
      </w:r>
      <w:r>
        <w:rPr>
          <w:rFonts w:hint="eastAsia"/>
          <w:color w:val="auto"/>
          <w:szCs w:val="21"/>
        </w:rPr>
        <w:t>乙方</w:t>
      </w:r>
      <w:r>
        <w:rPr>
          <w:color w:val="auto"/>
          <w:szCs w:val="21"/>
        </w:rPr>
        <w:t>原因导致工期延误</w:t>
      </w:r>
    </w:p>
    <w:p>
      <w:pPr>
        <w:spacing w:line="360" w:lineRule="exact"/>
        <w:ind w:firstLine="420" w:firstLineChars="200"/>
        <w:rPr>
          <w:color w:val="auto"/>
          <w:szCs w:val="21"/>
        </w:rPr>
      </w:pPr>
      <w:r>
        <w:rPr>
          <w:color w:val="auto"/>
          <w:szCs w:val="21"/>
        </w:rPr>
        <w:t>因</w:t>
      </w:r>
      <w:r>
        <w:rPr>
          <w:rFonts w:hint="eastAsia"/>
          <w:color w:val="auto"/>
          <w:szCs w:val="21"/>
        </w:rPr>
        <w:t>乙方</w:t>
      </w:r>
      <w:r>
        <w:rPr>
          <w:color w:val="auto"/>
          <w:szCs w:val="21"/>
        </w:rPr>
        <w:t>原因造成工期延误，逾期竣工违约金的计算方法为：</w:t>
      </w:r>
      <w:r>
        <w:rPr>
          <w:rFonts w:hint="eastAsia"/>
          <w:color w:val="auto"/>
          <w:szCs w:val="21"/>
        </w:rPr>
        <w:t>乙方应按延误总额千分之六每日向甲方支付违约金，由甲方从待付货款中扣除。延误超过约定日期10个工作日不能交付的，甲方可解除本合同。因乙方延误交付或因其他违约行为导致甲方解除合同的，乙方应向甲方支付合同总值5%的违约金，如造成甲方损失超过违约金的，超出部分由乙方继续承担赔偿责任。</w:t>
      </w:r>
    </w:p>
    <w:p>
      <w:pPr>
        <w:spacing w:line="360" w:lineRule="exact"/>
        <w:ind w:firstLine="420" w:firstLineChars="200"/>
        <w:rPr>
          <w:color w:val="auto"/>
          <w:szCs w:val="21"/>
        </w:rPr>
      </w:pPr>
      <w:r>
        <w:rPr>
          <w:color w:val="auto"/>
          <w:szCs w:val="21"/>
        </w:rPr>
        <w:t>7.</w:t>
      </w:r>
      <w:r>
        <w:rPr>
          <w:rFonts w:hint="eastAsia"/>
          <w:color w:val="auto"/>
          <w:szCs w:val="21"/>
        </w:rPr>
        <w:t>7</w:t>
      </w:r>
      <w:r>
        <w:rPr>
          <w:color w:val="auto"/>
          <w:szCs w:val="21"/>
        </w:rPr>
        <w:t>不利物质条件</w:t>
      </w:r>
    </w:p>
    <w:p>
      <w:pPr>
        <w:spacing w:line="360" w:lineRule="exact"/>
        <w:ind w:firstLine="420" w:firstLineChars="200"/>
        <w:jc w:val="left"/>
        <w:rPr>
          <w:color w:val="auto"/>
          <w:szCs w:val="21"/>
        </w:rPr>
      </w:pPr>
      <w:r>
        <w:rPr>
          <w:color w:val="auto"/>
          <w:szCs w:val="21"/>
        </w:rPr>
        <w:t>不利物质条件的其他情形和有关约定：</w:t>
      </w:r>
    </w:p>
    <w:p>
      <w:pPr>
        <w:spacing w:line="360" w:lineRule="exact"/>
        <w:ind w:firstLine="420" w:firstLineChars="200"/>
        <w:rPr>
          <w:color w:val="auto"/>
          <w:szCs w:val="21"/>
          <w:u w:val="single"/>
        </w:rPr>
      </w:pPr>
      <w:r>
        <w:rPr>
          <w:rFonts w:hint="eastAsia"/>
          <w:color w:val="auto"/>
          <w:szCs w:val="21"/>
          <w:u w:val="single"/>
        </w:rPr>
        <w:t>1、因政府行政命令（因乙方原因的除外）。</w:t>
      </w:r>
    </w:p>
    <w:p>
      <w:pPr>
        <w:spacing w:line="360" w:lineRule="exact"/>
        <w:ind w:firstLine="420" w:firstLineChars="200"/>
        <w:rPr>
          <w:color w:val="auto"/>
          <w:szCs w:val="21"/>
          <w:u w:val="single"/>
        </w:rPr>
      </w:pPr>
      <w:r>
        <w:rPr>
          <w:rFonts w:hint="eastAsia"/>
          <w:color w:val="auto"/>
          <w:szCs w:val="21"/>
          <w:u w:val="single"/>
        </w:rPr>
        <w:t>2、非因双方原因而无法控制的爆炸、火灾等事件。</w:t>
      </w:r>
    </w:p>
    <w:p>
      <w:pPr>
        <w:spacing w:line="360" w:lineRule="exact"/>
        <w:ind w:firstLine="420" w:firstLineChars="200"/>
        <w:rPr>
          <w:color w:val="auto"/>
          <w:szCs w:val="21"/>
        </w:rPr>
      </w:pPr>
      <w:r>
        <w:rPr>
          <w:color w:val="auto"/>
          <w:szCs w:val="21"/>
        </w:rPr>
        <w:t>7.</w:t>
      </w:r>
      <w:r>
        <w:rPr>
          <w:rFonts w:hint="eastAsia"/>
          <w:color w:val="auto"/>
          <w:szCs w:val="21"/>
        </w:rPr>
        <w:t>8</w:t>
      </w:r>
      <w:r>
        <w:rPr>
          <w:color w:val="auto"/>
          <w:szCs w:val="21"/>
        </w:rPr>
        <w:t>异常恶劣的气候条件</w:t>
      </w:r>
    </w:p>
    <w:p>
      <w:pPr>
        <w:spacing w:line="360" w:lineRule="exact"/>
        <w:ind w:firstLine="420" w:firstLineChars="200"/>
        <w:rPr>
          <w:color w:val="auto"/>
          <w:szCs w:val="21"/>
        </w:rPr>
      </w:pPr>
      <w:r>
        <w:rPr>
          <w:rFonts w:hint="eastAsia"/>
          <w:color w:val="auto"/>
          <w:szCs w:val="21"/>
        </w:rPr>
        <w:t>甲方</w:t>
      </w:r>
      <w:r>
        <w:rPr>
          <w:color w:val="auto"/>
          <w:szCs w:val="21"/>
        </w:rPr>
        <w:t>和</w:t>
      </w:r>
      <w:r>
        <w:rPr>
          <w:rFonts w:hint="eastAsia"/>
          <w:color w:val="auto"/>
          <w:szCs w:val="21"/>
        </w:rPr>
        <w:t>乙方</w:t>
      </w:r>
      <w:r>
        <w:rPr>
          <w:color w:val="auto"/>
          <w:szCs w:val="21"/>
        </w:rPr>
        <w:t>同意以下情形视为异常恶劣的气候条件：</w:t>
      </w:r>
    </w:p>
    <w:p>
      <w:pPr>
        <w:spacing w:line="360" w:lineRule="exact"/>
        <w:ind w:firstLine="420" w:firstLineChars="200"/>
        <w:rPr>
          <w:color w:val="auto"/>
          <w:szCs w:val="21"/>
        </w:rPr>
      </w:pPr>
      <w:r>
        <w:rPr>
          <w:color w:val="auto"/>
          <w:szCs w:val="21"/>
        </w:rPr>
        <w:t>（1）</w:t>
      </w:r>
      <w:r>
        <w:rPr>
          <w:rFonts w:hint="eastAsia"/>
          <w:color w:val="auto"/>
          <w:szCs w:val="21"/>
          <w:u w:val="single"/>
        </w:rPr>
        <w:t>8级以上持续24小时的大风（台风）</w:t>
      </w:r>
      <w:r>
        <w:rPr>
          <w:color w:val="auto"/>
          <w:szCs w:val="21"/>
        </w:rPr>
        <w:t>；</w:t>
      </w:r>
    </w:p>
    <w:p>
      <w:pPr>
        <w:spacing w:line="360" w:lineRule="exact"/>
        <w:ind w:firstLine="420" w:firstLineChars="200"/>
        <w:rPr>
          <w:color w:val="auto"/>
          <w:szCs w:val="21"/>
        </w:rPr>
      </w:pPr>
      <w:r>
        <w:rPr>
          <w:color w:val="auto"/>
          <w:szCs w:val="21"/>
        </w:rPr>
        <w:t>（2）</w:t>
      </w:r>
      <w:r>
        <w:rPr>
          <w:rFonts w:hint="eastAsia"/>
          <w:color w:val="auto"/>
          <w:szCs w:val="21"/>
          <w:u w:val="single"/>
        </w:rPr>
        <w:t>24小时内持续降雨且降水量为200mm以上</w:t>
      </w:r>
      <w:r>
        <w:rPr>
          <w:color w:val="auto"/>
          <w:szCs w:val="21"/>
        </w:rPr>
        <w:t>；</w:t>
      </w:r>
    </w:p>
    <w:p>
      <w:pPr>
        <w:spacing w:line="360" w:lineRule="exact"/>
        <w:ind w:firstLine="420" w:firstLineChars="200"/>
        <w:rPr>
          <w:color w:val="auto"/>
          <w:szCs w:val="21"/>
        </w:rPr>
      </w:pPr>
      <w:r>
        <w:rPr>
          <w:color w:val="auto"/>
          <w:szCs w:val="21"/>
        </w:rPr>
        <w:t>（3）</w:t>
      </w:r>
      <w:r>
        <w:rPr>
          <w:rFonts w:hint="eastAsia"/>
          <w:color w:val="auto"/>
          <w:szCs w:val="21"/>
          <w:u w:val="single"/>
        </w:rPr>
        <w:t>40摄氏度及以上且持续2天以上以上的高温天气</w:t>
      </w:r>
      <w:r>
        <w:rPr>
          <w:color w:val="auto"/>
          <w:szCs w:val="21"/>
        </w:rPr>
        <w:t>。</w:t>
      </w:r>
    </w:p>
    <w:p>
      <w:pPr>
        <w:pStyle w:val="9"/>
        <w:tabs>
          <w:tab w:val="left" w:pos="142"/>
          <w:tab w:val="left" w:pos="993"/>
          <w:tab w:val="left" w:pos="1418"/>
          <w:tab w:val="left" w:pos="1560"/>
        </w:tabs>
        <w:spacing w:before="0" w:after="0" w:line="360" w:lineRule="exact"/>
        <w:ind w:firstLine="422" w:firstLineChars="200"/>
        <w:rPr>
          <w:rFonts w:ascii="Times New Roman" w:hAnsi="Times New Roman"/>
          <w:color w:val="auto"/>
          <w:sz w:val="21"/>
          <w:szCs w:val="21"/>
        </w:rPr>
      </w:pPr>
      <w:r>
        <w:rPr>
          <w:rFonts w:ascii="Times New Roman" w:hAnsi="Times New Roman"/>
          <w:color w:val="auto"/>
          <w:sz w:val="21"/>
          <w:szCs w:val="21"/>
        </w:rPr>
        <w:t>8. 材料与设备</w:t>
      </w:r>
    </w:p>
    <w:p>
      <w:pPr>
        <w:spacing w:line="360" w:lineRule="exact"/>
        <w:ind w:firstLine="420" w:firstLineChars="200"/>
        <w:rPr>
          <w:color w:val="auto"/>
          <w:szCs w:val="21"/>
        </w:rPr>
      </w:pPr>
      <w:r>
        <w:rPr>
          <w:rFonts w:hint="eastAsia"/>
          <w:color w:val="auto"/>
          <w:szCs w:val="21"/>
        </w:rPr>
        <w:t>8.1 乙方采购材料与项目设备</w:t>
      </w:r>
    </w:p>
    <w:p>
      <w:pPr>
        <w:snapToGrid w:val="0"/>
        <w:spacing w:line="360" w:lineRule="exact"/>
        <w:ind w:firstLine="420" w:firstLineChars="200"/>
        <w:rPr>
          <w:color w:val="auto"/>
          <w:szCs w:val="21"/>
          <w:u w:val="single"/>
        </w:rPr>
      </w:pPr>
      <w:r>
        <w:rPr>
          <w:rFonts w:hint="eastAsia"/>
          <w:color w:val="auto"/>
          <w:szCs w:val="21"/>
          <w:u w:val="single"/>
        </w:rPr>
        <w:t>（1）材料品牌、规格和使用要求：按招投标文件（相应）技术标准和要求执行。</w:t>
      </w:r>
    </w:p>
    <w:p>
      <w:pPr>
        <w:autoSpaceDE w:val="0"/>
        <w:autoSpaceDN w:val="0"/>
        <w:spacing w:line="360" w:lineRule="exact"/>
        <w:ind w:firstLine="420" w:firstLineChars="200"/>
        <w:rPr>
          <w:color w:val="auto"/>
          <w:szCs w:val="21"/>
          <w:u w:val="single"/>
        </w:rPr>
      </w:pPr>
      <w:r>
        <w:rPr>
          <w:rFonts w:hint="eastAsia"/>
          <w:color w:val="auto"/>
          <w:szCs w:val="21"/>
          <w:u w:val="single"/>
        </w:rPr>
        <w:t>（2）本项目使用材料要求。</w:t>
      </w:r>
    </w:p>
    <w:p>
      <w:pPr>
        <w:spacing w:line="360" w:lineRule="exact"/>
        <w:ind w:firstLine="420" w:firstLineChars="200"/>
        <w:rPr>
          <w:color w:val="auto"/>
          <w:szCs w:val="21"/>
          <w:u w:val="single"/>
        </w:rPr>
      </w:pPr>
      <w:r>
        <w:rPr>
          <w:rFonts w:hint="eastAsia"/>
          <w:color w:val="auto"/>
          <w:szCs w:val="21"/>
          <w:u w:val="single"/>
        </w:rPr>
        <w:t>（3）所有材料必须有质保书或合格证，符合规范要求，且品牌、产地需报甲方备案，否则，因此产生的后果均由乙方负责。</w:t>
      </w:r>
    </w:p>
    <w:p>
      <w:pPr>
        <w:spacing w:line="360" w:lineRule="exact"/>
        <w:ind w:firstLine="420" w:firstLineChars="200"/>
        <w:rPr>
          <w:color w:val="auto"/>
          <w:szCs w:val="21"/>
          <w:u w:val="single"/>
        </w:rPr>
      </w:pPr>
      <w:r>
        <w:rPr>
          <w:rFonts w:hint="eastAsia"/>
          <w:color w:val="auto"/>
          <w:szCs w:val="21"/>
          <w:u w:val="single"/>
        </w:rPr>
        <w:t>（4）凡是招标文件注明规格、型号或相当于的厂家（品牌、产地）的材料，乙方必须按照招标文件要求采购和施工，优先使用相当于的厂家（品牌、产地），如需调整，必须经得甲方认可，否则由此引起的后果由乙方承担。</w:t>
      </w:r>
    </w:p>
    <w:p>
      <w:pPr>
        <w:spacing w:line="360" w:lineRule="exact"/>
        <w:ind w:firstLine="420" w:firstLineChars="200"/>
        <w:rPr>
          <w:color w:val="auto"/>
          <w:szCs w:val="21"/>
          <w:u w:val="single"/>
        </w:rPr>
      </w:pPr>
      <w:r>
        <w:rPr>
          <w:rFonts w:hint="eastAsia"/>
          <w:color w:val="auto"/>
          <w:szCs w:val="21"/>
          <w:u w:val="single"/>
        </w:rPr>
        <w:t>（5）所有设备、材料等均需有产品合格证和质保书等必要资料，符合国家规定的技术标准，并且须经甲方及监理单位验收合格后方可使用。</w:t>
      </w:r>
    </w:p>
    <w:p>
      <w:pPr>
        <w:spacing w:line="360" w:lineRule="exact"/>
        <w:ind w:firstLine="420" w:firstLineChars="200"/>
        <w:rPr>
          <w:color w:val="auto"/>
          <w:szCs w:val="21"/>
        </w:rPr>
      </w:pPr>
      <w:r>
        <w:rPr>
          <w:rFonts w:hint="eastAsia"/>
          <w:color w:val="auto"/>
          <w:szCs w:val="21"/>
          <w:u w:val="single"/>
        </w:rPr>
        <w:t>（6）根据项目需要，甲方有权对乙方投标时确认的品牌进行更换，更换后的材料价格由甲方签证进行结算。</w:t>
      </w:r>
    </w:p>
    <w:p>
      <w:pPr>
        <w:spacing w:line="360" w:lineRule="exact"/>
        <w:ind w:firstLine="420" w:firstLineChars="200"/>
        <w:rPr>
          <w:color w:val="auto"/>
          <w:szCs w:val="21"/>
        </w:rPr>
      </w:pPr>
      <w:r>
        <w:rPr>
          <w:color w:val="auto"/>
          <w:szCs w:val="21"/>
        </w:rPr>
        <w:t>8.</w:t>
      </w:r>
      <w:r>
        <w:rPr>
          <w:rFonts w:hint="eastAsia"/>
          <w:color w:val="auto"/>
          <w:szCs w:val="21"/>
        </w:rPr>
        <w:t>2</w:t>
      </w:r>
      <w:r>
        <w:rPr>
          <w:color w:val="auto"/>
          <w:szCs w:val="21"/>
        </w:rPr>
        <w:t>材料与</w:t>
      </w:r>
      <w:r>
        <w:rPr>
          <w:rFonts w:hint="eastAsia"/>
          <w:color w:val="auto"/>
          <w:szCs w:val="21"/>
        </w:rPr>
        <w:t>项目</w:t>
      </w:r>
      <w:r>
        <w:rPr>
          <w:color w:val="auto"/>
          <w:szCs w:val="21"/>
        </w:rPr>
        <w:t>设备的保管与使用</w:t>
      </w:r>
    </w:p>
    <w:p>
      <w:pPr>
        <w:spacing w:line="360" w:lineRule="exact"/>
        <w:ind w:firstLine="420" w:firstLineChars="200"/>
        <w:rPr>
          <w:color w:val="auto"/>
          <w:szCs w:val="21"/>
        </w:rPr>
      </w:pPr>
      <w:r>
        <w:rPr>
          <w:color w:val="auto"/>
          <w:szCs w:val="21"/>
        </w:rPr>
        <w:t>8.</w:t>
      </w:r>
      <w:r>
        <w:rPr>
          <w:rFonts w:hint="eastAsia"/>
          <w:color w:val="auto"/>
          <w:szCs w:val="21"/>
        </w:rPr>
        <w:t>2</w:t>
      </w:r>
      <w:r>
        <w:rPr>
          <w:color w:val="auto"/>
          <w:szCs w:val="21"/>
        </w:rPr>
        <w:t>.1</w:t>
      </w:r>
      <w:r>
        <w:rPr>
          <w:rFonts w:hint="eastAsia"/>
          <w:color w:val="auto"/>
          <w:szCs w:val="21"/>
        </w:rPr>
        <w:t>甲方</w:t>
      </w:r>
      <w:r>
        <w:rPr>
          <w:color w:val="auto"/>
          <w:szCs w:val="21"/>
        </w:rPr>
        <w:t>供应的材料设备的保管费用的承担：</w:t>
      </w:r>
      <w:r>
        <w:rPr>
          <w:rFonts w:hint="eastAsia"/>
          <w:color w:val="auto"/>
          <w:szCs w:val="21"/>
          <w:u w:val="single"/>
        </w:rPr>
        <w:t xml:space="preserve">/ </w:t>
      </w:r>
      <w:r>
        <w:rPr>
          <w:color w:val="auto"/>
          <w:szCs w:val="21"/>
        </w:rPr>
        <w:t>。</w:t>
      </w:r>
    </w:p>
    <w:p>
      <w:pPr>
        <w:spacing w:line="360" w:lineRule="exact"/>
        <w:ind w:firstLine="420" w:firstLineChars="200"/>
        <w:rPr>
          <w:color w:val="auto"/>
          <w:szCs w:val="21"/>
        </w:rPr>
      </w:pPr>
      <w:r>
        <w:rPr>
          <w:color w:val="auto"/>
          <w:szCs w:val="21"/>
        </w:rPr>
        <w:t>8.6 样品</w:t>
      </w:r>
    </w:p>
    <w:p>
      <w:pPr>
        <w:autoSpaceDE w:val="0"/>
        <w:autoSpaceDN w:val="0"/>
        <w:adjustRightInd w:val="0"/>
        <w:spacing w:line="360" w:lineRule="exact"/>
        <w:ind w:firstLine="420" w:firstLineChars="200"/>
        <w:rPr>
          <w:color w:val="auto"/>
          <w:kern w:val="0"/>
          <w:szCs w:val="21"/>
        </w:rPr>
      </w:pPr>
      <w:r>
        <w:rPr>
          <w:color w:val="auto"/>
          <w:kern w:val="0"/>
          <w:szCs w:val="21"/>
        </w:rPr>
        <w:t>8.6.1</w:t>
      </w:r>
      <w:r>
        <w:rPr>
          <w:color w:val="auto"/>
          <w:kern w:val="0"/>
          <w:szCs w:val="21"/>
        </w:rPr>
        <w:tab/>
      </w:r>
      <w:r>
        <w:rPr>
          <w:color w:val="auto"/>
          <w:kern w:val="0"/>
          <w:szCs w:val="21"/>
        </w:rPr>
        <w:t>样品的报送</w:t>
      </w:r>
      <w:r>
        <w:rPr>
          <w:rFonts w:hint="eastAsia"/>
          <w:color w:val="auto"/>
          <w:kern w:val="0"/>
          <w:szCs w:val="21"/>
        </w:rPr>
        <w:t>与封存</w:t>
      </w:r>
    </w:p>
    <w:p>
      <w:pPr>
        <w:autoSpaceDE w:val="0"/>
        <w:autoSpaceDN w:val="0"/>
        <w:adjustRightInd w:val="0"/>
        <w:spacing w:line="360" w:lineRule="exact"/>
        <w:ind w:firstLine="420" w:firstLineChars="200"/>
        <w:rPr>
          <w:color w:val="auto"/>
          <w:szCs w:val="21"/>
        </w:rPr>
      </w:pPr>
      <w:r>
        <w:rPr>
          <w:color w:val="auto"/>
          <w:kern w:val="0"/>
          <w:szCs w:val="21"/>
        </w:rPr>
        <w:t>需要</w:t>
      </w:r>
      <w:r>
        <w:rPr>
          <w:rFonts w:hint="eastAsia"/>
          <w:color w:val="auto"/>
          <w:kern w:val="0"/>
          <w:szCs w:val="21"/>
        </w:rPr>
        <w:t>乙方</w:t>
      </w:r>
      <w:r>
        <w:rPr>
          <w:color w:val="auto"/>
          <w:kern w:val="0"/>
          <w:szCs w:val="21"/>
        </w:rPr>
        <w:t>报送样品的材料或</w:t>
      </w:r>
      <w:r>
        <w:rPr>
          <w:rFonts w:hint="eastAsia"/>
          <w:color w:val="auto"/>
          <w:kern w:val="0"/>
          <w:szCs w:val="21"/>
        </w:rPr>
        <w:t>项目</w:t>
      </w:r>
      <w:r>
        <w:rPr>
          <w:color w:val="auto"/>
          <w:kern w:val="0"/>
          <w:szCs w:val="21"/>
        </w:rPr>
        <w:t>设备，样品的种类、名称、规格、数量要求：</w:t>
      </w:r>
      <w:r>
        <w:rPr>
          <w:rFonts w:hint="eastAsia"/>
          <w:color w:val="auto"/>
          <w:szCs w:val="21"/>
          <w:u w:val="single"/>
        </w:rPr>
        <w:t>按招标文件要求</w:t>
      </w:r>
      <w:r>
        <w:rPr>
          <w:color w:val="auto"/>
          <w:szCs w:val="21"/>
          <w:u w:val="single"/>
        </w:rPr>
        <w:t>。</w:t>
      </w:r>
    </w:p>
    <w:p>
      <w:pPr>
        <w:spacing w:line="360" w:lineRule="exact"/>
        <w:ind w:firstLine="420" w:firstLineChars="200"/>
        <w:rPr>
          <w:color w:val="auto"/>
          <w:szCs w:val="21"/>
        </w:rPr>
      </w:pPr>
      <w:r>
        <w:rPr>
          <w:color w:val="auto"/>
          <w:szCs w:val="21"/>
        </w:rPr>
        <w:t>8.</w:t>
      </w:r>
      <w:r>
        <w:rPr>
          <w:rFonts w:hint="eastAsia"/>
          <w:color w:val="auto"/>
          <w:szCs w:val="21"/>
        </w:rPr>
        <w:t>7</w:t>
      </w:r>
      <w:r>
        <w:rPr>
          <w:color w:val="auto"/>
          <w:szCs w:val="21"/>
        </w:rPr>
        <w:t xml:space="preserve"> 施工设备和临时设施</w:t>
      </w:r>
    </w:p>
    <w:p>
      <w:pPr>
        <w:autoSpaceDE w:val="0"/>
        <w:autoSpaceDN w:val="0"/>
        <w:adjustRightInd w:val="0"/>
        <w:spacing w:line="360" w:lineRule="exact"/>
        <w:ind w:firstLine="420" w:firstLineChars="200"/>
        <w:rPr>
          <w:color w:val="auto"/>
          <w:szCs w:val="21"/>
        </w:rPr>
      </w:pPr>
      <w:r>
        <w:rPr>
          <w:color w:val="auto"/>
          <w:szCs w:val="21"/>
        </w:rPr>
        <w:t>8.</w:t>
      </w:r>
      <w:r>
        <w:rPr>
          <w:rFonts w:hint="eastAsia"/>
          <w:color w:val="auto"/>
          <w:szCs w:val="21"/>
        </w:rPr>
        <w:t>7</w:t>
      </w:r>
      <w:r>
        <w:rPr>
          <w:color w:val="auto"/>
          <w:szCs w:val="21"/>
        </w:rPr>
        <w:t xml:space="preserve">.1 </w:t>
      </w:r>
      <w:r>
        <w:rPr>
          <w:rFonts w:hint="eastAsia"/>
          <w:color w:val="auto"/>
          <w:szCs w:val="21"/>
        </w:rPr>
        <w:t>乙方</w:t>
      </w:r>
      <w:r>
        <w:rPr>
          <w:color w:val="auto"/>
          <w:szCs w:val="21"/>
        </w:rPr>
        <w:t>提供的施工设备和临时设施</w:t>
      </w:r>
    </w:p>
    <w:p>
      <w:pPr>
        <w:autoSpaceDE w:val="0"/>
        <w:autoSpaceDN w:val="0"/>
        <w:adjustRightInd w:val="0"/>
        <w:spacing w:line="360" w:lineRule="exact"/>
        <w:ind w:firstLine="420" w:firstLineChars="200"/>
        <w:rPr>
          <w:color w:val="auto"/>
          <w:szCs w:val="21"/>
        </w:rPr>
      </w:pPr>
      <w:r>
        <w:rPr>
          <w:color w:val="auto"/>
          <w:szCs w:val="21"/>
        </w:rPr>
        <w:t>关于临时设施费用承担的约定：</w:t>
      </w:r>
      <w:r>
        <w:rPr>
          <w:rFonts w:hint="eastAsia"/>
          <w:color w:val="auto"/>
          <w:szCs w:val="21"/>
          <w:u w:val="single"/>
        </w:rPr>
        <w:t>由乙方承担</w:t>
      </w:r>
      <w:r>
        <w:rPr>
          <w:color w:val="auto"/>
          <w:szCs w:val="21"/>
          <w:u w:val="single"/>
        </w:rPr>
        <w:t>。</w:t>
      </w:r>
    </w:p>
    <w:p>
      <w:pPr>
        <w:pStyle w:val="9"/>
        <w:tabs>
          <w:tab w:val="left" w:pos="142"/>
          <w:tab w:val="left" w:pos="993"/>
          <w:tab w:val="left" w:pos="1418"/>
          <w:tab w:val="left" w:pos="1560"/>
        </w:tabs>
        <w:spacing w:before="0" w:after="0" w:line="360" w:lineRule="exact"/>
        <w:ind w:firstLine="422" w:firstLineChars="200"/>
        <w:rPr>
          <w:rFonts w:ascii="Times New Roman" w:hAnsi="Times New Roman"/>
          <w:color w:val="auto"/>
          <w:sz w:val="21"/>
          <w:szCs w:val="21"/>
        </w:rPr>
      </w:pPr>
      <w:r>
        <w:rPr>
          <w:rFonts w:ascii="Times New Roman" w:hAnsi="Times New Roman"/>
          <w:color w:val="auto"/>
          <w:sz w:val="21"/>
          <w:szCs w:val="21"/>
        </w:rPr>
        <w:t>9. 试验与检验</w:t>
      </w:r>
    </w:p>
    <w:p>
      <w:pPr>
        <w:spacing w:line="360" w:lineRule="exact"/>
        <w:ind w:firstLine="420" w:firstLineChars="200"/>
        <w:rPr>
          <w:color w:val="auto"/>
          <w:szCs w:val="21"/>
        </w:rPr>
      </w:pPr>
      <w:r>
        <w:rPr>
          <w:color w:val="auto"/>
          <w:szCs w:val="21"/>
        </w:rPr>
        <w:t>9.1试验设备与试验人员</w:t>
      </w:r>
    </w:p>
    <w:p>
      <w:pPr>
        <w:spacing w:line="360" w:lineRule="exact"/>
        <w:ind w:firstLine="420" w:firstLineChars="200"/>
        <w:rPr>
          <w:color w:val="auto"/>
          <w:szCs w:val="21"/>
        </w:rPr>
      </w:pPr>
      <w:r>
        <w:rPr>
          <w:color w:val="auto"/>
          <w:szCs w:val="21"/>
        </w:rPr>
        <w:t>9.1.</w:t>
      </w:r>
      <w:r>
        <w:rPr>
          <w:rFonts w:hint="eastAsia"/>
          <w:color w:val="auto"/>
          <w:szCs w:val="21"/>
        </w:rPr>
        <w:t>1</w:t>
      </w:r>
      <w:r>
        <w:rPr>
          <w:color w:val="auto"/>
          <w:szCs w:val="21"/>
        </w:rPr>
        <w:t xml:space="preserve"> 试验设备</w:t>
      </w:r>
    </w:p>
    <w:p>
      <w:pPr>
        <w:spacing w:line="360" w:lineRule="exact"/>
        <w:ind w:firstLine="420" w:firstLineChars="200"/>
        <w:rPr>
          <w:color w:val="auto"/>
          <w:szCs w:val="21"/>
        </w:rPr>
      </w:pPr>
      <w:r>
        <w:rPr>
          <w:color w:val="auto"/>
          <w:szCs w:val="21"/>
        </w:rPr>
        <w:t>施工现场需要配置的试验场所：</w:t>
      </w:r>
      <w:r>
        <w:rPr>
          <w:rFonts w:hint="eastAsia"/>
          <w:color w:val="auto"/>
          <w:szCs w:val="21"/>
          <w:u w:val="single"/>
        </w:rPr>
        <w:t>/</w:t>
      </w:r>
      <w:r>
        <w:rPr>
          <w:color w:val="auto"/>
          <w:szCs w:val="21"/>
        </w:rPr>
        <w:t>。</w:t>
      </w:r>
    </w:p>
    <w:p>
      <w:pPr>
        <w:spacing w:line="360" w:lineRule="exact"/>
        <w:ind w:firstLine="420" w:firstLineChars="200"/>
        <w:rPr>
          <w:color w:val="auto"/>
          <w:szCs w:val="21"/>
        </w:rPr>
      </w:pPr>
      <w:r>
        <w:rPr>
          <w:color w:val="auto"/>
          <w:szCs w:val="21"/>
        </w:rPr>
        <w:t>施工现场需要配备的</w:t>
      </w:r>
      <w:r>
        <w:rPr>
          <w:rFonts w:hint="eastAsia"/>
          <w:color w:val="auto"/>
          <w:szCs w:val="21"/>
        </w:rPr>
        <w:t>检</w:t>
      </w:r>
      <w:r>
        <w:rPr>
          <w:color w:val="auto"/>
          <w:szCs w:val="21"/>
        </w:rPr>
        <w:t>验设备：</w:t>
      </w:r>
      <w:r>
        <w:rPr>
          <w:rFonts w:hint="eastAsia"/>
          <w:color w:val="auto"/>
          <w:szCs w:val="21"/>
          <w:u w:val="single"/>
        </w:rPr>
        <w:t>按招标文件要求</w:t>
      </w:r>
      <w:r>
        <w:rPr>
          <w:color w:val="auto"/>
          <w:szCs w:val="21"/>
        </w:rPr>
        <w:t>。</w:t>
      </w:r>
    </w:p>
    <w:p>
      <w:pPr>
        <w:spacing w:line="360" w:lineRule="exact"/>
        <w:ind w:firstLine="420" w:firstLineChars="200"/>
        <w:rPr>
          <w:color w:val="auto"/>
          <w:szCs w:val="21"/>
        </w:rPr>
      </w:pPr>
      <w:r>
        <w:rPr>
          <w:color w:val="auto"/>
          <w:szCs w:val="21"/>
        </w:rPr>
        <w:t>施工现场需要具备的其他试验条件：</w:t>
      </w:r>
      <w:r>
        <w:rPr>
          <w:rFonts w:hint="eastAsia"/>
          <w:color w:val="auto"/>
          <w:szCs w:val="21"/>
          <w:u w:val="single"/>
        </w:rPr>
        <w:t>/</w:t>
      </w:r>
      <w:r>
        <w:rPr>
          <w:color w:val="auto"/>
          <w:szCs w:val="21"/>
        </w:rPr>
        <w:t>。</w:t>
      </w:r>
    </w:p>
    <w:p>
      <w:pPr>
        <w:spacing w:line="360" w:lineRule="auto"/>
        <w:ind w:firstLine="420" w:firstLineChars="200"/>
        <w:jc w:val="left"/>
        <w:rPr>
          <w:color w:val="auto"/>
          <w:szCs w:val="21"/>
        </w:rPr>
      </w:pPr>
      <w:r>
        <w:rPr>
          <w:rFonts w:hint="eastAsia"/>
          <w:color w:val="auto"/>
          <w:szCs w:val="21"/>
        </w:rPr>
        <w:t>9.2材料、项目设备和项目的试验和检验</w:t>
      </w:r>
    </w:p>
    <w:p>
      <w:pPr>
        <w:spacing w:line="360" w:lineRule="exact"/>
        <w:ind w:firstLine="420" w:firstLineChars="200"/>
        <w:rPr>
          <w:color w:val="auto"/>
          <w:szCs w:val="21"/>
        </w:rPr>
      </w:pPr>
      <w:r>
        <w:rPr>
          <w:rFonts w:hint="eastAsia"/>
          <w:color w:val="auto"/>
          <w:szCs w:val="21"/>
        </w:rPr>
        <w:t>材料、设备和项目的试验和检验的费用：</w:t>
      </w:r>
    </w:p>
    <w:p>
      <w:pPr>
        <w:spacing w:line="360" w:lineRule="exact"/>
        <w:ind w:firstLine="420" w:firstLineChars="200"/>
        <w:rPr>
          <w:color w:val="auto"/>
          <w:szCs w:val="21"/>
          <w:u w:val="single"/>
        </w:rPr>
      </w:pPr>
      <w:r>
        <w:rPr>
          <w:rFonts w:hint="eastAsia"/>
          <w:color w:val="auto"/>
          <w:szCs w:val="21"/>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乙方承担；专项检测试验费、新结构、新材料、构件破坏性试验及其他特殊要求检测试验等检测试验费由甲方承担。</w:t>
      </w:r>
    </w:p>
    <w:p>
      <w:pPr>
        <w:spacing w:line="360" w:lineRule="exact"/>
        <w:ind w:firstLine="420" w:firstLineChars="200"/>
        <w:rPr>
          <w:color w:val="auto"/>
          <w:szCs w:val="21"/>
          <w:u w:val="single"/>
        </w:rPr>
      </w:pPr>
      <w:r>
        <w:rPr>
          <w:rFonts w:hint="eastAsia"/>
          <w:color w:val="auto"/>
          <w:szCs w:val="21"/>
          <w:u w:val="single"/>
        </w:rPr>
        <w:t>（2）当甲方或监理人指示乙方为核实本项目某一部分或某种材料设备是否有缺陷时，乙方应按要求进行检（试）验。如果该检（试）验表明确有缺陷存在，则检（试）验和试样的费用，甲方供应材料设备的，由甲方承担；乙方采购材料设备的，由乙方承担。如果该检（试）验表明没有缺陷，则由甲方承担检（试）验和试样的费用。</w:t>
      </w:r>
    </w:p>
    <w:p>
      <w:pPr>
        <w:spacing w:line="360" w:lineRule="exact"/>
        <w:ind w:firstLine="420" w:firstLineChars="200"/>
        <w:rPr>
          <w:color w:val="auto"/>
          <w:szCs w:val="21"/>
          <w:u w:val="single"/>
        </w:rPr>
      </w:pPr>
      <w:r>
        <w:rPr>
          <w:rFonts w:hint="eastAsia"/>
          <w:color w:val="auto"/>
          <w:szCs w:val="21"/>
          <w:u w:val="single"/>
        </w:rPr>
        <w:t>（3）当质量安全管理机构根据相关规范要求开展，要求甲方与乙方开展本工程某一部分质量实体或某项材料设备质量监督抽检，甲方与乙方应配合，按要求进行检（试）验，检测、恢复费用由甲方承担。如检测不合格，则由乙方承担本次及重新检测、恢复费用。</w:t>
      </w:r>
    </w:p>
    <w:p>
      <w:pPr>
        <w:spacing w:line="360" w:lineRule="exact"/>
        <w:ind w:firstLine="420" w:firstLineChars="200"/>
        <w:rPr>
          <w:color w:val="auto"/>
          <w:szCs w:val="21"/>
        </w:rPr>
      </w:pPr>
      <w:r>
        <w:rPr>
          <w:color w:val="auto"/>
          <w:szCs w:val="21"/>
        </w:rPr>
        <w:t>9.</w:t>
      </w:r>
      <w:r>
        <w:rPr>
          <w:rFonts w:hint="eastAsia"/>
          <w:color w:val="auto"/>
          <w:szCs w:val="21"/>
        </w:rPr>
        <w:t>3</w:t>
      </w:r>
      <w:r>
        <w:rPr>
          <w:color w:val="auto"/>
          <w:szCs w:val="21"/>
        </w:rPr>
        <w:t xml:space="preserve"> 现场工艺试验</w:t>
      </w:r>
    </w:p>
    <w:p>
      <w:pPr>
        <w:spacing w:line="360" w:lineRule="exact"/>
        <w:ind w:firstLine="420" w:firstLineChars="200"/>
        <w:rPr>
          <w:color w:val="auto"/>
          <w:szCs w:val="21"/>
        </w:rPr>
      </w:pPr>
      <w:r>
        <w:rPr>
          <w:color w:val="auto"/>
          <w:szCs w:val="21"/>
        </w:rPr>
        <w:t>现场工艺试验的有关约定：</w:t>
      </w:r>
      <w:r>
        <w:rPr>
          <w:rFonts w:hint="eastAsia"/>
          <w:color w:val="auto"/>
          <w:szCs w:val="21"/>
          <w:u w:val="single"/>
        </w:rPr>
        <w:t xml:space="preserve">/                               </w:t>
      </w:r>
      <w:r>
        <w:rPr>
          <w:color w:val="auto"/>
          <w:szCs w:val="21"/>
        </w:rPr>
        <w:t>。</w:t>
      </w:r>
    </w:p>
    <w:p>
      <w:pPr>
        <w:pStyle w:val="9"/>
        <w:tabs>
          <w:tab w:val="left" w:pos="142"/>
          <w:tab w:val="left" w:pos="993"/>
          <w:tab w:val="left" w:pos="1418"/>
          <w:tab w:val="left" w:pos="1560"/>
        </w:tabs>
        <w:spacing w:before="0" w:after="0" w:line="360" w:lineRule="exact"/>
        <w:ind w:firstLine="422" w:firstLineChars="200"/>
        <w:rPr>
          <w:rFonts w:ascii="Times New Roman" w:hAnsi="Times New Roman"/>
          <w:color w:val="auto"/>
          <w:sz w:val="21"/>
          <w:szCs w:val="21"/>
        </w:rPr>
      </w:pPr>
      <w:r>
        <w:rPr>
          <w:rFonts w:ascii="Times New Roman" w:hAnsi="Times New Roman"/>
          <w:color w:val="auto"/>
          <w:sz w:val="21"/>
          <w:szCs w:val="21"/>
        </w:rPr>
        <w:t>10. 变更</w:t>
      </w:r>
    </w:p>
    <w:p>
      <w:pPr>
        <w:spacing w:line="360" w:lineRule="exact"/>
        <w:ind w:firstLine="420" w:firstLineChars="200"/>
        <w:rPr>
          <w:color w:val="auto"/>
          <w:szCs w:val="21"/>
        </w:rPr>
      </w:pPr>
      <w:r>
        <w:rPr>
          <w:color w:val="auto"/>
          <w:szCs w:val="21"/>
        </w:rPr>
        <w:t>10.1变更的范围</w:t>
      </w:r>
    </w:p>
    <w:p>
      <w:pPr>
        <w:spacing w:line="360" w:lineRule="exact"/>
        <w:ind w:firstLine="420" w:firstLineChars="200"/>
        <w:rPr>
          <w:color w:val="auto"/>
          <w:szCs w:val="21"/>
        </w:rPr>
      </w:pPr>
      <w:r>
        <w:rPr>
          <w:color w:val="auto"/>
          <w:szCs w:val="21"/>
        </w:rPr>
        <w:t>关于变更的范围的约定：</w:t>
      </w:r>
      <w:r>
        <w:rPr>
          <w:rFonts w:hint="eastAsia"/>
          <w:color w:val="auto"/>
          <w:szCs w:val="21"/>
          <w:u w:val="single"/>
        </w:rPr>
        <w:t>按合同通用条款</w:t>
      </w:r>
      <w:r>
        <w:rPr>
          <w:color w:val="auto"/>
          <w:szCs w:val="21"/>
          <w:u w:val="single"/>
        </w:rPr>
        <w:t>。</w:t>
      </w:r>
      <w:r>
        <w:rPr>
          <w:rFonts w:hint="eastAsia"/>
          <w:color w:val="auto"/>
          <w:szCs w:val="21"/>
          <w:u w:val="single"/>
        </w:rPr>
        <w:t>项目变更引起工作量的减少或增加，乙方不得因此拒绝施工</w:t>
      </w:r>
      <w:r>
        <w:rPr>
          <w:color w:val="auto"/>
          <w:szCs w:val="21"/>
        </w:rPr>
        <w:t>。</w:t>
      </w:r>
    </w:p>
    <w:p>
      <w:pPr>
        <w:spacing w:line="360" w:lineRule="exact"/>
        <w:ind w:firstLine="420" w:firstLineChars="200"/>
        <w:rPr>
          <w:color w:val="auto"/>
          <w:szCs w:val="21"/>
        </w:rPr>
      </w:pPr>
      <w:r>
        <w:rPr>
          <w:color w:val="auto"/>
          <w:szCs w:val="21"/>
        </w:rPr>
        <w:t>10.</w:t>
      </w:r>
      <w:r>
        <w:rPr>
          <w:rFonts w:hint="eastAsia"/>
          <w:color w:val="auto"/>
          <w:szCs w:val="21"/>
        </w:rPr>
        <w:t>2</w:t>
      </w:r>
      <w:r>
        <w:rPr>
          <w:color w:val="auto"/>
          <w:szCs w:val="21"/>
        </w:rPr>
        <w:t>变更估价</w:t>
      </w:r>
    </w:p>
    <w:p>
      <w:pPr>
        <w:spacing w:line="360" w:lineRule="exact"/>
        <w:ind w:firstLine="420" w:firstLineChars="200"/>
        <w:rPr>
          <w:color w:val="auto"/>
          <w:szCs w:val="21"/>
        </w:rPr>
      </w:pPr>
      <w:r>
        <w:rPr>
          <w:rFonts w:hint="eastAsia"/>
          <w:color w:val="auto"/>
          <w:szCs w:val="21"/>
        </w:rPr>
        <w:t>10.2.1 变更估价原则</w:t>
      </w:r>
    </w:p>
    <w:p>
      <w:pPr>
        <w:spacing w:line="360" w:lineRule="auto"/>
        <w:ind w:firstLine="315" w:firstLineChars="150"/>
        <w:jc w:val="left"/>
        <w:rPr>
          <w:color w:val="auto"/>
          <w:szCs w:val="21"/>
        </w:rPr>
      </w:pPr>
      <w:r>
        <w:rPr>
          <w:color w:val="auto"/>
          <w:szCs w:val="21"/>
        </w:rPr>
        <w:t xml:space="preserve">关于变更估价的约定: </w:t>
      </w:r>
    </w:p>
    <w:p>
      <w:pPr>
        <w:spacing w:line="360" w:lineRule="exact"/>
        <w:ind w:firstLine="420" w:firstLineChars="200"/>
        <w:rPr>
          <w:color w:val="auto"/>
          <w:szCs w:val="21"/>
          <w:u w:val="single"/>
        </w:rPr>
      </w:pPr>
      <w:r>
        <w:rPr>
          <w:rFonts w:hint="eastAsia"/>
          <w:color w:val="auto"/>
          <w:szCs w:val="21"/>
          <w:u w:val="single"/>
        </w:rPr>
        <w:t>（1）已标价工作量清单或预算书有相同项目的，按照相同项目单价认定。</w:t>
      </w:r>
    </w:p>
    <w:p>
      <w:pPr>
        <w:spacing w:line="360" w:lineRule="exact"/>
        <w:ind w:firstLine="420" w:firstLineChars="200"/>
        <w:rPr>
          <w:color w:val="auto"/>
          <w:szCs w:val="21"/>
        </w:rPr>
      </w:pPr>
      <w:r>
        <w:rPr>
          <w:rFonts w:hint="eastAsia"/>
          <w:color w:val="auto"/>
          <w:szCs w:val="21"/>
        </w:rPr>
        <w:t>10.2.2 变更估价程序</w:t>
      </w:r>
    </w:p>
    <w:p>
      <w:pPr>
        <w:spacing w:line="360" w:lineRule="exact"/>
        <w:ind w:firstLine="420" w:firstLineChars="200"/>
        <w:rPr>
          <w:color w:val="auto"/>
          <w:szCs w:val="21"/>
          <w:u w:val="single"/>
        </w:rPr>
      </w:pPr>
      <w:r>
        <w:rPr>
          <w:rFonts w:hint="eastAsia"/>
          <w:color w:val="auto"/>
          <w:szCs w:val="21"/>
          <w:u w:val="single"/>
        </w:rPr>
        <w:t>乙方收到甲方、监理人、设计单位的变更指示后14天内向甲方提交变更估价申请。</w:t>
      </w:r>
    </w:p>
    <w:p>
      <w:pPr>
        <w:spacing w:line="360" w:lineRule="exact"/>
        <w:ind w:firstLine="420" w:firstLineChars="200"/>
        <w:rPr>
          <w:color w:val="auto"/>
          <w:szCs w:val="21"/>
          <w:u w:val="single"/>
        </w:rPr>
      </w:pPr>
      <w:r>
        <w:rPr>
          <w:rFonts w:hint="eastAsia"/>
          <w:color w:val="auto"/>
          <w:szCs w:val="21"/>
          <w:u w:val="single"/>
        </w:rPr>
        <w:t>乙方提出项目变更、施工方案调整等变更应同时提交变更估价申请。</w:t>
      </w:r>
    </w:p>
    <w:p>
      <w:pPr>
        <w:spacing w:line="360" w:lineRule="exact"/>
        <w:ind w:firstLine="420" w:firstLineChars="200"/>
        <w:rPr>
          <w:color w:val="auto"/>
          <w:szCs w:val="21"/>
        </w:rPr>
      </w:pPr>
      <w:r>
        <w:rPr>
          <w:color w:val="auto"/>
          <w:szCs w:val="21"/>
        </w:rPr>
        <w:t>10.</w:t>
      </w:r>
      <w:r>
        <w:rPr>
          <w:rFonts w:hint="eastAsia"/>
          <w:color w:val="auto"/>
          <w:szCs w:val="21"/>
        </w:rPr>
        <w:t>3乙方</w:t>
      </w:r>
      <w:r>
        <w:rPr>
          <w:color w:val="auto"/>
          <w:szCs w:val="21"/>
        </w:rPr>
        <w:t>的合理化建议</w:t>
      </w:r>
    </w:p>
    <w:p>
      <w:pPr>
        <w:spacing w:line="360" w:lineRule="exact"/>
        <w:ind w:firstLine="420" w:firstLineChars="200"/>
        <w:rPr>
          <w:color w:val="auto"/>
          <w:szCs w:val="21"/>
        </w:rPr>
      </w:pPr>
      <w:r>
        <w:rPr>
          <w:color w:val="auto"/>
          <w:szCs w:val="21"/>
        </w:rPr>
        <w:t>监理人审查</w:t>
      </w:r>
      <w:r>
        <w:rPr>
          <w:rFonts w:hint="eastAsia"/>
          <w:color w:val="auto"/>
          <w:szCs w:val="21"/>
        </w:rPr>
        <w:t>乙方</w:t>
      </w:r>
      <w:r>
        <w:rPr>
          <w:color w:val="auto"/>
          <w:szCs w:val="21"/>
        </w:rPr>
        <w:t>合理化建议的期限：</w:t>
      </w:r>
      <w:r>
        <w:rPr>
          <w:rFonts w:hint="eastAsia"/>
          <w:color w:val="auto"/>
          <w:szCs w:val="21"/>
          <w:u w:val="single"/>
        </w:rPr>
        <w:t>按通用条款执行</w:t>
      </w:r>
      <w:r>
        <w:rPr>
          <w:color w:val="auto"/>
          <w:szCs w:val="21"/>
        </w:rPr>
        <w:t>。</w:t>
      </w:r>
    </w:p>
    <w:p>
      <w:pPr>
        <w:spacing w:line="360" w:lineRule="exact"/>
        <w:ind w:firstLine="420" w:firstLineChars="200"/>
        <w:rPr>
          <w:color w:val="auto"/>
          <w:szCs w:val="21"/>
        </w:rPr>
      </w:pPr>
      <w:r>
        <w:rPr>
          <w:rFonts w:hint="eastAsia"/>
          <w:color w:val="auto"/>
          <w:szCs w:val="21"/>
        </w:rPr>
        <w:t>甲方</w:t>
      </w:r>
      <w:r>
        <w:rPr>
          <w:color w:val="auto"/>
          <w:szCs w:val="21"/>
        </w:rPr>
        <w:t>审批</w:t>
      </w:r>
      <w:r>
        <w:rPr>
          <w:rFonts w:hint="eastAsia"/>
          <w:color w:val="auto"/>
          <w:szCs w:val="21"/>
        </w:rPr>
        <w:t>乙方</w:t>
      </w:r>
      <w:r>
        <w:rPr>
          <w:color w:val="auto"/>
          <w:szCs w:val="21"/>
        </w:rPr>
        <w:t>合理化建议的期限：</w:t>
      </w:r>
      <w:r>
        <w:rPr>
          <w:rFonts w:hint="eastAsia"/>
          <w:color w:val="auto"/>
          <w:szCs w:val="21"/>
          <w:u w:val="single"/>
        </w:rPr>
        <w:t>按通用条款执行</w:t>
      </w:r>
      <w:r>
        <w:rPr>
          <w:color w:val="auto"/>
          <w:szCs w:val="21"/>
        </w:rPr>
        <w:t>。</w:t>
      </w:r>
    </w:p>
    <w:p>
      <w:pPr>
        <w:spacing w:line="360" w:lineRule="exact"/>
        <w:ind w:firstLine="420" w:firstLineChars="200"/>
        <w:rPr>
          <w:color w:val="auto"/>
          <w:szCs w:val="21"/>
          <w:u w:val="single"/>
        </w:rPr>
      </w:pPr>
      <w:r>
        <w:rPr>
          <w:rFonts w:hint="eastAsia"/>
          <w:color w:val="auto"/>
          <w:szCs w:val="21"/>
        </w:rPr>
        <w:t>乙方</w:t>
      </w:r>
      <w:r>
        <w:rPr>
          <w:color w:val="auto"/>
          <w:szCs w:val="21"/>
        </w:rPr>
        <w:t>提出的合理化建议降低了合同价格或者提高了</w:t>
      </w:r>
      <w:r>
        <w:rPr>
          <w:rFonts w:hint="eastAsia"/>
          <w:color w:val="auto"/>
          <w:szCs w:val="21"/>
        </w:rPr>
        <w:t>项目</w:t>
      </w:r>
      <w:r>
        <w:rPr>
          <w:color w:val="auto"/>
          <w:szCs w:val="21"/>
        </w:rPr>
        <w:t>经济效益的奖励的方法和金额为：</w:t>
      </w:r>
      <w:r>
        <w:rPr>
          <w:rFonts w:hint="eastAsia"/>
          <w:color w:val="auto"/>
          <w:szCs w:val="21"/>
          <w:u w:val="single"/>
        </w:rPr>
        <w:t>/ 。</w:t>
      </w:r>
    </w:p>
    <w:p>
      <w:pPr>
        <w:spacing w:line="360" w:lineRule="exact"/>
        <w:ind w:firstLine="420" w:firstLineChars="200"/>
        <w:rPr>
          <w:color w:val="auto"/>
          <w:szCs w:val="21"/>
        </w:rPr>
      </w:pPr>
      <w:r>
        <w:rPr>
          <w:color w:val="auto"/>
          <w:szCs w:val="21"/>
        </w:rPr>
        <w:t>10.</w:t>
      </w:r>
      <w:r>
        <w:rPr>
          <w:rFonts w:hint="eastAsia"/>
          <w:color w:val="auto"/>
          <w:szCs w:val="21"/>
        </w:rPr>
        <w:t>4</w:t>
      </w:r>
      <w:r>
        <w:rPr>
          <w:color w:val="auto"/>
          <w:szCs w:val="21"/>
        </w:rPr>
        <w:t>暂估价</w:t>
      </w:r>
      <w:r>
        <w:rPr>
          <w:rFonts w:hint="eastAsia"/>
          <w:color w:val="auto"/>
          <w:szCs w:val="21"/>
          <w:u w:val="single"/>
        </w:rPr>
        <w:t xml:space="preserve">     /    </w:t>
      </w:r>
      <w:r>
        <w:rPr>
          <w:rFonts w:hint="eastAsia"/>
          <w:color w:val="auto"/>
          <w:szCs w:val="21"/>
        </w:rPr>
        <w:t>。</w:t>
      </w:r>
    </w:p>
    <w:p>
      <w:pPr>
        <w:spacing w:line="360" w:lineRule="exact"/>
        <w:ind w:firstLine="420" w:firstLineChars="200"/>
        <w:rPr>
          <w:color w:val="auto"/>
          <w:szCs w:val="21"/>
        </w:rPr>
      </w:pPr>
      <w:r>
        <w:rPr>
          <w:color w:val="auto"/>
          <w:szCs w:val="21"/>
        </w:rPr>
        <w:t>10.</w:t>
      </w:r>
      <w:r>
        <w:rPr>
          <w:rFonts w:hint="eastAsia"/>
          <w:color w:val="auto"/>
          <w:szCs w:val="21"/>
        </w:rPr>
        <w:t>5</w:t>
      </w:r>
      <w:r>
        <w:rPr>
          <w:color w:val="auto"/>
          <w:szCs w:val="21"/>
        </w:rPr>
        <w:t>.1 依法必须招标的暂估价项目</w:t>
      </w:r>
    </w:p>
    <w:p>
      <w:pPr>
        <w:spacing w:line="360" w:lineRule="exact"/>
        <w:ind w:firstLine="420" w:firstLineChars="200"/>
        <w:rPr>
          <w:color w:val="auto"/>
          <w:szCs w:val="21"/>
          <w:u w:val="single"/>
        </w:rPr>
      </w:pPr>
      <w:r>
        <w:rPr>
          <w:rFonts w:hint="eastAsia"/>
          <w:color w:val="auto"/>
          <w:szCs w:val="21"/>
          <w:u w:val="single"/>
        </w:rPr>
        <w:t>无承包价（暂定价）的单项材料、设备、专业分包项目估算价在30万元以上的（指可以向同一家供应商采购的同类材料总价），须由发、承包双方通过公开招标确定价格、供应商或分包人。乙方应按照施工进度计划，在招标工作启动前28天通知甲方，并提交暂估价招标方案和工作分工，招标工作接受有管辖权的建设项目招投标监督部门的监督。与组织招标工作有关的费用由甲方承担。</w:t>
      </w:r>
    </w:p>
    <w:p>
      <w:pPr>
        <w:spacing w:line="360" w:lineRule="exact"/>
        <w:ind w:firstLine="420" w:firstLineChars="200"/>
        <w:rPr>
          <w:color w:val="auto"/>
          <w:szCs w:val="21"/>
        </w:rPr>
      </w:pPr>
      <w:r>
        <w:rPr>
          <w:color w:val="auto"/>
          <w:szCs w:val="21"/>
        </w:rPr>
        <w:t>10.</w:t>
      </w:r>
      <w:r>
        <w:rPr>
          <w:rFonts w:hint="eastAsia"/>
          <w:color w:val="auto"/>
          <w:szCs w:val="21"/>
        </w:rPr>
        <w:t>5</w:t>
      </w:r>
      <w:r>
        <w:rPr>
          <w:color w:val="auto"/>
          <w:szCs w:val="21"/>
        </w:rPr>
        <w:t>.2 不属于依法必须招标的暂估价项目</w:t>
      </w:r>
    </w:p>
    <w:p>
      <w:pPr>
        <w:spacing w:line="360" w:lineRule="exact"/>
        <w:ind w:firstLine="420" w:firstLineChars="200"/>
        <w:rPr>
          <w:color w:val="auto"/>
          <w:szCs w:val="21"/>
        </w:rPr>
      </w:pPr>
      <w:r>
        <w:rPr>
          <w:rFonts w:hint="eastAsia"/>
          <w:color w:val="auto"/>
          <w:szCs w:val="21"/>
          <w:u w:val="single"/>
        </w:rPr>
        <w:t>按合同通用条款。</w:t>
      </w:r>
    </w:p>
    <w:p>
      <w:pPr>
        <w:spacing w:line="360" w:lineRule="exact"/>
        <w:ind w:firstLine="420" w:firstLineChars="200"/>
        <w:rPr>
          <w:color w:val="auto"/>
          <w:szCs w:val="21"/>
        </w:rPr>
      </w:pPr>
      <w:r>
        <w:rPr>
          <w:rFonts w:hint="eastAsia"/>
          <w:color w:val="auto"/>
          <w:szCs w:val="21"/>
        </w:rPr>
        <w:t>乙方</w:t>
      </w:r>
      <w:r>
        <w:rPr>
          <w:color w:val="auto"/>
          <w:szCs w:val="21"/>
        </w:rPr>
        <w:t>直接实施的暂估价项目的约定：</w:t>
      </w:r>
      <w:r>
        <w:rPr>
          <w:rFonts w:hint="eastAsia"/>
          <w:color w:val="auto"/>
          <w:szCs w:val="21"/>
          <w:u w:val="single"/>
        </w:rPr>
        <w:t xml:space="preserve">/     </w:t>
      </w:r>
      <w:r>
        <w:rPr>
          <w:color w:val="auto"/>
          <w:szCs w:val="21"/>
        </w:rPr>
        <w:t>。</w:t>
      </w:r>
    </w:p>
    <w:p>
      <w:pPr>
        <w:spacing w:line="360" w:lineRule="exact"/>
        <w:ind w:firstLine="420" w:firstLineChars="200"/>
        <w:rPr>
          <w:color w:val="auto"/>
          <w:szCs w:val="21"/>
        </w:rPr>
      </w:pPr>
      <w:r>
        <w:rPr>
          <w:color w:val="auto"/>
          <w:szCs w:val="21"/>
        </w:rPr>
        <w:t>10.</w:t>
      </w:r>
      <w:r>
        <w:rPr>
          <w:rFonts w:hint="eastAsia"/>
          <w:color w:val="auto"/>
          <w:szCs w:val="21"/>
        </w:rPr>
        <w:t>6</w:t>
      </w:r>
      <w:r>
        <w:rPr>
          <w:color w:val="auto"/>
          <w:szCs w:val="21"/>
        </w:rPr>
        <w:t xml:space="preserve"> 暂列金额</w:t>
      </w:r>
    </w:p>
    <w:p>
      <w:pPr>
        <w:autoSpaceDE w:val="0"/>
        <w:autoSpaceDN w:val="0"/>
        <w:adjustRightInd w:val="0"/>
        <w:spacing w:line="360" w:lineRule="exact"/>
        <w:ind w:firstLine="420" w:firstLineChars="200"/>
        <w:rPr>
          <w:color w:val="auto"/>
          <w:kern w:val="0"/>
          <w:szCs w:val="21"/>
        </w:rPr>
      </w:pPr>
      <w:r>
        <w:rPr>
          <w:rFonts w:hint="eastAsia"/>
          <w:color w:val="auto"/>
          <w:kern w:val="0"/>
          <w:szCs w:val="21"/>
        </w:rPr>
        <w:t>合同当事人关于暂列金额使用的约定：</w:t>
      </w:r>
      <w:r>
        <w:rPr>
          <w:rFonts w:hint="eastAsia"/>
          <w:color w:val="auto"/>
          <w:szCs w:val="21"/>
          <w:u w:val="single"/>
        </w:rPr>
        <w:t xml:space="preserve">/             </w:t>
      </w:r>
      <w:r>
        <w:rPr>
          <w:rFonts w:hint="eastAsia"/>
          <w:color w:val="auto"/>
          <w:kern w:val="0"/>
          <w:szCs w:val="21"/>
        </w:rPr>
        <w:t>。</w:t>
      </w:r>
    </w:p>
    <w:p>
      <w:pPr>
        <w:pStyle w:val="9"/>
        <w:tabs>
          <w:tab w:val="left" w:pos="142"/>
          <w:tab w:val="left" w:pos="993"/>
          <w:tab w:val="left" w:pos="1418"/>
          <w:tab w:val="left" w:pos="1560"/>
        </w:tabs>
        <w:spacing w:before="0" w:after="0" w:line="360" w:lineRule="exact"/>
        <w:ind w:firstLine="422" w:firstLineChars="200"/>
        <w:rPr>
          <w:rFonts w:ascii="Times New Roman" w:hAnsi="Times New Roman"/>
          <w:color w:val="auto"/>
          <w:sz w:val="21"/>
          <w:szCs w:val="21"/>
        </w:rPr>
      </w:pPr>
      <w:r>
        <w:rPr>
          <w:rFonts w:ascii="Times New Roman" w:hAnsi="Times New Roman"/>
          <w:color w:val="auto"/>
          <w:sz w:val="21"/>
          <w:szCs w:val="21"/>
        </w:rPr>
        <w:t>11. 价格调整</w:t>
      </w:r>
    </w:p>
    <w:p>
      <w:pPr>
        <w:spacing w:line="360" w:lineRule="exact"/>
        <w:ind w:firstLine="420" w:firstLineChars="200"/>
        <w:rPr>
          <w:color w:val="auto"/>
          <w:szCs w:val="21"/>
        </w:rPr>
      </w:pPr>
      <w:r>
        <w:rPr>
          <w:color w:val="auto"/>
          <w:szCs w:val="21"/>
        </w:rPr>
        <w:t>11.1 市场价格波动引起的调整</w:t>
      </w:r>
    </w:p>
    <w:p>
      <w:pPr>
        <w:spacing w:line="360" w:lineRule="exact"/>
        <w:ind w:firstLine="420" w:firstLineChars="200"/>
        <w:rPr>
          <w:color w:val="auto"/>
          <w:szCs w:val="21"/>
        </w:rPr>
      </w:pPr>
      <w:r>
        <w:rPr>
          <w:color w:val="auto"/>
          <w:kern w:val="0"/>
          <w:szCs w:val="21"/>
        </w:rPr>
        <w:t>市场价格波动是否调整合同价格的约定：</w:t>
      </w:r>
      <w:r>
        <w:rPr>
          <w:rFonts w:hint="eastAsia"/>
          <w:color w:val="auto"/>
          <w:szCs w:val="21"/>
          <w:u w:val="single"/>
        </w:rPr>
        <w:t>不调整</w:t>
      </w:r>
      <w:r>
        <w:rPr>
          <w:color w:val="auto"/>
          <w:szCs w:val="21"/>
          <w:u w:val="single"/>
        </w:rPr>
        <w:t>。</w:t>
      </w:r>
    </w:p>
    <w:p>
      <w:pPr>
        <w:pStyle w:val="9"/>
        <w:tabs>
          <w:tab w:val="left" w:pos="142"/>
          <w:tab w:val="left" w:pos="993"/>
          <w:tab w:val="left" w:pos="1418"/>
          <w:tab w:val="left" w:pos="1560"/>
        </w:tabs>
        <w:spacing w:before="0" w:after="0" w:line="360" w:lineRule="exact"/>
        <w:ind w:firstLine="422" w:firstLineChars="200"/>
        <w:rPr>
          <w:rFonts w:ascii="Times New Roman" w:hAnsi="Times New Roman"/>
          <w:color w:val="auto"/>
          <w:sz w:val="21"/>
          <w:szCs w:val="21"/>
        </w:rPr>
      </w:pPr>
      <w:r>
        <w:rPr>
          <w:rFonts w:ascii="Times New Roman" w:hAnsi="Times New Roman"/>
          <w:color w:val="auto"/>
          <w:sz w:val="21"/>
          <w:szCs w:val="21"/>
        </w:rPr>
        <w:t>12. 合同价格、计量与支付</w:t>
      </w:r>
    </w:p>
    <w:p>
      <w:pPr>
        <w:spacing w:line="360" w:lineRule="exact"/>
        <w:ind w:firstLine="420" w:firstLineChars="200"/>
        <w:rPr>
          <w:color w:val="auto"/>
          <w:szCs w:val="21"/>
        </w:rPr>
      </w:pPr>
      <w:r>
        <w:rPr>
          <w:color w:val="auto"/>
          <w:szCs w:val="21"/>
        </w:rPr>
        <w:t>12.1 合同价格形式</w:t>
      </w:r>
    </w:p>
    <w:p>
      <w:pPr>
        <w:spacing w:line="360" w:lineRule="exact"/>
        <w:ind w:firstLine="420" w:firstLineChars="200"/>
        <w:rPr>
          <w:color w:val="auto"/>
          <w:szCs w:val="21"/>
        </w:rPr>
      </w:pPr>
      <w:r>
        <w:rPr>
          <w:color w:val="auto"/>
          <w:szCs w:val="21"/>
          <w:u w:val="single"/>
        </w:rPr>
        <w:t>1</w:t>
      </w:r>
      <w:r>
        <w:rPr>
          <w:rFonts w:hint="eastAsia"/>
          <w:color w:val="auto"/>
          <w:szCs w:val="21"/>
          <w:u w:val="single"/>
        </w:rPr>
        <w:t>）</w:t>
      </w:r>
      <w:r>
        <w:rPr>
          <w:color w:val="auto"/>
          <w:szCs w:val="21"/>
          <w:u w:val="single"/>
        </w:rPr>
        <w:t>、</w:t>
      </w:r>
      <w:r>
        <w:rPr>
          <w:rFonts w:hint="eastAsia"/>
          <w:color w:val="auto"/>
          <w:szCs w:val="21"/>
          <w:u w:val="single"/>
        </w:rPr>
        <w:t>结算方式：</w:t>
      </w:r>
    </w:p>
    <w:p>
      <w:pPr>
        <w:pStyle w:val="22"/>
        <w:widowControl/>
        <w:adjustRightInd w:val="0"/>
        <w:spacing w:line="380" w:lineRule="exact"/>
        <w:rPr>
          <w:rFonts w:hint="eastAsia" w:hAnsi="宋体" w:eastAsia="宋体"/>
          <w:color w:val="auto"/>
          <w:sz w:val="24"/>
          <w:u w:val="single"/>
          <w:lang w:eastAsia="zh-CN"/>
        </w:rPr>
      </w:pPr>
      <w:r>
        <w:rPr>
          <w:rFonts w:hint="eastAsia" w:hAnsi="宋体"/>
          <w:color w:val="auto"/>
          <w:kern w:val="0"/>
          <w:szCs w:val="21"/>
        </w:rPr>
        <w:t xml:space="preserve">    以实际发生工作量结算，结算金额不超过本项目预算</w:t>
      </w:r>
      <w:r>
        <w:rPr>
          <w:rFonts w:hint="eastAsia" w:hAnsi="宋体"/>
          <w:color w:val="auto"/>
          <w:kern w:val="0"/>
          <w:szCs w:val="21"/>
          <w:lang w:eastAsia="zh-CN"/>
        </w:rPr>
        <w:t>。</w:t>
      </w:r>
    </w:p>
    <w:p>
      <w:pPr>
        <w:autoSpaceDE w:val="0"/>
        <w:autoSpaceDN w:val="0"/>
        <w:spacing w:line="360" w:lineRule="exact"/>
        <w:ind w:firstLine="420" w:firstLineChars="200"/>
        <w:rPr>
          <w:color w:val="auto"/>
          <w:szCs w:val="21"/>
          <w:u w:val="single"/>
        </w:rPr>
      </w:pPr>
      <w:r>
        <w:rPr>
          <w:rFonts w:hint="eastAsia"/>
          <w:color w:val="auto"/>
          <w:szCs w:val="21"/>
          <w:u w:val="single"/>
        </w:rPr>
        <w:t>2）其他可能发生的费用：</w:t>
      </w:r>
    </w:p>
    <w:p>
      <w:pPr>
        <w:autoSpaceDE w:val="0"/>
        <w:autoSpaceDN w:val="0"/>
        <w:spacing w:line="360" w:lineRule="exact"/>
        <w:ind w:firstLine="420" w:firstLineChars="200"/>
        <w:rPr>
          <w:color w:val="auto"/>
          <w:szCs w:val="21"/>
          <w:u w:val="single"/>
        </w:rPr>
      </w:pPr>
      <w:r>
        <w:rPr>
          <w:rFonts w:hint="eastAsia"/>
          <w:color w:val="auto"/>
          <w:szCs w:val="21"/>
          <w:u w:val="single"/>
        </w:rPr>
        <w:t>a.因施工噪音、物体坠落、材料抛散而扰民及影响环境卫生、现场文明和施工安全等问题而产生的费用，由乙方自行解决。因此，造成工期延长由乙方负责。如给甲方另行造成额外的经济损失，甲方可从乙方的项目款中扣回。</w:t>
      </w:r>
    </w:p>
    <w:p>
      <w:pPr>
        <w:spacing w:line="360" w:lineRule="exact"/>
        <w:ind w:firstLine="420" w:firstLineChars="200"/>
        <w:rPr>
          <w:color w:val="auto"/>
          <w:szCs w:val="21"/>
        </w:rPr>
      </w:pPr>
      <w:r>
        <w:rPr>
          <w:color w:val="auto"/>
          <w:szCs w:val="21"/>
        </w:rPr>
        <w:t>风险费用的计算方法：</w:t>
      </w:r>
      <w:r>
        <w:rPr>
          <w:rFonts w:hint="eastAsia"/>
          <w:color w:val="auto"/>
          <w:szCs w:val="21"/>
          <w:u w:val="single"/>
        </w:rPr>
        <w:t>已包含在合同价内</w:t>
      </w:r>
      <w:r>
        <w:rPr>
          <w:color w:val="auto"/>
          <w:szCs w:val="21"/>
        </w:rPr>
        <w:t>。</w:t>
      </w:r>
    </w:p>
    <w:p>
      <w:pPr>
        <w:spacing w:line="360" w:lineRule="exact"/>
        <w:ind w:firstLine="420" w:firstLineChars="200"/>
        <w:rPr>
          <w:color w:val="auto"/>
          <w:szCs w:val="21"/>
        </w:rPr>
      </w:pPr>
      <w:r>
        <w:rPr>
          <w:color w:val="auto"/>
          <w:szCs w:val="21"/>
        </w:rPr>
        <w:t>风险范围以外合同价格的调整方法：</w:t>
      </w:r>
    </w:p>
    <w:p>
      <w:pPr>
        <w:autoSpaceDE w:val="0"/>
        <w:autoSpaceDN w:val="0"/>
        <w:spacing w:line="360" w:lineRule="exact"/>
        <w:ind w:firstLine="420" w:firstLineChars="200"/>
        <w:rPr>
          <w:color w:val="auto"/>
          <w:szCs w:val="21"/>
          <w:u w:val="single"/>
        </w:rPr>
      </w:pPr>
      <w:r>
        <w:rPr>
          <w:rFonts w:hint="eastAsia"/>
          <w:color w:val="auto"/>
          <w:szCs w:val="21"/>
          <w:u w:val="single"/>
          <w:lang w:val="zh-CN"/>
        </w:rPr>
        <w:t>1）</w:t>
      </w:r>
      <w:r>
        <w:rPr>
          <w:rFonts w:hint="eastAsia"/>
          <w:color w:val="auto"/>
          <w:szCs w:val="21"/>
          <w:u w:val="single"/>
        </w:rPr>
        <w:t>项目量按照《市政工程工程量计算规范》（GB 50857-2013）、《建设工程工程量计算规范（2013）浙江省补充规定》（浙建站计〔2013〕63号）、《交通建设工程工程量清单计价规范</w:t>
      </w:r>
      <w:r>
        <w:rPr>
          <w:rFonts w:hint="eastAsia" w:ascii="宋体" w:hAnsi="宋体"/>
          <w:color w:val="auto"/>
          <w:szCs w:val="21"/>
          <w:u w:val="single"/>
        </w:rPr>
        <w:t>第1部分 公路工程(DB33T628.1-2007</w:t>
      </w:r>
      <w:r>
        <w:rPr>
          <w:rFonts w:hint="eastAsia"/>
          <w:color w:val="auto"/>
          <w:szCs w:val="21"/>
          <w:u w:val="single"/>
        </w:rPr>
        <w:t>》及甲方提供的工作量清单中说明的工作量计算规则计算，由乙方计量、甲方及有关部门审核。</w:t>
      </w:r>
    </w:p>
    <w:p>
      <w:pPr>
        <w:autoSpaceDE w:val="0"/>
        <w:autoSpaceDN w:val="0"/>
        <w:spacing w:line="360" w:lineRule="exact"/>
        <w:ind w:firstLine="420" w:firstLineChars="200"/>
        <w:rPr>
          <w:color w:val="auto"/>
          <w:szCs w:val="21"/>
          <w:u w:val="single"/>
          <w:lang w:val="zh-CN"/>
        </w:rPr>
      </w:pPr>
      <w:r>
        <w:rPr>
          <w:rFonts w:hint="eastAsia"/>
          <w:color w:val="auto"/>
          <w:szCs w:val="21"/>
          <w:u w:val="single"/>
        </w:rPr>
        <w:t>2）</w:t>
      </w:r>
      <w:r>
        <w:rPr>
          <w:color w:val="auto"/>
          <w:kern w:val="0"/>
          <w:szCs w:val="21"/>
          <w:u w:val="single"/>
        </w:rPr>
        <w:t>因市场价格波动引起的调整</w:t>
      </w:r>
      <w:r>
        <w:rPr>
          <w:rFonts w:hint="eastAsia"/>
          <w:color w:val="auto"/>
          <w:kern w:val="0"/>
          <w:szCs w:val="21"/>
          <w:u w:val="single"/>
        </w:rPr>
        <w:t>按</w:t>
      </w:r>
      <w:r>
        <w:rPr>
          <w:rFonts w:hint="eastAsia"/>
          <w:color w:val="auto"/>
          <w:szCs w:val="21"/>
          <w:u w:val="single"/>
        </w:rPr>
        <w:t>本合同专用条款第11.1款的约定调整。</w:t>
      </w:r>
    </w:p>
    <w:p>
      <w:pPr>
        <w:autoSpaceDE w:val="0"/>
        <w:autoSpaceDN w:val="0"/>
        <w:spacing w:line="360" w:lineRule="exact"/>
        <w:ind w:firstLine="420" w:firstLineChars="200"/>
        <w:rPr>
          <w:color w:val="auto"/>
          <w:szCs w:val="21"/>
          <w:u w:val="single"/>
          <w:lang w:val="zh-CN"/>
        </w:rPr>
      </w:pPr>
      <w:r>
        <w:rPr>
          <w:rFonts w:hint="eastAsia"/>
          <w:color w:val="auto"/>
          <w:szCs w:val="21"/>
          <w:u w:val="single"/>
          <w:lang w:val="zh-CN"/>
        </w:rPr>
        <w:t>3）甲方提供的</w:t>
      </w:r>
      <w:r>
        <w:rPr>
          <w:rFonts w:hint="eastAsia"/>
          <w:color w:val="auto"/>
          <w:szCs w:val="21"/>
          <w:u w:val="single"/>
        </w:rPr>
        <w:t>工作</w:t>
      </w:r>
      <w:r>
        <w:rPr>
          <w:rFonts w:hint="eastAsia"/>
          <w:color w:val="auto"/>
          <w:szCs w:val="21"/>
          <w:u w:val="single"/>
          <w:lang w:val="zh-CN"/>
        </w:rPr>
        <w:t>量清单项目漏项、项目变更引起的新增项目、</w:t>
      </w:r>
      <w:r>
        <w:rPr>
          <w:rFonts w:hint="eastAsia"/>
          <w:color w:val="auto"/>
          <w:szCs w:val="21"/>
          <w:u w:val="single"/>
        </w:rPr>
        <w:t>工作</w:t>
      </w:r>
      <w:r>
        <w:rPr>
          <w:rFonts w:hint="eastAsia"/>
          <w:color w:val="auto"/>
          <w:szCs w:val="21"/>
          <w:u w:val="single"/>
          <w:lang w:val="zh-CN"/>
        </w:rPr>
        <w:t>量清单局部变更，</w:t>
      </w:r>
      <w:r>
        <w:rPr>
          <w:rFonts w:hint="eastAsia"/>
          <w:color w:val="auto"/>
          <w:szCs w:val="21"/>
          <w:u w:val="single"/>
        </w:rPr>
        <w:t>与已标价工作量清单项目不同或相类似项目，</w:t>
      </w:r>
      <w:r>
        <w:rPr>
          <w:rFonts w:hint="eastAsia"/>
          <w:color w:val="auto"/>
          <w:szCs w:val="21"/>
          <w:u w:val="single"/>
          <w:lang w:val="zh-CN"/>
        </w:rPr>
        <w:t>其每项单价的确定方法</w:t>
      </w:r>
      <w:r>
        <w:rPr>
          <w:rFonts w:hint="eastAsia"/>
          <w:color w:val="auto"/>
          <w:szCs w:val="21"/>
          <w:u w:val="single"/>
        </w:rPr>
        <w:t>按本合同专用条款12.1.1）款约定执行。</w:t>
      </w:r>
    </w:p>
    <w:p>
      <w:pPr>
        <w:spacing w:line="360" w:lineRule="exact"/>
        <w:ind w:firstLine="420" w:firstLineChars="200"/>
        <w:rPr>
          <w:color w:val="auto"/>
          <w:szCs w:val="21"/>
        </w:rPr>
      </w:pPr>
      <w:r>
        <w:rPr>
          <w:color w:val="auto"/>
          <w:szCs w:val="21"/>
        </w:rPr>
        <w:t>12.2 预付款</w:t>
      </w:r>
    </w:p>
    <w:p>
      <w:pPr>
        <w:spacing w:line="360" w:lineRule="exact"/>
        <w:ind w:firstLine="420" w:firstLineChars="200"/>
        <w:rPr>
          <w:color w:val="auto"/>
          <w:szCs w:val="21"/>
        </w:rPr>
      </w:pPr>
      <w:r>
        <w:rPr>
          <w:color w:val="auto"/>
          <w:szCs w:val="21"/>
        </w:rPr>
        <w:t>12.2.1 预付款的支付</w:t>
      </w:r>
    </w:p>
    <w:p>
      <w:pPr>
        <w:spacing w:line="360" w:lineRule="exact"/>
        <w:ind w:firstLine="420" w:firstLineChars="200"/>
        <w:rPr>
          <w:i/>
          <w:color w:val="auto"/>
          <w:szCs w:val="21"/>
          <w:u w:val="single"/>
        </w:rPr>
      </w:pPr>
      <w:r>
        <w:rPr>
          <w:color w:val="auto"/>
          <w:szCs w:val="21"/>
        </w:rPr>
        <w:t>预付款支付比例或金额：</w:t>
      </w:r>
      <w:r>
        <w:rPr>
          <w:rFonts w:hint="eastAsia"/>
          <w:color w:val="auto"/>
          <w:szCs w:val="21"/>
          <w:u w:val="single"/>
        </w:rPr>
        <w:t>合同签订，乙方提供发票后7个工作日内，支付合同总额的40%作为预付款</w:t>
      </w:r>
      <w:r>
        <w:rPr>
          <w:i/>
          <w:color w:val="auto"/>
          <w:szCs w:val="21"/>
          <w:u w:val="single"/>
        </w:rPr>
        <w:t>。</w:t>
      </w:r>
    </w:p>
    <w:p>
      <w:pPr>
        <w:spacing w:line="360" w:lineRule="exact"/>
        <w:ind w:firstLine="420" w:firstLineChars="200"/>
        <w:rPr>
          <w:color w:val="auto"/>
          <w:szCs w:val="21"/>
        </w:rPr>
      </w:pPr>
      <w:r>
        <w:rPr>
          <w:color w:val="auto"/>
          <w:szCs w:val="21"/>
        </w:rPr>
        <w:t>12.3 计量</w:t>
      </w:r>
    </w:p>
    <w:p>
      <w:pPr>
        <w:spacing w:line="360" w:lineRule="exact"/>
        <w:ind w:firstLine="420" w:firstLineChars="200"/>
        <w:rPr>
          <w:color w:val="auto"/>
          <w:szCs w:val="21"/>
        </w:rPr>
      </w:pPr>
      <w:r>
        <w:rPr>
          <w:color w:val="auto"/>
          <w:szCs w:val="21"/>
        </w:rPr>
        <w:t>12.3.1 计量原则</w:t>
      </w:r>
    </w:p>
    <w:p>
      <w:pPr>
        <w:spacing w:line="360" w:lineRule="exact"/>
        <w:ind w:firstLine="420" w:firstLineChars="200"/>
        <w:rPr>
          <w:color w:val="auto"/>
          <w:szCs w:val="21"/>
          <w:u w:val="single"/>
        </w:rPr>
      </w:pPr>
      <w:r>
        <w:rPr>
          <w:rFonts w:hint="eastAsia"/>
          <w:color w:val="auto"/>
          <w:szCs w:val="21"/>
          <w:u w:val="single"/>
        </w:rPr>
        <w:t>工作量计算按照实际已完成的工作量及经甲方同意增加的施工内容按实计算。</w:t>
      </w:r>
    </w:p>
    <w:p>
      <w:pPr>
        <w:spacing w:line="360" w:lineRule="exact"/>
        <w:ind w:firstLine="420" w:firstLineChars="200"/>
        <w:rPr>
          <w:color w:val="auto"/>
          <w:szCs w:val="21"/>
        </w:rPr>
      </w:pPr>
      <w:r>
        <w:rPr>
          <w:rFonts w:hint="eastAsia"/>
          <w:color w:val="auto"/>
          <w:szCs w:val="21"/>
        </w:rPr>
        <w:t>12</w:t>
      </w:r>
      <w:r>
        <w:rPr>
          <w:color w:val="auto"/>
          <w:szCs w:val="21"/>
        </w:rPr>
        <w:t>.3.</w:t>
      </w:r>
      <w:r>
        <w:rPr>
          <w:rFonts w:hint="eastAsia"/>
          <w:color w:val="auto"/>
          <w:szCs w:val="21"/>
        </w:rPr>
        <w:t>2</w:t>
      </w:r>
      <w:r>
        <w:rPr>
          <w:color w:val="auto"/>
          <w:szCs w:val="21"/>
        </w:rPr>
        <w:t xml:space="preserve"> 单价合同的计量</w:t>
      </w:r>
    </w:p>
    <w:p>
      <w:pPr>
        <w:spacing w:line="360" w:lineRule="exact"/>
        <w:ind w:firstLine="420" w:firstLineChars="200"/>
        <w:rPr>
          <w:color w:val="auto"/>
          <w:szCs w:val="21"/>
        </w:rPr>
      </w:pPr>
      <w:r>
        <w:rPr>
          <w:color w:val="auto"/>
          <w:szCs w:val="21"/>
        </w:rPr>
        <w:t>关于单价合同计量的约定：</w:t>
      </w:r>
      <w:r>
        <w:rPr>
          <w:rFonts w:hint="eastAsia"/>
          <w:color w:val="auto"/>
          <w:szCs w:val="21"/>
          <w:u w:val="single"/>
        </w:rPr>
        <w:t>按合同通用条款执行，但确认的工作量和单价仅作为本期工程款支付的依据</w:t>
      </w:r>
      <w:r>
        <w:rPr>
          <w:color w:val="auto"/>
          <w:szCs w:val="21"/>
          <w:u w:val="single"/>
        </w:rPr>
        <w:t>。</w:t>
      </w:r>
    </w:p>
    <w:p>
      <w:pPr>
        <w:spacing w:line="360" w:lineRule="exact"/>
        <w:ind w:firstLine="420" w:firstLineChars="200"/>
        <w:rPr>
          <w:color w:val="auto"/>
          <w:szCs w:val="21"/>
        </w:rPr>
      </w:pPr>
      <w:r>
        <w:rPr>
          <w:color w:val="auto"/>
          <w:szCs w:val="21"/>
        </w:rPr>
        <w:t xml:space="preserve">12.4 </w:t>
      </w:r>
      <w:r>
        <w:rPr>
          <w:rFonts w:hint="eastAsia"/>
          <w:color w:val="auto"/>
          <w:szCs w:val="21"/>
        </w:rPr>
        <w:t>项目</w:t>
      </w:r>
      <w:r>
        <w:rPr>
          <w:color w:val="auto"/>
          <w:szCs w:val="21"/>
        </w:rPr>
        <w:t>进度款支付</w:t>
      </w:r>
    </w:p>
    <w:p>
      <w:pPr>
        <w:spacing w:line="360" w:lineRule="exact"/>
        <w:ind w:firstLine="420" w:firstLineChars="200"/>
        <w:rPr>
          <w:color w:val="auto"/>
          <w:szCs w:val="21"/>
        </w:rPr>
      </w:pPr>
      <w:r>
        <w:rPr>
          <w:color w:val="auto"/>
          <w:szCs w:val="21"/>
        </w:rPr>
        <w:t>12.4.1 付款周期</w:t>
      </w:r>
    </w:p>
    <w:p>
      <w:pPr>
        <w:spacing w:line="360" w:lineRule="exact"/>
        <w:ind w:firstLine="420" w:firstLineChars="200"/>
        <w:rPr>
          <w:color w:val="auto"/>
          <w:szCs w:val="21"/>
        </w:rPr>
      </w:pPr>
      <w:r>
        <w:rPr>
          <w:color w:val="auto"/>
          <w:szCs w:val="21"/>
        </w:rPr>
        <w:t>关于付款周期的约定：</w:t>
      </w:r>
      <w:r>
        <w:rPr>
          <w:rFonts w:hint="eastAsia" w:hAnsi="Arial"/>
          <w:color w:val="auto"/>
          <w:szCs w:val="21"/>
        </w:rPr>
        <w:t>进场施工之日起</w:t>
      </w:r>
      <w:r>
        <w:rPr>
          <w:rFonts w:hAnsi="Arial"/>
          <w:color w:val="auto"/>
          <w:szCs w:val="21"/>
        </w:rPr>
        <w:t>120</w:t>
      </w:r>
      <w:r>
        <w:rPr>
          <w:rFonts w:hint="eastAsia" w:hAnsi="Arial"/>
          <w:color w:val="auto"/>
          <w:szCs w:val="21"/>
        </w:rPr>
        <w:t>天内完成初验后付至工程量结算价的80%，项目整体竣工验收合格并经审核结束后由甲方支付至审核价。</w:t>
      </w:r>
    </w:p>
    <w:p>
      <w:pPr>
        <w:spacing w:line="360" w:lineRule="exact"/>
        <w:ind w:firstLine="420" w:firstLineChars="200"/>
        <w:rPr>
          <w:color w:val="auto"/>
          <w:szCs w:val="21"/>
        </w:rPr>
      </w:pPr>
      <w:r>
        <w:rPr>
          <w:color w:val="auto"/>
          <w:szCs w:val="21"/>
        </w:rPr>
        <w:t>12.4.</w:t>
      </w:r>
      <w:r>
        <w:rPr>
          <w:rFonts w:hint="eastAsia"/>
          <w:color w:val="auto"/>
          <w:szCs w:val="21"/>
        </w:rPr>
        <w:t>2</w:t>
      </w:r>
      <w:r>
        <w:rPr>
          <w:color w:val="auto"/>
          <w:szCs w:val="21"/>
        </w:rPr>
        <w:t xml:space="preserve"> 进度付款申请单的提交</w:t>
      </w:r>
    </w:p>
    <w:p>
      <w:pPr>
        <w:spacing w:line="360" w:lineRule="exact"/>
        <w:ind w:firstLine="420" w:firstLineChars="200"/>
        <w:rPr>
          <w:color w:val="auto"/>
          <w:szCs w:val="21"/>
        </w:rPr>
      </w:pPr>
      <w:r>
        <w:rPr>
          <w:color w:val="auto"/>
          <w:szCs w:val="21"/>
        </w:rPr>
        <w:t>（1）单价合同进度付款申请单提交的约定</w:t>
      </w:r>
      <w:r>
        <w:rPr>
          <w:rFonts w:hint="eastAsia"/>
          <w:color w:val="auto"/>
          <w:szCs w:val="21"/>
        </w:rPr>
        <w:t>：</w:t>
      </w:r>
      <w:r>
        <w:rPr>
          <w:rFonts w:hint="eastAsia"/>
          <w:color w:val="auto"/>
          <w:szCs w:val="21"/>
          <w:u w:val="single"/>
        </w:rPr>
        <w:t>按合同通用条款</w:t>
      </w:r>
      <w:r>
        <w:rPr>
          <w:color w:val="auto"/>
          <w:szCs w:val="21"/>
          <w:u w:val="single"/>
        </w:rPr>
        <w:t>。</w:t>
      </w:r>
    </w:p>
    <w:p>
      <w:pPr>
        <w:spacing w:line="360" w:lineRule="exact"/>
        <w:ind w:firstLine="420" w:firstLineChars="200"/>
        <w:rPr>
          <w:color w:val="auto"/>
          <w:szCs w:val="21"/>
        </w:rPr>
      </w:pPr>
      <w:r>
        <w:rPr>
          <w:color w:val="auto"/>
          <w:szCs w:val="21"/>
        </w:rPr>
        <w:t>（2）总价合同进度付款申请单提交的约定</w:t>
      </w:r>
      <w:r>
        <w:rPr>
          <w:rFonts w:hint="eastAsia"/>
          <w:color w:val="auto"/>
          <w:szCs w:val="21"/>
        </w:rPr>
        <w:t>：</w:t>
      </w:r>
      <w:r>
        <w:rPr>
          <w:rFonts w:hint="eastAsia"/>
          <w:color w:val="auto"/>
          <w:szCs w:val="21"/>
          <w:u w:val="single"/>
        </w:rPr>
        <w:t>/</w:t>
      </w:r>
      <w:r>
        <w:rPr>
          <w:color w:val="auto"/>
          <w:szCs w:val="21"/>
        </w:rPr>
        <w:t>。</w:t>
      </w:r>
    </w:p>
    <w:p>
      <w:pPr>
        <w:spacing w:line="360" w:lineRule="exact"/>
        <w:ind w:firstLine="420" w:firstLineChars="200"/>
        <w:rPr>
          <w:color w:val="auto"/>
          <w:szCs w:val="21"/>
        </w:rPr>
      </w:pPr>
      <w:r>
        <w:rPr>
          <w:color w:val="auto"/>
          <w:szCs w:val="21"/>
        </w:rPr>
        <w:t>12.4.</w:t>
      </w:r>
      <w:r>
        <w:rPr>
          <w:rFonts w:hint="eastAsia"/>
          <w:color w:val="auto"/>
          <w:szCs w:val="21"/>
        </w:rPr>
        <w:t>3</w:t>
      </w:r>
      <w:r>
        <w:rPr>
          <w:color w:val="auto"/>
          <w:szCs w:val="21"/>
        </w:rPr>
        <w:t>进度款审核和支付</w:t>
      </w:r>
    </w:p>
    <w:p>
      <w:pPr>
        <w:spacing w:line="360" w:lineRule="exact"/>
        <w:ind w:firstLine="420" w:firstLineChars="200"/>
        <w:rPr>
          <w:color w:val="auto"/>
          <w:szCs w:val="21"/>
        </w:rPr>
      </w:pPr>
      <w:r>
        <w:rPr>
          <w:color w:val="auto"/>
          <w:szCs w:val="21"/>
        </w:rPr>
        <w:t>（1）</w:t>
      </w:r>
      <w:r>
        <w:rPr>
          <w:rFonts w:hint="eastAsia"/>
          <w:color w:val="auto"/>
          <w:szCs w:val="21"/>
        </w:rPr>
        <w:t>甲方</w:t>
      </w:r>
      <w:r>
        <w:rPr>
          <w:color w:val="auto"/>
          <w:szCs w:val="21"/>
        </w:rPr>
        <w:t>完成审批并签发进度款支付证书的期限：</w:t>
      </w:r>
      <w:r>
        <w:rPr>
          <w:rFonts w:hint="eastAsia"/>
          <w:color w:val="auto"/>
          <w:szCs w:val="21"/>
          <w:u w:val="single"/>
        </w:rPr>
        <w:t>按合同通用条款</w:t>
      </w:r>
      <w:r>
        <w:rPr>
          <w:color w:val="auto"/>
          <w:szCs w:val="21"/>
          <w:u w:val="single"/>
        </w:rPr>
        <w:t>。</w:t>
      </w:r>
    </w:p>
    <w:p>
      <w:pPr>
        <w:spacing w:line="360" w:lineRule="exact"/>
        <w:ind w:firstLine="420" w:firstLineChars="200"/>
        <w:rPr>
          <w:color w:val="auto"/>
          <w:szCs w:val="21"/>
          <w:u w:val="single"/>
        </w:rPr>
      </w:pPr>
      <w:r>
        <w:rPr>
          <w:color w:val="auto"/>
          <w:szCs w:val="21"/>
        </w:rPr>
        <w:t>（2）</w:t>
      </w:r>
      <w:r>
        <w:rPr>
          <w:rFonts w:hint="eastAsia"/>
          <w:color w:val="auto"/>
          <w:szCs w:val="21"/>
        </w:rPr>
        <w:t>甲方</w:t>
      </w:r>
      <w:r>
        <w:rPr>
          <w:color w:val="auto"/>
          <w:szCs w:val="21"/>
        </w:rPr>
        <w:t>支付进度款的期限：</w:t>
      </w:r>
      <w:r>
        <w:rPr>
          <w:rFonts w:hint="eastAsia"/>
          <w:color w:val="auto"/>
          <w:szCs w:val="21"/>
          <w:u w:val="single"/>
        </w:rPr>
        <w:t>在甲方确认计量结果后14天内完成支付</w:t>
      </w:r>
      <w:r>
        <w:rPr>
          <w:color w:val="auto"/>
          <w:szCs w:val="21"/>
          <w:u w:val="single"/>
        </w:rPr>
        <w:t>。</w:t>
      </w:r>
    </w:p>
    <w:p>
      <w:pPr>
        <w:spacing w:line="360" w:lineRule="exact"/>
        <w:ind w:firstLine="420" w:firstLineChars="200"/>
        <w:rPr>
          <w:color w:val="auto"/>
          <w:szCs w:val="21"/>
        </w:rPr>
      </w:pPr>
      <w:r>
        <w:rPr>
          <w:rFonts w:hint="eastAsia"/>
          <w:color w:val="auto"/>
          <w:szCs w:val="21"/>
        </w:rPr>
        <w:t>甲方</w:t>
      </w:r>
      <w:r>
        <w:rPr>
          <w:color w:val="auto"/>
          <w:szCs w:val="21"/>
        </w:rPr>
        <w:t>逾期支付进度款的违约金的计算方式：</w:t>
      </w:r>
      <w:r>
        <w:rPr>
          <w:rFonts w:hint="eastAsia"/>
          <w:color w:val="auto"/>
          <w:szCs w:val="21"/>
          <w:u w:val="single"/>
        </w:rPr>
        <w:t>支付应付项目进度（备料）款的利息，利率按中国人民银行发布的同期同类贷款基准利率，时间为从约定应付之日起至支付之日止计算利息</w:t>
      </w:r>
      <w:r>
        <w:rPr>
          <w:color w:val="auto"/>
          <w:szCs w:val="21"/>
          <w:u w:val="single"/>
        </w:rPr>
        <w:t>。</w:t>
      </w:r>
    </w:p>
    <w:p>
      <w:pPr>
        <w:spacing w:line="360" w:lineRule="exact"/>
        <w:ind w:firstLine="420" w:firstLineChars="200"/>
        <w:rPr>
          <w:color w:val="auto"/>
          <w:szCs w:val="21"/>
          <w:u w:val="single"/>
        </w:rPr>
      </w:pPr>
      <w:r>
        <w:rPr>
          <w:rFonts w:hint="eastAsia"/>
          <w:color w:val="auto"/>
          <w:szCs w:val="21"/>
        </w:rPr>
        <w:t>（3）</w:t>
      </w:r>
      <w:r>
        <w:rPr>
          <w:rFonts w:hint="eastAsia"/>
          <w:color w:val="auto"/>
          <w:szCs w:val="21"/>
          <w:u w:val="single"/>
        </w:rPr>
        <w:t>甲方每月签发的项目量审核报告、进度款支付证书或临时进度款支付证书，不表明甲方已同意、批准或接受了乙方完成的相应部分工作或已确认计量结果，仅为本期项目款支付依据。</w:t>
      </w:r>
    </w:p>
    <w:p>
      <w:pPr>
        <w:spacing w:line="360" w:lineRule="exact"/>
        <w:ind w:firstLine="420" w:firstLineChars="200"/>
        <w:rPr>
          <w:color w:val="auto"/>
          <w:szCs w:val="21"/>
        </w:rPr>
      </w:pPr>
      <w:r>
        <w:rPr>
          <w:rFonts w:hint="eastAsia"/>
          <w:color w:val="auto"/>
          <w:szCs w:val="21"/>
        </w:rPr>
        <w:t>12.5 支付帐户：</w:t>
      </w:r>
    </w:p>
    <w:p>
      <w:pPr>
        <w:spacing w:line="360" w:lineRule="exact"/>
        <w:ind w:firstLine="420" w:firstLineChars="200"/>
        <w:rPr>
          <w:color w:val="auto"/>
          <w:szCs w:val="21"/>
        </w:rPr>
      </w:pPr>
      <w:r>
        <w:rPr>
          <w:rFonts w:hint="eastAsia"/>
          <w:color w:val="auto"/>
          <w:szCs w:val="21"/>
        </w:rPr>
        <w:t>甲方应将合同价款支至合同协议书中约定的乙方帐户：</w:t>
      </w:r>
      <w:r>
        <w:rPr>
          <w:rFonts w:hint="eastAsia"/>
          <w:color w:val="auto"/>
          <w:szCs w:val="21"/>
          <w:u w:val="single"/>
        </w:rPr>
        <w:t>开户行：           帐号：                       。</w:t>
      </w:r>
      <w:r>
        <w:rPr>
          <w:rFonts w:hint="eastAsia"/>
          <w:color w:val="auto"/>
          <w:szCs w:val="21"/>
        </w:rPr>
        <w:t>乙方收取款项时应开具建筑业统一发票。</w:t>
      </w:r>
    </w:p>
    <w:p>
      <w:pPr>
        <w:pStyle w:val="9"/>
        <w:tabs>
          <w:tab w:val="left" w:pos="142"/>
          <w:tab w:val="left" w:pos="993"/>
          <w:tab w:val="left" w:pos="1418"/>
          <w:tab w:val="left" w:pos="1560"/>
        </w:tabs>
        <w:spacing w:before="0" w:after="0" w:line="360" w:lineRule="exact"/>
        <w:ind w:firstLine="422" w:firstLineChars="200"/>
        <w:rPr>
          <w:rFonts w:ascii="Times New Roman" w:hAnsi="Times New Roman"/>
          <w:color w:val="auto"/>
          <w:sz w:val="21"/>
          <w:szCs w:val="21"/>
        </w:rPr>
      </w:pPr>
      <w:r>
        <w:rPr>
          <w:rFonts w:ascii="Times New Roman" w:hAnsi="Times New Roman"/>
          <w:color w:val="auto"/>
          <w:sz w:val="21"/>
          <w:szCs w:val="21"/>
        </w:rPr>
        <w:t>13.验收和</w:t>
      </w:r>
      <w:r>
        <w:rPr>
          <w:rFonts w:hint="eastAsia" w:ascii="Times New Roman" w:hAnsi="Times New Roman"/>
          <w:color w:val="auto"/>
          <w:sz w:val="21"/>
          <w:szCs w:val="21"/>
        </w:rPr>
        <w:t>项目</w:t>
      </w:r>
      <w:r>
        <w:rPr>
          <w:rFonts w:ascii="Times New Roman" w:hAnsi="Times New Roman"/>
          <w:color w:val="auto"/>
          <w:sz w:val="21"/>
          <w:szCs w:val="21"/>
        </w:rPr>
        <w:t>试车</w:t>
      </w:r>
    </w:p>
    <w:p>
      <w:pPr>
        <w:spacing w:line="360" w:lineRule="exact"/>
        <w:ind w:firstLine="420" w:firstLineChars="200"/>
        <w:rPr>
          <w:color w:val="auto"/>
          <w:szCs w:val="21"/>
        </w:rPr>
      </w:pPr>
      <w:r>
        <w:rPr>
          <w:color w:val="auto"/>
          <w:szCs w:val="21"/>
        </w:rPr>
        <w:t>13.1 分部分项</w:t>
      </w:r>
      <w:r>
        <w:rPr>
          <w:rFonts w:hint="eastAsia"/>
          <w:color w:val="auto"/>
          <w:szCs w:val="21"/>
        </w:rPr>
        <w:t>项目</w:t>
      </w:r>
      <w:r>
        <w:rPr>
          <w:color w:val="auto"/>
          <w:szCs w:val="21"/>
        </w:rPr>
        <w:t>验收</w:t>
      </w:r>
    </w:p>
    <w:p>
      <w:pPr>
        <w:spacing w:line="360" w:lineRule="exact"/>
        <w:ind w:firstLine="420" w:firstLineChars="200"/>
        <w:rPr>
          <w:color w:val="auto"/>
          <w:szCs w:val="21"/>
        </w:rPr>
      </w:pPr>
      <w:r>
        <w:rPr>
          <w:color w:val="auto"/>
          <w:szCs w:val="21"/>
        </w:rPr>
        <w:t>13.1.2监理人不能按时进行验收时，应提前</w:t>
      </w:r>
      <w:r>
        <w:rPr>
          <w:rFonts w:hint="eastAsia"/>
          <w:color w:val="auto"/>
          <w:szCs w:val="21"/>
          <w:u w:val="single"/>
        </w:rPr>
        <w:t>24</w:t>
      </w:r>
      <w:r>
        <w:rPr>
          <w:color w:val="auto"/>
          <w:szCs w:val="21"/>
        </w:rPr>
        <w:t>小时提交书面延期要求。</w:t>
      </w:r>
    </w:p>
    <w:p>
      <w:pPr>
        <w:spacing w:line="360" w:lineRule="exact"/>
        <w:ind w:firstLine="420" w:firstLineChars="200"/>
        <w:rPr>
          <w:color w:val="auto"/>
          <w:szCs w:val="21"/>
        </w:rPr>
      </w:pPr>
      <w:r>
        <w:rPr>
          <w:color w:val="auto"/>
          <w:szCs w:val="21"/>
        </w:rPr>
        <w:t>关于延期最长不得超过：</w:t>
      </w:r>
      <w:r>
        <w:rPr>
          <w:rFonts w:hint="eastAsia"/>
          <w:color w:val="auto"/>
          <w:szCs w:val="21"/>
          <w:u w:val="single"/>
        </w:rPr>
        <w:t>24</w:t>
      </w:r>
      <w:r>
        <w:rPr>
          <w:color w:val="auto"/>
          <w:szCs w:val="21"/>
        </w:rPr>
        <w:t>小时。</w:t>
      </w:r>
    </w:p>
    <w:p>
      <w:pPr>
        <w:spacing w:line="360" w:lineRule="exact"/>
        <w:ind w:firstLine="420" w:firstLineChars="200"/>
        <w:rPr>
          <w:b/>
          <w:color w:val="auto"/>
          <w:szCs w:val="21"/>
          <w:u w:val="single"/>
        </w:rPr>
      </w:pPr>
      <w:r>
        <w:rPr>
          <w:rFonts w:hint="eastAsia"/>
          <w:color w:val="auto"/>
          <w:szCs w:val="21"/>
          <w:u w:val="single"/>
        </w:rPr>
        <w:t>项目监管过程、验收过程、验收部位除办理纸质验收记录，还应留置监管项目、验收部位、验收过程、主要验收人员相片、影像等资料。</w:t>
      </w:r>
    </w:p>
    <w:p>
      <w:pPr>
        <w:spacing w:line="360" w:lineRule="exact"/>
        <w:ind w:firstLine="420" w:firstLineChars="200"/>
        <w:rPr>
          <w:color w:val="auto"/>
          <w:szCs w:val="21"/>
        </w:rPr>
      </w:pPr>
      <w:r>
        <w:rPr>
          <w:color w:val="auto"/>
          <w:szCs w:val="21"/>
        </w:rPr>
        <w:t>13.2 竣工验收</w:t>
      </w:r>
    </w:p>
    <w:p>
      <w:pPr>
        <w:spacing w:line="360" w:lineRule="exact"/>
        <w:ind w:firstLine="420" w:firstLineChars="200"/>
        <w:rPr>
          <w:color w:val="auto"/>
          <w:szCs w:val="21"/>
        </w:rPr>
      </w:pPr>
      <w:r>
        <w:rPr>
          <w:color w:val="auto"/>
          <w:szCs w:val="21"/>
        </w:rPr>
        <w:t>13.2.2竣工验收程序</w:t>
      </w:r>
    </w:p>
    <w:p>
      <w:pPr>
        <w:spacing w:line="360" w:lineRule="exact"/>
        <w:ind w:firstLine="420" w:firstLineChars="200"/>
        <w:rPr>
          <w:color w:val="auto"/>
          <w:szCs w:val="21"/>
        </w:rPr>
      </w:pPr>
      <w:r>
        <w:rPr>
          <w:color w:val="auto"/>
          <w:kern w:val="0"/>
          <w:szCs w:val="21"/>
        </w:rPr>
        <w:t>关于竣工验收程序的约定：</w:t>
      </w:r>
      <w:r>
        <w:rPr>
          <w:rFonts w:hint="eastAsia"/>
          <w:color w:val="auto"/>
          <w:szCs w:val="21"/>
          <w:u w:val="single"/>
        </w:rPr>
        <w:t>按通用条款</w:t>
      </w:r>
      <w:r>
        <w:rPr>
          <w:color w:val="auto"/>
          <w:szCs w:val="21"/>
        </w:rPr>
        <w:t>。</w:t>
      </w:r>
    </w:p>
    <w:p>
      <w:pPr>
        <w:spacing w:line="360" w:lineRule="exact"/>
        <w:ind w:firstLine="420" w:firstLineChars="200"/>
        <w:rPr>
          <w:color w:val="auto"/>
          <w:szCs w:val="21"/>
        </w:rPr>
      </w:pPr>
      <w:r>
        <w:rPr>
          <w:rFonts w:hint="eastAsia"/>
          <w:color w:val="auto"/>
          <w:kern w:val="0"/>
          <w:szCs w:val="21"/>
        </w:rPr>
        <w:t>甲方</w:t>
      </w:r>
      <w:r>
        <w:rPr>
          <w:color w:val="auto"/>
          <w:kern w:val="0"/>
          <w:szCs w:val="21"/>
        </w:rPr>
        <w:t>不按照本项约定组织竣工验收、颁发</w:t>
      </w:r>
      <w:r>
        <w:rPr>
          <w:rFonts w:hint="eastAsia"/>
          <w:color w:val="auto"/>
          <w:kern w:val="0"/>
          <w:szCs w:val="21"/>
        </w:rPr>
        <w:t>项目</w:t>
      </w:r>
      <w:r>
        <w:rPr>
          <w:color w:val="auto"/>
          <w:kern w:val="0"/>
          <w:szCs w:val="21"/>
        </w:rPr>
        <w:t>接收证书的违约金的计算方法：</w:t>
      </w:r>
      <w:r>
        <w:rPr>
          <w:rFonts w:hint="eastAsia"/>
          <w:color w:val="auto"/>
          <w:szCs w:val="21"/>
          <w:u w:val="single"/>
        </w:rPr>
        <w:t>不计违约金</w:t>
      </w:r>
      <w:r>
        <w:rPr>
          <w:color w:val="auto"/>
          <w:szCs w:val="21"/>
          <w:u w:val="single"/>
        </w:rPr>
        <w:t>。</w:t>
      </w:r>
    </w:p>
    <w:p>
      <w:pPr>
        <w:spacing w:line="360" w:lineRule="exact"/>
        <w:ind w:firstLine="420" w:firstLineChars="200"/>
        <w:rPr>
          <w:color w:val="auto"/>
          <w:szCs w:val="21"/>
        </w:rPr>
      </w:pPr>
      <w:r>
        <w:rPr>
          <w:rFonts w:hint="eastAsia"/>
          <w:color w:val="auto"/>
          <w:szCs w:val="21"/>
          <w:u w:val="single"/>
        </w:rPr>
        <w:t>因甲方原因，未在监理人接收到乙方提交的竣工验收申请报告42天内完成验收，或完成验收不予签发项目接收证书的，以提交竣工验收申请报告的日期为实际竣工日期</w:t>
      </w:r>
      <w:r>
        <w:rPr>
          <w:color w:val="auto"/>
          <w:szCs w:val="21"/>
          <w:u w:val="single"/>
        </w:rPr>
        <w:t>。</w:t>
      </w:r>
    </w:p>
    <w:p>
      <w:pPr>
        <w:spacing w:line="360" w:lineRule="exact"/>
        <w:ind w:firstLine="420" w:firstLineChars="200"/>
        <w:rPr>
          <w:color w:val="auto"/>
          <w:szCs w:val="21"/>
        </w:rPr>
      </w:pPr>
      <w:r>
        <w:rPr>
          <w:color w:val="auto"/>
          <w:szCs w:val="21"/>
        </w:rPr>
        <w:t>13.2.</w:t>
      </w:r>
      <w:r>
        <w:rPr>
          <w:rFonts w:hint="eastAsia"/>
          <w:color w:val="auto"/>
          <w:szCs w:val="21"/>
        </w:rPr>
        <w:t>3</w:t>
      </w:r>
      <w:r>
        <w:rPr>
          <w:color w:val="auto"/>
          <w:szCs w:val="21"/>
        </w:rPr>
        <w:t>移交、接收全部与部分</w:t>
      </w:r>
      <w:r>
        <w:rPr>
          <w:rFonts w:hint="eastAsia"/>
          <w:color w:val="auto"/>
          <w:szCs w:val="21"/>
        </w:rPr>
        <w:t>项目</w:t>
      </w:r>
    </w:p>
    <w:p>
      <w:pPr>
        <w:spacing w:line="360" w:lineRule="exact"/>
        <w:ind w:firstLine="420" w:firstLineChars="200"/>
        <w:rPr>
          <w:color w:val="auto"/>
          <w:szCs w:val="21"/>
          <w:u w:val="single"/>
        </w:rPr>
      </w:pPr>
      <w:r>
        <w:rPr>
          <w:rFonts w:hint="eastAsia"/>
          <w:color w:val="auto"/>
          <w:kern w:val="0"/>
          <w:szCs w:val="21"/>
        </w:rPr>
        <w:t>乙方向甲方移交项目的期限：</w:t>
      </w:r>
      <w:r>
        <w:rPr>
          <w:rFonts w:hint="eastAsia"/>
          <w:color w:val="auto"/>
          <w:szCs w:val="21"/>
          <w:u w:val="single"/>
        </w:rPr>
        <w:t>按通用条款执行。</w:t>
      </w:r>
    </w:p>
    <w:p>
      <w:pPr>
        <w:spacing w:line="360" w:lineRule="exact"/>
        <w:ind w:firstLine="420" w:firstLineChars="200"/>
        <w:rPr>
          <w:color w:val="auto"/>
          <w:szCs w:val="21"/>
          <w:u w:val="single"/>
        </w:rPr>
      </w:pPr>
      <w:r>
        <w:rPr>
          <w:rFonts w:hint="eastAsia"/>
          <w:color w:val="auto"/>
          <w:kern w:val="0"/>
          <w:szCs w:val="21"/>
        </w:rPr>
        <w:t>甲方</w:t>
      </w:r>
      <w:r>
        <w:rPr>
          <w:color w:val="auto"/>
          <w:kern w:val="0"/>
          <w:szCs w:val="21"/>
        </w:rPr>
        <w:t>未按本合同约定接收全部或部分</w:t>
      </w:r>
      <w:r>
        <w:rPr>
          <w:rFonts w:hint="eastAsia"/>
          <w:color w:val="auto"/>
          <w:kern w:val="0"/>
          <w:szCs w:val="21"/>
        </w:rPr>
        <w:t>项目</w:t>
      </w:r>
      <w:r>
        <w:rPr>
          <w:color w:val="auto"/>
          <w:kern w:val="0"/>
          <w:szCs w:val="21"/>
        </w:rPr>
        <w:t>的，违约金的计算方法为：</w:t>
      </w:r>
      <w:r>
        <w:rPr>
          <w:rFonts w:hint="eastAsia"/>
          <w:color w:val="auto"/>
          <w:szCs w:val="21"/>
          <w:u w:val="single"/>
        </w:rPr>
        <w:t>/</w:t>
      </w:r>
      <w:r>
        <w:rPr>
          <w:color w:val="auto"/>
          <w:szCs w:val="21"/>
        </w:rPr>
        <w:t>。</w:t>
      </w:r>
    </w:p>
    <w:p>
      <w:pPr>
        <w:spacing w:line="360" w:lineRule="exact"/>
        <w:ind w:firstLine="420" w:firstLineChars="200"/>
        <w:rPr>
          <w:color w:val="auto"/>
          <w:szCs w:val="21"/>
        </w:rPr>
      </w:pPr>
      <w:r>
        <w:rPr>
          <w:rFonts w:hint="eastAsia"/>
          <w:color w:val="auto"/>
          <w:szCs w:val="21"/>
        </w:rPr>
        <w:t>乙方</w:t>
      </w:r>
      <w:r>
        <w:rPr>
          <w:color w:val="auto"/>
          <w:szCs w:val="21"/>
        </w:rPr>
        <w:t>未按时移交</w:t>
      </w:r>
      <w:r>
        <w:rPr>
          <w:rFonts w:hint="eastAsia"/>
          <w:color w:val="auto"/>
          <w:szCs w:val="21"/>
        </w:rPr>
        <w:t>项目</w:t>
      </w:r>
      <w:r>
        <w:rPr>
          <w:color w:val="auto"/>
          <w:szCs w:val="21"/>
        </w:rPr>
        <w:t>的，违约金的计算方法为：</w:t>
      </w:r>
      <w:r>
        <w:rPr>
          <w:rFonts w:hint="eastAsia"/>
          <w:color w:val="auto"/>
          <w:szCs w:val="21"/>
          <w:u w:val="single"/>
        </w:rPr>
        <w:t xml:space="preserve">     /   </w:t>
      </w:r>
      <w:r>
        <w:rPr>
          <w:color w:val="auto"/>
          <w:szCs w:val="21"/>
        </w:rPr>
        <w:t>。</w:t>
      </w:r>
    </w:p>
    <w:p>
      <w:pPr>
        <w:spacing w:line="360" w:lineRule="exact"/>
        <w:ind w:firstLine="420" w:firstLineChars="200"/>
        <w:rPr>
          <w:color w:val="auto"/>
          <w:szCs w:val="21"/>
        </w:rPr>
      </w:pPr>
      <w:r>
        <w:rPr>
          <w:color w:val="auto"/>
          <w:szCs w:val="21"/>
        </w:rPr>
        <w:t>13.</w:t>
      </w:r>
      <w:r>
        <w:rPr>
          <w:rFonts w:hint="eastAsia"/>
          <w:color w:val="auto"/>
          <w:szCs w:val="21"/>
        </w:rPr>
        <w:t>3</w:t>
      </w:r>
      <w:r>
        <w:rPr>
          <w:color w:val="auto"/>
          <w:szCs w:val="21"/>
        </w:rPr>
        <w:t xml:space="preserve"> 竣工退场</w:t>
      </w:r>
    </w:p>
    <w:p>
      <w:pPr>
        <w:spacing w:line="360" w:lineRule="exact"/>
        <w:ind w:firstLine="420" w:firstLineChars="200"/>
        <w:rPr>
          <w:color w:val="auto"/>
          <w:kern w:val="0"/>
          <w:szCs w:val="21"/>
        </w:rPr>
      </w:pPr>
      <w:r>
        <w:rPr>
          <w:color w:val="auto"/>
          <w:kern w:val="0"/>
          <w:szCs w:val="21"/>
        </w:rPr>
        <w:t>13.</w:t>
      </w:r>
      <w:r>
        <w:rPr>
          <w:rFonts w:hint="eastAsia"/>
          <w:color w:val="auto"/>
          <w:kern w:val="0"/>
          <w:szCs w:val="21"/>
        </w:rPr>
        <w:t>3</w:t>
      </w:r>
      <w:r>
        <w:rPr>
          <w:color w:val="auto"/>
          <w:kern w:val="0"/>
          <w:szCs w:val="21"/>
        </w:rPr>
        <w:t>.1 竣工退场</w:t>
      </w:r>
    </w:p>
    <w:p>
      <w:pPr>
        <w:spacing w:line="360" w:lineRule="exact"/>
        <w:ind w:firstLine="420" w:firstLineChars="200"/>
        <w:rPr>
          <w:color w:val="auto"/>
          <w:kern w:val="0"/>
          <w:szCs w:val="21"/>
        </w:rPr>
      </w:pPr>
      <w:r>
        <w:rPr>
          <w:rFonts w:hint="eastAsia"/>
          <w:color w:val="auto"/>
          <w:kern w:val="0"/>
          <w:szCs w:val="21"/>
        </w:rPr>
        <w:t>乙方</w:t>
      </w:r>
      <w:r>
        <w:rPr>
          <w:color w:val="auto"/>
          <w:kern w:val="0"/>
          <w:szCs w:val="21"/>
        </w:rPr>
        <w:t>完成竣工退场的期限：</w:t>
      </w:r>
      <w:r>
        <w:rPr>
          <w:rFonts w:hint="eastAsia"/>
          <w:color w:val="auto"/>
          <w:szCs w:val="21"/>
          <w:u w:val="single"/>
        </w:rPr>
        <w:t>颁发项目接收证书后7天内</w:t>
      </w:r>
      <w:r>
        <w:rPr>
          <w:color w:val="auto"/>
          <w:kern w:val="0"/>
          <w:szCs w:val="21"/>
        </w:rPr>
        <w:t>。</w:t>
      </w:r>
    </w:p>
    <w:p>
      <w:pPr>
        <w:pStyle w:val="9"/>
        <w:tabs>
          <w:tab w:val="left" w:pos="142"/>
          <w:tab w:val="left" w:pos="993"/>
          <w:tab w:val="left" w:pos="1418"/>
          <w:tab w:val="left" w:pos="1560"/>
        </w:tabs>
        <w:spacing w:before="0" w:after="0" w:line="360" w:lineRule="exact"/>
        <w:ind w:firstLine="422" w:firstLineChars="200"/>
        <w:rPr>
          <w:rFonts w:ascii="Times New Roman" w:hAnsi="Times New Roman"/>
          <w:color w:val="auto"/>
          <w:sz w:val="21"/>
          <w:szCs w:val="21"/>
        </w:rPr>
      </w:pPr>
      <w:r>
        <w:rPr>
          <w:rFonts w:ascii="Times New Roman" w:hAnsi="Times New Roman"/>
          <w:color w:val="auto"/>
          <w:sz w:val="21"/>
          <w:szCs w:val="21"/>
        </w:rPr>
        <w:t>14. 竣工结算</w:t>
      </w:r>
    </w:p>
    <w:p>
      <w:pPr>
        <w:spacing w:after="120" w:line="360" w:lineRule="exact"/>
        <w:ind w:firstLine="420" w:firstLineChars="200"/>
        <w:rPr>
          <w:color w:val="auto"/>
          <w:szCs w:val="21"/>
          <w:u w:val="single"/>
        </w:rPr>
      </w:pPr>
      <w:r>
        <w:rPr>
          <w:rFonts w:hint="eastAsia"/>
          <w:color w:val="auto"/>
          <w:szCs w:val="21"/>
          <w:u w:val="single"/>
        </w:rPr>
        <w:t>乙方应在项目竣工验收合格后90天内向甲方和监理人提交竣工结算申请单，并提交完整的项目结算资料七套。超过90天未提交竣工结算资料，经甲方催告后28天，乙方还不提交竣工结算资料的，甲方可根据自己资料办理竣工结算，且视为乙方认可竣工结算结果。</w:t>
      </w:r>
    </w:p>
    <w:p>
      <w:pPr>
        <w:spacing w:after="120" w:line="360" w:lineRule="exact"/>
        <w:ind w:firstLine="420" w:firstLineChars="200"/>
        <w:rPr>
          <w:color w:val="auto"/>
        </w:rPr>
      </w:pPr>
      <w:r>
        <w:rPr>
          <w:rFonts w:hint="eastAsia"/>
          <w:color w:val="auto"/>
        </w:rPr>
        <w:t>14.1竣工付款申请</w:t>
      </w:r>
    </w:p>
    <w:p>
      <w:pPr>
        <w:spacing w:after="120" w:line="360" w:lineRule="exact"/>
        <w:ind w:firstLine="420" w:firstLineChars="200"/>
        <w:rPr>
          <w:color w:val="auto"/>
          <w:szCs w:val="21"/>
        </w:rPr>
      </w:pPr>
      <w:r>
        <w:rPr>
          <w:rFonts w:hint="eastAsia"/>
          <w:color w:val="auto"/>
        </w:rPr>
        <w:t>乙方提交竣工付款单的期限：</w:t>
      </w:r>
      <w:r>
        <w:rPr>
          <w:rFonts w:hint="eastAsia"/>
          <w:color w:val="auto"/>
          <w:szCs w:val="21"/>
          <w:u w:val="single"/>
        </w:rPr>
        <w:t>按通用条款执行</w:t>
      </w:r>
      <w:r>
        <w:rPr>
          <w:rFonts w:hint="eastAsia"/>
          <w:color w:val="auto"/>
          <w:szCs w:val="21"/>
        </w:rPr>
        <w:t>。</w:t>
      </w:r>
    </w:p>
    <w:p>
      <w:pPr>
        <w:spacing w:after="120" w:line="360" w:lineRule="exact"/>
        <w:ind w:firstLine="420" w:firstLineChars="200"/>
        <w:rPr>
          <w:color w:val="auto"/>
          <w:szCs w:val="21"/>
          <w:u w:val="single"/>
        </w:rPr>
      </w:pPr>
      <w:r>
        <w:rPr>
          <w:rFonts w:hint="eastAsia"/>
          <w:color w:val="auto"/>
          <w:szCs w:val="21"/>
        </w:rPr>
        <w:t>竣工付款申请单应包括的内容：</w:t>
      </w:r>
      <w:r>
        <w:rPr>
          <w:rFonts w:hint="eastAsia"/>
          <w:color w:val="auto"/>
          <w:szCs w:val="21"/>
          <w:u w:val="single"/>
        </w:rPr>
        <w:t>按通用条款执行</w:t>
      </w:r>
      <w:r>
        <w:rPr>
          <w:rFonts w:hint="eastAsia"/>
          <w:color w:val="auto"/>
          <w:szCs w:val="21"/>
        </w:rPr>
        <w:t>。</w:t>
      </w:r>
    </w:p>
    <w:p>
      <w:pPr>
        <w:spacing w:line="360" w:lineRule="exact"/>
        <w:ind w:firstLine="420" w:firstLineChars="200"/>
        <w:rPr>
          <w:color w:val="auto"/>
          <w:szCs w:val="21"/>
        </w:rPr>
      </w:pPr>
      <w:r>
        <w:rPr>
          <w:color w:val="auto"/>
          <w:szCs w:val="21"/>
        </w:rPr>
        <w:t>14.2 竣工结算审核</w:t>
      </w:r>
    </w:p>
    <w:p>
      <w:pPr>
        <w:spacing w:line="360" w:lineRule="exact"/>
        <w:ind w:firstLine="420" w:firstLineChars="200"/>
        <w:rPr>
          <w:color w:val="auto"/>
          <w:szCs w:val="21"/>
          <w:u w:val="single"/>
        </w:rPr>
      </w:pPr>
      <w:r>
        <w:rPr>
          <w:rFonts w:hint="eastAsia"/>
          <w:color w:val="auto"/>
          <w:szCs w:val="21"/>
        </w:rPr>
        <w:t>（1）甲方结算审核时间：</w:t>
      </w:r>
      <w:r>
        <w:rPr>
          <w:rFonts w:hint="eastAsia"/>
          <w:color w:val="auto"/>
          <w:szCs w:val="21"/>
          <w:u w:val="single"/>
        </w:rPr>
        <w:t>甲方收到乙方递交的竣工结算报告及结算资料后，在6个月内审核完毕。</w:t>
      </w:r>
    </w:p>
    <w:p>
      <w:pPr>
        <w:spacing w:line="360" w:lineRule="exact"/>
        <w:ind w:firstLine="420" w:firstLineChars="200"/>
        <w:rPr>
          <w:color w:val="auto"/>
          <w:szCs w:val="21"/>
          <w:u w:val="single"/>
        </w:rPr>
      </w:pPr>
      <w:r>
        <w:rPr>
          <w:rFonts w:hint="eastAsia"/>
          <w:color w:val="auto"/>
          <w:szCs w:val="21"/>
          <w:u w:val="single"/>
        </w:rPr>
        <w:t>由甲方原因逾期审核责任：向乙方支付违约金，违约金为项目结算后应付项目款的利息，利率按中国人民银行发布的同期同类贷款基准利率，利息计算时间为应付项目款日至支付项目款日至。</w:t>
      </w:r>
    </w:p>
    <w:p>
      <w:pPr>
        <w:spacing w:line="360" w:lineRule="exact"/>
        <w:ind w:firstLine="420" w:firstLineChars="200"/>
        <w:rPr>
          <w:color w:val="auto"/>
          <w:szCs w:val="21"/>
          <w:u w:val="single"/>
        </w:rPr>
      </w:pPr>
      <w:r>
        <w:rPr>
          <w:rFonts w:hint="eastAsia"/>
          <w:color w:val="auto"/>
          <w:szCs w:val="21"/>
          <w:u w:val="single"/>
        </w:rPr>
        <w:t>（2）甲方在财政审核结束后14天内，完成对乙方的竣工付款。逾期支付按中国人民银行发布的同期同类贷款基准利率支付违约金；逾期超过56天，按中国人民银行发布的同期同类贷款基准利率的两倍支付违约金。</w:t>
      </w:r>
    </w:p>
    <w:p>
      <w:pPr>
        <w:spacing w:line="360" w:lineRule="exact"/>
        <w:ind w:firstLine="420" w:firstLineChars="200"/>
        <w:rPr>
          <w:color w:val="auto"/>
          <w:szCs w:val="21"/>
          <w:u w:val="single"/>
        </w:rPr>
      </w:pPr>
      <w:r>
        <w:rPr>
          <w:rFonts w:hint="eastAsia"/>
          <w:color w:val="auto"/>
          <w:szCs w:val="21"/>
          <w:u w:val="single"/>
        </w:rPr>
        <w:t>（3）乙方对甲方签认的结算价有异议的，甲方可先支付乙方无异议部分结算款。异议部分重新进行复核或按照第20条[争议解决约定处理。</w:t>
      </w:r>
    </w:p>
    <w:p>
      <w:pPr>
        <w:spacing w:line="360" w:lineRule="exact"/>
        <w:ind w:firstLine="420" w:firstLineChars="200"/>
        <w:rPr>
          <w:color w:val="auto"/>
          <w:szCs w:val="21"/>
        </w:rPr>
      </w:pPr>
      <w:r>
        <w:rPr>
          <w:rFonts w:hint="eastAsia"/>
          <w:color w:val="auto"/>
          <w:szCs w:val="21"/>
        </w:rPr>
        <w:t>（4）结算特殊要求：</w:t>
      </w:r>
      <w:r>
        <w:rPr>
          <w:rFonts w:hint="eastAsia"/>
          <w:color w:val="auto"/>
          <w:szCs w:val="21"/>
          <w:u w:val="single"/>
        </w:rPr>
        <w:t xml:space="preserve">      /        。</w:t>
      </w:r>
    </w:p>
    <w:p>
      <w:pPr>
        <w:spacing w:line="360" w:lineRule="exact"/>
        <w:ind w:firstLine="420" w:firstLineChars="200"/>
        <w:rPr>
          <w:color w:val="auto"/>
          <w:szCs w:val="21"/>
        </w:rPr>
      </w:pPr>
      <w:r>
        <w:rPr>
          <w:color w:val="auto"/>
          <w:szCs w:val="21"/>
        </w:rPr>
        <w:t>14.</w:t>
      </w:r>
      <w:r>
        <w:rPr>
          <w:rFonts w:hint="eastAsia"/>
          <w:color w:val="auto"/>
          <w:szCs w:val="21"/>
        </w:rPr>
        <w:t>3</w:t>
      </w:r>
      <w:r>
        <w:rPr>
          <w:color w:val="auto"/>
          <w:szCs w:val="21"/>
        </w:rPr>
        <w:t xml:space="preserve"> 最终结清</w:t>
      </w:r>
    </w:p>
    <w:p>
      <w:pPr>
        <w:spacing w:line="360" w:lineRule="exact"/>
        <w:ind w:firstLine="420" w:firstLineChars="200"/>
        <w:rPr>
          <w:color w:val="auto"/>
          <w:kern w:val="0"/>
          <w:szCs w:val="21"/>
        </w:rPr>
      </w:pPr>
      <w:r>
        <w:rPr>
          <w:color w:val="auto"/>
          <w:kern w:val="0"/>
          <w:szCs w:val="21"/>
        </w:rPr>
        <w:t>14.</w:t>
      </w:r>
      <w:r>
        <w:rPr>
          <w:rFonts w:hint="eastAsia"/>
          <w:color w:val="auto"/>
          <w:kern w:val="0"/>
          <w:szCs w:val="21"/>
        </w:rPr>
        <w:t>3</w:t>
      </w:r>
      <w:r>
        <w:rPr>
          <w:color w:val="auto"/>
          <w:kern w:val="0"/>
          <w:szCs w:val="21"/>
        </w:rPr>
        <w:t>.1 最终结清申请单</w:t>
      </w:r>
    </w:p>
    <w:p>
      <w:pPr>
        <w:spacing w:line="360" w:lineRule="exact"/>
        <w:ind w:firstLine="420" w:firstLineChars="200"/>
        <w:rPr>
          <w:color w:val="auto"/>
          <w:kern w:val="0"/>
          <w:szCs w:val="21"/>
        </w:rPr>
      </w:pPr>
      <w:r>
        <w:rPr>
          <w:rFonts w:hint="eastAsia"/>
          <w:color w:val="auto"/>
          <w:kern w:val="0"/>
          <w:szCs w:val="21"/>
        </w:rPr>
        <w:t>乙方</w:t>
      </w:r>
      <w:r>
        <w:rPr>
          <w:color w:val="auto"/>
          <w:kern w:val="0"/>
          <w:szCs w:val="21"/>
        </w:rPr>
        <w:t>提交最终结清申请单的份数：</w:t>
      </w:r>
      <w:r>
        <w:rPr>
          <w:rFonts w:hint="eastAsia"/>
          <w:color w:val="auto"/>
          <w:szCs w:val="21"/>
          <w:u w:val="single"/>
        </w:rPr>
        <w:t>/</w:t>
      </w:r>
      <w:r>
        <w:rPr>
          <w:color w:val="auto"/>
          <w:szCs w:val="21"/>
        </w:rPr>
        <w:t>。</w:t>
      </w:r>
    </w:p>
    <w:p>
      <w:pPr>
        <w:spacing w:line="360" w:lineRule="exact"/>
        <w:ind w:firstLine="420" w:firstLineChars="200"/>
        <w:rPr>
          <w:color w:val="auto"/>
          <w:szCs w:val="21"/>
        </w:rPr>
      </w:pPr>
      <w:r>
        <w:rPr>
          <w:rFonts w:hint="eastAsia"/>
          <w:color w:val="auto"/>
          <w:kern w:val="0"/>
          <w:szCs w:val="21"/>
        </w:rPr>
        <w:t>乙方</w:t>
      </w:r>
      <w:r>
        <w:rPr>
          <w:color w:val="auto"/>
          <w:kern w:val="0"/>
          <w:szCs w:val="21"/>
        </w:rPr>
        <w:t>提交最终结算申请单的期限：</w:t>
      </w:r>
      <w:r>
        <w:rPr>
          <w:rFonts w:hint="eastAsia"/>
          <w:color w:val="auto"/>
          <w:szCs w:val="21"/>
          <w:u w:val="single"/>
        </w:rPr>
        <w:t>/</w:t>
      </w:r>
      <w:r>
        <w:rPr>
          <w:color w:val="auto"/>
          <w:szCs w:val="21"/>
        </w:rPr>
        <w:t xml:space="preserve">。 </w:t>
      </w:r>
    </w:p>
    <w:p>
      <w:pPr>
        <w:spacing w:line="360" w:lineRule="exact"/>
        <w:ind w:firstLine="420" w:firstLineChars="200"/>
        <w:rPr>
          <w:color w:val="auto"/>
          <w:szCs w:val="21"/>
        </w:rPr>
      </w:pPr>
      <w:r>
        <w:rPr>
          <w:color w:val="auto"/>
          <w:szCs w:val="21"/>
        </w:rPr>
        <w:t>14.</w:t>
      </w:r>
      <w:r>
        <w:rPr>
          <w:rFonts w:hint="eastAsia"/>
          <w:color w:val="auto"/>
          <w:szCs w:val="21"/>
        </w:rPr>
        <w:t>3</w:t>
      </w:r>
      <w:r>
        <w:rPr>
          <w:color w:val="auto"/>
          <w:szCs w:val="21"/>
        </w:rPr>
        <w:t>.2 最终结清证书和支付</w:t>
      </w:r>
    </w:p>
    <w:p>
      <w:pPr>
        <w:spacing w:line="360" w:lineRule="exact"/>
        <w:ind w:firstLine="420" w:firstLineChars="200"/>
        <w:rPr>
          <w:color w:val="auto"/>
          <w:szCs w:val="21"/>
        </w:rPr>
      </w:pPr>
      <w:r>
        <w:rPr>
          <w:color w:val="auto"/>
          <w:szCs w:val="21"/>
        </w:rPr>
        <w:t>（1）</w:t>
      </w:r>
      <w:r>
        <w:rPr>
          <w:rFonts w:hint="eastAsia"/>
          <w:color w:val="auto"/>
          <w:szCs w:val="21"/>
        </w:rPr>
        <w:t>甲方</w:t>
      </w:r>
      <w:r>
        <w:rPr>
          <w:color w:val="auto"/>
          <w:szCs w:val="21"/>
        </w:rPr>
        <w:t>完成最终结清申请单的</w:t>
      </w:r>
      <w:r>
        <w:rPr>
          <w:rFonts w:hint="eastAsia"/>
          <w:color w:val="auto"/>
          <w:szCs w:val="21"/>
        </w:rPr>
        <w:t>审批</w:t>
      </w:r>
      <w:r>
        <w:rPr>
          <w:color w:val="auto"/>
          <w:szCs w:val="21"/>
        </w:rPr>
        <w:t>并颁发最终结清证书的期限：</w:t>
      </w:r>
      <w:r>
        <w:rPr>
          <w:rFonts w:hint="eastAsia"/>
          <w:color w:val="auto"/>
          <w:szCs w:val="21"/>
          <w:u w:val="single"/>
        </w:rPr>
        <w:t>按通用条款</w:t>
      </w:r>
      <w:r>
        <w:rPr>
          <w:color w:val="auto"/>
          <w:szCs w:val="21"/>
        </w:rPr>
        <w:t>。</w:t>
      </w:r>
    </w:p>
    <w:p>
      <w:pPr>
        <w:spacing w:line="360" w:lineRule="exact"/>
        <w:ind w:firstLine="420" w:firstLineChars="200"/>
        <w:rPr>
          <w:color w:val="auto"/>
          <w:szCs w:val="21"/>
        </w:rPr>
      </w:pPr>
      <w:r>
        <w:rPr>
          <w:color w:val="auto"/>
          <w:szCs w:val="21"/>
        </w:rPr>
        <w:t>（2）</w:t>
      </w:r>
      <w:r>
        <w:rPr>
          <w:rFonts w:hint="eastAsia"/>
          <w:color w:val="auto"/>
          <w:szCs w:val="21"/>
        </w:rPr>
        <w:t>甲方</w:t>
      </w:r>
      <w:r>
        <w:rPr>
          <w:color w:val="auto"/>
          <w:szCs w:val="21"/>
        </w:rPr>
        <w:t>完成支付的期限：</w:t>
      </w:r>
      <w:r>
        <w:rPr>
          <w:rFonts w:hint="eastAsia"/>
          <w:color w:val="auto"/>
          <w:szCs w:val="21"/>
          <w:u w:val="single"/>
        </w:rPr>
        <w:t>按通用条款</w:t>
      </w:r>
      <w:r>
        <w:rPr>
          <w:color w:val="auto"/>
          <w:szCs w:val="21"/>
        </w:rPr>
        <w:t>。</w:t>
      </w:r>
    </w:p>
    <w:p>
      <w:pPr>
        <w:pStyle w:val="9"/>
        <w:tabs>
          <w:tab w:val="left" w:pos="142"/>
          <w:tab w:val="left" w:pos="993"/>
          <w:tab w:val="left" w:pos="1418"/>
          <w:tab w:val="left" w:pos="1560"/>
        </w:tabs>
        <w:spacing w:before="0" w:after="0" w:line="360" w:lineRule="exact"/>
        <w:ind w:firstLine="422" w:firstLineChars="200"/>
        <w:rPr>
          <w:rFonts w:ascii="Times New Roman" w:hAnsi="Times New Roman" w:eastAsia="宋体"/>
          <w:b w:val="0"/>
          <w:color w:val="auto"/>
          <w:sz w:val="21"/>
          <w:szCs w:val="21"/>
        </w:rPr>
      </w:pPr>
      <w:r>
        <w:rPr>
          <w:rFonts w:ascii="Times New Roman" w:hAnsi="Times New Roman"/>
          <w:color w:val="auto"/>
          <w:sz w:val="21"/>
          <w:szCs w:val="21"/>
        </w:rPr>
        <w:t xml:space="preserve">15. </w:t>
      </w:r>
      <w:r>
        <w:rPr>
          <w:rFonts w:hint="eastAsia" w:ascii="Times New Roman" w:hAnsi="Times New Roman"/>
          <w:color w:val="auto"/>
          <w:sz w:val="21"/>
          <w:szCs w:val="21"/>
        </w:rPr>
        <w:t>质保</w:t>
      </w:r>
      <w:r>
        <w:rPr>
          <w:rFonts w:ascii="Times New Roman" w:hAnsi="Times New Roman"/>
          <w:color w:val="auto"/>
          <w:sz w:val="21"/>
          <w:szCs w:val="21"/>
        </w:rPr>
        <w:t>期与保修</w:t>
      </w:r>
    </w:p>
    <w:p>
      <w:pPr>
        <w:spacing w:line="360" w:lineRule="exact"/>
        <w:ind w:firstLine="420" w:firstLineChars="200"/>
        <w:rPr>
          <w:color w:val="auto"/>
          <w:szCs w:val="21"/>
        </w:rPr>
      </w:pPr>
      <w:r>
        <w:rPr>
          <w:color w:val="auto"/>
          <w:szCs w:val="21"/>
        </w:rPr>
        <w:t>15.</w:t>
      </w:r>
      <w:r>
        <w:rPr>
          <w:rFonts w:hint="eastAsia"/>
          <w:color w:val="auto"/>
          <w:szCs w:val="21"/>
        </w:rPr>
        <w:t>1质保期</w:t>
      </w:r>
      <w:r>
        <w:rPr>
          <w:color w:val="auto"/>
          <w:szCs w:val="21"/>
        </w:rPr>
        <w:t>期</w:t>
      </w:r>
    </w:p>
    <w:p>
      <w:pPr>
        <w:spacing w:line="360" w:lineRule="exact"/>
        <w:ind w:firstLine="420" w:firstLineChars="200"/>
        <w:rPr>
          <w:color w:val="auto"/>
          <w:szCs w:val="21"/>
        </w:rPr>
      </w:pPr>
      <w:r>
        <w:rPr>
          <w:rFonts w:hint="eastAsia"/>
          <w:color w:val="auto"/>
          <w:szCs w:val="21"/>
          <w:u w:val="single"/>
        </w:rPr>
        <w:t>质量保质期为</w:t>
      </w:r>
      <w:r>
        <w:rPr>
          <w:rFonts w:hint="eastAsia"/>
          <w:color w:val="auto"/>
          <w:szCs w:val="21"/>
        </w:rPr>
        <w:t>自</w:t>
      </w:r>
      <w:r>
        <w:rPr>
          <w:color w:val="auto"/>
          <w:szCs w:val="21"/>
        </w:rPr>
        <w:t>交</w:t>
      </w:r>
      <w:r>
        <w:rPr>
          <w:rFonts w:hint="eastAsia"/>
          <w:color w:val="auto"/>
          <w:szCs w:val="21"/>
        </w:rPr>
        <w:t>付</w:t>
      </w:r>
      <w:r>
        <w:rPr>
          <w:color w:val="auto"/>
          <w:szCs w:val="21"/>
        </w:rPr>
        <w:t>验收合格之日起</w:t>
      </w:r>
      <w:r>
        <w:rPr>
          <w:rFonts w:hint="eastAsia"/>
          <w:color w:val="auto"/>
          <w:szCs w:val="21"/>
        </w:rPr>
        <w:t>，主次干道标线不少于1年，支路标线不少于2年（技术需求中有列明质保期的按照技术需求中的要求）</w:t>
      </w:r>
    </w:p>
    <w:p>
      <w:pPr>
        <w:spacing w:line="360" w:lineRule="exact"/>
        <w:ind w:firstLine="420" w:firstLineChars="200"/>
        <w:rPr>
          <w:color w:val="auto"/>
          <w:szCs w:val="21"/>
        </w:rPr>
      </w:pPr>
      <w:r>
        <w:rPr>
          <w:color w:val="auto"/>
          <w:szCs w:val="21"/>
        </w:rPr>
        <w:t>15.</w:t>
      </w:r>
      <w:r>
        <w:rPr>
          <w:rFonts w:hint="eastAsia"/>
          <w:color w:val="auto"/>
          <w:szCs w:val="21"/>
        </w:rPr>
        <w:t>2</w:t>
      </w:r>
      <w:r>
        <w:rPr>
          <w:color w:val="auto"/>
          <w:szCs w:val="21"/>
        </w:rPr>
        <w:t>修复通知</w:t>
      </w:r>
    </w:p>
    <w:p>
      <w:pPr>
        <w:spacing w:line="360" w:lineRule="exact"/>
        <w:ind w:firstLine="420" w:firstLineChars="200"/>
        <w:rPr>
          <w:color w:val="auto"/>
          <w:kern w:val="0"/>
          <w:szCs w:val="21"/>
        </w:rPr>
      </w:pPr>
      <w:r>
        <w:rPr>
          <w:rFonts w:hint="eastAsia"/>
          <w:color w:val="auto"/>
          <w:kern w:val="0"/>
          <w:szCs w:val="21"/>
        </w:rPr>
        <w:t>乙方</w:t>
      </w:r>
      <w:r>
        <w:rPr>
          <w:color w:val="auto"/>
          <w:kern w:val="0"/>
          <w:szCs w:val="21"/>
        </w:rPr>
        <w:t>收到保修通知并到达工程现场的合理时间：</w:t>
      </w:r>
      <w:r>
        <w:rPr>
          <w:rFonts w:hint="eastAsia"/>
          <w:color w:val="auto"/>
          <w:kern w:val="0"/>
          <w:szCs w:val="21"/>
          <w:u w:val="single"/>
          <w:lang w:val="en-US" w:eastAsia="zh-CN"/>
        </w:rPr>
        <w:t xml:space="preserve">      </w:t>
      </w:r>
      <w:r>
        <w:rPr>
          <w:color w:val="auto"/>
          <w:kern w:val="0"/>
          <w:szCs w:val="21"/>
        </w:rPr>
        <w:t>。</w:t>
      </w:r>
    </w:p>
    <w:p>
      <w:pPr>
        <w:pStyle w:val="9"/>
        <w:tabs>
          <w:tab w:val="left" w:pos="142"/>
          <w:tab w:val="left" w:pos="993"/>
          <w:tab w:val="left" w:pos="1418"/>
          <w:tab w:val="left" w:pos="1560"/>
        </w:tabs>
        <w:spacing w:before="0" w:after="0" w:line="360" w:lineRule="exact"/>
        <w:ind w:firstLine="422" w:firstLineChars="200"/>
        <w:rPr>
          <w:rFonts w:ascii="Times New Roman" w:hAnsi="Times New Roman"/>
          <w:color w:val="auto"/>
          <w:sz w:val="21"/>
          <w:szCs w:val="21"/>
        </w:rPr>
      </w:pPr>
      <w:r>
        <w:rPr>
          <w:rFonts w:ascii="Times New Roman" w:hAnsi="Times New Roman"/>
          <w:color w:val="auto"/>
          <w:sz w:val="21"/>
          <w:szCs w:val="21"/>
        </w:rPr>
        <w:t>16. 违约</w:t>
      </w:r>
    </w:p>
    <w:p>
      <w:pPr>
        <w:spacing w:line="360" w:lineRule="exact"/>
        <w:ind w:firstLine="420" w:firstLineChars="200"/>
        <w:rPr>
          <w:color w:val="auto"/>
          <w:szCs w:val="21"/>
        </w:rPr>
      </w:pPr>
      <w:r>
        <w:rPr>
          <w:color w:val="auto"/>
          <w:szCs w:val="21"/>
        </w:rPr>
        <w:t xml:space="preserve">16.1 </w:t>
      </w:r>
      <w:r>
        <w:rPr>
          <w:rFonts w:hint="eastAsia"/>
          <w:color w:val="auto"/>
          <w:szCs w:val="21"/>
        </w:rPr>
        <w:t>甲方</w:t>
      </w:r>
      <w:r>
        <w:rPr>
          <w:color w:val="auto"/>
          <w:szCs w:val="21"/>
        </w:rPr>
        <w:t>违约</w:t>
      </w:r>
    </w:p>
    <w:p>
      <w:pPr>
        <w:spacing w:line="360" w:lineRule="exact"/>
        <w:ind w:firstLine="420" w:firstLineChars="200"/>
        <w:rPr>
          <w:color w:val="auto"/>
          <w:szCs w:val="21"/>
        </w:rPr>
      </w:pPr>
      <w:r>
        <w:rPr>
          <w:color w:val="auto"/>
          <w:szCs w:val="21"/>
        </w:rPr>
        <w:t>16.1.1</w:t>
      </w:r>
      <w:r>
        <w:rPr>
          <w:rFonts w:hint="eastAsia"/>
          <w:color w:val="auto"/>
          <w:szCs w:val="21"/>
        </w:rPr>
        <w:t>甲方</w:t>
      </w:r>
      <w:r>
        <w:rPr>
          <w:color w:val="auto"/>
          <w:szCs w:val="21"/>
        </w:rPr>
        <w:t>违约的情形</w:t>
      </w:r>
    </w:p>
    <w:p>
      <w:pPr>
        <w:spacing w:line="360" w:lineRule="exact"/>
        <w:ind w:firstLine="420" w:firstLineChars="200"/>
        <w:rPr>
          <w:color w:val="auto"/>
          <w:kern w:val="0"/>
          <w:szCs w:val="21"/>
        </w:rPr>
      </w:pPr>
      <w:r>
        <w:rPr>
          <w:rFonts w:hint="eastAsia"/>
          <w:color w:val="auto"/>
          <w:kern w:val="0"/>
          <w:szCs w:val="21"/>
        </w:rPr>
        <w:t>甲方</w:t>
      </w:r>
      <w:r>
        <w:rPr>
          <w:color w:val="auto"/>
          <w:kern w:val="0"/>
          <w:szCs w:val="21"/>
        </w:rPr>
        <w:t>违约的其他情形：</w:t>
      </w:r>
      <w:r>
        <w:rPr>
          <w:rFonts w:hint="eastAsia"/>
          <w:color w:val="auto"/>
          <w:kern w:val="0"/>
          <w:szCs w:val="21"/>
          <w:u w:val="single"/>
        </w:rPr>
        <w:t>/</w:t>
      </w:r>
      <w:r>
        <w:rPr>
          <w:color w:val="auto"/>
          <w:kern w:val="0"/>
          <w:szCs w:val="21"/>
        </w:rPr>
        <w:t>。</w:t>
      </w:r>
    </w:p>
    <w:p>
      <w:pPr>
        <w:spacing w:line="360" w:lineRule="exact"/>
        <w:ind w:firstLine="420" w:firstLineChars="200"/>
        <w:rPr>
          <w:color w:val="auto"/>
          <w:kern w:val="0"/>
          <w:szCs w:val="21"/>
        </w:rPr>
      </w:pPr>
      <w:r>
        <w:rPr>
          <w:color w:val="auto"/>
          <w:kern w:val="0"/>
          <w:szCs w:val="21"/>
        </w:rPr>
        <w:t xml:space="preserve">16.1.2 </w:t>
      </w:r>
      <w:r>
        <w:rPr>
          <w:rFonts w:hint="eastAsia"/>
          <w:color w:val="auto"/>
          <w:kern w:val="0"/>
          <w:szCs w:val="21"/>
        </w:rPr>
        <w:t>甲方</w:t>
      </w:r>
      <w:r>
        <w:rPr>
          <w:color w:val="auto"/>
          <w:kern w:val="0"/>
          <w:szCs w:val="21"/>
        </w:rPr>
        <w:t>违约的责任</w:t>
      </w:r>
    </w:p>
    <w:p>
      <w:pPr>
        <w:spacing w:line="360" w:lineRule="exact"/>
        <w:ind w:firstLine="420" w:firstLineChars="200"/>
        <w:rPr>
          <w:color w:val="auto"/>
          <w:kern w:val="0"/>
          <w:szCs w:val="21"/>
        </w:rPr>
      </w:pPr>
      <w:r>
        <w:rPr>
          <w:rFonts w:hint="eastAsia"/>
          <w:color w:val="auto"/>
          <w:kern w:val="0"/>
          <w:szCs w:val="21"/>
        </w:rPr>
        <w:t>甲方</w:t>
      </w:r>
      <w:r>
        <w:rPr>
          <w:color w:val="auto"/>
          <w:kern w:val="0"/>
          <w:szCs w:val="21"/>
        </w:rPr>
        <w:t>违约责任的承担方式和计算方法：</w:t>
      </w:r>
    </w:p>
    <w:p>
      <w:pPr>
        <w:spacing w:line="360" w:lineRule="exact"/>
        <w:ind w:firstLine="420" w:firstLineChars="200"/>
        <w:rPr>
          <w:color w:val="auto"/>
          <w:kern w:val="0"/>
          <w:szCs w:val="21"/>
          <w:u w:val="single"/>
        </w:rPr>
      </w:pPr>
      <w:r>
        <w:rPr>
          <w:color w:val="auto"/>
          <w:kern w:val="0"/>
          <w:szCs w:val="21"/>
        </w:rPr>
        <w:t>（1）因</w:t>
      </w:r>
      <w:r>
        <w:rPr>
          <w:rFonts w:hint="eastAsia"/>
          <w:color w:val="auto"/>
          <w:kern w:val="0"/>
          <w:szCs w:val="21"/>
        </w:rPr>
        <w:t>甲方</w:t>
      </w:r>
      <w:r>
        <w:rPr>
          <w:color w:val="auto"/>
          <w:kern w:val="0"/>
          <w:szCs w:val="21"/>
        </w:rPr>
        <w:t>原因未能在计划开工日期前7天内下达开工通知的违约责任：</w:t>
      </w:r>
      <w:r>
        <w:rPr>
          <w:rFonts w:hint="eastAsia"/>
          <w:color w:val="auto"/>
          <w:kern w:val="0"/>
          <w:szCs w:val="21"/>
          <w:u w:val="single"/>
        </w:rPr>
        <w:t>开始计算第7天后乙方已进场施工设备租赁费及施工人员误工费</w:t>
      </w:r>
      <w:r>
        <w:rPr>
          <w:color w:val="auto"/>
          <w:kern w:val="0"/>
          <w:szCs w:val="21"/>
        </w:rPr>
        <w:t>。</w:t>
      </w:r>
    </w:p>
    <w:p>
      <w:pPr>
        <w:spacing w:line="360" w:lineRule="exact"/>
        <w:ind w:firstLine="420" w:firstLineChars="200"/>
        <w:rPr>
          <w:color w:val="auto"/>
          <w:kern w:val="0"/>
          <w:szCs w:val="21"/>
          <w:u w:val="single"/>
        </w:rPr>
      </w:pPr>
      <w:r>
        <w:rPr>
          <w:rFonts w:hint="eastAsia"/>
          <w:color w:val="auto"/>
          <w:kern w:val="0"/>
          <w:szCs w:val="21"/>
        </w:rPr>
        <w:t>（2）</w:t>
      </w:r>
      <w:r>
        <w:rPr>
          <w:color w:val="auto"/>
          <w:kern w:val="0"/>
          <w:szCs w:val="21"/>
        </w:rPr>
        <w:t>因</w:t>
      </w:r>
      <w:r>
        <w:rPr>
          <w:rFonts w:hint="eastAsia"/>
          <w:color w:val="auto"/>
          <w:kern w:val="0"/>
          <w:szCs w:val="21"/>
        </w:rPr>
        <w:t>甲方</w:t>
      </w:r>
      <w:r>
        <w:rPr>
          <w:color w:val="auto"/>
          <w:kern w:val="0"/>
          <w:szCs w:val="21"/>
        </w:rPr>
        <w:t>原因未能按合同约定支付合同价款的违约责任：</w:t>
      </w:r>
      <w:r>
        <w:rPr>
          <w:rFonts w:hint="eastAsia"/>
          <w:color w:val="auto"/>
          <w:kern w:val="0"/>
          <w:szCs w:val="21"/>
          <w:u w:val="single"/>
        </w:rPr>
        <w:t>支付违约金，按逾期付款金额万分之五每日</w:t>
      </w:r>
    </w:p>
    <w:p>
      <w:pPr>
        <w:spacing w:line="360" w:lineRule="exact"/>
        <w:ind w:firstLine="420" w:firstLineChars="200"/>
        <w:rPr>
          <w:color w:val="auto"/>
          <w:kern w:val="0"/>
          <w:szCs w:val="21"/>
        </w:rPr>
      </w:pPr>
      <w:r>
        <w:rPr>
          <w:color w:val="auto"/>
          <w:kern w:val="0"/>
          <w:szCs w:val="21"/>
        </w:rPr>
        <w:t>（3）</w:t>
      </w:r>
      <w:r>
        <w:rPr>
          <w:rFonts w:hint="eastAsia"/>
          <w:color w:val="auto"/>
          <w:kern w:val="0"/>
          <w:szCs w:val="21"/>
        </w:rPr>
        <w:t>甲方</w:t>
      </w:r>
      <w:r>
        <w:rPr>
          <w:color w:val="auto"/>
          <w:kern w:val="0"/>
          <w:szCs w:val="21"/>
        </w:rPr>
        <w:t>违反第10.1款</w:t>
      </w:r>
      <w:r>
        <w:rPr>
          <w:rFonts w:hint="eastAsia"/>
          <w:color w:val="auto"/>
          <w:kern w:val="0"/>
          <w:szCs w:val="21"/>
        </w:rPr>
        <w:t>〔</w:t>
      </w:r>
      <w:r>
        <w:rPr>
          <w:color w:val="auto"/>
          <w:kern w:val="0"/>
          <w:szCs w:val="21"/>
        </w:rPr>
        <w:t>变更的范围</w:t>
      </w:r>
      <w:r>
        <w:rPr>
          <w:rFonts w:hint="eastAsia"/>
          <w:color w:val="auto"/>
          <w:kern w:val="0"/>
          <w:szCs w:val="21"/>
        </w:rPr>
        <w:t>〕</w:t>
      </w:r>
      <w:r>
        <w:rPr>
          <w:color w:val="auto"/>
          <w:kern w:val="0"/>
          <w:szCs w:val="21"/>
        </w:rPr>
        <w:t>第（2）项约定，自行实施被取消的工作或转由他人实施的违约责任：</w:t>
      </w:r>
      <w:r>
        <w:rPr>
          <w:rFonts w:hint="eastAsia"/>
          <w:color w:val="auto"/>
          <w:kern w:val="0"/>
          <w:szCs w:val="21"/>
          <w:u w:val="single"/>
        </w:rPr>
        <w:t xml:space="preserve">  /     </w:t>
      </w:r>
      <w:r>
        <w:rPr>
          <w:color w:val="auto"/>
          <w:kern w:val="0"/>
          <w:szCs w:val="21"/>
        </w:rPr>
        <w:t>。</w:t>
      </w:r>
    </w:p>
    <w:p>
      <w:pPr>
        <w:spacing w:line="360" w:lineRule="exact"/>
        <w:ind w:firstLine="420" w:firstLineChars="200"/>
        <w:rPr>
          <w:color w:val="auto"/>
          <w:kern w:val="0"/>
          <w:szCs w:val="21"/>
        </w:rPr>
      </w:pPr>
      <w:r>
        <w:rPr>
          <w:color w:val="auto"/>
          <w:kern w:val="0"/>
          <w:szCs w:val="21"/>
        </w:rPr>
        <w:t>（</w:t>
      </w:r>
      <w:r>
        <w:rPr>
          <w:rFonts w:hint="eastAsia"/>
          <w:color w:val="auto"/>
          <w:kern w:val="0"/>
          <w:szCs w:val="21"/>
        </w:rPr>
        <w:t>4</w:t>
      </w:r>
      <w:r>
        <w:rPr>
          <w:color w:val="auto"/>
          <w:kern w:val="0"/>
          <w:szCs w:val="21"/>
        </w:rPr>
        <w:t>）因</w:t>
      </w:r>
      <w:r>
        <w:rPr>
          <w:rFonts w:hint="eastAsia"/>
          <w:color w:val="auto"/>
          <w:kern w:val="0"/>
          <w:szCs w:val="21"/>
        </w:rPr>
        <w:t>甲方</w:t>
      </w:r>
      <w:r>
        <w:rPr>
          <w:color w:val="auto"/>
          <w:kern w:val="0"/>
          <w:szCs w:val="21"/>
        </w:rPr>
        <w:t>违反合同约定造成暂停施工的违约责任：</w:t>
      </w:r>
      <w:r>
        <w:rPr>
          <w:rFonts w:hint="eastAsia"/>
          <w:color w:val="auto"/>
          <w:kern w:val="0"/>
          <w:szCs w:val="21"/>
          <w:u w:val="single"/>
        </w:rPr>
        <w:t xml:space="preserve"> /    </w:t>
      </w:r>
      <w:r>
        <w:rPr>
          <w:color w:val="auto"/>
          <w:kern w:val="0"/>
          <w:szCs w:val="21"/>
        </w:rPr>
        <w:t>。</w:t>
      </w:r>
    </w:p>
    <w:p>
      <w:pPr>
        <w:spacing w:line="360" w:lineRule="exact"/>
        <w:ind w:left="420" w:leftChars="200"/>
        <w:rPr>
          <w:color w:val="auto"/>
          <w:kern w:val="0"/>
          <w:szCs w:val="21"/>
        </w:rPr>
      </w:pPr>
      <w:r>
        <w:rPr>
          <w:color w:val="auto"/>
          <w:kern w:val="0"/>
          <w:szCs w:val="21"/>
        </w:rPr>
        <w:t>（</w:t>
      </w:r>
      <w:r>
        <w:rPr>
          <w:rFonts w:hint="eastAsia"/>
          <w:color w:val="auto"/>
          <w:kern w:val="0"/>
          <w:szCs w:val="21"/>
        </w:rPr>
        <w:t>5</w:t>
      </w:r>
      <w:r>
        <w:rPr>
          <w:color w:val="auto"/>
          <w:kern w:val="0"/>
          <w:szCs w:val="21"/>
        </w:rPr>
        <w:t>）</w:t>
      </w:r>
      <w:r>
        <w:rPr>
          <w:rFonts w:hint="eastAsia"/>
          <w:color w:val="auto"/>
          <w:kern w:val="0"/>
          <w:szCs w:val="21"/>
        </w:rPr>
        <w:t>甲方</w:t>
      </w:r>
      <w:r>
        <w:rPr>
          <w:color w:val="auto"/>
          <w:kern w:val="0"/>
          <w:szCs w:val="21"/>
        </w:rPr>
        <w:t>无正当理由没有在约定期限内发出复工指示，导致</w:t>
      </w:r>
      <w:r>
        <w:rPr>
          <w:rFonts w:hint="eastAsia"/>
          <w:color w:val="auto"/>
          <w:kern w:val="0"/>
          <w:szCs w:val="21"/>
        </w:rPr>
        <w:t>乙方</w:t>
      </w:r>
      <w:r>
        <w:rPr>
          <w:color w:val="auto"/>
          <w:kern w:val="0"/>
          <w:szCs w:val="21"/>
        </w:rPr>
        <w:t>无法复工的违约责任：</w:t>
      </w:r>
      <w:r>
        <w:rPr>
          <w:rFonts w:hint="eastAsia"/>
          <w:color w:val="auto"/>
          <w:kern w:val="0"/>
          <w:szCs w:val="21"/>
          <w:u w:val="single"/>
        </w:rPr>
        <w:t xml:space="preserve"> /</w:t>
      </w:r>
      <w:r>
        <w:rPr>
          <w:color w:val="auto"/>
          <w:kern w:val="0"/>
          <w:szCs w:val="21"/>
        </w:rPr>
        <w:t>。</w:t>
      </w:r>
    </w:p>
    <w:p>
      <w:pPr>
        <w:spacing w:line="360" w:lineRule="exact"/>
        <w:ind w:firstLine="420" w:firstLineChars="200"/>
        <w:rPr>
          <w:color w:val="auto"/>
          <w:kern w:val="0"/>
          <w:szCs w:val="21"/>
        </w:rPr>
      </w:pPr>
      <w:r>
        <w:rPr>
          <w:color w:val="auto"/>
          <w:kern w:val="0"/>
          <w:szCs w:val="21"/>
        </w:rPr>
        <w:t>（</w:t>
      </w:r>
      <w:r>
        <w:rPr>
          <w:rFonts w:hint="eastAsia"/>
          <w:color w:val="auto"/>
          <w:kern w:val="0"/>
          <w:szCs w:val="21"/>
        </w:rPr>
        <w:t>6</w:t>
      </w:r>
      <w:r>
        <w:rPr>
          <w:color w:val="auto"/>
          <w:kern w:val="0"/>
          <w:szCs w:val="21"/>
        </w:rPr>
        <w:t>）</w:t>
      </w:r>
      <w:r>
        <w:rPr>
          <w:rFonts w:hint="eastAsia"/>
          <w:color w:val="auto"/>
          <w:kern w:val="0"/>
          <w:szCs w:val="21"/>
        </w:rPr>
        <w:t>其他：</w:t>
      </w:r>
      <w:r>
        <w:rPr>
          <w:rFonts w:hint="eastAsia"/>
          <w:color w:val="auto"/>
          <w:kern w:val="0"/>
          <w:szCs w:val="21"/>
          <w:u w:val="single"/>
        </w:rPr>
        <w:t xml:space="preserve">/ </w:t>
      </w:r>
      <w:r>
        <w:rPr>
          <w:color w:val="auto"/>
          <w:kern w:val="0"/>
          <w:szCs w:val="21"/>
        </w:rPr>
        <w:t>。</w:t>
      </w:r>
    </w:p>
    <w:p>
      <w:pPr>
        <w:spacing w:line="360" w:lineRule="exact"/>
        <w:ind w:firstLine="420" w:firstLineChars="200"/>
        <w:rPr>
          <w:color w:val="auto"/>
          <w:szCs w:val="21"/>
        </w:rPr>
      </w:pPr>
      <w:r>
        <w:rPr>
          <w:color w:val="auto"/>
          <w:szCs w:val="21"/>
        </w:rPr>
        <w:t>16.1.3 因</w:t>
      </w:r>
      <w:r>
        <w:rPr>
          <w:rFonts w:hint="eastAsia"/>
          <w:color w:val="auto"/>
          <w:szCs w:val="21"/>
        </w:rPr>
        <w:t>甲方</w:t>
      </w:r>
      <w:r>
        <w:rPr>
          <w:color w:val="auto"/>
          <w:szCs w:val="21"/>
        </w:rPr>
        <w:t>违约解除合同</w:t>
      </w:r>
    </w:p>
    <w:p>
      <w:pPr>
        <w:autoSpaceDE w:val="0"/>
        <w:autoSpaceDN w:val="0"/>
        <w:adjustRightInd w:val="0"/>
        <w:spacing w:line="360" w:lineRule="exact"/>
        <w:ind w:firstLine="420" w:firstLineChars="200"/>
        <w:rPr>
          <w:color w:val="auto"/>
          <w:kern w:val="0"/>
          <w:szCs w:val="21"/>
        </w:rPr>
      </w:pPr>
      <w:r>
        <w:rPr>
          <w:rFonts w:hint="eastAsia"/>
          <w:color w:val="auto"/>
          <w:kern w:val="0"/>
          <w:szCs w:val="21"/>
        </w:rPr>
        <w:t>乙方</w:t>
      </w:r>
      <w:r>
        <w:rPr>
          <w:color w:val="auto"/>
          <w:kern w:val="0"/>
          <w:szCs w:val="21"/>
        </w:rPr>
        <w:t>按16.1.1项</w:t>
      </w:r>
      <w:r>
        <w:rPr>
          <w:rFonts w:hint="eastAsia"/>
          <w:color w:val="auto"/>
          <w:kern w:val="0"/>
          <w:szCs w:val="21"/>
        </w:rPr>
        <w:t>〔甲方</w:t>
      </w:r>
      <w:r>
        <w:rPr>
          <w:color w:val="auto"/>
          <w:kern w:val="0"/>
          <w:szCs w:val="21"/>
        </w:rPr>
        <w:t>违约的情形</w:t>
      </w:r>
      <w:r>
        <w:rPr>
          <w:rFonts w:hint="eastAsia"/>
          <w:color w:val="auto"/>
          <w:kern w:val="0"/>
          <w:szCs w:val="21"/>
        </w:rPr>
        <w:t>〕</w:t>
      </w:r>
      <w:r>
        <w:rPr>
          <w:color w:val="auto"/>
          <w:kern w:val="0"/>
          <w:szCs w:val="21"/>
        </w:rPr>
        <w:t>约定暂停施工满</w:t>
      </w:r>
      <w:r>
        <w:rPr>
          <w:rFonts w:hint="eastAsia"/>
          <w:color w:val="auto"/>
          <w:kern w:val="0"/>
          <w:szCs w:val="21"/>
          <w:u w:val="single"/>
        </w:rPr>
        <w:t>/</w:t>
      </w:r>
      <w:r>
        <w:rPr>
          <w:color w:val="auto"/>
          <w:kern w:val="0"/>
          <w:szCs w:val="21"/>
        </w:rPr>
        <w:t>天后</w:t>
      </w:r>
      <w:r>
        <w:rPr>
          <w:rFonts w:hint="eastAsia"/>
          <w:color w:val="auto"/>
          <w:kern w:val="0"/>
          <w:szCs w:val="21"/>
        </w:rPr>
        <w:t>甲方</w:t>
      </w:r>
      <w:r>
        <w:rPr>
          <w:color w:val="auto"/>
          <w:kern w:val="0"/>
          <w:szCs w:val="21"/>
        </w:rPr>
        <w:t>仍不纠正其违约行为并致使合同目的不能实现的，</w:t>
      </w:r>
      <w:r>
        <w:rPr>
          <w:rFonts w:hint="eastAsia"/>
          <w:color w:val="auto"/>
          <w:kern w:val="0"/>
          <w:szCs w:val="21"/>
        </w:rPr>
        <w:t>乙方</w:t>
      </w:r>
      <w:r>
        <w:rPr>
          <w:color w:val="auto"/>
          <w:kern w:val="0"/>
          <w:szCs w:val="21"/>
        </w:rPr>
        <w:t>有权解除合同。</w:t>
      </w:r>
    </w:p>
    <w:p>
      <w:pPr>
        <w:spacing w:line="360" w:lineRule="exact"/>
        <w:ind w:firstLine="420" w:firstLineChars="200"/>
        <w:rPr>
          <w:color w:val="auto"/>
          <w:szCs w:val="21"/>
        </w:rPr>
      </w:pPr>
      <w:r>
        <w:rPr>
          <w:color w:val="auto"/>
          <w:szCs w:val="21"/>
        </w:rPr>
        <w:t xml:space="preserve">16.2 </w:t>
      </w:r>
      <w:r>
        <w:rPr>
          <w:rFonts w:hint="eastAsia"/>
          <w:color w:val="auto"/>
          <w:szCs w:val="21"/>
        </w:rPr>
        <w:t>乙方</w:t>
      </w:r>
      <w:r>
        <w:rPr>
          <w:color w:val="auto"/>
          <w:szCs w:val="21"/>
        </w:rPr>
        <w:t>违约</w:t>
      </w:r>
    </w:p>
    <w:p>
      <w:pPr>
        <w:spacing w:line="360" w:lineRule="exact"/>
        <w:ind w:firstLine="420" w:firstLineChars="200"/>
        <w:rPr>
          <w:color w:val="auto"/>
          <w:kern w:val="0"/>
          <w:szCs w:val="21"/>
        </w:rPr>
      </w:pPr>
      <w:r>
        <w:rPr>
          <w:color w:val="auto"/>
          <w:kern w:val="0"/>
          <w:szCs w:val="21"/>
        </w:rPr>
        <w:t xml:space="preserve">16.2.1 </w:t>
      </w:r>
      <w:r>
        <w:rPr>
          <w:rFonts w:hint="eastAsia"/>
          <w:color w:val="auto"/>
          <w:kern w:val="0"/>
          <w:szCs w:val="21"/>
        </w:rPr>
        <w:t>乙方</w:t>
      </w:r>
      <w:r>
        <w:rPr>
          <w:color w:val="auto"/>
          <w:kern w:val="0"/>
          <w:szCs w:val="21"/>
        </w:rPr>
        <w:t>违约的情形</w:t>
      </w:r>
    </w:p>
    <w:p>
      <w:pPr>
        <w:spacing w:line="360" w:lineRule="auto"/>
        <w:ind w:firstLine="420" w:firstLineChars="200"/>
        <w:jc w:val="left"/>
        <w:rPr>
          <w:color w:val="auto"/>
          <w:kern w:val="0"/>
          <w:szCs w:val="21"/>
        </w:rPr>
      </w:pPr>
      <w:r>
        <w:rPr>
          <w:rFonts w:hint="eastAsia"/>
          <w:color w:val="auto"/>
          <w:kern w:val="0"/>
          <w:szCs w:val="21"/>
        </w:rPr>
        <w:t>乙方</w:t>
      </w:r>
      <w:r>
        <w:rPr>
          <w:color w:val="auto"/>
          <w:kern w:val="0"/>
          <w:szCs w:val="21"/>
        </w:rPr>
        <w:t>违约的其他情形：</w:t>
      </w:r>
    </w:p>
    <w:p>
      <w:pPr>
        <w:spacing w:line="360" w:lineRule="exact"/>
        <w:ind w:firstLine="420" w:firstLineChars="200"/>
        <w:rPr>
          <w:color w:val="auto"/>
          <w:szCs w:val="21"/>
          <w:u w:val="single"/>
        </w:rPr>
      </w:pPr>
      <w:r>
        <w:rPr>
          <w:rFonts w:hint="eastAsia"/>
          <w:color w:val="auto"/>
          <w:kern w:val="0"/>
          <w:szCs w:val="21"/>
        </w:rPr>
        <w:t>1</w:t>
      </w:r>
      <w:r>
        <w:rPr>
          <w:rFonts w:hint="eastAsia"/>
          <w:color w:val="auto"/>
          <w:kern w:val="0"/>
          <w:szCs w:val="21"/>
          <w:u w:val="single"/>
        </w:rPr>
        <w:t>、</w:t>
      </w:r>
      <w:r>
        <w:rPr>
          <w:rFonts w:hint="eastAsia"/>
          <w:color w:val="auto"/>
          <w:szCs w:val="21"/>
          <w:u w:val="single"/>
        </w:rPr>
        <w:t>机械设备、施工项目班子未按投标承诺及时到位；</w:t>
      </w:r>
    </w:p>
    <w:p>
      <w:pPr>
        <w:spacing w:line="360" w:lineRule="exact"/>
        <w:ind w:firstLine="420" w:firstLineChars="200"/>
        <w:rPr>
          <w:color w:val="auto"/>
          <w:szCs w:val="21"/>
          <w:u w:val="single"/>
        </w:rPr>
      </w:pPr>
      <w:r>
        <w:rPr>
          <w:rFonts w:hint="eastAsia"/>
          <w:color w:val="auto"/>
          <w:szCs w:val="21"/>
        </w:rPr>
        <w:t>2</w:t>
      </w:r>
      <w:r>
        <w:rPr>
          <w:rFonts w:hint="eastAsia"/>
          <w:color w:val="auto"/>
          <w:szCs w:val="21"/>
          <w:u w:val="single"/>
        </w:rPr>
        <w:t>、本项目在实施过程中，如乙方的施工队伍素质、力量、现场管理班子、现场安全文明施工不符合投标书的承诺，造成现场管理混乱、项目质量和进度达不到投标所承诺的要求；</w:t>
      </w:r>
    </w:p>
    <w:p>
      <w:pPr>
        <w:spacing w:line="360" w:lineRule="exact"/>
        <w:ind w:firstLine="420" w:firstLineChars="200"/>
        <w:rPr>
          <w:color w:val="auto"/>
          <w:kern w:val="0"/>
          <w:szCs w:val="21"/>
        </w:rPr>
      </w:pPr>
      <w:r>
        <w:rPr>
          <w:rFonts w:hint="eastAsia"/>
          <w:color w:val="auto"/>
          <w:szCs w:val="21"/>
        </w:rPr>
        <w:t>3</w:t>
      </w:r>
      <w:r>
        <w:rPr>
          <w:rFonts w:hint="eastAsia"/>
          <w:color w:val="auto"/>
          <w:szCs w:val="21"/>
          <w:u w:val="single"/>
        </w:rPr>
        <w:t>、乙方允许其他人挂靠经营、私自转包</w:t>
      </w:r>
      <w:r>
        <w:rPr>
          <w:rFonts w:hint="eastAsia"/>
          <w:color w:val="auto"/>
          <w:kern w:val="0"/>
          <w:szCs w:val="21"/>
        </w:rPr>
        <w:t>；</w:t>
      </w:r>
    </w:p>
    <w:p>
      <w:pPr>
        <w:spacing w:line="360" w:lineRule="exact"/>
        <w:ind w:firstLine="420" w:firstLineChars="200"/>
        <w:rPr>
          <w:color w:val="auto"/>
          <w:kern w:val="0"/>
          <w:szCs w:val="21"/>
        </w:rPr>
      </w:pPr>
      <w:r>
        <w:rPr>
          <w:rFonts w:hint="eastAsia"/>
          <w:color w:val="auto"/>
          <w:kern w:val="0"/>
          <w:szCs w:val="21"/>
        </w:rPr>
        <w:t>4</w:t>
      </w:r>
      <w:r>
        <w:rPr>
          <w:rFonts w:hint="eastAsia"/>
          <w:color w:val="auto"/>
          <w:kern w:val="0"/>
          <w:szCs w:val="21"/>
          <w:u w:val="single"/>
        </w:rPr>
        <w:t>、乙方未达到投标时所承诺的诚信与技术标准。</w:t>
      </w:r>
    </w:p>
    <w:p>
      <w:pPr>
        <w:spacing w:line="360" w:lineRule="exact"/>
        <w:ind w:firstLine="420" w:firstLineChars="200"/>
        <w:rPr>
          <w:color w:val="auto"/>
          <w:kern w:val="0"/>
          <w:szCs w:val="21"/>
        </w:rPr>
      </w:pPr>
      <w:r>
        <w:rPr>
          <w:color w:val="auto"/>
          <w:kern w:val="0"/>
          <w:szCs w:val="21"/>
        </w:rPr>
        <w:t>16.2.2</w:t>
      </w:r>
      <w:r>
        <w:rPr>
          <w:rFonts w:hint="eastAsia"/>
          <w:color w:val="auto"/>
          <w:kern w:val="0"/>
          <w:szCs w:val="21"/>
        </w:rPr>
        <w:t>乙方</w:t>
      </w:r>
      <w:r>
        <w:rPr>
          <w:color w:val="auto"/>
          <w:kern w:val="0"/>
          <w:szCs w:val="21"/>
        </w:rPr>
        <w:t>违约的责任</w:t>
      </w:r>
    </w:p>
    <w:p>
      <w:pPr>
        <w:spacing w:line="360" w:lineRule="exact"/>
        <w:ind w:firstLine="525" w:firstLineChars="250"/>
        <w:rPr>
          <w:color w:val="auto"/>
          <w:kern w:val="0"/>
          <w:szCs w:val="21"/>
        </w:rPr>
      </w:pPr>
      <w:r>
        <w:rPr>
          <w:rFonts w:hint="eastAsia"/>
          <w:color w:val="auto"/>
          <w:kern w:val="0"/>
          <w:szCs w:val="21"/>
        </w:rPr>
        <w:t>乙方</w:t>
      </w:r>
      <w:r>
        <w:rPr>
          <w:color w:val="auto"/>
          <w:kern w:val="0"/>
          <w:szCs w:val="21"/>
        </w:rPr>
        <w:t>违约责任的承担方式和计算方法：</w:t>
      </w:r>
    </w:p>
    <w:p>
      <w:pPr>
        <w:spacing w:line="360" w:lineRule="exact"/>
        <w:ind w:firstLine="420" w:firstLineChars="200"/>
        <w:rPr>
          <w:color w:val="auto"/>
          <w:kern w:val="0"/>
          <w:szCs w:val="21"/>
        </w:rPr>
      </w:pPr>
      <w:r>
        <w:rPr>
          <w:color w:val="auto"/>
          <w:kern w:val="0"/>
          <w:szCs w:val="21"/>
        </w:rPr>
        <w:t>16.2.2</w:t>
      </w:r>
      <w:r>
        <w:rPr>
          <w:rFonts w:hint="eastAsia"/>
          <w:color w:val="auto"/>
          <w:kern w:val="0"/>
          <w:szCs w:val="21"/>
        </w:rPr>
        <w:t>乙方</w:t>
      </w:r>
      <w:r>
        <w:rPr>
          <w:color w:val="auto"/>
          <w:kern w:val="0"/>
          <w:szCs w:val="21"/>
        </w:rPr>
        <w:t>违约的责任</w:t>
      </w:r>
    </w:p>
    <w:p>
      <w:pPr>
        <w:spacing w:line="360" w:lineRule="exact"/>
        <w:ind w:firstLine="525" w:firstLineChars="250"/>
        <w:rPr>
          <w:color w:val="auto"/>
          <w:kern w:val="0"/>
          <w:szCs w:val="21"/>
        </w:rPr>
      </w:pPr>
      <w:r>
        <w:rPr>
          <w:rFonts w:hint="eastAsia"/>
          <w:color w:val="auto"/>
          <w:kern w:val="0"/>
          <w:szCs w:val="21"/>
        </w:rPr>
        <w:t>乙方</w:t>
      </w:r>
      <w:r>
        <w:rPr>
          <w:color w:val="auto"/>
          <w:kern w:val="0"/>
          <w:szCs w:val="21"/>
        </w:rPr>
        <w:t>违约责任的承担方式和计算方法：</w:t>
      </w:r>
    </w:p>
    <w:p>
      <w:pPr>
        <w:spacing w:line="360" w:lineRule="exact"/>
        <w:ind w:firstLine="420" w:firstLineChars="200"/>
        <w:rPr>
          <w:color w:val="auto"/>
          <w:kern w:val="0"/>
          <w:szCs w:val="21"/>
          <w:u w:val="single"/>
        </w:rPr>
      </w:pPr>
      <w:r>
        <w:rPr>
          <w:rFonts w:hint="eastAsia"/>
          <w:color w:val="auto"/>
          <w:kern w:val="0"/>
          <w:szCs w:val="21"/>
        </w:rPr>
        <w:t>▲ 1、</w:t>
      </w:r>
      <w:r>
        <w:rPr>
          <w:rFonts w:hint="eastAsia"/>
          <w:color w:val="auto"/>
          <w:szCs w:val="21"/>
          <w:u w:val="single"/>
        </w:rPr>
        <w:t>施工中发现用不合规范要求的材料，第一次扣履约保证金50000元；第二次没收全部履约保证金，甲方有权终止合同。</w:t>
      </w:r>
    </w:p>
    <w:p>
      <w:pPr>
        <w:spacing w:line="360" w:lineRule="exact"/>
        <w:ind w:firstLine="420" w:firstLineChars="200"/>
        <w:rPr>
          <w:color w:val="auto"/>
          <w:kern w:val="0"/>
          <w:szCs w:val="21"/>
          <w:u w:val="single"/>
        </w:rPr>
      </w:pPr>
      <w:r>
        <w:rPr>
          <w:rFonts w:hint="eastAsia"/>
          <w:color w:val="auto"/>
          <w:kern w:val="0"/>
          <w:szCs w:val="21"/>
        </w:rPr>
        <w:t>▲2、</w:t>
      </w:r>
      <w:r>
        <w:rPr>
          <w:rFonts w:hint="eastAsia"/>
          <w:color w:val="auto"/>
          <w:kern w:val="0"/>
          <w:szCs w:val="21"/>
          <w:u w:val="single"/>
        </w:rPr>
        <w:t>未按投标文件或投标承诺到位，每</w:t>
      </w:r>
      <w:r>
        <w:rPr>
          <w:rFonts w:hint="eastAsia"/>
          <w:color w:val="auto"/>
          <w:szCs w:val="21"/>
          <w:u w:val="single"/>
        </w:rPr>
        <w:t>发现一次</w:t>
      </w:r>
      <w:r>
        <w:rPr>
          <w:rFonts w:hint="eastAsia"/>
          <w:color w:val="auto"/>
          <w:kern w:val="0"/>
          <w:szCs w:val="21"/>
          <w:u w:val="single"/>
        </w:rPr>
        <w:t>扣除履约保证金1000元，超过3次的，甲方有权解除合同，</w:t>
      </w:r>
      <w:r>
        <w:rPr>
          <w:rFonts w:hint="eastAsia"/>
          <w:color w:val="auto"/>
          <w:szCs w:val="21"/>
          <w:u w:val="single"/>
        </w:rPr>
        <w:t>所有履约保证金归甲方</w:t>
      </w:r>
      <w:r>
        <w:rPr>
          <w:rFonts w:hint="eastAsia"/>
          <w:color w:val="auto"/>
          <w:kern w:val="0"/>
          <w:szCs w:val="21"/>
          <w:u w:val="single"/>
        </w:rPr>
        <w:t>；</w:t>
      </w:r>
    </w:p>
    <w:p>
      <w:pPr>
        <w:spacing w:line="360" w:lineRule="exact"/>
        <w:ind w:firstLine="420" w:firstLineChars="200"/>
        <w:rPr>
          <w:color w:val="auto"/>
          <w:kern w:val="0"/>
          <w:szCs w:val="21"/>
          <w:u w:val="single"/>
        </w:rPr>
      </w:pPr>
      <w:r>
        <w:rPr>
          <w:rFonts w:hint="eastAsia"/>
          <w:color w:val="auto"/>
          <w:kern w:val="0"/>
          <w:szCs w:val="21"/>
        </w:rPr>
        <w:t>▲3、</w:t>
      </w:r>
      <w:r>
        <w:rPr>
          <w:rFonts w:hint="eastAsia"/>
          <w:color w:val="auto"/>
          <w:szCs w:val="21"/>
          <w:u w:val="single"/>
        </w:rPr>
        <w:t>标线施划错误、厚度、发光度、施划质量等不满足招标要求和规范要求的，</w:t>
      </w:r>
      <w:r>
        <w:rPr>
          <w:rFonts w:hint="eastAsia"/>
          <w:color w:val="auto"/>
          <w:kern w:val="0"/>
          <w:szCs w:val="21"/>
          <w:u w:val="single"/>
        </w:rPr>
        <w:t>每</w:t>
      </w:r>
      <w:r>
        <w:rPr>
          <w:rFonts w:hint="eastAsia"/>
          <w:color w:val="auto"/>
          <w:szCs w:val="21"/>
          <w:u w:val="single"/>
        </w:rPr>
        <w:t>发现一次</w:t>
      </w:r>
      <w:r>
        <w:rPr>
          <w:rFonts w:hint="eastAsia"/>
          <w:color w:val="auto"/>
          <w:kern w:val="0"/>
          <w:szCs w:val="21"/>
          <w:u w:val="single"/>
        </w:rPr>
        <w:t>扣除履约保证金2000元，超过3次的，甲方有权解除合同，</w:t>
      </w:r>
      <w:r>
        <w:rPr>
          <w:rFonts w:hint="eastAsia"/>
          <w:color w:val="auto"/>
          <w:szCs w:val="21"/>
          <w:u w:val="single"/>
        </w:rPr>
        <w:t>所有履约保证金归</w:t>
      </w:r>
      <w:r>
        <w:rPr>
          <w:rFonts w:hint="eastAsia"/>
          <w:color w:val="auto"/>
          <w:kern w:val="0"/>
          <w:szCs w:val="21"/>
          <w:u w:val="single"/>
        </w:rPr>
        <w:t>甲方；</w:t>
      </w:r>
    </w:p>
    <w:p>
      <w:pPr>
        <w:spacing w:line="360" w:lineRule="exact"/>
        <w:ind w:firstLine="420" w:firstLineChars="200"/>
        <w:rPr>
          <w:color w:val="auto"/>
          <w:szCs w:val="21"/>
          <w:u w:val="single"/>
        </w:rPr>
      </w:pPr>
      <w:r>
        <w:rPr>
          <w:rFonts w:hint="eastAsia"/>
          <w:color w:val="auto"/>
          <w:kern w:val="0"/>
          <w:szCs w:val="21"/>
        </w:rPr>
        <w:t>3、</w:t>
      </w:r>
      <w:r>
        <w:rPr>
          <w:rFonts w:hint="eastAsia"/>
          <w:color w:val="auto"/>
          <w:szCs w:val="21"/>
          <w:u w:val="single"/>
        </w:rPr>
        <w:t>发现乙方允许其他人挂靠经营、私自转包，所有履约担保归甲方，甲方有权终止合同。</w:t>
      </w:r>
    </w:p>
    <w:p>
      <w:pPr>
        <w:spacing w:line="360" w:lineRule="exact"/>
        <w:ind w:firstLine="210" w:firstLineChars="100"/>
        <w:rPr>
          <w:color w:val="auto"/>
          <w:kern w:val="0"/>
          <w:szCs w:val="21"/>
          <w:u w:val="single"/>
        </w:rPr>
      </w:pPr>
      <w:r>
        <w:rPr>
          <w:rFonts w:hint="eastAsia"/>
          <w:color w:val="auto"/>
          <w:kern w:val="0"/>
          <w:szCs w:val="21"/>
        </w:rPr>
        <w:t xml:space="preserve"> 4、</w:t>
      </w:r>
      <w:r>
        <w:rPr>
          <w:rFonts w:hint="eastAsia"/>
          <w:color w:val="auto"/>
          <w:kern w:val="0"/>
          <w:szCs w:val="21"/>
          <w:u w:val="single"/>
        </w:rPr>
        <w:t>乙方原因造成现场管理混乱、</w:t>
      </w:r>
      <w:r>
        <w:rPr>
          <w:rFonts w:hint="eastAsia"/>
          <w:color w:val="auto"/>
          <w:szCs w:val="21"/>
          <w:u w:val="single"/>
        </w:rPr>
        <w:t>项目质量和进度达不到投标承诺的要求，超过3次的甲方有权要求乙方调整充实施工力量、更换项目班子，及至解除施工合同，所有履约保证金归甲方，并赔偿甲方损失。</w:t>
      </w:r>
    </w:p>
    <w:p>
      <w:pPr>
        <w:spacing w:line="360" w:lineRule="exact"/>
        <w:ind w:firstLine="420" w:firstLineChars="200"/>
        <w:rPr>
          <w:color w:val="auto"/>
          <w:kern w:val="0"/>
          <w:szCs w:val="21"/>
          <w:u w:val="single"/>
        </w:rPr>
      </w:pPr>
      <w:r>
        <w:rPr>
          <w:rFonts w:hint="eastAsia"/>
          <w:color w:val="auto"/>
          <w:szCs w:val="21"/>
        </w:rPr>
        <w:t>5、</w:t>
      </w:r>
      <w:r>
        <w:rPr>
          <w:rFonts w:hint="eastAsia"/>
          <w:color w:val="auto"/>
          <w:kern w:val="0"/>
          <w:szCs w:val="21"/>
          <w:u w:val="single"/>
        </w:rPr>
        <w:t>因乙方原因造成工期延误（含</w:t>
      </w:r>
      <w:r>
        <w:rPr>
          <w:rFonts w:hint="eastAsia"/>
          <w:color w:val="auto"/>
          <w:szCs w:val="21"/>
          <w:u w:val="single"/>
        </w:rPr>
        <w:t>未达到阶段性工作量要求的</w:t>
      </w:r>
      <w:r>
        <w:rPr>
          <w:rFonts w:hint="eastAsia"/>
          <w:color w:val="auto"/>
          <w:kern w:val="0"/>
          <w:szCs w:val="21"/>
          <w:u w:val="single"/>
        </w:rPr>
        <w:t>），乙方应按延误总额千分之六每日向甲方支付违约金，由甲方从待付货款中扣除。延误超过约定日期10个工作日不能交付的，甲方可解除本合同。因乙方延误交付或因其他违约行为导致甲方解除合同的，乙方应向甲方支付合同总值5%的违约金，如造成甲方损失超过违约金的，超出部分由乙方继续承担赔偿责任。</w:t>
      </w:r>
    </w:p>
    <w:p>
      <w:pPr>
        <w:spacing w:line="360" w:lineRule="exact"/>
        <w:ind w:firstLine="420" w:firstLineChars="200"/>
        <w:rPr>
          <w:color w:val="auto"/>
          <w:szCs w:val="21"/>
          <w:u w:val="single"/>
        </w:rPr>
      </w:pPr>
      <w:r>
        <w:rPr>
          <w:rFonts w:hint="eastAsia"/>
          <w:color w:val="auto"/>
          <w:szCs w:val="21"/>
        </w:rPr>
        <w:t>6、</w:t>
      </w:r>
      <w:r>
        <w:rPr>
          <w:rFonts w:hint="eastAsia"/>
          <w:color w:val="auto"/>
          <w:szCs w:val="21"/>
          <w:u w:val="single"/>
        </w:rPr>
        <w:t>发现擅自改变施工内容或数量的，每发现一次扣履约保证金1000元。</w:t>
      </w:r>
    </w:p>
    <w:p>
      <w:pPr>
        <w:spacing w:line="360" w:lineRule="exact"/>
        <w:ind w:firstLine="422" w:firstLineChars="200"/>
        <w:rPr>
          <w:color w:val="auto"/>
          <w:szCs w:val="21"/>
          <w:u w:val="single"/>
        </w:rPr>
      </w:pPr>
      <w:r>
        <w:rPr>
          <w:rFonts w:hint="eastAsia"/>
          <w:b/>
          <w:color w:val="auto"/>
          <w:kern w:val="0"/>
          <w:szCs w:val="21"/>
        </w:rPr>
        <w:t>7</w:t>
      </w:r>
      <w:r>
        <w:rPr>
          <w:rFonts w:hint="eastAsia"/>
          <w:color w:val="auto"/>
          <w:szCs w:val="21"/>
          <w:u w:val="single"/>
        </w:rPr>
        <w:t>、验收时，提供的工作量清单明显不属实的、每次扣履约保证金10000元，实际工作量结算按验收时的不属实比例下浮，扣除相应的履约保证金。</w:t>
      </w:r>
    </w:p>
    <w:p>
      <w:pPr>
        <w:spacing w:line="360" w:lineRule="exact"/>
        <w:ind w:firstLine="420" w:firstLineChars="200"/>
        <w:rPr>
          <w:color w:val="auto"/>
          <w:szCs w:val="21"/>
          <w:u w:val="single"/>
        </w:rPr>
      </w:pPr>
      <w:r>
        <w:rPr>
          <w:rFonts w:hint="eastAsia"/>
          <w:color w:val="auto"/>
          <w:szCs w:val="21"/>
          <w:u w:val="single"/>
        </w:rPr>
        <w:t>8、现场安全文明施工不符合投标书承诺或规范要求的，每次扣</w:t>
      </w:r>
      <w:r>
        <w:rPr>
          <w:rFonts w:hint="eastAsia"/>
          <w:color w:val="auto"/>
          <w:kern w:val="0"/>
          <w:szCs w:val="21"/>
          <w:u w:val="single"/>
        </w:rPr>
        <w:t>履约保证金</w:t>
      </w:r>
      <w:r>
        <w:rPr>
          <w:rFonts w:hint="eastAsia"/>
          <w:color w:val="auto"/>
          <w:szCs w:val="21"/>
          <w:u w:val="single"/>
        </w:rPr>
        <w:t>500元；</w:t>
      </w:r>
    </w:p>
    <w:p>
      <w:pPr>
        <w:spacing w:line="360" w:lineRule="exact"/>
        <w:ind w:firstLine="420" w:firstLineChars="200"/>
        <w:rPr>
          <w:color w:val="auto"/>
          <w:szCs w:val="21"/>
          <w:u w:val="single"/>
        </w:rPr>
      </w:pPr>
      <w:r>
        <w:rPr>
          <w:rFonts w:hint="eastAsia"/>
          <w:color w:val="auto"/>
          <w:szCs w:val="21"/>
        </w:rPr>
        <w:t>9、</w:t>
      </w:r>
      <w:r>
        <w:rPr>
          <w:rFonts w:hint="eastAsia"/>
          <w:color w:val="auto"/>
          <w:szCs w:val="21"/>
          <w:u w:val="single"/>
        </w:rPr>
        <w:t>施工现场不规范（含高峰时间段施工）、影响交通、施工后现场不清理，扣履约保证金1000元。</w:t>
      </w:r>
    </w:p>
    <w:p>
      <w:pPr>
        <w:spacing w:line="360" w:lineRule="exact"/>
        <w:ind w:firstLine="422" w:firstLineChars="200"/>
        <w:rPr>
          <w:color w:val="auto"/>
          <w:szCs w:val="21"/>
          <w:u w:val="single"/>
        </w:rPr>
      </w:pPr>
      <w:r>
        <w:rPr>
          <w:rFonts w:hint="eastAsia"/>
          <w:b/>
          <w:bCs/>
          <w:color w:val="auto"/>
          <w:kern w:val="0"/>
          <w:szCs w:val="21"/>
          <w:u w:val="single"/>
        </w:rPr>
        <w:t>10、</w:t>
      </w:r>
      <w:r>
        <w:rPr>
          <w:rFonts w:hint="eastAsia"/>
          <w:color w:val="auto"/>
          <w:kern w:val="0"/>
          <w:szCs w:val="21"/>
          <w:u w:val="single"/>
        </w:rPr>
        <w:t>施工期间发生伤人交通事故，负同等责任以上的第一次扣除履约金10000元，第二次扣除履约金20000元，第三次甲方有权终止合同。</w:t>
      </w:r>
    </w:p>
    <w:p>
      <w:pPr>
        <w:spacing w:line="360" w:lineRule="exact"/>
        <w:ind w:firstLine="420" w:firstLineChars="200"/>
        <w:rPr>
          <w:color w:val="auto"/>
          <w:szCs w:val="21"/>
          <w:u w:val="single"/>
        </w:rPr>
      </w:pPr>
      <w:r>
        <w:rPr>
          <w:rFonts w:hint="eastAsia"/>
          <w:color w:val="auto"/>
          <w:szCs w:val="21"/>
        </w:rPr>
        <w:t>11、施工人员着装不规范、不整洁，每次扣</w:t>
      </w:r>
      <w:r>
        <w:rPr>
          <w:rFonts w:hint="eastAsia"/>
          <w:color w:val="auto"/>
          <w:kern w:val="0"/>
          <w:szCs w:val="21"/>
          <w:u w:val="single"/>
        </w:rPr>
        <w:t>履约保证金</w:t>
      </w:r>
      <w:r>
        <w:rPr>
          <w:rFonts w:hint="eastAsia"/>
          <w:color w:val="auto"/>
          <w:szCs w:val="21"/>
          <w:u w:val="single"/>
        </w:rPr>
        <w:t>500元。</w:t>
      </w:r>
    </w:p>
    <w:p>
      <w:pPr>
        <w:spacing w:line="360" w:lineRule="exact"/>
        <w:ind w:firstLine="420" w:firstLineChars="200"/>
        <w:rPr>
          <w:color w:val="auto"/>
          <w:szCs w:val="21"/>
          <w:u w:val="single"/>
        </w:rPr>
      </w:pPr>
      <w:r>
        <w:rPr>
          <w:rFonts w:hint="eastAsia"/>
          <w:color w:val="auto"/>
          <w:szCs w:val="21"/>
          <w:u w:val="single"/>
        </w:rPr>
        <w:t>12、施工人员不服从交警或监理人员指挥、管理的，</w:t>
      </w:r>
      <w:r>
        <w:rPr>
          <w:rFonts w:hint="eastAsia"/>
          <w:color w:val="auto"/>
          <w:szCs w:val="21"/>
        </w:rPr>
        <w:t>每次扣</w:t>
      </w:r>
      <w:r>
        <w:rPr>
          <w:rFonts w:hint="eastAsia"/>
          <w:color w:val="auto"/>
          <w:kern w:val="0"/>
          <w:szCs w:val="21"/>
          <w:u w:val="single"/>
        </w:rPr>
        <w:t>履约保证金</w:t>
      </w:r>
      <w:r>
        <w:rPr>
          <w:rFonts w:hint="eastAsia"/>
          <w:color w:val="auto"/>
          <w:szCs w:val="21"/>
          <w:u w:val="single"/>
        </w:rPr>
        <w:t>1000元，</w:t>
      </w:r>
      <w:r>
        <w:rPr>
          <w:rFonts w:hint="eastAsia"/>
          <w:color w:val="auto"/>
          <w:kern w:val="0"/>
          <w:szCs w:val="21"/>
          <w:u w:val="single"/>
        </w:rPr>
        <w:t>超过3次的，甲方有权解除合同，</w:t>
      </w:r>
      <w:r>
        <w:rPr>
          <w:rFonts w:hint="eastAsia"/>
          <w:color w:val="auto"/>
          <w:szCs w:val="21"/>
          <w:u w:val="single"/>
        </w:rPr>
        <w:t>所有履约保证金归甲方。</w:t>
      </w:r>
    </w:p>
    <w:p>
      <w:pPr>
        <w:spacing w:line="360" w:lineRule="exact"/>
        <w:ind w:firstLine="420" w:firstLineChars="200"/>
        <w:rPr>
          <w:color w:val="auto"/>
          <w:kern w:val="0"/>
          <w:szCs w:val="21"/>
          <w:u w:val="single"/>
        </w:rPr>
      </w:pPr>
      <w:r>
        <w:rPr>
          <w:rFonts w:hint="eastAsia"/>
          <w:color w:val="auto"/>
          <w:szCs w:val="21"/>
          <w:u w:val="single"/>
        </w:rPr>
        <w:t>13、质保期内，未按质量保修书中要求的时间进行维护的，每次扣</w:t>
      </w:r>
      <w:r>
        <w:rPr>
          <w:rFonts w:hint="eastAsia"/>
          <w:color w:val="auto"/>
          <w:kern w:val="0"/>
          <w:szCs w:val="21"/>
          <w:u w:val="single"/>
        </w:rPr>
        <w:t>履约保证金</w:t>
      </w:r>
      <w:r>
        <w:rPr>
          <w:rFonts w:hint="eastAsia"/>
          <w:color w:val="auto"/>
          <w:szCs w:val="21"/>
          <w:u w:val="single"/>
        </w:rPr>
        <w:t>1000元，超过5次的，甲方有权终止合同，所有履约保证金归甲方。</w:t>
      </w:r>
    </w:p>
    <w:p>
      <w:pPr>
        <w:spacing w:line="360" w:lineRule="exact"/>
        <w:ind w:firstLine="420" w:firstLineChars="200"/>
        <w:rPr>
          <w:color w:val="auto"/>
          <w:szCs w:val="21"/>
        </w:rPr>
      </w:pPr>
      <w:r>
        <w:rPr>
          <w:rFonts w:hint="eastAsia"/>
          <w:color w:val="auto"/>
          <w:szCs w:val="21"/>
        </w:rPr>
        <w:t>14、</w:t>
      </w:r>
      <w:r>
        <w:rPr>
          <w:rFonts w:hint="eastAsia"/>
          <w:color w:val="auto"/>
          <w:szCs w:val="21"/>
          <w:u w:val="single"/>
        </w:rPr>
        <w:t>乙方无法继续履行、明确表示不履行或实质上已停止履行合同，甲方应通知乙方解除合同，所有履约保证金归甲方。</w:t>
      </w:r>
    </w:p>
    <w:p>
      <w:pPr>
        <w:spacing w:line="360" w:lineRule="exact"/>
        <w:ind w:firstLine="420" w:firstLineChars="200"/>
        <w:rPr>
          <w:color w:val="auto"/>
          <w:szCs w:val="21"/>
        </w:rPr>
      </w:pPr>
      <w:r>
        <w:rPr>
          <w:color w:val="auto"/>
          <w:szCs w:val="21"/>
        </w:rPr>
        <w:t>16.2.3 因</w:t>
      </w:r>
      <w:r>
        <w:rPr>
          <w:rFonts w:hint="eastAsia"/>
          <w:color w:val="auto"/>
          <w:szCs w:val="21"/>
        </w:rPr>
        <w:t>乙方</w:t>
      </w:r>
      <w:r>
        <w:rPr>
          <w:color w:val="auto"/>
          <w:szCs w:val="21"/>
        </w:rPr>
        <w:t>违约解除合同</w:t>
      </w:r>
    </w:p>
    <w:p>
      <w:pPr>
        <w:spacing w:line="360" w:lineRule="exact"/>
        <w:ind w:firstLine="420" w:firstLineChars="200"/>
        <w:rPr>
          <w:color w:val="auto"/>
          <w:kern w:val="0"/>
          <w:szCs w:val="21"/>
        </w:rPr>
      </w:pPr>
      <w:r>
        <w:rPr>
          <w:color w:val="auto"/>
          <w:kern w:val="0"/>
          <w:szCs w:val="21"/>
        </w:rPr>
        <w:t>关于</w:t>
      </w:r>
      <w:r>
        <w:rPr>
          <w:rFonts w:hint="eastAsia"/>
          <w:color w:val="auto"/>
          <w:kern w:val="0"/>
          <w:szCs w:val="21"/>
        </w:rPr>
        <w:t>乙方</w:t>
      </w:r>
      <w:r>
        <w:rPr>
          <w:color w:val="auto"/>
          <w:kern w:val="0"/>
          <w:szCs w:val="21"/>
        </w:rPr>
        <w:t>违约解除合同的特别约定：</w:t>
      </w:r>
      <w:r>
        <w:rPr>
          <w:rFonts w:hint="eastAsia"/>
          <w:color w:val="auto"/>
          <w:kern w:val="0"/>
          <w:szCs w:val="21"/>
          <w:u w:val="single"/>
        </w:rPr>
        <w:t>因3.4，16.2.2（乙方</w:t>
      </w:r>
      <w:r>
        <w:rPr>
          <w:color w:val="auto"/>
          <w:kern w:val="0"/>
          <w:szCs w:val="21"/>
          <w:u w:val="single"/>
        </w:rPr>
        <w:t>违约的责任</w:t>
      </w:r>
      <w:r>
        <w:rPr>
          <w:rFonts w:hint="eastAsia"/>
          <w:color w:val="auto"/>
          <w:kern w:val="0"/>
          <w:szCs w:val="21"/>
          <w:u w:val="single"/>
        </w:rPr>
        <w:t>）造成履约保证金扣除金额超过履约保证金额20 %时或在扣除履约保证金后拒绝补齐履约保证金时，</w:t>
      </w:r>
      <w:r>
        <w:rPr>
          <w:rFonts w:hint="eastAsia"/>
          <w:color w:val="auto"/>
          <w:szCs w:val="21"/>
          <w:u w:val="single"/>
        </w:rPr>
        <w:t>所有履约保证金归甲方，</w:t>
      </w:r>
      <w:r>
        <w:rPr>
          <w:rFonts w:hint="eastAsia"/>
          <w:color w:val="auto"/>
          <w:kern w:val="0"/>
          <w:szCs w:val="21"/>
          <w:u w:val="single"/>
        </w:rPr>
        <w:t>甲方有权解除合同</w:t>
      </w:r>
      <w:r>
        <w:rPr>
          <w:color w:val="auto"/>
          <w:kern w:val="0"/>
          <w:szCs w:val="21"/>
        </w:rPr>
        <w:t>。</w:t>
      </w:r>
    </w:p>
    <w:p>
      <w:pPr>
        <w:spacing w:line="360" w:lineRule="exact"/>
        <w:ind w:firstLine="420" w:firstLineChars="200"/>
        <w:rPr>
          <w:color w:val="auto"/>
          <w:szCs w:val="21"/>
          <w:u w:val="single"/>
        </w:rPr>
      </w:pPr>
      <w:r>
        <w:rPr>
          <w:rFonts w:hint="eastAsia"/>
          <w:color w:val="auto"/>
          <w:szCs w:val="21"/>
          <w:u w:val="single"/>
        </w:rPr>
        <w:t>16.2.4 因乙方违约解除合同后的处理： 已完成的工作量如经验收合格后按实结算，如验收后不合格则必须无偿返工并扣除相应的履约保证金，同时赔偿甲方损失。</w:t>
      </w:r>
    </w:p>
    <w:p>
      <w:pPr>
        <w:pStyle w:val="9"/>
        <w:tabs>
          <w:tab w:val="left" w:pos="142"/>
          <w:tab w:val="left" w:pos="993"/>
          <w:tab w:val="left" w:pos="1418"/>
          <w:tab w:val="left" w:pos="1560"/>
        </w:tabs>
        <w:spacing w:before="0" w:after="0" w:line="360" w:lineRule="exact"/>
        <w:ind w:firstLine="422" w:firstLineChars="200"/>
        <w:rPr>
          <w:rFonts w:ascii="Times New Roman" w:hAnsi="Times New Roman" w:eastAsia="宋体"/>
          <w:b w:val="0"/>
          <w:color w:val="auto"/>
          <w:sz w:val="21"/>
          <w:szCs w:val="21"/>
        </w:rPr>
      </w:pPr>
      <w:r>
        <w:rPr>
          <w:rFonts w:ascii="Times New Roman" w:hAnsi="Times New Roman"/>
          <w:color w:val="auto"/>
          <w:sz w:val="21"/>
          <w:szCs w:val="21"/>
        </w:rPr>
        <w:t>17. 不可抗力</w:t>
      </w:r>
    </w:p>
    <w:p>
      <w:pPr>
        <w:spacing w:line="360" w:lineRule="exact"/>
        <w:ind w:firstLine="420" w:firstLineChars="200"/>
        <w:rPr>
          <w:color w:val="auto"/>
          <w:szCs w:val="21"/>
        </w:rPr>
      </w:pPr>
      <w:r>
        <w:rPr>
          <w:color w:val="auto"/>
          <w:szCs w:val="21"/>
        </w:rPr>
        <w:t>17.1 不可抗力的确认</w:t>
      </w:r>
    </w:p>
    <w:p>
      <w:pPr>
        <w:spacing w:line="360" w:lineRule="exact"/>
        <w:ind w:firstLine="420" w:firstLineChars="200"/>
        <w:rPr>
          <w:color w:val="auto"/>
          <w:kern w:val="0"/>
          <w:szCs w:val="21"/>
          <w:u w:val="single"/>
        </w:rPr>
      </w:pPr>
      <w:r>
        <w:rPr>
          <w:color w:val="auto"/>
          <w:szCs w:val="21"/>
        </w:rPr>
        <w:t>除通用合同条款约定的不可抗力事件之外，视为不可抗力的其他情形：</w:t>
      </w:r>
      <w:r>
        <w:rPr>
          <w:rFonts w:hint="eastAsia"/>
          <w:color w:val="auto"/>
          <w:kern w:val="0"/>
          <w:szCs w:val="21"/>
          <w:u w:val="single"/>
        </w:rPr>
        <w:t xml:space="preserve">遇洪水、暴风雪、政府禁令等 </w:t>
      </w:r>
      <w:r>
        <w:rPr>
          <w:color w:val="auto"/>
          <w:kern w:val="0"/>
          <w:szCs w:val="21"/>
        </w:rPr>
        <w:t>。</w:t>
      </w:r>
    </w:p>
    <w:p>
      <w:pPr>
        <w:spacing w:line="360" w:lineRule="exact"/>
        <w:ind w:firstLine="420" w:firstLineChars="200"/>
        <w:rPr>
          <w:color w:val="auto"/>
          <w:szCs w:val="21"/>
        </w:rPr>
      </w:pPr>
      <w:r>
        <w:rPr>
          <w:color w:val="auto"/>
          <w:szCs w:val="21"/>
        </w:rPr>
        <w:t>17.</w:t>
      </w:r>
      <w:r>
        <w:rPr>
          <w:rFonts w:hint="eastAsia"/>
          <w:color w:val="auto"/>
          <w:szCs w:val="21"/>
        </w:rPr>
        <w:t>2</w:t>
      </w:r>
      <w:r>
        <w:rPr>
          <w:color w:val="auto"/>
          <w:szCs w:val="21"/>
        </w:rPr>
        <w:t xml:space="preserve"> 因不可抗力解除合同</w:t>
      </w:r>
    </w:p>
    <w:p>
      <w:pPr>
        <w:spacing w:line="360" w:lineRule="exact"/>
        <w:ind w:firstLine="420" w:firstLineChars="200"/>
        <w:rPr>
          <w:color w:val="auto"/>
          <w:szCs w:val="21"/>
        </w:rPr>
      </w:pPr>
      <w:r>
        <w:rPr>
          <w:color w:val="auto"/>
          <w:szCs w:val="21"/>
        </w:rPr>
        <w:t>合同解除后，</w:t>
      </w:r>
      <w:r>
        <w:rPr>
          <w:rFonts w:hint="eastAsia"/>
          <w:color w:val="auto"/>
          <w:szCs w:val="21"/>
        </w:rPr>
        <w:t>甲方</w:t>
      </w:r>
      <w:r>
        <w:rPr>
          <w:color w:val="auto"/>
          <w:szCs w:val="21"/>
        </w:rPr>
        <w:t>应在商定或确定</w:t>
      </w:r>
      <w:r>
        <w:rPr>
          <w:rFonts w:hint="eastAsia"/>
          <w:color w:val="auto"/>
          <w:szCs w:val="21"/>
        </w:rPr>
        <w:t>甲方</w:t>
      </w:r>
      <w:r>
        <w:rPr>
          <w:color w:val="auto"/>
          <w:szCs w:val="21"/>
        </w:rPr>
        <w:t>应支付款项后</w:t>
      </w:r>
      <w:r>
        <w:rPr>
          <w:rFonts w:hint="eastAsia"/>
          <w:color w:val="auto"/>
          <w:szCs w:val="21"/>
          <w:u w:val="single"/>
        </w:rPr>
        <w:t>30</w:t>
      </w:r>
      <w:r>
        <w:rPr>
          <w:color w:val="auto"/>
          <w:szCs w:val="21"/>
        </w:rPr>
        <w:t>天内完成款项的支付。</w:t>
      </w:r>
    </w:p>
    <w:p>
      <w:pPr>
        <w:spacing w:line="360" w:lineRule="exact"/>
        <w:ind w:firstLine="420" w:firstLineChars="200"/>
        <w:rPr>
          <w:color w:val="auto"/>
          <w:szCs w:val="21"/>
        </w:rPr>
      </w:pPr>
    </w:p>
    <w:p>
      <w:pPr>
        <w:spacing w:line="360" w:lineRule="auto"/>
        <w:rPr>
          <w:color w:val="auto"/>
          <w:szCs w:val="21"/>
        </w:rPr>
      </w:pPr>
      <w:r>
        <w:rPr>
          <w:rFonts w:hint="eastAsia"/>
          <w:color w:val="auto"/>
          <w:szCs w:val="21"/>
        </w:rPr>
        <w:t>甲方</w:t>
      </w:r>
      <w:r>
        <w:rPr>
          <w:color w:val="auto"/>
          <w:szCs w:val="21"/>
        </w:rPr>
        <w:t>(公章)：</w:t>
      </w:r>
      <w:r>
        <w:rPr>
          <w:rFonts w:hint="eastAsia"/>
          <w:color w:val="auto"/>
          <w:szCs w:val="21"/>
        </w:rPr>
        <w:t xml:space="preserve">                           乙方</w:t>
      </w:r>
      <w:r>
        <w:rPr>
          <w:color w:val="auto"/>
          <w:szCs w:val="21"/>
        </w:rPr>
        <w:t>(公章)：</w:t>
      </w:r>
    </w:p>
    <w:p>
      <w:pPr>
        <w:spacing w:line="360" w:lineRule="auto"/>
        <w:rPr>
          <w:color w:val="auto"/>
          <w:szCs w:val="21"/>
        </w:rPr>
      </w:pPr>
      <w:r>
        <w:rPr>
          <w:color w:val="auto"/>
          <w:szCs w:val="21"/>
        </w:rPr>
        <w:t>地  址：</w:t>
      </w:r>
      <w:r>
        <w:rPr>
          <w:rFonts w:hint="eastAsia"/>
          <w:color w:val="auto"/>
          <w:szCs w:val="21"/>
        </w:rPr>
        <w:t xml:space="preserve">                                 </w:t>
      </w:r>
      <w:r>
        <w:rPr>
          <w:color w:val="auto"/>
          <w:szCs w:val="21"/>
        </w:rPr>
        <w:t>地  址：</w:t>
      </w:r>
    </w:p>
    <w:p>
      <w:pPr>
        <w:spacing w:line="360" w:lineRule="auto"/>
        <w:rPr>
          <w:color w:val="auto"/>
          <w:szCs w:val="21"/>
        </w:rPr>
      </w:pPr>
      <w:r>
        <w:rPr>
          <w:color w:val="auto"/>
          <w:szCs w:val="21"/>
        </w:rPr>
        <w:t>法定代表人(签字)：</w:t>
      </w:r>
      <w:r>
        <w:rPr>
          <w:rFonts w:hint="eastAsia"/>
          <w:color w:val="auto"/>
          <w:szCs w:val="21"/>
        </w:rPr>
        <w:t xml:space="preserve">                       </w:t>
      </w:r>
      <w:r>
        <w:rPr>
          <w:color w:val="auto"/>
          <w:szCs w:val="21"/>
        </w:rPr>
        <w:t>法定代表人(签字)：</w:t>
      </w:r>
    </w:p>
    <w:p>
      <w:pPr>
        <w:spacing w:line="360" w:lineRule="auto"/>
        <w:rPr>
          <w:color w:val="auto"/>
          <w:szCs w:val="21"/>
        </w:rPr>
      </w:pPr>
      <w:r>
        <w:rPr>
          <w:color w:val="auto"/>
          <w:szCs w:val="21"/>
        </w:rPr>
        <w:t>委托代理人(签字)：</w:t>
      </w:r>
      <w:r>
        <w:rPr>
          <w:rFonts w:hint="eastAsia"/>
          <w:color w:val="auto"/>
          <w:szCs w:val="21"/>
        </w:rPr>
        <w:t xml:space="preserve">                      </w:t>
      </w:r>
      <w:r>
        <w:rPr>
          <w:color w:val="auto"/>
          <w:szCs w:val="21"/>
        </w:rPr>
        <w:t>委托代理人(签字)：</w:t>
      </w:r>
    </w:p>
    <w:p>
      <w:pPr>
        <w:spacing w:line="360" w:lineRule="auto"/>
        <w:rPr>
          <w:color w:val="auto"/>
          <w:szCs w:val="21"/>
        </w:rPr>
      </w:pPr>
      <w:r>
        <w:rPr>
          <w:color w:val="auto"/>
          <w:szCs w:val="21"/>
        </w:rPr>
        <w:t>电  话：</w:t>
      </w:r>
      <w:r>
        <w:rPr>
          <w:rFonts w:hint="eastAsia"/>
          <w:color w:val="auto"/>
          <w:szCs w:val="21"/>
        </w:rPr>
        <w:t xml:space="preserve">                                </w:t>
      </w:r>
      <w:r>
        <w:rPr>
          <w:color w:val="auto"/>
          <w:szCs w:val="21"/>
        </w:rPr>
        <w:t>电  话：</w:t>
      </w:r>
    </w:p>
    <w:p>
      <w:pPr>
        <w:spacing w:line="360" w:lineRule="exact"/>
        <w:rPr>
          <w:color w:val="auto"/>
          <w:szCs w:val="21"/>
        </w:rPr>
      </w:pPr>
      <w:r>
        <w:rPr>
          <w:color w:val="auto"/>
          <w:szCs w:val="21"/>
        </w:rPr>
        <w:t>传  真：</w:t>
      </w:r>
      <w:r>
        <w:rPr>
          <w:rFonts w:hint="eastAsia"/>
          <w:color w:val="auto"/>
          <w:szCs w:val="21"/>
        </w:rPr>
        <w:t xml:space="preserve">                                </w:t>
      </w:r>
      <w:r>
        <w:rPr>
          <w:color w:val="auto"/>
          <w:szCs w:val="21"/>
        </w:rPr>
        <w:t>传  真：</w:t>
      </w:r>
    </w:p>
    <w:p>
      <w:pPr>
        <w:rPr>
          <w:rFonts w:ascii="宋体" w:hAnsi="宋体" w:cs="宋体"/>
          <w:b/>
          <w:bCs/>
          <w:color w:val="auto"/>
          <w:sz w:val="24"/>
        </w:rPr>
      </w:pPr>
    </w:p>
    <w:p>
      <w:pPr>
        <w:pStyle w:val="19"/>
        <w:rPr>
          <w:rFonts w:ascii="宋体" w:hAnsi="宋体" w:cs="宋体"/>
          <w:b/>
          <w:bCs/>
          <w:color w:val="auto"/>
          <w:sz w:val="24"/>
        </w:rPr>
      </w:pPr>
    </w:p>
    <w:p>
      <w:pPr>
        <w:rPr>
          <w:rFonts w:ascii="宋体" w:hAnsi="宋体" w:cs="宋体"/>
          <w:b/>
          <w:bCs/>
          <w:color w:val="auto"/>
          <w:sz w:val="24"/>
        </w:rPr>
      </w:pPr>
    </w:p>
    <w:p>
      <w:pPr>
        <w:pStyle w:val="19"/>
        <w:rPr>
          <w:rFonts w:ascii="宋体" w:hAnsi="宋体" w:cs="宋体"/>
          <w:b/>
          <w:bCs/>
          <w:color w:val="auto"/>
          <w:sz w:val="24"/>
        </w:rPr>
      </w:pPr>
    </w:p>
    <w:p>
      <w:pPr>
        <w:rPr>
          <w:rFonts w:ascii="宋体" w:hAnsi="宋体" w:cs="宋体"/>
          <w:b/>
          <w:bCs/>
          <w:color w:val="auto"/>
          <w:sz w:val="24"/>
        </w:rPr>
      </w:pPr>
    </w:p>
    <w:p>
      <w:pPr>
        <w:pStyle w:val="19"/>
        <w:rPr>
          <w:rFonts w:ascii="宋体" w:hAnsi="宋体" w:cs="宋体"/>
          <w:b/>
          <w:bCs/>
          <w:color w:val="auto"/>
          <w:sz w:val="24"/>
        </w:rPr>
      </w:pPr>
    </w:p>
    <w:p>
      <w:pPr>
        <w:rPr>
          <w:rFonts w:ascii="宋体" w:hAnsi="宋体" w:cs="宋体"/>
          <w:b/>
          <w:bCs/>
          <w:color w:val="auto"/>
          <w:sz w:val="24"/>
        </w:rPr>
      </w:pPr>
    </w:p>
    <w:p>
      <w:pPr>
        <w:pStyle w:val="19"/>
        <w:rPr>
          <w:rFonts w:ascii="宋体" w:hAnsi="宋体" w:cs="宋体"/>
          <w:b/>
          <w:bCs/>
          <w:color w:val="auto"/>
          <w:sz w:val="24"/>
        </w:rPr>
      </w:pPr>
    </w:p>
    <w:p>
      <w:pPr>
        <w:rPr>
          <w:rFonts w:ascii="宋体" w:hAnsi="宋体" w:cs="宋体"/>
          <w:b/>
          <w:bCs/>
          <w:color w:val="auto"/>
          <w:sz w:val="24"/>
        </w:rPr>
      </w:pPr>
    </w:p>
    <w:p>
      <w:pPr>
        <w:pStyle w:val="19"/>
        <w:rPr>
          <w:rFonts w:ascii="宋体" w:hAnsi="宋体" w:cs="宋体"/>
          <w:b/>
          <w:bCs/>
          <w:color w:val="auto"/>
          <w:sz w:val="24"/>
        </w:rPr>
      </w:pPr>
    </w:p>
    <w:p>
      <w:pPr>
        <w:rPr>
          <w:color w:val="auto"/>
        </w:rPr>
      </w:pPr>
    </w:p>
    <w:p>
      <w:pPr>
        <w:pStyle w:val="19"/>
        <w:rPr>
          <w:color w:val="auto"/>
        </w:rPr>
      </w:pPr>
    </w:p>
    <w:p>
      <w:pPr>
        <w:rPr>
          <w:rFonts w:ascii="宋体" w:hAnsi="宋体" w:cs="宋体"/>
          <w:b/>
          <w:bCs/>
          <w:color w:val="auto"/>
          <w:sz w:val="28"/>
          <w:szCs w:val="28"/>
        </w:rPr>
      </w:pPr>
      <w:r>
        <w:rPr>
          <w:rFonts w:hint="eastAsia" w:ascii="宋体" w:hAnsi="宋体" w:cs="宋体"/>
          <w:b/>
          <w:bCs/>
          <w:color w:val="auto"/>
          <w:sz w:val="28"/>
          <w:szCs w:val="28"/>
        </w:rPr>
        <w:t>合同附件一</w:t>
      </w:r>
    </w:p>
    <w:p>
      <w:pPr>
        <w:jc w:val="center"/>
        <w:rPr>
          <w:rFonts w:ascii="Calibri" w:hAnsi="Calibri"/>
          <w:b/>
          <w:bCs/>
          <w:color w:val="auto"/>
          <w:sz w:val="28"/>
          <w:szCs w:val="28"/>
        </w:rPr>
      </w:pPr>
      <w:r>
        <w:rPr>
          <w:rFonts w:hint="eastAsia" w:ascii="宋体" w:hAnsi="宋体" w:cs="宋体"/>
          <w:b/>
          <w:bCs/>
          <w:color w:val="auto"/>
          <w:sz w:val="28"/>
          <w:szCs w:val="28"/>
        </w:rPr>
        <w:t>廉洁诚信协议</w:t>
      </w:r>
    </w:p>
    <w:p>
      <w:pPr>
        <w:spacing w:line="300" w:lineRule="auto"/>
        <w:ind w:firstLine="480" w:firstLineChars="200"/>
        <w:rPr>
          <w:rFonts w:ascii="宋体" w:hAnsi="宋体" w:cs="宋体"/>
          <w:color w:val="auto"/>
          <w:sz w:val="24"/>
        </w:rPr>
      </w:pPr>
      <w:r>
        <w:rPr>
          <w:rFonts w:hint="eastAsia" w:ascii="宋体" w:hAnsi="宋体" w:cs="宋体"/>
          <w:color w:val="auto"/>
          <w:sz w:val="24"/>
        </w:rPr>
        <w:t>为加强台州市公安局交通警察局政府采购项目廉政建设，预防违法违规行为，确保双方在业务交往中保持廉洁自律，防止各种不正当行为的发生，保证合作双方在业务交往活动中做到诚信廉洁、高效共赢，根据国家相关法律法规及政策规定，经双方协商一致，在签订合同的同时订立本廉洁诚信协议，内容如下：</w:t>
      </w:r>
    </w:p>
    <w:p>
      <w:pPr>
        <w:spacing w:line="300" w:lineRule="auto"/>
        <w:ind w:firstLine="480" w:firstLineChars="200"/>
        <w:rPr>
          <w:rFonts w:ascii="宋体" w:hAnsi="宋体" w:cs="宋体"/>
          <w:color w:val="auto"/>
          <w:sz w:val="24"/>
        </w:rPr>
      </w:pPr>
      <w:r>
        <w:rPr>
          <w:rFonts w:hint="eastAsia" w:ascii="宋体" w:hAnsi="宋体" w:cs="宋体"/>
          <w:color w:val="auto"/>
          <w:sz w:val="24"/>
        </w:rPr>
        <w:t>1、双方在整个项目采购、建设活动中，做到公平、公正、公开，不搞暗箱操作，不搞不正当竞争，双方工作人员及亲属不得违反以下规定：</w:t>
      </w:r>
    </w:p>
    <w:p>
      <w:pPr>
        <w:spacing w:line="300" w:lineRule="auto"/>
        <w:ind w:firstLine="480" w:firstLineChars="200"/>
        <w:rPr>
          <w:rFonts w:ascii="宋体" w:hAnsi="宋体" w:cs="宋体"/>
          <w:color w:val="auto"/>
          <w:sz w:val="24"/>
        </w:rPr>
      </w:pPr>
      <w:r>
        <w:rPr>
          <w:rFonts w:hint="eastAsia" w:ascii="宋体" w:hAnsi="宋体" w:cs="宋体"/>
          <w:color w:val="auto"/>
          <w:sz w:val="24"/>
        </w:rPr>
        <w:t>（1）不得收受或向对方馈送现金、贵重物品、有价证券、购物卡、充值卡等，不得收受回扣；</w:t>
      </w:r>
    </w:p>
    <w:p>
      <w:pPr>
        <w:spacing w:line="300" w:lineRule="auto"/>
        <w:ind w:firstLine="480" w:firstLineChars="200"/>
        <w:rPr>
          <w:rFonts w:ascii="宋体" w:hAnsi="宋体" w:cs="宋体"/>
          <w:color w:val="auto"/>
          <w:sz w:val="24"/>
        </w:rPr>
      </w:pPr>
      <w:r>
        <w:rPr>
          <w:rFonts w:hint="eastAsia" w:ascii="宋体" w:hAnsi="宋体" w:cs="宋体"/>
          <w:color w:val="auto"/>
          <w:sz w:val="24"/>
        </w:rPr>
        <w:t xml:space="preserve">（2）不得介绍亲友或为对方亲友安排从事与双方合作有关的业务活动，甲方项目相关员工及其配偶、父母、子女、利害关系人及控股、参股企业不得在乙方或乙方关联企业中投资入股，甲方员工不得在乙方或乙方关联企业担任兼职，不得以咨询费、服务费或其他任何形式从乙方或乙方关联企业获得收入； </w:t>
      </w:r>
    </w:p>
    <w:p>
      <w:pPr>
        <w:spacing w:line="300" w:lineRule="auto"/>
        <w:ind w:firstLine="480" w:firstLineChars="200"/>
        <w:rPr>
          <w:rFonts w:ascii="宋体" w:hAnsi="宋体" w:cs="宋体"/>
          <w:color w:val="auto"/>
          <w:sz w:val="24"/>
        </w:rPr>
      </w:pPr>
      <w:r>
        <w:rPr>
          <w:rFonts w:hint="eastAsia" w:ascii="宋体" w:hAnsi="宋体" w:cs="宋体"/>
          <w:color w:val="auto"/>
          <w:sz w:val="24"/>
        </w:rPr>
        <w:t>（3）不得接受对方或向对方在住房建修、婚丧嫁娶、出国考察、旅游、攻读学历学位等方面提供资助；</w:t>
      </w:r>
    </w:p>
    <w:p>
      <w:pPr>
        <w:spacing w:line="300" w:lineRule="auto"/>
        <w:ind w:firstLine="480" w:firstLineChars="200"/>
        <w:rPr>
          <w:rFonts w:ascii="宋体" w:hAnsi="宋体" w:cs="宋体"/>
          <w:color w:val="auto"/>
          <w:sz w:val="24"/>
        </w:rPr>
      </w:pPr>
      <w:r>
        <w:rPr>
          <w:rFonts w:hint="eastAsia" w:ascii="宋体" w:hAnsi="宋体" w:cs="宋体"/>
          <w:color w:val="auto"/>
          <w:sz w:val="24"/>
        </w:rPr>
        <w:t>（4）不得参加或提供可能影响合作业务公平、公正的娱乐、宴请、健身等活动；</w:t>
      </w:r>
    </w:p>
    <w:p>
      <w:pPr>
        <w:spacing w:line="300" w:lineRule="auto"/>
        <w:ind w:firstLine="480" w:firstLineChars="200"/>
        <w:rPr>
          <w:rFonts w:ascii="宋体" w:hAnsi="宋体" w:cs="宋体"/>
          <w:color w:val="auto"/>
          <w:sz w:val="24"/>
        </w:rPr>
      </w:pPr>
      <w:r>
        <w:rPr>
          <w:rFonts w:hint="eastAsia" w:ascii="宋体" w:hAnsi="宋体" w:cs="宋体"/>
          <w:color w:val="auto"/>
          <w:sz w:val="24"/>
        </w:rPr>
        <w:t>（5）不得报销或为对方报销应由个人支付的费用。</w:t>
      </w:r>
    </w:p>
    <w:p>
      <w:pPr>
        <w:spacing w:line="300" w:lineRule="auto"/>
        <w:ind w:firstLine="480" w:firstLineChars="200"/>
        <w:rPr>
          <w:rFonts w:ascii="宋体" w:hAnsi="宋体" w:cs="宋体"/>
          <w:color w:val="auto"/>
          <w:sz w:val="24"/>
        </w:rPr>
      </w:pPr>
      <w:r>
        <w:rPr>
          <w:rFonts w:hint="eastAsia" w:ascii="宋体" w:hAnsi="宋体" w:cs="宋体"/>
          <w:color w:val="auto"/>
          <w:sz w:val="24"/>
        </w:rPr>
        <w:t>2、乙方人员若有违反第1条规定的行为，或者存在其它违反商业道德与市场规则的情况,甲方有义务向对方监察或相应部门举报，同时甲方有权视情节轻重停止该项目或类似项目的合作。</w:t>
      </w:r>
    </w:p>
    <w:p>
      <w:pPr>
        <w:spacing w:line="300" w:lineRule="auto"/>
        <w:ind w:firstLine="480" w:firstLineChars="200"/>
        <w:rPr>
          <w:rFonts w:ascii="宋体" w:hAnsi="宋体" w:cs="宋体"/>
          <w:color w:val="auto"/>
          <w:sz w:val="24"/>
        </w:rPr>
      </w:pPr>
      <w:r>
        <w:rPr>
          <w:rFonts w:hint="eastAsia" w:ascii="宋体" w:hAnsi="宋体" w:cs="宋体"/>
          <w:color w:val="auto"/>
          <w:sz w:val="24"/>
        </w:rPr>
        <w:t>3、甲方人员有违反第1条规定的行为，或者存在其它索贿、受贿行为或者徇私舞弊、滥用职权、严重渎职等情况时，乙方有义务向对方监察或相应部门举报。</w:t>
      </w:r>
    </w:p>
    <w:p>
      <w:pPr>
        <w:spacing w:line="300" w:lineRule="auto"/>
        <w:ind w:firstLine="480" w:firstLineChars="200"/>
        <w:rPr>
          <w:rFonts w:ascii="宋体" w:hAnsi="宋体" w:cs="宋体"/>
          <w:color w:val="auto"/>
          <w:sz w:val="24"/>
        </w:rPr>
      </w:pPr>
      <w:r>
        <w:rPr>
          <w:rFonts w:hint="eastAsia" w:ascii="宋体" w:hAnsi="宋体" w:cs="宋体"/>
          <w:color w:val="auto"/>
          <w:sz w:val="24"/>
        </w:rPr>
        <w:t>4、双方及相关人员违反上述规定及其他廉洁诚信准则的，愿意接受党纪政纪及法律惩处。</w:t>
      </w:r>
    </w:p>
    <w:p>
      <w:pPr>
        <w:spacing w:line="300" w:lineRule="auto"/>
        <w:ind w:firstLine="480" w:firstLineChars="200"/>
        <w:rPr>
          <w:rFonts w:ascii="宋体" w:hAnsi="宋体" w:cs="宋体"/>
          <w:color w:val="auto"/>
          <w:sz w:val="24"/>
        </w:rPr>
      </w:pPr>
      <w:r>
        <w:rPr>
          <w:rFonts w:hint="eastAsia" w:ascii="宋体" w:hAnsi="宋体" w:cs="宋体"/>
          <w:color w:val="auto"/>
          <w:sz w:val="24"/>
        </w:rPr>
        <w:t>5、本保证及承诺的有效期与对应的合同或交易事项相同。</w:t>
      </w:r>
    </w:p>
    <w:p>
      <w:pPr>
        <w:spacing w:line="300" w:lineRule="auto"/>
        <w:ind w:firstLine="480" w:firstLineChars="200"/>
        <w:rPr>
          <w:rFonts w:ascii="宋体" w:hAnsi="宋体" w:cs="宋体"/>
          <w:color w:val="auto"/>
          <w:sz w:val="24"/>
        </w:rPr>
      </w:pPr>
      <w:r>
        <w:rPr>
          <w:rFonts w:hint="eastAsia" w:ascii="宋体" w:hAnsi="宋体" w:cs="宋体"/>
          <w:color w:val="auto"/>
          <w:sz w:val="24"/>
        </w:rPr>
        <w:t>6、本廉洁承诺约定作为双方签订的合同附件，具有同等法律效力。</w:t>
      </w:r>
    </w:p>
    <w:p>
      <w:pPr>
        <w:spacing w:line="300" w:lineRule="auto"/>
        <w:rPr>
          <w:rFonts w:ascii="宋体" w:hAnsi="宋体" w:cs="宋体"/>
          <w:color w:val="auto"/>
          <w:sz w:val="24"/>
        </w:rPr>
      </w:pPr>
    </w:p>
    <w:p>
      <w:pPr>
        <w:pStyle w:val="96"/>
        <w:rPr>
          <w:color w:val="auto"/>
          <w:sz w:val="24"/>
          <w:szCs w:val="24"/>
        </w:rPr>
      </w:pPr>
    </w:p>
    <w:p>
      <w:pPr>
        <w:spacing w:line="300" w:lineRule="auto"/>
        <w:ind w:firstLine="480" w:firstLineChars="200"/>
        <w:rPr>
          <w:rFonts w:ascii="宋体" w:hAnsi="宋体" w:cs="宋体"/>
          <w:color w:val="auto"/>
          <w:sz w:val="24"/>
        </w:rPr>
      </w:pPr>
      <w:r>
        <w:rPr>
          <w:rFonts w:hint="eastAsia" w:ascii="宋体" w:hAnsi="宋体" w:cs="宋体"/>
          <w:color w:val="auto"/>
          <w:sz w:val="24"/>
        </w:rPr>
        <w:t>台州市公安局交通警察局举报渠道：   合作方举报渠道：</w:t>
      </w:r>
    </w:p>
    <w:p>
      <w:pPr>
        <w:pStyle w:val="16"/>
        <w:spacing w:line="300" w:lineRule="auto"/>
        <w:ind w:firstLine="480"/>
        <w:rPr>
          <w:rFonts w:ascii="宋体" w:hAnsi="宋体" w:cs="宋体"/>
          <w:color w:val="auto"/>
          <w:sz w:val="24"/>
          <w:szCs w:val="24"/>
        </w:rPr>
      </w:pPr>
      <w:r>
        <w:rPr>
          <w:rFonts w:hint="eastAsia" w:ascii="宋体" w:hAnsi="宋体" w:cs="宋体"/>
          <w:color w:val="auto"/>
          <w:sz w:val="24"/>
          <w:szCs w:val="24"/>
        </w:rPr>
        <w:t>电话：12389                        电话：</w:t>
      </w:r>
    </w:p>
    <w:p>
      <w:pPr>
        <w:spacing w:line="360" w:lineRule="auto"/>
        <w:jc w:val="left"/>
        <w:rPr>
          <w:rFonts w:asciiTheme="majorEastAsia" w:hAnsiTheme="majorEastAsia" w:eastAsiaTheme="majorEastAsia"/>
          <w:color w:val="auto"/>
          <w:sz w:val="28"/>
          <w:szCs w:val="28"/>
        </w:rPr>
        <w:sectPr>
          <w:pgSz w:w="11906" w:h="16838"/>
          <w:pgMar w:top="1440" w:right="1800" w:bottom="1440" w:left="1800" w:header="851" w:footer="992" w:gutter="0"/>
          <w:pgNumType w:fmt="numberInDash"/>
          <w:cols w:space="425" w:num="1"/>
          <w:docGrid w:type="lines" w:linePitch="312" w:charSpace="0"/>
        </w:sectPr>
      </w:pPr>
    </w:p>
    <w:p>
      <w:pPr>
        <w:numPr>
          <w:ilvl w:val="0"/>
          <w:numId w:val="4"/>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投标文件格式附件</w:t>
      </w:r>
    </w:p>
    <w:p>
      <w:pPr>
        <w:spacing w:line="360" w:lineRule="auto"/>
        <w:rPr>
          <w:rFonts w:ascii="宋体" w:hAnsi="宋体"/>
          <w:b/>
          <w:color w:val="auto"/>
          <w:kern w:val="0"/>
          <w:sz w:val="28"/>
          <w:szCs w:val="28"/>
        </w:rPr>
      </w:pPr>
    </w:p>
    <w:p>
      <w:pPr>
        <w:snapToGrid w:val="0"/>
        <w:spacing w:before="50" w:after="50" w:line="360" w:lineRule="auto"/>
        <w:rPr>
          <w:rFonts w:ascii="仿宋_GB2312" w:hAnsi="宋体" w:eastAsia="仿宋_GB2312"/>
          <w:b/>
          <w:color w:val="auto"/>
          <w:sz w:val="36"/>
          <w:szCs w:val="36"/>
        </w:rPr>
      </w:pPr>
    </w:p>
    <w:p>
      <w:pPr>
        <w:snapToGrid w:val="0"/>
        <w:spacing w:before="50" w:after="50" w:line="360" w:lineRule="auto"/>
        <w:jc w:val="center"/>
        <w:rPr>
          <w:rFonts w:ascii="宋体" w:hAnsi="宋体"/>
          <w:b/>
          <w:bCs/>
          <w:color w:val="auto"/>
          <w:sz w:val="36"/>
          <w:szCs w:val="36"/>
        </w:rPr>
      </w:pPr>
      <w:r>
        <w:rPr>
          <w:rFonts w:hint="eastAsia" w:ascii="宋体" w:hAnsi="宋体"/>
          <w:b/>
          <w:bCs/>
          <w:color w:val="auto"/>
          <w:sz w:val="36"/>
          <w:szCs w:val="36"/>
        </w:rPr>
        <w:t>资格证明文件目录</w:t>
      </w:r>
    </w:p>
    <w:p>
      <w:pPr>
        <w:snapToGrid w:val="0"/>
        <w:spacing w:before="50" w:after="50" w:line="360" w:lineRule="auto"/>
        <w:jc w:val="center"/>
        <w:rPr>
          <w:rFonts w:ascii="仿宋_GB2312" w:hAnsi="宋体" w:eastAsia="仿宋_GB2312"/>
          <w:b/>
          <w:bCs/>
          <w:color w:val="auto"/>
          <w:sz w:val="36"/>
          <w:szCs w:val="36"/>
        </w:rPr>
      </w:pPr>
    </w:p>
    <w:p>
      <w:pPr>
        <w:numPr>
          <w:ilvl w:val="0"/>
          <w:numId w:val="11"/>
        </w:numPr>
        <w:snapToGrid w:val="0"/>
        <w:spacing w:line="360" w:lineRule="auto"/>
        <w:ind w:firstLine="549"/>
        <w:rPr>
          <w:rFonts w:ascii="宋体" w:hAnsi="宋体"/>
          <w:color w:val="auto"/>
          <w:sz w:val="28"/>
          <w:szCs w:val="28"/>
        </w:rPr>
      </w:pPr>
      <w:r>
        <w:rPr>
          <w:rFonts w:hint="eastAsia" w:ascii="宋体" w:hAnsi="宋体"/>
          <w:color w:val="auto"/>
          <w:sz w:val="28"/>
          <w:szCs w:val="28"/>
        </w:rPr>
        <w:t>声明书（附件</w:t>
      </w:r>
      <w:r>
        <w:rPr>
          <w:rFonts w:ascii="宋体" w:hAnsi="宋体"/>
          <w:color w:val="auto"/>
          <w:sz w:val="28"/>
          <w:szCs w:val="28"/>
        </w:rPr>
        <w:t>1</w:t>
      </w:r>
      <w:r>
        <w:rPr>
          <w:rFonts w:hint="eastAsia" w:ascii="宋体" w:hAnsi="宋体"/>
          <w:color w:val="auto"/>
          <w:sz w:val="28"/>
          <w:szCs w:val="28"/>
        </w:rPr>
        <w:t>）</w:t>
      </w:r>
    </w:p>
    <w:p>
      <w:pPr>
        <w:numPr>
          <w:ilvl w:val="0"/>
          <w:numId w:val="11"/>
        </w:numPr>
        <w:snapToGrid w:val="0"/>
        <w:spacing w:line="360" w:lineRule="auto"/>
        <w:ind w:firstLine="549"/>
        <w:rPr>
          <w:rFonts w:ascii="宋体" w:hAnsi="宋体"/>
          <w:color w:val="auto"/>
          <w:sz w:val="28"/>
          <w:szCs w:val="28"/>
        </w:rPr>
      </w:pPr>
      <w:r>
        <w:rPr>
          <w:rFonts w:hint="eastAsia" w:ascii="宋体" w:hAnsi="宋体"/>
          <w:color w:val="auto"/>
          <w:sz w:val="28"/>
          <w:szCs w:val="28"/>
        </w:rPr>
        <w:t>授权委托书（附件2）</w:t>
      </w:r>
    </w:p>
    <w:p>
      <w:pPr>
        <w:numPr>
          <w:ilvl w:val="0"/>
          <w:numId w:val="11"/>
        </w:numPr>
        <w:snapToGrid w:val="0"/>
        <w:spacing w:line="360" w:lineRule="auto"/>
        <w:ind w:firstLine="549"/>
        <w:rPr>
          <w:rFonts w:ascii="宋体" w:hAnsi="宋体"/>
          <w:color w:val="auto"/>
          <w:sz w:val="28"/>
          <w:szCs w:val="28"/>
        </w:rPr>
      </w:pPr>
      <w:r>
        <w:rPr>
          <w:rFonts w:hint="eastAsia" w:ascii="宋体" w:hAnsi="宋体"/>
          <w:color w:val="auto"/>
          <w:sz w:val="28"/>
          <w:szCs w:val="28"/>
        </w:rPr>
        <w:t>法人或者其他组织的营业执照等证明文件，自然人的身份证明</w:t>
      </w:r>
    </w:p>
    <w:p>
      <w:pPr>
        <w:numPr>
          <w:ilvl w:val="0"/>
          <w:numId w:val="11"/>
        </w:numPr>
        <w:snapToGrid w:val="0"/>
        <w:spacing w:line="360" w:lineRule="auto"/>
        <w:ind w:firstLine="549"/>
        <w:rPr>
          <w:rFonts w:ascii="宋体" w:hAnsi="宋体"/>
          <w:color w:val="auto"/>
          <w:sz w:val="28"/>
          <w:szCs w:val="28"/>
        </w:rPr>
      </w:pPr>
      <w:r>
        <w:rPr>
          <w:rFonts w:hint="eastAsia" w:ascii="宋体" w:hAnsi="宋体"/>
          <w:color w:val="auto"/>
          <w:sz w:val="28"/>
          <w:szCs w:val="28"/>
        </w:rPr>
        <w:t>中小企业声明函（附件13）</w:t>
      </w:r>
    </w:p>
    <w:p>
      <w:pPr>
        <w:snapToGrid w:val="0"/>
        <w:spacing w:line="360" w:lineRule="auto"/>
        <w:rPr>
          <w:bCs/>
          <w:color w:val="auto"/>
          <w:sz w:val="28"/>
          <w:szCs w:val="28"/>
        </w:rPr>
      </w:pPr>
    </w:p>
    <w:p>
      <w:pPr>
        <w:numPr>
          <w:ilvl w:val="0"/>
          <w:numId w:val="11"/>
        </w:numPr>
        <w:snapToGrid w:val="0"/>
        <w:spacing w:line="360" w:lineRule="auto"/>
        <w:ind w:firstLine="549"/>
        <w:rPr>
          <w:bCs/>
          <w:color w:val="auto"/>
          <w:sz w:val="28"/>
          <w:szCs w:val="28"/>
        </w:rPr>
      </w:pPr>
      <w:r>
        <w:rPr>
          <w:rFonts w:hint="eastAsia"/>
          <w:bCs/>
          <w:color w:val="auto"/>
          <w:sz w:val="28"/>
          <w:szCs w:val="28"/>
        </w:rPr>
        <w:br w:type="page"/>
      </w:r>
    </w:p>
    <w:p>
      <w:pPr>
        <w:spacing w:line="360" w:lineRule="auto"/>
        <w:rPr>
          <w:rFonts w:ascii="宋体" w:hAnsi="宋体"/>
          <w:b/>
          <w:color w:val="auto"/>
          <w:sz w:val="28"/>
        </w:rPr>
      </w:pPr>
      <w:r>
        <w:rPr>
          <w:rFonts w:hint="eastAsia" w:ascii="宋体" w:hAnsi="宋体"/>
          <w:b/>
          <w:color w:val="auto"/>
          <w:sz w:val="28"/>
        </w:rPr>
        <w:t>附件</w:t>
      </w:r>
      <w:r>
        <w:rPr>
          <w:rFonts w:ascii="宋体" w:hAnsi="宋体"/>
          <w:b/>
          <w:color w:val="auto"/>
          <w:sz w:val="28"/>
        </w:rPr>
        <w:t>1</w:t>
      </w:r>
    </w:p>
    <w:p>
      <w:pPr>
        <w:adjustRightInd w:val="0"/>
        <w:snapToGrid w:val="0"/>
        <w:spacing w:line="360" w:lineRule="auto"/>
        <w:ind w:right="480"/>
        <w:jc w:val="center"/>
        <w:rPr>
          <w:rFonts w:ascii="宋体" w:hAnsi="宋体"/>
          <w:b/>
          <w:color w:val="auto"/>
          <w:kern w:val="0"/>
          <w:sz w:val="32"/>
          <w:szCs w:val="32"/>
          <w:lang w:val="zh-CN"/>
        </w:rPr>
      </w:pPr>
      <w:r>
        <w:rPr>
          <w:rFonts w:hint="eastAsia" w:ascii="宋体" w:hAnsi="宋体"/>
          <w:b/>
          <w:color w:val="auto"/>
          <w:kern w:val="0"/>
          <w:sz w:val="32"/>
          <w:szCs w:val="32"/>
          <w:lang w:val="zh-CN"/>
        </w:rPr>
        <w:t>投标声明书</w:t>
      </w:r>
    </w:p>
    <w:p>
      <w:pPr>
        <w:snapToGrid w:val="0"/>
        <w:spacing w:before="156" w:beforeLines="50" w:after="50" w:line="360" w:lineRule="exact"/>
        <w:rPr>
          <w:rFonts w:ascii="宋体" w:hAnsi="宋体" w:cs="宋体"/>
          <w:color w:val="auto"/>
          <w:kern w:val="0"/>
          <w:sz w:val="24"/>
        </w:rPr>
      </w:pPr>
      <w:r>
        <w:rPr>
          <w:rFonts w:hint="eastAsia" w:ascii="宋体" w:hAnsi="宋体" w:cstheme="minorBidi"/>
          <w:color w:val="auto"/>
          <w:sz w:val="24"/>
          <w:u w:val="single"/>
        </w:rPr>
        <w:t>浙江百和工程咨询有限公司</w:t>
      </w:r>
      <w:r>
        <w:rPr>
          <w:rFonts w:hint="eastAsia" w:ascii="宋体" w:hAnsi="宋体" w:cs="宋体"/>
          <w:color w:val="auto"/>
          <w:kern w:val="0"/>
          <w:sz w:val="24"/>
        </w:rPr>
        <w:t>：</w:t>
      </w:r>
    </w:p>
    <w:p>
      <w:pPr>
        <w:snapToGrid w:val="0"/>
        <w:spacing w:before="156" w:beforeLines="50" w:after="50" w:line="360" w:lineRule="exact"/>
        <w:ind w:firstLine="480" w:firstLineChars="200"/>
        <w:rPr>
          <w:rFonts w:ascii="宋体" w:hAnsi="宋体" w:cs="宋体"/>
          <w:color w:val="auto"/>
          <w:kern w:val="0"/>
          <w:sz w:val="24"/>
        </w:rPr>
      </w:pPr>
      <w:r>
        <w:rPr>
          <w:rFonts w:hint="eastAsia" w:ascii="宋体" w:hAnsi="宋体" w:cs="宋体"/>
          <w:color w:val="auto"/>
          <w:kern w:val="0"/>
          <w:sz w:val="24"/>
        </w:rPr>
        <w:t>（投标人名称）系中华人民共和国合法企业，经营地址。</w:t>
      </w:r>
    </w:p>
    <w:p>
      <w:pPr>
        <w:snapToGrid w:val="0"/>
        <w:spacing w:before="156" w:beforeLines="50" w:after="50" w:line="360" w:lineRule="exact"/>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投标人名称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招标项目名称</w:t>
      </w:r>
      <w:r>
        <w:rPr>
          <w:rFonts w:hint="eastAsia" w:ascii="宋体" w:hAnsi="宋体" w:cs="宋体"/>
          <w:color w:val="auto"/>
          <w:kern w:val="0"/>
          <w:sz w:val="24"/>
        </w:rPr>
        <w:t>）（编号为）的投标，为此，我公司就本次投标有关事项郑重声明如下：</w:t>
      </w:r>
    </w:p>
    <w:p>
      <w:pPr>
        <w:snapToGrid w:val="0"/>
        <w:spacing w:before="156" w:beforeLines="50" w:after="50" w:line="360" w:lineRule="exact"/>
        <w:ind w:firstLine="480" w:firstLineChars="200"/>
        <w:rPr>
          <w:rFonts w:ascii="宋体" w:hAnsi="宋体" w:cs="宋体"/>
          <w:b/>
          <w:color w:val="auto"/>
          <w:kern w:val="0"/>
          <w:sz w:val="24"/>
        </w:rPr>
      </w:pPr>
      <w:r>
        <w:rPr>
          <w:rFonts w:hint="eastAsia" w:ascii="宋体" w:hAnsi="宋体" w:cs="宋体"/>
          <w:color w:val="auto"/>
          <w:kern w:val="0"/>
          <w:sz w:val="24"/>
        </w:rPr>
        <w:t>1、</w:t>
      </w:r>
      <w:r>
        <w:rPr>
          <w:rFonts w:hint="eastAsia" w:ascii="Arial" w:hAnsi="Arial" w:cs="Arial"/>
          <w:color w:val="auto"/>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60" w:lineRule="exact"/>
        <w:ind w:firstLine="480" w:firstLineChars="200"/>
        <w:rPr>
          <w:rFonts w:ascii="宋体" w:hAnsi="宋体" w:cs="宋体"/>
          <w:color w:val="auto"/>
          <w:kern w:val="0"/>
          <w:sz w:val="24"/>
        </w:rPr>
      </w:pPr>
      <w:r>
        <w:rPr>
          <w:rFonts w:hint="eastAsia" w:ascii="宋体" w:hAnsi="宋体" w:cs="宋体"/>
          <w:color w:val="auto"/>
          <w:kern w:val="0"/>
          <w:sz w:val="24"/>
        </w:rPr>
        <w:t>2、我公司</w:t>
      </w:r>
      <w:r>
        <w:rPr>
          <w:rFonts w:ascii="宋体" w:hAnsi="宋体" w:cs="宋体"/>
          <w:color w:val="auto"/>
          <w:kern w:val="0"/>
          <w:sz w:val="24"/>
        </w:rPr>
        <w:t>在参与投标前已</w:t>
      </w:r>
      <w:r>
        <w:rPr>
          <w:rFonts w:hint="eastAsia" w:ascii="宋体" w:hAnsi="宋体" w:cs="宋体"/>
          <w:color w:val="auto"/>
          <w:kern w:val="0"/>
          <w:sz w:val="24"/>
        </w:rPr>
        <w:t>详细审查</w:t>
      </w:r>
      <w:r>
        <w:rPr>
          <w:rFonts w:ascii="宋体" w:hAnsi="宋体" w:cs="宋体"/>
          <w:color w:val="auto"/>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rPr>
        <w:t>利。</w:t>
      </w:r>
    </w:p>
    <w:p>
      <w:pPr>
        <w:numPr>
          <w:ilvl w:val="255"/>
          <w:numId w:val="0"/>
        </w:numPr>
        <w:snapToGrid w:val="0"/>
        <w:spacing w:before="156" w:beforeLines="50" w:after="50" w:line="360" w:lineRule="exact"/>
        <w:ind w:firstLine="480" w:firstLineChars="200"/>
        <w:rPr>
          <w:rFonts w:ascii="宋体" w:hAnsi="宋体"/>
          <w:color w:val="auto"/>
          <w:sz w:val="24"/>
        </w:rPr>
      </w:pPr>
      <w:r>
        <w:rPr>
          <w:rFonts w:hint="eastAsia" w:ascii="宋体" w:hAnsi="宋体"/>
          <w:color w:val="auto"/>
          <w:sz w:val="24"/>
        </w:rPr>
        <w:t>3、我</w:t>
      </w:r>
      <w:r>
        <w:rPr>
          <w:rFonts w:hint="eastAsia" w:ascii="宋体" w:hAnsi="宋体" w:cs="仿宋_GB2312"/>
          <w:color w:val="auto"/>
          <w:kern w:val="0"/>
          <w:sz w:val="24"/>
          <w:lang w:val="zh-CN"/>
        </w:rPr>
        <w:t>公司</w:t>
      </w:r>
      <w:r>
        <w:rPr>
          <w:rFonts w:hint="eastAsia" w:ascii="宋体" w:hAnsi="宋体"/>
          <w:color w:val="auto"/>
          <w:sz w:val="24"/>
        </w:rPr>
        <w:t>不是采购人的附属机构；在获知本项目采购信息后，与采购人聘请的为此项目提供咨询服务的公司及其附属机构没有任何联系。</w:t>
      </w:r>
    </w:p>
    <w:p>
      <w:pPr>
        <w:snapToGrid w:val="0"/>
        <w:spacing w:before="156" w:beforeLines="50" w:after="50" w:line="360" w:lineRule="exact"/>
        <w:ind w:firstLine="480" w:firstLineChars="200"/>
        <w:rPr>
          <w:rFonts w:ascii="宋体" w:hAnsi="宋体"/>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pPr>
        <w:snapToGrid w:val="0"/>
        <w:spacing w:before="156" w:beforeLines="50" w:after="50" w:line="360" w:lineRule="exact"/>
        <w:ind w:firstLine="480" w:firstLineChars="200"/>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pPr>
        <w:snapToGrid w:val="0"/>
        <w:spacing w:before="156" w:beforeLines="50" w:after="50" w:line="360" w:lineRule="exact"/>
        <w:ind w:firstLine="480" w:firstLineChars="200"/>
        <w:rPr>
          <w:rFonts w:ascii="宋体" w:hAnsi="宋体"/>
          <w:color w:val="auto"/>
          <w:sz w:val="24"/>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pPr>
        <w:adjustRightInd w:val="0"/>
        <w:snapToGrid w:val="0"/>
        <w:spacing w:line="360" w:lineRule="exact"/>
        <w:ind w:firstLine="480"/>
        <w:rPr>
          <w:rFonts w:ascii="宋体" w:hAnsi="宋体" w:cs="仿宋_GB2312"/>
          <w:color w:val="auto"/>
          <w:kern w:val="0"/>
          <w:sz w:val="24"/>
        </w:rPr>
      </w:pPr>
    </w:p>
    <w:p>
      <w:pPr>
        <w:adjustRightInd w:val="0"/>
        <w:snapToGrid w:val="0"/>
        <w:spacing w:line="360" w:lineRule="exact"/>
        <w:ind w:firstLine="4680" w:firstLineChars="1950"/>
        <w:rPr>
          <w:rFonts w:ascii="宋体" w:hAnsi="宋体" w:cs="仿宋_GB2312"/>
          <w:color w:val="auto"/>
          <w:kern w:val="0"/>
          <w:sz w:val="24"/>
          <w:lang w:val="zh-CN"/>
        </w:rPr>
      </w:pPr>
      <w:r>
        <w:rPr>
          <w:rFonts w:hint="eastAsia" w:ascii="宋体" w:hAnsi="宋体" w:cs="仿宋_GB2312"/>
          <w:color w:val="auto"/>
          <w:kern w:val="0"/>
          <w:sz w:val="24"/>
          <w:lang w:val="zh-CN"/>
        </w:rPr>
        <w:t xml:space="preserve">    投标人名称(公章)：</w:t>
      </w:r>
    </w:p>
    <w:p>
      <w:pPr>
        <w:adjustRightInd w:val="0"/>
        <w:snapToGrid w:val="0"/>
        <w:spacing w:line="360" w:lineRule="exact"/>
        <w:rPr>
          <w:rFonts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法定代表人或授权委托人(签章或签字)：</w:t>
      </w:r>
    </w:p>
    <w:p>
      <w:pPr>
        <w:adjustRightInd w:val="0"/>
        <w:snapToGrid w:val="0"/>
        <w:spacing w:line="360" w:lineRule="exact"/>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w:t>
      </w:r>
      <w:r>
        <w:rPr>
          <w:rFonts w:hint="eastAsia" w:ascii="宋体" w:hAnsi="宋体" w:cstheme="minorBidi"/>
          <w:color w:val="auto"/>
          <w:sz w:val="24"/>
        </w:rPr>
        <w:t>××</w:t>
      </w:r>
      <w:r>
        <w:rPr>
          <w:rFonts w:hint="eastAsia" w:ascii="宋体" w:hAnsi="宋体" w:cs="仿宋_GB2312"/>
          <w:color w:val="auto"/>
          <w:kern w:val="0"/>
          <w:sz w:val="24"/>
          <w:lang w:val="zh-CN"/>
        </w:rPr>
        <w:t xml:space="preserve">年 </w:t>
      </w:r>
      <w:r>
        <w:rPr>
          <w:rFonts w:hint="eastAsia" w:ascii="宋体" w:hAnsi="宋体" w:cstheme="minorBidi"/>
          <w:color w:val="auto"/>
          <w:sz w:val="24"/>
        </w:rPr>
        <w:t>××</w:t>
      </w:r>
      <w:r>
        <w:rPr>
          <w:rFonts w:hint="eastAsia" w:ascii="宋体" w:hAnsi="宋体" w:cs="仿宋_GB2312"/>
          <w:color w:val="auto"/>
          <w:kern w:val="0"/>
          <w:sz w:val="24"/>
          <w:lang w:val="zh-CN"/>
        </w:rPr>
        <w:t xml:space="preserve"> 月 </w:t>
      </w:r>
      <w:r>
        <w:rPr>
          <w:rFonts w:hint="eastAsia" w:ascii="宋体" w:hAnsi="宋体" w:cstheme="minorBidi"/>
          <w:color w:val="auto"/>
          <w:sz w:val="24"/>
        </w:rPr>
        <w:t>××</w:t>
      </w:r>
      <w:r>
        <w:rPr>
          <w:rFonts w:hint="eastAsia" w:ascii="宋体" w:hAnsi="宋体" w:cs="仿宋_GB2312"/>
          <w:color w:val="auto"/>
          <w:kern w:val="0"/>
          <w:sz w:val="24"/>
          <w:lang w:val="zh-CN"/>
        </w:rPr>
        <w:t xml:space="preserve"> 日</w:t>
      </w:r>
    </w:p>
    <w:p>
      <w:pPr>
        <w:adjustRightInd w:val="0"/>
        <w:snapToGrid w:val="0"/>
        <w:spacing w:line="360" w:lineRule="auto"/>
        <w:ind w:right="480"/>
        <w:rPr>
          <w:rFonts w:ascii="宋体" w:hAnsi="宋体"/>
          <w:b/>
          <w:color w:val="auto"/>
          <w:sz w:val="28"/>
        </w:rPr>
      </w:pPr>
    </w:p>
    <w:p>
      <w:pPr>
        <w:adjustRightInd w:val="0"/>
        <w:snapToGrid w:val="0"/>
        <w:spacing w:line="360" w:lineRule="auto"/>
        <w:ind w:right="480"/>
        <w:rPr>
          <w:rFonts w:ascii="宋体" w:hAnsi="宋体"/>
          <w:b/>
          <w:color w:val="auto"/>
          <w:sz w:val="28"/>
        </w:rPr>
      </w:pPr>
    </w:p>
    <w:p>
      <w:pPr>
        <w:adjustRightInd w:val="0"/>
        <w:snapToGrid w:val="0"/>
        <w:spacing w:line="360" w:lineRule="auto"/>
        <w:ind w:right="480"/>
        <w:rPr>
          <w:rFonts w:ascii="宋体" w:hAnsi="宋体"/>
          <w:b/>
          <w:color w:val="auto"/>
          <w:sz w:val="28"/>
        </w:rPr>
        <w:sectPr>
          <w:pgSz w:w="11906" w:h="16838"/>
          <w:pgMar w:top="1440" w:right="1800" w:bottom="1440" w:left="1800" w:header="851" w:footer="992" w:gutter="0"/>
          <w:pgNumType w:fmt="numberInDash"/>
          <w:cols w:space="425" w:num="1"/>
          <w:docGrid w:type="lines" w:linePitch="312" w:charSpace="0"/>
        </w:sectPr>
      </w:pPr>
    </w:p>
    <w:p>
      <w:pPr>
        <w:adjustRightInd w:val="0"/>
        <w:snapToGrid w:val="0"/>
        <w:spacing w:line="360" w:lineRule="auto"/>
        <w:ind w:right="480"/>
        <w:rPr>
          <w:rFonts w:ascii="宋体"/>
          <w:b/>
          <w:color w:val="auto"/>
          <w:sz w:val="30"/>
          <w:szCs w:val="30"/>
        </w:rPr>
      </w:pPr>
      <w:r>
        <w:rPr>
          <w:rFonts w:hint="eastAsia" w:ascii="宋体" w:hAnsi="宋体"/>
          <w:b/>
          <w:color w:val="auto"/>
          <w:sz w:val="28"/>
        </w:rPr>
        <w:t>附件</w:t>
      </w:r>
      <w:r>
        <w:rPr>
          <w:rFonts w:ascii="宋体" w:hAnsi="宋体"/>
          <w:b/>
          <w:color w:val="auto"/>
          <w:sz w:val="28"/>
        </w:rPr>
        <w:t>2</w:t>
      </w:r>
    </w:p>
    <w:p>
      <w:pPr>
        <w:spacing w:line="360" w:lineRule="auto"/>
        <w:ind w:firstLine="321" w:firstLineChars="100"/>
        <w:jc w:val="center"/>
        <w:rPr>
          <w:rFonts w:hAnsi="宋体"/>
          <w:b/>
          <w:color w:val="auto"/>
          <w:sz w:val="32"/>
          <w:szCs w:val="32"/>
          <w:u w:val="single"/>
        </w:rPr>
      </w:pPr>
      <w:r>
        <w:rPr>
          <w:b/>
          <w:color w:val="auto"/>
          <w:sz w:val="32"/>
          <w:szCs w:val="32"/>
        </w:rPr>
        <w:t>授权</w:t>
      </w:r>
      <w:r>
        <w:rPr>
          <w:rFonts w:hint="eastAsia"/>
          <w:b/>
          <w:color w:val="auto"/>
          <w:sz w:val="32"/>
          <w:szCs w:val="32"/>
        </w:rPr>
        <w:t>委托</w:t>
      </w:r>
      <w:r>
        <w:rPr>
          <w:b/>
          <w:color w:val="auto"/>
          <w:sz w:val="32"/>
          <w:szCs w:val="32"/>
        </w:rPr>
        <w:t>书</w:t>
      </w:r>
    </w:p>
    <w:p>
      <w:pPr>
        <w:snapToGrid w:val="0"/>
        <w:spacing w:before="156" w:beforeLines="50" w:after="50" w:line="360" w:lineRule="auto"/>
        <w:rPr>
          <w:rFonts w:ascii="宋体" w:hAnsi="宋体" w:cs="宋体"/>
          <w:color w:val="auto"/>
          <w:kern w:val="0"/>
          <w:sz w:val="24"/>
        </w:rPr>
      </w:pPr>
      <w:r>
        <w:rPr>
          <w:rFonts w:hint="eastAsia" w:ascii="宋体" w:hAnsi="宋体" w:cstheme="minorBidi"/>
          <w:color w:val="auto"/>
          <w:sz w:val="24"/>
          <w:u w:val="single"/>
        </w:rPr>
        <w:t>浙江百和工程咨询有限公司</w:t>
      </w:r>
      <w:r>
        <w:rPr>
          <w:rFonts w:hint="eastAsia" w:ascii="宋体" w:hAnsi="宋体" w:cs="宋体"/>
          <w:color w:val="auto"/>
          <w:kern w:val="0"/>
          <w:sz w:val="24"/>
        </w:rPr>
        <w:t>：</w:t>
      </w:r>
    </w:p>
    <w:p>
      <w:pPr>
        <w:pStyle w:val="22"/>
        <w:spacing w:line="360" w:lineRule="auto"/>
        <w:ind w:left="240" w:hanging="240" w:hangingChars="100"/>
        <w:rPr>
          <w:rFonts w:hAnsi="宋体"/>
          <w:color w:val="auto"/>
          <w:sz w:val="24"/>
        </w:rPr>
      </w:pPr>
      <w:r>
        <w:rPr>
          <w:rFonts w:hAnsi="宋体"/>
          <w:color w:val="auto"/>
          <w:sz w:val="24"/>
          <w:u w:val="single"/>
        </w:rPr>
        <w:t xml:space="preserve">  （投标人全称）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int="eastAsia" w:hAnsi="宋体"/>
          <w:color w:val="auto"/>
          <w:sz w:val="24"/>
          <w:u w:val="single"/>
        </w:rPr>
        <w:t xml:space="preserve">            </w:t>
      </w:r>
      <w:r>
        <w:rPr>
          <w:rFonts w:hAnsi="宋体"/>
          <w:color w:val="auto"/>
          <w:sz w:val="24"/>
        </w:rPr>
        <w:t>项目的采购活动，并代表我方全权办理针对上述项目的投标、开标、评标、签约等具体事务和签署相关文件。</w:t>
      </w:r>
      <w:r>
        <w:rPr>
          <w:rFonts w:hint="eastAsia" w:hAnsi="宋体"/>
          <w:color w:val="auto"/>
          <w:sz w:val="24"/>
        </w:rPr>
        <w:t>我方对全权代表的签字事项负全部责任。</w:t>
      </w:r>
    </w:p>
    <w:p>
      <w:pPr>
        <w:pStyle w:val="22"/>
        <w:spacing w:line="360" w:lineRule="auto"/>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22"/>
        <w:spacing w:line="360" w:lineRule="auto"/>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color w:val="auto"/>
          <w:sz w:val="24"/>
        </w:rPr>
      </w:pPr>
      <w:r>
        <w:rPr>
          <w:rFonts w:hint="eastAsia" w:ascii="宋体"/>
          <w:color w:val="auto"/>
          <w:sz w:val="24"/>
        </w:rPr>
        <w:t>法定代表人签字或盖章：</w:t>
      </w:r>
    </w:p>
    <w:p>
      <w:pPr>
        <w:spacing w:line="360" w:lineRule="auto"/>
        <w:rPr>
          <w:color w:val="auto"/>
          <w:sz w:val="24"/>
        </w:rPr>
      </w:pPr>
    </w:p>
    <w:p>
      <w:pPr>
        <w:spacing w:line="360" w:lineRule="auto"/>
        <w:rPr>
          <w:color w:val="auto"/>
          <w:sz w:val="24"/>
        </w:rPr>
      </w:pPr>
      <w:r>
        <w:rPr>
          <w:rFonts w:hint="eastAsia" w:ascii="宋体"/>
          <w:color w:val="auto"/>
          <w:sz w:val="24"/>
        </w:rPr>
        <w:t>投标人全称（公章）：                              日期：</w:t>
      </w:r>
    </w:p>
    <w:p>
      <w:pPr>
        <w:spacing w:line="360" w:lineRule="auto"/>
        <w:rPr>
          <w:b/>
          <w:color w:val="auto"/>
          <w:sz w:val="24"/>
        </w:rPr>
      </w:pPr>
      <w:r>
        <w:rPr>
          <w:rFonts w:hint="eastAsia" w:ascii="宋体"/>
          <w:b/>
          <w:color w:val="auto"/>
          <w:sz w:val="24"/>
        </w:rPr>
        <w:t>附：</w:t>
      </w: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法定代表身份证扫描件粘帖处</w:t>
            </w:r>
          </w:p>
        </w:tc>
      </w:tr>
    </w:tbl>
    <w:p>
      <w:pPr>
        <w:spacing w:line="360" w:lineRule="auto"/>
        <w:rPr>
          <w:color w:val="auto"/>
          <w:sz w:val="24"/>
        </w:rPr>
      </w:pPr>
      <w:r>
        <w:rPr>
          <w:rFonts w:hint="eastAsia" w:ascii="宋体"/>
          <w:color w:val="auto"/>
          <w:sz w:val="24"/>
        </w:rPr>
        <w:t xml:space="preserve">法定代表人姓名：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ascii="宋体"/>
          <w:color w:val="auto"/>
          <w:sz w:val="24"/>
        </w:rPr>
      </w:pPr>
      <w:r>
        <w:rPr>
          <w:rFonts w:hint="eastAsia" w:ascii="宋体"/>
          <w:color w:val="auto"/>
          <w:sz w:val="24"/>
        </w:rPr>
        <w:t>邮政编码：</w:t>
      </w:r>
    </w:p>
    <w:p>
      <w:pPr>
        <w:spacing w:line="360" w:lineRule="auto"/>
        <w:rPr>
          <w:b/>
          <w:color w:val="auto"/>
          <w:sz w:val="24"/>
        </w:rPr>
      </w:pP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全权代表身份证扫描件粘帖处</w:t>
            </w:r>
          </w:p>
        </w:tc>
      </w:tr>
    </w:tbl>
    <w:p>
      <w:pPr>
        <w:spacing w:line="360" w:lineRule="auto"/>
        <w:rPr>
          <w:rFonts w:ascii="宋体"/>
          <w:color w:val="auto"/>
          <w:sz w:val="24"/>
        </w:rPr>
      </w:pPr>
      <w:r>
        <w:rPr>
          <w:rFonts w:hint="eastAsia" w:ascii="宋体"/>
          <w:color w:val="auto"/>
          <w:sz w:val="24"/>
        </w:rPr>
        <w:t xml:space="preserve">全权代表姓名：       </w:t>
      </w:r>
    </w:p>
    <w:p>
      <w:pPr>
        <w:spacing w:line="360" w:lineRule="auto"/>
        <w:rPr>
          <w:color w:val="auto"/>
          <w:sz w:val="24"/>
        </w:rPr>
      </w:pPr>
      <w:r>
        <w:rPr>
          <w:rFonts w:hint="eastAsia" w:ascii="宋体"/>
          <w:color w:val="auto"/>
          <w:sz w:val="24"/>
        </w:rPr>
        <w:t xml:space="preserve">职务：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ascii="宋体"/>
          <w:color w:val="auto"/>
          <w:sz w:val="24"/>
        </w:rPr>
      </w:pPr>
      <w:r>
        <w:rPr>
          <w:rFonts w:hint="eastAsia" w:ascii="宋体"/>
          <w:color w:val="auto"/>
          <w:sz w:val="24"/>
        </w:rPr>
        <w:t>邮政编码：</w:t>
      </w:r>
    </w:p>
    <w:p>
      <w:pPr>
        <w:snapToGrid w:val="0"/>
        <w:spacing w:before="50" w:after="50" w:line="360" w:lineRule="auto"/>
        <w:jc w:val="center"/>
        <w:rPr>
          <w:rFonts w:ascii="宋体" w:hAnsi="宋体"/>
          <w:b/>
          <w:bCs/>
          <w:color w:val="auto"/>
          <w:sz w:val="32"/>
          <w:szCs w:val="32"/>
        </w:rPr>
      </w:pPr>
      <w:r>
        <w:rPr>
          <w:rFonts w:hint="eastAsia" w:ascii="宋体" w:hAnsi="宋体"/>
          <w:b/>
          <w:bCs/>
          <w:color w:val="auto"/>
          <w:sz w:val="32"/>
          <w:szCs w:val="32"/>
          <w:lang w:val="zh-CN"/>
        </w:rPr>
        <w:t>商务与技术文件</w:t>
      </w:r>
      <w:r>
        <w:rPr>
          <w:rFonts w:hint="eastAsia" w:ascii="宋体" w:hAnsi="宋体"/>
          <w:b/>
          <w:bCs/>
          <w:color w:val="auto"/>
          <w:sz w:val="32"/>
          <w:szCs w:val="32"/>
        </w:rPr>
        <w:t>目录</w:t>
      </w:r>
    </w:p>
    <w:p>
      <w:pPr>
        <w:snapToGrid w:val="0"/>
        <w:spacing w:line="360" w:lineRule="auto"/>
        <w:rPr>
          <w:rFonts w:ascii="宋体" w:hAnsi="宋体"/>
          <w:color w:val="auto"/>
          <w:sz w:val="24"/>
        </w:rPr>
      </w:pP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1、供应商基本情况表（附件3）</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2、商务及技术需求响应表等（附件6）；</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3、投标人客观分自评表（附件10）</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4、其余内容根据评标办法自拟；（格式可参考附件）</w:t>
      </w:r>
    </w:p>
    <w:p>
      <w:pPr>
        <w:pStyle w:val="44"/>
        <w:rPr>
          <w:color w:val="auto"/>
        </w:rPr>
      </w:pPr>
    </w:p>
    <w:p>
      <w:pPr>
        <w:pStyle w:val="22"/>
        <w:adjustRightInd w:val="0"/>
        <w:snapToGrid w:val="0"/>
        <w:spacing w:line="360" w:lineRule="auto"/>
        <w:ind w:left="139" w:leftChars="66" w:firstLine="480" w:firstLineChars="200"/>
        <w:rPr>
          <w:rFonts w:hAnsi="宋体" w:cs="宋体"/>
          <w:color w:val="auto"/>
          <w:sz w:val="24"/>
        </w:rPr>
        <w:sectPr>
          <w:pgSz w:w="11906" w:h="16838"/>
          <w:pgMar w:top="1440" w:right="1800" w:bottom="1440" w:left="1800" w:header="851" w:footer="992" w:gutter="0"/>
          <w:pgNumType w:fmt="numberInDash"/>
          <w:cols w:space="425" w:num="1"/>
          <w:docGrid w:type="lines" w:linePitch="312" w:charSpace="0"/>
        </w:sectPr>
      </w:pPr>
      <w:r>
        <w:rPr>
          <w:rFonts w:hint="eastAsia" w:hAnsi="宋体" w:cs="宋体"/>
          <w:color w:val="auto"/>
          <w:sz w:val="24"/>
        </w:rPr>
        <w:t>招标需求中要求提供的相关证明材料及根据评标办法提供的证明材料均需在投标文件中提供扫描件。</w:t>
      </w:r>
    </w:p>
    <w:p>
      <w:pPr>
        <w:pStyle w:val="51"/>
        <w:shd w:val="clear" w:color="auto" w:fill="FFFFFF"/>
        <w:spacing w:before="0" w:beforeAutospacing="0" w:after="0" w:afterAutospacing="0" w:line="360" w:lineRule="auto"/>
        <w:rPr>
          <w:b/>
          <w:color w:val="auto"/>
          <w:sz w:val="28"/>
        </w:rPr>
      </w:pPr>
      <w:r>
        <w:rPr>
          <w:rFonts w:hint="eastAsia"/>
          <w:b/>
          <w:color w:val="auto"/>
          <w:sz w:val="28"/>
        </w:rPr>
        <w:t>附件</w:t>
      </w:r>
      <w:r>
        <w:rPr>
          <w:b/>
          <w:color w:val="auto"/>
          <w:sz w:val="28"/>
        </w:rPr>
        <w:t>3</w:t>
      </w:r>
    </w:p>
    <w:p>
      <w:pPr>
        <w:pStyle w:val="51"/>
        <w:shd w:val="clear" w:color="auto" w:fill="FFFFFF"/>
        <w:spacing w:before="0" w:beforeAutospacing="0" w:after="0" w:afterAutospacing="0" w:line="360" w:lineRule="auto"/>
        <w:jc w:val="center"/>
        <w:rPr>
          <w:b/>
          <w:bCs/>
          <w:color w:val="auto"/>
          <w:spacing w:val="21"/>
          <w:sz w:val="32"/>
          <w:szCs w:val="32"/>
        </w:rPr>
      </w:pPr>
      <w:r>
        <w:rPr>
          <w:rFonts w:hint="eastAsia"/>
          <w:b/>
          <w:color w:val="auto"/>
          <w:sz w:val="32"/>
          <w:szCs w:val="32"/>
        </w:rPr>
        <w:t>供应商</w:t>
      </w:r>
      <w:r>
        <w:rPr>
          <w:rFonts w:hint="eastAsia"/>
          <w:b/>
          <w:bCs/>
          <w:color w:val="auto"/>
          <w:spacing w:val="21"/>
          <w:sz w:val="32"/>
          <w:szCs w:val="32"/>
        </w:rPr>
        <w:t>基本情况表</w:t>
      </w:r>
    </w:p>
    <w:tbl>
      <w:tblPr>
        <w:tblStyle w:val="3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51"/>
              <w:shd w:val="clear" w:color="auto" w:fill="FFFFFF"/>
              <w:spacing w:line="360" w:lineRule="auto"/>
              <w:rPr>
                <w:bCs/>
                <w:color w:val="auto"/>
              </w:rPr>
            </w:pPr>
            <w:r>
              <w:rPr>
                <w:rFonts w:hint="eastAsia"/>
                <w:bCs/>
                <w:color w:val="auto"/>
                <w:spacing w:val="27"/>
              </w:rPr>
              <w:t>企业名称</w:t>
            </w:r>
          </w:p>
        </w:tc>
        <w:tc>
          <w:tcPr>
            <w:tcW w:w="3979" w:type="dxa"/>
            <w:gridSpan w:val="6"/>
          </w:tcPr>
          <w:p>
            <w:pPr>
              <w:pStyle w:val="51"/>
              <w:shd w:val="clear" w:color="auto" w:fill="FFFFFF"/>
              <w:spacing w:line="360" w:lineRule="auto"/>
              <w:rPr>
                <w:bCs/>
                <w:color w:val="auto"/>
              </w:rPr>
            </w:pPr>
          </w:p>
        </w:tc>
        <w:tc>
          <w:tcPr>
            <w:tcW w:w="2001" w:type="dxa"/>
            <w:gridSpan w:val="3"/>
          </w:tcPr>
          <w:p>
            <w:pPr>
              <w:pStyle w:val="51"/>
              <w:shd w:val="clear" w:color="auto" w:fill="FFFFFF"/>
              <w:spacing w:line="360" w:lineRule="auto"/>
              <w:rPr>
                <w:bCs/>
                <w:color w:val="auto"/>
              </w:rPr>
            </w:pPr>
            <w:r>
              <w:rPr>
                <w:rFonts w:hint="eastAsia"/>
                <w:bCs/>
                <w:color w:val="auto"/>
                <w:spacing w:val="16"/>
              </w:rPr>
              <w:t>法人代表</w:t>
            </w:r>
          </w:p>
        </w:tc>
        <w:tc>
          <w:tcPr>
            <w:tcW w:w="2151" w:type="dxa"/>
            <w:gridSpan w:val="2"/>
          </w:tcPr>
          <w:p>
            <w:pPr>
              <w:pStyle w:val="51"/>
              <w:shd w:val="clear" w:color="auto" w:fill="FFFFFF"/>
              <w:spacing w:line="360" w:lineRule="auto"/>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51"/>
              <w:shd w:val="clear" w:color="auto" w:fill="FFFFFF"/>
              <w:spacing w:line="360" w:lineRule="auto"/>
              <w:rPr>
                <w:bCs/>
                <w:color w:val="auto"/>
                <w:spacing w:val="16"/>
              </w:rPr>
            </w:pPr>
            <w:r>
              <w:rPr>
                <w:rFonts w:hint="eastAsia"/>
                <w:bCs/>
                <w:color w:val="auto"/>
                <w:spacing w:val="27"/>
              </w:rPr>
              <w:t>地址</w:t>
            </w:r>
          </w:p>
        </w:tc>
        <w:tc>
          <w:tcPr>
            <w:tcW w:w="3979" w:type="dxa"/>
            <w:gridSpan w:val="6"/>
            <w:tcBorders>
              <w:bottom w:val="single" w:color="auto" w:sz="4" w:space="0"/>
            </w:tcBorders>
          </w:tcPr>
          <w:p>
            <w:pPr>
              <w:pStyle w:val="51"/>
              <w:shd w:val="clear" w:color="auto" w:fill="FFFFFF"/>
              <w:spacing w:line="360" w:lineRule="auto"/>
              <w:rPr>
                <w:bCs/>
                <w:color w:val="auto"/>
                <w:spacing w:val="16"/>
              </w:rPr>
            </w:pPr>
          </w:p>
        </w:tc>
        <w:tc>
          <w:tcPr>
            <w:tcW w:w="2001" w:type="dxa"/>
            <w:gridSpan w:val="3"/>
          </w:tcPr>
          <w:p>
            <w:pPr>
              <w:pStyle w:val="51"/>
              <w:shd w:val="clear" w:color="auto" w:fill="FFFFFF"/>
              <w:spacing w:line="360" w:lineRule="auto"/>
              <w:rPr>
                <w:bCs/>
                <w:color w:val="auto"/>
                <w:spacing w:val="16"/>
              </w:rPr>
            </w:pPr>
            <w:r>
              <w:rPr>
                <w:rFonts w:hint="eastAsia"/>
                <w:bCs/>
                <w:color w:val="auto"/>
                <w:spacing w:val="16"/>
              </w:rPr>
              <w:t>企业性质</w:t>
            </w:r>
          </w:p>
        </w:tc>
        <w:tc>
          <w:tcPr>
            <w:tcW w:w="2151" w:type="dxa"/>
            <w:gridSpan w:val="2"/>
          </w:tcPr>
          <w:p>
            <w:pPr>
              <w:pStyle w:val="51"/>
              <w:shd w:val="clear" w:color="auto" w:fill="FFFFFF"/>
              <w:spacing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51"/>
              <w:shd w:val="clear" w:color="auto" w:fill="FFFFFF"/>
              <w:spacing w:line="360" w:lineRule="auto"/>
              <w:rPr>
                <w:bCs/>
                <w:color w:val="auto"/>
                <w:spacing w:val="16"/>
              </w:rPr>
            </w:pPr>
            <w:r>
              <w:rPr>
                <w:rFonts w:hint="eastAsia"/>
                <w:bCs/>
                <w:color w:val="auto"/>
                <w:spacing w:val="27"/>
              </w:rPr>
              <w:t>股东姓名</w:t>
            </w:r>
          </w:p>
        </w:tc>
        <w:tc>
          <w:tcPr>
            <w:tcW w:w="701" w:type="dxa"/>
            <w:tcBorders>
              <w:bottom w:val="single" w:color="auto" w:sz="4" w:space="0"/>
            </w:tcBorders>
          </w:tcPr>
          <w:p>
            <w:pPr>
              <w:pStyle w:val="51"/>
              <w:shd w:val="clear" w:color="auto" w:fill="FFFFFF"/>
              <w:spacing w:before="0" w:beforeAutospacing="0" w:after="0" w:afterAutospacing="0" w:line="360" w:lineRule="auto"/>
              <w:rPr>
                <w:bCs/>
                <w:color w:val="auto"/>
                <w:spacing w:val="16"/>
              </w:rPr>
            </w:pPr>
          </w:p>
        </w:tc>
        <w:tc>
          <w:tcPr>
            <w:tcW w:w="910" w:type="dxa"/>
            <w:gridSpan w:val="2"/>
            <w:tcBorders>
              <w:bottom w:val="single" w:color="auto" w:sz="4" w:space="0"/>
            </w:tcBorders>
          </w:tcPr>
          <w:p>
            <w:pPr>
              <w:pStyle w:val="51"/>
              <w:shd w:val="clear" w:color="auto" w:fill="FFFFFF"/>
              <w:spacing w:line="360" w:lineRule="auto"/>
              <w:rPr>
                <w:bCs/>
                <w:color w:val="auto"/>
                <w:spacing w:val="16"/>
              </w:rPr>
            </w:pPr>
            <w:r>
              <w:rPr>
                <w:rFonts w:hint="eastAsia"/>
                <w:bCs/>
                <w:color w:val="auto"/>
                <w:spacing w:val="16"/>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auto"/>
                <w:spacing w:val="16"/>
                <w:kern w:val="0"/>
                <w:sz w:val="24"/>
              </w:rPr>
            </w:pPr>
          </w:p>
          <w:p>
            <w:pPr>
              <w:pStyle w:val="51"/>
              <w:shd w:val="clear" w:color="auto" w:fill="FFFFFF"/>
              <w:spacing w:line="360" w:lineRule="auto"/>
              <w:rPr>
                <w:bCs/>
                <w:color w:val="auto"/>
                <w:spacing w:val="16"/>
              </w:rPr>
            </w:pPr>
          </w:p>
        </w:tc>
        <w:tc>
          <w:tcPr>
            <w:tcW w:w="2001" w:type="dxa"/>
            <w:gridSpan w:val="3"/>
          </w:tcPr>
          <w:p>
            <w:pPr>
              <w:pStyle w:val="51"/>
              <w:shd w:val="clear" w:color="auto" w:fill="FFFFFF"/>
              <w:spacing w:line="360" w:lineRule="auto"/>
              <w:ind w:left="107"/>
              <w:rPr>
                <w:bCs/>
                <w:color w:val="auto"/>
                <w:spacing w:val="16"/>
              </w:rPr>
            </w:pPr>
            <w:r>
              <w:rPr>
                <w:rFonts w:hint="eastAsia"/>
                <w:bCs/>
                <w:color w:val="auto"/>
                <w:spacing w:val="16"/>
              </w:rPr>
              <w:t>股东关系</w:t>
            </w:r>
          </w:p>
        </w:tc>
        <w:tc>
          <w:tcPr>
            <w:tcW w:w="2151" w:type="dxa"/>
            <w:gridSpan w:val="2"/>
          </w:tcPr>
          <w:p>
            <w:pPr>
              <w:pStyle w:val="51"/>
              <w:shd w:val="clear" w:color="auto" w:fill="FFFFFF"/>
              <w:spacing w:line="360" w:lineRule="auto"/>
              <w:ind w:left="107"/>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51"/>
              <w:shd w:val="clear" w:color="auto" w:fill="FFFFFF"/>
              <w:spacing w:line="360" w:lineRule="auto"/>
              <w:rPr>
                <w:bCs/>
                <w:color w:val="auto"/>
                <w:spacing w:val="16"/>
              </w:rPr>
            </w:pPr>
            <w:r>
              <w:rPr>
                <w:rFonts w:hint="eastAsia"/>
                <w:bCs/>
                <w:color w:val="auto"/>
                <w:spacing w:val="12"/>
              </w:rPr>
              <w:t>联系人</w:t>
            </w:r>
            <w:r>
              <w:rPr>
                <w:rFonts w:hint="eastAsia"/>
                <w:bCs/>
                <w:color w:val="auto"/>
                <w:spacing w:val="27"/>
              </w:rPr>
              <w:t>姓名</w:t>
            </w:r>
          </w:p>
        </w:tc>
        <w:tc>
          <w:tcPr>
            <w:tcW w:w="701" w:type="dxa"/>
            <w:vMerge w:val="restart"/>
            <w:tcBorders>
              <w:top w:val="nil"/>
            </w:tcBorders>
          </w:tcPr>
          <w:p>
            <w:pPr>
              <w:pStyle w:val="51"/>
              <w:shd w:val="clear" w:color="auto" w:fill="FFFFFF"/>
              <w:spacing w:line="360" w:lineRule="auto"/>
              <w:rPr>
                <w:bCs/>
                <w:color w:val="auto"/>
                <w:spacing w:val="16"/>
              </w:rPr>
            </w:pPr>
          </w:p>
        </w:tc>
        <w:tc>
          <w:tcPr>
            <w:tcW w:w="910" w:type="dxa"/>
            <w:gridSpan w:val="2"/>
            <w:tcBorders>
              <w:top w:val="nil"/>
              <w:bottom w:val="single" w:color="auto" w:sz="4" w:space="0"/>
            </w:tcBorders>
          </w:tcPr>
          <w:p>
            <w:pPr>
              <w:pStyle w:val="51"/>
              <w:shd w:val="clear" w:color="auto" w:fill="FFFFFF"/>
              <w:spacing w:line="360" w:lineRule="auto"/>
              <w:rPr>
                <w:bCs/>
                <w:color w:val="auto"/>
                <w:spacing w:val="16"/>
              </w:rPr>
            </w:pPr>
            <w:r>
              <w:rPr>
                <w:rFonts w:hint="eastAsia"/>
                <w:bCs/>
                <w:color w:val="auto"/>
                <w:spacing w:val="16"/>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auto"/>
                <w:spacing w:val="16"/>
                <w:kern w:val="0"/>
                <w:sz w:val="24"/>
              </w:rPr>
            </w:pPr>
          </w:p>
          <w:p>
            <w:pPr>
              <w:pStyle w:val="51"/>
              <w:shd w:val="clear" w:color="auto" w:fill="FFFFFF"/>
              <w:spacing w:line="360" w:lineRule="auto"/>
              <w:rPr>
                <w:bCs/>
                <w:color w:val="auto"/>
                <w:spacing w:val="16"/>
              </w:rPr>
            </w:pPr>
          </w:p>
        </w:tc>
        <w:tc>
          <w:tcPr>
            <w:tcW w:w="2001" w:type="dxa"/>
            <w:gridSpan w:val="3"/>
            <w:vMerge w:val="restart"/>
          </w:tcPr>
          <w:p>
            <w:pPr>
              <w:pStyle w:val="51"/>
              <w:shd w:val="clear" w:color="auto" w:fill="FFFFFF"/>
              <w:spacing w:before="0" w:beforeAutospacing="0" w:after="0" w:afterAutospacing="0" w:line="360" w:lineRule="auto"/>
              <w:rPr>
                <w:bCs/>
                <w:color w:val="auto"/>
                <w:spacing w:val="16"/>
              </w:rPr>
            </w:pPr>
            <w:r>
              <w:rPr>
                <w:rFonts w:hint="eastAsia"/>
                <w:bCs/>
                <w:color w:val="auto"/>
                <w:spacing w:val="16"/>
              </w:rPr>
              <w:t>传真</w:t>
            </w:r>
          </w:p>
        </w:tc>
        <w:tc>
          <w:tcPr>
            <w:tcW w:w="2151" w:type="dxa"/>
            <w:gridSpan w:val="2"/>
            <w:vMerge w:val="restart"/>
          </w:tcPr>
          <w:p>
            <w:pPr>
              <w:pStyle w:val="51"/>
              <w:shd w:val="clear" w:color="auto" w:fill="FFFFFF"/>
              <w:spacing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51"/>
              <w:shd w:val="clear" w:color="auto" w:fill="FFFFFF"/>
              <w:spacing w:line="360" w:lineRule="auto"/>
              <w:ind w:left="107"/>
              <w:rPr>
                <w:bCs/>
                <w:color w:val="auto"/>
              </w:rPr>
            </w:pPr>
          </w:p>
        </w:tc>
        <w:tc>
          <w:tcPr>
            <w:tcW w:w="701" w:type="dxa"/>
            <w:vMerge w:val="continue"/>
            <w:tcBorders>
              <w:bottom w:val="single" w:color="auto" w:sz="4" w:space="0"/>
            </w:tcBorders>
          </w:tcPr>
          <w:p>
            <w:pPr>
              <w:pStyle w:val="51"/>
              <w:shd w:val="clear" w:color="auto" w:fill="FFFFFF"/>
              <w:spacing w:line="360" w:lineRule="auto"/>
              <w:rPr>
                <w:bCs/>
                <w:color w:val="auto"/>
                <w:spacing w:val="16"/>
              </w:rPr>
            </w:pPr>
          </w:p>
        </w:tc>
        <w:tc>
          <w:tcPr>
            <w:tcW w:w="910" w:type="dxa"/>
            <w:gridSpan w:val="2"/>
            <w:tcBorders>
              <w:bottom w:val="single" w:color="auto" w:sz="4" w:space="0"/>
            </w:tcBorders>
          </w:tcPr>
          <w:p>
            <w:pPr>
              <w:pStyle w:val="51"/>
              <w:shd w:val="clear" w:color="auto" w:fill="FFFFFF"/>
              <w:spacing w:line="360" w:lineRule="auto"/>
              <w:rPr>
                <w:bCs/>
                <w:color w:val="auto"/>
                <w:spacing w:val="16"/>
              </w:rPr>
            </w:pPr>
            <w:r>
              <w:rPr>
                <w:rFonts w:hint="eastAsia"/>
                <w:bCs/>
                <w:color w:val="auto"/>
                <w:spacing w:val="27"/>
              </w:rPr>
              <w:t>手机</w:t>
            </w:r>
          </w:p>
        </w:tc>
        <w:tc>
          <w:tcPr>
            <w:tcW w:w="2368" w:type="dxa"/>
            <w:gridSpan w:val="3"/>
            <w:tcBorders>
              <w:bottom w:val="single" w:color="auto" w:sz="4" w:space="0"/>
            </w:tcBorders>
          </w:tcPr>
          <w:p>
            <w:pPr>
              <w:pStyle w:val="51"/>
              <w:shd w:val="clear" w:color="auto" w:fill="FFFFFF"/>
              <w:spacing w:line="360" w:lineRule="auto"/>
              <w:rPr>
                <w:bCs/>
                <w:color w:val="auto"/>
                <w:spacing w:val="16"/>
              </w:rPr>
            </w:pPr>
          </w:p>
        </w:tc>
        <w:tc>
          <w:tcPr>
            <w:tcW w:w="2001" w:type="dxa"/>
            <w:gridSpan w:val="3"/>
            <w:vMerge w:val="continue"/>
          </w:tcPr>
          <w:p>
            <w:pPr>
              <w:pStyle w:val="51"/>
              <w:shd w:val="clear" w:color="auto" w:fill="FFFFFF"/>
              <w:spacing w:line="360" w:lineRule="auto"/>
              <w:rPr>
                <w:bCs/>
                <w:color w:val="auto"/>
                <w:spacing w:val="16"/>
              </w:rPr>
            </w:pPr>
          </w:p>
        </w:tc>
        <w:tc>
          <w:tcPr>
            <w:tcW w:w="2151" w:type="dxa"/>
            <w:gridSpan w:val="2"/>
            <w:vMerge w:val="continue"/>
          </w:tcPr>
          <w:p>
            <w:pPr>
              <w:pStyle w:val="51"/>
              <w:shd w:val="clear" w:color="auto" w:fill="FFFFFF"/>
              <w:spacing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51"/>
              <w:shd w:val="clear" w:color="auto" w:fill="FFFFFF"/>
              <w:spacing w:line="360" w:lineRule="auto"/>
              <w:ind w:left="107"/>
              <w:rPr>
                <w:bCs/>
                <w:color w:val="auto"/>
              </w:rPr>
            </w:pPr>
            <w:r>
              <w:rPr>
                <w:bCs/>
                <w:color w:val="auto"/>
              </w:rPr>
              <w:t>1</w:t>
            </w:r>
            <w:r>
              <w:rPr>
                <w:rFonts w:hint="eastAsia"/>
                <w:bCs/>
                <w:color w:val="auto"/>
              </w:rPr>
              <w:t>.</w:t>
            </w:r>
          </w:p>
          <w:p>
            <w:pPr>
              <w:pStyle w:val="51"/>
              <w:shd w:val="clear" w:color="auto" w:fill="FFFFFF"/>
              <w:spacing w:line="360" w:lineRule="auto"/>
              <w:ind w:left="107"/>
              <w:rPr>
                <w:bCs/>
                <w:color w:val="auto"/>
              </w:rPr>
            </w:pPr>
            <w:r>
              <w:rPr>
                <w:rFonts w:hint="eastAsia"/>
                <w:bCs/>
                <w:color w:val="auto"/>
              </w:rPr>
              <w:t>企</w:t>
            </w:r>
          </w:p>
          <w:p>
            <w:pPr>
              <w:pStyle w:val="51"/>
              <w:shd w:val="clear" w:color="auto" w:fill="FFFFFF"/>
              <w:spacing w:line="360" w:lineRule="auto"/>
              <w:ind w:left="107"/>
              <w:rPr>
                <w:bCs/>
                <w:color w:val="auto"/>
              </w:rPr>
            </w:pPr>
            <w:r>
              <w:rPr>
                <w:rFonts w:hint="eastAsia"/>
                <w:bCs/>
                <w:color w:val="auto"/>
              </w:rPr>
              <w:t>业</w:t>
            </w:r>
          </w:p>
          <w:p>
            <w:pPr>
              <w:pStyle w:val="51"/>
              <w:shd w:val="clear" w:color="auto" w:fill="FFFFFF"/>
              <w:spacing w:line="360" w:lineRule="auto"/>
              <w:ind w:left="107"/>
              <w:rPr>
                <w:bCs/>
                <w:color w:val="auto"/>
                <w:spacing w:val="27"/>
              </w:rPr>
            </w:pPr>
            <w:r>
              <w:rPr>
                <w:rFonts w:hint="eastAsia"/>
                <w:bCs/>
                <w:color w:val="auto"/>
                <w:spacing w:val="27"/>
              </w:rPr>
              <w:t>概</w:t>
            </w:r>
          </w:p>
          <w:p>
            <w:pPr>
              <w:pStyle w:val="51"/>
              <w:shd w:val="clear" w:color="auto" w:fill="FFFFFF"/>
              <w:spacing w:line="360" w:lineRule="auto"/>
              <w:ind w:left="107"/>
              <w:rPr>
                <w:bCs/>
                <w:color w:val="auto"/>
              </w:rPr>
            </w:pPr>
            <w:r>
              <w:rPr>
                <w:rFonts w:hint="eastAsia"/>
                <w:bCs/>
                <w:color w:val="auto"/>
                <w:spacing w:val="27"/>
              </w:rPr>
              <w:t>况</w:t>
            </w:r>
          </w:p>
        </w:tc>
        <w:tc>
          <w:tcPr>
            <w:tcW w:w="701" w:type="dxa"/>
            <w:tcBorders>
              <w:top w:val="nil"/>
            </w:tcBorders>
          </w:tcPr>
          <w:p>
            <w:pPr>
              <w:pStyle w:val="51"/>
              <w:shd w:val="clear" w:color="auto" w:fill="FFFFFF"/>
              <w:spacing w:line="360" w:lineRule="auto"/>
              <w:rPr>
                <w:bCs/>
                <w:color w:val="auto"/>
                <w:spacing w:val="16"/>
              </w:rPr>
            </w:pPr>
            <w:r>
              <w:rPr>
                <w:rFonts w:hint="eastAsia"/>
                <w:bCs/>
                <w:color w:val="auto"/>
                <w:spacing w:val="16"/>
              </w:rPr>
              <w:t>职工人数</w:t>
            </w:r>
          </w:p>
        </w:tc>
        <w:tc>
          <w:tcPr>
            <w:tcW w:w="910" w:type="dxa"/>
            <w:gridSpan w:val="2"/>
            <w:tcBorders>
              <w:top w:val="nil"/>
            </w:tcBorders>
          </w:tcPr>
          <w:p>
            <w:pPr>
              <w:pStyle w:val="51"/>
              <w:shd w:val="clear" w:color="auto" w:fill="FFFFFF"/>
              <w:spacing w:line="360" w:lineRule="auto"/>
              <w:rPr>
                <w:bCs/>
                <w:color w:val="auto"/>
                <w:spacing w:val="16"/>
              </w:rPr>
            </w:pPr>
          </w:p>
        </w:tc>
        <w:tc>
          <w:tcPr>
            <w:tcW w:w="1163" w:type="dxa"/>
            <w:tcBorders>
              <w:top w:val="nil"/>
            </w:tcBorders>
          </w:tcPr>
          <w:p>
            <w:pPr>
              <w:pStyle w:val="51"/>
              <w:shd w:val="clear" w:color="auto" w:fill="FFFFFF"/>
              <w:spacing w:before="0" w:beforeAutospacing="0" w:after="0" w:afterAutospacing="0" w:line="360" w:lineRule="auto"/>
              <w:rPr>
                <w:bCs/>
                <w:color w:val="auto"/>
              </w:rPr>
            </w:pPr>
            <w:r>
              <w:rPr>
                <w:rFonts w:hint="eastAsia"/>
                <w:bCs/>
                <w:color w:val="auto"/>
                <w:spacing w:val="18"/>
              </w:rPr>
              <w:t>具备大专以</w:t>
            </w:r>
            <w:r>
              <w:rPr>
                <w:rFonts w:hint="eastAsia"/>
                <w:bCs/>
                <w:color w:val="auto"/>
                <w:spacing w:val="12"/>
              </w:rPr>
              <w:t>上学历人数</w:t>
            </w:r>
          </w:p>
        </w:tc>
        <w:tc>
          <w:tcPr>
            <w:tcW w:w="1205" w:type="dxa"/>
            <w:gridSpan w:val="2"/>
            <w:tcBorders>
              <w:top w:val="nil"/>
            </w:tcBorders>
          </w:tcPr>
          <w:p>
            <w:pPr>
              <w:widowControl/>
              <w:spacing w:line="360" w:lineRule="auto"/>
              <w:jc w:val="left"/>
              <w:rPr>
                <w:rFonts w:ascii="宋体" w:hAnsi="宋体" w:cs="宋体"/>
                <w:bCs/>
                <w:color w:val="auto"/>
                <w:spacing w:val="16"/>
                <w:kern w:val="0"/>
                <w:sz w:val="24"/>
              </w:rPr>
            </w:pPr>
          </w:p>
          <w:p>
            <w:pPr>
              <w:widowControl/>
              <w:spacing w:line="360" w:lineRule="auto"/>
              <w:jc w:val="left"/>
              <w:rPr>
                <w:rFonts w:ascii="宋体" w:hAnsi="宋体" w:cs="宋体"/>
                <w:bCs/>
                <w:color w:val="auto"/>
                <w:spacing w:val="16"/>
                <w:kern w:val="0"/>
                <w:sz w:val="24"/>
              </w:rPr>
            </w:pPr>
          </w:p>
          <w:p>
            <w:pPr>
              <w:pStyle w:val="51"/>
              <w:shd w:val="clear" w:color="auto" w:fill="FFFFFF"/>
              <w:spacing w:line="360" w:lineRule="auto"/>
              <w:rPr>
                <w:bCs/>
                <w:color w:val="auto"/>
                <w:spacing w:val="16"/>
              </w:rPr>
            </w:pPr>
          </w:p>
        </w:tc>
        <w:tc>
          <w:tcPr>
            <w:tcW w:w="2001" w:type="dxa"/>
            <w:gridSpan w:val="3"/>
          </w:tcPr>
          <w:p>
            <w:pPr>
              <w:pStyle w:val="51"/>
              <w:shd w:val="clear" w:color="auto" w:fill="FFFFFF"/>
              <w:spacing w:line="360" w:lineRule="auto"/>
              <w:rPr>
                <w:bCs/>
                <w:color w:val="auto"/>
                <w:spacing w:val="16"/>
              </w:rPr>
            </w:pPr>
            <w:r>
              <w:rPr>
                <w:rFonts w:hint="eastAsia"/>
                <w:bCs/>
                <w:color w:val="auto"/>
                <w:spacing w:val="65"/>
              </w:rPr>
              <w:t>国家授予技</w:t>
            </w:r>
            <w:r>
              <w:rPr>
                <w:rFonts w:hint="eastAsia"/>
                <w:bCs/>
                <w:color w:val="auto"/>
                <w:spacing w:val="12"/>
              </w:rPr>
              <w:t>术职称人数</w:t>
            </w:r>
          </w:p>
        </w:tc>
        <w:tc>
          <w:tcPr>
            <w:tcW w:w="2151" w:type="dxa"/>
            <w:gridSpan w:val="2"/>
          </w:tcPr>
          <w:p>
            <w:pPr>
              <w:widowControl/>
              <w:spacing w:line="360" w:lineRule="auto"/>
              <w:jc w:val="left"/>
              <w:rPr>
                <w:rFonts w:ascii="宋体" w:hAnsi="宋体" w:cs="宋体"/>
                <w:bCs/>
                <w:color w:val="auto"/>
                <w:spacing w:val="16"/>
                <w:kern w:val="0"/>
                <w:sz w:val="24"/>
              </w:rPr>
            </w:pPr>
          </w:p>
          <w:p>
            <w:pPr>
              <w:pStyle w:val="51"/>
              <w:shd w:val="clear" w:color="auto" w:fill="FFFFFF"/>
              <w:spacing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51"/>
              <w:shd w:val="clear" w:color="auto" w:fill="FFFFFF"/>
              <w:spacing w:line="360" w:lineRule="auto"/>
              <w:ind w:left="107"/>
              <w:rPr>
                <w:bCs/>
                <w:color w:val="auto"/>
              </w:rPr>
            </w:pPr>
          </w:p>
        </w:tc>
        <w:tc>
          <w:tcPr>
            <w:tcW w:w="701" w:type="dxa"/>
          </w:tcPr>
          <w:p>
            <w:pPr>
              <w:pStyle w:val="51"/>
              <w:shd w:val="clear" w:color="auto" w:fill="FFFFFF"/>
              <w:spacing w:line="360" w:lineRule="auto"/>
              <w:rPr>
                <w:bCs/>
                <w:color w:val="auto"/>
              </w:rPr>
            </w:pPr>
            <w:r>
              <w:rPr>
                <w:rFonts w:hint="eastAsia"/>
                <w:bCs/>
                <w:color w:val="auto"/>
                <w:spacing w:val="16"/>
              </w:rPr>
              <w:t>占地面积</w:t>
            </w:r>
          </w:p>
        </w:tc>
        <w:tc>
          <w:tcPr>
            <w:tcW w:w="910" w:type="dxa"/>
            <w:gridSpan w:val="2"/>
          </w:tcPr>
          <w:p>
            <w:pPr>
              <w:pStyle w:val="51"/>
              <w:shd w:val="clear" w:color="auto" w:fill="FFFFFF"/>
              <w:spacing w:line="360" w:lineRule="auto"/>
              <w:rPr>
                <w:bCs/>
                <w:color w:val="auto"/>
              </w:rPr>
            </w:pPr>
          </w:p>
        </w:tc>
        <w:tc>
          <w:tcPr>
            <w:tcW w:w="1163" w:type="dxa"/>
          </w:tcPr>
          <w:p>
            <w:pPr>
              <w:pStyle w:val="51"/>
              <w:shd w:val="clear" w:color="auto" w:fill="FFFFFF"/>
              <w:spacing w:line="360" w:lineRule="auto"/>
              <w:rPr>
                <w:bCs/>
                <w:color w:val="auto"/>
              </w:rPr>
            </w:pPr>
            <w:r>
              <w:rPr>
                <w:rFonts w:hint="eastAsia"/>
                <w:bCs/>
                <w:color w:val="auto"/>
                <w:spacing w:val="16"/>
              </w:rPr>
              <w:t>建筑面积</w:t>
            </w:r>
          </w:p>
        </w:tc>
        <w:tc>
          <w:tcPr>
            <w:tcW w:w="1205" w:type="dxa"/>
            <w:gridSpan w:val="2"/>
          </w:tcPr>
          <w:p>
            <w:pPr>
              <w:pStyle w:val="51"/>
              <w:shd w:val="clear" w:color="auto" w:fill="FFFFFF"/>
              <w:spacing w:line="360" w:lineRule="auto"/>
              <w:ind w:firstLine="480" w:firstLineChars="200"/>
              <w:rPr>
                <w:bCs/>
                <w:color w:val="auto"/>
              </w:rPr>
            </w:pPr>
            <w:r>
              <w:rPr>
                <w:rFonts w:hint="eastAsia"/>
                <w:bCs/>
                <w:color w:val="auto"/>
              </w:rPr>
              <w:t xml:space="preserve">平方米 </w:t>
            </w:r>
          </w:p>
          <w:p>
            <w:pPr>
              <w:pStyle w:val="51"/>
              <w:shd w:val="clear" w:color="auto" w:fill="FFFFFF"/>
              <w:spacing w:line="360" w:lineRule="auto"/>
              <w:rPr>
                <w:bCs/>
                <w:color w:val="auto"/>
              </w:rPr>
            </w:pPr>
            <w:r>
              <w:rPr>
                <w:rFonts w:hint="eastAsia"/>
                <w:bCs/>
                <w:color w:val="auto"/>
                <w:spacing w:val="16"/>
              </w:rPr>
              <w:t>□自有□租賃</w:t>
            </w:r>
          </w:p>
        </w:tc>
        <w:tc>
          <w:tcPr>
            <w:tcW w:w="2001" w:type="dxa"/>
            <w:gridSpan w:val="3"/>
          </w:tcPr>
          <w:p>
            <w:pPr>
              <w:pStyle w:val="51"/>
              <w:shd w:val="clear" w:color="auto" w:fill="FFFFFF"/>
              <w:spacing w:line="360" w:lineRule="auto"/>
              <w:rPr>
                <w:bCs/>
                <w:color w:val="auto"/>
              </w:rPr>
            </w:pPr>
            <w:r>
              <w:rPr>
                <w:rFonts w:hint="eastAsia"/>
                <w:bCs/>
                <w:color w:val="auto"/>
                <w:spacing w:val="16"/>
              </w:rPr>
              <w:t>生产经营场所及场所的设施与设备</w:t>
            </w:r>
          </w:p>
        </w:tc>
        <w:tc>
          <w:tcPr>
            <w:tcW w:w="2151" w:type="dxa"/>
            <w:gridSpan w:val="2"/>
          </w:tcPr>
          <w:p>
            <w:pPr>
              <w:pStyle w:val="51"/>
              <w:shd w:val="clear" w:color="auto" w:fill="FFFFFF"/>
              <w:spacing w:before="0" w:beforeAutospacing="0" w:after="0" w:afterAutospacing="0"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51"/>
              <w:shd w:val="clear" w:color="auto" w:fill="FFFFFF"/>
              <w:spacing w:line="360" w:lineRule="auto"/>
              <w:ind w:left="107"/>
              <w:rPr>
                <w:bCs/>
                <w:color w:val="auto"/>
              </w:rPr>
            </w:pPr>
          </w:p>
        </w:tc>
        <w:tc>
          <w:tcPr>
            <w:tcW w:w="701" w:type="dxa"/>
          </w:tcPr>
          <w:p>
            <w:pPr>
              <w:pStyle w:val="51"/>
              <w:shd w:val="clear" w:color="auto" w:fill="FFFFFF"/>
              <w:spacing w:line="360" w:lineRule="auto"/>
              <w:ind w:left="2"/>
              <w:rPr>
                <w:bCs/>
                <w:color w:val="auto"/>
                <w:spacing w:val="16"/>
              </w:rPr>
            </w:pPr>
            <w:r>
              <w:rPr>
                <w:rFonts w:hint="eastAsia"/>
                <w:bCs/>
                <w:color w:val="auto"/>
                <w:spacing w:val="16"/>
              </w:rPr>
              <w:t>注册资金</w:t>
            </w:r>
          </w:p>
        </w:tc>
        <w:tc>
          <w:tcPr>
            <w:tcW w:w="910" w:type="dxa"/>
            <w:gridSpan w:val="2"/>
          </w:tcPr>
          <w:p>
            <w:pPr>
              <w:pStyle w:val="51"/>
              <w:shd w:val="clear" w:color="auto" w:fill="FFFFFF"/>
              <w:spacing w:line="360" w:lineRule="auto"/>
              <w:ind w:left="2"/>
              <w:rPr>
                <w:bCs/>
                <w:color w:val="auto"/>
              </w:rPr>
            </w:pPr>
          </w:p>
        </w:tc>
        <w:tc>
          <w:tcPr>
            <w:tcW w:w="1163" w:type="dxa"/>
          </w:tcPr>
          <w:p>
            <w:pPr>
              <w:pStyle w:val="51"/>
              <w:shd w:val="clear" w:color="auto" w:fill="FFFFFF"/>
              <w:spacing w:line="360" w:lineRule="auto"/>
              <w:ind w:left="107"/>
              <w:rPr>
                <w:bCs/>
                <w:color w:val="auto"/>
              </w:rPr>
            </w:pPr>
            <w:r>
              <w:rPr>
                <w:rFonts w:hint="eastAsia"/>
                <w:bCs/>
                <w:color w:val="auto"/>
                <w:spacing w:val="16"/>
              </w:rPr>
              <w:t>注册发证</w:t>
            </w:r>
            <w:r>
              <w:rPr>
                <w:rFonts w:hint="eastAsia"/>
                <w:bCs/>
                <w:color w:val="auto"/>
                <w:spacing w:val="27"/>
              </w:rPr>
              <w:t>机关</w:t>
            </w:r>
          </w:p>
        </w:tc>
        <w:tc>
          <w:tcPr>
            <w:tcW w:w="3206" w:type="dxa"/>
            <w:gridSpan w:val="5"/>
          </w:tcPr>
          <w:p>
            <w:pPr>
              <w:widowControl/>
              <w:spacing w:line="360" w:lineRule="auto"/>
              <w:jc w:val="left"/>
              <w:rPr>
                <w:rFonts w:ascii="宋体" w:hAnsi="宋体" w:cs="宋体"/>
                <w:bCs/>
                <w:color w:val="auto"/>
                <w:kern w:val="0"/>
                <w:sz w:val="24"/>
              </w:rPr>
            </w:pPr>
          </w:p>
          <w:p>
            <w:pPr>
              <w:pStyle w:val="51"/>
              <w:shd w:val="clear" w:color="auto" w:fill="FFFFFF"/>
              <w:spacing w:line="360" w:lineRule="auto"/>
              <w:ind w:left="107"/>
              <w:rPr>
                <w:bCs/>
                <w:color w:val="auto"/>
              </w:rPr>
            </w:pPr>
          </w:p>
        </w:tc>
        <w:tc>
          <w:tcPr>
            <w:tcW w:w="1218" w:type="dxa"/>
          </w:tcPr>
          <w:p>
            <w:pPr>
              <w:pStyle w:val="51"/>
              <w:shd w:val="clear" w:color="auto" w:fill="FFFFFF"/>
              <w:spacing w:line="360" w:lineRule="auto"/>
              <w:ind w:left="107"/>
              <w:rPr>
                <w:bCs/>
                <w:color w:val="auto"/>
              </w:rPr>
            </w:pPr>
            <w:r>
              <w:rPr>
                <w:rFonts w:hint="eastAsia"/>
                <w:bCs/>
                <w:color w:val="auto"/>
              </w:rPr>
              <w:t>公司成</w:t>
            </w:r>
            <w:r>
              <w:rPr>
                <w:rFonts w:hint="eastAsia"/>
                <w:bCs/>
                <w:color w:val="auto"/>
                <w:spacing w:val="12"/>
              </w:rPr>
              <w:t>立时间</w:t>
            </w:r>
          </w:p>
        </w:tc>
        <w:tc>
          <w:tcPr>
            <w:tcW w:w="933" w:type="dxa"/>
          </w:tcPr>
          <w:p>
            <w:pPr>
              <w:pStyle w:val="51"/>
              <w:shd w:val="clear" w:color="auto" w:fill="FFFFFF"/>
              <w:spacing w:line="360" w:lineRule="auto"/>
              <w:ind w:left="107"/>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51"/>
              <w:shd w:val="clear" w:color="auto" w:fill="FFFFFF"/>
              <w:spacing w:line="360" w:lineRule="auto"/>
              <w:ind w:left="107"/>
              <w:rPr>
                <w:bCs/>
                <w:color w:val="auto"/>
              </w:rPr>
            </w:pPr>
          </w:p>
        </w:tc>
        <w:tc>
          <w:tcPr>
            <w:tcW w:w="701" w:type="dxa"/>
          </w:tcPr>
          <w:p>
            <w:pPr>
              <w:pStyle w:val="51"/>
              <w:shd w:val="clear" w:color="auto" w:fill="FFFFFF"/>
              <w:spacing w:line="360" w:lineRule="auto"/>
              <w:ind w:left="2"/>
              <w:rPr>
                <w:bCs/>
                <w:color w:val="auto"/>
              </w:rPr>
            </w:pPr>
            <w:r>
              <w:rPr>
                <w:rFonts w:hint="eastAsia"/>
                <w:bCs/>
                <w:color w:val="auto"/>
              </w:rPr>
              <w:t>核准经营范围</w:t>
            </w:r>
          </w:p>
        </w:tc>
        <w:tc>
          <w:tcPr>
            <w:tcW w:w="7430" w:type="dxa"/>
            <w:gridSpan w:val="10"/>
          </w:tcPr>
          <w:p>
            <w:pPr>
              <w:pStyle w:val="51"/>
              <w:shd w:val="clear" w:color="auto" w:fill="FFFFFF"/>
              <w:spacing w:line="360" w:lineRule="auto"/>
              <w:ind w:left="107"/>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51"/>
              <w:shd w:val="clear" w:color="auto" w:fill="FFFFFF"/>
              <w:spacing w:line="360" w:lineRule="auto"/>
              <w:ind w:left="107"/>
              <w:rPr>
                <w:bCs/>
                <w:color w:val="auto"/>
              </w:rPr>
            </w:pPr>
          </w:p>
        </w:tc>
        <w:tc>
          <w:tcPr>
            <w:tcW w:w="8131" w:type="dxa"/>
            <w:gridSpan w:val="11"/>
          </w:tcPr>
          <w:p>
            <w:pPr>
              <w:pStyle w:val="51"/>
              <w:shd w:val="clear" w:color="auto" w:fill="FFFFFF"/>
              <w:spacing w:line="360" w:lineRule="auto"/>
              <w:rPr>
                <w:bCs/>
                <w:color w:val="auto"/>
                <w:spacing w:val="13"/>
              </w:rPr>
            </w:pPr>
            <w:r>
              <w:rPr>
                <w:rFonts w:hint="eastAsia"/>
                <w:bCs/>
                <w:color w:val="auto"/>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51"/>
              <w:shd w:val="clear" w:color="auto" w:fill="FFFFFF"/>
              <w:spacing w:line="360" w:lineRule="auto"/>
              <w:ind w:left="107"/>
              <w:rPr>
                <w:bCs/>
                <w:color w:val="auto"/>
              </w:rPr>
            </w:pPr>
            <w:r>
              <w:rPr>
                <w:bCs/>
                <w:color w:val="auto"/>
              </w:rPr>
              <w:t>2</w:t>
            </w:r>
            <w:r>
              <w:rPr>
                <w:rFonts w:hint="eastAsia"/>
                <w:bCs/>
                <w:color w:val="auto"/>
              </w:rPr>
              <w:t>．</w:t>
            </w:r>
          </w:p>
          <w:p>
            <w:pPr>
              <w:pStyle w:val="51"/>
              <w:shd w:val="clear" w:color="auto" w:fill="FFFFFF"/>
              <w:spacing w:line="360" w:lineRule="auto"/>
              <w:ind w:left="107"/>
              <w:rPr>
                <w:bCs/>
                <w:color w:val="auto"/>
                <w:spacing w:val="16"/>
              </w:rPr>
            </w:pPr>
            <w:r>
              <w:rPr>
                <w:rFonts w:hint="eastAsia"/>
                <w:bCs/>
                <w:color w:val="auto"/>
              </w:rPr>
              <w:t>企</w:t>
            </w:r>
            <w:r>
              <w:rPr>
                <w:rFonts w:hint="eastAsia"/>
                <w:bCs/>
                <w:color w:val="auto"/>
                <w:spacing w:val="12"/>
              </w:rPr>
              <w:t>业有关资质获证情况</w:t>
            </w:r>
          </w:p>
        </w:tc>
        <w:tc>
          <w:tcPr>
            <w:tcW w:w="1553" w:type="dxa"/>
            <w:gridSpan w:val="2"/>
            <w:vMerge w:val="restart"/>
          </w:tcPr>
          <w:p>
            <w:pPr>
              <w:pStyle w:val="51"/>
              <w:shd w:val="clear" w:color="auto" w:fill="FFFFFF"/>
              <w:spacing w:before="0" w:beforeAutospacing="0" w:after="0" w:afterAutospacing="0" w:line="360" w:lineRule="auto"/>
              <w:rPr>
                <w:bCs/>
                <w:color w:val="auto"/>
                <w:spacing w:val="16"/>
              </w:rPr>
            </w:pPr>
            <w:r>
              <w:rPr>
                <w:rFonts w:hint="eastAsia"/>
                <w:bCs/>
                <w:color w:val="auto"/>
                <w:spacing w:val="12"/>
              </w:rPr>
              <w:t>产品生产许可证情况</w:t>
            </w:r>
            <w:r>
              <w:rPr>
                <w:rFonts w:hint="eastAsia"/>
                <w:bCs/>
                <w:color w:val="auto"/>
                <w:spacing w:val="41"/>
              </w:rPr>
              <w:t>（对需获得生产许可证的</w:t>
            </w:r>
            <w:r>
              <w:rPr>
                <w:rFonts w:hint="eastAsia"/>
                <w:bCs/>
                <w:color w:val="auto"/>
                <w:spacing w:val="11"/>
              </w:rPr>
              <w:t>产品要填写此栏）</w:t>
            </w:r>
          </w:p>
        </w:tc>
        <w:tc>
          <w:tcPr>
            <w:tcW w:w="1333" w:type="dxa"/>
            <w:gridSpan w:val="3"/>
          </w:tcPr>
          <w:p>
            <w:pPr>
              <w:pStyle w:val="51"/>
              <w:shd w:val="clear" w:color="auto" w:fill="FFFFFF"/>
              <w:spacing w:line="360" w:lineRule="auto"/>
              <w:ind w:right="-78" w:rightChars="-37"/>
              <w:rPr>
                <w:bCs/>
                <w:color w:val="auto"/>
                <w:spacing w:val="16"/>
              </w:rPr>
            </w:pPr>
            <w:r>
              <w:rPr>
                <w:rFonts w:hint="eastAsia"/>
                <w:bCs/>
                <w:color w:val="auto"/>
                <w:spacing w:val="16"/>
              </w:rPr>
              <w:t>产品名称</w:t>
            </w:r>
          </w:p>
        </w:tc>
        <w:tc>
          <w:tcPr>
            <w:tcW w:w="1418" w:type="dxa"/>
            <w:gridSpan w:val="2"/>
          </w:tcPr>
          <w:p>
            <w:pPr>
              <w:pStyle w:val="51"/>
              <w:shd w:val="clear" w:color="auto" w:fill="FFFFFF"/>
              <w:spacing w:before="0" w:beforeAutospacing="0" w:after="0" w:afterAutospacing="0" w:line="360" w:lineRule="auto"/>
              <w:rPr>
                <w:bCs/>
                <w:color w:val="auto"/>
              </w:rPr>
            </w:pPr>
            <w:r>
              <w:rPr>
                <w:rFonts w:hint="eastAsia"/>
                <w:bCs/>
                <w:color w:val="auto"/>
                <w:spacing w:val="16"/>
              </w:rPr>
              <w:t>发证机关</w:t>
            </w:r>
          </w:p>
        </w:tc>
        <w:tc>
          <w:tcPr>
            <w:tcW w:w="1276" w:type="dxa"/>
          </w:tcPr>
          <w:p>
            <w:pPr>
              <w:pStyle w:val="51"/>
              <w:shd w:val="clear" w:color="auto" w:fill="FFFFFF"/>
              <w:spacing w:line="360" w:lineRule="auto"/>
              <w:jc w:val="center"/>
              <w:rPr>
                <w:bCs/>
                <w:color w:val="auto"/>
              </w:rPr>
            </w:pPr>
            <w:r>
              <w:rPr>
                <w:rFonts w:hint="eastAsia"/>
                <w:bCs/>
                <w:color w:val="auto"/>
                <w:spacing w:val="27"/>
              </w:rPr>
              <w:t>编号</w:t>
            </w:r>
          </w:p>
        </w:tc>
        <w:tc>
          <w:tcPr>
            <w:tcW w:w="1618" w:type="dxa"/>
            <w:gridSpan w:val="2"/>
          </w:tcPr>
          <w:p>
            <w:pPr>
              <w:pStyle w:val="51"/>
              <w:shd w:val="clear" w:color="auto" w:fill="FFFFFF"/>
              <w:spacing w:line="360" w:lineRule="auto"/>
              <w:jc w:val="center"/>
              <w:rPr>
                <w:bCs/>
                <w:color w:val="auto"/>
              </w:rPr>
            </w:pPr>
            <w:r>
              <w:rPr>
                <w:rFonts w:hint="eastAsia"/>
                <w:bCs/>
                <w:color w:val="auto"/>
                <w:spacing w:val="16"/>
              </w:rPr>
              <w:t>发证时间</w:t>
            </w:r>
          </w:p>
        </w:tc>
        <w:tc>
          <w:tcPr>
            <w:tcW w:w="933" w:type="dxa"/>
          </w:tcPr>
          <w:p>
            <w:pPr>
              <w:pStyle w:val="51"/>
              <w:shd w:val="clear" w:color="auto" w:fill="FFFFFF"/>
              <w:spacing w:before="0" w:beforeAutospacing="0" w:after="0" w:afterAutospacing="0" w:line="360" w:lineRule="auto"/>
              <w:jc w:val="center"/>
              <w:rPr>
                <w:bCs/>
                <w:color w:val="auto"/>
              </w:rPr>
            </w:pPr>
            <w:r>
              <w:rPr>
                <w:rFonts w:hint="eastAsia"/>
                <w:bCs/>
                <w:color w:val="auto"/>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51"/>
              <w:shd w:val="clear" w:color="auto" w:fill="FFFFFF"/>
              <w:spacing w:line="360" w:lineRule="auto"/>
              <w:ind w:left="107"/>
              <w:rPr>
                <w:bCs/>
                <w:color w:val="auto"/>
              </w:rPr>
            </w:pPr>
          </w:p>
        </w:tc>
        <w:tc>
          <w:tcPr>
            <w:tcW w:w="1553" w:type="dxa"/>
            <w:gridSpan w:val="2"/>
            <w:vMerge w:val="continue"/>
          </w:tcPr>
          <w:p>
            <w:pPr>
              <w:pStyle w:val="51"/>
              <w:shd w:val="clear" w:color="auto" w:fill="FFFFFF"/>
              <w:spacing w:line="360" w:lineRule="auto"/>
              <w:rPr>
                <w:bCs/>
                <w:color w:val="auto"/>
              </w:rPr>
            </w:pPr>
          </w:p>
        </w:tc>
        <w:tc>
          <w:tcPr>
            <w:tcW w:w="1333" w:type="dxa"/>
            <w:gridSpan w:val="3"/>
          </w:tcPr>
          <w:p>
            <w:pPr>
              <w:pStyle w:val="51"/>
              <w:shd w:val="clear" w:color="auto" w:fill="FFFFFF"/>
              <w:spacing w:line="360" w:lineRule="auto"/>
              <w:rPr>
                <w:bCs/>
                <w:color w:val="auto"/>
              </w:rPr>
            </w:pPr>
          </w:p>
        </w:tc>
        <w:tc>
          <w:tcPr>
            <w:tcW w:w="1418" w:type="dxa"/>
            <w:gridSpan w:val="2"/>
          </w:tcPr>
          <w:p>
            <w:pPr>
              <w:pStyle w:val="51"/>
              <w:shd w:val="clear" w:color="auto" w:fill="FFFFFF"/>
              <w:spacing w:line="360" w:lineRule="auto"/>
              <w:rPr>
                <w:bCs/>
                <w:color w:val="auto"/>
              </w:rPr>
            </w:pPr>
          </w:p>
        </w:tc>
        <w:tc>
          <w:tcPr>
            <w:tcW w:w="1276" w:type="dxa"/>
          </w:tcPr>
          <w:p>
            <w:pPr>
              <w:pStyle w:val="51"/>
              <w:shd w:val="clear" w:color="auto" w:fill="FFFFFF"/>
              <w:spacing w:line="360" w:lineRule="auto"/>
              <w:rPr>
                <w:bCs/>
                <w:color w:val="auto"/>
              </w:rPr>
            </w:pPr>
          </w:p>
        </w:tc>
        <w:tc>
          <w:tcPr>
            <w:tcW w:w="2551" w:type="dxa"/>
            <w:gridSpan w:val="3"/>
          </w:tcPr>
          <w:p>
            <w:pPr>
              <w:pStyle w:val="51"/>
              <w:shd w:val="clear" w:color="auto" w:fill="FFFFFF"/>
              <w:spacing w:line="360" w:lineRule="auto"/>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51"/>
              <w:shd w:val="clear" w:color="auto" w:fill="FFFFFF"/>
              <w:spacing w:line="360" w:lineRule="auto"/>
              <w:ind w:left="107"/>
              <w:rPr>
                <w:bCs/>
                <w:color w:val="auto"/>
                <w:spacing w:val="16"/>
              </w:rPr>
            </w:pPr>
          </w:p>
        </w:tc>
        <w:tc>
          <w:tcPr>
            <w:tcW w:w="1553" w:type="dxa"/>
            <w:gridSpan w:val="2"/>
          </w:tcPr>
          <w:p>
            <w:pPr>
              <w:pStyle w:val="51"/>
              <w:shd w:val="clear" w:color="auto" w:fill="FFFFFF"/>
              <w:spacing w:before="0" w:beforeAutospacing="0" w:after="0" w:afterAutospacing="0" w:line="360" w:lineRule="auto"/>
              <w:ind w:right="-107" w:rightChars="-51"/>
              <w:rPr>
                <w:bCs/>
                <w:color w:val="auto"/>
                <w:spacing w:val="41"/>
              </w:rPr>
            </w:pPr>
            <w:r>
              <w:rPr>
                <w:rFonts w:hint="eastAsia"/>
                <w:bCs/>
                <w:color w:val="auto"/>
                <w:spacing w:val="41"/>
              </w:rPr>
              <w:t>企业通过质量体系、环保</w:t>
            </w:r>
            <w:r>
              <w:rPr>
                <w:rFonts w:hint="eastAsia"/>
                <w:bCs/>
                <w:color w:val="auto"/>
                <w:spacing w:val="11"/>
              </w:rPr>
              <w:t>体系、计量等认证情况</w:t>
            </w:r>
          </w:p>
        </w:tc>
        <w:tc>
          <w:tcPr>
            <w:tcW w:w="6578" w:type="dxa"/>
            <w:gridSpan w:val="9"/>
          </w:tcPr>
          <w:p>
            <w:pPr>
              <w:pStyle w:val="51"/>
              <w:shd w:val="clear" w:color="auto" w:fill="FFFFFF"/>
              <w:spacing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51"/>
              <w:shd w:val="clear" w:color="auto" w:fill="FFFFFF"/>
              <w:spacing w:line="360" w:lineRule="auto"/>
              <w:ind w:left="107"/>
              <w:rPr>
                <w:bCs/>
                <w:color w:val="auto"/>
                <w:spacing w:val="27"/>
              </w:rPr>
            </w:pPr>
          </w:p>
        </w:tc>
        <w:tc>
          <w:tcPr>
            <w:tcW w:w="1553" w:type="dxa"/>
            <w:gridSpan w:val="2"/>
          </w:tcPr>
          <w:p>
            <w:pPr>
              <w:pStyle w:val="51"/>
              <w:shd w:val="clear" w:color="auto" w:fill="FFFFFF"/>
              <w:spacing w:line="360" w:lineRule="auto"/>
              <w:rPr>
                <w:bCs/>
                <w:color w:val="auto"/>
                <w:spacing w:val="16"/>
              </w:rPr>
            </w:pPr>
            <w:r>
              <w:rPr>
                <w:rFonts w:hint="eastAsia"/>
                <w:bCs/>
                <w:color w:val="auto"/>
                <w:spacing w:val="10"/>
              </w:rPr>
              <w:t>企业获得专利情况</w:t>
            </w:r>
          </w:p>
        </w:tc>
        <w:tc>
          <w:tcPr>
            <w:tcW w:w="6578" w:type="dxa"/>
            <w:gridSpan w:val="9"/>
          </w:tcPr>
          <w:p>
            <w:pPr>
              <w:pStyle w:val="51"/>
              <w:shd w:val="clear" w:color="auto" w:fill="FFFFFF"/>
              <w:spacing w:line="360" w:lineRule="auto"/>
              <w:rPr>
                <w:bCs/>
                <w:color w:val="auto"/>
                <w:spacing w:val="16"/>
              </w:rPr>
            </w:pPr>
          </w:p>
        </w:tc>
      </w:tr>
    </w:tbl>
    <w:p>
      <w:pPr>
        <w:pStyle w:val="51"/>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pPr>
        <w:pStyle w:val="51"/>
        <w:shd w:val="clear" w:color="auto" w:fill="FFFFFF"/>
        <w:spacing w:before="0" w:beforeAutospacing="0" w:after="0" w:afterAutospacing="0" w:line="360" w:lineRule="auto"/>
        <w:ind w:firstLine="424" w:firstLineChars="202"/>
        <w:rPr>
          <w:color w:val="auto"/>
          <w:sz w:val="21"/>
          <w:szCs w:val="21"/>
        </w:rPr>
      </w:pPr>
      <w:r>
        <w:rPr>
          <w:rFonts w:hint="eastAsia" w:ascii="仿宋_GB2312" w:eastAsia="仿宋_GB2312"/>
          <w:color w:val="auto"/>
          <w:sz w:val="21"/>
          <w:szCs w:val="21"/>
        </w:rPr>
        <w:t>1.</w:t>
      </w:r>
      <w:r>
        <w:rPr>
          <w:rFonts w:hint="eastAsia"/>
          <w:color w:val="auto"/>
          <w:sz w:val="21"/>
          <w:szCs w:val="21"/>
        </w:rPr>
        <w:t>姓名栏必须将所有股东都统计在内，若非股份公司此行（第三行）无需填写；</w:t>
      </w:r>
    </w:p>
    <w:p>
      <w:pPr>
        <w:spacing w:line="360" w:lineRule="auto"/>
        <w:rPr>
          <w:rFonts w:ascii="宋体" w:hAnsi="宋体"/>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pPr>
        <w:spacing w:line="360" w:lineRule="auto"/>
        <w:ind w:firstLine="424" w:firstLineChars="177"/>
        <w:rPr>
          <w:rFonts w:ascii="宋体" w:hAnsi="宋体"/>
          <w:color w:val="auto"/>
          <w:sz w:val="24"/>
        </w:rPr>
      </w:pPr>
      <w:r>
        <w:rPr>
          <w:rFonts w:hint="eastAsia" w:ascii="宋体" w:hAnsi="宋体"/>
          <w:color w:val="auto"/>
          <w:sz w:val="24"/>
        </w:rPr>
        <w:t>投标人代表签字或盖章：</w:t>
      </w:r>
    </w:p>
    <w:p>
      <w:pPr>
        <w:spacing w:line="360" w:lineRule="auto"/>
        <w:ind w:firstLine="424" w:firstLineChars="177"/>
        <w:rPr>
          <w:rFonts w:ascii="宋体" w:hAnsi="宋体"/>
          <w:color w:val="auto"/>
          <w:sz w:val="24"/>
          <w:u w:val="single"/>
        </w:rPr>
      </w:pPr>
      <w:r>
        <w:rPr>
          <w:rFonts w:hint="eastAsia" w:ascii="宋体" w:hAnsi="宋体"/>
          <w:color w:val="auto"/>
          <w:sz w:val="24"/>
        </w:rPr>
        <w:t>职        务：</w:t>
      </w:r>
    </w:p>
    <w:p>
      <w:pPr>
        <w:pStyle w:val="51"/>
        <w:shd w:val="clear" w:color="auto" w:fill="FFFFFF"/>
        <w:spacing w:before="0" w:beforeAutospacing="0" w:after="0" w:afterAutospacing="0" w:line="360" w:lineRule="auto"/>
        <w:ind w:firstLine="424" w:firstLineChars="177"/>
        <w:rPr>
          <w:b/>
          <w:bCs/>
          <w:color w:val="auto"/>
          <w:spacing w:val="11"/>
        </w:rPr>
      </w:pPr>
      <w:r>
        <w:rPr>
          <w:rFonts w:hint="eastAsia"/>
          <w:color w:val="auto"/>
        </w:rPr>
        <w:t>日        期：：</w:t>
      </w:r>
    </w:p>
    <w:p>
      <w:pPr>
        <w:spacing w:line="360" w:lineRule="auto"/>
        <w:rPr>
          <w:rFonts w:ascii="宋体" w:hAnsi="宋体"/>
          <w:b/>
          <w:color w:val="auto"/>
          <w:sz w:val="24"/>
        </w:rPr>
      </w:pPr>
    </w:p>
    <w:p>
      <w:pPr>
        <w:spacing w:line="360" w:lineRule="auto"/>
        <w:ind w:firstLine="435"/>
        <w:rPr>
          <w:rFonts w:ascii="宋体" w:hAnsi="宋体"/>
          <w:b/>
          <w:color w:val="auto"/>
          <w:sz w:val="28"/>
        </w:rPr>
        <w:sectPr>
          <w:pgSz w:w="11906" w:h="16838"/>
          <w:pgMar w:top="1440" w:right="1800" w:bottom="1440" w:left="1800" w:header="851" w:footer="992" w:gutter="0"/>
          <w:pgNumType w:fmt="numberInDash"/>
          <w:cols w:space="425" w:num="1"/>
          <w:docGrid w:type="lines" w:linePitch="312" w:charSpace="0"/>
        </w:sectPr>
      </w:pPr>
    </w:p>
    <w:p>
      <w:pPr>
        <w:spacing w:line="360" w:lineRule="auto"/>
        <w:ind w:firstLine="435"/>
        <w:rPr>
          <w:rFonts w:ascii="宋体" w:hAnsi="宋体"/>
          <w:color w:val="auto"/>
          <w:sz w:val="24"/>
        </w:rPr>
      </w:pPr>
      <w:r>
        <w:rPr>
          <w:rFonts w:hint="eastAsia" w:ascii="宋体" w:hAnsi="宋体"/>
          <w:b/>
          <w:color w:val="auto"/>
          <w:sz w:val="28"/>
        </w:rPr>
        <w:t>附件</w:t>
      </w:r>
      <w:r>
        <w:rPr>
          <w:rFonts w:ascii="宋体" w:hAnsi="宋体"/>
          <w:b/>
          <w:color w:val="auto"/>
          <w:sz w:val="28"/>
        </w:rPr>
        <w:t>4</w:t>
      </w:r>
    </w:p>
    <w:p>
      <w:pPr>
        <w:snapToGrid w:val="0"/>
        <w:spacing w:before="156" w:beforeLines="50" w:after="50" w:line="360" w:lineRule="auto"/>
        <w:jc w:val="center"/>
        <w:rPr>
          <w:rFonts w:ascii="宋体" w:hAnsi="宋体"/>
          <w:b/>
          <w:color w:val="auto"/>
          <w:sz w:val="32"/>
          <w:szCs w:val="32"/>
        </w:rPr>
      </w:pPr>
      <w:r>
        <w:rPr>
          <w:rFonts w:hint="eastAsia" w:ascii="宋体" w:hAnsi="宋体"/>
          <w:b/>
          <w:color w:val="auto"/>
          <w:sz w:val="32"/>
          <w:szCs w:val="32"/>
        </w:rPr>
        <w:t>项目实施人员一览表（标段）</w:t>
      </w:r>
    </w:p>
    <w:p>
      <w:pPr>
        <w:snapToGrid w:val="0"/>
        <w:spacing w:before="156" w:beforeLines="50" w:after="50" w:line="360" w:lineRule="auto"/>
        <w:ind w:firstLine="2400" w:firstLineChars="1000"/>
        <w:rPr>
          <w:rFonts w:ascii="宋体" w:hAnsi="宋体"/>
          <w:color w:val="auto"/>
          <w:sz w:val="24"/>
        </w:rPr>
      </w:pPr>
      <w:r>
        <w:rPr>
          <w:rFonts w:hint="eastAsia" w:ascii="宋体" w:hAnsi="宋体"/>
          <w:color w:val="auto"/>
          <w:sz w:val="24"/>
        </w:rPr>
        <w:t>（主要从业人员及其技术资格）</w:t>
      </w:r>
    </w:p>
    <w:tbl>
      <w:tblPr>
        <w:tblStyle w:val="35"/>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rPr>
            </w:pPr>
            <w:r>
              <w:rPr>
                <w:rFonts w:hint="eastAsia" w:ascii="宋体" w:hAnsi="宋体"/>
                <w:b/>
                <w:color w:val="auto"/>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rPr>
            </w:pPr>
            <w:r>
              <w:rPr>
                <w:rFonts w:hint="eastAsia" w:ascii="宋体" w:hAnsi="宋体"/>
                <w:b/>
                <w:bCs/>
                <w:color w:val="auto"/>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rPr>
            </w:pPr>
            <w:r>
              <w:rPr>
                <w:rFonts w:hint="eastAsia" w:ascii="宋体" w:hAnsi="宋体"/>
                <w:b/>
                <w:color w:val="auto"/>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23"/>
              <w:snapToGrid w:val="0"/>
              <w:spacing w:before="156" w:beforeLines="50" w:after="50" w:line="360" w:lineRule="auto"/>
              <w:ind w:left="5250"/>
              <w:rPr>
                <w:rFonts w:ascii="宋体" w:hAnsi="宋体" w:eastAsia="宋体"/>
                <w:b/>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23"/>
              <w:snapToGrid w:val="0"/>
              <w:spacing w:before="156" w:beforeLines="50" w:after="50" w:line="360" w:lineRule="auto"/>
              <w:ind w:left="5250"/>
              <w:rPr>
                <w:rFonts w:ascii="宋体" w:hAnsi="宋体" w:eastAsia="宋体"/>
                <w:b/>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23"/>
              <w:spacing w:line="360" w:lineRule="auto"/>
              <w:ind w:left="5250"/>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rPr>
            </w:pPr>
          </w:p>
        </w:tc>
      </w:tr>
    </w:tbl>
    <w:p>
      <w:pPr>
        <w:spacing w:line="360" w:lineRule="auto"/>
        <w:rPr>
          <w:rFonts w:ascii="宋体" w:hAnsi="宋体"/>
          <w:b/>
          <w:color w:val="auto"/>
          <w:szCs w:val="21"/>
        </w:rPr>
      </w:pPr>
      <w:r>
        <w:rPr>
          <w:rFonts w:hint="eastAsia" w:ascii="宋体" w:hAnsi="宋体"/>
          <w:b/>
          <w:color w:val="auto"/>
          <w:szCs w:val="21"/>
        </w:rPr>
        <w:t>要求：</w:t>
      </w:r>
    </w:p>
    <w:p>
      <w:pPr>
        <w:spacing w:line="360" w:lineRule="auto"/>
        <w:ind w:left="437"/>
        <w:rPr>
          <w:rFonts w:ascii="宋体" w:hAnsi="宋体"/>
          <w:color w:val="auto"/>
          <w:szCs w:val="21"/>
        </w:rPr>
      </w:pPr>
      <w:r>
        <w:rPr>
          <w:rFonts w:hint="eastAsia" w:ascii="宋体" w:hAnsi="宋体"/>
          <w:b/>
          <w:color w:val="auto"/>
          <w:szCs w:val="21"/>
        </w:rPr>
        <w:t>1.</w:t>
      </w:r>
      <w:r>
        <w:rPr>
          <w:rFonts w:hint="eastAsia" w:ascii="宋体" w:hAnsi="宋体"/>
          <w:color w:val="auto"/>
          <w:szCs w:val="21"/>
        </w:rPr>
        <w:t>在填写时，如本表格不适合投标单位的实际情况，可根据本表格式自行划表填写。</w:t>
      </w:r>
    </w:p>
    <w:p>
      <w:pPr>
        <w:pStyle w:val="52"/>
        <w:spacing w:line="360" w:lineRule="auto"/>
        <w:ind w:left="424" w:leftChars="202"/>
        <w:rPr>
          <w:rFonts w:ascii="宋体" w:hAnsi="宋体"/>
          <w:color w:val="auto"/>
          <w:szCs w:val="21"/>
        </w:rPr>
      </w:pPr>
      <w:r>
        <w:rPr>
          <w:rFonts w:hint="eastAsia" w:ascii="宋体" w:hAnsi="宋体"/>
          <w:color w:val="auto"/>
          <w:szCs w:val="21"/>
        </w:rPr>
        <w:t>2.附人员证书扫描件；</w:t>
      </w:r>
    </w:p>
    <w:p>
      <w:pPr>
        <w:pStyle w:val="52"/>
        <w:spacing w:line="360" w:lineRule="auto"/>
        <w:ind w:left="424" w:hanging="424" w:hangingChars="202"/>
        <w:rPr>
          <w:rFonts w:ascii="宋体" w:hAnsi="宋体"/>
          <w:color w:val="auto"/>
          <w:szCs w:val="21"/>
        </w:rPr>
      </w:pPr>
      <w:r>
        <w:rPr>
          <w:rFonts w:hint="eastAsia" w:ascii="宋体" w:hAnsi="宋体"/>
          <w:color w:val="auto"/>
          <w:szCs w:val="21"/>
        </w:rPr>
        <w:t>　　3.出具上述人员在本单位服务的外部证明，如：</w:t>
      </w:r>
      <w:r>
        <w:rPr>
          <w:rFonts w:ascii="宋体" w:hAnsi="宋体"/>
          <w:color w:val="auto"/>
          <w:szCs w:val="21"/>
        </w:rPr>
        <w:t>投标截止日之前</w:t>
      </w:r>
      <w:r>
        <w:rPr>
          <w:rFonts w:hint="eastAsia" w:ascii="宋体" w:hAnsi="宋体"/>
          <w:color w:val="auto"/>
          <w:szCs w:val="21"/>
        </w:rPr>
        <w:t>近六</w:t>
      </w:r>
      <w:r>
        <w:rPr>
          <w:rFonts w:ascii="宋体" w:hAnsi="宋体"/>
          <w:color w:val="auto"/>
          <w:szCs w:val="21"/>
        </w:rPr>
        <w:t>个月的</w:t>
      </w:r>
      <w:r>
        <w:rPr>
          <w:rFonts w:hint="eastAsia" w:ascii="宋体" w:hAnsi="宋体"/>
          <w:color w:val="auto"/>
          <w:szCs w:val="21"/>
        </w:rPr>
        <w:t>代缴个税税单、参加社会保险的《投保单》或《社会保险参保人员证明》等。</w:t>
      </w:r>
    </w:p>
    <w:p>
      <w:pPr>
        <w:snapToGrid w:val="0"/>
        <w:spacing w:before="50" w:after="156" w:afterLines="50" w:line="360" w:lineRule="auto"/>
        <w:jc w:val="left"/>
        <w:rPr>
          <w:rFonts w:ascii="宋体" w:hAnsi="宋体"/>
          <w:color w:val="auto"/>
          <w:sz w:val="24"/>
          <w:szCs w:val="20"/>
        </w:rPr>
      </w:pPr>
    </w:p>
    <w:p>
      <w:pPr>
        <w:snapToGrid w:val="0"/>
        <w:spacing w:before="50" w:after="156" w:afterLines="50" w:line="360" w:lineRule="auto"/>
        <w:jc w:val="left"/>
        <w:rPr>
          <w:rFonts w:ascii="宋体" w:hAnsi="宋体"/>
          <w:color w:val="auto"/>
          <w:sz w:val="24"/>
          <w:szCs w:val="20"/>
        </w:rPr>
      </w:pPr>
    </w:p>
    <w:p>
      <w:pPr>
        <w:spacing w:line="360" w:lineRule="auto"/>
        <w:ind w:left="420"/>
        <w:rPr>
          <w:rFonts w:ascii="宋体" w:hAnsi="宋体"/>
          <w:color w:val="auto"/>
          <w:sz w:val="24"/>
          <w:u w:val="single"/>
        </w:rPr>
      </w:pPr>
      <w:r>
        <w:rPr>
          <w:rFonts w:hint="eastAsia" w:ascii="宋体" w:hAnsi="宋体"/>
          <w:color w:val="auto"/>
          <w:sz w:val="24"/>
        </w:rPr>
        <w:t>投标人名称（公章）：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spacing w:line="360" w:lineRule="auto"/>
        <w:ind w:firstLine="435"/>
        <w:rPr>
          <w:rFonts w:ascii="宋体" w:hAnsi="宋体"/>
          <w:color w:val="auto"/>
        </w:rPr>
      </w:pPr>
      <w:r>
        <w:rPr>
          <w:rFonts w:hint="eastAsia" w:ascii="宋体" w:hAnsi="宋体"/>
          <w:b/>
          <w:color w:val="auto"/>
          <w:sz w:val="28"/>
        </w:rPr>
        <w:t>附件</w:t>
      </w:r>
      <w:r>
        <w:rPr>
          <w:rFonts w:ascii="宋体" w:hAnsi="宋体"/>
          <w:b/>
          <w:color w:val="auto"/>
          <w:sz w:val="28"/>
        </w:rPr>
        <w:t>5</w:t>
      </w:r>
    </w:p>
    <w:p>
      <w:pPr>
        <w:spacing w:before="156" w:beforeLines="50" w:after="156" w:afterLines="50" w:line="360" w:lineRule="auto"/>
        <w:ind w:right="-10"/>
        <w:jc w:val="center"/>
        <w:rPr>
          <w:rFonts w:ascii="宋体" w:hAnsi="宋体"/>
          <w:b/>
          <w:bCs/>
          <w:color w:val="auto"/>
          <w:sz w:val="32"/>
          <w:szCs w:val="32"/>
        </w:rPr>
      </w:pPr>
      <w:r>
        <w:rPr>
          <w:rFonts w:hint="eastAsia" w:ascii="宋体" w:hAnsi="宋体"/>
          <w:b/>
          <w:bCs/>
          <w:color w:val="auto"/>
          <w:sz w:val="32"/>
          <w:szCs w:val="32"/>
        </w:rPr>
        <w:t>项目负责人资格情况表</w:t>
      </w:r>
    </w:p>
    <w:p>
      <w:pPr>
        <w:spacing w:line="360" w:lineRule="auto"/>
        <w:rPr>
          <w:rFonts w:ascii="宋体" w:hAnsi="宋体"/>
          <w:color w:val="auto"/>
        </w:rPr>
      </w:pPr>
      <w:r>
        <w:rPr>
          <w:rFonts w:hint="eastAsia" w:ascii="宋体" w:hAnsi="宋体"/>
          <w:color w:val="auto"/>
        </w:rPr>
        <w:t>采购项目：                                            标段</w:t>
      </w:r>
      <w:r>
        <w:rPr>
          <w:rFonts w:ascii="宋体" w:hAnsi="宋体"/>
          <w:color w:val="auto"/>
        </w:rPr>
        <w:t>号</w:t>
      </w:r>
      <w:r>
        <w:rPr>
          <w:rFonts w:hint="eastAsia" w:ascii="宋体" w:hAnsi="宋体"/>
          <w:color w:val="auto"/>
        </w:rPr>
        <w:t>：</w:t>
      </w:r>
    </w:p>
    <w:tbl>
      <w:tblPr>
        <w:tblStyle w:val="35"/>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rPr>
            </w:pPr>
            <w:r>
              <w:rPr>
                <w:rFonts w:hint="eastAsia" w:ascii="宋体" w:hAnsi="宋体"/>
                <w:color w:val="auto"/>
              </w:rPr>
              <w:t>注：业绩证明应提供旁证材料</w:t>
            </w:r>
          </w:p>
          <w:p>
            <w:pPr>
              <w:autoSpaceDE w:val="0"/>
              <w:autoSpaceDN w:val="0"/>
              <w:adjustRightInd w:val="0"/>
              <w:snapToGrid w:val="0"/>
              <w:spacing w:line="360" w:lineRule="auto"/>
              <w:jc w:val="center"/>
              <w:rPr>
                <w:rFonts w:ascii="宋体" w:hAnsi="宋体"/>
                <w:color w:val="auto"/>
                <w:lang w:val="zh-CN"/>
              </w:rPr>
            </w:pPr>
            <w:r>
              <w:rPr>
                <w:rFonts w:hint="eastAsia" w:ascii="宋体" w:hAnsi="宋体"/>
                <w:color w:val="auto"/>
              </w:rPr>
              <w:t>（用人单位工作证明或劳务合同）。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lang w:val="zh-CN"/>
              </w:rPr>
            </w:pPr>
            <w:r>
              <w:rPr>
                <w:rFonts w:hint="eastAsia" w:ascii="宋体" w:hAnsi="宋体"/>
                <w:b/>
                <w:bCs/>
                <w:color w:val="auto"/>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lang w:val="zh-CN"/>
              </w:rPr>
            </w:pPr>
          </w:p>
        </w:tc>
      </w:tr>
    </w:tbl>
    <w:p>
      <w:pPr>
        <w:spacing w:line="360" w:lineRule="auto"/>
        <w:ind w:left="420"/>
        <w:rPr>
          <w:rFonts w:ascii="宋体" w:hAnsi="宋体"/>
          <w:color w:val="auto"/>
          <w:sz w:val="24"/>
        </w:rPr>
      </w:pPr>
    </w:p>
    <w:p>
      <w:pPr>
        <w:spacing w:line="360" w:lineRule="auto"/>
        <w:ind w:firstLine="480" w:firstLineChars="200"/>
        <w:rPr>
          <w:rFonts w:ascii="宋体" w:hAnsi="宋体"/>
          <w:color w:val="auto"/>
          <w:sz w:val="24"/>
          <w:u w:val="single"/>
        </w:rPr>
      </w:pPr>
      <w:r>
        <w:rPr>
          <w:rFonts w:hint="eastAsia" w:ascii="宋体" w:hAnsi="宋体"/>
          <w:color w:val="auto"/>
          <w:sz w:val="24"/>
        </w:rPr>
        <w:t>投标人名称（公章）：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ascii="宋体" w:hAnsi="宋体"/>
          <w:b/>
          <w:color w:val="auto"/>
          <w:sz w:val="28"/>
        </w:rPr>
      </w:pPr>
      <w:r>
        <w:rPr>
          <w:rFonts w:hint="eastAsia" w:ascii="宋体" w:hAnsi="宋体"/>
          <w:color w:val="auto"/>
          <w:sz w:val="24"/>
        </w:rPr>
        <w:t>日        期：</w:t>
      </w:r>
    </w:p>
    <w:p>
      <w:pPr>
        <w:snapToGrid w:val="0"/>
        <w:spacing w:before="50" w:after="50" w:line="360" w:lineRule="auto"/>
        <w:rPr>
          <w:rFonts w:ascii="宋体" w:hAnsi="宋体"/>
          <w:b/>
          <w:color w:val="auto"/>
          <w:sz w:val="28"/>
        </w:rPr>
        <w:sectPr>
          <w:pgSz w:w="11906" w:h="16838"/>
          <w:pgMar w:top="1440" w:right="1800" w:bottom="1440" w:left="1800" w:header="851" w:footer="992" w:gutter="0"/>
          <w:pgNumType w:fmt="numberInDash"/>
          <w:cols w:space="425" w:num="1"/>
          <w:docGrid w:type="lines" w:linePitch="312" w:charSpace="0"/>
        </w:sectPr>
      </w:pPr>
    </w:p>
    <w:p>
      <w:pPr>
        <w:snapToGrid w:val="0"/>
        <w:spacing w:before="50" w:after="50" w:line="360" w:lineRule="auto"/>
        <w:rPr>
          <w:rFonts w:ascii="宋体" w:hAnsi="宋体"/>
          <w:b/>
          <w:color w:val="auto"/>
          <w:sz w:val="28"/>
        </w:rPr>
      </w:pPr>
      <w:r>
        <w:rPr>
          <w:rFonts w:hint="eastAsia" w:ascii="宋体" w:hAnsi="宋体"/>
          <w:b/>
          <w:color w:val="auto"/>
          <w:sz w:val="28"/>
        </w:rPr>
        <w:t>附件6</w:t>
      </w:r>
    </w:p>
    <w:p>
      <w:pPr>
        <w:pStyle w:val="22"/>
        <w:adjustRightInd w:val="0"/>
        <w:snapToGrid w:val="0"/>
        <w:spacing w:line="360" w:lineRule="auto"/>
        <w:jc w:val="center"/>
        <w:rPr>
          <w:rFonts w:hAnsi="宋体"/>
          <w:b/>
          <w:color w:val="auto"/>
          <w:sz w:val="32"/>
          <w:szCs w:val="32"/>
        </w:rPr>
      </w:pPr>
      <w:r>
        <w:rPr>
          <w:rFonts w:hint="eastAsia" w:hAnsi="宋体"/>
          <w:b/>
          <w:color w:val="auto"/>
          <w:sz w:val="32"/>
          <w:szCs w:val="32"/>
        </w:rPr>
        <w:t>商务及技术响应表</w:t>
      </w:r>
    </w:p>
    <w:p>
      <w:pPr>
        <w:pStyle w:val="22"/>
        <w:adjustRightInd w:val="0"/>
        <w:snapToGrid w:val="0"/>
        <w:spacing w:line="360" w:lineRule="auto"/>
        <w:jc w:val="left"/>
        <w:rPr>
          <w:rFonts w:hAnsi="宋体" w:cs="Tahoma"/>
          <w:b/>
          <w:color w:val="auto"/>
          <w:sz w:val="24"/>
        </w:rPr>
      </w:pPr>
      <w:r>
        <w:rPr>
          <w:rFonts w:hint="eastAsia" w:hAnsi="宋体"/>
          <w:b/>
          <w:bCs/>
          <w:color w:val="auto"/>
          <w:sz w:val="24"/>
        </w:rPr>
        <w:t>项目名称及编号：</w:t>
      </w:r>
    </w:p>
    <w:tbl>
      <w:tblPr>
        <w:tblStyle w:val="35"/>
        <w:tblW w:w="8739" w:type="dxa"/>
        <w:tblInd w:w="0" w:type="dxa"/>
        <w:tblLayout w:type="fixed"/>
        <w:tblCellMar>
          <w:top w:w="0" w:type="dxa"/>
          <w:left w:w="108" w:type="dxa"/>
          <w:bottom w:w="0" w:type="dxa"/>
          <w:right w:w="108" w:type="dxa"/>
        </w:tblCellMar>
      </w:tblPr>
      <w:tblGrid>
        <w:gridCol w:w="1195"/>
        <w:gridCol w:w="2171"/>
        <w:gridCol w:w="2001"/>
        <w:gridCol w:w="1971"/>
        <w:gridCol w:w="1401"/>
      </w:tblGrid>
      <w:tr>
        <w:tblPrEx>
          <w:tblCellMar>
            <w:top w:w="0" w:type="dxa"/>
            <w:left w:w="108" w:type="dxa"/>
            <w:bottom w:w="0" w:type="dxa"/>
            <w:right w:w="108" w:type="dxa"/>
          </w:tblCellMar>
        </w:tblPrEx>
        <w:trPr>
          <w:trHeight w:val="809" w:hRule="atLeast"/>
        </w:trPr>
        <w:tc>
          <w:tcPr>
            <w:tcW w:w="1195"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楷体_GB2312"/>
                <w:bCs/>
                <w:color w:val="auto"/>
                <w:spacing w:val="10"/>
                <w:kern w:val="0"/>
                <w:sz w:val="24"/>
                <w:szCs w:val="22"/>
              </w:rPr>
            </w:pPr>
            <w:r>
              <w:rPr>
                <w:rFonts w:hint="eastAsia" w:hAnsi="宋体" w:cs="楷体_GB2312"/>
                <w:bCs/>
                <w:color w:val="auto"/>
                <w:spacing w:val="10"/>
                <w:kern w:val="0"/>
                <w:sz w:val="24"/>
                <w:szCs w:val="22"/>
              </w:rPr>
              <w:t>类别</w:t>
            </w:r>
          </w:p>
        </w:tc>
        <w:tc>
          <w:tcPr>
            <w:tcW w:w="21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楷体_GB2312"/>
                <w:bCs/>
                <w:color w:val="auto"/>
                <w:spacing w:val="10"/>
                <w:kern w:val="0"/>
                <w:sz w:val="24"/>
                <w:szCs w:val="22"/>
              </w:rPr>
            </w:pPr>
            <w:r>
              <w:rPr>
                <w:rFonts w:hint="eastAsia" w:hAnsi="宋体" w:cs="楷体_GB2312"/>
                <w:bCs/>
                <w:color w:val="auto"/>
                <w:spacing w:val="10"/>
                <w:kern w:val="0"/>
                <w:sz w:val="24"/>
                <w:szCs w:val="22"/>
              </w:rPr>
              <w:t>内容</w:t>
            </w:r>
          </w:p>
        </w:tc>
        <w:tc>
          <w:tcPr>
            <w:tcW w:w="20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楷体_GB2312"/>
                <w:bCs/>
                <w:color w:val="auto"/>
                <w:spacing w:val="10"/>
                <w:kern w:val="0"/>
                <w:sz w:val="24"/>
                <w:szCs w:val="22"/>
              </w:rPr>
            </w:pPr>
            <w:r>
              <w:rPr>
                <w:rFonts w:hint="eastAsia" w:hAnsi="宋体" w:cs="楷体_GB2312"/>
                <w:bCs/>
                <w:color w:val="auto"/>
                <w:spacing w:val="10"/>
                <w:kern w:val="0"/>
                <w:sz w:val="24"/>
                <w:szCs w:val="22"/>
              </w:rPr>
              <w:t>招标文件技术（或</w:t>
            </w:r>
            <w:r>
              <w:rPr>
                <w:rFonts w:hAnsi="宋体" w:cs="楷体_GB2312"/>
                <w:bCs/>
                <w:color w:val="auto"/>
                <w:spacing w:val="10"/>
                <w:kern w:val="0"/>
                <w:sz w:val="24"/>
                <w:szCs w:val="22"/>
              </w:rPr>
              <w:t>商务</w:t>
            </w:r>
            <w:r>
              <w:rPr>
                <w:rFonts w:hint="eastAsia" w:hAnsi="宋体" w:cs="楷体_GB2312"/>
                <w:bCs/>
                <w:color w:val="auto"/>
                <w:spacing w:val="10"/>
                <w:kern w:val="0"/>
                <w:sz w:val="24"/>
                <w:szCs w:val="22"/>
              </w:rPr>
              <w:t>）要求</w:t>
            </w: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楷体_GB2312"/>
                <w:bCs/>
                <w:color w:val="auto"/>
                <w:spacing w:val="10"/>
                <w:kern w:val="0"/>
                <w:sz w:val="24"/>
                <w:szCs w:val="22"/>
              </w:rPr>
            </w:pPr>
            <w:r>
              <w:rPr>
                <w:rFonts w:hint="eastAsia" w:hAnsi="宋体" w:cs="楷体_GB2312"/>
                <w:bCs/>
                <w:color w:val="auto"/>
                <w:spacing w:val="10"/>
                <w:kern w:val="0"/>
                <w:sz w:val="24"/>
                <w:szCs w:val="22"/>
              </w:rPr>
              <w:t>投标文件技术（或</w:t>
            </w:r>
            <w:r>
              <w:rPr>
                <w:rFonts w:hAnsi="宋体" w:cs="楷体_GB2312"/>
                <w:bCs/>
                <w:color w:val="auto"/>
                <w:spacing w:val="10"/>
                <w:kern w:val="0"/>
                <w:sz w:val="24"/>
                <w:szCs w:val="22"/>
              </w:rPr>
              <w:t>商务</w:t>
            </w:r>
            <w:r>
              <w:rPr>
                <w:rFonts w:hint="eastAsia" w:hAnsi="宋体" w:cs="楷体_GB2312"/>
                <w:bCs/>
                <w:color w:val="auto"/>
                <w:spacing w:val="10"/>
                <w:kern w:val="0"/>
                <w:sz w:val="24"/>
                <w:szCs w:val="22"/>
              </w:rPr>
              <w:t>）响应</w:t>
            </w: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s="楷体_GB2312"/>
                <w:bCs/>
                <w:color w:val="auto"/>
                <w:spacing w:val="10"/>
                <w:kern w:val="0"/>
                <w:sz w:val="24"/>
                <w:szCs w:val="22"/>
              </w:rPr>
            </w:pPr>
            <w:r>
              <w:rPr>
                <w:rFonts w:hint="eastAsia" w:hAnsi="宋体" w:cs="楷体_GB2312"/>
                <w:bCs/>
                <w:color w:val="auto"/>
                <w:spacing w:val="10"/>
                <w:kern w:val="0"/>
                <w:sz w:val="24"/>
                <w:szCs w:val="22"/>
              </w:rPr>
              <w:t>偏离情况</w:t>
            </w:r>
          </w:p>
        </w:tc>
      </w:tr>
      <w:tr>
        <w:tblPrEx>
          <w:tblCellMar>
            <w:top w:w="0" w:type="dxa"/>
            <w:left w:w="108" w:type="dxa"/>
            <w:bottom w:w="0" w:type="dxa"/>
            <w:right w:w="108" w:type="dxa"/>
          </w:tblCellMar>
        </w:tblPrEx>
        <w:trPr>
          <w:trHeight w:val="206" w:hRule="atLeast"/>
        </w:trPr>
        <w:tc>
          <w:tcPr>
            <w:tcW w:w="119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楷体_GB2312"/>
                <w:color w:val="auto"/>
                <w:kern w:val="0"/>
                <w:sz w:val="22"/>
                <w:szCs w:val="22"/>
              </w:rPr>
            </w:pPr>
            <w:r>
              <w:rPr>
                <w:rFonts w:hint="eastAsia" w:ascii="宋体" w:hAnsi="宋体" w:cs="楷体_GB2312"/>
                <w:color w:val="auto"/>
                <w:kern w:val="0"/>
                <w:sz w:val="22"/>
                <w:szCs w:val="22"/>
              </w:rPr>
              <w:t>响应情况</w:t>
            </w: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楷体_GB2312"/>
                <w:bCs/>
                <w:color w:val="auto"/>
                <w:spacing w:val="10"/>
                <w:kern w:val="0"/>
                <w:sz w:val="24"/>
                <w:szCs w:val="22"/>
              </w:rPr>
            </w:pPr>
            <w:r>
              <w:rPr>
                <w:rFonts w:hint="eastAsia" w:ascii="宋体" w:hAnsi="宋体" w:cs="楷体_GB2312"/>
                <w:bCs/>
                <w:color w:val="auto"/>
                <w:spacing w:val="10"/>
                <w:kern w:val="0"/>
                <w:sz w:val="24"/>
                <w:szCs w:val="22"/>
              </w:rPr>
              <w:t>质保期</w:t>
            </w:r>
          </w:p>
        </w:tc>
        <w:tc>
          <w:tcPr>
            <w:tcW w:w="2001"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360" w:lineRule="auto"/>
              <w:jc w:val="center"/>
              <w:rPr>
                <w:rFonts w:hAnsi="宋体"/>
                <w:color w:val="auto"/>
                <w:spacing w:val="20"/>
                <w:sz w:val="24"/>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olor w:val="auto"/>
                <w:spacing w:val="20"/>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olor w:val="auto"/>
                <w:spacing w:val="20"/>
                <w:sz w:val="24"/>
              </w:rPr>
            </w:pPr>
          </w:p>
        </w:tc>
      </w:tr>
      <w:tr>
        <w:tblPrEx>
          <w:tblCellMar>
            <w:top w:w="0" w:type="dxa"/>
            <w:left w:w="108" w:type="dxa"/>
            <w:bottom w:w="0" w:type="dxa"/>
            <w:right w:w="108" w:type="dxa"/>
          </w:tblCellMar>
        </w:tblPrEx>
        <w:trPr>
          <w:trHeight w:val="624" w:hRule="atLeast"/>
        </w:trPr>
        <w:tc>
          <w:tcPr>
            <w:tcW w:w="1195" w:type="dxa"/>
            <w:vMerge w:val="continue"/>
            <w:tcBorders>
              <w:left w:val="single" w:color="auto" w:sz="4" w:space="0"/>
              <w:right w:val="single" w:color="auto" w:sz="4" w:space="0"/>
            </w:tcBorders>
            <w:vAlign w:val="center"/>
          </w:tcPr>
          <w:p>
            <w:pPr>
              <w:widowControl/>
              <w:jc w:val="center"/>
              <w:rPr>
                <w:rFonts w:ascii="宋体" w:hAnsi="宋体" w:cs="楷体_GB2312"/>
                <w:color w:val="auto"/>
                <w:kern w:val="0"/>
                <w:sz w:val="22"/>
                <w:szCs w:val="22"/>
              </w:rPr>
            </w:pP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楷体_GB2312"/>
                <w:bCs/>
                <w:color w:val="auto"/>
                <w:spacing w:val="10"/>
                <w:kern w:val="0"/>
                <w:sz w:val="24"/>
                <w:szCs w:val="22"/>
              </w:rPr>
            </w:pPr>
            <w:r>
              <w:rPr>
                <w:rFonts w:hint="eastAsia" w:ascii="宋体" w:hAnsi="宋体" w:cs="宋体"/>
                <w:b/>
                <w:bCs/>
                <w:color w:val="auto"/>
                <w:sz w:val="24"/>
              </w:rPr>
              <w:t>交货期（交付期）</w:t>
            </w:r>
          </w:p>
        </w:tc>
        <w:tc>
          <w:tcPr>
            <w:tcW w:w="2001"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360" w:lineRule="auto"/>
              <w:jc w:val="center"/>
              <w:rPr>
                <w:rFonts w:hAnsi="宋体"/>
                <w:color w:val="auto"/>
                <w:spacing w:val="20"/>
                <w:sz w:val="24"/>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olor w:val="auto"/>
                <w:spacing w:val="20"/>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olor w:val="auto"/>
                <w:spacing w:val="20"/>
                <w:sz w:val="24"/>
              </w:rPr>
            </w:pPr>
          </w:p>
        </w:tc>
      </w:tr>
      <w:tr>
        <w:tblPrEx>
          <w:tblCellMar>
            <w:top w:w="0" w:type="dxa"/>
            <w:left w:w="108" w:type="dxa"/>
            <w:bottom w:w="0" w:type="dxa"/>
            <w:right w:w="108" w:type="dxa"/>
          </w:tblCellMar>
        </w:tblPrEx>
        <w:trPr>
          <w:trHeight w:val="238" w:hRule="atLeast"/>
        </w:trPr>
        <w:tc>
          <w:tcPr>
            <w:tcW w:w="1195" w:type="dxa"/>
            <w:vMerge w:val="continue"/>
            <w:tcBorders>
              <w:left w:val="single" w:color="auto" w:sz="4" w:space="0"/>
              <w:right w:val="single" w:color="auto" w:sz="4" w:space="0"/>
            </w:tcBorders>
            <w:vAlign w:val="center"/>
          </w:tcPr>
          <w:p>
            <w:pPr>
              <w:widowControl/>
              <w:jc w:val="center"/>
              <w:rPr>
                <w:rFonts w:ascii="宋体" w:hAnsi="宋体" w:cs="楷体_GB2312"/>
                <w:color w:val="auto"/>
                <w:kern w:val="0"/>
                <w:sz w:val="22"/>
                <w:szCs w:val="22"/>
              </w:rPr>
            </w:pP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楷体_GB2312"/>
                <w:bCs/>
                <w:color w:val="auto"/>
                <w:spacing w:val="10"/>
                <w:kern w:val="0"/>
                <w:sz w:val="24"/>
                <w:szCs w:val="22"/>
              </w:rPr>
            </w:pPr>
            <w:r>
              <w:rPr>
                <w:rFonts w:hint="eastAsia" w:ascii="宋体" w:hAnsi="宋体" w:cs="楷体_GB2312"/>
                <w:bCs/>
                <w:color w:val="auto"/>
                <w:spacing w:val="10"/>
                <w:kern w:val="0"/>
                <w:sz w:val="24"/>
                <w:szCs w:val="22"/>
              </w:rPr>
              <w:t>履约保证金</w:t>
            </w:r>
          </w:p>
        </w:tc>
        <w:tc>
          <w:tcPr>
            <w:tcW w:w="2001"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360" w:lineRule="auto"/>
              <w:jc w:val="center"/>
              <w:rPr>
                <w:rFonts w:hAnsi="宋体"/>
                <w:color w:val="auto"/>
                <w:spacing w:val="20"/>
                <w:sz w:val="24"/>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olor w:val="auto"/>
                <w:spacing w:val="20"/>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olor w:val="auto"/>
                <w:spacing w:val="20"/>
                <w:sz w:val="24"/>
              </w:rPr>
            </w:pPr>
          </w:p>
        </w:tc>
      </w:tr>
      <w:tr>
        <w:tblPrEx>
          <w:tblCellMar>
            <w:top w:w="0" w:type="dxa"/>
            <w:left w:w="108" w:type="dxa"/>
            <w:bottom w:w="0" w:type="dxa"/>
            <w:right w:w="108" w:type="dxa"/>
          </w:tblCellMar>
        </w:tblPrEx>
        <w:trPr>
          <w:trHeight w:val="173" w:hRule="atLeast"/>
        </w:trPr>
        <w:tc>
          <w:tcPr>
            <w:tcW w:w="1195" w:type="dxa"/>
            <w:vMerge w:val="continue"/>
            <w:tcBorders>
              <w:left w:val="single" w:color="auto" w:sz="4" w:space="0"/>
              <w:right w:val="single" w:color="auto" w:sz="4" w:space="0"/>
            </w:tcBorders>
            <w:vAlign w:val="center"/>
          </w:tcPr>
          <w:p>
            <w:pPr>
              <w:widowControl/>
              <w:jc w:val="center"/>
              <w:rPr>
                <w:rFonts w:ascii="宋体" w:hAnsi="宋体" w:cs="楷体_GB2312"/>
                <w:color w:val="auto"/>
                <w:kern w:val="0"/>
                <w:sz w:val="22"/>
                <w:szCs w:val="22"/>
              </w:rPr>
            </w:pPr>
          </w:p>
        </w:tc>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_GB2312"/>
                <w:bCs/>
                <w:color w:val="auto"/>
                <w:spacing w:val="10"/>
                <w:kern w:val="0"/>
                <w:sz w:val="24"/>
                <w:szCs w:val="22"/>
              </w:rPr>
            </w:pPr>
            <w:r>
              <w:rPr>
                <w:rFonts w:hint="eastAsia" w:ascii="宋体" w:hAnsi="宋体"/>
                <w:color w:val="auto"/>
                <w:sz w:val="24"/>
              </w:rPr>
              <w:t>付款条件</w:t>
            </w:r>
          </w:p>
        </w:tc>
        <w:tc>
          <w:tcPr>
            <w:tcW w:w="2001"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360" w:lineRule="auto"/>
              <w:jc w:val="center"/>
              <w:rPr>
                <w:rFonts w:hAnsi="宋体"/>
                <w:color w:val="auto"/>
                <w:spacing w:val="20"/>
                <w:sz w:val="24"/>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olor w:val="auto"/>
                <w:spacing w:val="20"/>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olor w:val="auto"/>
                <w:spacing w:val="20"/>
                <w:sz w:val="24"/>
              </w:rPr>
            </w:pPr>
          </w:p>
        </w:tc>
      </w:tr>
      <w:tr>
        <w:tblPrEx>
          <w:tblCellMar>
            <w:top w:w="0" w:type="dxa"/>
            <w:left w:w="108" w:type="dxa"/>
            <w:bottom w:w="0" w:type="dxa"/>
            <w:right w:w="108" w:type="dxa"/>
          </w:tblCellMar>
        </w:tblPrEx>
        <w:trPr>
          <w:trHeight w:val="227" w:hRule="atLeast"/>
        </w:trPr>
        <w:tc>
          <w:tcPr>
            <w:tcW w:w="1195" w:type="dxa"/>
            <w:vMerge w:val="continue"/>
            <w:tcBorders>
              <w:left w:val="single" w:color="auto" w:sz="4" w:space="0"/>
              <w:right w:val="single" w:color="auto" w:sz="4" w:space="0"/>
            </w:tcBorders>
            <w:vAlign w:val="center"/>
          </w:tcPr>
          <w:p>
            <w:pPr>
              <w:widowControl/>
              <w:jc w:val="center"/>
              <w:rPr>
                <w:rFonts w:ascii="宋体" w:hAnsi="宋体" w:cs="楷体_GB2312"/>
                <w:color w:val="auto"/>
                <w:kern w:val="0"/>
                <w:sz w:val="22"/>
                <w:szCs w:val="22"/>
              </w:rPr>
            </w:pPr>
          </w:p>
        </w:tc>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其他说明</w:t>
            </w:r>
          </w:p>
        </w:tc>
        <w:tc>
          <w:tcPr>
            <w:tcW w:w="2001"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360" w:lineRule="auto"/>
              <w:jc w:val="center"/>
              <w:rPr>
                <w:rFonts w:hAnsi="宋体"/>
                <w:color w:val="auto"/>
                <w:spacing w:val="20"/>
                <w:sz w:val="24"/>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olor w:val="auto"/>
                <w:spacing w:val="20"/>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olor w:val="auto"/>
                <w:spacing w:val="20"/>
                <w:sz w:val="24"/>
              </w:rPr>
            </w:pPr>
          </w:p>
        </w:tc>
      </w:tr>
      <w:tr>
        <w:tblPrEx>
          <w:tblCellMar>
            <w:top w:w="0" w:type="dxa"/>
            <w:left w:w="108" w:type="dxa"/>
            <w:bottom w:w="0" w:type="dxa"/>
            <w:right w:w="108" w:type="dxa"/>
          </w:tblCellMar>
        </w:tblPrEx>
        <w:trPr>
          <w:trHeight w:val="90" w:hRule="atLeast"/>
        </w:trPr>
        <w:tc>
          <w:tcPr>
            <w:tcW w:w="1195" w:type="dxa"/>
            <w:vMerge w:val="continue"/>
            <w:tcBorders>
              <w:left w:val="single" w:color="auto" w:sz="4" w:space="0"/>
              <w:right w:val="single" w:color="auto" w:sz="4" w:space="0"/>
            </w:tcBorders>
            <w:vAlign w:val="center"/>
          </w:tcPr>
          <w:p>
            <w:pPr>
              <w:widowControl/>
              <w:jc w:val="center"/>
              <w:rPr>
                <w:rFonts w:ascii="宋体" w:hAnsi="宋体"/>
                <w:color w:val="auto"/>
                <w:kern w:val="0"/>
                <w:sz w:val="22"/>
                <w:szCs w:val="22"/>
              </w:rPr>
            </w:pPr>
          </w:p>
        </w:tc>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s="楷体_GB2312"/>
                <w:bCs/>
                <w:color w:val="auto"/>
                <w:spacing w:val="10"/>
                <w:kern w:val="0"/>
                <w:sz w:val="24"/>
                <w:szCs w:val="22"/>
              </w:rPr>
              <w:t>……</w:t>
            </w:r>
          </w:p>
        </w:tc>
        <w:tc>
          <w:tcPr>
            <w:tcW w:w="2001"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360" w:lineRule="auto"/>
              <w:jc w:val="center"/>
              <w:rPr>
                <w:rFonts w:hAnsi="宋体"/>
                <w:color w:val="auto"/>
                <w:spacing w:val="20"/>
                <w:sz w:val="24"/>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olor w:val="auto"/>
                <w:spacing w:val="20"/>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olor w:val="auto"/>
                <w:spacing w:val="20"/>
                <w:sz w:val="24"/>
              </w:rPr>
            </w:pPr>
          </w:p>
        </w:tc>
      </w:tr>
      <w:tr>
        <w:tblPrEx>
          <w:tblCellMar>
            <w:top w:w="0" w:type="dxa"/>
            <w:left w:w="108" w:type="dxa"/>
            <w:bottom w:w="0" w:type="dxa"/>
            <w:right w:w="108" w:type="dxa"/>
          </w:tblCellMar>
        </w:tblPrEx>
        <w:trPr>
          <w:trHeight w:val="624" w:hRule="atLeast"/>
        </w:trPr>
        <w:tc>
          <w:tcPr>
            <w:tcW w:w="1195" w:type="dxa"/>
            <w:vMerge w:val="continue"/>
            <w:tcBorders>
              <w:left w:val="single" w:color="auto" w:sz="4" w:space="0"/>
              <w:right w:val="single" w:color="auto" w:sz="4" w:space="0"/>
            </w:tcBorders>
            <w:vAlign w:val="center"/>
          </w:tcPr>
          <w:p>
            <w:pPr>
              <w:widowControl/>
              <w:jc w:val="center"/>
              <w:rPr>
                <w:rFonts w:ascii="宋体" w:hAnsi="宋体"/>
                <w:color w:val="auto"/>
                <w:kern w:val="0"/>
                <w:sz w:val="22"/>
                <w:szCs w:val="22"/>
              </w:rPr>
            </w:pPr>
          </w:p>
        </w:tc>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（技术</w:t>
            </w:r>
            <w:r>
              <w:rPr>
                <w:rFonts w:ascii="宋体" w:hAnsi="宋体"/>
                <w:color w:val="auto"/>
                <w:sz w:val="24"/>
              </w:rPr>
              <w:t>需求响应内容</w:t>
            </w:r>
            <w:r>
              <w:rPr>
                <w:rFonts w:hint="eastAsia" w:ascii="宋体" w:hAnsi="宋体"/>
                <w:color w:val="auto"/>
                <w:sz w:val="24"/>
              </w:rPr>
              <w:t>）</w:t>
            </w:r>
          </w:p>
        </w:tc>
        <w:tc>
          <w:tcPr>
            <w:tcW w:w="2001"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360" w:lineRule="auto"/>
              <w:jc w:val="center"/>
              <w:rPr>
                <w:rFonts w:hAnsi="宋体"/>
                <w:color w:val="auto"/>
                <w:spacing w:val="20"/>
                <w:sz w:val="24"/>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olor w:val="auto"/>
                <w:spacing w:val="20"/>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olor w:val="auto"/>
                <w:spacing w:val="20"/>
                <w:sz w:val="24"/>
              </w:rPr>
            </w:pPr>
          </w:p>
        </w:tc>
      </w:tr>
      <w:tr>
        <w:tblPrEx>
          <w:tblCellMar>
            <w:top w:w="0" w:type="dxa"/>
            <w:left w:w="108" w:type="dxa"/>
            <w:bottom w:w="0" w:type="dxa"/>
            <w:right w:w="108" w:type="dxa"/>
          </w:tblCellMar>
        </w:tblPrEx>
        <w:trPr>
          <w:trHeight w:val="237" w:hRule="atLeast"/>
        </w:trPr>
        <w:tc>
          <w:tcPr>
            <w:tcW w:w="119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olor w:val="auto"/>
                <w:kern w:val="0"/>
                <w:sz w:val="22"/>
                <w:szCs w:val="22"/>
              </w:rPr>
            </w:pPr>
          </w:p>
        </w:tc>
        <w:tc>
          <w:tcPr>
            <w:tcW w:w="2171"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pacing w:val="20"/>
                <w:sz w:val="24"/>
              </w:rPr>
            </w:pPr>
            <w:r>
              <w:rPr>
                <w:rFonts w:hint="eastAsia" w:hAnsi="宋体"/>
                <w:color w:val="auto"/>
                <w:sz w:val="24"/>
              </w:rPr>
              <w:t>……</w:t>
            </w:r>
          </w:p>
        </w:tc>
        <w:tc>
          <w:tcPr>
            <w:tcW w:w="2001"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360" w:lineRule="auto"/>
              <w:jc w:val="center"/>
              <w:rPr>
                <w:rFonts w:hAnsi="宋体"/>
                <w:color w:val="auto"/>
                <w:spacing w:val="20"/>
                <w:sz w:val="24"/>
              </w:rPr>
            </w:pPr>
          </w:p>
        </w:tc>
        <w:tc>
          <w:tcPr>
            <w:tcW w:w="197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olor w:val="auto"/>
                <w:spacing w:val="20"/>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360" w:lineRule="auto"/>
              <w:jc w:val="center"/>
              <w:rPr>
                <w:rFonts w:hAnsi="宋体"/>
                <w:color w:val="auto"/>
                <w:spacing w:val="20"/>
                <w:sz w:val="24"/>
              </w:rPr>
            </w:pPr>
          </w:p>
        </w:tc>
      </w:tr>
    </w:tbl>
    <w:p>
      <w:pPr>
        <w:pStyle w:val="53"/>
        <w:tabs>
          <w:tab w:val="left" w:pos="360"/>
        </w:tabs>
        <w:spacing w:line="360" w:lineRule="auto"/>
        <w:ind w:right="84" w:rightChars="40" w:firstLine="422" w:firstLineChars="200"/>
        <w:rPr>
          <w:rFonts w:ascii="宋体"/>
          <w:color w:val="auto"/>
          <w:szCs w:val="21"/>
        </w:rPr>
      </w:pPr>
      <w:r>
        <w:rPr>
          <w:rFonts w:hint="eastAsia" w:ascii="宋体"/>
          <w:b/>
          <w:color w:val="auto"/>
          <w:szCs w:val="21"/>
        </w:rPr>
        <w:t>要求：</w:t>
      </w:r>
      <w:r>
        <w:rPr>
          <w:rFonts w:hint="eastAsia" w:ascii="宋体"/>
          <w:color w:val="auto"/>
          <w:szCs w:val="21"/>
        </w:rPr>
        <w:t>1. 本表参照本招标文件第四章“公开组招标需求”填制，投标人应根据招标需求</w:t>
      </w:r>
      <w:r>
        <w:rPr>
          <w:rFonts w:ascii="宋体"/>
          <w:color w:val="auto"/>
          <w:szCs w:val="21"/>
        </w:rPr>
        <w:t>的</w:t>
      </w:r>
      <w:r>
        <w:rPr>
          <w:rFonts w:hint="eastAsia" w:ascii="宋体"/>
          <w:color w:val="auto"/>
          <w:szCs w:val="21"/>
        </w:rPr>
        <w:t>服务指标，对照招标文件要求在“偏离情况”栏注明“正偏离”、“负偏离”或“无偏离”。</w:t>
      </w:r>
    </w:p>
    <w:p>
      <w:pPr>
        <w:pStyle w:val="53"/>
        <w:tabs>
          <w:tab w:val="left" w:pos="360"/>
        </w:tabs>
        <w:spacing w:line="360" w:lineRule="auto"/>
        <w:ind w:right="84" w:rightChars="40" w:firstLine="420" w:firstLineChars="200"/>
        <w:rPr>
          <w:rFonts w:ascii="宋体"/>
          <w:color w:val="auto"/>
          <w:szCs w:val="21"/>
        </w:rPr>
      </w:pPr>
      <w:r>
        <w:rPr>
          <w:rFonts w:hint="eastAsia" w:ascii="宋体"/>
          <w:color w:val="auto"/>
          <w:szCs w:val="21"/>
        </w:rPr>
        <w:t>2.</w:t>
      </w:r>
      <w:r>
        <w:rPr>
          <w:rFonts w:hint="eastAsia"/>
          <w:color w:val="auto"/>
        </w:rPr>
        <w:t xml:space="preserve"> </w:t>
      </w:r>
      <w:r>
        <w:rPr>
          <w:rFonts w:hint="eastAsia" w:ascii="宋体"/>
          <w:color w:val="auto"/>
          <w:szCs w:val="21"/>
        </w:rPr>
        <w:t>如未提供或未填写均视为完全相应采购需求内容。</w:t>
      </w:r>
    </w:p>
    <w:p>
      <w:pPr>
        <w:pStyle w:val="53"/>
        <w:tabs>
          <w:tab w:val="left" w:pos="360"/>
        </w:tabs>
        <w:spacing w:line="360" w:lineRule="auto"/>
        <w:ind w:right="84" w:rightChars="40"/>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投标人名称（公章）：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pStyle w:val="54"/>
        <w:spacing w:line="360" w:lineRule="auto"/>
        <w:jc w:val="left"/>
        <w:rPr>
          <w:rFonts w:ascii="宋体" w:hAnsi="宋体"/>
          <w:b/>
          <w:color w:val="auto"/>
          <w:sz w:val="28"/>
        </w:rPr>
        <w:sectPr>
          <w:pgSz w:w="11906" w:h="16838"/>
          <w:pgMar w:top="1440" w:right="1800" w:bottom="1440" w:left="1800" w:header="851" w:footer="992" w:gutter="0"/>
          <w:pgNumType w:fmt="numberInDash"/>
          <w:cols w:space="425" w:num="1"/>
          <w:docGrid w:type="lines" w:linePitch="312" w:charSpace="0"/>
        </w:sectPr>
      </w:pPr>
    </w:p>
    <w:p>
      <w:pPr>
        <w:pStyle w:val="54"/>
        <w:spacing w:line="360" w:lineRule="auto"/>
        <w:jc w:val="left"/>
        <w:rPr>
          <w:rFonts w:ascii="宋体" w:hAnsi="宋体"/>
          <w:b/>
          <w:color w:val="auto"/>
          <w:sz w:val="28"/>
        </w:rPr>
      </w:pPr>
      <w:r>
        <w:rPr>
          <w:rFonts w:hint="eastAsia" w:ascii="宋体" w:hAnsi="宋体"/>
          <w:b/>
          <w:color w:val="auto"/>
          <w:sz w:val="28"/>
        </w:rPr>
        <w:t>附件7</w:t>
      </w:r>
    </w:p>
    <w:p>
      <w:pPr>
        <w:pStyle w:val="55"/>
        <w:spacing w:line="360" w:lineRule="auto"/>
        <w:jc w:val="center"/>
        <w:rPr>
          <w:rFonts w:ascii="宋体" w:hAnsi="宋体"/>
          <w:b/>
          <w:color w:val="auto"/>
          <w:sz w:val="32"/>
          <w:szCs w:val="32"/>
        </w:rPr>
      </w:pPr>
      <w:r>
        <w:rPr>
          <w:rFonts w:hint="eastAsia" w:ascii="宋体" w:hAnsi="宋体"/>
          <w:b/>
          <w:color w:val="auto"/>
          <w:sz w:val="32"/>
          <w:szCs w:val="32"/>
        </w:rPr>
        <w:t>证书一览表</w:t>
      </w:r>
    </w:p>
    <w:p>
      <w:pPr>
        <w:pStyle w:val="55"/>
        <w:spacing w:line="360" w:lineRule="auto"/>
        <w:jc w:val="center"/>
        <w:rPr>
          <w:rFonts w:ascii="宋体" w:hAnsi="宋体" w:cs="Arial"/>
          <w:color w:val="auto"/>
          <w:sz w:val="28"/>
          <w:szCs w:val="28"/>
        </w:rPr>
      </w:pPr>
    </w:p>
    <w:tbl>
      <w:tblPr>
        <w:tblStyle w:val="35"/>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55"/>
              <w:spacing w:line="360" w:lineRule="auto"/>
              <w:jc w:val="center"/>
              <w:rPr>
                <w:rFonts w:ascii="宋体" w:hAnsi="宋体" w:cs="Arial"/>
                <w:b/>
                <w:bCs/>
                <w:color w:val="auto"/>
                <w:sz w:val="24"/>
              </w:rPr>
            </w:pPr>
            <w:r>
              <w:rPr>
                <w:rFonts w:hint="eastAsia" w:ascii="宋体" w:hAnsi="宋体" w:cs="Arial"/>
                <w:b/>
                <w:bCs/>
                <w:color w:val="auto"/>
                <w:sz w:val="24"/>
              </w:rPr>
              <w:t>证书名称</w:t>
            </w:r>
          </w:p>
        </w:tc>
        <w:tc>
          <w:tcPr>
            <w:tcW w:w="2258" w:type="dxa"/>
            <w:tcBorders>
              <w:top w:val="single" w:color="auto" w:sz="4" w:space="0"/>
              <w:bottom w:val="single" w:color="auto" w:sz="4" w:space="0"/>
            </w:tcBorders>
          </w:tcPr>
          <w:p>
            <w:pPr>
              <w:pStyle w:val="55"/>
              <w:spacing w:line="360" w:lineRule="auto"/>
              <w:jc w:val="center"/>
              <w:rPr>
                <w:rFonts w:ascii="宋体" w:hAnsi="宋体" w:cs="Arial"/>
                <w:b/>
                <w:bCs/>
                <w:color w:val="auto"/>
                <w:sz w:val="24"/>
              </w:rPr>
            </w:pPr>
            <w:r>
              <w:rPr>
                <w:rFonts w:hint="eastAsia" w:ascii="宋体" w:hAnsi="宋体" w:cs="Arial"/>
                <w:b/>
                <w:bCs/>
                <w:color w:val="auto"/>
                <w:sz w:val="24"/>
              </w:rPr>
              <w:t>发证单位</w:t>
            </w:r>
          </w:p>
        </w:tc>
        <w:tc>
          <w:tcPr>
            <w:tcW w:w="2260" w:type="dxa"/>
            <w:tcBorders>
              <w:top w:val="single" w:color="auto" w:sz="4" w:space="0"/>
              <w:bottom w:val="single" w:color="auto" w:sz="4" w:space="0"/>
            </w:tcBorders>
          </w:tcPr>
          <w:p>
            <w:pPr>
              <w:pStyle w:val="55"/>
              <w:spacing w:line="360" w:lineRule="auto"/>
              <w:jc w:val="center"/>
              <w:rPr>
                <w:rFonts w:ascii="宋体" w:hAnsi="宋体" w:cs="Arial"/>
                <w:b/>
                <w:bCs/>
                <w:color w:val="auto"/>
                <w:sz w:val="24"/>
              </w:rPr>
            </w:pPr>
            <w:r>
              <w:rPr>
                <w:rFonts w:hint="eastAsia" w:ascii="宋体" w:hAnsi="宋体" w:cs="Arial"/>
                <w:b/>
                <w:bCs/>
                <w:color w:val="auto"/>
                <w:sz w:val="24"/>
              </w:rPr>
              <w:t>证书等级</w:t>
            </w:r>
          </w:p>
        </w:tc>
        <w:tc>
          <w:tcPr>
            <w:tcW w:w="2047" w:type="dxa"/>
            <w:tcBorders>
              <w:top w:val="single" w:color="auto" w:sz="4" w:space="0"/>
              <w:bottom w:val="single" w:color="auto" w:sz="4" w:space="0"/>
              <w:right w:val="single" w:color="auto" w:sz="4" w:space="0"/>
            </w:tcBorders>
          </w:tcPr>
          <w:p>
            <w:pPr>
              <w:pStyle w:val="55"/>
              <w:spacing w:line="360" w:lineRule="auto"/>
              <w:jc w:val="center"/>
              <w:rPr>
                <w:rFonts w:ascii="宋体" w:hAnsi="宋体" w:cs="Arial"/>
                <w:b/>
                <w:bCs/>
                <w:color w:val="auto"/>
                <w:sz w:val="24"/>
              </w:rPr>
            </w:pPr>
            <w:r>
              <w:rPr>
                <w:rFonts w:hint="eastAsia" w:ascii="宋体" w:hAnsi="宋体" w:cs="Arial"/>
                <w:b/>
                <w:bCs/>
                <w:color w:val="auto"/>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55"/>
              <w:spacing w:line="360" w:lineRule="auto"/>
              <w:jc w:val="center"/>
              <w:rPr>
                <w:rFonts w:ascii="宋体" w:hAnsi="宋体" w:cs="Arial"/>
                <w:color w:val="auto"/>
                <w:szCs w:val="21"/>
              </w:rPr>
            </w:pPr>
          </w:p>
        </w:tc>
        <w:tc>
          <w:tcPr>
            <w:tcW w:w="2258" w:type="dxa"/>
            <w:tcBorders>
              <w:top w:val="single" w:color="auto" w:sz="4" w:space="0"/>
            </w:tcBorders>
          </w:tcPr>
          <w:p>
            <w:pPr>
              <w:pStyle w:val="55"/>
              <w:spacing w:line="360" w:lineRule="auto"/>
              <w:jc w:val="center"/>
              <w:rPr>
                <w:rFonts w:ascii="宋体" w:hAnsi="宋体" w:cs="Arial"/>
                <w:color w:val="auto"/>
                <w:szCs w:val="21"/>
              </w:rPr>
            </w:pPr>
          </w:p>
        </w:tc>
        <w:tc>
          <w:tcPr>
            <w:tcW w:w="2260" w:type="dxa"/>
            <w:tcBorders>
              <w:top w:val="single" w:color="auto" w:sz="4" w:space="0"/>
            </w:tcBorders>
          </w:tcPr>
          <w:p>
            <w:pPr>
              <w:pStyle w:val="55"/>
              <w:spacing w:line="360" w:lineRule="auto"/>
              <w:jc w:val="center"/>
              <w:rPr>
                <w:rFonts w:ascii="宋体" w:hAnsi="宋体" w:cs="Arial"/>
                <w:color w:val="auto"/>
                <w:szCs w:val="21"/>
              </w:rPr>
            </w:pPr>
          </w:p>
        </w:tc>
        <w:tc>
          <w:tcPr>
            <w:tcW w:w="2047" w:type="dxa"/>
            <w:tcBorders>
              <w:top w:val="single" w:color="auto" w:sz="4" w:space="0"/>
              <w:right w:val="single" w:color="auto" w:sz="4" w:space="0"/>
            </w:tcBorders>
          </w:tcPr>
          <w:p>
            <w:pPr>
              <w:pStyle w:val="5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5"/>
              <w:spacing w:line="360" w:lineRule="auto"/>
              <w:jc w:val="center"/>
              <w:rPr>
                <w:rFonts w:ascii="宋体" w:hAnsi="宋体" w:cs="Arial"/>
                <w:color w:val="auto"/>
                <w:szCs w:val="21"/>
              </w:rPr>
            </w:pPr>
          </w:p>
        </w:tc>
        <w:tc>
          <w:tcPr>
            <w:tcW w:w="2258" w:type="dxa"/>
          </w:tcPr>
          <w:p>
            <w:pPr>
              <w:pStyle w:val="55"/>
              <w:spacing w:line="360" w:lineRule="auto"/>
              <w:jc w:val="center"/>
              <w:rPr>
                <w:rFonts w:ascii="宋体" w:hAnsi="宋体" w:cs="Arial"/>
                <w:color w:val="auto"/>
                <w:szCs w:val="21"/>
              </w:rPr>
            </w:pPr>
          </w:p>
        </w:tc>
        <w:tc>
          <w:tcPr>
            <w:tcW w:w="2260" w:type="dxa"/>
          </w:tcPr>
          <w:p>
            <w:pPr>
              <w:pStyle w:val="55"/>
              <w:spacing w:line="360" w:lineRule="auto"/>
              <w:jc w:val="center"/>
              <w:rPr>
                <w:rFonts w:ascii="宋体" w:hAnsi="宋体" w:cs="Arial"/>
                <w:color w:val="auto"/>
                <w:szCs w:val="21"/>
              </w:rPr>
            </w:pPr>
          </w:p>
        </w:tc>
        <w:tc>
          <w:tcPr>
            <w:tcW w:w="2047" w:type="dxa"/>
            <w:tcBorders>
              <w:right w:val="single" w:color="auto" w:sz="4" w:space="0"/>
            </w:tcBorders>
          </w:tcPr>
          <w:p>
            <w:pPr>
              <w:pStyle w:val="5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5"/>
              <w:spacing w:line="360" w:lineRule="auto"/>
              <w:jc w:val="center"/>
              <w:rPr>
                <w:rFonts w:ascii="宋体" w:hAnsi="宋体" w:cs="Arial"/>
                <w:color w:val="auto"/>
                <w:szCs w:val="21"/>
              </w:rPr>
            </w:pPr>
          </w:p>
        </w:tc>
        <w:tc>
          <w:tcPr>
            <w:tcW w:w="2258" w:type="dxa"/>
          </w:tcPr>
          <w:p>
            <w:pPr>
              <w:pStyle w:val="55"/>
              <w:spacing w:line="360" w:lineRule="auto"/>
              <w:jc w:val="center"/>
              <w:rPr>
                <w:rFonts w:ascii="宋体" w:hAnsi="宋体" w:cs="Arial"/>
                <w:color w:val="auto"/>
                <w:szCs w:val="21"/>
              </w:rPr>
            </w:pPr>
          </w:p>
        </w:tc>
        <w:tc>
          <w:tcPr>
            <w:tcW w:w="2260" w:type="dxa"/>
          </w:tcPr>
          <w:p>
            <w:pPr>
              <w:pStyle w:val="55"/>
              <w:spacing w:line="360" w:lineRule="auto"/>
              <w:jc w:val="center"/>
              <w:rPr>
                <w:rFonts w:ascii="宋体" w:hAnsi="宋体" w:cs="Arial"/>
                <w:color w:val="auto"/>
                <w:szCs w:val="21"/>
              </w:rPr>
            </w:pPr>
          </w:p>
        </w:tc>
        <w:tc>
          <w:tcPr>
            <w:tcW w:w="2047" w:type="dxa"/>
            <w:tcBorders>
              <w:right w:val="single" w:color="auto" w:sz="4" w:space="0"/>
            </w:tcBorders>
          </w:tcPr>
          <w:p>
            <w:pPr>
              <w:pStyle w:val="5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5"/>
              <w:spacing w:line="360" w:lineRule="auto"/>
              <w:jc w:val="center"/>
              <w:rPr>
                <w:rFonts w:ascii="宋体" w:hAnsi="宋体" w:cs="Arial"/>
                <w:color w:val="auto"/>
                <w:szCs w:val="21"/>
              </w:rPr>
            </w:pPr>
          </w:p>
        </w:tc>
        <w:tc>
          <w:tcPr>
            <w:tcW w:w="2258" w:type="dxa"/>
          </w:tcPr>
          <w:p>
            <w:pPr>
              <w:pStyle w:val="55"/>
              <w:spacing w:line="360" w:lineRule="auto"/>
              <w:jc w:val="center"/>
              <w:rPr>
                <w:rFonts w:ascii="宋体" w:hAnsi="宋体" w:cs="Arial"/>
                <w:color w:val="auto"/>
                <w:szCs w:val="21"/>
              </w:rPr>
            </w:pPr>
          </w:p>
        </w:tc>
        <w:tc>
          <w:tcPr>
            <w:tcW w:w="2260" w:type="dxa"/>
          </w:tcPr>
          <w:p>
            <w:pPr>
              <w:pStyle w:val="55"/>
              <w:spacing w:line="360" w:lineRule="auto"/>
              <w:jc w:val="center"/>
              <w:rPr>
                <w:rFonts w:ascii="宋体" w:hAnsi="宋体" w:cs="Arial"/>
                <w:color w:val="auto"/>
                <w:szCs w:val="21"/>
              </w:rPr>
            </w:pPr>
          </w:p>
        </w:tc>
        <w:tc>
          <w:tcPr>
            <w:tcW w:w="2047" w:type="dxa"/>
            <w:tcBorders>
              <w:right w:val="single" w:color="auto" w:sz="4" w:space="0"/>
            </w:tcBorders>
          </w:tcPr>
          <w:p>
            <w:pPr>
              <w:pStyle w:val="5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5"/>
              <w:spacing w:line="360" w:lineRule="auto"/>
              <w:jc w:val="center"/>
              <w:rPr>
                <w:rFonts w:ascii="宋体" w:hAnsi="宋体" w:cs="Arial"/>
                <w:color w:val="auto"/>
                <w:szCs w:val="21"/>
              </w:rPr>
            </w:pPr>
          </w:p>
        </w:tc>
        <w:tc>
          <w:tcPr>
            <w:tcW w:w="2258" w:type="dxa"/>
          </w:tcPr>
          <w:p>
            <w:pPr>
              <w:pStyle w:val="55"/>
              <w:spacing w:line="360" w:lineRule="auto"/>
              <w:jc w:val="center"/>
              <w:rPr>
                <w:rFonts w:ascii="宋体" w:hAnsi="宋体" w:cs="Arial"/>
                <w:color w:val="auto"/>
                <w:szCs w:val="21"/>
              </w:rPr>
            </w:pPr>
          </w:p>
        </w:tc>
        <w:tc>
          <w:tcPr>
            <w:tcW w:w="2260" w:type="dxa"/>
          </w:tcPr>
          <w:p>
            <w:pPr>
              <w:pStyle w:val="55"/>
              <w:spacing w:line="360" w:lineRule="auto"/>
              <w:jc w:val="center"/>
              <w:rPr>
                <w:rFonts w:ascii="宋体" w:hAnsi="宋体" w:cs="Arial"/>
                <w:color w:val="auto"/>
                <w:szCs w:val="21"/>
              </w:rPr>
            </w:pPr>
          </w:p>
        </w:tc>
        <w:tc>
          <w:tcPr>
            <w:tcW w:w="2047" w:type="dxa"/>
            <w:tcBorders>
              <w:right w:val="single" w:color="auto" w:sz="4" w:space="0"/>
            </w:tcBorders>
          </w:tcPr>
          <w:p>
            <w:pPr>
              <w:pStyle w:val="5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5"/>
              <w:spacing w:line="360" w:lineRule="auto"/>
              <w:jc w:val="center"/>
              <w:rPr>
                <w:rFonts w:ascii="宋体" w:hAnsi="宋体" w:cs="Arial"/>
                <w:color w:val="auto"/>
                <w:szCs w:val="21"/>
              </w:rPr>
            </w:pPr>
          </w:p>
        </w:tc>
        <w:tc>
          <w:tcPr>
            <w:tcW w:w="2258" w:type="dxa"/>
          </w:tcPr>
          <w:p>
            <w:pPr>
              <w:pStyle w:val="55"/>
              <w:spacing w:line="360" w:lineRule="auto"/>
              <w:jc w:val="center"/>
              <w:rPr>
                <w:rFonts w:ascii="宋体" w:hAnsi="宋体" w:cs="Arial"/>
                <w:color w:val="auto"/>
                <w:szCs w:val="21"/>
              </w:rPr>
            </w:pPr>
          </w:p>
        </w:tc>
        <w:tc>
          <w:tcPr>
            <w:tcW w:w="2260" w:type="dxa"/>
          </w:tcPr>
          <w:p>
            <w:pPr>
              <w:pStyle w:val="55"/>
              <w:spacing w:line="360" w:lineRule="auto"/>
              <w:jc w:val="center"/>
              <w:rPr>
                <w:rFonts w:ascii="宋体" w:hAnsi="宋体" w:cs="Arial"/>
                <w:color w:val="auto"/>
                <w:szCs w:val="21"/>
              </w:rPr>
            </w:pPr>
          </w:p>
        </w:tc>
        <w:tc>
          <w:tcPr>
            <w:tcW w:w="2047" w:type="dxa"/>
            <w:tcBorders>
              <w:right w:val="single" w:color="auto" w:sz="4" w:space="0"/>
            </w:tcBorders>
          </w:tcPr>
          <w:p>
            <w:pPr>
              <w:pStyle w:val="55"/>
              <w:spacing w:line="360" w:lineRule="auto"/>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55"/>
              <w:spacing w:line="360" w:lineRule="auto"/>
              <w:jc w:val="center"/>
              <w:rPr>
                <w:rFonts w:ascii="宋体" w:hAnsi="宋体" w:cs="Arial"/>
                <w:color w:val="auto"/>
                <w:szCs w:val="21"/>
              </w:rPr>
            </w:pPr>
          </w:p>
        </w:tc>
        <w:tc>
          <w:tcPr>
            <w:tcW w:w="2258" w:type="dxa"/>
            <w:tcBorders>
              <w:bottom w:val="single" w:color="auto" w:sz="4" w:space="0"/>
            </w:tcBorders>
          </w:tcPr>
          <w:p>
            <w:pPr>
              <w:pStyle w:val="55"/>
              <w:spacing w:line="360" w:lineRule="auto"/>
              <w:jc w:val="center"/>
              <w:rPr>
                <w:rFonts w:ascii="宋体" w:hAnsi="宋体" w:cs="Arial"/>
                <w:color w:val="auto"/>
                <w:szCs w:val="21"/>
              </w:rPr>
            </w:pPr>
          </w:p>
        </w:tc>
        <w:tc>
          <w:tcPr>
            <w:tcW w:w="2260" w:type="dxa"/>
            <w:tcBorders>
              <w:bottom w:val="single" w:color="auto" w:sz="4" w:space="0"/>
            </w:tcBorders>
          </w:tcPr>
          <w:p>
            <w:pPr>
              <w:pStyle w:val="55"/>
              <w:spacing w:line="360" w:lineRule="auto"/>
              <w:jc w:val="center"/>
              <w:rPr>
                <w:rFonts w:ascii="宋体" w:hAnsi="宋体" w:cs="Arial"/>
                <w:color w:val="auto"/>
                <w:szCs w:val="21"/>
              </w:rPr>
            </w:pPr>
          </w:p>
        </w:tc>
        <w:tc>
          <w:tcPr>
            <w:tcW w:w="2047" w:type="dxa"/>
            <w:tcBorders>
              <w:bottom w:val="single" w:color="auto" w:sz="4" w:space="0"/>
              <w:right w:val="single" w:color="auto" w:sz="4" w:space="0"/>
            </w:tcBorders>
          </w:tcPr>
          <w:p>
            <w:pPr>
              <w:pStyle w:val="55"/>
              <w:spacing w:line="360" w:lineRule="auto"/>
              <w:jc w:val="center"/>
              <w:rPr>
                <w:rFonts w:ascii="宋体" w:hAnsi="宋体" w:cs="Arial"/>
                <w:color w:val="auto"/>
                <w:szCs w:val="21"/>
              </w:rPr>
            </w:pPr>
          </w:p>
        </w:tc>
      </w:tr>
    </w:tbl>
    <w:p>
      <w:pPr>
        <w:pStyle w:val="55"/>
        <w:tabs>
          <w:tab w:val="left" w:pos="1050"/>
        </w:tabs>
        <w:spacing w:line="360" w:lineRule="auto"/>
        <w:rPr>
          <w:rFonts w:ascii="仿宋_GB2312" w:hAnsi="宋体" w:eastAsia="仿宋_GB2312"/>
          <w:color w:val="auto"/>
          <w:sz w:val="24"/>
        </w:rPr>
      </w:pPr>
    </w:p>
    <w:p>
      <w:pPr>
        <w:pStyle w:val="55"/>
        <w:tabs>
          <w:tab w:val="left" w:pos="1050"/>
        </w:tabs>
        <w:spacing w:line="360" w:lineRule="auto"/>
        <w:rPr>
          <w:rFonts w:ascii="宋体" w:hAnsi="宋体"/>
          <w:color w:val="auto"/>
          <w:szCs w:val="21"/>
        </w:rPr>
      </w:pPr>
      <w:r>
        <w:rPr>
          <w:rFonts w:hint="eastAsia" w:ascii="宋体" w:hAnsi="宋体"/>
          <w:b/>
          <w:color w:val="auto"/>
          <w:szCs w:val="21"/>
        </w:rPr>
        <w:t>要求：</w:t>
      </w:r>
    </w:p>
    <w:p>
      <w:pPr>
        <w:pStyle w:val="55"/>
        <w:tabs>
          <w:tab w:val="left" w:pos="1050"/>
        </w:tabs>
        <w:spacing w:line="360" w:lineRule="auto"/>
        <w:ind w:firstLine="424" w:firstLineChars="202"/>
        <w:rPr>
          <w:rFonts w:ascii="宋体" w:hAnsi="宋体"/>
          <w:color w:val="auto"/>
          <w:szCs w:val="21"/>
        </w:rPr>
      </w:pPr>
      <w:r>
        <w:rPr>
          <w:rFonts w:hint="eastAsia" w:ascii="宋体" w:hAnsi="宋体"/>
          <w:color w:val="auto"/>
          <w:szCs w:val="21"/>
        </w:rPr>
        <w:t>1.填写投标人获得资质、认证或企业信誉证书；</w:t>
      </w:r>
    </w:p>
    <w:p>
      <w:pPr>
        <w:pStyle w:val="55"/>
        <w:tabs>
          <w:tab w:val="left" w:pos="1050"/>
        </w:tabs>
        <w:spacing w:line="360" w:lineRule="auto"/>
        <w:ind w:firstLine="424" w:firstLineChars="202"/>
        <w:rPr>
          <w:rFonts w:ascii="宋体" w:hAnsi="宋体"/>
          <w:color w:val="auto"/>
          <w:szCs w:val="21"/>
        </w:rPr>
      </w:pPr>
      <w:r>
        <w:rPr>
          <w:rFonts w:hint="eastAsia" w:ascii="宋体" w:hAnsi="宋体"/>
          <w:color w:val="auto"/>
          <w:szCs w:val="21"/>
        </w:rPr>
        <w:t>2.附所列证书扫描件或其他证明材料。</w:t>
      </w:r>
    </w:p>
    <w:p>
      <w:pPr>
        <w:pStyle w:val="55"/>
        <w:tabs>
          <w:tab w:val="left" w:pos="1050"/>
        </w:tabs>
        <w:spacing w:line="360" w:lineRule="auto"/>
        <w:ind w:firstLine="720" w:firstLineChars="300"/>
        <w:rPr>
          <w:rFonts w:ascii="仿宋_GB2312" w:hAnsi="宋体" w:eastAsia="仿宋_GB2312"/>
          <w:color w:val="auto"/>
          <w:sz w:val="24"/>
        </w:rPr>
      </w:pPr>
    </w:p>
    <w:p>
      <w:pPr>
        <w:pStyle w:val="55"/>
        <w:tabs>
          <w:tab w:val="left" w:pos="1050"/>
        </w:tabs>
        <w:spacing w:line="360" w:lineRule="auto"/>
        <w:ind w:firstLine="720" w:firstLineChars="300"/>
        <w:rPr>
          <w:rFonts w:ascii="仿宋_GB2312" w:hAnsi="宋体" w:eastAsia="仿宋_GB2312"/>
          <w:color w:val="auto"/>
          <w:sz w:val="24"/>
        </w:rPr>
      </w:pPr>
    </w:p>
    <w:p>
      <w:pPr>
        <w:pStyle w:val="55"/>
        <w:tabs>
          <w:tab w:val="left" w:pos="1050"/>
        </w:tabs>
        <w:spacing w:line="360" w:lineRule="auto"/>
        <w:ind w:firstLine="720" w:firstLineChars="300"/>
        <w:rPr>
          <w:rFonts w:ascii="仿宋_GB2312" w:hAnsi="宋体" w:eastAsia="仿宋_GB2312"/>
          <w:color w:val="auto"/>
          <w:sz w:val="24"/>
        </w:rPr>
      </w:pPr>
    </w:p>
    <w:p>
      <w:pPr>
        <w:spacing w:line="360" w:lineRule="auto"/>
        <w:ind w:firstLine="424" w:firstLineChars="177"/>
        <w:rPr>
          <w:rFonts w:ascii="宋体" w:hAnsi="宋体"/>
          <w:color w:val="auto"/>
          <w:sz w:val="24"/>
          <w:u w:val="single"/>
        </w:rPr>
      </w:pPr>
      <w:r>
        <w:rPr>
          <w:rFonts w:hint="eastAsia" w:ascii="宋体" w:hAnsi="宋体"/>
          <w:color w:val="auto"/>
          <w:sz w:val="24"/>
        </w:rPr>
        <w:t>投标人名称（公章）：</w:t>
      </w:r>
    </w:p>
    <w:p>
      <w:pPr>
        <w:spacing w:line="360" w:lineRule="auto"/>
        <w:ind w:left="420"/>
        <w:rPr>
          <w:rFonts w:ascii="宋体" w:hAnsi="宋体"/>
          <w:color w:val="auto"/>
          <w:sz w:val="24"/>
        </w:rPr>
      </w:pPr>
    </w:p>
    <w:p>
      <w:pPr>
        <w:spacing w:line="360" w:lineRule="auto"/>
        <w:ind w:firstLine="424" w:firstLineChars="177"/>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24" w:firstLineChars="177"/>
        <w:rPr>
          <w:rFonts w:ascii="宋体" w:hAnsi="宋体"/>
          <w:color w:val="auto"/>
          <w:sz w:val="24"/>
        </w:rPr>
      </w:pPr>
      <w:r>
        <w:rPr>
          <w:rFonts w:hint="eastAsia" w:ascii="宋体" w:hAnsi="宋体"/>
          <w:color w:val="auto"/>
          <w:sz w:val="24"/>
        </w:rPr>
        <w:t>职        务：</w:t>
      </w:r>
    </w:p>
    <w:p>
      <w:pPr>
        <w:spacing w:line="360" w:lineRule="auto"/>
        <w:ind w:firstLine="424" w:firstLineChars="177"/>
        <w:rPr>
          <w:rFonts w:ascii="宋体" w:hAnsi="宋体"/>
          <w:color w:val="auto"/>
          <w:sz w:val="24"/>
        </w:rPr>
      </w:pPr>
    </w:p>
    <w:p>
      <w:pPr>
        <w:spacing w:line="360" w:lineRule="auto"/>
        <w:ind w:firstLine="371" w:firstLineChars="177"/>
        <w:rPr>
          <w:b/>
          <w:bCs/>
          <w:color w:val="auto"/>
          <w:spacing w:val="11"/>
        </w:rPr>
      </w:pPr>
      <w:r>
        <w:rPr>
          <w:rFonts w:hint="eastAsia"/>
          <w:color w:val="auto"/>
        </w:rPr>
        <w:t>日        期：：</w:t>
      </w:r>
    </w:p>
    <w:p>
      <w:pPr>
        <w:spacing w:line="360" w:lineRule="auto"/>
        <w:rPr>
          <w:rFonts w:ascii="宋体" w:hAnsi="宋体"/>
          <w:b/>
          <w:color w:val="auto"/>
          <w:sz w:val="28"/>
        </w:rPr>
      </w:pPr>
    </w:p>
    <w:p>
      <w:pPr>
        <w:spacing w:line="360" w:lineRule="auto"/>
        <w:rPr>
          <w:rFonts w:ascii="宋体" w:hAnsi="宋体"/>
          <w:b/>
          <w:color w:val="auto"/>
          <w:sz w:val="28"/>
        </w:rPr>
      </w:pPr>
    </w:p>
    <w:p>
      <w:pPr>
        <w:spacing w:line="360" w:lineRule="auto"/>
        <w:rPr>
          <w:rFonts w:ascii="宋体" w:hAnsi="宋体"/>
          <w:b/>
          <w:color w:val="auto"/>
          <w:sz w:val="28"/>
        </w:rPr>
      </w:pPr>
      <w:r>
        <w:rPr>
          <w:rFonts w:hint="eastAsia" w:ascii="宋体" w:hAnsi="宋体"/>
          <w:b/>
          <w:color w:val="auto"/>
          <w:sz w:val="28"/>
        </w:rPr>
        <w:t>附件8</w:t>
      </w:r>
    </w:p>
    <w:p>
      <w:pPr>
        <w:pStyle w:val="54"/>
        <w:spacing w:line="360" w:lineRule="auto"/>
        <w:jc w:val="center"/>
        <w:rPr>
          <w:rFonts w:ascii="宋体" w:hAnsi="宋体"/>
          <w:b/>
          <w:color w:val="auto"/>
          <w:sz w:val="32"/>
          <w:szCs w:val="32"/>
        </w:rPr>
      </w:pPr>
      <w:r>
        <w:rPr>
          <w:rFonts w:hint="eastAsia" w:ascii="宋体" w:hAnsi="宋体"/>
          <w:b/>
          <w:color w:val="auto"/>
          <w:sz w:val="32"/>
          <w:szCs w:val="32"/>
        </w:rPr>
        <w:t>投标人类似项目实施情况一览表</w:t>
      </w:r>
    </w:p>
    <w:p>
      <w:pPr>
        <w:pStyle w:val="54"/>
        <w:spacing w:line="360" w:lineRule="auto"/>
        <w:jc w:val="center"/>
        <w:rPr>
          <w:rFonts w:ascii="仿宋_GB2312" w:eastAsia="仿宋_GB2312"/>
          <w:b/>
          <w:color w:val="auto"/>
          <w:sz w:val="28"/>
          <w:szCs w:val="28"/>
        </w:rPr>
      </w:pPr>
    </w:p>
    <w:tbl>
      <w:tblPr>
        <w:tblStyle w:val="3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4"/>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4"/>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4"/>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4"/>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4"/>
              <w:spacing w:line="360" w:lineRule="auto"/>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4"/>
              <w:spacing w:line="360" w:lineRule="auto"/>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4"/>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4"/>
              <w:spacing w:line="360" w:lineRule="auto"/>
              <w:jc w:val="center"/>
              <w:rPr>
                <w:rFonts w:ascii="宋体" w:hAnsi="宋体" w:cs="Arial"/>
                <w:color w:val="auto"/>
                <w:sz w:val="24"/>
              </w:rPr>
            </w:pPr>
            <w:r>
              <w:rPr>
                <w:rFonts w:hint="eastAsia" w:ascii="宋体" w:hAnsi="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4"/>
              <w:spacing w:line="360" w:lineRule="auto"/>
              <w:jc w:val="center"/>
              <w:rPr>
                <w:rFonts w:ascii="宋体" w:hAnsi="宋体" w:cs="Arial"/>
                <w:color w:val="auto"/>
                <w:sz w:val="24"/>
              </w:rPr>
            </w:pPr>
            <w:r>
              <w:rPr>
                <w:rFonts w:hint="eastAsia" w:ascii="宋体" w:hAnsi="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4"/>
              <w:spacing w:line="360" w:lineRule="auto"/>
              <w:jc w:val="center"/>
              <w:rPr>
                <w:rFonts w:ascii="宋体" w:hAnsi="宋体" w:cs="Arial"/>
                <w:color w:val="auto"/>
                <w:sz w:val="24"/>
              </w:rPr>
            </w:pPr>
            <w:r>
              <w:rPr>
                <w:rFonts w:hint="eastAsia" w:ascii="宋体" w:hAnsi="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r>
              <w:rPr>
                <w:rFonts w:hint="eastAsia" w:ascii="宋体" w:hAnsi="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54"/>
              <w:spacing w:line="360" w:lineRule="auto"/>
              <w:rPr>
                <w:rFonts w:ascii="宋体" w:hAnsi="宋体" w:cs="Arial"/>
                <w:color w:val="auto"/>
                <w:sz w:val="24"/>
              </w:rPr>
            </w:pPr>
          </w:p>
        </w:tc>
      </w:tr>
    </w:tbl>
    <w:p>
      <w:pPr>
        <w:autoSpaceDE w:val="0"/>
        <w:autoSpaceDN w:val="0"/>
        <w:adjustRightInd w:val="0"/>
        <w:spacing w:before="156" w:beforeLines="50" w:line="360" w:lineRule="auto"/>
        <w:rPr>
          <w:rFonts w:ascii="宋体" w:hAnsi="宋体" w:cs="Arial"/>
          <w:b/>
          <w:color w:val="auto"/>
          <w:szCs w:val="21"/>
        </w:rPr>
      </w:pPr>
      <w:r>
        <w:rPr>
          <w:rFonts w:hint="eastAsia" w:ascii="宋体" w:hAnsi="宋体" w:cs="Arial"/>
          <w:b/>
          <w:color w:val="auto"/>
          <w:szCs w:val="21"/>
        </w:rPr>
        <w:t>要求</w:t>
      </w:r>
      <w:r>
        <w:rPr>
          <w:rFonts w:ascii="宋体" w:hAnsi="宋体" w:cs="Arial"/>
          <w:b/>
          <w:color w:val="auto"/>
          <w:szCs w:val="21"/>
        </w:rPr>
        <w:t>：</w:t>
      </w:r>
    </w:p>
    <w:p>
      <w:pPr>
        <w:autoSpaceDE w:val="0"/>
        <w:autoSpaceDN w:val="0"/>
        <w:adjustRightInd w:val="0"/>
        <w:spacing w:before="156" w:beforeLines="50" w:line="360" w:lineRule="auto"/>
        <w:ind w:firstLine="424" w:firstLineChars="202"/>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业绩证明应提供证明材料（合同</w:t>
      </w:r>
      <w:r>
        <w:rPr>
          <w:rFonts w:hint="eastAsia" w:ascii="宋体" w:hAnsi="宋体" w:cs="Arial"/>
          <w:color w:val="auto"/>
          <w:szCs w:val="21"/>
        </w:rPr>
        <w:t>扫描件可只提供首页、含金额页、盖章页并加盖投标人公章</w:t>
      </w:r>
      <w:r>
        <w:rPr>
          <w:rFonts w:ascii="宋体" w:hAnsi="宋体" w:cs="Arial"/>
          <w:color w:val="auto"/>
          <w:szCs w:val="21"/>
        </w:rPr>
        <w:t>）；</w:t>
      </w:r>
    </w:p>
    <w:p>
      <w:pPr>
        <w:spacing w:line="360" w:lineRule="auto"/>
        <w:ind w:firstLine="424" w:firstLineChars="202"/>
        <w:jc w:val="left"/>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.报价供应商</w:t>
      </w:r>
      <w:r>
        <w:rPr>
          <w:rFonts w:ascii="宋体" w:hAnsi="宋体" w:cs="Arial"/>
          <w:color w:val="auto"/>
          <w:szCs w:val="21"/>
        </w:rPr>
        <w:t>可按此表格式复制</w:t>
      </w:r>
      <w:r>
        <w:rPr>
          <w:rFonts w:hint="eastAsia" w:ascii="宋体" w:hAnsi="宋体" w:cs="Arial"/>
          <w:color w:val="auto"/>
          <w:szCs w:val="21"/>
        </w:rPr>
        <w:t>。</w:t>
      </w:r>
    </w:p>
    <w:p>
      <w:pPr>
        <w:spacing w:line="360" w:lineRule="auto"/>
        <w:rPr>
          <w:rFonts w:ascii="宋体" w:hAnsi="宋体"/>
          <w:color w:val="auto"/>
          <w:sz w:val="22"/>
          <w:szCs w:val="22"/>
        </w:rPr>
      </w:pPr>
    </w:p>
    <w:p>
      <w:pPr>
        <w:spacing w:line="360" w:lineRule="auto"/>
        <w:rPr>
          <w:rFonts w:ascii="宋体" w:hAnsi="宋体"/>
          <w:color w:val="auto"/>
          <w:sz w:val="22"/>
          <w:szCs w:val="22"/>
        </w:rPr>
      </w:pPr>
    </w:p>
    <w:p>
      <w:pPr>
        <w:spacing w:line="360" w:lineRule="auto"/>
        <w:ind w:left="420"/>
        <w:rPr>
          <w:rFonts w:ascii="宋体" w:hAnsi="宋体"/>
          <w:color w:val="auto"/>
          <w:sz w:val="24"/>
          <w:u w:val="single"/>
        </w:rPr>
      </w:pPr>
      <w:r>
        <w:rPr>
          <w:rFonts w:hint="eastAsia" w:ascii="宋体" w:hAnsi="宋体"/>
          <w:color w:val="auto"/>
          <w:sz w:val="24"/>
        </w:rPr>
        <w:t>投标人名称（公章）：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u w:val="single"/>
        </w:rPr>
      </w:pPr>
      <w:r>
        <w:rPr>
          <w:rFonts w:hint="eastAsia" w:ascii="宋体" w:hAnsi="宋体"/>
          <w:color w:val="auto"/>
          <w:sz w:val="24"/>
        </w:rPr>
        <w:t>职        务：</w:t>
      </w:r>
    </w:p>
    <w:p>
      <w:pPr>
        <w:spacing w:line="360" w:lineRule="auto"/>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spacing w:line="360" w:lineRule="auto"/>
        <w:jc w:val="center"/>
        <w:outlineLvl w:val="2"/>
        <w:rPr>
          <w:rFonts w:ascii="宋体" w:hAnsi="宋体" w:cs="宋体"/>
          <w:color w:val="auto"/>
          <w:sz w:val="24"/>
          <w:u w:val="single"/>
        </w:rPr>
      </w:pPr>
    </w:p>
    <w:p>
      <w:pPr>
        <w:spacing w:line="360" w:lineRule="auto"/>
        <w:rPr>
          <w:rFonts w:ascii="宋体" w:hAnsi="宋体"/>
          <w:b/>
          <w:color w:val="auto"/>
          <w:sz w:val="28"/>
        </w:rPr>
      </w:pPr>
      <w:r>
        <w:rPr>
          <w:rFonts w:hint="eastAsia" w:ascii="宋体" w:hAnsi="宋体"/>
          <w:b/>
          <w:color w:val="auto"/>
          <w:sz w:val="28"/>
        </w:rPr>
        <w:t>附件9</w:t>
      </w:r>
    </w:p>
    <w:p>
      <w:pPr>
        <w:spacing w:line="360" w:lineRule="auto"/>
        <w:ind w:firstLine="435"/>
        <w:jc w:val="center"/>
        <w:rPr>
          <w:rFonts w:ascii="宋体" w:hAnsi="宋体"/>
          <w:b/>
          <w:color w:val="auto"/>
          <w:sz w:val="32"/>
          <w:szCs w:val="32"/>
        </w:rPr>
      </w:pPr>
      <w:r>
        <w:rPr>
          <w:rFonts w:hint="eastAsia" w:ascii="宋体" w:hAnsi="宋体"/>
          <w:b/>
          <w:color w:val="auto"/>
          <w:sz w:val="32"/>
          <w:szCs w:val="32"/>
        </w:rPr>
        <w:t>售后服务情况表</w:t>
      </w:r>
    </w:p>
    <w:p>
      <w:pPr>
        <w:spacing w:line="360" w:lineRule="auto"/>
        <w:ind w:firstLine="435"/>
        <w:jc w:val="center"/>
        <w:rPr>
          <w:rFonts w:ascii="宋体" w:hAnsi="宋体"/>
          <w:b/>
          <w:color w:val="auto"/>
          <w:sz w:val="36"/>
          <w:szCs w:val="36"/>
        </w:rPr>
      </w:pPr>
    </w:p>
    <w:tbl>
      <w:tblPr>
        <w:tblStyle w:val="35"/>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56"/>
              <w:spacing w:line="360" w:lineRule="auto"/>
              <w:jc w:val="center"/>
              <w:rPr>
                <w:rFonts w:ascii="宋体" w:hAnsi="宋体" w:cs="Arial"/>
                <w:b/>
                <w:color w:val="auto"/>
                <w:sz w:val="24"/>
              </w:rPr>
            </w:pPr>
            <w:r>
              <w:rPr>
                <w:rFonts w:hint="eastAsia" w:ascii="宋体" w:hAnsi="宋体" w:cs="Arial"/>
                <w:b/>
                <w:color w:val="auto"/>
                <w:sz w:val="24"/>
              </w:rPr>
              <w:t>序号</w:t>
            </w:r>
          </w:p>
        </w:tc>
        <w:tc>
          <w:tcPr>
            <w:tcW w:w="2355" w:type="dxa"/>
            <w:vAlign w:val="center"/>
          </w:tcPr>
          <w:p>
            <w:pPr>
              <w:pStyle w:val="56"/>
              <w:spacing w:line="360" w:lineRule="auto"/>
              <w:jc w:val="center"/>
              <w:rPr>
                <w:rFonts w:ascii="宋体" w:hAnsi="宋体" w:cs="Arial"/>
                <w:b/>
                <w:color w:val="auto"/>
                <w:sz w:val="24"/>
              </w:rPr>
            </w:pPr>
            <w:r>
              <w:rPr>
                <w:rFonts w:hint="eastAsia" w:ascii="宋体" w:hAnsi="宋体" w:cs="Arial"/>
                <w:b/>
                <w:color w:val="auto"/>
                <w:sz w:val="24"/>
              </w:rPr>
              <w:t>项目</w:t>
            </w:r>
          </w:p>
        </w:tc>
        <w:tc>
          <w:tcPr>
            <w:tcW w:w="4061" w:type="dxa"/>
            <w:vAlign w:val="center"/>
          </w:tcPr>
          <w:p>
            <w:pPr>
              <w:pStyle w:val="56"/>
              <w:spacing w:line="360" w:lineRule="auto"/>
              <w:jc w:val="center"/>
              <w:rPr>
                <w:rFonts w:ascii="宋体" w:hAnsi="宋体" w:cs="Arial"/>
                <w:b/>
                <w:color w:val="auto"/>
                <w:sz w:val="24"/>
              </w:rPr>
            </w:pPr>
            <w:r>
              <w:rPr>
                <w:rFonts w:hint="eastAsia" w:ascii="宋体" w:hAnsi="宋体" w:cs="Arial"/>
                <w:b/>
                <w:color w:val="auto"/>
                <w:sz w:val="24"/>
              </w:rPr>
              <w:t>投标人情况</w:t>
            </w:r>
          </w:p>
        </w:tc>
        <w:tc>
          <w:tcPr>
            <w:tcW w:w="1373" w:type="dxa"/>
            <w:vAlign w:val="center"/>
          </w:tcPr>
          <w:p>
            <w:pPr>
              <w:pStyle w:val="56"/>
              <w:spacing w:line="360" w:lineRule="auto"/>
              <w:jc w:val="center"/>
              <w:rPr>
                <w:rFonts w:ascii="宋体" w:hAnsi="宋体" w:cs="Arial"/>
                <w:b/>
                <w:color w:val="auto"/>
                <w:sz w:val="24"/>
              </w:rPr>
            </w:pPr>
            <w:r>
              <w:rPr>
                <w:rFonts w:hint="eastAsia" w:ascii="宋体" w:hAnsi="宋体" w:cs="Arial"/>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6"/>
              <w:spacing w:line="360" w:lineRule="auto"/>
              <w:jc w:val="center"/>
              <w:rPr>
                <w:rFonts w:ascii="宋体" w:hAnsi="宋体" w:cs="Arial"/>
                <w:bCs/>
                <w:color w:val="auto"/>
                <w:sz w:val="24"/>
              </w:rPr>
            </w:pPr>
            <w:r>
              <w:rPr>
                <w:rFonts w:hint="eastAsia" w:ascii="宋体" w:hAnsi="宋体" w:cs="Arial"/>
                <w:bCs/>
                <w:color w:val="auto"/>
                <w:sz w:val="24"/>
              </w:rPr>
              <w:t>1</w:t>
            </w:r>
          </w:p>
        </w:tc>
        <w:tc>
          <w:tcPr>
            <w:tcW w:w="2355" w:type="dxa"/>
            <w:vMerge w:val="restart"/>
            <w:vAlign w:val="center"/>
          </w:tcPr>
          <w:p>
            <w:pPr>
              <w:pStyle w:val="56"/>
              <w:widowControl/>
              <w:spacing w:line="360" w:lineRule="auto"/>
              <w:jc w:val="left"/>
              <w:rPr>
                <w:rFonts w:ascii="宋体" w:hAnsi="宋体" w:cs="Arial"/>
                <w:bCs/>
                <w:color w:val="auto"/>
                <w:sz w:val="24"/>
              </w:rPr>
            </w:pPr>
            <w:r>
              <w:rPr>
                <w:rFonts w:hint="eastAsia" w:ascii="宋体" w:hAnsi="宋体" w:cs="Arial"/>
                <w:bCs/>
                <w:color w:val="auto"/>
                <w:sz w:val="24"/>
              </w:rPr>
              <w:t>服务期内服务情况(</w:t>
            </w:r>
            <w:r>
              <w:rPr>
                <w:rFonts w:ascii="宋体" w:hAnsi="宋体" w:cs="Arial"/>
                <w:bCs/>
                <w:color w:val="auto"/>
                <w:sz w:val="24"/>
              </w:rPr>
              <w:t>服务</w:t>
            </w:r>
            <w:r>
              <w:rPr>
                <w:rFonts w:hint="eastAsia" w:ascii="宋体" w:hAnsi="宋体" w:cs="Arial"/>
                <w:bCs/>
                <w:color w:val="auto"/>
                <w:sz w:val="24"/>
              </w:rPr>
              <w:t>方式、服务网点</w:t>
            </w:r>
            <w:r>
              <w:rPr>
                <w:rFonts w:ascii="宋体" w:hAnsi="宋体" w:cs="Arial"/>
                <w:bCs/>
                <w:color w:val="auto"/>
                <w:sz w:val="24"/>
              </w:rPr>
              <w:t>、售后服务的内容和措施</w:t>
            </w:r>
            <w:r>
              <w:rPr>
                <w:rFonts w:hint="eastAsia" w:ascii="宋体" w:hAnsi="宋体" w:cs="Arial"/>
                <w:bCs/>
                <w:color w:val="auto"/>
                <w:sz w:val="24"/>
              </w:rPr>
              <w:t>等等，可用附页和宣传材料)</w:t>
            </w:r>
          </w:p>
        </w:tc>
        <w:tc>
          <w:tcPr>
            <w:tcW w:w="4061" w:type="dxa"/>
          </w:tcPr>
          <w:p>
            <w:pPr>
              <w:pStyle w:val="56"/>
              <w:spacing w:line="360" w:lineRule="auto"/>
              <w:rPr>
                <w:rFonts w:ascii="宋体" w:hAnsi="宋体" w:cs="Arial"/>
                <w:bCs/>
                <w:color w:val="auto"/>
                <w:sz w:val="24"/>
              </w:rPr>
            </w:pPr>
            <w:r>
              <w:rPr>
                <w:rFonts w:hint="eastAsia" w:ascii="宋体" w:hAnsi="宋体" w:cs="Arial"/>
                <w:bCs/>
                <w:color w:val="auto"/>
                <w:sz w:val="24"/>
              </w:rPr>
              <w:t>服务期内服务情况：</w:t>
            </w:r>
          </w:p>
        </w:tc>
        <w:tc>
          <w:tcPr>
            <w:tcW w:w="1373" w:type="dxa"/>
          </w:tcPr>
          <w:p>
            <w:pPr>
              <w:pStyle w:val="56"/>
              <w:spacing w:line="360" w:lineRule="auto"/>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6"/>
              <w:widowControl/>
              <w:spacing w:line="360" w:lineRule="auto"/>
              <w:jc w:val="left"/>
              <w:rPr>
                <w:rFonts w:ascii="宋体" w:hAnsi="宋体" w:cs="Arial"/>
                <w:bCs/>
                <w:color w:val="auto"/>
                <w:sz w:val="24"/>
              </w:rPr>
            </w:pPr>
          </w:p>
        </w:tc>
        <w:tc>
          <w:tcPr>
            <w:tcW w:w="2355" w:type="dxa"/>
            <w:vMerge w:val="continue"/>
            <w:vAlign w:val="center"/>
          </w:tcPr>
          <w:p>
            <w:pPr>
              <w:pStyle w:val="56"/>
              <w:widowControl/>
              <w:spacing w:line="360" w:lineRule="auto"/>
              <w:jc w:val="left"/>
              <w:rPr>
                <w:rFonts w:ascii="宋体" w:hAnsi="宋体" w:cs="Arial"/>
                <w:bCs/>
                <w:color w:val="auto"/>
                <w:sz w:val="24"/>
              </w:rPr>
            </w:pPr>
          </w:p>
        </w:tc>
        <w:tc>
          <w:tcPr>
            <w:tcW w:w="4061" w:type="dxa"/>
          </w:tcPr>
          <w:p>
            <w:pPr>
              <w:pStyle w:val="56"/>
              <w:spacing w:line="360" w:lineRule="auto"/>
              <w:rPr>
                <w:rFonts w:ascii="宋体" w:hAnsi="宋体" w:cs="Arial"/>
                <w:bCs/>
                <w:color w:val="auto"/>
                <w:sz w:val="24"/>
              </w:rPr>
            </w:pPr>
            <w:r>
              <w:rPr>
                <w:rFonts w:hint="eastAsia" w:ascii="宋体" w:hAnsi="宋体" w:cs="Arial"/>
                <w:bCs/>
                <w:color w:val="auto"/>
                <w:sz w:val="24"/>
              </w:rPr>
              <w:t>投标人售后服务情况：</w:t>
            </w:r>
          </w:p>
        </w:tc>
        <w:tc>
          <w:tcPr>
            <w:tcW w:w="1373" w:type="dxa"/>
          </w:tcPr>
          <w:p>
            <w:pPr>
              <w:pStyle w:val="56"/>
              <w:spacing w:line="360" w:lineRule="auto"/>
              <w:jc w:val="left"/>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62" w:hRule="exact"/>
          <w:jc w:val="center"/>
        </w:trPr>
        <w:tc>
          <w:tcPr>
            <w:tcW w:w="739" w:type="dxa"/>
            <w:vAlign w:val="center"/>
          </w:tcPr>
          <w:p>
            <w:pPr>
              <w:pStyle w:val="56"/>
              <w:spacing w:line="360" w:lineRule="auto"/>
              <w:jc w:val="center"/>
              <w:rPr>
                <w:rFonts w:ascii="宋体" w:hAnsi="宋体" w:cs="Arial"/>
                <w:bCs/>
                <w:color w:val="auto"/>
                <w:sz w:val="24"/>
              </w:rPr>
            </w:pPr>
            <w:r>
              <w:rPr>
                <w:rFonts w:hint="eastAsia" w:ascii="宋体" w:hAnsi="宋体" w:cs="Arial"/>
                <w:bCs/>
                <w:color w:val="auto"/>
                <w:sz w:val="24"/>
              </w:rPr>
              <w:t>2</w:t>
            </w:r>
          </w:p>
        </w:tc>
        <w:tc>
          <w:tcPr>
            <w:tcW w:w="2355" w:type="dxa"/>
            <w:vAlign w:val="center"/>
          </w:tcPr>
          <w:p>
            <w:pPr>
              <w:pStyle w:val="56"/>
              <w:spacing w:line="360" w:lineRule="auto"/>
              <w:rPr>
                <w:rFonts w:ascii="宋体" w:hAnsi="宋体" w:cs="Arial"/>
                <w:bCs/>
                <w:color w:val="auto"/>
                <w:sz w:val="24"/>
              </w:rPr>
            </w:pPr>
            <w:r>
              <w:rPr>
                <w:rFonts w:hint="eastAsia" w:ascii="宋体" w:hAnsi="宋体" w:cs="Arial"/>
                <w:bCs/>
                <w:color w:val="auto"/>
                <w:sz w:val="24"/>
              </w:rPr>
              <w:t>服务期结束后服务</w:t>
            </w:r>
          </w:p>
        </w:tc>
        <w:tc>
          <w:tcPr>
            <w:tcW w:w="4061" w:type="dxa"/>
          </w:tcPr>
          <w:p>
            <w:pPr>
              <w:pStyle w:val="56"/>
              <w:widowControl/>
              <w:spacing w:line="360" w:lineRule="auto"/>
              <w:jc w:val="left"/>
              <w:rPr>
                <w:rFonts w:ascii="宋体" w:hAnsi="宋体" w:cs="Arial"/>
                <w:bCs/>
                <w:color w:val="auto"/>
                <w:sz w:val="24"/>
              </w:rPr>
            </w:pPr>
          </w:p>
          <w:p>
            <w:pPr>
              <w:pStyle w:val="56"/>
              <w:widowControl/>
              <w:spacing w:line="360" w:lineRule="auto"/>
              <w:jc w:val="left"/>
              <w:rPr>
                <w:rFonts w:ascii="宋体" w:hAnsi="宋体" w:cs="Arial"/>
                <w:bCs/>
                <w:color w:val="auto"/>
                <w:sz w:val="24"/>
              </w:rPr>
            </w:pPr>
          </w:p>
          <w:p>
            <w:pPr>
              <w:pStyle w:val="56"/>
              <w:spacing w:line="360" w:lineRule="auto"/>
              <w:rPr>
                <w:rFonts w:ascii="宋体" w:hAnsi="宋体" w:cs="Arial"/>
                <w:bCs/>
                <w:color w:val="auto"/>
                <w:sz w:val="24"/>
              </w:rPr>
            </w:pPr>
          </w:p>
        </w:tc>
        <w:tc>
          <w:tcPr>
            <w:tcW w:w="1373" w:type="dxa"/>
          </w:tcPr>
          <w:p>
            <w:pPr>
              <w:pStyle w:val="56"/>
              <w:widowControl/>
              <w:spacing w:line="360" w:lineRule="auto"/>
              <w:jc w:val="left"/>
              <w:rPr>
                <w:rFonts w:ascii="宋体" w:hAnsi="宋体" w:cs="Arial"/>
                <w:bCs/>
                <w:color w:val="auto"/>
                <w:sz w:val="24"/>
              </w:rPr>
            </w:pPr>
          </w:p>
          <w:p>
            <w:pPr>
              <w:pStyle w:val="56"/>
              <w:widowControl/>
              <w:spacing w:line="360" w:lineRule="auto"/>
              <w:jc w:val="left"/>
              <w:rPr>
                <w:rFonts w:ascii="宋体" w:hAnsi="宋体" w:cs="Arial"/>
                <w:bCs/>
                <w:color w:val="auto"/>
                <w:sz w:val="24"/>
              </w:rPr>
            </w:pPr>
          </w:p>
          <w:p>
            <w:pPr>
              <w:pStyle w:val="56"/>
              <w:spacing w:line="360" w:lineRule="auto"/>
              <w:rPr>
                <w:rFonts w:ascii="宋体" w:hAns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exact"/>
          <w:jc w:val="center"/>
        </w:trPr>
        <w:tc>
          <w:tcPr>
            <w:tcW w:w="739" w:type="dxa"/>
            <w:vAlign w:val="center"/>
          </w:tcPr>
          <w:p>
            <w:pPr>
              <w:pStyle w:val="56"/>
              <w:widowControl/>
              <w:spacing w:line="360" w:lineRule="auto"/>
              <w:jc w:val="left"/>
              <w:rPr>
                <w:rFonts w:ascii="宋体" w:hAnsi="宋体" w:cs="Arial"/>
                <w:bCs/>
                <w:color w:val="auto"/>
                <w:sz w:val="24"/>
              </w:rPr>
            </w:pPr>
            <w:r>
              <w:rPr>
                <w:rFonts w:hint="eastAsia" w:ascii="宋体" w:hAnsi="宋体" w:cs="Arial"/>
                <w:bCs/>
                <w:color w:val="auto"/>
                <w:sz w:val="24"/>
              </w:rPr>
              <w:t xml:space="preserve"> 3</w:t>
            </w:r>
          </w:p>
        </w:tc>
        <w:tc>
          <w:tcPr>
            <w:tcW w:w="2355" w:type="dxa"/>
            <w:vAlign w:val="center"/>
          </w:tcPr>
          <w:p>
            <w:pPr>
              <w:pStyle w:val="56"/>
              <w:widowControl/>
              <w:spacing w:line="360" w:lineRule="auto"/>
              <w:jc w:val="left"/>
              <w:rPr>
                <w:rFonts w:ascii="宋体" w:hAnsi="宋体" w:cs="Arial"/>
                <w:bCs/>
                <w:color w:val="auto"/>
                <w:sz w:val="24"/>
              </w:rPr>
            </w:pPr>
          </w:p>
        </w:tc>
        <w:tc>
          <w:tcPr>
            <w:tcW w:w="4061" w:type="dxa"/>
          </w:tcPr>
          <w:p>
            <w:pPr>
              <w:pStyle w:val="56"/>
              <w:widowControl/>
              <w:spacing w:line="360" w:lineRule="auto"/>
              <w:jc w:val="left"/>
              <w:rPr>
                <w:rFonts w:ascii="宋体" w:hAnsi="宋体" w:cs="Arial"/>
                <w:bCs/>
                <w:i/>
                <w:color w:val="auto"/>
                <w:sz w:val="24"/>
              </w:rPr>
            </w:pPr>
          </w:p>
          <w:p>
            <w:pPr>
              <w:pStyle w:val="56"/>
              <w:widowControl/>
              <w:spacing w:line="360" w:lineRule="auto"/>
              <w:jc w:val="left"/>
              <w:rPr>
                <w:rFonts w:ascii="宋体" w:hAnsi="宋体" w:cs="Arial"/>
                <w:bCs/>
                <w:i/>
                <w:color w:val="auto"/>
                <w:sz w:val="24"/>
              </w:rPr>
            </w:pPr>
          </w:p>
        </w:tc>
        <w:tc>
          <w:tcPr>
            <w:tcW w:w="1373" w:type="dxa"/>
          </w:tcPr>
          <w:p>
            <w:pPr>
              <w:pStyle w:val="56"/>
              <w:widowControl/>
              <w:spacing w:line="360" w:lineRule="auto"/>
              <w:jc w:val="left"/>
              <w:rPr>
                <w:rFonts w:ascii="宋体" w:hAnsi="宋体" w:cs="Arial"/>
                <w:bCs/>
                <w:i/>
                <w:color w:val="auto"/>
                <w:sz w:val="24"/>
              </w:rPr>
            </w:pPr>
          </w:p>
          <w:p>
            <w:pPr>
              <w:pStyle w:val="56"/>
              <w:widowControl/>
              <w:spacing w:line="360" w:lineRule="auto"/>
              <w:jc w:val="left"/>
              <w:rPr>
                <w:rFonts w:ascii="宋体" w:hAnsi="宋体" w:cs="Arial"/>
                <w:bCs/>
                <w:i/>
                <w:color w:val="auto"/>
                <w:sz w:val="24"/>
              </w:rPr>
            </w:pPr>
          </w:p>
          <w:p>
            <w:pPr>
              <w:pStyle w:val="56"/>
              <w:widowControl/>
              <w:spacing w:line="360" w:lineRule="auto"/>
              <w:jc w:val="left"/>
              <w:rPr>
                <w:rFonts w:ascii="宋体" w:hAnsi="宋体" w:cs="Arial"/>
                <w:bCs/>
                <w:i/>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56"/>
              <w:widowControl/>
              <w:spacing w:line="360" w:lineRule="auto"/>
              <w:jc w:val="left"/>
              <w:rPr>
                <w:rFonts w:ascii="宋体" w:hAnsi="宋体" w:cs="Arial"/>
                <w:bCs/>
                <w:color w:val="auto"/>
                <w:sz w:val="24"/>
              </w:rPr>
            </w:pPr>
            <w:r>
              <w:rPr>
                <w:rFonts w:ascii="宋体" w:hAnsi="宋体" w:cs="Arial"/>
                <w:bCs/>
                <w:color w:val="auto"/>
                <w:sz w:val="24"/>
              </w:rPr>
              <w:t>……</w:t>
            </w:r>
          </w:p>
        </w:tc>
        <w:tc>
          <w:tcPr>
            <w:tcW w:w="2355" w:type="dxa"/>
            <w:vAlign w:val="center"/>
          </w:tcPr>
          <w:p>
            <w:pPr>
              <w:pStyle w:val="56"/>
              <w:widowControl/>
              <w:spacing w:line="360" w:lineRule="auto"/>
              <w:jc w:val="left"/>
              <w:rPr>
                <w:rFonts w:ascii="宋体" w:hAnsi="宋体" w:cs="Arial"/>
                <w:bCs/>
                <w:color w:val="auto"/>
                <w:sz w:val="24"/>
              </w:rPr>
            </w:pPr>
            <w:r>
              <w:rPr>
                <w:rFonts w:ascii="宋体" w:hAnsi="宋体" w:cs="Arial"/>
                <w:bCs/>
                <w:color w:val="auto"/>
                <w:sz w:val="24"/>
              </w:rPr>
              <w:t>……</w:t>
            </w:r>
          </w:p>
        </w:tc>
        <w:tc>
          <w:tcPr>
            <w:tcW w:w="4061" w:type="dxa"/>
          </w:tcPr>
          <w:p>
            <w:pPr>
              <w:pStyle w:val="56"/>
              <w:widowControl/>
              <w:spacing w:line="360" w:lineRule="auto"/>
              <w:jc w:val="left"/>
              <w:rPr>
                <w:rFonts w:ascii="宋体" w:hAnsi="宋体" w:cs="Arial"/>
                <w:bCs/>
                <w:color w:val="auto"/>
                <w:sz w:val="24"/>
              </w:rPr>
            </w:pPr>
          </w:p>
        </w:tc>
        <w:tc>
          <w:tcPr>
            <w:tcW w:w="1373" w:type="dxa"/>
          </w:tcPr>
          <w:p>
            <w:pPr>
              <w:pStyle w:val="56"/>
              <w:widowControl/>
              <w:spacing w:line="360" w:lineRule="auto"/>
              <w:jc w:val="left"/>
              <w:rPr>
                <w:rFonts w:ascii="宋体" w:hAnsi="宋体" w:cs="Arial"/>
                <w:bCs/>
                <w:color w:val="auto"/>
                <w:sz w:val="24"/>
              </w:rPr>
            </w:pPr>
          </w:p>
        </w:tc>
      </w:tr>
    </w:tbl>
    <w:p>
      <w:pPr>
        <w:spacing w:line="360" w:lineRule="auto"/>
        <w:ind w:left="420"/>
        <w:rPr>
          <w:rFonts w:ascii="宋体" w:hAnsi="宋体"/>
          <w:color w:val="auto"/>
          <w:sz w:val="24"/>
        </w:rPr>
      </w:pPr>
    </w:p>
    <w:p>
      <w:pPr>
        <w:spacing w:line="360" w:lineRule="auto"/>
        <w:ind w:left="420"/>
        <w:rPr>
          <w:rFonts w:ascii="宋体" w:hAnsi="宋体"/>
          <w:color w:val="auto"/>
          <w:sz w:val="24"/>
        </w:rPr>
      </w:pPr>
    </w:p>
    <w:p>
      <w:pPr>
        <w:spacing w:line="360" w:lineRule="auto"/>
        <w:ind w:left="420"/>
        <w:rPr>
          <w:rFonts w:ascii="宋体" w:hAnsi="宋体"/>
          <w:color w:val="auto"/>
          <w:sz w:val="24"/>
        </w:rPr>
      </w:pPr>
    </w:p>
    <w:p>
      <w:pPr>
        <w:spacing w:line="360" w:lineRule="auto"/>
        <w:ind w:left="420"/>
        <w:rPr>
          <w:rFonts w:ascii="宋体" w:hAnsi="宋体"/>
          <w:color w:val="auto"/>
          <w:sz w:val="24"/>
        </w:rPr>
      </w:pPr>
    </w:p>
    <w:p>
      <w:pPr>
        <w:spacing w:line="360" w:lineRule="auto"/>
        <w:ind w:left="420"/>
        <w:rPr>
          <w:rFonts w:ascii="宋体" w:hAnsi="宋体"/>
          <w:color w:val="auto"/>
          <w:sz w:val="24"/>
        </w:rPr>
      </w:pPr>
    </w:p>
    <w:p>
      <w:pPr>
        <w:spacing w:line="360" w:lineRule="auto"/>
        <w:ind w:left="420"/>
        <w:rPr>
          <w:rFonts w:ascii="宋体" w:hAnsi="宋体"/>
          <w:color w:val="auto"/>
          <w:sz w:val="24"/>
          <w:u w:val="single"/>
        </w:rPr>
      </w:pPr>
      <w:r>
        <w:rPr>
          <w:rFonts w:hint="eastAsia" w:ascii="宋体" w:hAnsi="宋体"/>
          <w:color w:val="auto"/>
          <w:sz w:val="24"/>
        </w:rPr>
        <w:t>投标人名称（公章）：</w:t>
      </w:r>
    </w:p>
    <w:p>
      <w:pPr>
        <w:spacing w:line="360" w:lineRule="auto"/>
        <w:ind w:left="420"/>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投标人代表签字或盖章：</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职        务：</w:t>
      </w:r>
    </w:p>
    <w:p>
      <w:pPr>
        <w:spacing w:line="360" w:lineRule="auto"/>
        <w:ind w:firstLine="435"/>
        <w:rPr>
          <w:rFonts w:ascii="宋体" w:hAnsi="宋体"/>
          <w:color w:val="auto"/>
          <w:sz w:val="24"/>
        </w:rPr>
      </w:pPr>
    </w:p>
    <w:p>
      <w:pPr>
        <w:spacing w:line="360" w:lineRule="auto"/>
        <w:ind w:firstLine="435"/>
        <w:rPr>
          <w:rFonts w:ascii="宋体" w:hAnsi="宋体"/>
          <w:color w:val="auto"/>
          <w:sz w:val="24"/>
        </w:rPr>
      </w:pPr>
      <w:r>
        <w:rPr>
          <w:rFonts w:hint="eastAsia" w:ascii="宋体" w:hAnsi="宋体"/>
          <w:color w:val="auto"/>
          <w:sz w:val="24"/>
        </w:rPr>
        <w:t>日        期：</w:t>
      </w:r>
    </w:p>
    <w:p>
      <w:pPr>
        <w:pStyle w:val="44"/>
        <w:rPr>
          <w:color w:val="auto"/>
        </w:rPr>
      </w:pPr>
    </w:p>
    <w:p>
      <w:pPr>
        <w:spacing w:line="360" w:lineRule="auto"/>
        <w:rPr>
          <w:color w:val="auto"/>
        </w:rPr>
      </w:pPr>
      <w:r>
        <w:rPr>
          <w:rFonts w:hint="eastAsia" w:ascii="宋体" w:hAnsi="宋体"/>
          <w:b/>
          <w:color w:val="auto"/>
          <w:sz w:val="28"/>
        </w:rPr>
        <w:t>附件10</w:t>
      </w:r>
    </w:p>
    <w:p>
      <w:pPr>
        <w:spacing w:line="360" w:lineRule="auto"/>
        <w:jc w:val="center"/>
        <w:outlineLvl w:val="2"/>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项目</w:t>
      </w:r>
    </w:p>
    <w:p>
      <w:pPr>
        <w:ind w:leftChars="-95" w:hanging="199" w:hangingChars="66"/>
        <w:jc w:val="center"/>
        <w:rPr>
          <w:rFonts w:ascii="宋体" w:hAnsi="宋体" w:cs="宋体"/>
          <w:b/>
          <w:color w:val="auto"/>
          <w:sz w:val="30"/>
          <w:szCs w:val="30"/>
        </w:rPr>
      </w:pPr>
      <w:r>
        <w:rPr>
          <w:rFonts w:hint="eastAsia" w:ascii="宋体" w:hAnsi="宋体" w:cs="宋体"/>
          <w:b/>
          <w:color w:val="auto"/>
          <w:sz w:val="30"/>
          <w:szCs w:val="30"/>
        </w:rPr>
        <w:t>投标人客观分自评表</w:t>
      </w:r>
    </w:p>
    <w:tbl>
      <w:tblPr>
        <w:tblStyle w:val="3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5332"/>
        <w:gridCol w:w="1916"/>
        <w:gridCol w:w="885"/>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r>
              <w:rPr>
                <w:rFonts w:hint="eastAsia" w:ascii="宋体" w:hAnsi="宋体" w:cs="宋体"/>
                <w:b/>
                <w:color w:val="auto"/>
                <w:szCs w:val="21"/>
              </w:rPr>
              <w:t>序号</w:t>
            </w:r>
          </w:p>
        </w:tc>
        <w:tc>
          <w:tcPr>
            <w:tcW w:w="5332"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r>
              <w:rPr>
                <w:rFonts w:hint="eastAsia" w:ascii="宋体" w:hAnsi="宋体" w:cs="宋体"/>
                <w:b/>
                <w:color w:val="auto"/>
                <w:szCs w:val="21"/>
              </w:rPr>
              <w:t>自评内容</w:t>
            </w:r>
          </w:p>
        </w:tc>
        <w:tc>
          <w:tcPr>
            <w:tcW w:w="1916"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r>
              <w:rPr>
                <w:rFonts w:hint="eastAsia" w:ascii="宋体" w:hAnsi="宋体" w:cs="宋体"/>
                <w:b/>
                <w:color w:val="auto"/>
                <w:szCs w:val="21"/>
              </w:rPr>
              <w:t>评分依据在投标文件中页码</w:t>
            </w:r>
          </w:p>
        </w:tc>
        <w:tc>
          <w:tcPr>
            <w:tcW w:w="885"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r>
              <w:rPr>
                <w:rFonts w:hint="eastAsia" w:ascii="宋体" w:hAnsi="宋体" w:cs="宋体"/>
                <w:b/>
                <w:color w:val="auto"/>
                <w:szCs w:val="21"/>
              </w:rPr>
              <w:t>自评得分</w:t>
            </w:r>
          </w:p>
        </w:tc>
        <w:tc>
          <w:tcPr>
            <w:tcW w:w="779"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r>
              <w:rPr>
                <w:rFonts w:hint="eastAsia" w:ascii="宋体" w:hAnsi="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exact"/>
          <w:jc w:val="center"/>
        </w:trPr>
        <w:tc>
          <w:tcPr>
            <w:tcW w:w="864"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Cs/>
                <w:color w:val="auto"/>
                <w:szCs w:val="21"/>
              </w:rPr>
            </w:pPr>
            <w:r>
              <w:rPr>
                <w:rFonts w:hint="eastAsia" w:ascii="宋体" w:hAnsi="宋体" w:cs="宋体"/>
                <w:bCs/>
                <w:color w:val="auto"/>
                <w:szCs w:val="21"/>
              </w:rPr>
              <w:t>1</w:t>
            </w:r>
          </w:p>
        </w:tc>
        <w:tc>
          <w:tcPr>
            <w:tcW w:w="53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rPr>
            </w:pPr>
            <w:r>
              <w:rPr>
                <w:rFonts w:hint="eastAsia" w:ascii="宋体" w:hAnsi="宋体" w:cs="宋体"/>
                <w:color w:val="auto"/>
                <w:sz w:val="18"/>
                <w:szCs w:val="18"/>
              </w:rPr>
              <w:t>现场施工车辆：</w:t>
            </w:r>
          </w:p>
          <w:p>
            <w:pPr>
              <w:rPr>
                <w:rFonts w:ascii="宋体" w:hAnsi="宋体" w:cs="宋体"/>
                <w:color w:val="auto"/>
                <w:sz w:val="18"/>
                <w:szCs w:val="18"/>
              </w:rPr>
            </w:pPr>
            <w:r>
              <w:rPr>
                <w:rFonts w:hint="eastAsia" w:ascii="宋体" w:hAnsi="宋体" w:cs="宋体"/>
                <w:color w:val="auto"/>
                <w:sz w:val="18"/>
                <w:szCs w:val="18"/>
              </w:rPr>
              <w:t>1、提供现场作业车辆（标线施工车辆），提供3辆得2分，少于3辆不得分，提供4辆得3分，4辆以上每增加1辆得0.5分，最高得4分。</w:t>
            </w:r>
          </w:p>
          <w:p>
            <w:pPr>
              <w:rPr>
                <w:rFonts w:ascii="宋体" w:hAnsi="宋体" w:cs="宋体"/>
                <w:color w:val="auto"/>
                <w:sz w:val="18"/>
                <w:szCs w:val="18"/>
              </w:rPr>
            </w:pPr>
            <w:r>
              <w:rPr>
                <w:rFonts w:hint="eastAsia" w:ascii="宋体" w:hAnsi="宋体" w:cs="宋体"/>
                <w:color w:val="auto"/>
                <w:sz w:val="18"/>
                <w:szCs w:val="18"/>
              </w:rPr>
              <w:t>2、提供标线清洗车辆（水除线车辆）1辆得0.5分，最高得1分；</w:t>
            </w:r>
          </w:p>
          <w:p>
            <w:pPr>
              <w:rPr>
                <w:rFonts w:ascii="宋体" w:hAnsi="宋体" w:cs="宋体"/>
                <w:bCs/>
                <w:color w:val="auto"/>
                <w:sz w:val="18"/>
                <w:szCs w:val="18"/>
              </w:rPr>
            </w:pPr>
            <w:r>
              <w:rPr>
                <w:rFonts w:hint="eastAsia" w:ascii="宋体" w:hAnsi="宋体" w:cs="宋体"/>
                <w:color w:val="auto"/>
                <w:sz w:val="18"/>
                <w:szCs w:val="18"/>
              </w:rPr>
              <w:t>如是租赁的，需提供租赁合同扫描件。租赁期限需超过本项目期限。</w:t>
            </w:r>
          </w:p>
          <w:p>
            <w:pPr>
              <w:rPr>
                <w:rFonts w:ascii="宋体" w:hAnsi="宋体" w:cs="宋体"/>
                <w:bCs/>
                <w:color w:val="auto"/>
                <w:sz w:val="18"/>
                <w:szCs w:val="18"/>
              </w:rPr>
            </w:pPr>
            <w:r>
              <w:rPr>
                <w:rFonts w:hint="eastAsia" w:ascii="宋体" w:hAnsi="宋体" w:cs="宋体"/>
                <w:color w:val="auto"/>
                <w:sz w:val="18"/>
                <w:szCs w:val="18"/>
              </w:rPr>
              <w:t>上述两点的车辆以有效的车辆行驶证扫描件和车辆照片为准。作业车辆必须符合台州市相关交通管理要求,以上车辆履约完成前须专门为本项目服务，不得他用。</w:t>
            </w:r>
          </w:p>
        </w:tc>
        <w:tc>
          <w:tcPr>
            <w:tcW w:w="1916"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exact"/>
          <w:jc w:val="center"/>
        </w:trPr>
        <w:tc>
          <w:tcPr>
            <w:tcW w:w="864"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Cs/>
                <w:color w:val="auto"/>
                <w:szCs w:val="21"/>
              </w:rPr>
            </w:pPr>
            <w:r>
              <w:rPr>
                <w:rFonts w:hint="eastAsia" w:ascii="宋体" w:hAnsi="宋体" w:cs="宋体"/>
                <w:bCs/>
                <w:color w:val="auto"/>
                <w:szCs w:val="21"/>
              </w:rPr>
              <w:t>2</w:t>
            </w:r>
          </w:p>
        </w:tc>
        <w:tc>
          <w:tcPr>
            <w:tcW w:w="5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auto"/>
                <w:sz w:val="18"/>
                <w:szCs w:val="18"/>
              </w:rPr>
            </w:pPr>
            <w:r>
              <w:rPr>
                <w:rFonts w:hint="eastAsia" w:ascii="宋体" w:hAnsi="宋体" w:cs="宋体"/>
                <w:bCs/>
                <w:color w:val="auto"/>
                <w:sz w:val="18"/>
                <w:szCs w:val="18"/>
              </w:rPr>
              <w:t>根据投标人针对本项目配备的团队成员（项目负责人、其它管理维护人员）的职称情况等进行打分。</w:t>
            </w:r>
          </w:p>
          <w:p>
            <w:pPr>
              <w:rPr>
                <w:rFonts w:hint="eastAsia" w:ascii="宋体" w:hAnsi="宋体" w:cs="宋体"/>
                <w:bCs/>
                <w:color w:val="auto"/>
                <w:sz w:val="18"/>
                <w:szCs w:val="18"/>
              </w:rPr>
            </w:pPr>
            <w:r>
              <w:rPr>
                <w:rFonts w:hint="eastAsia" w:ascii="宋体" w:hAnsi="宋体" w:cs="宋体"/>
                <w:bCs/>
                <w:color w:val="auto"/>
                <w:sz w:val="18"/>
                <w:szCs w:val="18"/>
              </w:rPr>
              <w:t>1.项目负责人具有人社部门颁发的高级工程师证的得2分，中级工程师证得1分。二级及以上注册建造师证得1分，本项最高得3分；</w:t>
            </w:r>
          </w:p>
          <w:p>
            <w:pPr>
              <w:rPr>
                <w:rFonts w:hint="eastAsia" w:ascii="宋体" w:hAnsi="宋体" w:cs="宋体"/>
                <w:bCs/>
                <w:color w:val="auto"/>
                <w:sz w:val="18"/>
                <w:szCs w:val="18"/>
              </w:rPr>
            </w:pPr>
            <w:r>
              <w:rPr>
                <w:rFonts w:hint="eastAsia" w:ascii="宋体" w:hAnsi="宋体" w:cs="宋体"/>
                <w:bCs/>
                <w:color w:val="auto"/>
                <w:sz w:val="18"/>
                <w:szCs w:val="18"/>
              </w:rPr>
              <w:t>2.项目成员（除项目负责人外）具有工程师职称的每人得1分，助理工程师职称的每人得0.5分，最高得2分；</w:t>
            </w:r>
          </w:p>
          <w:p>
            <w:pPr>
              <w:rPr>
                <w:rFonts w:ascii="宋体" w:hAnsi="宋体" w:cs="宋体"/>
                <w:bCs/>
                <w:color w:val="auto"/>
                <w:sz w:val="18"/>
                <w:szCs w:val="18"/>
              </w:rPr>
            </w:pPr>
            <w:r>
              <w:rPr>
                <w:rFonts w:hint="eastAsia" w:ascii="宋体" w:hAnsi="宋体" w:cs="宋体"/>
                <w:b/>
                <w:bCs w:val="0"/>
                <w:color w:val="auto"/>
                <w:sz w:val="18"/>
                <w:szCs w:val="18"/>
              </w:rPr>
              <w:t>注：要求提供人员证书扫描件、投标截止日之前近六个月的代缴个税税单或参加社会保险的《投保单》或《社会保险参保人员证明》等人员在本单位服务的外部证明（项目成员组人员包括驻点维护机构人员）</w:t>
            </w:r>
          </w:p>
        </w:tc>
        <w:tc>
          <w:tcPr>
            <w:tcW w:w="1916"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864"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Cs/>
                <w:color w:val="auto"/>
                <w:szCs w:val="21"/>
              </w:rPr>
            </w:pPr>
            <w:r>
              <w:rPr>
                <w:rFonts w:hint="eastAsia" w:ascii="宋体" w:hAnsi="宋体" w:cs="宋体"/>
                <w:bCs/>
                <w:color w:val="auto"/>
                <w:szCs w:val="21"/>
              </w:rPr>
              <w:t>3</w:t>
            </w:r>
          </w:p>
        </w:tc>
        <w:tc>
          <w:tcPr>
            <w:tcW w:w="53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rPr>
            </w:pPr>
            <w:r>
              <w:rPr>
                <w:rFonts w:hint="eastAsia" w:ascii="宋体" w:hAnsi="宋体" w:cs="宋体"/>
                <w:color w:val="auto"/>
                <w:sz w:val="18"/>
                <w:szCs w:val="18"/>
              </w:rPr>
              <w:t>投标供应商或产品制造商具备ISO9001体系认证证书、ISO14001体系认证证书，ISO45001职业健康管理体系认证证书，每项得1分</w:t>
            </w:r>
          </w:p>
          <w:p>
            <w:pPr>
              <w:rPr>
                <w:rFonts w:ascii="宋体" w:hAnsi="宋体" w:cs="宋体"/>
                <w:bCs/>
                <w:color w:val="auto"/>
                <w:sz w:val="18"/>
                <w:szCs w:val="18"/>
              </w:rPr>
            </w:pPr>
            <w:r>
              <w:rPr>
                <w:rFonts w:hint="eastAsia" w:ascii="宋体" w:hAnsi="宋体" w:cs="宋体"/>
                <w:color w:val="auto"/>
                <w:sz w:val="18"/>
                <w:szCs w:val="18"/>
              </w:rPr>
              <w:t>(需提供证书扫描件，不提供不得分)</w:t>
            </w:r>
          </w:p>
        </w:tc>
        <w:tc>
          <w:tcPr>
            <w:tcW w:w="1916"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864"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Cs/>
                <w:color w:val="auto"/>
                <w:szCs w:val="21"/>
              </w:rPr>
            </w:pPr>
            <w:r>
              <w:rPr>
                <w:rFonts w:hint="eastAsia" w:ascii="宋体" w:hAnsi="宋体" w:cs="宋体"/>
                <w:bCs/>
                <w:color w:val="auto"/>
                <w:szCs w:val="21"/>
              </w:rPr>
              <w:t>4</w:t>
            </w:r>
          </w:p>
        </w:tc>
        <w:tc>
          <w:tcPr>
            <w:tcW w:w="5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color w:val="auto"/>
                <w:sz w:val="18"/>
                <w:szCs w:val="18"/>
              </w:rPr>
            </w:pPr>
            <w:r>
              <w:rPr>
                <w:rFonts w:hint="eastAsia" w:ascii="宋体" w:hAnsi="宋体" w:cs="宋体"/>
                <w:bCs/>
                <w:color w:val="auto"/>
                <w:sz w:val="18"/>
                <w:szCs w:val="18"/>
              </w:rPr>
              <w:t>公路交通工程专业承包资质（公路安全设施分项）二级及以上资质的得3分。</w:t>
            </w:r>
          </w:p>
          <w:p>
            <w:pPr>
              <w:rPr>
                <w:rFonts w:ascii="宋体" w:hAnsi="宋体" w:cs="宋体"/>
                <w:bCs/>
                <w:color w:val="auto"/>
                <w:sz w:val="18"/>
                <w:szCs w:val="18"/>
              </w:rPr>
            </w:pPr>
            <w:r>
              <w:rPr>
                <w:rFonts w:hint="eastAsia" w:ascii="宋体" w:hAnsi="宋体" w:cs="宋体"/>
                <w:bCs/>
                <w:color w:val="auto"/>
                <w:sz w:val="18"/>
                <w:szCs w:val="18"/>
              </w:rPr>
              <w:t>(需提供证书扫描件，不提供不得分)</w:t>
            </w:r>
          </w:p>
        </w:tc>
        <w:tc>
          <w:tcPr>
            <w:tcW w:w="1916"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exact"/>
          <w:jc w:val="center"/>
        </w:trPr>
        <w:tc>
          <w:tcPr>
            <w:tcW w:w="864"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Cs/>
                <w:color w:val="auto"/>
                <w:szCs w:val="21"/>
              </w:rPr>
            </w:pPr>
            <w:r>
              <w:rPr>
                <w:rFonts w:hint="eastAsia" w:ascii="宋体" w:hAnsi="宋体" w:cs="宋体"/>
                <w:bCs/>
                <w:color w:val="auto"/>
                <w:szCs w:val="21"/>
              </w:rPr>
              <w:t>5</w:t>
            </w:r>
          </w:p>
        </w:tc>
        <w:tc>
          <w:tcPr>
            <w:tcW w:w="5332" w:type="dxa"/>
            <w:tcBorders>
              <w:top w:val="single" w:color="auto" w:sz="4" w:space="0"/>
              <w:left w:val="single" w:color="auto" w:sz="4" w:space="0"/>
              <w:bottom w:val="single" w:color="auto" w:sz="4" w:space="0"/>
              <w:right w:val="single" w:color="auto" w:sz="4" w:space="0"/>
            </w:tcBorders>
            <w:vAlign w:val="center"/>
          </w:tcPr>
          <w:p>
            <w:pPr>
              <w:pStyle w:val="16"/>
              <w:ind w:firstLine="0"/>
              <w:rPr>
                <w:rFonts w:hint="eastAsia" w:ascii="宋体" w:hAnsi="宋体" w:cs="宋体"/>
                <w:bCs/>
                <w:color w:val="auto"/>
                <w:sz w:val="18"/>
                <w:szCs w:val="18"/>
              </w:rPr>
            </w:pPr>
            <w:r>
              <w:rPr>
                <w:rFonts w:hint="eastAsia" w:ascii="宋体" w:hAnsi="宋体" w:cs="宋体"/>
                <w:bCs/>
                <w:color w:val="auto"/>
                <w:sz w:val="18"/>
                <w:szCs w:val="18"/>
              </w:rPr>
              <w:t>投标人提供2019年6月1日至今（以合同签订时间或中标通知书时间为准）实施过的公路或城市道路上的类似项目业绩，每提供1个有效业绩得1分，最高3分。(需提供合同扫描件或中标通知书扫描件，不提供不得分)</w:t>
            </w:r>
          </w:p>
          <w:p>
            <w:pPr>
              <w:pStyle w:val="16"/>
              <w:ind w:firstLine="0"/>
              <w:rPr>
                <w:rFonts w:ascii="宋体" w:hAnsi="宋体" w:cs="宋体"/>
                <w:bCs/>
                <w:color w:val="auto"/>
                <w:sz w:val="18"/>
                <w:szCs w:val="18"/>
              </w:rPr>
            </w:pPr>
            <w:r>
              <w:rPr>
                <w:rFonts w:hint="eastAsia" w:ascii="宋体" w:hAnsi="宋体" w:cs="宋体"/>
                <w:bCs/>
                <w:color w:val="auto"/>
                <w:sz w:val="18"/>
                <w:szCs w:val="18"/>
              </w:rPr>
              <w:t>合同扫描件只需提供（含合同首页、标的清单页、盖章页）</w:t>
            </w:r>
          </w:p>
        </w:tc>
        <w:tc>
          <w:tcPr>
            <w:tcW w:w="1916"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exact"/>
          <w:jc w:val="center"/>
        </w:trPr>
        <w:tc>
          <w:tcPr>
            <w:tcW w:w="864"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Cs/>
                <w:color w:val="auto"/>
                <w:szCs w:val="21"/>
              </w:rPr>
            </w:pPr>
            <w:r>
              <w:rPr>
                <w:rFonts w:hint="eastAsia" w:ascii="宋体" w:hAnsi="宋体" w:cs="宋体"/>
                <w:bCs/>
                <w:color w:val="auto"/>
                <w:szCs w:val="21"/>
              </w:rPr>
              <w:t>6</w:t>
            </w:r>
          </w:p>
        </w:tc>
        <w:tc>
          <w:tcPr>
            <w:tcW w:w="5332" w:type="dxa"/>
            <w:tcBorders>
              <w:top w:val="single" w:color="auto" w:sz="4" w:space="0"/>
              <w:left w:val="single" w:color="auto" w:sz="4" w:space="0"/>
              <w:bottom w:val="single" w:color="auto" w:sz="4" w:space="0"/>
              <w:right w:val="single" w:color="auto" w:sz="4" w:space="0"/>
            </w:tcBorders>
            <w:vAlign w:val="center"/>
          </w:tcPr>
          <w:p>
            <w:pPr>
              <w:pStyle w:val="16"/>
              <w:ind w:firstLine="0"/>
              <w:rPr>
                <w:rFonts w:ascii="宋体" w:hAnsi="宋体" w:cs="宋体"/>
                <w:color w:val="auto"/>
                <w:kern w:val="0"/>
                <w:sz w:val="18"/>
                <w:szCs w:val="18"/>
              </w:rPr>
            </w:pPr>
            <w:r>
              <w:rPr>
                <w:rFonts w:hint="eastAsia" w:ascii="宋体" w:hAnsi="宋体" w:cs="宋体"/>
                <w:color w:val="auto"/>
                <w:kern w:val="0"/>
                <w:sz w:val="18"/>
                <w:szCs w:val="18"/>
              </w:rPr>
              <w:t>投标人或投标产品（或核心产品或服务）符合《政府采购货物和服务招标投标管理办法》第五条规定，属于“节约能源、保护环境、扶持不发达地区和少数民族地区等”等政府采购政策落实对象的，提供相关证明材料和政策依据，每符合一项得1分，最高可得2分；未提供相关证明材料的不得分。（提供相关证明材料和政策依据）。</w:t>
            </w:r>
          </w:p>
        </w:tc>
        <w:tc>
          <w:tcPr>
            <w:tcW w:w="1916"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pStyle w:val="56"/>
              <w:spacing w:line="276" w:lineRule="auto"/>
              <w:jc w:val="center"/>
              <w:rPr>
                <w:rFonts w:ascii="宋体" w:hAnsi="宋体" w:cs="宋体"/>
                <w:b/>
                <w:color w:val="auto"/>
                <w:szCs w:val="21"/>
              </w:rPr>
            </w:pPr>
          </w:p>
        </w:tc>
      </w:tr>
    </w:tbl>
    <w:p>
      <w:pPr>
        <w:spacing w:line="360" w:lineRule="auto"/>
        <w:rPr>
          <w:rFonts w:asciiTheme="minorEastAsia" w:hAnsiTheme="minorEastAsia" w:eastAsiaTheme="minorEastAsia"/>
          <w:b/>
          <w:bCs/>
          <w:color w:val="auto"/>
          <w:sz w:val="36"/>
          <w:szCs w:val="36"/>
        </w:rPr>
      </w:pPr>
      <w:r>
        <w:rPr>
          <w:rFonts w:hint="eastAsia"/>
          <w:b/>
          <w:bCs/>
          <w:color w:val="auto"/>
          <w:szCs w:val="21"/>
        </w:rPr>
        <w:t>注：以上自评内容为招标文件第三章评标办法及评分标准中的分值细化条款中部分条款，如有出入，以第三章评标办法及评分标准为准，投标人在制作投标文件时自行修改。该自评表仅作为投标文件组成部分，投标人应根据评分标准及投标文件填写完整，投标人最终得分以评标委员会评审结果为准。</w:t>
      </w:r>
    </w:p>
    <w:p>
      <w:pPr>
        <w:spacing w:line="440" w:lineRule="exact"/>
        <w:rPr>
          <w:color w:val="auto"/>
          <w:szCs w:val="21"/>
        </w:rPr>
      </w:pPr>
      <w:r>
        <w:rPr>
          <w:rFonts w:hint="eastAsia"/>
          <w:color w:val="auto"/>
          <w:szCs w:val="21"/>
        </w:rPr>
        <w:t xml:space="preserve">                                      </w:t>
      </w:r>
    </w:p>
    <w:p>
      <w:pPr>
        <w:spacing w:line="440" w:lineRule="exact"/>
        <w:ind w:right="210"/>
        <w:jc w:val="right"/>
        <w:rPr>
          <w:color w:val="auto"/>
          <w:szCs w:val="21"/>
        </w:rPr>
      </w:pPr>
      <w:r>
        <w:rPr>
          <w:rFonts w:hint="eastAsia"/>
          <w:color w:val="auto"/>
          <w:szCs w:val="21"/>
        </w:rPr>
        <w:t xml:space="preserve"> 投标人名称（公章）：</w:t>
      </w:r>
    </w:p>
    <w:p>
      <w:pPr>
        <w:spacing w:line="440" w:lineRule="exact"/>
        <w:jc w:val="right"/>
        <w:rPr>
          <w:color w:val="auto"/>
          <w:szCs w:val="21"/>
        </w:rPr>
      </w:pPr>
      <w:r>
        <w:rPr>
          <w:rFonts w:hint="eastAsia"/>
          <w:color w:val="auto"/>
          <w:szCs w:val="21"/>
        </w:rPr>
        <w:t xml:space="preserve">         投标人代表签字或盖章：</w:t>
      </w:r>
    </w:p>
    <w:p>
      <w:pPr>
        <w:spacing w:line="440" w:lineRule="exact"/>
        <w:jc w:val="center"/>
        <w:rPr>
          <w:color w:val="auto"/>
          <w:szCs w:val="21"/>
        </w:rPr>
      </w:pPr>
    </w:p>
    <w:p>
      <w:pPr>
        <w:spacing w:line="440" w:lineRule="exact"/>
        <w:jc w:val="right"/>
        <w:rPr>
          <w:color w:val="auto"/>
        </w:rPr>
      </w:pPr>
      <w:r>
        <w:rPr>
          <w:color w:val="auto"/>
          <w:szCs w:val="21"/>
        </w:rPr>
        <w:t xml:space="preserve">                                       </w:t>
      </w:r>
      <w:r>
        <w:rPr>
          <w:rFonts w:hint="eastAsia"/>
          <w:color w:val="auto"/>
          <w:szCs w:val="21"/>
        </w:rPr>
        <w:t>日        期：</w:t>
      </w:r>
    </w:p>
    <w:p>
      <w:pPr>
        <w:pStyle w:val="44"/>
        <w:rPr>
          <w:color w:val="auto"/>
        </w:rPr>
      </w:pPr>
    </w:p>
    <w:p>
      <w:pPr>
        <w:spacing w:line="360" w:lineRule="auto"/>
        <w:ind w:right="-108"/>
        <w:rPr>
          <w:rFonts w:ascii="仿宋_GB2312" w:hAnsi="宋体" w:eastAsia="仿宋_GB2312"/>
          <w:b/>
          <w:color w:val="auto"/>
          <w:sz w:val="36"/>
          <w:szCs w:val="36"/>
        </w:rPr>
      </w:pPr>
    </w:p>
    <w:p>
      <w:pPr>
        <w:pStyle w:val="44"/>
        <w:rPr>
          <w:rFonts w:ascii="仿宋_GB2312" w:hAnsi="宋体" w:eastAsia="仿宋_GB2312"/>
          <w:b/>
          <w:color w:val="auto"/>
          <w:sz w:val="36"/>
          <w:szCs w:val="36"/>
        </w:rPr>
      </w:pPr>
    </w:p>
    <w:p>
      <w:pPr>
        <w:pStyle w:val="44"/>
        <w:rPr>
          <w:rFonts w:ascii="仿宋_GB2312" w:hAnsi="宋体" w:eastAsia="仿宋_GB2312"/>
          <w:b/>
          <w:color w:val="auto"/>
          <w:sz w:val="36"/>
          <w:szCs w:val="36"/>
        </w:rPr>
      </w:pPr>
    </w:p>
    <w:p>
      <w:pPr>
        <w:pStyle w:val="44"/>
        <w:rPr>
          <w:rFonts w:ascii="仿宋_GB2312" w:hAnsi="宋体" w:eastAsia="仿宋_GB2312"/>
          <w:b/>
          <w:color w:val="auto"/>
          <w:sz w:val="36"/>
          <w:szCs w:val="36"/>
        </w:rPr>
      </w:pPr>
    </w:p>
    <w:p>
      <w:pPr>
        <w:pStyle w:val="44"/>
        <w:rPr>
          <w:rFonts w:ascii="仿宋_GB2312" w:hAnsi="宋体" w:eastAsia="仿宋_GB2312"/>
          <w:b/>
          <w:color w:val="auto"/>
          <w:sz w:val="36"/>
          <w:szCs w:val="36"/>
        </w:rPr>
      </w:pPr>
    </w:p>
    <w:p>
      <w:pPr>
        <w:pStyle w:val="44"/>
        <w:rPr>
          <w:rFonts w:ascii="仿宋_GB2312" w:hAnsi="宋体" w:eastAsia="仿宋_GB2312"/>
          <w:b/>
          <w:color w:val="auto"/>
          <w:sz w:val="36"/>
          <w:szCs w:val="36"/>
        </w:rPr>
      </w:pPr>
    </w:p>
    <w:p>
      <w:pPr>
        <w:pStyle w:val="44"/>
        <w:rPr>
          <w:rFonts w:ascii="仿宋_GB2312" w:hAnsi="宋体" w:eastAsia="仿宋_GB2312"/>
          <w:b/>
          <w:color w:val="auto"/>
          <w:sz w:val="36"/>
          <w:szCs w:val="36"/>
        </w:rPr>
      </w:pPr>
    </w:p>
    <w:p>
      <w:pPr>
        <w:pStyle w:val="44"/>
        <w:rPr>
          <w:rFonts w:ascii="仿宋_GB2312" w:hAnsi="宋体" w:eastAsia="仿宋_GB2312"/>
          <w:b/>
          <w:color w:val="auto"/>
          <w:sz w:val="36"/>
          <w:szCs w:val="36"/>
        </w:rPr>
      </w:pPr>
    </w:p>
    <w:p>
      <w:pPr>
        <w:pStyle w:val="44"/>
        <w:rPr>
          <w:rFonts w:ascii="仿宋_GB2312" w:hAnsi="宋体" w:eastAsia="仿宋_GB2312"/>
          <w:b/>
          <w:color w:val="auto"/>
          <w:sz w:val="36"/>
          <w:szCs w:val="36"/>
        </w:rPr>
      </w:pPr>
    </w:p>
    <w:p>
      <w:pPr>
        <w:pStyle w:val="44"/>
        <w:rPr>
          <w:rFonts w:ascii="仿宋_GB2312" w:hAnsi="宋体" w:eastAsia="仿宋_GB2312"/>
          <w:b/>
          <w:color w:val="auto"/>
          <w:sz w:val="36"/>
          <w:szCs w:val="36"/>
        </w:rPr>
      </w:pPr>
    </w:p>
    <w:p>
      <w:pPr>
        <w:pStyle w:val="44"/>
        <w:rPr>
          <w:rFonts w:ascii="仿宋_GB2312" w:hAnsi="宋体" w:eastAsia="仿宋_GB2312"/>
          <w:b/>
          <w:color w:val="auto"/>
          <w:sz w:val="36"/>
          <w:szCs w:val="36"/>
        </w:rPr>
      </w:pPr>
    </w:p>
    <w:p>
      <w:pPr>
        <w:pStyle w:val="44"/>
        <w:rPr>
          <w:rFonts w:ascii="仿宋_GB2312" w:hAnsi="宋体" w:eastAsia="仿宋_GB2312"/>
          <w:b/>
          <w:color w:val="auto"/>
          <w:sz w:val="36"/>
          <w:szCs w:val="36"/>
        </w:rPr>
      </w:pPr>
    </w:p>
    <w:p>
      <w:pPr>
        <w:pStyle w:val="44"/>
        <w:rPr>
          <w:rFonts w:ascii="仿宋_GB2312" w:hAnsi="宋体" w:eastAsia="仿宋_GB2312"/>
          <w:b/>
          <w:color w:val="auto"/>
          <w:sz w:val="36"/>
          <w:szCs w:val="36"/>
        </w:rPr>
      </w:pPr>
    </w:p>
    <w:p>
      <w:pPr>
        <w:pStyle w:val="44"/>
        <w:rPr>
          <w:rFonts w:ascii="仿宋_GB2312" w:hAnsi="宋体" w:eastAsia="仿宋_GB2312"/>
          <w:b/>
          <w:color w:val="auto"/>
          <w:sz w:val="36"/>
          <w:szCs w:val="36"/>
        </w:rPr>
      </w:pPr>
    </w:p>
    <w:p>
      <w:pPr>
        <w:pStyle w:val="44"/>
        <w:rPr>
          <w:rFonts w:ascii="仿宋_GB2312" w:hAnsi="宋体" w:eastAsia="仿宋_GB2312"/>
          <w:b/>
          <w:color w:val="auto"/>
          <w:sz w:val="36"/>
          <w:szCs w:val="36"/>
        </w:rPr>
      </w:pPr>
    </w:p>
    <w:p>
      <w:pPr>
        <w:pStyle w:val="44"/>
        <w:rPr>
          <w:rFonts w:ascii="仿宋_GB2312" w:hAnsi="宋体" w:eastAsia="仿宋_GB2312"/>
          <w:b/>
          <w:color w:val="auto"/>
          <w:sz w:val="36"/>
          <w:szCs w:val="36"/>
        </w:rPr>
      </w:pPr>
    </w:p>
    <w:p>
      <w:pPr>
        <w:spacing w:line="360" w:lineRule="auto"/>
        <w:ind w:right="-108"/>
        <w:jc w:val="center"/>
        <w:rPr>
          <w:rFonts w:ascii="宋体" w:hAnsi="宋体"/>
          <w:b/>
          <w:color w:val="auto"/>
          <w:sz w:val="32"/>
          <w:szCs w:val="32"/>
        </w:rPr>
      </w:pPr>
      <w:r>
        <w:rPr>
          <w:rFonts w:hint="eastAsia" w:ascii="宋体" w:hAnsi="宋体"/>
          <w:b/>
          <w:color w:val="auto"/>
          <w:sz w:val="32"/>
          <w:szCs w:val="32"/>
        </w:rPr>
        <w:t>报价文件目录</w:t>
      </w:r>
    </w:p>
    <w:p>
      <w:pPr>
        <w:spacing w:line="360" w:lineRule="auto"/>
        <w:ind w:right="-108"/>
        <w:jc w:val="center"/>
        <w:rPr>
          <w:rFonts w:ascii="仿宋_GB2312" w:hAnsi="宋体" w:eastAsia="仿宋_GB2312"/>
          <w:b/>
          <w:color w:val="auto"/>
          <w:sz w:val="36"/>
          <w:szCs w:val="36"/>
        </w:rPr>
      </w:pPr>
    </w:p>
    <w:p>
      <w:pPr>
        <w:spacing w:line="360" w:lineRule="auto"/>
        <w:rPr>
          <w:rFonts w:ascii="宋体" w:hAnsi="宋体"/>
          <w:color w:val="auto"/>
          <w:sz w:val="24"/>
        </w:rPr>
      </w:pPr>
    </w:p>
    <w:p>
      <w:pPr>
        <w:numPr>
          <w:ilvl w:val="0"/>
          <w:numId w:val="12"/>
        </w:numPr>
        <w:spacing w:line="360" w:lineRule="auto"/>
        <w:rPr>
          <w:rFonts w:ascii="宋体" w:hAnsi="宋体"/>
          <w:color w:val="auto"/>
          <w:sz w:val="24"/>
        </w:rPr>
      </w:pPr>
      <w:r>
        <w:rPr>
          <w:rFonts w:hint="eastAsia" w:ascii="宋体" w:hAnsi="宋体"/>
          <w:color w:val="auto"/>
          <w:sz w:val="24"/>
        </w:rPr>
        <w:t>开标一览表（附件11）；</w:t>
      </w:r>
    </w:p>
    <w:p>
      <w:pPr>
        <w:spacing w:line="360" w:lineRule="auto"/>
        <w:rPr>
          <w:rFonts w:ascii="宋体" w:hAnsi="宋体"/>
          <w:color w:val="auto"/>
          <w:kern w:val="0"/>
          <w:sz w:val="24"/>
        </w:rPr>
      </w:pPr>
      <w:r>
        <w:rPr>
          <w:rFonts w:hint="eastAsia" w:hAnsi="宋体"/>
          <w:color w:val="auto"/>
          <w:sz w:val="24"/>
          <w:lang w:val="en-US" w:eastAsia="zh-CN"/>
        </w:rPr>
        <w:t>2</w:t>
      </w:r>
      <w:r>
        <w:rPr>
          <w:rFonts w:hint="eastAsia" w:hAnsi="宋体"/>
          <w:color w:val="auto"/>
          <w:sz w:val="24"/>
        </w:rPr>
        <w:t>、供应商认为其他需要说明的内容组成</w:t>
      </w:r>
      <w:r>
        <w:rPr>
          <w:rFonts w:hint="eastAsia" w:ascii="宋体" w:hAnsi="宋体"/>
          <w:color w:val="auto"/>
          <w:kern w:val="0"/>
          <w:sz w:val="24"/>
        </w:rPr>
        <w:t>。</w:t>
      </w:r>
    </w:p>
    <w:p>
      <w:pPr>
        <w:spacing w:line="360" w:lineRule="auto"/>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ind w:left="480"/>
        <w:rPr>
          <w:rFonts w:ascii="宋体" w:hAnsi="宋体"/>
          <w:b/>
          <w:color w:val="auto"/>
          <w:sz w:val="28"/>
        </w:rPr>
      </w:pPr>
    </w:p>
    <w:p>
      <w:pPr>
        <w:spacing w:line="360" w:lineRule="auto"/>
        <w:rPr>
          <w:rFonts w:ascii="宋体" w:hAnsi="宋体"/>
          <w:b/>
          <w:color w:val="auto"/>
          <w:sz w:val="28"/>
        </w:rPr>
        <w:sectPr>
          <w:pgSz w:w="11906" w:h="16838"/>
          <w:pgMar w:top="1440" w:right="1800" w:bottom="1440" w:left="1800" w:header="851" w:footer="992" w:gutter="0"/>
          <w:pgNumType w:fmt="numberInDash"/>
          <w:cols w:space="425" w:num="1"/>
          <w:docGrid w:type="lines" w:linePitch="312" w:charSpace="0"/>
        </w:sectPr>
      </w:pPr>
    </w:p>
    <w:p>
      <w:pPr>
        <w:spacing w:line="360" w:lineRule="auto"/>
        <w:rPr>
          <w:rFonts w:ascii="宋体" w:hAnsi="宋体"/>
          <w:b/>
          <w:color w:val="auto"/>
          <w:sz w:val="28"/>
        </w:rPr>
      </w:pPr>
      <w:r>
        <w:rPr>
          <w:rFonts w:hint="eastAsia" w:ascii="宋体" w:hAnsi="宋体"/>
          <w:b/>
          <w:color w:val="auto"/>
          <w:sz w:val="28"/>
        </w:rPr>
        <w:t>附件11</w:t>
      </w:r>
    </w:p>
    <w:p>
      <w:pPr>
        <w:spacing w:line="360" w:lineRule="auto"/>
        <w:ind w:left="-2" w:hanging="2"/>
        <w:jc w:val="center"/>
        <w:rPr>
          <w:rFonts w:ascii="宋体" w:hAnsi="宋体"/>
          <w:b/>
          <w:color w:val="auto"/>
          <w:sz w:val="32"/>
          <w:szCs w:val="32"/>
        </w:rPr>
      </w:pPr>
      <w:r>
        <w:rPr>
          <w:rFonts w:hint="eastAsia" w:ascii="宋体" w:hAnsi="宋体"/>
          <w:b/>
          <w:color w:val="auto"/>
          <w:sz w:val="32"/>
          <w:szCs w:val="32"/>
        </w:rPr>
        <w:t>开标一览表（标段）</w:t>
      </w:r>
    </w:p>
    <w:p>
      <w:pPr>
        <w:pStyle w:val="22"/>
        <w:spacing w:line="360" w:lineRule="auto"/>
        <w:rPr>
          <w:rFonts w:hAnsi="宋体"/>
          <w:b/>
          <w:color w:val="auto"/>
          <w:sz w:val="24"/>
        </w:rPr>
      </w:pPr>
      <w:r>
        <w:rPr>
          <w:rFonts w:hAnsi="宋体"/>
          <w:b/>
          <w:color w:val="auto"/>
          <w:sz w:val="24"/>
        </w:rPr>
        <w:t>项目编号：</w:t>
      </w:r>
    </w:p>
    <w:p>
      <w:pPr>
        <w:pStyle w:val="60"/>
        <w:spacing w:line="360" w:lineRule="auto"/>
        <w:ind w:right="480"/>
        <w:jc w:val="left"/>
        <w:rPr>
          <w:rFonts w:ascii="宋体" w:hAnsi="宋体"/>
          <w:color w:val="auto"/>
          <w:sz w:val="24"/>
        </w:rPr>
      </w:pPr>
      <w:r>
        <w:rPr>
          <w:rFonts w:hAnsi="宋体"/>
          <w:b/>
          <w:color w:val="auto"/>
          <w:sz w:val="24"/>
        </w:rPr>
        <w:t>项目名称：</w:t>
      </w:r>
      <w:r>
        <w:rPr>
          <w:rFonts w:hint="eastAsia" w:hAnsi="宋体"/>
          <w:b/>
          <w:color w:val="auto"/>
          <w:sz w:val="24"/>
        </w:rPr>
        <w:t xml:space="preserve">                               </w:t>
      </w:r>
      <w:r>
        <w:rPr>
          <w:rFonts w:ascii="宋体" w:hAnsi="宋体"/>
          <w:color w:val="auto"/>
          <w:sz w:val="24"/>
        </w:rPr>
        <w:t>〔</w:t>
      </w:r>
      <w:r>
        <w:rPr>
          <w:rFonts w:hint="eastAsia" w:ascii="宋体" w:hAnsi="宋体"/>
          <w:color w:val="auto"/>
          <w:sz w:val="24"/>
        </w:rPr>
        <w:t>货币单位：</w:t>
      </w:r>
      <w:r>
        <w:rPr>
          <w:rFonts w:hint="eastAsia" w:ascii="宋体" w:hAnsi="宋体"/>
          <w:color w:val="auto"/>
          <w:sz w:val="24"/>
          <w:u w:val="single"/>
        </w:rPr>
        <w:t>人民币元</w:t>
      </w:r>
      <w:r>
        <w:rPr>
          <w:rFonts w:ascii="宋体" w:hAnsi="宋体"/>
          <w:color w:val="auto"/>
          <w:sz w:val="24"/>
        </w:rPr>
        <w:t>〕</w:t>
      </w:r>
    </w:p>
    <w:tbl>
      <w:tblPr>
        <w:tblStyle w:val="35"/>
        <w:tblW w:w="87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15"/>
        <w:gridCol w:w="1359"/>
        <w:gridCol w:w="466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50" w:hRule="atLeast"/>
          <w:jc w:val="center"/>
        </w:trPr>
        <w:tc>
          <w:tcPr>
            <w:tcW w:w="2715"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lang w:eastAsia="zh-CN"/>
              </w:rPr>
              <w:t>投标报价（结算率）</w:t>
            </w:r>
          </w:p>
        </w:tc>
        <w:tc>
          <w:tcPr>
            <w:tcW w:w="135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65"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ind w:firstLine="1680" w:firstLineChars="700"/>
              <w:jc w:val="both"/>
              <w:textAlignment w:val="bottom"/>
              <w:rPr>
                <w:rFonts w:hint="default" w:ascii="宋体" w:hAnsi="宋体" w:eastAsia="宋体"/>
                <w:color w:val="auto"/>
                <w:sz w:val="24"/>
                <w:u w:val="single"/>
                <w:lang w:val="en-US" w:eastAsia="zh-CN"/>
              </w:rPr>
            </w:pPr>
            <w:r>
              <w:rPr>
                <w:rFonts w:hint="eastAsia" w:ascii="宋体" w:hAnsi="宋体"/>
                <w:color w:val="auto"/>
                <w:sz w:val="24"/>
                <w:lang w:eastAsia="zh-CN"/>
              </w:rPr>
              <w:t>百分之</w:t>
            </w:r>
            <w:r>
              <w:rPr>
                <w:rFonts w:hint="eastAsia" w:ascii="宋体" w:hAnsi="宋体"/>
                <w:color w:val="auto"/>
                <w:sz w:val="24"/>
                <w:u w:val="single"/>
                <w:lang w:val="en-US" w:eastAsia="zh-CN"/>
              </w:rPr>
              <w:t xml:space="preserve">    </w:t>
            </w:r>
            <w:r>
              <w:rPr>
                <w:rFonts w:hint="eastAsia" w:ascii="宋体" w:hAnsi="宋体"/>
                <w:color w:val="auto"/>
                <w:sz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99" w:hRule="atLeast"/>
          <w:jc w:val="center"/>
        </w:trPr>
        <w:tc>
          <w:tcPr>
            <w:tcW w:w="2715"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65"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color w:val="auto"/>
                <w:sz w:val="24"/>
                <w:lang w:val="en-US" w:eastAsia="zh-CN"/>
              </w:rPr>
            </w:pPr>
            <w:r>
              <w:rPr>
                <w:rFonts w:hint="eastAsia" w:ascii="宋体" w:hAnsi="宋体"/>
                <w:color w:val="auto"/>
                <w:sz w:val="24"/>
                <w:u w:val="single"/>
                <w:lang w:val="en-US" w:eastAsia="zh-CN"/>
              </w:rPr>
              <w:t xml:space="preserve">      </w:t>
            </w:r>
            <w:r>
              <w:rPr>
                <w:rFonts w:hint="eastAsia" w:ascii="宋体" w:hAnsi="宋体"/>
                <w:color w:val="auto"/>
                <w:sz w:val="24"/>
                <w:lang w:val="en-US" w:eastAsia="zh-CN"/>
              </w:rPr>
              <w:t>%</w:t>
            </w:r>
          </w:p>
        </w:tc>
      </w:tr>
    </w:tbl>
    <w:p>
      <w:pPr>
        <w:pStyle w:val="60"/>
        <w:spacing w:line="360" w:lineRule="auto"/>
        <w:ind w:right="480"/>
        <w:jc w:val="left"/>
        <w:rPr>
          <w:rFonts w:ascii="宋体" w:hAnsi="宋体"/>
          <w:color w:val="auto"/>
          <w:sz w:val="24"/>
        </w:rPr>
      </w:pPr>
    </w:p>
    <w:p>
      <w:pPr>
        <w:spacing w:line="360" w:lineRule="auto"/>
        <w:rPr>
          <w:rFonts w:hint="eastAsia" w:ascii="宋体" w:hAnsi="宋体"/>
          <w:b/>
          <w:color w:val="auto"/>
          <w:szCs w:val="21"/>
        </w:rPr>
      </w:pPr>
      <w:r>
        <w:rPr>
          <w:rFonts w:hint="eastAsia" w:ascii="宋体" w:hAnsi="宋体"/>
          <w:b/>
          <w:color w:val="auto"/>
          <w:szCs w:val="21"/>
        </w:rPr>
        <w:t>填报要求：</w:t>
      </w:r>
    </w:p>
    <w:p>
      <w:pPr>
        <w:numPr>
          <w:ilvl w:val="0"/>
          <w:numId w:val="13"/>
        </w:numPr>
        <w:spacing w:line="360" w:lineRule="auto"/>
        <w:ind w:firstLine="420" w:firstLineChars="200"/>
        <w:rPr>
          <w:color w:val="auto"/>
        </w:rPr>
      </w:pPr>
      <w:r>
        <w:rPr>
          <w:rFonts w:hint="eastAsia"/>
          <w:color w:val="auto"/>
        </w:rPr>
        <w:t>填报的结算率≤100%，否则作无效标处理</w:t>
      </w:r>
    </w:p>
    <w:p>
      <w:pPr>
        <w:numPr>
          <w:ilvl w:val="0"/>
          <w:numId w:val="13"/>
        </w:numPr>
        <w:spacing w:line="360" w:lineRule="auto"/>
        <w:ind w:firstLine="420" w:firstLineChars="200"/>
        <w:rPr>
          <w:color w:val="auto"/>
        </w:rPr>
      </w:pPr>
      <w:r>
        <w:rPr>
          <w:rFonts w:hint="eastAsia" w:ascii="宋体" w:hAnsi="宋体" w:eastAsia="宋体" w:cs="Times New Roman"/>
          <w:color w:val="auto"/>
          <w:kern w:val="0"/>
          <w:szCs w:val="21"/>
          <w:lang w:val="zh-CN"/>
        </w:rPr>
        <w:t>最终结算金额=实际工作量*成交单价（成交单价</w:t>
      </w:r>
      <w:r>
        <w:rPr>
          <w:rFonts w:hint="eastAsia" w:ascii="宋体" w:hAnsi="宋体" w:eastAsia="宋体" w:cs="Times New Roman"/>
          <w:color w:val="auto"/>
          <w:kern w:val="0"/>
          <w:szCs w:val="21"/>
          <w:lang w:val="en-US" w:eastAsia="zh-CN"/>
        </w:rPr>
        <w:t>=上限单价*成交结算率</w:t>
      </w:r>
      <w:r>
        <w:rPr>
          <w:rFonts w:hint="eastAsia" w:ascii="宋体" w:hAnsi="宋体" w:eastAsia="宋体" w:cs="Times New Roman"/>
          <w:color w:val="auto"/>
          <w:kern w:val="0"/>
          <w:szCs w:val="21"/>
          <w:lang w:val="zh-CN"/>
        </w:rPr>
        <w:t>）</w:t>
      </w:r>
    </w:p>
    <w:p>
      <w:pPr>
        <w:numPr>
          <w:ilvl w:val="0"/>
          <w:numId w:val="13"/>
        </w:numPr>
        <w:spacing w:line="360" w:lineRule="auto"/>
        <w:ind w:firstLine="420" w:firstLineChars="200"/>
        <w:rPr>
          <w:rFonts w:ascii="宋体" w:hAnsi="宋体"/>
          <w:color w:val="auto"/>
          <w:szCs w:val="21"/>
        </w:rPr>
      </w:pPr>
      <w:r>
        <w:rPr>
          <w:rFonts w:hint="eastAsia" w:ascii="宋体" w:hAnsi="宋体"/>
          <w:color w:val="auto"/>
          <w:kern w:val="0"/>
          <w:szCs w:val="21"/>
        </w:rPr>
        <w:t>投标报价包含实现本项目的所有功能及安全保障工作所需费用，其应包括（但不限于）材料、设备、劳务、人员工资、奖金、各种加班费、食宿与交通、手续审批、安全、管理、质保、保险、利润、税金、政策性文件规定及合同包含的所有风险、责任等所有费用（即整个项目直至履约完成，采购人不再另行支付费用）全部费用已包含在开标一览表的投标总报价中。</w:t>
      </w:r>
    </w:p>
    <w:p>
      <w:pPr>
        <w:numPr>
          <w:ilvl w:val="0"/>
          <w:numId w:val="13"/>
        </w:numPr>
        <w:spacing w:line="360" w:lineRule="auto"/>
        <w:ind w:firstLine="420" w:firstLineChars="200"/>
        <w:rPr>
          <w:rFonts w:ascii="宋体" w:hAnsi="宋体"/>
          <w:color w:val="auto"/>
          <w:szCs w:val="21"/>
        </w:rPr>
      </w:pPr>
      <w:r>
        <w:rPr>
          <w:rFonts w:hint="eastAsia" w:ascii="宋体" w:hAnsi="宋体"/>
          <w:color w:val="auto"/>
          <w:kern w:val="0"/>
          <w:szCs w:val="21"/>
        </w:rPr>
        <w:t>报价一经涂改，应在涂改处加盖单位公章，或者由法定代表人或全权代表签字或盖章，否则其投标作无效标处理。</w:t>
      </w:r>
    </w:p>
    <w:p>
      <w:pPr>
        <w:pStyle w:val="34"/>
        <w:rPr>
          <w:color w:val="auto"/>
          <w:szCs w:val="21"/>
        </w:rPr>
      </w:pPr>
    </w:p>
    <w:p>
      <w:pPr>
        <w:spacing w:line="360" w:lineRule="auto"/>
        <w:ind w:left="420"/>
        <w:rPr>
          <w:rFonts w:ascii="宋体" w:hAnsi="宋体"/>
          <w:color w:val="auto"/>
          <w:szCs w:val="21"/>
        </w:rPr>
      </w:pPr>
      <w:r>
        <w:rPr>
          <w:rFonts w:hint="eastAsia" w:ascii="宋体" w:hAnsi="宋体"/>
          <w:color w:val="auto"/>
          <w:szCs w:val="21"/>
        </w:rPr>
        <w:t>投标人名称（公章）：</w:t>
      </w:r>
    </w:p>
    <w:p>
      <w:pPr>
        <w:spacing w:line="360" w:lineRule="auto"/>
        <w:ind w:firstLine="435"/>
        <w:rPr>
          <w:rFonts w:ascii="宋体" w:hAnsi="宋体"/>
          <w:color w:val="auto"/>
          <w:szCs w:val="21"/>
        </w:rPr>
      </w:pPr>
      <w:r>
        <w:rPr>
          <w:rFonts w:hint="eastAsia" w:ascii="宋体" w:hAnsi="宋体"/>
          <w:color w:val="auto"/>
          <w:szCs w:val="21"/>
        </w:rPr>
        <w:t>投标人代表签字或盖章：</w:t>
      </w:r>
    </w:p>
    <w:p>
      <w:pPr>
        <w:spacing w:line="360" w:lineRule="auto"/>
        <w:ind w:firstLine="435"/>
        <w:rPr>
          <w:rFonts w:ascii="宋体" w:hAnsi="宋体"/>
          <w:color w:val="auto"/>
          <w:szCs w:val="21"/>
        </w:rPr>
      </w:pPr>
      <w:r>
        <w:rPr>
          <w:rFonts w:hint="eastAsia" w:ascii="宋体" w:hAnsi="宋体"/>
          <w:color w:val="auto"/>
          <w:szCs w:val="21"/>
        </w:rPr>
        <w:t>职</w:t>
      </w:r>
      <w:r>
        <w:rPr>
          <w:rFonts w:ascii="宋体" w:hAnsi="宋体"/>
          <w:color w:val="auto"/>
          <w:szCs w:val="21"/>
        </w:rPr>
        <w:t xml:space="preserve">        </w:t>
      </w:r>
      <w:r>
        <w:rPr>
          <w:rFonts w:hint="eastAsia" w:ascii="宋体" w:hAnsi="宋体"/>
          <w:color w:val="auto"/>
          <w:szCs w:val="21"/>
        </w:rPr>
        <w:t>务：</w:t>
      </w:r>
    </w:p>
    <w:p>
      <w:pPr>
        <w:spacing w:line="360" w:lineRule="auto"/>
        <w:ind w:firstLine="435"/>
        <w:rPr>
          <w:rFonts w:ascii="宋体" w:hAnsi="宋体"/>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pPr>
        <w:snapToGrid w:val="0"/>
        <w:spacing w:before="156" w:beforeLines="50" w:after="50" w:line="360" w:lineRule="auto"/>
        <w:rPr>
          <w:rFonts w:ascii="宋体" w:hAnsi="宋体"/>
          <w:b/>
          <w:color w:val="auto"/>
          <w:sz w:val="28"/>
        </w:rPr>
      </w:pPr>
    </w:p>
    <w:p>
      <w:pPr>
        <w:snapToGrid w:val="0"/>
        <w:spacing w:before="156" w:beforeLines="50" w:after="50" w:line="360" w:lineRule="auto"/>
        <w:rPr>
          <w:rFonts w:ascii="宋体" w:hAnsi="宋体"/>
          <w:b/>
          <w:color w:val="auto"/>
          <w:sz w:val="28"/>
        </w:rPr>
      </w:pPr>
    </w:p>
    <w:p>
      <w:pPr>
        <w:snapToGrid w:val="0"/>
        <w:spacing w:before="156" w:beforeLines="50" w:after="50" w:line="360" w:lineRule="auto"/>
        <w:rPr>
          <w:rFonts w:ascii="宋体" w:hAnsi="宋体"/>
          <w:b/>
          <w:color w:val="auto"/>
          <w:sz w:val="28"/>
        </w:rPr>
      </w:pPr>
    </w:p>
    <w:p>
      <w:pPr>
        <w:spacing w:line="360" w:lineRule="auto"/>
        <w:jc w:val="left"/>
        <w:rPr>
          <w:rFonts w:hint="eastAsia" w:ascii="宋体" w:hAnsi="宋体" w:eastAsia="宋体"/>
          <w:b/>
          <w:color w:val="auto"/>
          <w:sz w:val="28"/>
          <w:lang w:eastAsia="zh-CN"/>
        </w:rPr>
      </w:pPr>
      <w:r>
        <w:rPr>
          <w:rFonts w:hint="eastAsia" w:ascii="宋体" w:hAnsi="宋体"/>
          <w:b/>
          <w:color w:val="auto"/>
          <w:sz w:val="28"/>
        </w:rPr>
        <w:t>附件1</w:t>
      </w:r>
      <w:r>
        <w:rPr>
          <w:rFonts w:hint="eastAsia" w:ascii="宋体" w:hAnsi="宋体"/>
          <w:b/>
          <w:color w:val="auto"/>
          <w:sz w:val="28"/>
          <w:lang w:val="en-US" w:eastAsia="zh-CN"/>
        </w:rPr>
        <w:t>3</w:t>
      </w:r>
    </w:p>
    <w:p>
      <w:pPr>
        <w:pStyle w:val="44"/>
        <w:rPr>
          <w:color w:val="auto"/>
        </w:rPr>
      </w:pPr>
    </w:p>
    <w:p>
      <w:pPr>
        <w:widowControl/>
        <w:jc w:val="center"/>
        <w:rPr>
          <w:rFonts w:ascii="宋体" w:hAnsi="宋体" w:cs="宋体"/>
          <w:b/>
          <w:color w:val="auto"/>
          <w:kern w:val="0"/>
          <w:sz w:val="36"/>
          <w:szCs w:val="36"/>
        </w:rPr>
      </w:pPr>
      <w:r>
        <w:rPr>
          <w:rFonts w:hint="eastAsia" w:ascii="宋体" w:hAnsi="宋体" w:cs="宋体"/>
          <w:b/>
          <w:color w:val="auto"/>
          <w:kern w:val="0"/>
          <w:sz w:val="36"/>
          <w:szCs w:val="36"/>
        </w:rPr>
        <w:t>中小企业声明函</w:t>
      </w:r>
    </w:p>
    <w:p>
      <w:pPr>
        <w:pStyle w:val="16"/>
        <w:rPr>
          <w:color w:val="auto"/>
        </w:rPr>
      </w:pP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本公司郑重声明，根据《政府采购促进中小企业发展管理办法》（财库﹝2020﹞46 号）的规定，本公司参加</w:t>
      </w:r>
      <w:r>
        <w:rPr>
          <w:rFonts w:hint="eastAsia" w:ascii="宋体" w:hAnsi="宋体" w:cs="宋体"/>
          <w:i/>
          <w:color w:val="auto"/>
          <w:kern w:val="0"/>
          <w:sz w:val="24"/>
          <w:u w:val="single"/>
        </w:rPr>
        <w:t>（单位名称）</w:t>
      </w:r>
      <w:r>
        <w:rPr>
          <w:rFonts w:hint="eastAsia" w:ascii="宋体" w:hAnsi="宋体" w:cs="宋体"/>
          <w:color w:val="auto"/>
          <w:kern w:val="0"/>
          <w:sz w:val="24"/>
        </w:rPr>
        <w:t>的</w:t>
      </w:r>
      <w:r>
        <w:rPr>
          <w:rFonts w:hint="eastAsia" w:ascii="宋体" w:hAnsi="宋体" w:cs="宋体"/>
          <w:i/>
          <w:color w:val="auto"/>
          <w:kern w:val="0"/>
          <w:sz w:val="24"/>
          <w:u w:val="single"/>
        </w:rPr>
        <w:t>（项目名称）</w:t>
      </w:r>
      <w:r>
        <w:rPr>
          <w:rFonts w:hint="eastAsia" w:ascii="宋体" w:hAnsi="宋体" w:cs="宋体"/>
          <w:color w:val="auto"/>
          <w:kern w:val="0"/>
          <w:sz w:val="24"/>
        </w:rPr>
        <w:t>采购活动，全部为符合政策要求的中小企业（或者：服务全部由符合政策要求的中小企业承接）。相关企业（含联合体中的中小企业、签订分包意向协议的中小企业）的具体情 况如下：</w:t>
      </w:r>
    </w:p>
    <w:p>
      <w:pPr>
        <w:widowControl/>
        <w:numPr>
          <w:ilvl w:val="0"/>
          <w:numId w:val="14"/>
        </w:numPr>
        <w:spacing w:line="360" w:lineRule="auto"/>
        <w:ind w:firstLine="480" w:firstLineChars="200"/>
        <w:jc w:val="left"/>
        <w:rPr>
          <w:rFonts w:ascii="宋体" w:hAnsi="宋体" w:cs="宋体"/>
          <w:color w:val="auto"/>
          <w:kern w:val="0"/>
          <w:sz w:val="24"/>
        </w:rPr>
      </w:pPr>
      <w:r>
        <w:rPr>
          <w:rFonts w:hint="eastAsia" w:ascii="宋体" w:hAnsi="宋体" w:cs="宋体"/>
          <w:i/>
          <w:color w:val="auto"/>
          <w:kern w:val="0"/>
          <w:sz w:val="24"/>
          <w:u w:val="single"/>
        </w:rPr>
        <w:t xml:space="preserve">（标的名称） </w:t>
      </w:r>
      <w:r>
        <w:rPr>
          <w:rFonts w:hint="eastAsia" w:ascii="宋体" w:hAnsi="宋体" w:cs="宋体"/>
          <w:color w:val="auto"/>
          <w:kern w:val="0"/>
          <w:sz w:val="24"/>
        </w:rPr>
        <w:t>，属于</w:t>
      </w:r>
      <w:r>
        <w:rPr>
          <w:rFonts w:hint="eastAsia" w:ascii="宋体" w:hAnsi="宋体" w:cs="宋体"/>
          <w:i/>
          <w:color w:val="auto"/>
          <w:kern w:val="0"/>
          <w:sz w:val="24"/>
          <w:u w:val="single"/>
        </w:rPr>
        <w:t>（采购文件中明确的所属行业）</w:t>
      </w:r>
      <w:r>
        <w:rPr>
          <w:rFonts w:hint="eastAsia" w:ascii="宋体" w:hAnsi="宋体" w:cs="宋体"/>
          <w:color w:val="auto"/>
          <w:kern w:val="0"/>
          <w:sz w:val="24"/>
        </w:rPr>
        <w:t>；承建（承接）企业为</w:t>
      </w:r>
      <w:r>
        <w:rPr>
          <w:rFonts w:hint="eastAsia" w:ascii="宋体" w:hAnsi="宋体" w:cs="宋体"/>
          <w:i/>
          <w:color w:val="auto"/>
          <w:kern w:val="0"/>
          <w:sz w:val="24"/>
          <w:u w:val="single"/>
        </w:rPr>
        <w:t>（企业名称）</w:t>
      </w:r>
      <w:r>
        <w:rPr>
          <w:rFonts w:hint="eastAsia" w:ascii="宋体" w:hAnsi="宋体" w:cs="宋体"/>
          <w:color w:val="auto"/>
          <w:kern w:val="0"/>
          <w:sz w:val="24"/>
        </w:rPr>
        <w:t>，从业人员</w:t>
      </w:r>
      <w:r>
        <w:rPr>
          <w:rFonts w:hint="eastAsia" w:ascii="宋体" w:hAnsi="宋体" w:cs="宋体"/>
          <w:color w:val="auto"/>
          <w:kern w:val="0"/>
          <w:sz w:val="24"/>
          <w:u w:val="single"/>
        </w:rPr>
        <w:t xml:space="preserve">   </w:t>
      </w:r>
      <w:r>
        <w:rPr>
          <w:rFonts w:hint="eastAsia" w:ascii="宋体" w:hAnsi="宋体" w:cs="宋体"/>
          <w:color w:val="auto"/>
          <w:kern w:val="0"/>
          <w:sz w:val="24"/>
        </w:rPr>
        <w:t>人，营业收入为</w:t>
      </w:r>
      <w:r>
        <w:rPr>
          <w:rFonts w:hint="eastAsia" w:ascii="宋体" w:hAnsi="宋体" w:cs="宋体"/>
          <w:color w:val="auto"/>
          <w:kern w:val="0"/>
          <w:sz w:val="24"/>
          <w:u w:val="single"/>
        </w:rPr>
        <w:t xml:space="preserve">   </w:t>
      </w:r>
      <w:r>
        <w:rPr>
          <w:rFonts w:hint="eastAsia" w:ascii="宋体" w:hAnsi="宋体" w:cs="宋体"/>
          <w:color w:val="auto"/>
          <w:kern w:val="0"/>
          <w:sz w:val="24"/>
        </w:rPr>
        <w:t>万元，资产总额为</w:t>
      </w:r>
      <w:r>
        <w:rPr>
          <w:rFonts w:hint="eastAsia" w:ascii="宋体" w:hAnsi="宋体" w:cs="宋体"/>
          <w:color w:val="auto"/>
          <w:kern w:val="0"/>
          <w:sz w:val="24"/>
          <w:u w:val="single"/>
        </w:rPr>
        <w:t xml:space="preserve">   </w:t>
      </w:r>
      <w:r>
        <w:rPr>
          <w:rFonts w:hint="eastAsia" w:ascii="宋体" w:hAnsi="宋体" w:cs="宋体"/>
          <w:color w:val="auto"/>
          <w:kern w:val="0"/>
          <w:sz w:val="24"/>
        </w:rPr>
        <w:t>万元，属于</w:t>
      </w:r>
      <w:r>
        <w:rPr>
          <w:rFonts w:hint="eastAsia" w:ascii="宋体" w:hAnsi="宋体" w:cs="宋体"/>
          <w:i/>
          <w:color w:val="auto"/>
          <w:kern w:val="0"/>
          <w:sz w:val="24"/>
          <w:u w:val="single"/>
        </w:rPr>
        <w:t>（中型企业、 小型企业、微型企业）</w:t>
      </w:r>
      <w:r>
        <w:rPr>
          <w:rFonts w:hint="eastAsia" w:ascii="宋体" w:hAnsi="宋体" w:cs="宋体"/>
          <w:color w:val="auto"/>
          <w:kern w:val="0"/>
          <w:sz w:val="24"/>
        </w:rPr>
        <w:t>；</w:t>
      </w:r>
    </w:p>
    <w:p>
      <w:pPr>
        <w:pStyle w:val="19"/>
        <w:rPr>
          <w:color w:val="auto"/>
        </w:rPr>
      </w:pP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以上企业，不属于大企业的分支机构，不存在控股股东为大企业的情形，也不存在与大企业的负责人为同一人的情形。本企业对上述声明内容的真实性负责。如有虚假，将依法承担相应责任。 </w:t>
      </w:r>
    </w:p>
    <w:p>
      <w:pPr>
        <w:pStyle w:val="16"/>
        <w:rPr>
          <w:rFonts w:ascii="宋体" w:hAnsi="宋体" w:cs="宋体"/>
          <w:color w:val="auto"/>
          <w:kern w:val="0"/>
          <w:sz w:val="24"/>
          <w:szCs w:val="24"/>
        </w:rPr>
      </w:pPr>
      <w:r>
        <w:rPr>
          <w:rFonts w:hint="eastAsia" w:ascii="宋体" w:hAnsi="宋体" w:cs="宋体"/>
          <w:color w:val="auto"/>
          <w:kern w:val="0"/>
          <w:sz w:val="24"/>
          <w:szCs w:val="24"/>
        </w:rPr>
        <w:t>注：从业人员、营业收入、资产总额填报上一年度数据，无上一年度数据的新成立企业可不填报。</w:t>
      </w:r>
    </w:p>
    <w:p>
      <w:pPr>
        <w:pStyle w:val="16"/>
        <w:rPr>
          <w:color w:val="auto"/>
        </w:rPr>
      </w:pPr>
    </w:p>
    <w:p>
      <w:pPr>
        <w:widowControl/>
        <w:spacing w:line="360" w:lineRule="auto"/>
        <w:jc w:val="center"/>
        <w:rPr>
          <w:rFonts w:ascii="宋体" w:hAnsi="宋体" w:cs="宋体"/>
          <w:color w:val="auto"/>
          <w:kern w:val="0"/>
          <w:sz w:val="24"/>
        </w:rPr>
      </w:pPr>
    </w:p>
    <w:p>
      <w:pPr>
        <w:widowControl/>
        <w:spacing w:line="360" w:lineRule="auto"/>
        <w:jc w:val="center"/>
        <w:rPr>
          <w:rFonts w:ascii="宋体" w:hAnsi="宋体" w:cs="宋体"/>
          <w:color w:val="auto"/>
          <w:sz w:val="24"/>
        </w:rPr>
      </w:pPr>
      <w:r>
        <w:rPr>
          <w:rFonts w:hint="eastAsia" w:ascii="宋体" w:hAnsi="宋体" w:cs="宋体"/>
          <w:color w:val="auto"/>
          <w:kern w:val="0"/>
          <w:sz w:val="24"/>
        </w:rPr>
        <w:t xml:space="preserve">                                企业名称（盖章）： </w:t>
      </w:r>
    </w:p>
    <w:p>
      <w:pPr>
        <w:widowControl/>
        <w:spacing w:line="360" w:lineRule="auto"/>
        <w:jc w:val="center"/>
        <w:rPr>
          <w:rFonts w:ascii="宋体" w:hAnsi="宋体" w:cs="宋体"/>
          <w:color w:val="auto"/>
          <w:sz w:val="24"/>
        </w:rPr>
      </w:pPr>
      <w:r>
        <w:rPr>
          <w:rFonts w:hint="eastAsia" w:ascii="宋体" w:hAnsi="宋体" w:cs="宋体"/>
          <w:color w:val="auto"/>
          <w:kern w:val="0"/>
          <w:sz w:val="24"/>
        </w:rPr>
        <w:t xml:space="preserve">                     日 期：</w:t>
      </w:r>
    </w:p>
    <w:p>
      <w:pPr>
        <w:pStyle w:val="3"/>
        <w:rPr>
          <w:color w:val="auto"/>
        </w:rPr>
      </w:pPr>
    </w:p>
    <w:p>
      <w:pPr>
        <w:pStyle w:val="3"/>
        <w:rPr>
          <w:color w:val="auto"/>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147955"/>
              <wp:effectExtent l="0" t="0" r="12065" b="0"/>
              <wp:wrapNone/>
              <wp:docPr id="1" name="文本框 10"/>
              <wp:cNvGraphicFramePr/>
              <a:graphic xmlns:a="http://schemas.openxmlformats.org/drawingml/2006/main">
                <a:graphicData uri="http://schemas.microsoft.com/office/word/2010/wordprocessingShape">
                  <wps:wsp>
                    <wps:cNvSpPr txBox="1"/>
                    <wps:spPr>
                      <a:xfrm>
                        <a:off x="0" y="0"/>
                        <a:ext cx="686435" cy="147955"/>
                      </a:xfrm>
                      <a:prstGeom prst="rect">
                        <a:avLst/>
                      </a:prstGeom>
                      <a:noFill/>
                      <a:ln w="6350">
                        <a:noFill/>
                      </a:ln>
                      <a:effectLst/>
                    </wps:spPr>
                    <wps:txbx>
                      <w:txbxContent>
                        <w:p>
                          <w:pPr>
                            <w:pStyle w:val="25"/>
                            <w:ind w:firstLine="360"/>
                            <w:rPr>
                              <w:highlight w:val="yellow"/>
                            </w:rPr>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1.65pt;width:54.05pt;mso-position-horizontal:center;mso-position-horizontal-relative:margin;mso-wrap-style:none;z-index:251659264;mso-width-relative:page;mso-height-relative:page;" filled="f" stroked="f" coordsize="21600,21600" o:gfxdata="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qR6aLSAAAABAEAAA8AAAAAAAAAAQAgAAAAIgAAAGRycy9kb3ducmV2LnhtbFBL&#10;AQIUABQAAAAIAIdO4kDSs1pTNQIAAGIEAAAOAAAAAAAAAAEAIAAAACEBAABkcnMvZTJvRG9jLnht&#10;bFBLBQYAAAAABgAGAFkBAADIBQAAAAA=&#10;">
              <v:fill on="f" focussize="0,0"/>
              <v:stroke on="f" weight="0.5pt"/>
              <v:imagedata o:title=""/>
              <o:lock v:ext="edit" aspectratio="f"/>
              <v:textbox inset="0mm,0mm,0mm,0mm" style="mso-fit-shape-to-text:t;">
                <w:txbxContent>
                  <w:p>
                    <w:pPr>
                      <w:pStyle w:val="25"/>
                      <w:ind w:firstLine="360"/>
                      <w:rPr>
                        <w:highlight w:val="yellow"/>
                      </w:rPr>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b/>
        <w:i/>
        <w:color w:val="000000" w:themeColor="text1"/>
        <w:kern w:val="0"/>
        <w:sz w:val="18"/>
        <w:u w:val="single"/>
        <w14:textFill>
          <w14:solidFill>
            <w14:schemeClr w14:val="tx1"/>
          </w14:solidFill>
        </w14:textFill>
      </w:rPr>
      <w:t>采购招标文件</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- 6 -</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129"/>
      </w:pPr>
    </w:lvl>
  </w:abstractNum>
  <w:abstractNum w:abstractNumId="1">
    <w:nsid w:val="9FC77B98"/>
    <w:multiLevelType w:val="singleLevel"/>
    <w:tmpl w:val="9FC77B98"/>
    <w:lvl w:ilvl="0" w:tentative="0">
      <w:start w:val="1"/>
      <w:numFmt w:val="chineseCounting"/>
      <w:suff w:val="nothing"/>
      <w:lvlText w:val="%1、"/>
      <w:lvlJc w:val="left"/>
      <w:rPr>
        <w:rFonts w:hint="eastAsia"/>
      </w:rPr>
    </w:lvl>
  </w:abstractNum>
  <w:abstractNum w:abstractNumId="2">
    <w:nsid w:val="A7051260"/>
    <w:multiLevelType w:val="singleLevel"/>
    <w:tmpl w:val="A7051260"/>
    <w:lvl w:ilvl="0" w:tentative="0">
      <w:start w:val="3"/>
      <w:numFmt w:val="decimal"/>
      <w:suff w:val="nothing"/>
      <w:lvlText w:val="（%1）"/>
      <w:lvlJc w:val="left"/>
    </w:lvl>
  </w:abstractNum>
  <w:abstractNum w:abstractNumId="3">
    <w:nsid w:val="AE2D8F7B"/>
    <w:multiLevelType w:val="multilevel"/>
    <w:tmpl w:val="AE2D8F7B"/>
    <w:lvl w:ilvl="0" w:tentative="0">
      <w:start w:val="1"/>
      <w:numFmt w:val="decimal"/>
      <w:pStyle w:val="15"/>
      <w:lvlText w:val="%1."/>
      <w:lvlJc w:val="left"/>
      <w:pPr>
        <w:tabs>
          <w:tab w:val="left" w:pos="360"/>
        </w:tabs>
        <w:ind w:left="360" w:hanging="360"/>
      </w:pPr>
    </w:lvl>
    <w:lvl w:ilvl="1" w:tentative="0">
      <w:start w:val="8"/>
      <w:numFmt w:val="decimal"/>
      <w:isLgl/>
      <w:lvlText w:val="%1.%2"/>
      <w:lvlJc w:val="left"/>
      <w:pPr>
        <w:ind w:left="840" w:hanging="360"/>
      </w:pPr>
      <w:rPr>
        <w:rFonts w:hint="default"/>
      </w:rPr>
    </w:lvl>
    <w:lvl w:ilvl="2" w:tentative="0">
      <w:start w:val="1"/>
      <w:numFmt w:val="decimal"/>
      <w:isLgl/>
      <w:lvlText w:val="%1.%2.%3"/>
      <w:lvlJc w:val="left"/>
      <w:pPr>
        <w:ind w:left="168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3000" w:hanging="1080"/>
      </w:pPr>
      <w:rPr>
        <w:rFonts w:hint="default"/>
      </w:rPr>
    </w:lvl>
    <w:lvl w:ilvl="5" w:tentative="0">
      <w:start w:val="1"/>
      <w:numFmt w:val="decimal"/>
      <w:isLgl/>
      <w:lvlText w:val="%1.%2.%3.%4.%5.%6"/>
      <w:lvlJc w:val="left"/>
      <w:pPr>
        <w:ind w:left="3840" w:hanging="1440"/>
      </w:pPr>
      <w:rPr>
        <w:rFonts w:hint="default"/>
      </w:rPr>
    </w:lvl>
    <w:lvl w:ilvl="6" w:tentative="0">
      <w:start w:val="1"/>
      <w:numFmt w:val="decimal"/>
      <w:isLgl/>
      <w:lvlText w:val="%1.%2.%3.%4.%5.%6.%7"/>
      <w:lvlJc w:val="left"/>
      <w:pPr>
        <w:ind w:left="4680" w:hanging="1800"/>
      </w:pPr>
      <w:rPr>
        <w:rFonts w:hint="default"/>
      </w:rPr>
    </w:lvl>
    <w:lvl w:ilvl="7" w:tentative="0">
      <w:start w:val="1"/>
      <w:numFmt w:val="decimal"/>
      <w:isLgl/>
      <w:lvlText w:val="%1.%2.%3.%4.%5.%6.%7.%8"/>
      <w:lvlJc w:val="left"/>
      <w:pPr>
        <w:ind w:left="5160" w:hanging="1800"/>
      </w:pPr>
      <w:rPr>
        <w:rFonts w:hint="default"/>
      </w:rPr>
    </w:lvl>
    <w:lvl w:ilvl="8" w:tentative="0">
      <w:start w:val="1"/>
      <w:numFmt w:val="decimal"/>
      <w:isLgl/>
      <w:lvlText w:val="%1.%2.%3.%4.%5.%6.%7.%8.%9"/>
      <w:lvlJc w:val="left"/>
      <w:pPr>
        <w:ind w:left="6000" w:hanging="2160"/>
      </w:pPr>
      <w:rPr>
        <w:rFonts w:hint="default"/>
      </w:rPr>
    </w:lvl>
  </w:abstractNum>
  <w:abstractNum w:abstractNumId="4">
    <w:nsid w:val="B3D4544A"/>
    <w:multiLevelType w:val="singleLevel"/>
    <w:tmpl w:val="B3D4544A"/>
    <w:lvl w:ilvl="0" w:tentative="0">
      <w:start w:val="1"/>
      <w:numFmt w:val="decimal"/>
      <w:suff w:val="nothing"/>
      <w:lvlText w:val="%1、"/>
      <w:lvlJc w:val="left"/>
    </w:lvl>
  </w:abstractNum>
  <w:abstractNum w:abstractNumId="5">
    <w:nsid w:val="B49AFF90"/>
    <w:multiLevelType w:val="singleLevel"/>
    <w:tmpl w:val="B49AFF90"/>
    <w:lvl w:ilvl="0" w:tentative="0">
      <w:start w:val="1"/>
      <w:numFmt w:val="decimal"/>
      <w:suff w:val="space"/>
      <w:lvlText w:val="%1."/>
      <w:lvlJc w:val="left"/>
    </w:lvl>
  </w:abstractNum>
  <w:abstractNum w:abstractNumId="6">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7">
    <w:nsid w:val="D1AB8C1C"/>
    <w:multiLevelType w:val="singleLevel"/>
    <w:tmpl w:val="D1AB8C1C"/>
    <w:lvl w:ilvl="0" w:tentative="0">
      <w:start w:val="1"/>
      <w:numFmt w:val="decimal"/>
      <w:suff w:val="nothing"/>
      <w:lvlText w:val="%1、"/>
      <w:lvlJc w:val="left"/>
    </w:lvl>
  </w:abstractNum>
  <w:abstractNum w:abstractNumId="8">
    <w:nsid w:val="17CE76C7"/>
    <w:multiLevelType w:val="multilevel"/>
    <w:tmpl w:val="17CE76C7"/>
    <w:lvl w:ilvl="0" w:tentative="0">
      <w:start w:val="1"/>
      <w:numFmt w:val="japaneseCounting"/>
      <w:lvlText w:val="%1、"/>
      <w:lvlJc w:val="left"/>
      <w:pPr>
        <w:ind w:left="761" w:hanging="6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AD24942"/>
    <w:multiLevelType w:val="singleLevel"/>
    <w:tmpl w:val="2AD24942"/>
    <w:lvl w:ilvl="0" w:tentative="0">
      <w:start w:val="5"/>
      <w:numFmt w:val="decimal"/>
      <w:lvlText w:val="%1."/>
      <w:lvlJc w:val="left"/>
      <w:pPr>
        <w:tabs>
          <w:tab w:val="left" w:pos="312"/>
        </w:tabs>
      </w:pPr>
    </w:lvl>
  </w:abstractNum>
  <w:abstractNum w:abstractNumId="10">
    <w:nsid w:val="34A4CD73"/>
    <w:multiLevelType w:val="singleLevel"/>
    <w:tmpl w:val="34A4CD73"/>
    <w:lvl w:ilvl="0" w:tentative="0">
      <w:start w:val="1"/>
      <w:numFmt w:val="decimal"/>
      <w:suff w:val="space"/>
      <w:lvlText w:val="%1."/>
      <w:lvlJc w:val="left"/>
    </w:lvl>
  </w:abstractNum>
  <w:abstractNum w:abstractNumId="11">
    <w:nsid w:val="41D128D2"/>
    <w:multiLevelType w:val="singleLevel"/>
    <w:tmpl w:val="41D128D2"/>
    <w:lvl w:ilvl="0" w:tentative="0">
      <w:start w:val="1"/>
      <w:numFmt w:val="chineseCounting"/>
      <w:suff w:val="nothing"/>
      <w:lvlText w:val="（%1）"/>
      <w:lvlJc w:val="left"/>
      <w:rPr>
        <w:rFonts w:hint="eastAsia"/>
      </w:rPr>
    </w:lvl>
  </w:abstractNum>
  <w:abstractNum w:abstractNumId="12">
    <w:nsid w:val="461E5E94"/>
    <w:multiLevelType w:val="singleLevel"/>
    <w:tmpl w:val="461E5E94"/>
    <w:lvl w:ilvl="0" w:tentative="0">
      <w:start w:val="2"/>
      <w:numFmt w:val="chineseCounting"/>
      <w:suff w:val="space"/>
      <w:lvlText w:val="第%1章"/>
      <w:lvlJc w:val="left"/>
      <w:rPr>
        <w:rFonts w:hint="eastAsia"/>
      </w:rPr>
    </w:lvl>
  </w:abstractNum>
  <w:abstractNum w:abstractNumId="13">
    <w:nsid w:val="471E06A1"/>
    <w:multiLevelType w:val="singleLevel"/>
    <w:tmpl w:val="471E06A1"/>
    <w:lvl w:ilvl="0" w:tentative="0">
      <w:start w:val="1"/>
      <w:numFmt w:val="japaneseCounting"/>
      <w:lvlText w:val="%1、"/>
      <w:lvlJc w:val="left"/>
      <w:pPr>
        <w:tabs>
          <w:tab w:val="left" w:pos="2159"/>
        </w:tabs>
        <w:ind w:left="2159" w:hanging="600"/>
      </w:pPr>
      <w:rPr>
        <w:rFonts w:hint="eastAsia"/>
        <w:lang w:val="en-US"/>
      </w:rPr>
    </w:lvl>
  </w:abstractNum>
  <w:num w:numId="1">
    <w:abstractNumId w:val="3"/>
  </w:num>
  <w:num w:numId="2">
    <w:abstractNumId w:val="13"/>
  </w:num>
  <w:num w:numId="3">
    <w:abstractNumId w:val="1"/>
  </w:num>
  <w:num w:numId="4">
    <w:abstractNumId w:val="12"/>
  </w:num>
  <w:num w:numId="5">
    <w:abstractNumId w:val="6"/>
  </w:num>
  <w:num w:numId="6">
    <w:abstractNumId w:val="11"/>
  </w:num>
  <w:num w:numId="7">
    <w:abstractNumId w:val="8"/>
  </w:num>
  <w:num w:numId="8">
    <w:abstractNumId w:val="4"/>
  </w:num>
  <w:num w:numId="9">
    <w:abstractNumId w:val="2"/>
  </w:num>
  <w:num w:numId="10">
    <w:abstractNumId w:val="9"/>
  </w:num>
  <w:num w:numId="11">
    <w:abstractNumId w:val="0"/>
  </w:num>
  <w:num w:numId="12">
    <w:abstractNumId w:val="7"/>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c4ZmI3MTY1NTFkYjFiMTY5ODUzMmIxZjViZjMifQ=="/>
  </w:docVars>
  <w:rsids>
    <w:rsidRoot w:val="0E970358"/>
    <w:rsid w:val="00000A1F"/>
    <w:rsid w:val="000012EE"/>
    <w:rsid w:val="00002B91"/>
    <w:rsid w:val="00004407"/>
    <w:rsid w:val="000179A6"/>
    <w:rsid w:val="00023EC8"/>
    <w:rsid w:val="00025500"/>
    <w:rsid w:val="000324EE"/>
    <w:rsid w:val="00034A5D"/>
    <w:rsid w:val="00036EB7"/>
    <w:rsid w:val="00037D40"/>
    <w:rsid w:val="00040F7E"/>
    <w:rsid w:val="000411B5"/>
    <w:rsid w:val="0004278A"/>
    <w:rsid w:val="00042F56"/>
    <w:rsid w:val="0004485D"/>
    <w:rsid w:val="000462DE"/>
    <w:rsid w:val="00054DFA"/>
    <w:rsid w:val="00055A66"/>
    <w:rsid w:val="0006294D"/>
    <w:rsid w:val="00062AB3"/>
    <w:rsid w:val="00063A0C"/>
    <w:rsid w:val="00067D20"/>
    <w:rsid w:val="00081D5D"/>
    <w:rsid w:val="00085264"/>
    <w:rsid w:val="000860EE"/>
    <w:rsid w:val="00093A6A"/>
    <w:rsid w:val="00094EC0"/>
    <w:rsid w:val="00097196"/>
    <w:rsid w:val="000975EF"/>
    <w:rsid w:val="000A267A"/>
    <w:rsid w:val="000A2F82"/>
    <w:rsid w:val="000B492F"/>
    <w:rsid w:val="000C1187"/>
    <w:rsid w:val="000C7B93"/>
    <w:rsid w:val="000D2FA7"/>
    <w:rsid w:val="000D742E"/>
    <w:rsid w:val="000E57DA"/>
    <w:rsid w:val="000E6703"/>
    <w:rsid w:val="000F112C"/>
    <w:rsid w:val="000F64DB"/>
    <w:rsid w:val="0010241D"/>
    <w:rsid w:val="00107BF6"/>
    <w:rsid w:val="001101D9"/>
    <w:rsid w:val="00117E9B"/>
    <w:rsid w:val="00124429"/>
    <w:rsid w:val="001271B9"/>
    <w:rsid w:val="00131F54"/>
    <w:rsid w:val="00142789"/>
    <w:rsid w:val="00147E99"/>
    <w:rsid w:val="00156972"/>
    <w:rsid w:val="00157617"/>
    <w:rsid w:val="00165F2A"/>
    <w:rsid w:val="00180F2C"/>
    <w:rsid w:val="00182316"/>
    <w:rsid w:val="00183948"/>
    <w:rsid w:val="001845AB"/>
    <w:rsid w:val="00184FFD"/>
    <w:rsid w:val="00197A9B"/>
    <w:rsid w:val="001A4CFB"/>
    <w:rsid w:val="001A5F7E"/>
    <w:rsid w:val="001A7C2A"/>
    <w:rsid w:val="001B4896"/>
    <w:rsid w:val="001B5846"/>
    <w:rsid w:val="001D2294"/>
    <w:rsid w:val="001E21D9"/>
    <w:rsid w:val="001F1A45"/>
    <w:rsid w:val="001F591C"/>
    <w:rsid w:val="001F7B03"/>
    <w:rsid w:val="00201D62"/>
    <w:rsid w:val="002036AD"/>
    <w:rsid w:val="002107B6"/>
    <w:rsid w:val="0021318F"/>
    <w:rsid w:val="00213A85"/>
    <w:rsid w:val="00216708"/>
    <w:rsid w:val="002208A0"/>
    <w:rsid w:val="00221F01"/>
    <w:rsid w:val="002342F4"/>
    <w:rsid w:val="00243095"/>
    <w:rsid w:val="00243976"/>
    <w:rsid w:val="0024785A"/>
    <w:rsid w:val="00252867"/>
    <w:rsid w:val="00254ED6"/>
    <w:rsid w:val="002622FF"/>
    <w:rsid w:val="0026707C"/>
    <w:rsid w:val="00267D72"/>
    <w:rsid w:val="0027022A"/>
    <w:rsid w:val="00272065"/>
    <w:rsid w:val="0027310E"/>
    <w:rsid w:val="00273FC5"/>
    <w:rsid w:val="00273FDD"/>
    <w:rsid w:val="00277160"/>
    <w:rsid w:val="002778CC"/>
    <w:rsid w:val="00287053"/>
    <w:rsid w:val="0029463B"/>
    <w:rsid w:val="00297EEF"/>
    <w:rsid w:val="002A1620"/>
    <w:rsid w:val="002B1184"/>
    <w:rsid w:val="002B1EB9"/>
    <w:rsid w:val="002C60A1"/>
    <w:rsid w:val="002D01AA"/>
    <w:rsid w:val="002D31FE"/>
    <w:rsid w:val="002D6B88"/>
    <w:rsid w:val="002F109C"/>
    <w:rsid w:val="002F4191"/>
    <w:rsid w:val="002F556B"/>
    <w:rsid w:val="00306BFC"/>
    <w:rsid w:val="003102FB"/>
    <w:rsid w:val="0031338C"/>
    <w:rsid w:val="003166FE"/>
    <w:rsid w:val="00322B07"/>
    <w:rsid w:val="00324A16"/>
    <w:rsid w:val="0033170B"/>
    <w:rsid w:val="00331F05"/>
    <w:rsid w:val="00332E30"/>
    <w:rsid w:val="003337C2"/>
    <w:rsid w:val="003451F4"/>
    <w:rsid w:val="0035596F"/>
    <w:rsid w:val="00356DC0"/>
    <w:rsid w:val="003575C0"/>
    <w:rsid w:val="00363E40"/>
    <w:rsid w:val="00377A88"/>
    <w:rsid w:val="00384E5C"/>
    <w:rsid w:val="003944D3"/>
    <w:rsid w:val="0039612E"/>
    <w:rsid w:val="003A2D6C"/>
    <w:rsid w:val="003A66B4"/>
    <w:rsid w:val="003A7196"/>
    <w:rsid w:val="003B53DF"/>
    <w:rsid w:val="003C5E00"/>
    <w:rsid w:val="003D5072"/>
    <w:rsid w:val="003D539D"/>
    <w:rsid w:val="003F11E6"/>
    <w:rsid w:val="003F595C"/>
    <w:rsid w:val="003F723C"/>
    <w:rsid w:val="003F78E0"/>
    <w:rsid w:val="00402F87"/>
    <w:rsid w:val="004040C2"/>
    <w:rsid w:val="0040449F"/>
    <w:rsid w:val="00406045"/>
    <w:rsid w:val="0041251C"/>
    <w:rsid w:val="004153B8"/>
    <w:rsid w:val="00420378"/>
    <w:rsid w:val="004213AC"/>
    <w:rsid w:val="00423623"/>
    <w:rsid w:val="004254CB"/>
    <w:rsid w:val="00432077"/>
    <w:rsid w:val="00441FAE"/>
    <w:rsid w:val="00442C98"/>
    <w:rsid w:val="004435F8"/>
    <w:rsid w:val="00446CEF"/>
    <w:rsid w:val="004503D1"/>
    <w:rsid w:val="004531A2"/>
    <w:rsid w:val="00460C1E"/>
    <w:rsid w:val="004610FC"/>
    <w:rsid w:val="004618FD"/>
    <w:rsid w:val="00464864"/>
    <w:rsid w:val="0046588B"/>
    <w:rsid w:val="00474D5F"/>
    <w:rsid w:val="00484FEC"/>
    <w:rsid w:val="00491BDF"/>
    <w:rsid w:val="00495885"/>
    <w:rsid w:val="004A1AC9"/>
    <w:rsid w:val="004A2700"/>
    <w:rsid w:val="004A4AAB"/>
    <w:rsid w:val="004B1663"/>
    <w:rsid w:val="004B38BE"/>
    <w:rsid w:val="004B4165"/>
    <w:rsid w:val="004B58C6"/>
    <w:rsid w:val="004C13DF"/>
    <w:rsid w:val="004C3A97"/>
    <w:rsid w:val="004E1E28"/>
    <w:rsid w:val="004E300F"/>
    <w:rsid w:val="004E32A5"/>
    <w:rsid w:val="004F252C"/>
    <w:rsid w:val="004F4484"/>
    <w:rsid w:val="004F55B1"/>
    <w:rsid w:val="005019EF"/>
    <w:rsid w:val="00503ED5"/>
    <w:rsid w:val="0050703E"/>
    <w:rsid w:val="0051189A"/>
    <w:rsid w:val="00517957"/>
    <w:rsid w:val="00520E9A"/>
    <w:rsid w:val="005259DF"/>
    <w:rsid w:val="0052783C"/>
    <w:rsid w:val="005307B2"/>
    <w:rsid w:val="00541B64"/>
    <w:rsid w:val="00547DA9"/>
    <w:rsid w:val="00554AE6"/>
    <w:rsid w:val="00554B41"/>
    <w:rsid w:val="005576EA"/>
    <w:rsid w:val="00565754"/>
    <w:rsid w:val="005711C3"/>
    <w:rsid w:val="0059262A"/>
    <w:rsid w:val="00593E09"/>
    <w:rsid w:val="00596269"/>
    <w:rsid w:val="005D053F"/>
    <w:rsid w:val="005D091B"/>
    <w:rsid w:val="005D3C85"/>
    <w:rsid w:val="005D5FEE"/>
    <w:rsid w:val="005E11F2"/>
    <w:rsid w:val="005E2B1F"/>
    <w:rsid w:val="005E6389"/>
    <w:rsid w:val="005F3941"/>
    <w:rsid w:val="00602664"/>
    <w:rsid w:val="00607F05"/>
    <w:rsid w:val="00616E31"/>
    <w:rsid w:val="0062552F"/>
    <w:rsid w:val="00632ADB"/>
    <w:rsid w:val="00633EB3"/>
    <w:rsid w:val="00635533"/>
    <w:rsid w:val="0064292E"/>
    <w:rsid w:val="00643B65"/>
    <w:rsid w:val="0064589F"/>
    <w:rsid w:val="00655E3C"/>
    <w:rsid w:val="0065692F"/>
    <w:rsid w:val="00664258"/>
    <w:rsid w:val="00666037"/>
    <w:rsid w:val="0066667C"/>
    <w:rsid w:val="00666A22"/>
    <w:rsid w:val="00674C42"/>
    <w:rsid w:val="00677C02"/>
    <w:rsid w:val="006846AD"/>
    <w:rsid w:val="00692EE3"/>
    <w:rsid w:val="00693638"/>
    <w:rsid w:val="006B631C"/>
    <w:rsid w:val="006C44D8"/>
    <w:rsid w:val="006C4FA8"/>
    <w:rsid w:val="006D1134"/>
    <w:rsid w:val="006D77EB"/>
    <w:rsid w:val="006E04A5"/>
    <w:rsid w:val="006E1082"/>
    <w:rsid w:val="006E3914"/>
    <w:rsid w:val="006F47B5"/>
    <w:rsid w:val="006F4DFE"/>
    <w:rsid w:val="006F6A03"/>
    <w:rsid w:val="007029EF"/>
    <w:rsid w:val="0071353E"/>
    <w:rsid w:val="00716B82"/>
    <w:rsid w:val="0072140C"/>
    <w:rsid w:val="007319D9"/>
    <w:rsid w:val="00742512"/>
    <w:rsid w:val="00742530"/>
    <w:rsid w:val="00744975"/>
    <w:rsid w:val="0074545E"/>
    <w:rsid w:val="00745D9F"/>
    <w:rsid w:val="00750E30"/>
    <w:rsid w:val="007568CC"/>
    <w:rsid w:val="00761020"/>
    <w:rsid w:val="007627E4"/>
    <w:rsid w:val="007954B3"/>
    <w:rsid w:val="007A1062"/>
    <w:rsid w:val="007A2629"/>
    <w:rsid w:val="007B2E48"/>
    <w:rsid w:val="007C0D59"/>
    <w:rsid w:val="007C1005"/>
    <w:rsid w:val="007C3036"/>
    <w:rsid w:val="007C53C4"/>
    <w:rsid w:val="007D0DA6"/>
    <w:rsid w:val="007D461F"/>
    <w:rsid w:val="007E6164"/>
    <w:rsid w:val="007F25B7"/>
    <w:rsid w:val="007F4C4D"/>
    <w:rsid w:val="00802325"/>
    <w:rsid w:val="00804D84"/>
    <w:rsid w:val="008124FD"/>
    <w:rsid w:val="0081782E"/>
    <w:rsid w:val="00820E0C"/>
    <w:rsid w:val="00823D14"/>
    <w:rsid w:val="00831F74"/>
    <w:rsid w:val="00836212"/>
    <w:rsid w:val="008379C8"/>
    <w:rsid w:val="00843D2E"/>
    <w:rsid w:val="00847BE5"/>
    <w:rsid w:val="00866189"/>
    <w:rsid w:val="00866534"/>
    <w:rsid w:val="00867908"/>
    <w:rsid w:val="0088066B"/>
    <w:rsid w:val="008928B3"/>
    <w:rsid w:val="00893240"/>
    <w:rsid w:val="008962E7"/>
    <w:rsid w:val="008966EE"/>
    <w:rsid w:val="008A1344"/>
    <w:rsid w:val="008A5CD2"/>
    <w:rsid w:val="008A6B8A"/>
    <w:rsid w:val="008C12A7"/>
    <w:rsid w:val="008C2A5D"/>
    <w:rsid w:val="008D0189"/>
    <w:rsid w:val="008D2BF2"/>
    <w:rsid w:val="008E040E"/>
    <w:rsid w:val="008E3FD4"/>
    <w:rsid w:val="008E7A9E"/>
    <w:rsid w:val="008F28E6"/>
    <w:rsid w:val="008F3149"/>
    <w:rsid w:val="00901C1A"/>
    <w:rsid w:val="00912983"/>
    <w:rsid w:val="00912B5A"/>
    <w:rsid w:val="00913B03"/>
    <w:rsid w:val="00923F81"/>
    <w:rsid w:val="00925B52"/>
    <w:rsid w:val="00925D02"/>
    <w:rsid w:val="009321C2"/>
    <w:rsid w:val="009435E4"/>
    <w:rsid w:val="00943F6C"/>
    <w:rsid w:val="00945123"/>
    <w:rsid w:val="00962E82"/>
    <w:rsid w:val="009700BA"/>
    <w:rsid w:val="00970BCC"/>
    <w:rsid w:val="00981951"/>
    <w:rsid w:val="00984085"/>
    <w:rsid w:val="00986042"/>
    <w:rsid w:val="00986698"/>
    <w:rsid w:val="00994986"/>
    <w:rsid w:val="009A0C81"/>
    <w:rsid w:val="009A0DB9"/>
    <w:rsid w:val="009A50EE"/>
    <w:rsid w:val="009A7C4B"/>
    <w:rsid w:val="009B3E22"/>
    <w:rsid w:val="009B65CE"/>
    <w:rsid w:val="009B79BC"/>
    <w:rsid w:val="009C0219"/>
    <w:rsid w:val="009C5E41"/>
    <w:rsid w:val="009C65B2"/>
    <w:rsid w:val="009D7AF6"/>
    <w:rsid w:val="009E33AD"/>
    <w:rsid w:val="009E7BE7"/>
    <w:rsid w:val="009F314A"/>
    <w:rsid w:val="009F3459"/>
    <w:rsid w:val="009F503B"/>
    <w:rsid w:val="00A01FC4"/>
    <w:rsid w:val="00A046FE"/>
    <w:rsid w:val="00A1276F"/>
    <w:rsid w:val="00A15388"/>
    <w:rsid w:val="00A17C2A"/>
    <w:rsid w:val="00A2069B"/>
    <w:rsid w:val="00A30B75"/>
    <w:rsid w:val="00A43AD1"/>
    <w:rsid w:val="00A45775"/>
    <w:rsid w:val="00A5273F"/>
    <w:rsid w:val="00A5296A"/>
    <w:rsid w:val="00A643F5"/>
    <w:rsid w:val="00A722C5"/>
    <w:rsid w:val="00A730CA"/>
    <w:rsid w:val="00A73235"/>
    <w:rsid w:val="00A81F26"/>
    <w:rsid w:val="00A8332F"/>
    <w:rsid w:val="00A934F6"/>
    <w:rsid w:val="00A942FA"/>
    <w:rsid w:val="00A94FED"/>
    <w:rsid w:val="00AA77BB"/>
    <w:rsid w:val="00AB5BD7"/>
    <w:rsid w:val="00AC4DC2"/>
    <w:rsid w:val="00AC602B"/>
    <w:rsid w:val="00AD0601"/>
    <w:rsid w:val="00AD670C"/>
    <w:rsid w:val="00AD797E"/>
    <w:rsid w:val="00AE26B1"/>
    <w:rsid w:val="00AE4F22"/>
    <w:rsid w:val="00AF634F"/>
    <w:rsid w:val="00B1425E"/>
    <w:rsid w:val="00B15902"/>
    <w:rsid w:val="00B20006"/>
    <w:rsid w:val="00B27BF4"/>
    <w:rsid w:val="00B31221"/>
    <w:rsid w:val="00B323E3"/>
    <w:rsid w:val="00B45AA3"/>
    <w:rsid w:val="00B466AF"/>
    <w:rsid w:val="00B4751C"/>
    <w:rsid w:val="00B569F5"/>
    <w:rsid w:val="00B56ECF"/>
    <w:rsid w:val="00B61496"/>
    <w:rsid w:val="00B63877"/>
    <w:rsid w:val="00B70711"/>
    <w:rsid w:val="00B71328"/>
    <w:rsid w:val="00B86BD6"/>
    <w:rsid w:val="00B87585"/>
    <w:rsid w:val="00BA53C8"/>
    <w:rsid w:val="00BA63AC"/>
    <w:rsid w:val="00BB245E"/>
    <w:rsid w:val="00BC4F46"/>
    <w:rsid w:val="00BD5108"/>
    <w:rsid w:val="00BD6AD7"/>
    <w:rsid w:val="00BF3315"/>
    <w:rsid w:val="00BF6342"/>
    <w:rsid w:val="00C117CC"/>
    <w:rsid w:val="00C305C0"/>
    <w:rsid w:val="00C33BF9"/>
    <w:rsid w:val="00C36079"/>
    <w:rsid w:val="00C422FA"/>
    <w:rsid w:val="00C43769"/>
    <w:rsid w:val="00C50152"/>
    <w:rsid w:val="00C52E14"/>
    <w:rsid w:val="00C623C9"/>
    <w:rsid w:val="00C65728"/>
    <w:rsid w:val="00C65B85"/>
    <w:rsid w:val="00C65FFC"/>
    <w:rsid w:val="00C7249A"/>
    <w:rsid w:val="00C738ED"/>
    <w:rsid w:val="00C767D4"/>
    <w:rsid w:val="00C80A63"/>
    <w:rsid w:val="00C8359C"/>
    <w:rsid w:val="00C94719"/>
    <w:rsid w:val="00CA5FD7"/>
    <w:rsid w:val="00CA6401"/>
    <w:rsid w:val="00CA6EE9"/>
    <w:rsid w:val="00CB2C5C"/>
    <w:rsid w:val="00CB38A0"/>
    <w:rsid w:val="00CB717E"/>
    <w:rsid w:val="00CB78AC"/>
    <w:rsid w:val="00CC009A"/>
    <w:rsid w:val="00CC232E"/>
    <w:rsid w:val="00CC69F5"/>
    <w:rsid w:val="00CD1804"/>
    <w:rsid w:val="00CE1F1D"/>
    <w:rsid w:val="00CF3E88"/>
    <w:rsid w:val="00CF57AD"/>
    <w:rsid w:val="00CF5F65"/>
    <w:rsid w:val="00D00953"/>
    <w:rsid w:val="00D05408"/>
    <w:rsid w:val="00D05438"/>
    <w:rsid w:val="00D133C3"/>
    <w:rsid w:val="00D15657"/>
    <w:rsid w:val="00D15E7E"/>
    <w:rsid w:val="00D17C0D"/>
    <w:rsid w:val="00D4621C"/>
    <w:rsid w:val="00D55B6B"/>
    <w:rsid w:val="00D56DBA"/>
    <w:rsid w:val="00D60A62"/>
    <w:rsid w:val="00D73F2C"/>
    <w:rsid w:val="00D81DEA"/>
    <w:rsid w:val="00D82E2D"/>
    <w:rsid w:val="00D86328"/>
    <w:rsid w:val="00D86CE8"/>
    <w:rsid w:val="00D91FF6"/>
    <w:rsid w:val="00D93227"/>
    <w:rsid w:val="00DB1742"/>
    <w:rsid w:val="00DB43BB"/>
    <w:rsid w:val="00DB5CF0"/>
    <w:rsid w:val="00DC3C4B"/>
    <w:rsid w:val="00DD33E3"/>
    <w:rsid w:val="00DD51EB"/>
    <w:rsid w:val="00DE4DA0"/>
    <w:rsid w:val="00DE651D"/>
    <w:rsid w:val="00DF0AC9"/>
    <w:rsid w:val="00DF75A0"/>
    <w:rsid w:val="00DF7827"/>
    <w:rsid w:val="00E017E1"/>
    <w:rsid w:val="00E10555"/>
    <w:rsid w:val="00E11093"/>
    <w:rsid w:val="00E1554C"/>
    <w:rsid w:val="00E319E7"/>
    <w:rsid w:val="00E356FD"/>
    <w:rsid w:val="00E40A83"/>
    <w:rsid w:val="00E412DC"/>
    <w:rsid w:val="00E46879"/>
    <w:rsid w:val="00E55978"/>
    <w:rsid w:val="00E64767"/>
    <w:rsid w:val="00E72C84"/>
    <w:rsid w:val="00E7769D"/>
    <w:rsid w:val="00E77804"/>
    <w:rsid w:val="00E81909"/>
    <w:rsid w:val="00E86D5C"/>
    <w:rsid w:val="00E936F8"/>
    <w:rsid w:val="00E96871"/>
    <w:rsid w:val="00E96D7B"/>
    <w:rsid w:val="00EB4631"/>
    <w:rsid w:val="00EB6475"/>
    <w:rsid w:val="00ED0E77"/>
    <w:rsid w:val="00ED362A"/>
    <w:rsid w:val="00EF2797"/>
    <w:rsid w:val="00EF50B7"/>
    <w:rsid w:val="00EF51AE"/>
    <w:rsid w:val="00F0010A"/>
    <w:rsid w:val="00F019AD"/>
    <w:rsid w:val="00F10BC1"/>
    <w:rsid w:val="00F127FF"/>
    <w:rsid w:val="00F24C9C"/>
    <w:rsid w:val="00F3099D"/>
    <w:rsid w:val="00F44969"/>
    <w:rsid w:val="00F57489"/>
    <w:rsid w:val="00F7133B"/>
    <w:rsid w:val="00F71D82"/>
    <w:rsid w:val="00FB283E"/>
    <w:rsid w:val="00FB35A2"/>
    <w:rsid w:val="00FC3306"/>
    <w:rsid w:val="00FC4319"/>
    <w:rsid w:val="00FD0715"/>
    <w:rsid w:val="00FD384F"/>
    <w:rsid w:val="00FE2036"/>
    <w:rsid w:val="00FE3FA4"/>
    <w:rsid w:val="00FF58C4"/>
    <w:rsid w:val="017F54C9"/>
    <w:rsid w:val="01935887"/>
    <w:rsid w:val="01C8787F"/>
    <w:rsid w:val="01ED6097"/>
    <w:rsid w:val="020866C9"/>
    <w:rsid w:val="04CC341D"/>
    <w:rsid w:val="05137CD7"/>
    <w:rsid w:val="053E1375"/>
    <w:rsid w:val="060B26E0"/>
    <w:rsid w:val="071819D2"/>
    <w:rsid w:val="07784620"/>
    <w:rsid w:val="08910A60"/>
    <w:rsid w:val="08D44BB4"/>
    <w:rsid w:val="0A9B318E"/>
    <w:rsid w:val="0C1E2BA0"/>
    <w:rsid w:val="0C765CB2"/>
    <w:rsid w:val="0C9135A2"/>
    <w:rsid w:val="0D8363F3"/>
    <w:rsid w:val="0E492EB6"/>
    <w:rsid w:val="0E970358"/>
    <w:rsid w:val="0F895C37"/>
    <w:rsid w:val="10392EAE"/>
    <w:rsid w:val="10706EC2"/>
    <w:rsid w:val="10BF4BAA"/>
    <w:rsid w:val="10CF1076"/>
    <w:rsid w:val="115617D0"/>
    <w:rsid w:val="11B60EE2"/>
    <w:rsid w:val="126E79AB"/>
    <w:rsid w:val="12807280"/>
    <w:rsid w:val="13694C60"/>
    <w:rsid w:val="136D3EEE"/>
    <w:rsid w:val="148463E6"/>
    <w:rsid w:val="14D20D9B"/>
    <w:rsid w:val="14EF4D71"/>
    <w:rsid w:val="153907F5"/>
    <w:rsid w:val="15A72BED"/>
    <w:rsid w:val="1621170E"/>
    <w:rsid w:val="181E495F"/>
    <w:rsid w:val="187A3323"/>
    <w:rsid w:val="18B91D2B"/>
    <w:rsid w:val="18C40414"/>
    <w:rsid w:val="1A6A6D44"/>
    <w:rsid w:val="1A817123"/>
    <w:rsid w:val="1C093ECB"/>
    <w:rsid w:val="1CE4433A"/>
    <w:rsid w:val="1DAB1B09"/>
    <w:rsid w:val="1EE84AA8"/>
    <w:rsid w:val="1FAF7B7A"/>
    <w:rsid w:val="204F69BE"/>
    <w:rsid w:val="20626A40"/>
    <w:rsid w:val="20F623E3"/>
    <w:rsid w:val="211B7C1C"/>
    <w:rsid w:val="21AD2085"/>
    <w:rsid w:val="228447E5"/>
    <w:rsid w:val="22E31918"/>
    <w:rsid w:val="23424F53"/>
    <w:rsid w:val="236E14E2"/>
    <w:rsid w:val="241676BA"/>
    <w:rsid w:val="261131BE"/>
    <w:rsid w:val="261D6E25"/>
    <w:rsid w:val="263C3CB4"/>
    <w:rsid w:val="27755208"/>
    <w:rsid w:val="2859493D"/>
    <w:rsid w:val="292F0E60"/>
    <w:rsid w:val="29CB12E0"/>
    <w:rsid w:val="29D148D0"/>
    <w:rsid w:val="29FB6C4C"/>
    <w:rsid w:val="2A286E6B"/>
    <w:rsid w:val="2A461B11"/>
    <w:rsid w:val="2A867302"/>
    <w:rsid w:val="2AC803DC"/>
    <w:rsid w:val="2AEB1E67"/>
    <w:rsid w:val="2B724B78"/>
    <w:rsid w:val="2E2C396C"/>
    <w:rsid w:val="2E900C87"/>
    <w:rsid w:val="2F046151"/>
    <w:rsid w:val="3008763A"/>
    <w:rsid w:val="30143D85"/>
    <w:rsid w:val="30275B49"/>
    <w:rsid w:val="31752B09"/>
    <w:rsid w:val="32C75101"/>
    <w:rsid w:val="341548E3"/>
    <w:rsid w:val="3496343F"/>
    <w:rsid w:val="34FC2B7C"/>
    <w:rsid w:val="37712A39"/>
    <w:rsid w:val="39A03FBB"/>
    <w:rsid w:val="39A61CC5"/>
    <w:rsid w:val="3AE50133"/>
    <w:rsid w:val="3B345EA5"/>
    <w:rsid w:val="3CF45622"/>
    <w:rsid w:val="3DB531EC"/>
    <w:rsid w:val="3DC80855"/>
    <w:rsid w:val="405E3F93"/>
    <w:rsid w:val="40E60642"/>
    <w:rsid w:val="412F5503"/>
    <w:rsid w:val="4299450D"/>
    <w:rsid w:val="43036342"/>
    <w:rsid w:val="43CE762F"/>
    <w:rsid w:val="4563730C"/>
    <w:rsid w:val="4669448D"/>
    <w:rsid w:val="46A51AE4"/>
    <w:rsid w:val="47E66134"/>
    <w:rsid w:val="48694FA0"/>
    <w:rsid w:val="488E768B"/>
    <w:rsid w:val="48E40DF2"/>
    <w:rsid w:val="49F41D5E"/>
    <w:rsid w:val="4B1E31F7"/>
    <w:rsid w:val="4BCB3573"/>
    <w:rsid w:val="4BCC3F4A"/>
    <w:rsid w:val="4C0A5953"/>
    <w:rsid w:val="4CE75373"/>
    <w:rsid w:val="4D6016CE"/>
    <w:rsid w:val="4D8D03D2"/>
    <w:rsid w:val="4DA86BC7"/>
    <w:rsid w:val="4E1A4E14"/>
    <w:rsid w:val="4F2F7D09"/>
    <w:rsid w:val="50FB3C65"/>
    <w:rsid w:val="534D1624"/>
    <w:rsid w:val="535254ED"/>
    <w:rsid w:val="53DD723A"/>
    <w:rsid w:val="545860EF"/>
    <w:rsid w:val="54B92EF5"/>
    <w:rsid w:val="566D4B95"/>
    <w:rsid w:val="572656D4"/>
    <w:rsid w:val="57815330"/>
    <w:rsid w:val="59AD06A4"/>
    <w:rsid w:val="5A08683D"/>
    <w:rsid w:val="5A4D586D"/>
    <w:rsid w:val="5A6249B0"/>
    <w:rsid w:val="5AA212E4"/>
    <w:rsid w:val="5C1811A1"/>
    <w:rsid w:val="5DEA7E77"/>
    <w:rsid w:val="5EA0562A"/>
    <w:rsid w:val="5EA177CB"/>
    <w:rsid w:val="5EA6461C"/>
    <w:rsid w:val="5EE84C68"/>
    <w:rsid w:val="5F975218"/>
    <w:rsid w:val="6137591E"/>
    <w:rsid w:val="621D5BA4"/>
    <w:rsid w:val="63251B8E"/>
    <w:rsid w:val="635B6748"/>
    <w:rsid w:val="63947A95"/>
    <w:rsid w:val="65741555"/>
    <w:rsid w:val="662750CA"/>
    <w:rsid w:val="67004944"/>
    <w:rsid w:val="67B167D1"/>
    <w:rsid w:val="685F1C50"/>
    <w:rsid w:val="68C53CC0"/>
    <w:rsid w:val="699022E9"/>
    <w:rsid w:val="69CA10F4"/>
    <w:rsid w:val="6A5E2961"/>
    <w:rsid w:val="6A714498"/>
    <w:rsid w:val="6C0C7CAF"/>
    <w:rsid w:val="6D792BC6"/>
    <w:rsid w:val="6DF82FDB"/>
    <w:rsid w:val="6EFD3264"/>
    <w:rsid w:val="6F7E486E"/>
    <w:rsid w:val="723830F9"/>
    <w:rsid w:val="723E1593"/>
    <w:rsid w:val="73744288"/>
    <w:rsid w:val="741048BC"/>
    <w:rsid w:val="745919C6"/>
    <w:rsid w:val="74702A9A"/>
    <w:rsid w:val="749A609F"/>
    <w:rsid w:val="758A1998"/>
    <w:rsid w:val="761C2BBB"/>
    <w:rsid w:val="761D6562"/>
    <w:rsid w:val="765036D1"/>
    <w:rsid w:val="776A1DE8"/>
    <w:rsid w:val="785D00CA"/>
    <w:rsid w:val="78D17096"/>
    <w:rsid w:val="791A6622"/>
    <w:rsid w:val="7A667F42"/>
    <w:rsid w:val="7BE63C8C"/>
    <w:rsid w:val="7CC44ED1"/>
    <w:rsid w:val="7DDD6CEA"/>
    <w:rsid w:val="7E636E14"/>
    <w:rsid w:val="7EC83A66"/>
    <w:rsid w:val="7F8B3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7"/>
    <w:qFormat/>
    <w:uiPriority w:val="0"/>
    <w:pPr>
      <w:outlineLvl w:val="0"/>
    </w:pPr>
    <w:rPr>
      <w:color w:val="000000"/>
      <w:kern w:val="0"/>
      <w:sz w:val="20"/>
      <w:shd w:val="clear" w:color="auto" w:fill="FFFFFF"/>
    </w:rPr>
  </w:style>
  <w:style w:type="paragraph" w:styleId="7">
    <w:name w:val="heading 2"/>
    <w:basedOn w:val="1"/>
    <w:next w:val="1"/>
    <w:link w:val="46"/>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8">
    <w:name w:val="heading 3"/>
    <w:basedOn w:val="1"/>
    <w:next w:val="1"/>
    <w:link w:val="86"/>
    <w:unhideWhenUsed/>
    <w:qFormat/>
    <w:uiPriority w:val="0"/>
    <w:pPr>
      <w:keepNext/>
      <w:keepLines/>
      <w:spacing w:before="260" w:after="260" w:line="416" w:lineRule="auto"/>
      <w:outlineLvl w:val="2"/>
    </w:pPr>
    <w:rPr>
      <w:b/>
      <w:bCs/>
      <w:sz w:val="32"/>
      <w:szCs w:val="32"/>
    </w:rPr>
  </w:style>
  <w:style w:type="paragraph" w:styleId="9">
    <w:name w:val="heading 4"/>
    <w:basedOn w:val="1"/>
    <w:next w:val="1"/>
    <w:link w:val="4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5"/>
    <w:basedOn w:val="1"/>
    <w:next w:val="1"/>
    <w:link w:val="85"/>
    <w:unhideWhenUsed/>
    <w:qFormat/>
    <w:uiPriority w:val="0"/>
    <w:pPr>
      <w:keepNext/>
      <w:keepLines/>
      <w:spacing w:before="280" w:after="290" w:line="376" w:lineRule="auto"/>
      <w:outlineLvl w:val="4"/>
    </w:pPr>
    <w:rPr>
      <w:b/>
      <w:bCs/>
      <w:sz w:val="28"/>
      <w:szCs w:val="28"/>
    </w:rPr>
  </w:style>
  <w:style w:type="paragraph" w:styleId="11">
    <w:name w:val="heading 6"/>
    <w:next w:val="1"/>
    <w:link w:val="93"/>
    <w:unhideWhenUsed/>
    <w:qFormat/>
    <w:uiPriority w:val="0"/>
    <w:pPr>
      <w:keepNext/>
      <w:keepLines/>
      <w:spacing w:line="360" w:lineRule="auto"/>
      <w:outlineLvl w:val="5"/>
    </w:pPr>
    <w:rPr>
      <w:rFonts w:ascii="Times New Roman" w:hAnsi="Times New Roman" w:eastAsia="宋体" w:cs="Times New Roman"/>
      <w:b/>
      <w:sz w:val="24"/>
      <w:lang w:val="en-US" w:eastAsia="zh-CN" w:bidi="ar-SA"/>
    </w:rPr>
  </w:style>
  <w:style w:type="paragraph" w:styleId="12">
    <w:name w:val="heading 7"/>
    <w:basedOn w:val="1"/>
    <w:next w:val="1"/>
    <w:link w:val="90"/>
    <w:unhideWhenUsed/>
    <w:qFormat/>
    <w:uiPriority w:val="0"/>
    <w:pPr>
      <w:keepNext/>
      <w:keepLines/>
      <w:spacing w:before="240" w:after="64" w:line="320" w:lineRule="auto"/>
      <w:outlineLvl w:val="6"/>
    </w:pPr>
    <w:rPr>
      <w:b/>
      <w:bCs/>
      <w:sz w:val="24"/>
    </w:rPr>
  </w:style>
  <w:style w:type="paragraph" w:styleId="13">
    <w:name w:val="heading 8"/>
    <w:next w:val="1"/>
    <w:link w:val="94"/>
    <w:semiHidden/>
    <w:unhideWhenUsed/>
    <w:qFormat/>
    <w:uiPriority w:val="0"/>
    <w:pPr>
      <w:keepNext/>
      <w:keepLines/>
      <w:spacing w:line="360" w:lineRule="auto"/>
      <w:outlineLvl w:val="7"/>
    </w:pPr>
    <w:rPr>
      <w:rFonts w:ascii="Times New Roman" w:hAnsi="Times New Roman" w:eastAsia="宋体" w:cs="Times New Roman"/>
      <w:b/>
      <w:sz w:val="24"/>
      <w:lang w:val="en-US" w:eastAsia="zh-CN" w:bidi="ar-SA"/>
    </w:rPr>
  </w:style>
  <w:style w:type="paragraph" w:styleId="14">
    <w:name w:val="heading 9"/>
    <w:basedOn w:val="1"/>
    <w:next w:val="1"/>
    <w:link w:val="95"/>
    <w:semiHidden/>
    <w:unhideWhenUsed/>
    <w:qFormat/>
    <w:uiPriority w:val="0"/>
    <w:pPr>
      <w:keepNext/>
      <w:keepLines/>
      <w:spacing w:before="240" w:after="64" w:line="317" w:lineRule="auto"/>
      <w:ind w:left="1583"/>
      <w:outlineLvl w:val="8"/>
    </w:pPr>
    <w:rPr>
      <w:rFonts w:ascii="Arial" w:hAnsi="Arial" w:eastAsia="黑体" w:cstheme="minorBidi"/>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89"/>
    <w:qFormat/>
    <w:uiPriority w:val="0"/>
    <w:pPr>
      <w:spacing w:after="120" w:line="240" w:lineRule="auto"/>
      <w:ind w:firstLine="420" w:firstLineChars="100"/>
    </w:pPr>
    <w:rPr>
      <w:sz w:val="21"/>
    </w:rPr>
  </w:style>
  <w:style w:type="paragraph" w:styleId="3">
    <w:name w:val="Body Text"/>
    <w:basedOn w:val="1"/>
    <w:next w:val="4"/>
    <w:link w:val="73"/>
    <w:qFormat/>
    <w:uiPriority w:val="0"/>
    <w:pPr>
      <w:spacing w:line="360" w:lineRule="exact"/>
    </w:pPr>
    <w:rPr>
      <w:sz w:val="24"/>
    </w:rPr>
  </w:style>
  <w:style w:type="paragraph" w:styleId="4">
    <w:name w:val="Closing"/>
    <w:basedOn w:val="1"/>
    <w:semiHidden/>
    <w:qFormat/>
    <w:uiPriority w:val="0"/>
    <w:pPr>
      <w:ind w:left="4320"/>
    </w:pPr>
    <w:rPr>
      <w:kern w:val="1"/>
    </w:rPr>
  </w:style>
  <w:style w:type="paragraph" w:styleId="5">
    <w:name w:val="toc 1"/>
    <w:basedOn w:val="1"/>
    <w:next w:val="1"/>
    <w:qFormat/>
    <w:uiPriority w:val="0"/>
    <w:rPr>
      <w:sz w:val="24"/>
    </w:rPr>
  </w:style>
  <w:style w:type="paragraph" w:styleId="15">
    <w:name w:val="List Number"/>
    <w:basedOn w:val="1"/>
    <w:qFormat/>
    <w:uiPriority w:val="0"/>
    <w:pPr>
      <w:numPr>
        <w:ilvl w:val="0"/>
        <w:numId w:val="1"/>
      </w:numPr>
    </w:pPr>
  </w:style>
  <w:style w:type="paragraph" w:styleId="16">
    <w:name w:val="Normal Indent"/>
    <w:basedOn w:val="1"/>
    <w:next w:val="1"/>
    <w:link w:val="102"/>
    <w:qFormat/>
    <w:uiPriority w:val="0"/>
    <w:pPr>
      <w:ind w:firstLine="420"/>
    </w:pPr>
    <w:rPr>
      <w:szCs w:val="20"/>
    </w:rPr>
  </w:style>
  <w:style w:type="paragraph" w:styleId="17">
    <w:name w:val="Document Map"/>
    <w:basedOn w:val="1"/>
    <w:link w:val="68"/>
    <w:semiHidden/>
    <w:qFormat/>
    <w:uiPriority w:val="99"/>
    <w:pPr>
      <w:shd w:val="clear" w:color="auto" w:fill="000080"/>
    </w:pPr>
    <w:rPr>
      <w:kern w:val="0"/>
      <w:sz w:val="2"/>
    </w:rPr>
  </w:style>
  <w:style w:type="paragraph" w:styleId="18">
    <w:name w:val="annotation text"/>
    <w:basedOn w:val="1"/>
    <w:link w:val="63"/>
    <w:qFormat/>
    <w:uiPriority w:val="0"/>
    <w:pPr>
      <w:jc w:val="left"/>
    </w:pPr>
  </w:style>
  <w:style w:type="paragraph" w:styleId="19">
    <w:name w:val="Body Text Indent"/>
    <w:basedOn w:val="1"/>
    <w:next w:val="1"/>
    <w:link w:val="66"/>
    <w:qFormat/>
    <w:uiPriority w:val="0"/>
    <w:pPr>
      <w:spacing w:after="120"/>
      <w:ind w:left="420" w:leftChars="200"/>
    </w:pPr>
  </w:style>
  <w:style w:type="paragraph" w:styleId="20">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Calibri"/>
      <w:color w:val="000000"/>
      <w:kern w:val="0"/>
      <w:sz w:val="24"/>
    </w:rPr>
  </w:style>
  <w:style w:type="paragraph" w:styleId="21">
    <w:name w:val="toc 3"/>
    <w:next w:val="1"/>
    <w:qFormat/>
    <w:uiPriority w:val="0"/>
    <w:pPr>
      <w:ind w:left="840" w:leftChars="400"/>
    </w:pPr>
    <w:rPr>
      <w:rFonts w:ascii="Times New Roman" w:hAnsi="Times New Roman" w:eastAsia="宋体" w:cs="Times New Roman"/>
      <w:sz w:val="24"/>
      <w:lang w:val="en-US" w:eastAsia="zh-CN" w:bidi="ar-SA"/>
    </w:rPr>
  </w:style>
  <w:style w:type="paragraph" w:styleId="22">
    <w:name w:val="Plain Text"/>
    <w:basedOn w:val="1"/>
    <w:next w:val="23"/>
    <w:link w:val="81"/>
    <w:qFormat/>
    <w:uiPriority w:val="0"/>
    <w:rPr>
      <w:rFonts w:ascii="宋体" w:hAnsi="Courier New" w:cstheme="minorBidi"/>
    </w:rPr>
  </w:style>
  <w:style w:type="paragraph" w:styleId="23">
    <w:name w:val="Date"/>
    <w:basedOn w:val="1"/>
    <w:next w:val="1"/>
    <w:qFormat/>
    <w:uiPriority w:val="0"/>
    <w:pPr>
      <w:ind w:left="2500" w:leftChars="2500"/>
    </w:pPr>
    <w:rPr>
      <w:rFonts w:eastAsia="楷体_GB2312" w:asciiTheme="minorHAnsi" w:hAnsiTheme="minorHAnsi" w:cstheme="minorBidi"/>
      <w:sz w:val="32"/>
      <w:szCs w:val="22"/>
    </w:rPr>
  </w:style>
  <w:style w:type="paragraph" w:styleId="24">
    <w:name w:val="Balloon Text"/>
    <w:basedOn w:val="1"/>
    <w:link w:val="65"/>
    <w:qFormat/>
    <w:uiPriority w:val="0"/>
    <w:rPr>
      <w:sz w:val="18"/>
      <w:szCs w:val="18"/>
    </w:rPr>
  </w:style>
  <w:style w:type="paragraph" w:styleId="25">
    <w:name w:val="footer"/>
    <w:basedOn w:val="1"/>
    <w:link w:val="70"/>
    <w:qFormat/>
    <w:uiPriority w:val="0"/>
    <w:pPr>
      <w:tabs>
        <w:tab w:val="center" w:pos="4153"/>
        <w:tab w:val="right" w:pos="8306"/>
      </w:tabs>
      <w:snapToGrid w:val="0"/>
      <w:jc w:val="left"/>
    </w:pPr>
    <w:rPr>
      <w:sz w:val="18"/>
    </w:rPr>
  </w:style>
  <w:style w:type="paragraph" w:styleId="26">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Subtitle"/>
    <w:basedOn w:val="1"/>
    <w:next w:val="1"/>
    <w:link w:val="78"/>
    <w:qFormat/>
    <w:uiPriority w:val="0"/>
    <w:pPr>
      <w:spacing w:before="240" w:after="60" w:line="312" w:lineRule="auto"/>
      <w:jc w:val="center"/>
      <w:outlineLvl w:val="1"/>
    </w:pPr>
    <w:rPr>
      <w:rFonts w:ascii="等线 Light" w:hAnsi="等线 Light"/>
      <w:b/>
      <w:bCs/>
      <w:kern w:val="28"/>
      <w:sz w:val="32"/>
      <w:szCs w:val="32"/>
    </w:rPr>
  </w:style>
  <w:style w:type="paragraph" w:styleId="28">
    <w:name w:val="toc 6"/>
    <w:basedOn w:val="1"/>
    <w:next w:val="1"/>
    <w:qFormat/>
    <w:uiPriority w:val="39"/>
    <w:pPr>
      <w:ind w:left="1050"/>
      <w:jc w:val="left"/>
    </w:pPr>
    <w:rPr>
      <w:rFonts w:ascii="Calibri" w:hAnsi="Calibri" w:cs="Calibri"/>
      <w:sz w:val="18"/>
      <w:szCs w:val="18"/>
    </w:rPr>
  </w:style>
  <w:style w:type="paragraph" w:styleId="29">
    <w:name w:val="toc 2"/>
    <w:next w:val="1"/>
    <w:qFormat/>
    <w:uiPriority w:val="0"/>
    <w:pPr>
      <w:ind w:left="420" w:leftChars="200"/>
    </w:pPr>
    <w:rPr>
      <w:rFonts w:ascii="Times New Roman" w:hAnsi="Times New Roman" w:eastAsia="宋体" w:cs="Times New Roman"/>
      <w:sz w:val="24"/>
      <w:lang w:val="en-US" w:eastAsia="zh-CN" w:bidi="ar-SA"/>
    </w:rPr>
  </w:style>
  <w:style w:type="paragraph" w:styleId="30">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2">
    <w:name w:val="Title"/>
    <w:basedOn w:val="1"/>
    <w:next w:val="1"/>
    <w:link w:val="77"/>
    <w:qFormat/>
    <w:uiPriority w:val="0"/>
    <w:pPr>
      <w:spacing w:before="240" w:after="60"/>
      <w:jc w:val="center"/>
      <w:outlineLvl w:val="0"/>
    </w:pPr>
    <w:rPr>
      <w:rFonts w:ascii="等线 Light" w:hAnsi="等线 Light"/>
      <w:b/>
      <w:bCs/>
      <w:sz w:val="32"/>
      <w:szCs w:val="32"/>
    </w:rPr>
  </w:style>
  <w:style w:type="paragraph" w:styleId="33">
    <w:name w:val="annotation subject"/>
    <w:basedOn w:val="18"/>
    <w:next w:val="18"/>
    <w:link w:val="64"/>
    <w:qFormat/>
    <w:uiPriority w:val="0"/>
    <w:rPr>
      <w:b/>
      <w:bCs/>
    </w:rPr>
  </w:style>
  <w:style w:type="paragraph" w:styleId="34">
    <w:name w:val="Body Text First Indent 2"/>
    <w:basedOn w:val="19"/>
    <w:next w:val="1"/>
    <w:unhideWhenUsed/>
    <w:qFormat/>
    <w:uiPriority w:val="99"/>
    <w:pPr>
      <w:ind w:firstLine="420" w:firstLineChars="200"/>
    </w:pPr>
  </w:style>
  <w:style w:type="table" w:styleId="36">
    <w:name w:val="Table Grid"/>
    <w:basedOn w:val="3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none"/>
    </w:rPr>
  </w:style>
  <w:style w:type="character" w:styleId="41">
    <w:name w:val="Emphasis"/>
    <w:qFormat/>
    <w:uiPriority w:val="0"/>
    <w:rPr>
      <w:i/>
      <w:iCs/>
    </w:rPr>
  </w:style>
  <w:style w:type="character" w:styleId="42">
    <w:name w:val="Hyperlink"/>
    <w:qFormat/>
    <w:uiPriority w:val="0"/>
    <w:rPr>
      <w:color w:val="0000FF"/>
      <w:u w:val="single"/>
    </w:rPr>
  </w:style>
  <w:style w:type="character" w:styleId="43">
    <w:name w:val="annotation reference"/>
    <w:basedOn w:val="37"/>
    <w:qFormat/>
    <w:uiPriority w:val="0"/>
    <w:rPr>
      <w:sz w:val="21"/>
      <w:szCs w:val="21"/>
    </w:rPr>
  </w:style>
  <w:style w:type="paragraph" w:customStyle="1" w:styleId="44">
    <w:name w:val="无间隔1"/>
    <w:qFormat/>
    <w:uiPriority w:val="99"/>
    <w:pPr>
      <w:adjustRightInd w:val="0"/>
      <w:snapToGrid w:val="0"/>
    </w:pPr>
    <w:rPr>
      <w:rFonts w:ascii="Tahoma" w:hAnsi="Tahoma" w:eastAsia="微软雅黑" w:cstheme="minorBidi"/>
      <w:sz w:val="22"/>
      <w:szCs w:val="22"/>
      <w:lang w:val="en-US" w:eastAsia="zh-CN" w:bidi="ar-SA"/>
    </w:rPr>
  </w:style>
  <w:style w:type="character" w:customStyle="1" w:styleId="45">
    <w:name w:val="标题 4 字符"/>
    <w:basedOn w:val="37"/>
    <w:link w:val="9"/>
    <w:qFormat/>
    <w:uiPriority w:val="0"/>
    <w:rPr>
      <w:rFonts w:asciiTheme="majorHAnsi" w:hAnsiTheme="majorHAnsi" w:eastAsiaTheme="majorEastAsia" w:cstheme="majorBidi"/>
      <w:b/>
      <w:bCs/>
      <w:kern w:val="2"/>
      <w:sz w:val="28"/>
      <w:szCs w:val="28"/>
    </w:rPr>
  </w:style>
  <w:style w:type="character" w:customStyle="1" w:styleId="46">
    <w:name w:val="标题 2 字符"/>
    <w:basedOn w:val="37"/>
    <w:link w:val="7"/>
    <w:qFormat/>
    <w:uiPriority w:val="0"/>
    <w:rPr>
      <w:rFonts w:ascii="Arial" w:hAnsi="Arial" w:eastAsia="黑体"/>
      <w:b/>
      <w:bCs/>
      <w:kern w:val="2"/>
      <w:sz w:val="32"/>
      <w:szCs w:val="32"/>
    </w:rPr>
  </w:style>
  <w:style w:type="paragraph" w:customStyle="1" w:styleId="4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48">
    <w:name w:val="List Paragraph"/>
    <w:basedOn w:val="1"/>
    <w:link w:val="87"/>
    <w:qFormat/>
    <w:uiPriority w:val="34"/>
    <w:pPr>
      <w:ind w:firstLine="420" w:firstLineChars="200"/>
    </w:pPr>
    <w:rPr>
      <w:rFonts w:ascii="Calibri" w:hAnsi="Calibri"/>
      <w:szCs w:val="22"/>
    </w:rPr>
  </w:style>
  <w:style w:type="paragraph" w:customStyle="1" w:styleId="49">
    <w:name w:val="列出段落1"/>
    <w:basedOn w:val="1"/>
    <w:qFormat/>
    <w:uiPriority w:val="34"/>
    <w:pPr>
      <w:ind w:firstLine="420" w:firstLineChars="200"/>
    </w:pPr>
    <w:rPr>
      <w:rFonts w:ascii="Calibri" w:hAnsi="Calibri"/>
      <w:kern w:val="0"/>
      <w:szCs w:val="20"/>
    </w:rPr>
  </w:style>
  <w:style w:type="paragraph" w:customStyle="1" w:styleId="5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14"/>
    <w:qFormat/>
    <w:uiPriority w:val="0"/>
    <w:rPr>
      <w:rFonts w:ascii="Times New Roman" w:hAnsi="Times New Roman" w:eastAsia="宋体" w:cs="Times New Roman"/>
      <w:sz w:val="21"/>
      <w:szCs w:val="22"/>
      <w:lang w:val="en-US" w:eastAsia="zh-CN" w:bidi="ar-SA"/>
    </w:rPr>
  </w:style>
  <w:style w:type="paragraph" w:customStyle="1" w:styleId="5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纯文本_3"/>
    <w:basedOn w:val="56"/>
    <w:qFormat/>
    <w:uiPriority w:val="0"/>
    <w:pPr>
      <w:widowControl/>
      <w:jc w:val="left"/>
    </w:pPr>
    <w:rPr>
      <w:rFonts w:ascii="宋体" w:hAnsi="Courier New" w:eastAsiaTheme="minorEastAsia" w:cstheme="minorBidi"/>
      <w:szCs w:val="21"/>
    </w:rPr>
  </w:style>
  <w:style w:type="paragraph" w:customStyle="1" w:styleId="58">
    <w:name w:val="纯文本_0_1"/>
    <w:basedOn w:val="1"/>
    <w:qFormat/>
    <w:uiPriority w:val="0"/>
    <w:pPr>
      <w:widowControl/>
      <w:jc w:val="left"/>
    </w:pPr>
    <w:rPr>
      <w:rFonts w:ascii="宋体" w:hAnsi="Courier New" w:eastAsiaTheme="minorEastAsia" w:cstheme="minorBidi"/>
      <w:szCs w:val="21"/>
    </w:rPr>
  </w:style>
  <w:style w:type="paragraph" w:customStyle="1" w:styleId="5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
    <w:name w:val="批注文字 字符1"/>
    <w:basedOn w:val="37"/>
    <w:link w:val="18"/>
    <w:qFormat/>
    <w:uiPriority w:val="0"/>
    <w:rPr>
      <w:rFonts w:ascii="Times New Roman" w:hAnsi="Times New Roman" w:eastAsia="宋体" w:cs="Times New Roman"/>
      <w:kern w:val="2"/>
      <w:sz w:val="21"/>
      <w:szCs w:val="24"/>
    </w:rPr>
  </w:style>
  <w:style w:type="character" w:customStyle="1" w:styleId="64">
    <w:name w:val="批注主题 字符"/>
    <w:basedOn w:val="63"/>
    <w:link w:val="33"/>
    <w:qFormat/>
    <w:uiPriority w:val="0"/>
    <w:rPr>
      <w:rFonts w:ascii="Times New Roman" w:hAnsi="Times New Roman" w:eastAsia="宋体" w:cs="Times New Roman"/>
      <w:b/>
      <w:bCs/>
      <w:kern w:val="2"/>
      <w:sz w:val="21"/>
      <w:szCs w:val="24"/>
    </w:rPr>
  </w:style>
  <w:style w:type="character" w:customStyle="1" w:styleId="65">
    <w:name w:val="批注框文本 字符1"/>
    <w:basedOn w:val="37"/>
    <w:link w:val="24"/>
    <w:qFormat/>
    <w:uiPriority w:val="0"/>
    <w:rPr>
      <w:rFonts w:ascii="Times New Roman" w:hAnsi="Times New Roman" w:eastAsia="宋体" w:cs="Times New Roman"/>
      <w:kern w:val="2"/>
      <w:sz w:val="18"/>
      <w:szCs w:val="18"/>
    </w:rPr>
  </w:style>
  <w:style w:type="character" w:customStyle="1" w:styleId="66">
    <w:name w:val="正文文本缩进 字符"/>
    <w:basedOn w:val="37"/>
    <w:link w:val="19"/>
    <w:qFormat/>
    <w:uiPriority w:val="0"/>
    <w:rPr>
      <w:kern w:val="2"/>
      <w:sz w:val="21"/>
      <w:szCs w:val="24"/>
    </w:rPr>
  </w:style>
  <w:style w:type="character" w:customStyle="1" w:styleId="67">
    <w:name w:val="标题 1 字符1"/>
    <w:basedOn w:val="37"/>
    <w:link w:val="6"/>
    <w:qFormat/>
    <w:uiPriority w:val="0"/>
    <w:rPr>
      <w:color w:val="000000"/>
      <w:szCs w:val="24"/>
    </w:rPr>
  </w:style>
  <w:style w:type="character" w:customStyle="1" w:styleId="68">
    <w:name w:val="文档结构图 字符"/>
    <w:basedOn w:val="37"/>
    <w:link w:val="17"/>
    <w:semiHidden/>
    <w:qFormat/>
    <w:uiPriority w:val="99"/>
    <w:rPr>
      <w:sz w:val="2"/>
      <w:szCs w:val="24"/>
      <w:shd w:val="clear" w:color="auto" w:fill="000080"/>
    </w:rPr>
  </w:style>
  <w:style w:type="character" w:customStyle="1" w:styleId="69">
    <w:name w:val="页眉 字符"/>
    <w:link w:val="26"/>
    <w:qFormat/>
    <w:locked/>
    <w:uiPriority w:val="0"/>
    <w:rPr>
      <w:kern w:val="2"/>
      <w:sz w:val="18"/>
      <w:szCs w:val="24"/>
    </w:rPr>
  </w:style>
  <w:style w:type="character" w:customStyle="1" w:styleId="70">
    <w:name w:val="页脚 字符"/>
    <w:link w:val="25"/>
    <w:qFormat/>
    <w:locked/>
    <w:uiPriority w:val="0"/>
    <w:rPr>
      <w:kern w:val="2"/>
      <w:sz w:val="18"/>
      <w:szCs w:val="24"/>
    </w:rPr>
  </w:style>
  <w:style w:type="paragraph" w:customStyle="1" w:styleId="71">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72">
    <w:name w:val="[Normal]"/>
    <w:next w:val="1"/>
    <w:qFormat/>
    <w:uiPriority w:val="99"/>
    <w:pPr>
      <w:widowControl w:val="0"/>
      <w:autoSpaceDE w:val="0"/>
      <w:autoSpaceDN w:val="0"/>
      <w:adjustRightInd w:val="0"/>
    </w:pPr>
    <w:rPr>
      <w:rFonts w:ascii="Arial" w:hAnsi="Arial" w:eastAsia="宋体" w:cs="Arial"/>
      <w:sz w:val="24"/>
      <w:szCs w:val="24"/>
      <w:shd w:val="clear" w:color="auto" w:fill="FFFFFF"/>
      <w:lang w:val="de-DE" w:eastAsia="zh-CN" w:bidi="ar-SA"/>
    </w:rPr>
  </w:style>
  <w:style w:type="character" w:customStyle="1" w:styleId="73">
    <w:name w:val="正文文本 字符"/>
    <w:link w:val="3"/>
    <w:qFormat/>
    <w:locked/>
    <w:uiPriority w:val="99"/>
    <w:rPr>
      <w:kern w:val="2"/>
      <w:sz w:val="24"/>
      <w:szCs w:val="24"/>
    </w:rPr>
  </w:style>
  <w:style w:type="paragraph" w:customStyle="1" w:styleId="74">
    <w:name w:val="KTG"/>
    <w:next w:val="1"/>
    <w:qFormat/>
    <w:uiPriority w:val="99"/>
    <w:pPr>
      <w:widowControl w:val="0"/>
      <w:tabs>
        <w:tab w:val="left" w:pos="1134"/>
      </w:tabs>
      <w:autoSpaceDE w:val="0"/>
      <w:autoSpaceDN w:val="0"/>
      <w:adjustRightInd w:val="0"/>
    </w:pPr>
    <w:rPr>
      <w:rFonts w:ascii="Arial" w:hAnsi="Arial" w:eastAsia="宋体" w:cs="Times New Roman"/>
      <w:sz w:val="22"/>
      <w:szCs w:val="22"/>
      <w:lang w:val="de-DE" w:eastAsia="zh-CN" w:bidi="ar-SA"/>
    </w:rPr>
  </w:style>
  <w:style w:type="paragraph" w:customStyle="1" w:styleId="7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6">
    <w:name w:val="_Style 2"/>
    <w:basedOn w:val="1"/>
    <w:qFormat/>
    <w:uiPriority w:val="99"/>
    <w:pPr>
      <w:ind w:firstLine="420" w:firstLineChars="200"/>
    </w:pPr>
  </w:style>
  <w:style w:type="character" w:customStyle="1" w:styleId="77">
    <w:name w:val="标题 字符"/>
    <w:basedOn w:val="37"/>
    <w:link w:val="32"/>
    <w:qFormat/>
    <w:uiPriority w:val="0"/>
    <w:rPr>
      <w:rFonts w:ascii="等线 Light" w:hAnsi="等线 Light"/>
      <w:b/>
      <w:bCs/>
      <w:kern w:val="2"/>
      <w:sz w:val="32"/>
      <w:szCs w:val="32"/>
    </w:rPr>
  </w:style>
  <w:style w:type="character" w:customStyle="1" w:styleId="78">
    <w:name w:val="副标题 字符"/>
    <w:basedOn w:val="37"/>
    <w:link w:val="27"/>
    <w:qFormat/>
    <w:uiPriority w:val="0"/>
    <w:rPr>
      <w:rFonts w:ascii="等线 Light" w:hAnsi="等线 Light"/>
      <w:b/>
      <w:bCs/>
      <w:kern w:val="28"/>
      <w:sz w:val="32"/>
      <w:szCs w:val="32"/>
    </w:rPr>
  </w:style>
  <w:style w:type="table" w:customStyle="1" w:styleId="79">
    <w:name w:val="网格型1"/>
    <w:basedOn w:val="3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HTML 预设格式 字符"/>
    <w:basedOn w:val="37"/>
    <w:link w:val="30"/>
    <w:qFormat/>
    <w:uiPriority w:val="0"/>
    <w:rPr>
      <w:rFonts w:ascii="黑体" w:hAnsi="Courier New" w:eastAsia="黑体" w:cs="Courier New"/>
    </w:rPr>
  </w:style>
  <w:style w:type="character" w:customStyle="1" w:styleId="81">
    <w:name w:val="纯文本 字符"/>
    <w:basedOn w:val="37"/>
    <w:link w:val="22"/>
    <w:qFormat/>
    <w:uiPriority w:val="0"/>
    <w:rPr>
      <w:rFonts w:ascii="宋体" w:hAnsi="Courier New" w:cstheme="minorBidi"/>
      <w:kern w:val="2"/>
      <w:sz w:val="21"/>
      <w:szCs w:val="24"/>
    </w:rPr>
  </w:style>
  <w:style w:type="paragraph" w:customStyle="1" w:styleId="8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83">
    <w:name w:val="my正文"/>
    <w:basedOn w:val="1"/>
    <w:qFormat/>
    <w:uiPriority w:val="0"/>
    <w:pPr>
      <w:widowControl/>
      <w:ind w:firstLine="480"/>
    </w:pPr>
    <w:rPr>
      <w:rFonts w:ascii="Calibri" w:hAnsi="Calibri"/>
      <w:lang w:val="zh-CN"/>
    </w:rPr>
  </w:style>
  <w:style w:type="table" w:customStyle="1" w:styleId="84">
    <w:name w:val="网格型3"/>
    <w:basedOn w:val="35"/>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5">
    <w:name w:val="标题 5 字符"/>
    <w:basedOn w:val="37"/>
    <w:link w:val="10"/>
    <w:qFormat/>
    <w:uiPriority w:val="0"/>
    <w:rPr>
      <w:b/>
      <w:bCs/>
      <w:kern w:val="2"/>
      <w:sz w:val="28"/>
      <w:szCs w:val="28"/>
    </w:rPr>
  </w:style>
  <w:style w:type="character" w:customStyle="1" w:styleId="86">
    <w:name w:val="标题 3 字符"/>
    <w:basedOn w:val="37"/>
    <w:link w:val="8"/>
    <w:qFormat/>
    <w:uiPriority w:val="0"/>
    <w:rPr>
      <w:b/>
      <w:bCs/>
      <w:kern w:val="2"/>
      <w:sz w:val="32"/>
      <w:szCs w:val="32"/>
    </w:rPr>
  </w:style>
  <w:style w:type="character" w:customStyle="1" w:styleId="87">
    <w:name w:val="列表段落 字符"/>
    <w:link w:val="48"/>
    <w:qFormat/>
    <w:locked/>
    <w:uiPriority w:val="34"/>
    <w:rPr>
      <w:rFonts w:ascii="Calibri" w:hAnsi="Calibri"/>
      <w:kern w:val="2"/>
      <w:sz w:val="21"/>
      <w:szCs w:val="22"/>
    </w:rPr>
  </w:style>
  <w:style w:type="paragraph" w:customStyle="1" w:styleId="88">
    <w:name w:val="列出段落2"/>
    <w:basedOn w:val="1"/>
    <w:qFormat/>
    <w:uiPriority w:val="99"/>
    <w:pPr>
      <w:ind w:firstLine="420" w:firstLineChars="200"/>
    </w:pPr>
    <w:rPr>
      <w:rFonts w:ascii="Calibri" w:hAnsi="Calibri"/>
      <w:szCs w:val="22"/>
    </w:rPr>
  </w:style>
  <w:style w:type="character" w:customStyle="1" w:styleId="89">
    <w:name w:val="正文文本首行缩进 字符"/>
    <w:basedOn w:val="73"/>
    <w:link w:val="2"/>
    <w:qFormat/>
    <w:uiPriority w:val="0"/>
    <w:rPr>
      <w:kern w:val="2"/>
      <w:sz w:val="21"/>
      <w:szCs w:val="24"/>
    </w:rPr>
  </w:style>
  <w:style w:type="character" w:customStyle="1" w:styleId="90">
    <w:name w:val="标题 7 字符"/>
    <w:basedOn w:val="37"/>
    <w:link w:val="12"/>
    <w:qFormat/>
    <w:uiPriority w:val="0"/>
    <w:rPr>
      <w:b/>
      <w:bCs/>
      <w:kern w:val="2"/>
      <w:sz w:val="24"/>
      <w:szCs w:val="24"/>
    </w:rPr>
  </w:style>
  <w:style w:type="paragraph" w:customStyle="1" w:styleId="91">
    <w:name w:val="*正文"/>
    <w:basedOn w:val="1"/>
    <w:link w:val="92"/>
    <w:qFormat/>
    <w:uiPriority w:val="0"/>
    <w:pPr>
      <w:spacing w:line="360" w:lineRule="auto"/>
      <w:ind w:firstLine="560" w:firstLineChars="200"/>
    </w:pPr>
    <w:rPr>
      <w:rFonts w:eastAsia="仿宋_GB2312"/>
      <w:color w:val="000000"/>
      <w:sz w:val="28"/>
      <w:szCs w:val="28"/>
      <w:lang w:val="zh-CN"/>
    </w:rPr>
  </w:style>
  <w:style w:type="character" w:customStyle="1" w:styleId="92">
    <w:name w:val="*正文 Char"/>
    <w:link w:val="91"/>
    <w:qFormat/>
    <w:uiPriority w:val="0"/>
    <w:rPr>
      <w:rFonts w:eastAsia="仿宋_GB2312"/>
      <w:color w:val="000000"/>
      <w:kern w:val="2"/>
      <w:sz w:val="28"/>
      <w:szCs w:val="28"/>
      <w:lang w:val="zh-CN"/>
    </w:rPr>
  </w:style>
  <w:style w:type="character" w:customStyle="1" w:styleId="93">
    <w:name w:val="标题 6 字符"/>
    <w:basedOn w:val="37"/>
    <w:link w:val="11"/>
    <w:qFormat/>
    <w:uiPriority w:val="0"/>
    <w:rPr>
      <w:b/>
      <w:sz w:val="24"/>
    </w:rPr>
  </w:style>
  <w:style w:type="character" w:customStyle="1" w:styleId="94">
    <w:name w:val="标题 8 字符"/>
    <w:basedOn w:val="37"/>
    <w:link w:val="13"/>
    <w:semiHidden/>
    <w:qFormat/>
    <w:uiPriority w:val="0"/>
    <w:rPr>
      <w:b/>
      <w:sz w:val="24"/>
    </w:rPr>
  </w:style>
  <w:style w:type="character" w:customStyle="1" w:styleId="95">
    <w:name w:val="标题 9 字符"/>
    <w:basedOn w:val="37"/>
    <w:link w:val="14"/>
    <w:semiHidden/>
    <w:qFormat/>
    <w:uiPriority w:val="0"/>
    <w:rPr>
      <w:rFonts w:ascii="Arial" w:hAnsi="Arial" w:eastAsia="黑体" w:cstheme="minorBidi"/>
      <w:kern w:val="2"/>
      <w:sz w:val="21"/>
      <w:szCs w:val="24"/>
    </w:rPr>
  </w:style>
  <w:style w:type="paragraph" w:customStyle="1" w:styleId="96">
    <w:name w:val="表格文字"/>
    <w:next w:val="3"/>
    <w:qFormat/>
    <w:uiPriority w:val="0"/>
    <w:pPr>
      <w:adjustRightInd w:val="0"/>
      <w:spacing w:line="420" w:lineRule="atLeast"/>
      <w:textAlignment w:val="baseline"/>
    </w:pPr>
    <w:rPr>
      <w:rFonts w:ascii="Times New Roman" w:hAnsi="Times New Roman" w:eastAsia="宋体" w:cs="Times New Roman"/>
      <w:lang w:val="en-US" w:eastAsia="zh-CN" w:bidi="ar-SA"/>
    </w:rPr>
  </w:style>
  <w:style w:type="table" w:customStyle="1" w:styleId="97">
    <w:name w:val="网格型2"/>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_Style 94"/>
    <w:next w:val="1"/>
    <w:qFormat/>
    <w:uiPriority w:val="0"/>
    <w:pPr>
      <w:ind w:left="420" w:leftChars="200"/>
    </w:pPr>
    <w:rPr>
      <w:rFonts w:ascii="Times New Roman" w:hAnsi="Times New Roman" w:eastAsia="宋体" w:cs="Times New Roman"/>
      <w:sz w:val="24"/>
      <w:lang w:val="en-US" w:eastAsia="zh-CN" w:bidi="ar-SA"/>
    </w:rPr>
  </w:style>
  <w:style w:type="character" w:customStyle="1" w:styleId="99">
    <w:name w:val="标题 1 字符"/>
    <w:qFormat/>
    <w:uiPriority w:val="0"/>
    <w:rPr>
      <w:rFonts w:ascii="Calibri" w:hAnsi="Calibri" w:eastAsia="宋体"/>
      <w:b/>
      <w:kern w:val="44"/>
      <w:sz w:val="30"/>
    </w:rPr>
  </w:style>
  <w:style w:type="character" w:customStyle="1" w:styleId="100">
    <w:name w:val="批注框文本 字符"/>
    <w:qFormat/>
    <w:uiPriority w:val="0"/>
    <w:rPr>
      <w:rFonts w:cs="Times New Roman"/>
      <w:kern w:val="2"/>
      <w:sz w:val="18"/>
      <w:szCs w:val="18"/>
    </w:rPr>
  </w:style>
  <w:style w:type="character" w:customStyle="1" w:styleId="101">
    <w:name w:val="批注文字 字符"/>
    <w:qFormat/>
    <w:uiPriority w:val="0"/>
    <w:rPr>
      <w:rFonts w:cs="Times New Roman"/>
      <w:kern w:val="2"/>
      <w:sz w:val="24"/>
      <w:szCs w:val="24"/>
    </w:rPr>
  </w:style>
  <w:style w:type="character" w:customStyle="1" w:styleId="102">
    <w:name w:val="正文缩进 字符"/>
    <w:link w:val="16"/>
    <w:qFormat/>
    <w:locked/>
    <w:uiPriority w:val="0"/>
    <w:rPr>
      <w:kern w:val="2"/>
      <w:sz w:val="21"/>
    </w:rPr>
  </w:style>
  <w:style w:type="character" w:customStyle="1" w:styleId="103">
    <w:name w:val="纯文本 字符1"/>
    <w:semiHidden/>
    <w:qFormat/>
    <w:locked/>
    <w:uiPriority w:val="0"/>
    <w:rPr>
      <w:rFonts w:ascii="宋体" w:hAnsi="Courier New"/>
      <w:kern w:val="2"/>
      <w:sz w:val="21"/>
      <w:szCs w:val="24"/>
      <w:lang w:val="zh-CN" w:eastAsia="zh-CN"/>
    </w:rPr>
  </w:style>
  <w:style w:type="paragraph" w:customStyle="1" w:styleId="104">
    <w:name w:val="_Style 941"/>
    <w:next w:val="1"/>
    <w:qFormat/>
    <w:uiPriority w:val="0"/>
    <w:pPr>
      <w:ind w:left="420" w:leftChars="200"/>
    </w:pPr>
    <w:rPr>
      <w:rFonts w:ascii="Times New Roman" w:hAnsi="Times New Roman" w:eastAsia="宋体" w:cs="Times New Roman"/>
      <w:sz w:val="24"/>
      <w:lang w:val="en-US" w:eastAsia="zh-CN" w:bidi="ar-SA"/>
    </w:rPr>
  </w:style>
  <w:style w:type="paragraph" w:customStyle="1" w:styleId="105">
    <w:name w:val="正文空格"/>
    <w:basedOn w:val="1"/>
    <w:next w:val="1"/>
    <w:qFormat/>
    <w:uiPriority w:val="0"/>
    <w:pPr>
      <w:spacing w:line="400" w:lineRule="exact"/>
      <w:ind w:firstLine="200" w:firstLineChars="200"/>
    </w:pPr>
    <w:rPr>
      <w:rFonts w:asciiTheme="minorHAnsi" w:hAnsiTheme="minorHAnsi" w:eastAsiaTheme="minorEastAsia" w:cstheme="minorBidi"/>
      <w:szCs w:val="22"/>
    </w:rPr>
  </w:style>
  <w:style w:type="paragraph" w:customStyle="1" w:styleId="106">
    <w:name w:val="纯文本11"/>
    <w:basedOn w:val="1"/>
    <w:qFormat/>
    <w:uiPriority w:val="0"/>
    <w:rPr>
      <w:rFonts w:ascii="宋体" w:hAnsi="Courier New"/>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A60CD-3195-4BD1-A8F9-C635EE20850D}">
  <ds:schemaRefs/>
</ds:datastoreItem>
</file>

<file path=docProps/app.xml><?xml version="1.0" encoding="utf-8"?>
<Properties xmlns="http://schemas.openxmlformats.org/officeDocument/2006/extended-properties" xmlns:vt="http://schemas.openxmlformats.org/officeDocument/2006/docPropsVTypes">
  <Template>Normal</Template>
  <Pages>73</Pages>
  <Words>38777</Words>
  <Characters>41821</Characters>
  <Lines>330</Lines>
  <Paragraphs>92</Paragraphs>
  <TotalTime>45</TotalTime>
  <ScaleCrop>false</ScaleCrop>
  <LinksUpToDate>false</LinksUpToDate>
  <CharactersWithSpaces>43607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2022-03-30T03:11:00Z</dcterms:created>
  <dc:creator>Administrator</dc:creator>
  <cp:lastModifiedBy>Miss Sherlock</cp:lastModifiedBy>
  <cp:lastPrinted>2022-06-27T08:12:00Z</cp:lastPrinted>
  <dcterms:modified xsi:type="dcterms:W3CDTF">2022-07-27T09:29:00Z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22C781CAB87F4702A0B1A6D6015F13C9</vt:lpwstr>
  </property>
</Properties>
</file>