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p>
    <w:p>
      <w:pPr>
        <w:adjustRightInd/>
        <w:spacing w:line="360" w:lineRule="auto"/>
        <w:jc w:val="center"/>
        <w:rPr>
          <w:rFonts w:hint="eastAsia" w:ascii="仿宋" w:hAnsi="仿宋" w:eastAsia="仿宋" w:cs="仿宋"/>
          <w:b/>
          <w:color w:val="auto"/>
          <w:sz w:val="44"/>
          <w:szCs w:val="44"/>
        </w:rPr>
      </w:pPr>
    </w:p>
    <w:p>
      <w:pPr>
        <w:spacing w:line="360" w:lineRule="auto"/>
        <w:jc w:val="center"/>
        <w:rPr>
          <w:rFonts w:hint="eastAsia" w:ascii="仿宋" w:hAnsi="仿宋" w:eastAsia="仿宋" w:cs="仿宋"/>
          <w:b/>
          <w:color w:val="auto"/>
          <w:sz w:val="44"/>
          <w:szCs w:val="44"/>
        </w:rPr>
      </w:pPr>
      <w:r>
        <w:rPr>
          <w:rFonts w:hint="eastAsia" w:ascii="仿宋" w:hAnsi="仿宋" w:eastAsia="仿宋" w:cs="仿宋"/>
          <w:color w:val="auto"/>
        </w:rPr>
        <w:drawing>
          <wp:anchor distT="0" distB="0" distL="114300" distR="114300" simplePos="0" relativeHeight="251659264" behindDoc="0" locked="0" layoutInCell="1" allowOverlap="1">
            <wp:simplePos x="0" y="0"/>
            <wp:positionH relativeFrom="column">
              <wp:posOffset>2117725</wp:posOffset>
            </wp:positionH>
            <wp:positionV relativeFrom="paragraph">
              <wp:posOffset>-66040</wp:posOffset>
            </wp:positionV>
            <wp:extent cx="1469390" cy="1346200"/>
            <wp:effectExtent l="0" t="0" r="1651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1469390" cy="1346200"/>
                    </a:xfrm>
                    <a:prstGeom prst="rect">
                      <a:avLst/>
                    </a:prstGeom>
                    <a:noFill/>
                    <a:ln>
                      <a:noFill/>
                    </a:ln>
                  </pic:spPr>
                </pic:pic>
              </a:graphicData>
            </a:graphic>
          </wp:anchor>
        </w:drawing>
      </w:r>
    </w:p>
    <w:p>
      <w:pPr>
        <w:adjustRightInd/>
        <w:spacing w:line="360" w:lineRule="auto"/>
        <w:jc w:val="center"/>
        <w:rPr>
          <w:rFonts w:hint="eastAsia" w:ascii="仿宋" w:hAnsi="仿宋" w:eastAsia="仿宋" w:cs="仿宋"/>
          <w:b/>
          <w:color w:val="auto"/>
          <w:sz w:val="48"/>
          <w:szCs w:val="48"/>
        </w:rPr>
      </w:pPr>
    </w:p>
    <w:p>
      <w:pPr>
        <w:adjustRightInd/>
        <w:spacing w:line="360" w:lineRule="auto"/>
        <w:jc w:val="center"/>
        <w:rPr>
          <w:rFonts w:hint="eastAsia" w:ascii="仿宋" w:hAnsi="仿宋" w:eastAsia="仿宋" w:cs="仿宋"/>
          <w:color w:val="auto"/>
          <w:sz w:val="48"/>
          <w:szCs w:val="48"/>
          <w:lang w:eastAsia="zh-CN"/>
        </w:rPr>
      </w:pPr>
    </w:p>
    <w:p>
      <w:pPr>
        <w:adjustRightInd/>
        <w:spacing w:line="360" w:lineRule="auto"/>
        <w:jc w:val="center"/>
        <w:rPr>
          <w:rFonts w:hint="eastAsia" w:ascii="仿宋" w:hAnsi="仿宋" w:eastAsia="仿宋" w:cs="仿宋"/>
          <w:color w:val="auto"/>
          <w:sz w:val="48"/>
          <w:szCs w:val="48"/>
          <w:lang w:eastAsia="zh-CN"/>
        </w:rPr>
      </w:pPr>
    </w:p>
    <w:p>
      <w:pPr>
        <w:adjustRightInd/>
        <w:spacing w:line="360" w:lineRule="auto"/>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eastAsia="zh-CN"/>
        </w:rPr>
        <w:t>2023年台州市环境质量自动监测智能化建设项目</w:t>
      </w:r>
    </w:p>
    <w:p>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 xml:space="preserve">招标文件 </w:t>
      </w:r>
    </w:p>
    <w:p>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（电子招投标）</w:t>
      </w:r>
    </w:p>
    <w:p>
      <w:pPr>
        <w:snapToGrid w:val="0"/>
        <w:spacing w:line="360" w:lineRule="auto"/>
        <w:jc w:val="center"/>
        <w:rPr>
          <w:rFonts w:hint="eastAsia" w:ascii="仿宋" w:hAnsi="仿宋" w:eastAsia="仿宋" w:cs="仿宋"/>
          <w:color w:val="auto"/>
          <w:sz w:val="30"/>
          <w:szCs w:val="30"/>
          <w:lang w:eastAsia="zh-CN"/>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eastAsia="zh-CN"/>
        </w:rPr>
        <w:t>TZFD(2023)-1035号</w:t>
      </w:r>
    </w:p>
    <w:p>
      <w:pPr>
        <w:adjustRightInd/>
        <w:spacing w:line="360" w:lineRule="auto"/>
        <w:rPr>
          <w:rFonts w:hint="eastAsia" w:ascii="仿宋" w:hAnsi="仿宋" w:eastAsia="仿宋" w:cs="仿宋"/>
          <w:color w:val="auto"/>
          <w:sz w:val="28"/>
          <w:szCs w:val="20"/>
        </w:rPr>
      </w:pPr>
    </w:p>
    <w:p>
      <w:pPr>
        <w:spacing w:line="360" w:lineRule="auto"/>
        <w:rPr>
          <w:rFonts w:hint="eastAsia" w:ascii="仿宋" w:hAnsi="仿宋" w:eastAsia="仿宋" w:cs="仿宋"/>
          <w:color w:val="auto"/>
          <w:sz w:val="32"/>
          <w:szCs w:val="32"/>
        </w:rPr>
      </w:pPr>
    </w:p>
    <w:p>
      <w:pPr>
        <w:spacing w:line="360" w:lineRule="auto"/>
        <w:ind w:left="-21" w:leftChars="-200" w:hanging="399" w:hangingChars="116"/>
        <w:jc w:val="center"/>
        <w:rPr>
          <w:rFonts w:hint="eastAsia" w:ascii="仿宋" w:hAnsi="仿宋" w:eastAsia="仿宋" w:cs="仿宋"/>
          <w:color w:val="auto"/>
          <w:sz w:val="32"/>
          <w:szCs w:val="32"/>
          <w:lang w:eastAsia="zh-CN"/>
        </w:rPr>
      </w:pPr>
      <w:r>
        <w:rPr>
          <w:rFonts w:hint="eastAsia" w:ascii="仿宋" w:hAnsi="仿宋" w:eastAsia="仿宋" w:cs="仿宋"/>
          <w:color w:val="auto"/>
          <w:spacing w:val="12"/>
          <w:sz w:val="32"/>
          <w:szCs w:val="32"/>
        </w:rPr>
        <w:t>采购人：</w:t>
      </w:r>
      <w:r>
        <w:rPr>
          <w:rFonts w:hint="eastAsia" w:ascii="仿宋" w:hAnsi="仿宋" w:eastAsia="仿宋" w:cs="仿宋"/>
          <w:color w:val="auto"/>
          <w:spacing w:val="12"/>
          <w:sz w:val="32"/>
          <w:szCs w:val="32"/>
          <w:lang w:eastAsia="zh-CN"/>
        </w:rPr>
        <w:t>浙江省台州生态环境监测中心</w:t>
      </w:r>
    </w:p>
    <w:p>
      <w:pPr>
        <w:spacing w:line="360" w:lineRule="auto"/>
        <w:ind w:left="-49" w:leftChars="-200" w:hanging="371" w:hangingChars="116"/>
        <w:jc w:val="center"/>
        <w:rPr>
          <w:rFonts w:hint="eastAsia" w:ascii="仿宋" w:hAnsi="仿宋" w:eastAsia="仿宋" w:cs="仿宋"/>
          <w:color w:val="auto"/>
          <w:spacing w:val="12"/>
          <w:sz w:val="32"/>
          <w:szCs w:val="32"/>
        </w:rPr>
      </w:pPr>
      <w:r>
        <w:rPr>
          <w:rFonts w:hint="eastAsia" w:ascii="仿宋" w:hAnsi="仿宋" w:eastAsia="仿宋" w:cs="仿宋"/>
          <w:bCs/>
          <w:color w:val="auto"/>
          <w:sz w:val="32"/>
          <w:szCs w:val="32"/>
        </w:rPr>
        <w:t>采购代理机构</w:t>
      </w:r>
      <w:r>
        <w:rPr>
          <w:rFonts w:hint="eastAsia" w:ascii="仿宋" w:hAnsi="仿宋" w:eastAsia="仿宋" w:cs="仿宋"/>
          <w:color w:val="auto"/>
          <w:spacing w:val="12"/>
          <w:sz w:val="32"/>
          <w:szCs w:val="32"/>
        </w:rPr>
        <w:t>：台州锋鼎工程项目管理有限公司</w:t>
      </w:r>
    </w:p>
    <w:p>
      <w:pPr>
        <w:spacing w:line="360" w:lineRule="auto"/>
        <w:ind w:left="-49" w:leftChars="-200" w:hanging="371" w:hangingChars="116"/>
        <w:jc w:val="center"/>
        <w:rPr>
          <w:rFonts w:hint="eastAsia" w:ascii="仿宋" w:hAnsi="仿宋" w:eastAsia="仿宋" w:cs="仿宋"/>
          <w:color w:val="auto"/>
          <w:sz w:val="32"/>
          <w:szCs w:val="32"/>
        </w:rPr>
      </w:pPr>
    </w:p>
    <w:p>
      <w:pPr>
        <w:spacing w:line="360" w:lineRule="auto"/>
        <w:jc w:val="center"/>
        <w:rPr>
          <w:rFonts w:hint="eastAsia" w:ascii="仿宋" w:hAnsi="仿宋" w:eastAsia="仿宋" w:cs="仿宋"/>
          <w:color w:val="auto"/>
          <w:sz w:val="24"/>
        </w:rPr>
      </w:pPr>
      <w:r>
        <w:rPr>
          <w:rFonts w:hint="eastAsia" w:ascii="仿宋" w:hAnsi="仿宋" w:eastAsia="仿宋" w:cs="仿宋"/>
          <w:bCs/>
          <w:color w:val="auto"/>
          <w:sz w:val="32"/>
          <w:szCs w:val="32"/>
        </w:rPr>
        <w:t>二〇二</w:t>
      </w:r>
      <w:r>
        <w:rPr>
          <w:rFonts w:hint="eastAsia" w:ascii="仿宋" w:hAnsi="仿宋" w:eastAsia="仿宋" w:cs="仿宋"/>
          <w:bCs/>
          <w:color w:val="auto"/>
          <w:sz w:val="32"/>
          <w:szCs w:val="32"/>
          <w:lang w:eastAsia="zh-CN"/>
        </w:rPr>
        <w:t>三</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eastAsia="zh-CN"/>
        </w:rPr>
        <w:t>六</w:t>
      </w:r>
      <w:r>
        <w:rPr>
          <w:rFonts w:hint="eastAsia" w:ascii="仿宋" w:hAnsi="仿宋" w:eastAsia="仿宋" w:cs="仿宋"/>
          <w:bCs/>
          <w:color w:val="auto"/>
          <w:sz w:val="32"/>
          <w:szCs w:val="32"/>
        </w:rPr>
        <w:t>月</w:t>
      </w:r>
      <w:r>
        <w:rPr>
          <w:rFonts w:hint="eastAsia" w:ascii="仿宋" w:hAnsi="仿宋" w:eastAsia="仿宋" w:cs="仿宋"/>
          <w:color w:val="auto"/>
          <w:sz w:val="24"/>
        </w:rPr>
        <w:br w:type="page"/>
      </w:r>
      <w:bookmarkStart w:id="0" w:name="_Hlt67893495"/>
      <w:bookmarkEnd w:id="0"/>
    </w:p>
    <w:p>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sdt>
      <w:sdtPr>
        <w:rPr>
          <w:rFonts w:ascii="宋体" w:hAnsi="宋体" w:eastAsia="宋体" w:cs="Times New Roman"/>
          <w:color w:val="auto"/>
          <w:kern w:val="2"/>
          <w:sz w:val="21"/>
          <w:szCs w:val="24"/>
          <w:lang w:val="en-US" w:eastAsia="zh-CN" w:bidi="ar-SA"/>
        </w:rPr>
        <w:id w:val="147462832"/>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968"/>
            <w:keepNext w:val="0"/>
            <w:keepLines w:val="0"/>
            <w:pageBreakBefore w:val="0"/>
            <w:widowControl/>
            <w:tabs>
              <w:tab w:val="right" w:leader="dot" w:pos="9739"/>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TOC \o "1-1" \h \u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_Toc24240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第一部分 招标公告</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_Toc24240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3</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968"/>
            <w:keepNext w:val="0"/>
            <w:keepLines w:val="0"/>
            <w:pageBreakBefore w:val="0"/>
            <w:widowControl/>
            <w:tabs>
              <w:tab w:val="right" w:leader="dot" w:pos="9739"/>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_Toc32713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第二部分 投标人须知</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_Toc32713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9</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968"/>
            <w:keepNext w:val="0"/>
            <w:keepLines w:val="0"/>
            <w:pageBreakBefore w:val="0"/>
            <w:widowControl/>
            <w:tabs>
              <w:tab w:val="right" w:leader="dot" w:pos="9739"/>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_Toc29425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第三部分 采购需求</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_Toc29425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23</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968"/>
            <w:keepNext w:val="0"/>
            <w:keepLines w:val="0"/>
            <w:pageBreakBefore w:val="0"/>
            <w:widowControl/>
            <w:tabs>
              <w:tab w:val="right" w:leader="dot" w:pos="9739"/>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_Toc19373 </w:instrText>
          </w:r>
          <w:r>
            <w:rPr>
              <w:rFonts w:hint="eastAsia" w:ascii="仿宋" w:hAnsi="仿宋" w:eastAsia="仿宋" w:cs="仿宋"/>
              <w:color w:val="auto"/>
              <w:sz w:val="32"/>
              <w:szCs w:val="32"/>
            </w:rPr>
            <w:fldChar w:fldCharType="separate"/>
          </w:r>
          <w:r>
            <w:rPr>
              <w:rFonts w:hint="eastAsia" w:ascii="仿宋" w:hAnsi="仿宋" w:eastAsia="仿宋" w:cs="仿宋"/>
              <w:bCs/>
              <w:color w:val="auto"/>
              <w:kern w:val="44"/>
              <w:sz w:val="32"/>
              <w:szCs w:val="32"/>
              <w:lang w:val="en-US" w:eastAsia="zh-CN" w:bidi="ar-SA"/>
            </w:rPr>
            <w:t>第四部分 评标办法</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_Toc19373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41</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968"/>
            <w:keepNext w:val="0"/>
            <w:keepLines w:val="0"/>
            <w:pageBreakBefore w:val="0"/>
            <w:widowControl/>
            <w:tabs>
              <w:tab w:val="right" w:leader="dot" w:pos="9739"/>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_Toc16397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第五部分 拟签订的合同文本</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_Toc16397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47</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968"/>
            <w:keepNext w:val="0"/>
            <w:keepLines w:val="0"/>
            <w:pageBreakBefore w:val="0"/>
            <w:widowControl/>
            <w:tabs>
              <w:tab w:val="right" w:leader="dot" w:pos="9739"/>
            </w:tabs>
            <w:kinsoku/>
            <w:wordWrap/>
            <w:overflowPunct/>
            <w:topLinePunct w:val="0"/>
            <w:autoSpaceDE/>
            <w:autoSpaceDN/>
            <w:bidi w:val="0"/>
            <w:adjustRightInd/>
            <w:snapToGrid/>
            <w:spacing w:line="360" w:lineRule="auto"/>
            <w:textAlignment w:val="auto"/>
            <w:rPr>
              <w:color w:val="auto"/>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_Toc4250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第六部分 应提交的有关格式范例</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_Toc4250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52</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sdtContent>
    </w:sdt>
    <w:p>
      <w:pPr>
        <w:spacing w:line="360" w:lineRule="auto"/>
        <w:ind w:firstLine="549" w:firstLineChars="229"/>
        <w:rPr>
          <w:rFonts w:hint="eastAsia" w:ascii="仿宋" w:hAnsi="仿宋" w:eastAsia="仿宋" w:cs="仿宋"/>
          <w:color w:val="auto"/>
          <w:sz w:val="24"/>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rPr>
      </w:pPr>
    </w:p>
    <w:bookmarkEnd w:id="2"/>
    <w:p>
      <w:pPr>
        <w:rPr>
          <w:rStyle w:val="282"/>
          <w:rFonts w:hint="eastAsia" w:ascii="仿宋" w:hAnsi="仿宋" w:eastAsia="仿宋" w:cs="仿宋"/>
          <w:color w:val="auto"/>
        </w:rPr>
      </w:pPr>
      <w:bookmarkStart w:id="3" w:name="_Hlt74649545"/>
      <w:bookmarkEnd w:id="3"/>
      <w:bookmarkStart w:id="4" w:name="_Hlt74707423"/>
      <w:bookmarkEnd w:id="4"/>
      <w:bookmarkStart w:id="5" w:name="_Hlt74728647"/>
      <w:bookmarkEnd w:id="5"/>
      <w:bookmarkStart w:id="6" w:name="_Hlt74729822"/>
      <w:bookmarkEnd w:id="6"/>
      <w:bookmarkStart w:id="7" w:name="_Toc24240"/>
      <w:bookmarkStart w:id="8" w:name="第二部分"/>
      <w:bookmarkStart w:id="9" w:name="_Toc91899870"/>
      <w:bookmarkStart w:id="10" w:name="_Toc91899871"/>
      <w:r>
        <w:rPr>
          <w:rStyle w:val="282"/>
          <w:rFonts w:hint="eastAsia" w:ascii="仿宋" w:hAnsi="仿宋" w:eastAsia="仿宋" w:cs="仿宋"/>
          <w:color w:val="auto"/>
        </w:rPr>
        <w:br w:type="page"/>
      </w:r>
    </w:p>
    <w:p>
      <w:pPr>
        <w:adjustRightInd/>
        <w:spacing w:line="360" w:lineRule="auto"/>
        <w:jc w:val="center"/>
        <w:outlineLvl w:val="0"/>
        <w:rPr>
          <w:rFonts w:hint="eastAsia" w:ascii="仿宋" w:hAnsi="仿宋" w:eastAsia="仿宋" w:cs="仿宋"/>
          <w:b/>
          <w:color w:val="auto"/>
          <w:sz w:val="36"/>
          <w:szCs w:val="20"/>
        </w:rPr>
      </w:pPr>
      <w:r>
        <w:rPr>
          <w:rStyle w:val="282"/>
          <w:rFonts w:hint="eastAsia" w:ascii="仿宋" w:hAnsi="仿宋" w:eastAsia="仿宋" w:cs="仿宋"/>
          <w:color w:val="auto"/>
        </w:rPr>
        <w:t>第一部分 招标公告</w:t>
      </w:r>
      <w:bookmarkEnd w:id="7"/>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2023年台州市环境质量自动监测智能化建设项目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8"/>
          <w:rFonts w:hint="eastAsia" w:ascii="仿宋" w:hAnsi="仿宋" w:eastAsia="仿宋" w:cs="仿宋"/>
          <w:snapToGrid/>
          <w:color w:val="auto"/>
          <w:kern w:val="2"/>
          <w:sz w:val="24"/>
          <w:szCs w:val="24"/>
        </w:rPr>
        <w:t>https://www.zcygov.cn/）获取（下载）招标文件，并于202</w:t>
      </w:r>
      <w:r>
        <w:rPr>
          <w:rStyle w:val="78"/>
          <w:rFonts w:hint="eastAsia" w:ascii="仿宋" w:hAnsi="仿宋" w:eastAsia="仿宋" w:cs="仿宋"/>
          <w:snapToGrid/>
          <w:color w:val="auto"/>
          <w:kern w:val="2"/>
          <w:sz w:val="24"/>
          <w:szCs w:val="24"/>
          <w:lang w:val="en-US" w:eastAsia="zh-CN"/>
        </w:rPr>
        <w:t>3</w:t>
      </w:r>
      <w:r>
        <w:rPr>
          <w:rStyle w:val="78"/>
          <w:rFonts w:hint="eastAsia" w:ascii="仿宋" w:hAnsi="仿宋" w:eastAsia="仿宋" w:cs="仿宋"/>
          <w:snapToGrid/>
          <w:color w:val="auto"/>
          <w:kern w:val="2"/>
          <w:sz w:val="24"/>
          <w:szCs w:val="24"/>
        </w:rPr>
        <w:t>年</w:t>
      </w:r>
      <w:r>
        <w:rPr>
          <w:rStyle w:val="78"/>
          <w:rFonts w:hint="eastAsia" w:ascii="仿宋" w:hAnsi="仿宋" w:eastAsia="仿宋" w:cs="仿宋"/>
          <w:snapToGrid/>
          <w:color w:val="auto"/>
          <w:kern w:val="2"/>
          <w:sz w:val="24"/>
          <w:szCs w:val="24"/>
          <w:lang w:val="en-US" w:eastAsia="zh-CN"/>
        </w:rPr>
        <w:t>07</w:t>
      </w:r>
      <w:r>
        <w:rPr>
          <w:rStyle w:val="78"/>
          <w:rFonts w:hint="eastAsia" w:ascii="仿宋" w:hAnsi="仿宋" w:eastAsia="仿宋" w:cs="仿宋"/>
          <w:snapToGrid/>
          <w:color w:val="auto"/>
          <w:kern w:val="2"/>
          <w:sz w:val="24"/>
          <w:szCs w:val="24"/>
        </w:rPr>
        <w:t>月</w:t>
      </w:r>
      <w:r>
        <w:rPr>
          <w:rStyle w:val="78"/>
          <w:rFonts w:hint="eastAsia" w:ascii="仿宋" w:hAnsi="仿宋" w:eastAsia="仿宋" w:cs="仿宋"/>
          <w:snapToGrid/>
          <w:color w:val="auto"/>
          <w:kern w:val="2"/>
          <w:sz w:val="24"/>
          <w:szCs w:val="24"/>
          <w:lang w:val="en-US" w:eastAsia="zh-CN"/>
        </w:rPr>
        <w:t>12</w:t>
      </w:r>
      <w:r>
        <w:rPr>
          <w:rStyle w:val="78"/>
          <w:rFonts w:hint="eastAsia" w:ascii="仿宋" w:hAnsi="仿宋" w:eastAsia="仿宋" w:cs="仿宋"/>
          <w:snapToGrid/>
          <w:color w:val="auto"/>
          <w:kern w:val="2"/>
          <w:sz w:val="24"/>
          <w:szCs w:val="24"/>
        </w:rPr>
        <w:t>日</w:t>
      </w:r>
      <w:r>
        <w:rPr>
          <w:rStyle w:val="78"/>
          <w:rFonts w:hint="eastAsia" w:ascii="仿宋" w:hAnsi="仿宋" w:eastAsia="仿宋" w:cs="仿宋"/>
          <w:snapToGrid/>
          <w:color w:val="auto"/>
          <w:kern w:val="2"/>
          <w:sz w:val="24"/>
          <w:szCs w:val="24"/>
          <w:lang w:val="en-US" w:eastAsia="zh-CN"/>
        </w:rPr>
        <w:t>09</w:t>
      </w:r>
      <w:r>
        <w:rPr>
          <w:rStyle w:val="78"/>
          <w:rFonts w:hint="eastAsia" w:ascii="仿宋" w:hAnsi="仿宋" w:eastAsia="仿宋" w:cs="仿宋"/>
          <w:snapToGrid/>
          <w:color w:val="auto"/>
          <w:kern w:val="2"/>
          <w:sz w:val="24"/>
          <w:szCs w:val="24"/>
          <w:lang w:eastAsia="zh-CN"/>
        </w:rPr>
        <w:t>时</w:t>
      </w:r>
      <w:r>
        <w:rPr>
          <w:rStyle w:val="78"/>
          <w:rFonts w:hint="eastAsia" w:ascii="仿宋" w:hAnsi="仿宋" w:eastAsia="仿宋" w:cs="仿宋"/>
          <w:snapToGrid/>
          <w:color w:val="auto"/>
          <w:kern w:val="2"/>
          <w:sz w:val="24"/>
          <w:szCs w:val="24"/>
          <w:lang w:val="en-US" w:eastAsia="zh-CN"/>
        </w:rPr>
        <w:t>00</w:t>
      </w:r>
      <w:r>
        <w:rPr>
          <w:rStyle w:val="78"/>
          <w:rFonts w:hint="eastAsia" w:ascii="仿宋" w:hAnsi="仿宋" w:eastAsia="仿宋" w:cs="仿宋"/>
          <w:snapToGrid/>
          <w:color w:val="auto"/>
          <w:kern w:val="2"/>
          <w:sz w:val="24"/>
          <w:szCs w:val="24"/>
        </w:rPr>
        <w:t>分</w:t>
      </w:r>
      <w:r>
        <w:rPr>
          <w:rStyle w:val="78"/>
          <w:rFonts w:hint="eastAsia" w:ascii="仿宋" w:hAnsi="仿宋" w:eastAsia="仿宋" w:cs="仿宋"/>
          <w:bCs/>
          <w:snapToGrid/>
          <w:color w:val="auto"/>
          <w:kern w:val="2"/>
          <w:sz w:val="24"/>
          <w:szCs w:val="24"/>
        </w:rPr>
        <w:t>00秒</w:t>
      </w:r>
      <w:r>
        <w:rPr>
          <w:rStyle w:val="78"/>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color w:val="auto"/>
          <w:sz w:val="24"/>
          <w:lang w:eastAsia="zh-CN"/>
        </w:rPr>
        <w:t>TZFD(2023)-1035号</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项目名称：</w:t>
      </w:r>
      <w:r>
        <w:rPr>
          <w:rFonts w:hint="eastAsia" w:ascii="仿宋" w:hAnsi="仿宋" w:eastAsia="仿宋" w:cs="仿宋"/>
          <w:color w:val="auto"/>
          <w:sz w:val="24"/>
          <w:lang w:eastAsia="zh-CN"/>
        </w:rPr>
        <w:t>2023年台州市环境质量自动监测智能化建设项目</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预算金额（</w:t>
      </w:r>
      <w:r>
        <w:rPr>
          <w:rFonts w:hint="eastAsia" w:ascii="仿宋" w:hAnsi="仿宋" w:eastAsia="仿宋" w:cs="仿宋"/>
          <w:b/>
          <w:color w:val="auto"/>
          <w:sz w:val="24"/>
          <w:lang w:eastAsia="zh-CN"/>
        </w:rPr>
        <w:t>万</w:t>
      </w:r>
      <w:r>
        <w:rPr>
          <w:rFonts w:hint="eastAsia" w:ascii="仿宋" w:hAnsi="仿宋" w:eastAsia="仿宋" w:cs="仿宋"/>
          <w:b/>
          <w:color w:val="auto"/>
          <w:sz w:val="24"/>
        </w:rPr>
        <w:t>元）：</w:t>
      </w:r>
      <w:r>
        <w:rPr>
          <w:rFonts w:hint="eastAsia" w:ascii="仿宋" w:hAnsi="仿宋" w:eastAsia="仿宋" w:cs="仿宋"/>
          <w:color w:val="auto"/>
          <w:sz w:val="24"/>
        </w:rPr>
        <w:t xml:space="preserve"> </w:t>
      </w:r>
      <w:r>
        <w:rPr>
          <w:rFonts w:hint="eastAsia" w:ascii="仿宋" w:hAnsi="仿宋" w:eastAsia="仿宋" w:cs="仿宋"/>
          <w:color w:val="auto"/>
          <w:sz w:val="24"/>
          <w:szCs w:val="24"/>
          <w:highlight w:val="none"/>
          <w:lang w:val="en-US" w:eastAsia="zh-CN"/>
        </w:rPr>
        <w:t>866.7</w:t>
      </w:r>
    </w:p>
    <w:p>
      <w:pPr>
        <w:spacing w:line="360" w:lineRule="auto"/>
        <w:ind w:firstLine="480"/>
        <w:rPr>
          <w:rFonts w:hint="eastAsia" w:ascii="仿宋" w:hAnsi="仿宋" w:eastAsia="仿宋" w:cs="仿宋"/>
          <w:color w:val="auto"/>
          <w:sz w:val="24"/>
        </w:rPr>
      </w:pPr>
      <w:r>
        <w:rPr>
          <w:rFonts w:hint="eastAsia" w:ascii="仿宋" w:hAnsi="仿宋" w:eastAsia="仿宋" w:cs="仿宋"/>
          <w:b/>
          <w:color w:val="auto"/>
          <w:sz w:val="24"/>
        </w:rPr>
        <w:t>最高限价（</w:t>
      </w:r>
      <w:r>
        <w:rPr>
          <w:rFonts w:hint="eastAsia" w:ascii="仿宋" w:hAnsi="仿宋" w:eastAsia="仿宋" w:cs="仿宋"/>
          <w:b/>
          <w:color w:val="auto"/>
          <w:sz w:val="24"/>
          <w:lang w:eastAsia="zh-CN"/>
        </w:rPr>
        <w:t>万</w:t>
      </w:r>
      <w:r>
        <w:rPr>
          <w:rFonts w:hint="eastAsia" w:ascii="仿宋" w:hAnsi="仿宋" w:eastAsia="仿宋" w:cs="仿宋"/>
          <w:b/>
          <w:color w:val="auto"/>
          <w:sz w:val="24"/>
        </w:rPr>
        <w:t>元）：</w:t>
      </w:r>
      <w:r>
        <w:rPr>
          <w:rFonts w:hint="eastAsia" w:ascii="仿宋" w:hAnsi="仿宋" w:eastAsia="仿宋" w:cs="仿宋"/>
          <w:color w:val="auto"/>
          <w:sz w:val="24"/>
        </w:rPr>
        <w:t xml:space="preserve"> </w:t>
      </w:r>
      <w:r>
        <w:rPr>
          <w:rFonts w:hint="eastAsia" w:ascii="仿宋" w:hAnsi="仿宋" w:eastAsia="仿宋" w:cs="仿宋"/>
          <w:color w:val="auto"/>
          <w:sz w:val="24"/>
          <w:szCs w:val="24"/>
          <w:highlight w:val="none"/>
          <w:lang w:val="en-US" w:eastAsia="zh-CN"/>
        </w:rPr>
        <w:t>866.7</w:t>
      </w:r>
    </w:p>
    <w:p>
      <w:pPr>
        <w:pStyle w:val="5"/>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p>
    <w:tbl>
      <w:tblPr>
        <w:tblStyle w:val="6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745"/>
        <w:gridCol w:w="1800"/>
        <w:gridCol w:w="838"/>
        <w:gridCol w:w="950"/>
        <w:gridCol w:w="1261"/>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3" w:hRule="atLeast"/>
          <w:jc w:val="center"/>
        </w:trPr>
        <w:tc>
          <w:tcPr>
            <w:tcW w:w="745" w:type="dxa"/>
            <w:noWrap w:val="0"/>
            <w:vAlign w:val="center"/>
          </w:tcPr>
          <w:p>
            <w:pPr>
              <w:tabs>
                <w:tab w:val="left" w:pos="8280"/>
              </w:tabs>
              <w:autoSpaceDE w:val="0"/>
              <w:autoSpaceDN w:val="0"/>
              <w:snapToGrid w:val="0"/>
              <w:spacing w:line="360" w:lineRule="auto"/>
              <w:jc w:val="center"/>
              <w:rPr>
                <w:rFonts w:hint="eastAsia" w:ascii="仿宋" w:hAnsi="仿宋" w:eastAsia="仿宋" w:cs="仿宋"/>
                <w:b/>
                <w:color w:val="auto"/>
                <w:szCs w:val="21"/>
              </w:rPr>
            </w:pPr>
            <w:r>
              <w:rPr>
                <w:rFonts w:hint="eastAsia" w:ascii="仿宋" w:hAnsi="仿宋" w:eastAsia="仿宋" w:cs="仿宋"/>
                <w:b/>
                <w:color w:val="auto"/>
                <w:sz w:val="24"/>
              </w:rPr>
              <w:t>标项号</w:t>
            </w:r>
          </w:p>
        </w:tc>
        <w:tc>
          <w:tcPr>
            <w:tcW w:w="2745" w:type="dxa"/>
            <w:noWrap w:val="0"/>
            <w:vAlign w:val="center"/>
          </w:tcPr>
          <w:p>
            <w:pPr>
              <w:tabs>
                <w:tab w:val="left" w:pos="8280"/>
              </w:tabs>
              <w:autoSpaceDE w:val="0"/>
              <w:autoSpaceDN w:val="0"/>
              <w:snapToGrid w:val="0"/>
              <w:spacing w:line="360" w:lineRule="auto"/>
              <w:jc w:val="center"/>
              <w:rPr>
                <w:rFonts w:hint="eastAsia" w:ascii="仿宋" w:hAnsi="仿宋" w:eastAsia="仿宋" w:cs="仿宋"/>
                <w:b/>
                <w:color w:val="auto"/>
                <w:szCs w:val="21"/>
              </w:rPr>
            </w:pPr>
            <w:r>
              <w:rPr>
                <w:rFonts w:hint="eastAsia" w:ascii="仿宋" w:hAnsi="仿宋" w:eastAsia="仿宋" w:cs="仿宋"/>
                <w:b/>
                <w:color w:val="auto"/>
                <w:szCs w:val="21"/>
              </w:rPr>
              <w:t>采购内容</w:t>
            </w:r>
          </w:p>
        </w:tc>
        <w:tc>
          <w:tcPr>
            <w:tcW w:w="1800" w:type="dxa"/>
            <w:noWrap w:val="0"/>
            <w:vAlign w:val="center"/>
          </w:tcPr>
          <w:p>
            <w:pPr>
              <w:tabs>
                <w:tab w:val="left" w:pos="8280"/>
              </w:tabs>
              <w:autoSpaceDE w:val="0"/>
              <w:autoSpaceDN w:val="0"/>
              <w:snapToGrid w:val="0"/>
              <w:spacing w:line="360" w:lineRule="auto"/>
              <w:jc w:val="center"/>
              <w:rPr>
                <w:rFonts w:hint="eastAsia" w:ascii="仿宋" w:hAnsi="仿宋" w:eastAsia="仿宋" w:cs="仿宋"/>
                <w:b/>
                <w:color w:val="auto"/>
                <w:szCs w:val="21"/>
              </w:rPr>
            </w:pPr>
            <w:r>
              <w:rPr>
                <w:rFonts w:hint="eastAsia" w:ascii="仿宋" w:hAnsi="仿宋" w:eastAsia="仿宋" w:cs="仿宋"/>
                <w:b/>
                <w:color w:val="auto"/>
                <w:szCs w:val="21"/>
              </w:rPr>
              <w:t>主要内容</w:t>
            </w:r>
          </w:p>
        </w:tc>
        <w:tc>
          <w:tcPr>
            <w:tcW w:w="838" w:type="dxa"/>
            <w:noWrap w:val="0"/>
            <w:vAlign w:val="center"/>
          </w:tcPr>
          <w:p>
            <w:pPr>
              <w:tabs>
                <w:tab w:val="left" w:pos="8280"/>
              </w:tabs>
              <w:autoSpaceDE w:val="0"/>
              <w:autoSpaceDN w:val="0"/>
              <w:snapToGrid w:val="0"/>
              <w:spacing w:line="360" w:lineRule="auto"/>
              <w:jc w:val="center"/>
              <w:rPr>
                <w:rFonts w:hint="eastAsia" w:ascii="仿宋" w:hAnsi="仿宋" w:eastAsia="仿宋" w:cs="仿宋"/>
                <w:b/>
                <w:color w:val="auto"/>
                <w:szCs w:val="21"/>
              </w:rPr>
            </w:pPr>
            <w:r>
              <w:rPr>
                <w:rFonts w:hint="eastAsia" w:ascii="仿宋" w:hAnsi="仿宋" w:eastAsia="仿宋" w:cs="仿宋"/>
                <w:b/>
                <w:color w:val="auto"/>
                <w:szCs w:val="21"/>
              </w:rPr>
              <w:t>数量</w:t>
            </w:r>
          </w:p>
        </w:tc>
        <w:tc>
          <w:tcPr>
            <w:tcW w:w="950" w:type="dxa"/>
            <w:noWrap w:val="0"/>
            <w:vAlign w:val="center"/>
          </w:tcPr>
          <w:p>
            <w:pPr>
              <w:tabs>
                <w:tab w:val="left" w:pos="8280"/>
              </w:tabs>
              <w:autoSpaceDE w:val="0"/>
              <w:autoSpaceDN w:val="0"/>
              <w:snapToGrid w:val="0"/>
              <w:spacing w:line="360" w:lineRule="auto"/>
              <w:jc w:val="center"/>
              <w:rPr>
                <w:rFonts w:hint="eastAsia" w:ascii="仿宋" w:hAnsi="仿宋" w:eastAsia="仿宋" w:cs="仿宋"/>
                <w:b/>
                <w:color w:val="auto"/>
                <w:szCs w:val="21"/>
              </w:rPr>
            </w:pPr>
            <w:r>
              <w:rPr>
                <w:rFonts w:hint="eastAsia" w:ascii="仿宋" w:hAnsi="仿宋" w:eastAsia="仿宋" w:cs="仿宋"/>
                <w:b/>
                <w:color w:val="auto"/>
                <w:szCs w:val="21"/>
              </w:rPr>
              <w:t>单位</w:t>
            </w:r>
          </w:p>
        </w:tc>
        <w:tc>
          <w:tcPr>
            <w:tcW w:w="1261" w:type="dxa"/>
            <w:noWrap w:val="0"/>
            <w:vAlign w:val="center"/>
          </w:tcPr>
          <w:p>
            <w:pPr>
              <w:tabs>
                <w:tab w:val="left" w:pos="8280"/>
              </w:tabs>
              <w:autoSpaceDE w:val="0"/>
              <w:autoSpaceDN w:val="0"/>
              <w:snapToGrid w:val="0"/>
              <w:spacing w:line="360" w:lineRule="auto"/>
              <w:jc w:val="center"/>
              <w:rPr>
                <w:rFonts w:hint="eastAsia" w:ascii="仿宋" w:hAnsi="仿宋" w:eastAsia="仿宋" w:cs="仿宋"/>
                <w:b/>
                <w:color w:val="auto"/>
                <w:szCs w:val="21"/>
              </w:rPr>
            </w:pPr>
            <w:r>
              <w:rPr>
                <w:rFonts w:hint="eastAsia" w:ascii="仿宋" w:hAnsi="仿宋" w:eastAsia="仿宋" w:cs="仿宋"/>
                <w:b/>
                <w:color w:val="auto"/>
                <w:szCs w:val="21"/>
              </w:rPr>
              <w:t>最高限价</w:t>
            </w:r>
          </w:p>
          <w:p>
            <w:pPr>
              <w:tabs>
                <w:tab w:val="left" w:pos="8280"/>
              </w:tabs>
              <w:autoSpaceDE w:val="0"/>
              <w:autoSpaceDN w:val="0"/>
              <w:snapToGrid w:val="0"/>
              <w:spacing w:line="360" w:lineRule="auto"/>
              <w:jc w:val="center"/>
              <w:rPr>
                <w:rFonts w:hint="eastAsia" w:ascii="仿宋" w:hAnsi="仿宋" w:eastAsia="仿宋" w:cs="仿宋"/>
                <w:b/>
                <w:color w:val="auto"/>
                <w:szCs w:val="21"/>
              </w:rPr>
            </w:pPr>
            <w:r>
              <w:rPr>
                <w:rFonts w:hint="eastAsia" w:ascii="仿宋" w:hAnsi="仿宋" w:eastAsia="仿宋" w:cs="仿宋"/>
                <w:b/>
                <w:color w:val="auto"/>
                <w:szCs w:val="21"/>
              </w:rPr>
              <w:t>（万元）</w:t>
            </w:r>
          </w:p>
        </w:tc>
        <w:tc>
          <w:tcPr>
            <w:tcW w:w="877" w:type="dxa"/>
            <w:noWrap w:val="0"/>
            <w:vAlign w:val="center"/>
          </w:tcPr>
          <w:p>
            <w:pPr>
              <w:tabs>
                <w:tab w:val="left" w:pos="8280"/>
              </w:tabs>
              <w:autoSpaceDE w:val="0"/>
              <w:autoSpaceDN w:val="0"/>
              <w:snapToGrid w:val="0"/>
              <w:spacing w:line="360" w:lineRule="auto"/>
              <w:jc w:val="center"/>
              <w:rPr>
                <w:rFonts w:hint="eastAsia" w:ascii="仿宋" w:hAnsi="仿宋" w:eastAsia="仿宋" w:cs="仿宋"/>
                <w:b/>
                <w:color w:val="auto"/>
                <w:szCs w:val="21"/>
              </w:rPr>
            </w:pPr>
            <w:r>
              <w:rPr>
                <w:rFonts w:hint="eastAsia" w:ascii="仿宋" w:hAnsi="仿宋" w:eastAsia="仿宋" w:cs="仿宋"/>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45" w:type="dxa"/>
            <w:noWrap w:val="0"/>
            <w:vAlign w:val="center"/>
          </w:tcPr>
          <w:p>
            <w:pPr>
              <w:tabs>
                <w:tab w:val="left" w:pos="8280"/>
              </w:tabs>
              <w:autoSpaceDE w:val="0"/>
              <w:autoSpaceDN w:val="0"/>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745" w:type="dxa"/>
            <w:noWrap w:val="0"/>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lang w:val="en-US" w:eastAsia="zh-CN"/>
              </w:rPr>
              <w:t>椒江区和临海市5个（栅浦、栅浦闸、岩头闸、渡头范、西岑）省控地表水水质自动监测站建设</w:t>
            </w:r>
          </w:p>
        </w:tc>
        <w:tc>
          <w:tcPr>
            <w:tcW w:w="1800" w:type="dxa"/>
            <w:noWrap w:val="0"/>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bCs/>
                <w:color w:val="auto"/>
                <w:sz w:val="24"/>
              </w:rPr>
              <w:t>见招标文件第三部分采购需求</w:t>
            </w:r>
          </w:p>
        </w:tc>
        <w:tc>
          <w:tcPr>
            <w:tcW w:w="838" w:type="dxa"/>
            <w:noWrap w:val="0"/>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950" w:type="dxa"/>
            <w:noWrap w:val="0"/>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批</w:t>
            </w:r>
          </w:p>
        </w:tc>
        <w:tc>
          <w:tcPr>
            <w:tcW w:w="1261" w:type="dxa"/>
            <w:noWrap w:val="0"/>
            <w:vAlign w:val="center"/>
          </w:tcPr>
          <w:p>
            <w:pPr>
              <w:shd w:val="clear"/>
              <w:snapToGrid w:val="0"/>
              <w:jc w:val="center"/>
              <w:rPr>
                <w:rFonts w:hint="eastAsia" w:ascii="仿宋" w:hAnsi="仿宋" w:eastAsia="仿宋" w:cs="仿宋"/>
                <w:color w:val="auto"/>
                <w:szCs w:val="21"/>
              </w:rPr>
            </w:pPr>
            <w:r>
              <w:rPr>
                <w:rFonts w:hint="eastAsia" w:ascii="仿宋" w:hAnsi="仿宋" w:eastAsia="仿宋" w:cs="仿宋"/>
                <w:b w:val="0"/>
                <w:bCs/>
                <w:color w:val="auto"/>
                <w:kern w:val="0"/>
                <w:sz w:val="24"/>
                <w:szCs w:val="24"/>
                <w:highlight w:val="none"/>
                <w:lang w:val="en-US" w:eastAsia="zh-CN"/>
              </w:rPr>
              <w:t>309.5</w:t>
            </w:r>
          </w:p>
        </w:tc>
        <w:tc>
          <w:tcPr>
            <w:tcW w:w="877" w:type="dxa"/>
            <w:noWrap w:val="0"/>
            <w:vAlign w:val="center"/>
          </w:tcPr>
          <w:p>
            <w:pPr>
              <w:snapToGrid w:val="0"/>
              <w:spacing w:line="360" w:lineRule="auto"/>
              <w:jc w:val="center"/>
              <w:rPr>
                <w:rFonts w:hint="eastAsia" w:ascii="仿宋" w:hAnsi="仿宋" w:eastAsia="仿宋" w:cs="仿宋"/>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45" w:type="dxa"/>
            <w:noWrap w:val="0"/>
            <w:vAlign w:val="center"/>
          </w:tcPr>
          <w:p>
            <w:pPr>
              <w:tabs>
                <w:tab w:val="left" w:pos="8280"/>
              </w:tabs>
              <w:autoSpaceDE w:val="0"/>
              <w:autoSpaceDN w:val="0"/>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745" w:type="dxa"/>
            <w:noWrap w:val="0"/>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lang w:val="en-US" w:eastAsia="zh-CN"/>
              </w:rPr>
              <w:t>黄岩区、温岭市和玉环市4个（朱砂堆、大众旺、太平、长屿闸）省控地表水水质自动监测站建设</w:t>
            </w:r>
          </w:p>
        </w:tc>
        <w:tc>
          <w:tcPr>
            <w:tcW w:w="1800" w:type="dxa"/>
            <w:noWrap w:val="0"/>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见招标文件第三部分采购需求</w:t>
            </w:r>
          </w:p>
        </w:tc>
        <w:tc>
          <w:tcPr>
            <w:tcW w:w="838" w:type="dxa"/>
            <w:noWrap w:val="0"/>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950" w:type="dxa"/>
            <w:noWrap w:val="0"/>
            <w:vAlign w:val="center"/>
          </w:tcPr>
          <w:p>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批</w:t>
            </w:r>
          </w:p>
        </w:tc>
        <w:tc>
          <w:tcPr>
            <w:tcW w:w="1261" w:type="dxa"/>
            <w:noWrap w:val="0"/>
            <w:vAlign w:val="center"/>
          </w:tcPr>
          <w:p>
            <w:pPr>
              <w:shd w:val="clear"/>
              <w:snapToGrid w:val="0"/>
              <w:jc w:val="center"/>
              <w:rPr>
                <w:rFonts w:hint="eastAsia" w:ascii="仿宋" w:hAnsi="仿宋" w:eastAsia="仿宋" w:cs="仿宋"/>
                <w:color w:val="auto"/>
                <w:sz w:val="24"/>
              </w:rPr>
            </w:pPr>
            <w:r>
              <w:rPr>
                <w:rFonts w:hint="eastAsia" w:ascii="仿宋" w:hAnsi="仿宋" w:eastAsia="仿宋" w:cs="仿宋"/>
                <w:b w:val="0"/>
                <w:bCs/>
                <w:color w:val="auto"/>
                <w:kern w:val="0"/>
                <w:sz w:val="24"/>
                <w:szCs w:val="24"/>
                <w:highlight w:val="none"/>
                <w:lang w:val="en-US" w:eastAsia="zh-CN"/>
              </w:rPr>
              <w:t>247.7</w:t>
            </w:r>
          </w:p>
        </w:tc>
        <w:tc>
          <w:tcPr>
            <w:tcW w:w="877" w:type="dxa"/>
            <w:noWrap w:val="0"/>
            <w:vAlign w:val="center"/>
          </w:tcPr>
          <w:p>
            <w:pPr>
              <w:snapToGrid w:val="0"/>
              <w:spacing w:line="360" w:lineRule="auto"/>
              <w:jc w:val="center"/>
              <w:rPr>
                <w:rFonts w:hint="eastAsia" w:ascii="仿宋" w:hAnsi="仿宋" w:eastAsia="仿宋" w:cs="仿宋"/>
                <w:color w:val="auto"/>
                <w:sz w:val="22"/>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45" w:type="dxa"/>
            <w:noWrap w:val="0"/>
            <w:vAlign w:val="center"/>
          </w:tcPr>
          <w:p>
            <w:pPr>
              <w:tabs>
                <w:tab w:val="left" w:pos="8280"/>
              </w:tabs>
              <w:autoSpaceDE w:val="0"/>
              <w:autoSpaceDN w:val="0"/>
              <w:snapToGrid w:val="0"/>
              <w:spacing w:line="360" w:lineRule="auto"/>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c>
          <w:tcPr>
            <w:tcW w:w="2745" w:type="dxa"/>
            <w:noWrap w:val="0"/>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lang w:val="en-US" w:eastAsia="zh-CN"/>
              </w:rPr>
              <w:t>路桥区、天台县和仙居县5个省控地表水（峰江（下里桥）、三条埠头、响岩、曹店、柴岭下）水质自动监测站建设</w:t>
            </w:r>
          </w:p>
        </w:tc>
        <w:tc>
          <w:tcPr>
            <w:tcW w:w="1800" w:type="dxa"/>
            <w:noWrap w:val="0"/>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见招标文件第三部分采购需求</w:t>
            </w:r>
          </w:p>
        </w:tc>
        <w:tc>
          <w:tcPr>
            <w:tcW w:w="838" w:type="dxa"/>
            <w:noWrap w:val="0"/>
            <w:vAlign w:val="center"/>
          </w:tcPr>
          <w:p>
            <w:pPr>
              <w:snapToGrid w:val="0"/>
              <w:spacing w:line="360" w:lineRule="auto"/>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1</w:t>
            </w:r>
          </w:p>
        </w:tc>
        <w:tc>
          <w:tcPr>
            <w:tcW w:w="950" w:type="dxa"/>
            <w:noWrap w:val="0"/>
            <w:vAlign w:val="center"/>
          </w:tcPr>
          <w:p>
            <w:pPr>
              <w:snapToGrid w:val="0"/>
              <w:spacing w:line="360" w:lineRule="auto"/>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批</w:t>
            </w:r>
          </w:p>
        </w:tc>
        <w:tc>
          <w:tcPr>
            <w:tcW w:w="1261" w:type="dxa"/>
            <w:noWrap w:val="0"/>
            <w:vAlign w:val="center"/>
          </w:tcPr>
          <w:p>
            <w:pPr>
              <w:shd w:val="clear"/>
              <w:snapToGrid w:val="0"/>
              <w:jc w:val="center"/>
              <w:rPr>
                <w:rFonts w:hint="eastAsia" w:ascii="仿宋" w:hAnsi="仿宋" w:eastAsia="仿宋" w:cs="仿宋"/>
                <w:color w:val="auto"/>
                <w:sz w:val="24"/>
              </w:rPr>
            </w:pPr>
            <w:r>
              <w:rPr>
                <w:rFonts w:hint="eastAsia" w:ascii="仿宋" w:hAnsi="仿宋" w:eastAsia="仿宋" w:cs="仿宋"/>
                <w:b w:val="0"/>
                <w:bCs/>
                <w:color w:val="auto"/>
                <w:kern w:val="0"/>
                <w:sz w:val="24"/>
                <w:szCs w:val="24"/>
                <w:highlight w:val="none"/>
                <w:lang w:val="en-US" w:eastAsia="zh-CN"/>
              </w:rPr>
              <w:t>309.5</w:t>
            </w:r>
          </w:p>
        </w:tc>
        <w:tc>
          <w:tcPr>
            <w:tcW w:w="877" w:type="dxa"/>
            <w:noWrap w:val="0"/>
            <w:vAlign w:val="center"/>
          </w:tcPr>
          <w:p>
            <w:pPr>
              <w:snapToGrid w:val="0"/>
              <w:spacing w:line="360" w:lineRule="auto"/>
              <w:jc w:val="center"/>
              <w:rPr>
                <w:rFonts w:hint="eastAsia" w:ascii="仿宋" w:hAnsi="仿宋" w:eastAsia="仿宋" w:cs="仿宋"/>
                <w:color w:val="auto"/>
                <w:sz w:val="22"/>
                <w:szCs w:val="28"/>
                <w:highlight w:val="yellow"/>
              </w:rPr>
            </w:pPr>
          </w:p>
        </w:tc>
      </w:tr>
    </w:tbl>
    <w:p>
      <w:pPr>
        <w:pStyle w:val="5"/>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pPr>
        <w:pStyle w:val="130"/>
        <w:ind w:firstLine="482"/>
        <w:outlineLvl w:val="2"/>
        <w:rPr>
          <w:rFonts w:hint="default" w:ascii="仿宋" w:hAnsi="仿宋" w:eastAsia="仿宋" w:cs="仿宋"/>
          <w:color w:val="auto"/>
          <w:lang w:val="en-US" w:eastAsia="zh-CN"/>
        </w:rPr>
      </w:pPr>
      <w:r>
        <w:rPr>
          <w:rFonts w:hint="eastAsia" w:ascii="仿宋" w:hAnsi="仿宋" w:eastAsia="仿宋" w:cs="仿宋"/>
          <w:b/>
          <w:color w:val="auto"/>
        </w:rPr>
        <w:t>合同履约期限：</w:t>
      </w:r>
      <w:r>
        <w:rPr>
          <w:rFonts w:hint="eastAsia" w:ascii="仿宋" w:hAnsi="仿宋" w:eastAsia="仿宋" w:cs="仿宋"/>
          <w:color w:val="auto"/>
        </w:rPr>
        <w:t xml:space="preserve"> </w:t>
      </w:r>
      <w:r>
        <w:rPr>
          <w:rFonts w:hint="eastAsia" w:ascii="仿宋" w:hAnsi="仿宋" w:eastAsia="仿宋" w:cs="仿宋"/>
          <w:color w:val="auto"/>
          <w:lang w:val="en-US" w:eastAsia="zh-CN"/>
        </w:rPr>
        <w:t>/</w:t>
      </w:r>
    </w:p>
    <w:p>
      <w:pPr>
        <w:pStyle w:val="5"/>
        <w:spacing w:line="360" w:lineRule="auto"/>
        <w:ind w:firstLine="480"/>
        <w:rPr>
          <w:rFonts w:hint="eastAsia" w:ascii="仿宋" w:hAnsi="仿宋" w:eastAsia="仿宋" w:cs="仿宋"/>
          <w:b/>
          <w:color w:val="auto"/>
          <w:lang w:eastAsia="zh-CN"/>
        </w:rPr>
      </w:pPr>
      <w:r>
        <w:rPr>
          <w:rFonts w:hint="eastAsia" w:ascii="仿宋" w:hAnsi="仿宋" w:eastAsia="仿宋" w:cs="仿宋"/>
          <w:b/>
          <w:color w:val="auto"/>
          <w:sz w:val="24"/>
        </w:rPr>
        <w:t>本项目</w:t>
      </w:r>
      <w:r>
        <w:rPr>
          <w:rFonts w:hint="eastAsia" w:ascii="仿宋" w:hAnsi="仿宋" w:eastAsia="仿宋" w:cs="仿宋"/>
          <w:b/>
          <w:color w:val="auto"/>
          <w:sz w:val="24"/>
          <w:lang w:eastAsia="zh-CN"/>
        </w:rPr>
        <w:t>是否</w:t>
      </w:r>
      <w:r>
        <w:rPr>
          <w:rFonts w:hint="eastAsia" w:ascii="仿宋" w:hAnsi="仿宋" w:eastAsia="仿宋" w:cs="仿宋"/>
          <w:b/>
          <w:color w:val="auto"/>
          <w:sz w:val="24"/>
        </w:rPr>
        <w:t>接受联合体投标：</w:t>
      </w:r>
      <w:r>
        <w:rPr>
          <w:rFonts w:hint="eastAsia" w:ascii="仿宋" w:hAnsi="仿宋" w:eastAsia="仿宋" w:cs="仿宋"/>
          <w:b/>
          <w:color w:val="auto"/>
          <w:sz w:val="24"/>
          <w:lang w:eastAsia="zh-CN"/>
        </w:rPr>
        <w:t>否</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napToGrid w:val="0"/>
          <w:color w:val="auto"/>
          <w:kern w:val="28"/>
          <w:sz w:val="24"/>
          <w:szCs w:val="20"/>
          <w:lang w:eastAsia="zh-CN"/>
        </w:rPr>
      </w:pPr>
      <w:r>
        <w:rPr>
          <w:rFonts w:hint="eastAsia" w:ascii="仿宋" w:hAnsi="仿宋" w:eastAsia="仿宋" w:cs="仿宋"/>
          <w:snapToGrid w:val="0"/>
          <w:color w:val="auto"/>
          <w:kern w:val="28"/>
          <w:sz w:val="24"/>
          <w:szCs w:val="20"/>
          <w:lang w:val="en-US" w:eastAsia="zh-CN"/>
        </w:rPr>
        <w:t>2</w:t>
      </w:r>
      <w:r>
        <w:rPr>
          <w:rFonts w:hint="eastAsia" w:ascii="仿宋" w:hAnsi="仿宋" w:eastAsia="仿宋" w:cs="仿宋"/>
          <w:snapToGrid w:val="0"/>
          <w:color w:val="auto"/>
          <w:kern w:val="28"/>
          <w:sz w:val="24"/>
          <w:szCs w:val="20"/>
        </w:rPr>
        <w:t>.落实政府采购政策需满足的资格要求：</w:t>
      </w:r>
      <w:r>
        <w:rPr>
          <w:rFonts w:hint="eastAsia" w:ascii="仿宋" w:hAnsi="仿宋" w:eastAsia="仿宋" w:cs="仿宋"/>
          <w:snapToGrid w:val="0"/>
          <w:color w:val="auto"/>
          <w:kern w:val="28"/>
          <w:sz w:val="24"/>
          <w:szCs w:val="20"/>
          <w:lang w:eastAsia="zh-CN"/>
        </w:rPr>
        <w:t>无</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.本项目的特定资格要求：无；</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b/>
          <w:color w:val="auto"/>
          <w:sz w:val="24"/>
          <w:lang w:val="en-US" w:eastAsia="zh-CN"/>
        </w:rPr>
        <w:t>至提交投标文件截止之前均可获取</w:t>
      </w:r>
      <w:r>
        <w:rPr>
          <w:rFonts w:hint="eastAsia" w:ascii="仿宋" w:hAnsi="仿宋" w:eastAsia="仿宋" w:cs="仿宋"/>
          <w:color w:val="auto"/>
          <w:sz w:val="24"/>
        </w:rPr>
        <w:t>（北京时间，线上获取法定节假日均可，线下获取文件法定节假日除外）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202</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 xml:space="preserve"> 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lang w:eastAsia="zh-CN"/>
        </w:rPr>
        <w:t>时</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w:t>
      </w:r>
      <w:r>
        <w:rPr>
          <w:rFonts w:hint="eastAsia" w:ascii="仿宋" w:hAnsi="仿宋" w:eastAsia="仿宋" w:cs="仿宋"/>
          <w:color w:val="auto"/>
          <w:sz w:val="24"/>
          <w:u w:val="single"/>
          <w:lang w:eastAsia="zh-CN"/>
        </w:rPr>
        <w:t>秒</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 xml:space="preserve"> 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lang w:eastAsia="zh-CN"/>
        </w:rPr>
        <w:t>时</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bCs/>
          <w:color w:val="auto"/>
          <w:sz w:val="24"/>
          <w:u w:val="single"/>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.供应商认为招标文件使自己的权益受到损害的，可以自获取招标文件之日或者招标文件公告期限届满之日起7个工作日内，以书面形式</w:t>
      </w:r>
      <w:r>
        <w:rPr>
          <w:rFonts w:hint="eastAsia" w:ascii="仿宋" w:hAnsi="仿宋" w:eastAsia="仿宋" w:cs="仿宋"/>
          <w:color w:val="auto"/>
          <w:sz w:val="24"/>
          <w:lang w:val="en-US" w:eastAsia="zh-CN"/>
        </w:rPr>
        <w:t>一次性针对同一环节（包括招标过程、中标结果等也应一次性在同一环节提出）</w:t>
      </w:r>
      <w:r>
        <w:rPr>
          <w:rFonts w:hint="eastAsia" w:ascii="仿宋" w:hAnsi="仿宋" w:eastAsia="仿宋" w:cs="仿宋"/>
          <w:color w:val="auto"/>
          <w:sz w:val="24"/>
        </w:rPr>
        <w:t>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    称：</w:t>
      </w:r>
      <w:r>
        <w:rPr>
          <w:rFonts w:hint="eastAsia" w:ascii="仿宋" w:hAnsi="仿宋" w:eastAsia="仿宋" w:cs="仿宋"/>
          <w:color w:val="auto"/>
          <w:sz w:val="24"/>
          <w:lang w:eastAsia="zh-CN"/>
        </w:rPr>
        <w:t>浙江省台州生态环境监测中心</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 </w:t>
      </w:r>
      <w:r>
        <w:rPr>
          <w:rFonts w:hint="eastAsia" w:ascii="仿宋" w:hAnsi="仿宋" w:eastAsia="仿宋" w:cs="仿宋"/>
          <w:color w:val="auto"/>
          <w:sz w:val="24"/>
          <w:lang w:eastAsia="zh-CN"/>
        </w:rPr>
        <w:t>台州市椒江区白云山南路108号</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pPr>
        <w:spacing w:line="360" w:lineRule="auto"/>
        <w:ind w:firstLine="480"/>
        <w:rPr>
          <w:rFonts w:hint="eastAsia" w:ascii="仿宋" w:hAnsi="仿宋" w:eastAsia="仿宋" w:cs="仿宋"/>
          <w:color w:val="auto"/>
          <w:sz w:val="24"/>
          <w:lang w:eastAsia="zh-CN"/>
        </w:rPr>
      </w:pPr>
      <w:r>
        <w:rPr>
          <w:rFonts w:hint="eastAsia" w:ascii="仿宋" w:hAnsi="仿宋" w:eastAsia="仿宋" w:cs="仿宋"/>
          <w:color w:val="auto"/>
          <w:sz w:val="24"/>
        </w:rPr>
        <w:t xml:space="preserve">项目联系人（询问）：  </w:t>
      </w:r>
      <w:r>
        <w:rPr>
          <w:rFonts w:hint="eastAsia" w:ascii="仿宋" w:hAnsi="仿宋" w:eastAsia="仿宋" w:cs="仿宋"/>
          <w:color w:val="auto"/>
          <w:sz w:val="24"/>
          <w:lang w:eastAsia="zh-CN"/>
        </w:rPr>
        <w:t>方先生</w:t>
      </w:r>
    </w:p>
    <w:p>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项目联系方式（询问）： </w:t>
      </w:r>
      <w:r>
        <w:rPr>
          <w:rFonts w:hint="eastAsia" w:ascii="仿宋" w:hAnsi="仿宋" w:eastAsia="仿宋" w:cs="仿宋"/>
          <w:color w:val="auto"/>
          <w:sz w:val="24"/>
          <w:lang w:val="en-US" w:eastAsia="zh-CN"/>
        </w:rPr>
        <w:t>0576-88581137</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质疑联系人： </w:t>
      </w:r>
      <w:r>
        <w:rPr>
          <w:rFonts w:hint="eastAsia" w:ascii="仿宋" w:hAnsi="仿宋" w:eastAsia="仿宋" w:cs="仿宋"/>
          <w:color w:val="auto"/>
          <w:sz w:val="24"/>
          <w:lang w:eastAsia="zh-CN"/>
        </w:rPr>
        <w:t>丁女士</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w:t>
      </w:r>
      <w:r>
        <w:rPr>
          <w:rFonts w:hint="eastAsia" w:ascii="仿宋" w:hAnsi="仿宋" w:eastAsia="仿宋" w:cs="仿宋"/>
          <w:color w:val="auto"/>
          <w:sz w:val="24"/>
          <w:lang w:val="en-US" w:eastAsia="zh-CN"/>
        </w:rPr>
        <w:t>0576-88581135</w:t>
      </w:r>
      <w:r>
        <w:rPr>
          <w:rFonts w:hint="eastAsia" w:ascii="仿宋" w:hAnsi="仿宋" w:eastAsia="仿宋" w:cs="仿宋"/>
          <w:color w:val="auto"/>
          <w:sz w:val="24"/>
        </w:rPr>
        <w:t xml:space="preserve">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2.采购代理机构信息</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名 称：台州锋鼎工程项目管理有限公司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地</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址：浙江省台州市椒江区华中大厦1单元1703室　</w:t>
      </w:r>
    </w:p>
    <w:p>
      <w:pPr>
        <w:snapToGrid w:val="0"/>
        <w:spacing w:line="360" w:lineRule="auto"/>
        <w:ind w:firstLine="480" w:firstLineChars="200"/>
        <w:rPr>
          <w:rFonts w:hint="eastAsia" w:ascii="仿宋" w:hAnsi="仿宋" w:eastAsia="仿宋" w:cs="仿宋"/>
          <w:color w:val="auto"/>
          <w:sz w:val="24"/>
        </w:rPr>
      </w:pPr>
      <w:bookmarkStart w:id="11" w:name="_Toc28359010"/>
      <w:bookmarkStart w:id="12" w:name="_Toc28359087"/>
      <w:r>
        <w:rPr>
          <w:rFonts w:hint="eastAsia" w:ascii="仿宋" w:hAnsi="仿宋" w:eastAsia="仿宋" w:cs="仿宋"/>
          <w:color w:val="auto"/>
          <w:sz w:val="24"/>
        </w:rPr>
        <w:t>传  真：0576-883106369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项目联系人（询问）：蔡女士　   　　　　　　　　　　　</w:t>
      </w:r>
    </w:p>
    <w:p>
      <w:pPr>
        <w:snapToGri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项目联系方式（询问）： </w:t>
      </w:r>
      <w:r>
        <w:rPr>
          <w:rFonts w:hint="eastAsia" w:ascii="仿宋" w:hAnsi="仿宋" w:eastAsia="仿宋" w:cs="仿宋"/>
          <w:color w:val="auto"/>
          <w:sz w:val="24"/>
          <w:lang w:val="en-US" w:eastAsia="zh-CN"/>
        </w:rPr>
        <w:t>15372111333</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质疑联系人： 陶女士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质疑联系方式：  0576-88228375　</w:t>
      </w:r>
    </w:p>
    <w:bookmarkEnd w:id="11"/>
    <w:bookmarkEnd w:id="12"/>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3.同级政府采购监督管理部门</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名   称： 台州市采监处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地  址： 台州市财政局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传  真： 0576-88200827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联系人 ： 陈女士   　　　　　　　　</w:t>
      </w:r>
    </w:p>
    <w:p>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监督投诉电话：0576-88206705　</w:t>
      </w:r>
    </w:p>
    <w:p>
      <w:pPr>
        <w:spacing w:line="360" w:lineRule="auto"/>
        <w:ind w:firstLine="480"/>
        <w:rPr>
          <w:rFonts w:hint="eastAsia" w:ascii="仿宋" w:hAnsi="仿宋" w:eastAsia="仿宋" w:cs="仿宋"/>
          <w:color w:val="auto"/>
          <w:sz w:val="24"/>
          <w:lang w:val="en-US" w:eastAsia="zh-CN"/>
        </w:rPr>
      </w:pPr>
    </w:p>
    <w:p>
      <w:pPr>
        <w:spacing w:line="360" w:lineRule="auto"/>
        <w:outlineLvl w:val="1"/>
        <w:rPr>
          <w:rFonts w:hint="eastAsia" w:ascii="仿宋" w:hAnsi="仿宋" w:eastAsia="仿宋" w:cs="仿宋"/>
          <w:b/>
          <w:color w:val="auto"/>
          <w:sz w:val="24"/>
        </w:rPr>
      </w:pPr>
      <w:r>
        <w:rPr>
          <w:rFonts w:hint="eastAsia" w:ascii="仿宋" w:hAnsi="仿宋" w:eastAsia="仿宋" w:cs="仿宋"/>
          <w:b/>
          <w:color w:val="auto"/>
          <w:sz w:val="24"/>
        </w:rPr>
        <w:t>八、中标供应商如有融资需求，可使用以下服务</w:t>
      </w:r>
    </w:p>
    <w:p>
      <w:pPr>
        <w:pStyle w:val="25"/>
        <w:ind w:firstLine="0" w:firstLineChars="0"/>
        <w:jc w:val="center"/>
        <w:rPr>
          <w:rFonts w:hint="eastAsia" w:ascii="仿宋" w:hAnsi="仿宋" w:eastAsia="仿宋" w:cs="仿宋"/>
          <w:color w:val="auto"/>
        </w:rPr>
      </w:pPr>
      <w:r>
        <w:rPr>
          <w:rFonts w:hint="eastAsia" w:ascii="仿宋" w:hAnsi="仿宋" w:eastAsia="仿宋" w:cs="仿宋"/>
          <w:color w:val="auto"/>
        </w:rPr>
        <w:t>政采贷联系方式</w:t>
      </w:r>
    </w:p>
    <w:tbl>
      <w:tblPr>
        <w:tblStyle w:val="6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1725"/>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银行</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贷款年利率</w:t>
            </w:r>
          </w:p>
        </w:tc>
        <w:tc>
          <w:tcPr>
            <w:tcW w:w="16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联系人</w:t>
            </w:r>
          </w:p>
        </w:tc>
        <w:tc>
          <w:tcPr>
            <w:tcW w:w="2131"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中国工商银行</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3.8%起</w:t>
            </w:r>
          </w:p>
        </w:tc>
        <w:tc>
          <w:tcPr>
            <w:tcW w:w="16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王霖</w:t>
            </w:r>
          </w:p>
        </w:tc>
        <w:tc>
          <w:tcPr>
            <w:tcW w:w="2131"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中国农业银行</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3.8%起</w:t>
            </w:r>
          </w:p>
        </w:tc>
        <w:tc>
          <w:tcPr>
            <w:tcW w:w="16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龚盛</w:t>
            </w:r>
          </w:p>
        </w:tc>
        <w:tc>
          <w:tcPr>
            <w:tcW w:w="2131"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97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中国建设银行</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3.8%起</w:t>
            </w:r>
          </w:p>
        </w:tc>
        <w:tc>
          <w:tcPr>
            <w:tcW w:w="16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梅晶晶</w:t>
            </w:r>
          </w:p>
        </w:tc>
        <w:tc>
          <w:tcPr>
            <w:tcW w:w="2131"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88525339</w:t>
            </w:r>
          </w:p>
          <w:p>
            <w:pPr>
              <w:jc w:val="center"/>
              <w:rPr>
                <w:rFonts w:hint="eastAsia" w:ascii="仿宋" w:hAnsi="仿宋" w:eastAsia="仿宋" w:cs="仿宋"/>
                <w:color w:val="auto"/>
                <w:sz w:val="24"/>
              </w:rPr>
            </w:pPr>
            <w:r>
              <w:rPr>
                <w:rFonts w:hint="eastAsia" w:ascii="仿宋" w:hAnsi="仿宋" w:eastAsia="仿宋" w:cs="仿宋"/>
                <w:color w:val="auto"/>
                <w:sz w:val="24"/>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中国银行</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3.75%起</w:t>
            </w:r>
          </w:p>
        </w:tc>
        <w:tc>
          <w:tcPr>
            <w:tcW w:w="16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任茜</w:t>
            </w:r>
          </w:p>
        </w:tc>
        <w:tc>
          <w:tcPr>
            <w:tcW w:w="2131"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138576953310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浦发银行台州分行</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4.05%起</w:t>
            </w:r>
          </w:p>
        </w:tc>
        <w:tc>
          <w:tcPr>
            <w:tcW w:w="16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王渊</w:t>
            </w:r>
          </w:p>
        </w:tc>
        <w:tc>
          <w:tcPr>
            <w:tcW w:w="2131"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浦发银行椒江分行</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4.05%起</w:t>
            </w:r>
          </w:p>
        </w:tc>
        <w:tc>
          <w:tcPr>
            <w:tcW w:w="16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孙瑞华</w:t>
            </w:r>
          </w:p>
        </w:tc>
        <w:tc>
          <w:tcPr>
            <w:tcW w:w="2131"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交通银行台州分行</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3.75%起</w:t>
            </w:r>
          </w:p>
        </w:tc>
        <w:tc>
          <w:tcPr>
            <w:tcW w:w="16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周翔宇</w:t>
            </w:r>
          </w:p>
        </w:tc>
        <w:tc>
          <w:tcPr>
            <w:tcW w:w="2131"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招商银行台州分行</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4.32%起</w:t>
            </w:r>
          </w:p>
        </w:tc>
        <w:tc>
          <w:tcPr>
            <w:tcW w:w="16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王海玲</w:t>
            </w:r>
          </w:p>
        </w:tc>
        <w:tc>
          <w:tcPr>
            <w:tcW w:w="2131"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浙商银行台州分行</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5.01%起</w:t>
            </w:r>
          </w:p>
        </w:tc>
        <w:tc>
          <w:tcPr>
            <w:tcW w:w="16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章涉漪</w:t>
            </w:r>
          </w:p>
        </w:tc>
        <w:tc>
          <w:tcPr>
            <w:tcW w:w="2131"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81880185</w:t>
            </w:r>
          </w:p>
          <w:p>
            <w:pPr>
              <w:jc w:val="center"/>
              <w:rPr>
                <w:rFonts w:hint="eastAsia" w:ascii="仿宋" w:hAnsi="仿宋" w:eastAsia="仿宋" w:cs="仿宋"/>
                <w:color w:val="auto"/>
                <w:sz w:val="24"/>
              </w:rPr>
            </w:pPr>
            <w:r>
              <w:rPr>
                <w:rFonts w:hint="eastAsia" w:ascii="仿宋" w:hAnsi="仿宋" w:eastAsia="仿宋" w:cs="仿宋"/>
                <w:color w:val="auto"/>
                <w:sz w:val="24"/>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中信银行台州分行</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4.15%起</w:t>
            </w:r>
          </w:p>
        </w:tc>
        <w:tc>
          <w:tcPr>
            <w:tcW w:w="16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陈金园</w:t>
            </w:r>
          </w:p>
        </w:tc>
        <w:tc>
          <w:tcPr>
            <w:tcW w:w="2131"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华夏银行台州分行</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4.5%起</w:t>
            </w:r>
          </w:p>
        </w:tc>
        <w:tc>
          <w:tcPr>
            <w:tcW w:w="16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邱明达</w:t>
            </w:r>
          </w:p>
        </w:tc>
        <w:tc>
          <w:tcPr>
            <w:tcW w:w="2131"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81871518</w:t>
            </w:r>
          </w:p>
          <w:p>
            <w:pPr>
              <w:jc w:val="center"/>
              <w:rPr>
                <w:rFonts w:hint="eastAsia" w:ascii="仿宋" w:hAnsi="仿宋" w:eastAsia="仿宋" w:cs="仿宋"/>
                <w:color w:val="auto"/>
                <w:sz w:val="24"/>
              </w:rPr>
            </w:pPr>
            <w:r>
              <w:rPr>
                <w:rFonts w:hint="eastAsia" w:ascii="仿宋" w:hAnsi="仿宋" w:eastAsia="仿宋" w:cs="仿宋"/>
                <w:color w:val="auto"/>
                <w:sz w:val="24"/>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泰隆银行开发区支行</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5.6%起</w:t>
            </w:r>
          </w:p>
        </w:tc>
        <w:tc>
          <w:tcPr>
            <w:tcW w:w="16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梁宛莉</w:t>
            </w:r>
          </w:p>
        </w:tc>
        <w:tc>
          <w:tcPr>
            <w:tcW w:w="2131"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民泰银行椒江支行</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5.8%起</w:t>
            </w:r>
          </w:p>
        </w:tc>
        <w:tc>
          <w:tcPr>
            <w:tcW w:w="16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陈慧珠</w:t>
            </w:r>
          </w:p>
        </w:tc>
        <w:tc>
          <w:tcPr>
            <w:tcW w:w="2131"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绍兴银行台州分行</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5.1%起</w:t>
            </w:r>
          </w:p>
        </w:tc>
        <w:tc>
          <w:tcPr>
            <w:tcW w:w="16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郭庭斌</w:t>
            </w:r>
          </w:p>
        </w:tc>
        <w:tc>
          <w:tcPr>
            <w:tcW w:w="2131"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温州银行台州分行</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4.55%起</w:t>
            </w:r>
          </w:p>
        </w:tc>
        <w:tc>
          <w:tcPr>
            <w:tcW w:w="16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王晓波</w:t>
            </w:r>
          </w:p>
        </w:tc>
        <w:tc>
          <w:tcPr>
            <w:tcW w:w="2131"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平安银行台州分行</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6.53%起</w:t>
            </w:r>
          </w:p>
        </w:tc>
        <w:tc>
          <w:tcPr>
            <w:tcW w:w="16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李俊丽</w:t>
            </w:r>
          </w:p>
        </w:tc>
        <w:tc>
          <w:tcPr>
            <w:tcW w:w="2131"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宁波银行台州分行</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4.35%起</w:t>
            </w:r>
          </w:p>
        </w:tc>
        <w:tc>
          <w:tcPr>
            <w:tcW w:w="16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戴莉丽</w:t>
            </w:r>
          </w:p>
        </w:tc>
        <w:tc>
          <w:tcPr>
            <w:tcW w:w="2131"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97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金华银行台州分行</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4.05%起</w:t>
            </w:r>
          </w:p>
        </w:tc>
        <w:tc>
          <w:tcPr>
            <w:tcW w:w="16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金雪婷</w:t>
            </w:r>
          </w:p>
        </w:tc>
        <w:tc>
          <w:tcPr>
            <w:tcW w:w="2131"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81886670</w:t>
            </w:r>
          </w:p>
          <w:p>
            <w:pPr>
              <w:jc w:val="center"/>
              <w:rPr>
                <w:rFonts w:hint="eastAsia" w:ascii="仿宋" w:hAnsi="仿宋" w:eastAsia="仿宋" w:cs="仿宋"/>
                <w:color w:val="auto"/>
                <w:sz w:val="24"/>
              </w:rPr>
            </w:pPr>
            <w:r>
              <w:rPr>
                <w:rFonts w:hint="eastAsia" w:ascii="仿宋" w:hAnsi="仿宋" w:eastAsia="仿宋" w:cs="仿宋"/>
                <w:color w:val="auto"/>
                <w:sz w:val="24"/>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台州银行</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5.6%起</w:t>
            </w:r>
          </w:p>
        </w:tc>
        <w:tc>
          <w:tcPr>
            <w:tcW w:w="16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洪婷</w:t>
            </w:r>
          </w:p>
        </w:tc>
        <w:tc>
          <w:tcPr>
            <w:tcW w:w="2131"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邮储银行台州分行</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3.85%起</w:t>
            </w:r>
          </w:p>
        </w:tc>
        <w:tc>
          <w:tcPr>
            <w:tcW w:w="168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董庆</w:t>
            </w:r>
          </w:p>
        </w:tc>
        <w:tc>
          <w:tcPr>
            <w:tcW w:w="2131"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81888982</w:t>
            </w:r>
          </w:p>
          <w:p>
            <w:pPr>
              <w:jc w:val="center"/>
              <w:rPr>
                <w:rFonts w:hint="eastAsia" w:ascii="仿宋" w:hAnsi="仿宋" w:eastAsia="仿宋" w:cs="仿宋"/>
                <w:color w:val="auto"/>
                <w:sz w:val="24"/>
              </w:rPr>
            </w:pPr>
            <w:r>
              <w:rPr>
                <w:rFonts w:hint="eastAsia" w:ascii="仿宋" w:hAnsi="仿宋" w:eastAsia="仿宋" w:cs="仿宋"/>
                <w:color w:val="auto"/>
                <w:sz w:val="24"/>
              </w:rPr>
              <w:t>18957683435</w:t>
            </w:r>
          </w:p>
        </w:tc>
      </w:tr>
    </w:tbl>
    <w:p>
      <w:pPr>
        <w:ind w:firstLine="840" w:firstLineChars="350"/>
        <w:jc w:val="center"/>
        <w:rPr>
          <w:rFonts w:hint="eastAsia" w:ascii="仿宋" w:hAnsi="仿宋" w:eastAsia="仿宋" w:cs="仿宋"/>
          <w:color w:val="auto"/>
          <w:sz w:val="24"/>
        </w:rPr>
      </w:pPr>
    </w:p>
    <w:p>
      <w:pPr>
        <w:ind w:firstLine="840" w:firstLineChars="350"/>
        <w:jc w:val="center"/>
        <w:outlineLvl w:val="0"/>
        <w:rPr>
          <w:rFonts w:hint="eastAsia" w:ascii="仿宋" w:hAnsi="仿宋" w:eastAsia="仿宋" w:cs="仿宋"/>
          <w:color w:val="auto"/>
          <w:sz w:val="24"/>
        </w:rPr>
      </w:pPr>
      <w:bookmarkStart w:id="13" w:name="_Toc25850"/>
      <w:r>
        <w:rPr>
          <w:rFonts w:hint="eastAsia" w:ascii="仿宋" w:hAnsi="仿宋" w:eastAsia="仿宋" w:cs="仿宋"/>
          <w:color w:val="auto"/>
          <w:sz w:val="24"/>
        </w:rPr>
        <w:t>合同履约保函联系方式</w:t>
      </w:r>
      <w:bookmarkEnd w:id="13"/>
    </w:p>
    <w:tbl>
      <w:tblPr>
        <w:tblStyle w:val="6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73"/>
        <w:gridCol w:w="2633"/>
        <w:gridCol w:w="986"/>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373" w:type="dxa"/>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保险公司名称</w:t>
            </w:r>
          </w:p>
        </w:tc>
        <w:tc>
          <w:tcPr>
            <w:tcW w:w="2633" w:type="dxa"/>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保费率</w:t>
            </w:r>
          </w:p>
        </w:tc>
        <w:tc>
          <w:tcPr>
            <w:tcW w:w="986" w:type="dxa"/>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联系人</w:t>
            </w:r>
          </w:p>
        </w:tc>
        <w:tc>
          <w:tcPr>
            <w:tcW w:w="1536" w:type="dxa"/>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中国人寿财产保险股份有限公司台州中心支公司</w:t>
            </w:r>
          </w:p>
        </w:tc>
        <w:tc>
          <w:tcPr>
            <w:tcW w:w="2633"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年费率1%，最低保费500元</w:t>
            </w:r>
          </w:p>
        </w:tc>
        <w:tc>
          <w:tcPr>
            <w:tcW w:w="986"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徐凌</w:t>
            </w:r>
          </w:p>
        </w:tc>
        <w:tc>
          <w:tcPr>
            <w:tcW w:w="1536"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永诚财产保险股份有限公司台州分公司</w:t>
            </w:r>
          </w:p>
        </w:tc>
        <w:tc>
          <w:tcPr>
            <w:tcW w:w="2633"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年费率1%，最低保费1000元</w:t>
            </w:r>
          </w:p>
        </w:tc>
        <w:tc>
          <w:tcPr>
            <w:tcW w:w="986"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尹刚强</w:t>
            </w:r>
          </w:p>
        </w:tc>
        <w:tc>
          <w:tcPr>
            <w:tcW w:w="1536"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华泰财产保险有限公司台州中心支公司</w:t>
            </w:r>
          </w:p>
        </w:tc>
        <w:tc>
          <w:tcPr>
            <w:tcW w:w="2633"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年费率0.5%，最低保费1000元</w:t>
            </w:r>
          </w:p>
        </w:tc>
        <w:tc>
          <w:tcPr>
            <w:tcW w:w="986"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王灵芳</w:t>
            </w:r>
          </w:p>
        </w:tc>
        <w:tc>
          <w:tcPr>
            <w:tcW w:w="1536"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中国大地财产保险股份有限公司台州中心支公司</w:t>
            </w:r>
          </w:p>
        </w:tc>
        <w:tc>
          <w:tcPr>
            <w:tcW w:w="2633"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年费率1.5%，最低保费1000元</w:t>
            </w:r>
          </w:p>
        </w:tc>
        <w:tc>
          <w:tcPr>
            <w:tcW w:w="986"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徐小明</w:t>
            </w:r>
          </w:p>
        </w:tc>
        <w:tc>
          <w:tcPr>
            <w:tcW w:w="1536"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885523108      13968603112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阳光保险台州中心支公司</w:t>
            </w:r>
          </w:p>
        </w:tc>
        <w:tc>
          <w:tcPr>
            <w:tcW w:w="2633"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年费率1%，最低保费500元</w:t>
            </w:r>
          </w:p>
        </w:tc>
        <w:tc>
          <w:tcPr>
            <w:tcW w:w="986"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林高明</w:t>
            </w:r>
          </w:p>
        </w:tc>
        <w:tc>
          <w:tcPr>
            <w:tcW w:w="1536"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中华联合财产保险股份有限公司台州中心支公司</w:t>
            </w:r>
          </w:p>
        </w:tc>
        <w:tc>
          <w:tcPr>
            <w:tcW w:w="2633"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年费率2%，最低保费500元</w:t>
            </w:r>
          </w:p>
        </w:tc>
        <w:tc>
          <w:tcPr>
            <w:tcW w:w="986"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王仙高</w:t>
            </w:r>
          </w:p>
        </w:tc>
        <w:tc>
          <w:tcPr>
            <w:tcW w:w="1536"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中国人民财产保险股份有限公司台州中心支公司</w:t>
            </w:r>
          </w:p>
        </w:tc>
        <w:tc>
          <w:tcPr>
            <w:tcW w:w="2633"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年费率0.3%，最低保费1000元</w:t>
            </w:r>
          </w:p>
        </w:tc>
        <w:tc>
          <w:tcPr>
            <w:tcW w:w="986"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王仙春</w:t>
            </w:r>
          </w:p>
        </w:tc>
        <w:tc>
          <w:tcPr>
            <w:tcW w:w="1536"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永安财产保险股份有限公司台州中心支公司</w:t>
            </w:r>
          </w:p>
        </w:tc>
        <w:tc>
          <w:tcPr>
            <w:tcW w:w="2633"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年费率0.3%，最低保费1000</w:t>
            </w:r>
          </w:p>
        </w:tc>
        <w:tc>
          <w:tcPr>
            <w:tcW w:w="986"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王春宇</w:t>
            </w:r>
          </w:p>
        </w:tc>
        <w:tc>
          <w:tcPr>
            <w:tcW w:w="1536"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13676675331</w:t>
            </w:r>
          </w:p>
        </w:tc>
      </w:tr>
    </w:tbl>
    <w:p>
      <w:pPr>
        <w:ind w:firstLine="840" w:firstLineChars="350"/>
        <w:jc w:val="center"/>
        <w:rPr>
          <w:rFonts w:hint="eastAsia" w:ascii="仿宋" w:hAnsi="仿宋" w:eastAsia="仿宋" w:cs="仿宋"/>
          <w:color w:val="auto"/>
          <w:sz w:val="24"/>
        </w:rPr>
      </w:pPr>
    </w:p>
    <w:p>
      <w:pPr>
        <w:ind w:firstLine="840" w:firstLineChars="350"/>
        <w:jc w:val="center"/>
        <w:rPr>
          <w:rFonts w:hint="eastAsia" w:ascii="仿宋" w:hAnsi="仿宋" w:eastAsia="仿宋" w:cs="仿宋"/>
          <w:color w:val="auto"/>
          <w:sz w:val="24"/>
        </w:rPr>
      </w:pPr>
      <w:r>
        <w:rPr>
          <w:rFonts w:hint="eastAsia" w:ascii="仿宋" w:hAnsi="仿宋" w:eastAsia="仿宋" w:cs="仿宋"/>
          <w:color w:val="auto"/>
          <w:sz w:val="24"/>
        </w:rPr>
        <w:t>预付款保函联系方式</w:t>
      </w:r>
    </w:p>
    <w:tbl>
      <w:tblPr>
        <w:tblStyle w:val="6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61"/>
        <w:gridCol w:w="1701"/>
        <w:gridCol w:w="992"/>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361" w:type="dxa"/>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保险公司名称</w:t>
            </w:r>
          </w:p>
        </w:tc>
        <w:tc>
          <w:tcPr>
            <w:tcW w:w="1701" w:type="dxa"/>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保费率</w:t>
            </w:r>
          </w:p>
        </w:tc>
        <w:tc>
          <w:tcPr>
            <w:tcW w:w="992" w:type="dxa"/>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联系人</w:t>
            </w:r>
          </w:p>
        </w:tc>
        <w:tc>
          <w:tcPr>
            <w:tcW w:w="1468" w:type="dxa"/>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4361"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中国人寿财产保险股份有限公司台州中心支公司</w:t>
            </w:r>
          </w:p>
        </w:tc>
        <w:tc>
          <w:tcPr>
            <w:tcW w:w="1701"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年费率3%，最低保费500元</w:t>
            </w:r>
          </w:p>
        </w:tc>
        <w:tc>
          <w:tcPr>
            <w:tcW w:w="992"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徐凌</w:t>
            </w:r>
          </w:p>
        </w:tc>
        <w:tc>
          <w:tcPr>
            <w:tcW w:w="1468"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4361"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阳光保险台州中心支公司</w:t>
            </w:r>
          </w:p>
        </w:tc>
        <w:tc>
          <w:tcPr>
            <w:tcW w:w="1701"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年费率1%，最低保费500元</w:t>
            </w:r>
          </w:p>
        </w:tc>
        <w:tc>
          <w:tcPr>
            <w:tcW w:w="992"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林高明</w:t>
            </w:r>
          </w:p>
        </w:tc>
        <w:tc>
          <w:tcPr>
            <w:tcW w:w="1468"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4361"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天安财产保险股份有限公司台州中心支公司</w:t>
            </w:r>
          </w:p>
        </w:tc>
        <w:tc>
          <w:tcPr>
            <w:tcW w:w="1701"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年费率1%-2%，最低保费500元</w:t>
            </w:r>
          </w:p>
        </w:tc>
        <w:tc>
          <w:tcPr>
            <w:tcW w:w="992"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罗赛</w:t>
            </w:r>
          </w:p>
        </w:tc>
        <w:tc>
          <w:tcPr>
            <w:tcW w:w="1468" w:type="dxa"/>
            <w:noWrap w:val="0"/>
            <w:vAlign w:val="top"/>
          </w:tcPr>
          <w:p>
            <w:pPr>
              <w:rPr>
                <w:rFonts w:hint="eastAsia" w:ascii="仿宋" w:hAnsi="仿宋" w:eastAsia="仿宋" w:cs="仿宋"/>
                <w:color w:val="auto"/>
                <w:sz w:val="24"/>
              </w:rPr>
            </w:pPr>
            <w:r>
              <w:rPr>
                <w:rFonts w:hint="eastAsia" w:ascii="仿宋" w:hAnsi="仿宋" w:eastAsia="仿宋" w:cs="仿宋"/>
                <w:color w:val="auto"/>
                <w:sz w:val="24"/>
              </w:rPr>
              <w:t>13736605643</w:t>
            </w:r>
          </w:p>
        </w:tc>
      </w:tr>
    </w:tbl>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rPr>
        <w:t>95763</w:t>
      </w:r>
      <w:r>
        <w:rPr>
          <w:rFonts w:hint="eastAsia" w:ascii="仿宋" w:hAnsi="仿宋" w:eastAsia="仿宋" w:cs="仿宋"/>
          <w:color w:val="auto"/>
          <w:sz w:val="24"/>
        </w:rPr>
        <w:t>获取热线服务帮助。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widowControl/>
        <w:adjustRightInd/>
        <w:jc w:val="left"/>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pPr>
        <w:pStyle w:val="3"/>
        <w:keepNext/>
        <w:keepLines/>
        <w:pageBreakBefore w:val="0"/>
        <w:widowControl w:val="0"/>
        <w:kinsoku/>
        <w:wordWrap/>
        <w:overflowPunct/>
        <w:topLinePunct w:val="0"/>
        <w:autoSpaceDE/>
        <w:autoSpaceDN/>
        <w:bidi w:val="0"/>
        <w:adjustRightInd w:val="0"/>
        <w:snapToGrid/>
        <w:spacing w:after="0" w:line="360" w:lineRule="auto"/>
        <w:ind w:left="431" w:hanging="431"/>
        <w:jc w:val="center"/>
        <w:textAlignment w:val="auto"/>
        <w:rPr>
          <w:rFonts w:hint="eastAsia" w:ascii="仿宋" w:hAnsi="仿宋" w:eastAsia="仿宋" w:cs="仿宋"/>
          <w:color w:val="auto"/>
        </w:rPr>
      </w:pPr>
      <w:bookmarkStart w:id="14" w:name="_Toc32713"/>
      <w:r>
        <w:rPr>
          <w:rFonts w:hint="eastAsia" w:ascii="仿宋" w:hAnsi="仿宋" w:eastAsia="仿宋" w:cs="仿宋"/>
          <w:color w:val="auto"/>
        </w:rPr>
        <w:t>第二部分</w:t>
      </w:r>
      <w:bookmarkEnd w:id="8"/>
      <w:r>
        <w:rPr>
          <w:rFonts w:hint="eastAsia" w:ascii="仿宋" w:hAnsi="仿宋" w:eastAsia="仿宋" w:cs="仿宋"/>
          <w:color w:val="auto"/>
        </w:rPr>
        <w:t xml:space="preserve"> 投标人须知</w:t>
      </w:r>
      <w:bookmarkEnd w:id="9"/>
      <w:bookmarkEnd w:id="14"/>
    </w:p>
    <w:p>
      <w:pPr>
        <w:adjustRightInd/>
        <w:spacing w:line="360" w:lineRule="auto"/>
        <w:ind w:firstLine="3845" w:firstLineChars="1197"/>
        <w:outlineLvl w:val="0"/>
        <w:rPr>
          <w:rFonts w:hint="eastAsia" w:ascii="仿宋" w:hAnsi="仿宋" w:eastAsia="仿宋" w:cs="仿宋"/>
          <w:b/>
          <w:color w:val="auto"/>
          <w:sz w:val="32"/>
          <w:szCs w:val="20"/>
        </w:rPr>
      </w:pPr>
      <w:bookmarkStart w:id="15" w:name="_Toc1353"/>
      <w:r>
        <w:rPr>
          <w:rFonts w:hint="eastAsia" w:ascii="仿宋" w:hAnsi="仿宋" w:eastAsia="仿宋" w:cs="仿宋"/>
          <w:b/>
          <w:color w:val="auto"/>
          <w:sz w:val="32"/>
          <w:szCs w:val="20"/>
        </w:rPr>
        <w:t>前附表</w:t>
      </w:r>
      <w:bookmarkEnd w:id="15"/>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345"/>
        <w:gridCol w:w="1599"/>
        <w:gridCol w:w="77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0" w:hRule="atLeast"/>
          <w:tblHeader/>
        </w:trPr>
        <w:tc>
          <w:tcPr>
            <w:tcW w:w="0" w:type="auto"/>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项目属性</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货物</w:t>
            </w:r>
            <w:r>
              <w:rPr>
                <w:rFonts w:hint="eastAsia" w:ascii="仿宋" w:hAnsi="仿宋" w:eastAsia="仿宋" w:cs="仿宋"/>
                <w:color w:val="auto"/>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6" w:hRule="atLeast"/>
          <w:tblHeader/>
        </w:trPr>
        <w:tc>
          <w:tcPr>
            <w:tcW w:w="0" w:type="auto"/>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lang w:val="en-US"/>
              </w:rPr>
            </w:pPr>
            <w:r>
              <w:rPr>
                <w:rFonts w:hint="eastAsia" w:ascii="仿宋" w:hAnsi="仿宋" w:eastAsia="仿宋" w:cs="仿宋"/>
                <w:color w:val="auto"/>
                <w:kern w:val="0"/>
                <w:sz w:val="24"/>
              </w:rPr>
              <w:t>（1）标的：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环境质量自动监测智能化建设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rPr>
              <w:t xml:space="preserve"> </w:t>
            </w:r>
            <w:r>
              <w:rPr>
                <w:rFonts w:hint="eastAsia" w:ascii="仿宋" w:hAnsi="仿宋" w:eastAsia="仿宋" w:cs="仿宋"/>
                <w:color w:val="auto"/>
                <w:sz w:val="24"/>
                <w:u w:val="single"/>
              </w:rPr>
              <w:t xml:space="preserve">（行业划分按《工信部关于印发中小企业划型标准规定的通知（工信部联企业〔2011〕300号）》执行） </w:t>
            </w:r>
            <w:r>
              <w:rPr>
                <w:rFonts w:hint="eastAsia" w:ascii="仿宋" w:hAnsi="仿宋" w:eastAsia="仿宋" w:cs="仿宋"/>
                <w:color w:val="000000" w:themeColor="text1"/>
                <w:sz w:val="24"/>
                <w:szCs w:val="24"/>
                <w:highlight w:val="none"/>
                <w:u w:val="single"/>
                <w14:textFill>
                  <w14:solidFill>
                    <w14:schemeClr w14:val="tx1"/>
                  </w14:solidFill>
                </w14:textFill>
              </w:rPr>
              <w:t>工业</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行业</w:t>
            </w:r>
            <w:r>
              <w:rPr>
                <w:rFonts w:hint="eastAsia" w:ascii="仿宋" w:hAnsi="仿宋" w:eastAsia="仿宋" w:cs="仿宋"/>
                <w:color w:val="auto"/>
                <w:kern w:val="0"/>
                <w:sz w:val="24"/>
              </w:rPr>
              <w:t>；</w:t>
            </w:r>
            <w:bookmarkStart w:id="437" w:name="_GoBack"/>
            <w:bookmarkEnd w:id="43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0" w:type="auto"/>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本项目不允许采购进口产品。</w:t>
            </w:r>
          </w:p>
          <w:p>
            <w:pPr>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可以就</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分包</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 xml:space="preserve"> </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p>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 xml:space="preserve"> </w:t>
            </w:r>
            <w:r>
              <w:rPr>
                <w:rFonts w:hint="eastAsia" w:ascii="仿宋" w:hAnsi="仿宋" w:eastAsia="仿宋" w:cs="仿宋"/>
                <w:color w:val="auto"/>
                <w:sz w:val="24"/>
              </w:rPr>
              <w:t>不同意分包。</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0" w:type="auto"/>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color w:val="auto"/>
                <w:sz w:val="24"/>
                <w:szCs w:val="24"/>
                <w:highlight w:val="none"/>
              </w:rPr>
              <w:t>现场勘察</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由于本项目具体</w:t>
            </w:r>
            <w:r>
              <w:rPr>
                <w:rFonts w:hint="eastAsia" w:ascii="仿宋" w:hAnsi="仿宋" w:eastAsia="仿宋" w:cs="仿宋"/>
                <w:color w:val="auto"/>
                <w:sz w:val="24"/>
                <w:szCs w:val="24"/>
                <w:highlight w:val="none"/>
                <w:lang w:eastAsia="zh-CN"/>
              </w:rPr>
              <w:t>监测</w:t>
            </w:r>
            <w:r>
              <w:rPr>
                <w:rFonts w:hint="eastAsia" w:ascii="仿宋" w:hAnsi="仿宋" w:eastAsia="仿宋" w:cs="仿宋"/>
                <w:color w:val="auto"/>
                <w:sz w:val="24"/>
                <w:szCs w:val="24"/>
                <w:highlight w:val="none"/>
              </w:rPr>
              <w:t>内容要求，建议参与项目投标的投标商派出技术人员与相关人员联系进行现场勘察，所产生的费用由投标单位自理。</w:t>
            </w:r>
            <w:r>
              <w:rPr>
                <w:rFonts w:hint="eastAsia" w:ascii="仿宋" w:hAnsi="仿宋" w:eastAsia="仿宋" w:cs="仿宋"/>
                <w:color w:val="auto"/>
                <w:sz w:val="24"/>
                <w:szCs w:val="24"/>
                <w:highlight w:val="none"/>
                <w:lang w:eastAsia="zh-CN"/>
              </w:rPr>
              <w:t>（根据所附省控断面点位信息，投标商自行前往）</w:t>
            </w:r>
          </w:p>
          <w:p>
            <w:pPr>
              <w:spacing w:line="360" w:lineRule="auto"/>
              <w:rPr>
                <w:rFonts w:hint="eastAsia" w:ascii="仿宋" w:hAnsi="仿宋" w:eastAsia="仿宋" w:cs="仿宋"/>
                <w:color w:val="auto"/>
                <w:sz w:val="24"/>
                <w:szCs w:val="20"/>
                <w:lang w:eastAsia="zh-CN"/>
              </w:rPr>
            </w:pPr>
            <w:r>
              <w:rPr>
                <w:rFonts w:hint="eastAsia" w:ascii="仿宋" w:hAnsi="仿宋" w:eastAsia="仿宋" w:cs="仿宋"/>
                <w:color w:val="auto"/>
                <w:sz w:val="24"/>
                <w:szCs w:val="24"/>
                <w:highlight w:val="none"/>
              </w:rPr>
              <w:t>踏勘联系人：</w:t>
            </w:r>
            <w:r>
              <w:rPr>
                <w:rFonts w:hint="eastAsia" w:ascii="仿宋" w:hAnsi="仿宋" w:eastAsia="仿宋" w:cs="仿宋"/>
                <w:color w:val="auto"/>
                <w:sz w:val="24"/>
                <w:szCs w:val="24"/>
                <w:highlight w:val="none"/>
                <w:u w:val="single"/>
                <w:lang w:val="en-US" w:eastAsia="zh-CN"/>
              </w:rPr>
              <w:t xml:space="preserve">  方铖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lang w:val="en-US" w:eastAsia="zh-CN"/>
              </w:rPr>
              <w:t xml:space="preserve">  0576-88581137   </w:t>
            </w:r>
            <w:r>
              <w:rPr>
                <w:rFonts w:hint="eastAsia" w:ascii="仿宋" w:hAnsi="仿宋" w:eastAsia="仿宋" w:cs="仿宋"/>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00" w:hRule="atLeast"/>
          <w:tblHeader/>
        </w:trPr>
        <w:tc>
          <w:tcPr>
            <w:tcW w:w="0" w:type="auto"/>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不要求提供。</w:t>
            </w:r>
          </w:p>
          <w:p>
            <w:pPr>
              <w:spacing w:line="360" w:lineRule="auto"/>
              <w:rPr>
                <w:rFonts w:hint="eastAsia" w:ascii="仿宋" w:hAnsi="仿宋" w:eastAsia="仿宋" w:cs="仿宋"/>
                <w:b/>
                <w:color w:val="auto"/>
                <w:sz w:val="24"/>
              </w:rPr>
            </w:pPr>
            <w:sdt>
              <w:sdtPr>
                <w:rPr>
                  <w:rFonts w:hint="eastAsia" w:ascii="仿宋" w:hAnsi="仿宋" w:eastAsia="仿宋" w:cs="仿宋"/>
                  <w:color w:val="auto"/>
                  <w:kern w:val="0"/>
                  <w:sz w:val="24"/>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要求提供</w:t>
            </w:r>
            <w:r>
              <w:rPr>
                <w:rFonts w:hint="eastAsia" w:ascii="仿宋" w:hAnsi="仿宋" w:eastAsia="仿宋" w:cs="仿宋"/>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0" w:hRule="atLeast"/>
          <w:tblHeader/>
        </w:trPr>
        <w:tc>
          <w:tcPr>
            <w:tcW w:w="0" w:type="auto"/>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7</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不组织。</w:t>
            </w:r>
          </w:p>
          <w:p>
            <w:pPr>
              <w:spacing w:line="360" w:lineRule="auto"/>
              <w:rPr>
                <w:rFonts w:hint="eastAsia" w:ascii="仿宋" w:hAnsi="仿宋" w:eastAsia="仿宋" w:cs="仿宋"/>
                <w:b/>
                <w:color w:val="auto"/>
                <w:kern w:val="0"/>
                <w:sz w:val="24"/>
                <w:lang w:val="zh-CN"/>
              </w:rPr>
            </w:pPr>
            <w:sdt>
              <w:sdtPr>
                <w:rPr>
                  <w:rFonts w:hint="eastAsia" w:ascii="仿宋" w:hAnsi="仿宋" w:eastAsia="仿宋" w:cs="仿宋"/>
                  <w:color w:val="auto"/>
                  <w:kern w:val="0"/>
                  <w:sz w:val="24"/>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0" w:hRule="atLeast"/>
          <w:tblHeader/>
        </w:trPr>
        <w:tc>
          <w:tcPr>
            <w:tcW w:w="0" w:type="auto"/>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0" w:type="auto"/>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0" w:type="auto"/>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0" w:hRule="atLeast"/>
          <w:tblHeader/>
        </w:trPr>
        <w:tc>
          <w:tcPr>
            <w:tcW w:w="0" w:type="auto"/>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rPr>
            </w:pPr>
          </w:p>
        </w:tc>
        <w:tc>
          <w:tcPr>
            <w:tcW w:w="0" w:type="auto"/>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p>
        </w:tc>
        <w:tc>
          <w:tcPr>
            <w:tcW w:w="0" w:type="auto"/>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0" w:hRule="atLeast"/>
          <w:tblHeader/>
        </w:trPr>
        <w:tc>
          <w:tcPr>
            <w:tcW w:w="0" w:type="auto"/>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0" w:hRule="atLeast"/>
          <w:tblHeader/>
        </w:trPr>
        <w:tc>
          <w:tcPr>
            <w:tcW w:w="0" w:type="auto"/>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b/>
                <w:bCs/>
                <w:color w:val="auto"/>
                <w:kern w:val="0"/>
                <w:sz w:val="24"/>
                <w:lang w:val="zh-CN"/>
              </w:rPr>
              <w:t>投标文件</w:t>
            </w:r>
            <w:r>
              <w:rPr>
                <w:rFonts w:hint="eastAsia" w:ascii="仿宋" w:hAnsi="仿宋" w:eastAsia="仿宋" w:cs="仿宋"/>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提醒：验收时产生的所有费用由中标人承担，包含在投标总价中。</w:t>
            </w:r>
          </w:p>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360" w:lineRule="auto"/>
              <w:ind w:firstLine="241" w:firstLineChars="100"/>
              <w:rPr>
                <w:rFonts w:hint="eastAsia"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0" w:type="auto"/>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0" w:type="auto"/>
            <w:tcBorders>
              <w:top w:val="single" w:color="000000" w:sz="8" w:space="0"/>
              <w:left w:val="single" w:color="000000" w:sz="2" w:space="0"/>
              <w:right w:val="single" w:color="000000" w:sz="8" w:space="0"/>
            </w:tcBorders>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备份投标文件送达地点和签收人员</w:t>
            </w:r>
          </w:p>
        </w:tc>
        <w:tc>
          <w:tcPr>
            <w:tcW w:w="0" w:type="auto"/>
            <w:tcBorders>
              <w:top w:val="single" w:color="000000" w:sz="8" w:space="0"/>
              <w:left w:val="single" w:color="000000" w:sz="2" w:space="0"/>
              <w:right w:val="single" w:color="000000" w:sz="8" w:space="0"/>
            </w:tcBorders>
            <w:vAlign w:val="center"/>
          </w:tcPr>
          <w:p>
            <w:pPr>
              <w:pStyle w:val="33"/>
              <w:rPr>
                <w:rFonts w:hint="eastAsia" w:ascii="仿宋" w:hAnsi="仿宋" w:eastAsia="仿宋" w:cs="仿宋"/>
                <w:color w:val="auto"/>
                <w:sz w:val="24"/>
              </w:rPr>
            </w:pPr>
            <w:r>
              <w:rPr>
                <w:rFonts w:hint="eastAsia" w:ascii="仿宋" w:hAnsi="仿宋" w:eastAsia="仿宋" w:cs="仿宋"/>
                <w:color w:val="auto"/>
                <w:kern w:val="28"/>
                <w:sz w:val="24"/>
                <w:szCs w:val="24"/>
              </w:rPr>
              <w:t>纸质备份投标文件送达地点：</w:t>
            </w:r>
            <w:r>
              <w:rPr>
                <w:rFonts w:hint="eastAsia" w:ascii="仿宋" w:hAnsi="仿宋" w:eastAsia="仿宋" w:cs="仿宋"/>
                <w:color w:val="auto"/>
                <w:sz w:val="24"/>
                <w:u w:val="single"/>
              </w:rPr>
              <w:t xml:space="preserve"> 椒江区华中大厦1单元1703室 </w:t>
            </w:r>
            <w:r>
              <w:rPr>
                <w:rFonts w:hint="eastAsia" w:ascii="仿宋" w:hAnsi="仿宋" w:eastAsia="仿宋" w:cs="仿宋"/>
                <w:color w:val="auto"/>
                <w:kern w:val="28"/>
                <w:sz w:val="24"/>
                <w:szCs w:val="24"/>
              </w:rPr>
              <w:t>；备份投标文件签收人员联系电话：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15372111333</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（正本一份，副本一份）</w:t>
            </w:r>
            <w:r>
              <w:rPr>
                <w:rFonts w:hint="eastAsia" w:ascii="仿宋" w:hAnsi="仿宋" w:eastAsia="仿宋" w:cs="仿宋"/>
                <w:color w:val="auto"/>
                <w:sz w:val="24"/>
              </w:rPr>
              <w:t>并确保纸质投标文件与最终上传电子加密投标文件一致，因纸质投标文件与电子投标文件不一致产生的一切结果，均由投标人自行承担。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0" w:type="auto"/>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0" w:type="auto"/>
            <w:tcBorders>
              <w:top w:val="single" w:color="000000" w:sz="8" w:space="0"/>
              <w:left w:val="single" w:color="000000" w:sz="2" w:space="0"/>
              <w:bottom w:val="single" w:color="000000" w:sz="8" w:space="0"/>
              <w:right w:val="single" w:color="000000" w:sz="8" w:space="0"/>
            </w:tcBorders>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招标服务费：</w:t>
            </w:r>
          </w:p>
        </w:tc>
        <w:tc>
          <w:tcPr>
            <w:tcW w:w="0" w:type="auto"/>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中标人在领取到中标通知书后5个工作日内支付给招标代理机构，各投标人应在投标报价中予以考虑。</w:t>
            </w:r>
          </w:p>
          <w:p>
            <w:pPr>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1.本采购代理机构参照国家计委计价格[2002]1980号文件规定的招标费率标准×</w:t>
            </w:r>
            <w:r>
              <w:rPr>
                <w:rFonts w:hint="eastAsia" w:ascii="仿宋" w:hAnsi="仿宋" w:eastAsia="仿宋" w:cs="仿宋"/>
                <w:snapToGrid w:val="0"/>
                <w:color w:val="auto"/>
                <w:kern w:val="28"/>
                <w:sz w:val="24"/>
                <w:lang w:val="en-US" w:eastAsia="zh-CN"/>
              </w:rPr>
              <w:t>80</w:t>
            </w:r>
            <w:r>
              <w:rPr>
                <w:rFonts w:hint="eastAsia" w:ascii="仿宋" w:hAnsi="仿宋" w:eastAsia="仿宋" w:cs="仿宋"/>
                <w:snapToGrid w:val="0"/>
                <w:color w:val="auto"/>
                <w:kern w:val="28"/>
                <w:sz w:val="24"/>
              </w:rPr>
              <w:t>%</w:t>
            </w:r>
            <w:r>
              <w:rPr>
                <w:rFonts w:hint="eastAsia" w:ascii="仿宋" w:hAnsi="仿宋" w:eastAsia="仿宋" w:cs="仿宋"/>
                <w:snapToGrid w:val="0"/>
                <w:color w:val="auto"/>
                <w:kern w:val="28"/>
                <w:sz w:val="24"/>
                <w:lang w:eastAsia="zh-CN"/>
              </w:rPr>
              <w:t>计取招标代理费</w:t>
            </w:r>
            <w:r>
              <w:rPr>
                <w:rFonts w:hint="eastAsia" w:ascii="仿宋" w:hAnsi="仿宋" w:eastAsia="仿宋" w:cs="仿宋"/>
                <w:snapToGrid w:val="0"/>
                <w:color w:val="auto"/>
                <w:kern w:val="28"/>
                <w:sz w:val="24"/>
              </w:rPr>
              <w:t>，</w:t>
            </w:r>
            <w:r>
              <w:rPr>
                <w:rFonts w:hint="eastAsia" w:ascii="仿宋" w:hAnsi="仿宋" w:eastAsia="仿宋" w:cs="仿宋"/>
                <w:color w:val="auto"/>
                <w:sz w:val="24"/>
                <w:szCs w:val="24"/>
                <w:highlight w:val="none"/>
              </w:rPr>
              <w:t>不足</w:t>
            </w:r>
            <w:r>
              <w:rPr>
                <w:rFonts w:hint="eastAsia" w:ascii="仿宋" w:hAnsi="仿宋" w:eastAsia="仿宋" w:cs="仿宋"/>
                <w:color w:val="auto"/>
                <w:sz w:val="24"/>
                <w:szCs w:val="24"/>
                <w:highlight w:val="none"/>
                <w:lang w:val="en-US" w:eastAsia="zh-CN"/>
              </w:rPr>
              <w:t>陆仟元</w:t>
            </w:r>
            <w:r>
              <w:rPr>
                <w:rFonts w:hint="eastAsia" w:ascii="仿宋" w:hAnsi="仿宋" w:eastAsia="仿宋" w:cs="仿宋"/>
                <w:color w:val="auto"/>
                <w:sz w:val="24"/>
                <w:szCs w:val="24"/>
                <w:highlight w:val="none"/>
              </w:rPr>
              <w:t>按定额</w:t>
            </w:r>
            <w:r>
              <w:rPr>
                <w:rFonts w:hint="eastAsia" w:ascii="仿宋" w:hAnsi="仿宋" w:eastAsia="仿宋" w:cs="仿宋"/>
                <w:color w:val="auto"/>
                <w:sz w:val="24"/>
                <w:szCs w:val="24"/>
                <w:highlight w:val="none"/>
                <w:lang w:val="en-US" w:eastAsia="zh-CN"/>
              </w:rPr>
              <w:t>陆仟</w:t>
            </w:r>
            <w:r>
              <w:rPr>
                <w:rFonts w:hint="eastAsia" w:ascii="仿宋" w:hAnsi="仿宋" w:eastAsia="仿宋" w:cs="仿宋"/>
                <w:color w:val="auto"/>
                <w:sz w:val="24"/>
                <w:szCs w:val="24"/>
                <w:highlight w:val="none"/>
              </w:rPr>
              <w:t>元收取</w:t>
            </w:r>
            <w:r>
              <w:rPr>
                <w:rFonts w:hint="eastAsia" w:ascii="仿宋" w:hAnsi="仿宋" w:eastAsia="仿宋" w:cs="仿宋"/>
                <w:color w:val="auto"/>
                <w:sz w:val="24"/>
                <w:szCs w:val="24"/>
                <w:highlight w:val="none"/>
                <w:lang w:eastAsia="zh-CN"/>
              </w:rPr>
              <w:t>，由中标人支付，</w:t>
            </w:r>
            <w:r>
              <w:rPr>
                <w:rFonts w:hint="eastAsia" w:ascii="仿宋" w:hAnsi="仿宋" w:eastAsia="仿宋" w:cs="仿宋"/>
                <w:color w:val="auto"/>
                <w:sz w:val="24"/>
                <w:szCs w:val="24"/>
                <w:highlight w:val="none"/>
              </w:rPr>
              <w:t>在领取成交通知书前付清。</w:t>
            </w:r>
            <w:r>
              <w:rPr>
                <w:rFonts w:hint="eastAsia" w:ascii="仿宋" w:hAnsi="仿宋" w:eastAsia="仿宋" w:cs="仿宋"/>
                <w:snapToGrid w:val="0"/>
                <w:color w:val="auto"/>
                <w:kern w:val="28"/>
                <w:sz w:val="24"/>
              </w:rPr>
              <w:t>如中标人不及时缴纳招标服务费的，则采购人需要协助采购代理机构收取。</w:t>
            </w:r>
          </w:p>
          <w:p>
            <w:pPr>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2.收费账号：</w:t>
            </w:r>
          </w:p>
          <w:p>
            <w:pPr>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账户名称：台州锋鼎工程项目管理有限公司</w:t>
            </w:r>
          </w:p>
          <w:p>
            <w:pPr>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开户银行：中国工商银行股份有限公司台州市分行</w:t>
            </w:r>
          </w:p>
          <w:p>
            <w:pPr>
              <w:rPr>
                <w:rFonts w:hint="eastAsia" w:ascii="仿宋" w:hAnsi="仿宋" w:eastAsia="仿宋" w:cs="仿宋"/>
                <w:color w:val="auto"/>
                <w:kern w:val="28"/>
                <w:sz w:val="24"/>
              </w:rPr>
            </w:pPr>
            <w:r>
              <w:rPr>
                <w:rFonts w:hint="eastAsia" w:ascii="仿宋" w:hAnsi="仿宋" w:eastAsia="仿宋" w:cs="仿宋"/>
                <w:snapToGrid w:val="0"/>
                <w:color w:val="auto"/>
                <w:kern w:val="28"/>
                <w:sz w:val="24"/>
              </w:rPr>
              <w:t>银行账号：1207 0212 0920 0306 679；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0" w:hRule="atLeast"/>
          <w:tblHeader/>
        </w:trPr>
        <w:tc>
          <w:tcPr>
            <w:tcW w:w="0" w:type="auto"/>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0" w:type="auto"/>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无</w:t>
            </w:r>
            <w:r>
              <w:rPr>
                <w:rFonts w:hint="eastAsia" w:ascii="仿宋" w:hAnsi="仿宋" w:eastAsia="仿宋" w:cs="仿宋"/>
                <w:b/>
                <w:color w:val="auto"/>
                <w:kern w:val="0"/>
                <w:sz w:val="24"/>
              </w:rPr>
              <w:t>。</w:t>
            </w:r>
          </w:p>
        </w:tc>
      </w:tr>
    </w:tbl>
    <w:p>
      <w:pPr>
        <w:snapToGrid w:val="0"/>
        <w:spacing w:line="360" w:lineRule="auto"/>
        <w:jc w:val="center"/>
        <w:rPr>
          <w:rFonts w:hint="eastAsia" w:ascii="仿宋" w:hAnsi="仿宋" w:eastAsia="仿宋" w:cs="仿宋"/>
          <w:b/>
          <w:color w:val="auto"/>
          <w:sz w:val="32"/>
          <w:szCs w:val="20"/>
        </w:rPr>
      </w:pPr>
    </w:p>
    <w:bookmarkEnd w:id="10"/>
    <w:p>
      <w:pPr>
        <w:rPr>
          <w:rFonts w:hint="eastAsia" w:ascii="仿宋" w:hAnsi="仿宋" w:eastAsia="仿宋" w:cs="仿宋"/>
          <w:b/>
          <w:color w:val="auto"/>
          <w:sz w:val="32"/>
          <w:szCs w:val="20"/>
        </w:rPr>
      </w:pPr>
      <w:bookmarkStart w:id="16" w:name="第三部分"/>
      <w:bookmarkStart w:id="17" w:name="_Toc164416483"/>
      <w:r>
        <w:rPr>
          <w:rFonts w:hint="eastAsia" w:ascii="仿宋" w:hAnsi="仿宋" w:eastAsia="仿宋" w:cs="仿宋"/>
          <w:b/>
          <w:color w:val="auto"/>
          <w:sz w:val="32"/>
          <w:szCs w:val="20"/>
        </w:rPr>
        <w:br w:type="page"/>
      </w:r>
    </w:p>
    <w:p>
      <w:pPr>
        <w:adjustRightInd/>
        <w:spacing w:line="360" w:lineRule="auto"/>
        <w:ind w:firstLine="3845" w:firstLineChars="1197"/>
        <w:outlineLvl w:val="0"/>
        <w:rPr>
          <w:rFonts w:hint="eastAsia" w:ascii="仿宋" w:hAnsi="仿宋" w:eastAsia="仿宋" w:cs="仿宋"/>
          <w:b/>
          <w:color w:val="auto"/>
          <w:sz w:val="32"/>
          <w:szCs w:val="20"/>
        </w:rPr>
      </w:pPr>
      <w:bookmarkStart w:id="18" w:name="_Toc5676"/>
      <w:r>
        <w:rPr>
          <w:rFonts w:hint="eastAsia" w:ascii="仿宋" w:hAnsi="仿宋" w:eastAsia="仿宋" w:cs="仿宋"/>
          <w:b/>
          <w:color w:val="auto"/>
          <w:sz w:val="32"/>
          <w:szCs w:val="20"/>
        </w:rPr>
        <w:t>一、总则</w:t>
      </w:r>
      <w:bookmarkEnd w:id="18"/>
    </w:p>
    <w:p>
      <w:pPr>
        <w:snapToGrid w:val="0"/>
        <w:spacing w:line="360" w:lineRule="auto"/>
        <w:ind w:firstLine="361" w:firstLineChars="150"/>
        <w:jc w:val="left"/>
        <w:outlineLvl w:val="1"/>
        <w:rPr>
          <w:rFonts w:hint="eastAsia" w:ascii="仿宋" w:hAnsi="仿宋" w:eastAsia="仿宋" w:cs="仿宋"/>
          <w:b/>
          <w:color w:val="auto"/>
          <w:sz w:val="24"/>
        </w:rPr>
      </w:pPr>
      <w:bookmarkStart w:id="19" w:name="_Hlt75236290"/>
      <w:bookmarkEnd w:id="19"/>
      <w:bookmarkStart w:id="20" w:name="_Hlt74707468"/>
      <w:bookmarkEnd w:id="20"/>
      <w:bookmarkStart w:id="21" w:name="_Hlt74730295"/>
      <w:bookmarkEnd w:id="21"/>
      <w:bookmarkStart w:id="22" w:name="_Hlt68057669"/>
      <w:bookmarkEnd w:id="22"/>
      <w:bookmarkStart w:id="23" w:name="_Hlt74729768"/>
      <w:bookmarkEnd w:id="23"/>
      <w:bookmarkStart w:id="24" w:name="_Hlt74714665"/>
      <w:bookmarkEnd w:id="24"/>
      <w:bookmarkStart w:id="25" w:name="_Hlt68403820"/>
      <w:bookmarkEnd w:id="25"/>
      <w:bookmarkStart w:id="26" w:name="_Hlt68072998"/>
      <w:bookmarkEnd w:id="26"/>
      <w:bookmarkStart w:id="27" w:name="_Hlt68072990"/>
      <w:bookmarkEnd w:id="27"/>
      <w:bookmarkStart w:id="28" w:name="_Hlt75236011"/>
      <w:bookmarkEnd w:id="28"/>
      <w:bookmarkStart w:id="29" w:name="_Hlt68073093"/>
      <w:bookmarkEnd w:id="29"/>
      <w:bookmarkStart w:id="30" w:name="_Hlt75236101"/>
      <w:bookmarkEnd w:id="30"/>
      <w:r>
        <w:rPr>
          <w:rFonts w:hint="eastAsia" w:ascii="仿宋" w:hAnsi="仿宋" w:eastAsia="仿宋" w:cs="仿宋"/>
          <w:b/>
          <w:color w:val="auto"/>
          <w:sz w:val="24"/>
        </w:rPr>
        <w:t>1. 适用范围</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w:t>
      </w:r>
      <w:bookmarkStart w:id="31" w:name="_Toc21962"/>
      <w:r>
        <w:rPr>
          <w:rFonts w:hint="eastAsia" w:ascii="仿宋" w:hAnsi="仿宋" w:eastAsia="仿宋" w:cs="仿宋"/>
          <w:b/>
          <w:color w:val="auto"/>
          <w:sz w:val="24"/>
        </w:rPr>
        <w:t>2.定义</w:t>
      </w:r>
      <w:bookmarkEnd w:id="31"/>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”系指招标公告中载明的本项目的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w:t>
      </w:r>
      <w:r>
        <w:rPr>
          <w:rFonts w:hint="eastAsia" w:ascii="仿宋" w:hAnsi="仿宋" w:eastAsia="仿宋" w:cs="仿宋"/>
          <w:color w:val="auto"/>
          <w:sz w:val="24"/>
          <w:lang w:val="en-US" w:eastAsia="zh-CN"/>
        </w:rPr>
        <w:t>系</w:t>
      </w:r>
      <w:r>
        <w:rPr>
          <w:rFonts w:hint="eastAsia" w:ascii="仿宋" w:hAnsi="仿宋" w:eastAsia="仿宋" w:cs="仿宋"/>
          <w:color w:val="auto"/>
          <w:sz w:val="24"/>
        </w:rPr>
        <w:t>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2" w:name="_Hlk107568539"/>
      <w:r>
        <w:rPr>
          <w:rFonts w:hint="eastAsia" w:ascii="仿宋" w:hAnsi="仿宋" w:eastAsia="仿宋" w:cs="仿宋"/>
          <w:color w:val="auto"/>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32"/>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33" w:name="_Hlk101132181"/>
      <w:r>
        <w:rPr>
          <w:rFonts w:hint="eastAsia" w:ascii="仿宋" w:hAnsi="仿宋" w:eastAsia="仿宋" w:cs="仿宋"/>
          <w:color w:val="auto"/>
          <w:sz w:val="24"/>
        </w:rPr>
        <w:t>联合协议或者分包意向协议约定小微企业的合同份额占到合同总金额30%以上的</w:t>
      </w:r>
      <w:bookmarkEnd w:id="33"/>
      <w:r>
        <w:rPr>
          <w:rFonts w:hint="eastAsia" w:ascii="仿宋" w:hAnsi="仿宋" w:eastAsia="仿宋" w:cs="仿宋"/>
          <w:color w:val="auto"/>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3.5平等对待内外资企业和符合条件的破产重整企业</w:t>
      </w:r>
    </w:p>
    <w:p>
      <w:pPr>
        <w:spacing w:line="360" w:lineRule="auto"/>
        <w:ind w:firstLine="480" w:firstLineChars="200"/>
        <w:rPr>
          <w:rFonts w:hint="eastAsia" w:ascii="仿宋" w:hAnsi="仿宋" w:eastAsia="仿宋" w:cs="仿宋"/>
          <w:b/>
          <w:color w:val="auto"/>
        </w:rPr>
      </w:pPr>
      <w:r>
        <w:rPr>
          <w:rFonts w:hint="eastAsia" w:ascii="仿宋" w:hAnsi="仿宋" w:eastAsia="仿宋" w:cs="仿宋"/>
          <w:color w:val="auto"/>
          <w:sz w:val="24"/>
        </w:rPr>
        <w:t>平等对待内外资企业和符合条件的破产重整企业，切实保障企业公平竞争，平等维护企业的合法利益。</w:t>
      </w:r>
      <w:r>
        <w:rPr>
          <w:rFonts w:hint="eastAsia" w:ascii="仿宋" w:hAnsi="仿宋" w:eastAsia="仿宋" w:cs="仿宋"/>
          <w:color w:val="auto"/>
          <w:sz w:val="24"/>
        </w:rPr>
        <w:cr/>
      </w:r>
      <w:r>
        <w:rPr>
          <w:rFonts w:hint="eastAsia" w:ascii="仿宋" w:hAnsi="仿宋" w:eastAsia="仿宋" w:cs="仿宋"/>
          <w:b/>
          <w:color w:val="auto"/>
        </w:rPr>
        <w:t>4. 询问、质疑、投诉</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lang w:val="zh-CN"/>
        </w:rPr>
      </w:pPr>
      <w:r>
        <w:rPr>
          <w:rFonts w:hint="eastAsia" w:ascii="仿宋" w:hAnsi="仿宋" w:eastAsia="仿宋" w:cs="仿宋"/>
          <w:color w:val="auto"/>
          <w:lang w:val="zh-CN"/>
        </w:rPr>
        <w:t>4.1在线询问、质疑、投诉</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lang w:val="zh-CN"/>
        </w:rPr>
      </w:pPr>
      <w:r>
        <w:rPr>
          <w:rFonts w:hint="eastAsia" w:ascii="仿宋" w:hAnsi="仿宋" w:eastAsia="仿宋" w:cs="仿宋"/>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4.3供应商质疑</w:t>
      </w:r>
    </w:p>
    <w:p>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提出质疑，否则，采购人或者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不予受理：</w:t>
      </w:r>
    </w:p>
    <w:p>
      <w:pPr>
        <w:pStyle w:val="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w:t>
      </w:r>
    </w:p>
    <w:p>
      <w:pPr>
        <w:pStyle w:val="33"/>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4.3.2.3对采购结果提出质疑的，质疑期限自采购结果公告期限届满之日起计算。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4.3.3</w:t>
      </w:r>
      <w:r>
        <w:rPr>
          <w:rFonts w:hint="eastAsia" w:ascii="仿宋" w:hAnsi="仿宋" w:eastAsia="仿宋" w:cs="仿宋"/>
          <w:color w:val="auto"/>
          <w:sz w:val="24"/>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4.3.3.1供应商的姓名或者名称、地址、邮编、联系人及联系电话；</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4.3.3.2质疑项目的名称、编号；</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4.3.3.3具体、明确的质疑事项和与质疑事项相关的请求；</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4.3.3.4事实依据；</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4.3.3.5必要的法律依据；</w:t>
      </w:r>
    </w:p>
    <w:p>
      <w:pPr>
        <w:pStyle w:val="33"/>
        <w:spacing w:line="36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4.3.3.6提出质疑的日期。</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4.3</w:t>
      </w:r>
      <w:r>
        <w:rPr>
          <w:rFonts w:hint="eastAsia" w:ascii="仿宋" w:hAnsi="仿宋" w:eastAsia="仿宋" w:cs="仿宋"/>
          <w:color w:val="auto"/>
        </w:rPr>
        <w:t>.5采购人或者</w:t>
      </w:r>
      <w:r>
        <w:rPr>
          <w:rFonts w:hint="eastAsia" w:ascii="仿宋" w:hAnsi="仿宋" w:eastAsia="仿宋" w:cs="仿宋"/>
          <w:color w:val="auto"/>
          <w:lang w:eastAsia="zh-CN"/>
        </w:rPr>
        <w:t>采购代理机构</w:t>
      </w:r>
      <w:r>
        <w:rPr>
          <w:rFonts w:hint="eastAsia" w:ascii="仿宋" w:hAnsi="仿宋" w:eastAsia="仿宋" w:cs="仿宋"/>
          <w:color w:val="auto"/>
        </w:rPr>
        <w:t>应当在收到供应商的书面质疑后七个工作日内作出答复，并以书面形式通知质疑供应商和其他与质疑处理结果有利害关系的政府采购当事人，但答复的内容不得涉及商业秘密。</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4.3</w:t>
      </w:r>
      <w:r>
        <w:rPr>
          <w:rFonts w:hint="eastAsia" w:ascii="仿宋" w:hAnsi="仿宋" w:eastAsia="仿宋" w:cs="仿宋"/>
          <w:color w:val="auto"/>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4.4供应商投诉</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4.4.1质疑供应商对采购人、</w:t>
      </w:r>
      <w:r>
        <w:rPr>
          <w:rFonts w:hint="eastAsia" w:ascii="仿宋" w:hAnsi="仿宋" w:eastAsia="仿宋" w:cs="仿宋"/>
          <w:color w:val="auto"/>
          <w:lang w:eastAsia="zh-CN"/>
        </w:rPr>
        <w:t>采购代理机构</w:t>
      </w:r>
      <w:r>
        <w:rPr>
          <w:rFonts w:hint="eastAsia" w:ascii="仿宋" w:hAnsi="仿宋" w:eastAsia="仿宋" w:cs="仿宋"/>
          <w:color w:val="auto"/>
        </w:rPr>
        <w:t>的答复不满意或者采购人、</w:t>
      </w:r>
      <w:r>
        <w:rPr>
          <w:rFonts w:hint="eastAsia" w:ascii="仿宋" w:hAnsi="仿宋" w:eastAsia="仿宋" w:cs="仿宋"/>
          <w:color w:val="auto"/>
          <w:lang w:eastAsia="zh-CN"/>
        </w:rPr>
        <w:t>采购代理机构</w:t>
      </w:r>
      <w:r>
        <w:rPr>
          <w:rFonts w:hint="eastAsia" w:ascii="仿宋" w:hAnsi="仿宋" w:eastAsia="仿宋" w:cs="仿宋"/>
          <w:color w:val="auto"/>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4.4.3供应商投诉应当有明确的请求和必要的证明材料。</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4.4.4 以联合体形式参加政府采购活动的，其投诉应当由组成联合体的所有供应商共同提出。</w:t>
      </w:r>
    </w:p>
    <w:p>
      <w:pPr>
        <w:pStyle w:val="130"/>
        <w:snapToGrid w:val="0"/>
        <w:spacing w:before="0"/>
        <w:ind w:firstLine="360"/>
        <w:rPr>
          <w:rFonts w:hint="eastAsia" w:ascii="仿宋" w:hAnsi="仿宋" w:eastAsia="仿宋" w:cs="仿宋"/>
          <w:color w:val="auto"/>
          <w:sz w:val="18"/>
          <w:szCs w:val="18"/>
        </w:rPr>
      </w:pPr>
    </w:p>
    <w:p>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w:t>
      </w:r>
      <w:bookmarkStart w:id="34" w:name="_Toc31946"/>
      <w:r>
        <w:rPr>
          <w:rFonts w:hint="eastAsia" w:ascii="仿宋" w:hAnsi="仿宋" w:eastAsia="仿宋" w:cs="仿宋"/>
          <w:b/>
          <w:color w:val="auto"/>
          <w:sz w:val="32"/>
          <w:szCs w:val="20"/>
        </w:rPr>
        <w:t>二、招标文件的构成、澄清、修改</w:t>
      </w:r>
      <w:bookmarkEnd w:id="34"/>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pPr>
        <w:pStyle w:val="33"/>
        <w:tabs>
          <w:tab w:val="left" w:pos="840"/>
        </w:tabs>
        <w:ind w:firstLine="638" w:firstLineChars="266"/>
        <w:jc w:val="left"/>
        <w:rPr>
          <w:rFonts w:hint="eastAsia" w:ascii="仿宋" w:hAnsi="仿宋" w:eastAsia="仿宋" w:cs="仿宋"/>
          <w:b w:val="0"/>
          <w:color w:val="auto"/>
          <w:sz w:val="24"/>
          <w:szCs w:val="24"/>
        </w:rPr>
      </w:pPr>
      <w:r>
        <w:rPr>
          <w:rFonts w:hint="eastAsia" w:ascii="仿宋" w:hAnsi="仿宋" w:eastAsia="仿宋" w:cs="仿宋"/>
          <w:b w:val="0"/>
          <w:color w:val="auto"/>
          <w:sz w:val="24"/>
          <w:szCs w:val="24"/>
          <w:lang w:val="en-US" w:eastAsia="zh-CN"/>
        </w:rPr>
        <w:t>6.</w:t>
      </w:r>
      <w:r>
        <w:rPr>
          <w:rFonts w:hint="eastAsia" w:ascii="仿宋" w:hAnsi="仿宋" w:eastAsia="仿宋" w:cs="仿宋"/>
          <w:b w:val="0"/>
          <w:color w:val="auto"/>
          <w:sz w:val="24"/>
          <w:szCs w:val="24"/>
        </w:rPr>
        <w:t xml:space="preserve">1、采购人可视采购具体情况对已发出的招标文件进行必要的澄清或者修改。澄清或者修改的内容可能影响投标文件编制的，采购人应当在投标截止时间至少15日前，在原公告发布媒体上发布澄清公告，澄清或者修改的内容为招标文件的组成部分；不足15日的，采购人应当顺延提交投标文件的截止时间。 </w:t>
      </w:r>
    </w:p>
    <w:p>
      <w:pPr>
        <w:pStyle w:val="33"/>
        <w:tabs>
          <w:tab w:val="left" w:pos="840"/>
        </w:tabs>
        <w:ind w:firstLine="638" w:firstLineChars="266"/>
        <w:jc w:val="left"/>
        <w:rPr>
          <w:rFonts w:hint="eastAsia" w:ascii="仿宋" w:hAnsi="仿宋" w:eastAsia="仿宋" w:cs="仿宋"/>
          <w:b w:val="0"/>
          <w:color w:val="auto"/>
          <w:sz w:val="24"/>
          <w:szCs w:val="24"/>
        </w:rPr>
      </w:pPr>
      <w:r>
        <w:rPr>
          <w:rFonts w:hint="eastAsia" w:ascii="仿宋" w:hAnsi="仿宋" w:eastAsia="仿宋" w:cs="仿宋"/>
          <w:b w:val="0"/>
          <w:color w:val="auto"/>
          <w:sz w:val="24"/>
          <w:szCs w:val="24"/>
          <w:lang w:val="en-US" w:eastAsia="zh-CN"/>
        </w:rPr>
        <w:t>6.</w:t>
      </w:r>
      <w:r>
        <w:rPr>
          <w:rFonts w:hint="eastAsia" w:ascii="仿宋" w:hAnsi="仿宋" w:eastAsia="仿宋" w:cs="仿宋"/>
          <w:b w:val="0"/>
          <w:color w:val="auto"/>
          <w:sz w:val="24"/>
          <w:szCs w:val="24"/>
        </w:rPr>
        <w:t>2、投标人在规定的时间内未对招标文件提出疑问、质疑或要求澄清的，将视其为无异议。对招标文件中描述有歧义或前后不一致的地方，评标委员会有权进行评判，但对同一条款的评判应适用于每个投标人。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4"/>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pPr>
        <w:adjustRightInd/>
        <w:spacing w:line="360" w:lineRule="auto"/>
        <w:jc w:val="center"/>
        <w:outlineLvl w:val="0"/>
        <w:rPr>
          <w:rFonts w:hint="eastAsia" w:ascii="仿宋" w:hAnsi="仿宋" w:eastAsia="仿宋" w:cs="仿宋"/>
          <w:b/>
          <w:color w:val="auto"/>
          <w:sz w:val="30"/>
          <w:szCs w:val="20"/>
        </w:rPr>
      </w:pPr>
      <w:bookmarkStart w:id="35" w:name="_Toc24620"/>
      <w:r>
        <w:rPr>
          <w:rFonts w:hint="eastAsia" w:ascii="仿宋" w:hAnsi="仿宋" w:eastAsia="仿宋" w:cs="仿宋"/>
          <w:b/>
          <w:color w:val="auto"/>
          <w:sz w:val="30"/>
          <w:szCs w:val="20"/>
        </w:rPr>
        <w:t>三、投标</w:t>
      </w:r>
      <w:bookmarkEnd w:id="35"/>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2" w:firstLineChars="200"/>
        <w:rPr>
          <w:rFonts w:hint="eastAsia" w:ascii="仿宋" w:hAnsi="仿宋" w:eastAsia="仿宋" w:cs="仿宋"/>
          <w:color w:val="auto"/>
          <w:sz w:val="24"/>
        </w:rPr>
      </w:pPr>
      <w:r>
        <w:rPr>
          <w:rFonts w:hint="eastAsia" w:ascii="仿宋" w:hAnsi="仿宋" w:eastAsia="仿宋" w:cs="仿宋"/>
          <w:b/>
          <w:bCs/>
          <w:color w:val="auto"/>
          <w:sz w:val="24"/>
        </w:rPr>
        <w:t>11.1资格文件</w:t>
      </w:r>
      <w:r>
        <w:rPr>
          <w:rFonts w:hint="eastAsia" w:ascii="仿宋" w:hAnsi="仿宋" w:eastAsia="仿宋" w:cs="仿宋"/>
          <w:color w:val="auto"/>
          <w:sz w:val="24"/>
        </w:rPr>
        <w:t>：</w:t>
      </w:r>
      <w:r>
        <w:rPr>
          <w:rFonts w:hint="eastAsia" w:ascii="仿宋" w:hAnsi="仿宋" w:eastAsia="仿宋" w:cs="仿宋"/>
          <w:b/>
          <w:bCs/>
          <w:color w:val="auto"/>
          <w:sz w:val="24"/>
        </w:rPr>
        <w:t>【标项一、标项二、标项三】</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11.1.2法人或者其他组织的营业执照等证明文件，自然人的身份证明；</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仿宋"/>
          <w:snapToGrid w:val="0"/>
          <w:color w:val="auto"/>
          <w:kern w:val="28"/>
          <w:sz w:val="24"/>
          <w:szCs w:val="20"/>
          <w:lang w:eastAsia="zh-CN"/>
        </w:rPr>
        <w:t>，</w:t>
      </w:r>
      <w:r>
        <w:rPr>
          <w:rFonts w:hint="eastAsia" w:ascii="仿宋" w:hAnsi="仿宋" w:eastAsia="仿宋" w:cs="仿宋"/>
          <w:color w:val="auto"/>
          <w:sz w:val="24"/>
        </w:rPr>
        <w:t>提供对应的资格文件</w:t>
      </w:r>
      <w:r>
        <w:rPr>
          <w:rFonts w:hint="eastAsia" w:ascii="仿宋" w:hAnsi="仿宋" w:eastAsia="仿宋" w:cs="仿宋"/>
          <w:snapToGrid w:val="0"/>
          <w:color w:val="auto"/>
          <w:kern w:val="28"/>
          <w:sz w:val="24"/>
          <w:szCs w:val="20"/>
        </w:rPr>
        <w:t>)</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w:t>
      </w:r>
      <w:r>
        <w:rPr>
          <w:rFonts w:hint="eastAsia" w:ascii="仿宋" w:hAnsi="仿宋" w:eastAsia="仿宋" w:cs="仿宋"/>
          <w:color w:val="auto"/>
          <w:sz w:val="24"/>
        </w:rPr>
        <w:t>提供采购公告中符合供应商特定条件的有效资质证书复印件</w:t>
      </w:r>
      <w:r>
        <w:rPr>
          <w:rFonts w:hint="eastAsia" w:ascii="仿宋" w:hAnsi="仿宋" w:eastAsia="仿宋" w:cs="仿宋"/>
          <w:snapToGrid w:val="0"/>
          <w:color w:val="auto"/>
          <w:kern w:val="28"/>
          <w:sz w:val="24"/>
          <w:szCs w:val="20"/>
        </w:rPr>
        <w:t>)</w:t>
      </w:r>
      <w:r>
        <w:rPr>
          <w:rFonts w:hint="eastAsia" w:ascii="仿宋" w:hAnsi="仿宋" w:eastAsia="仿宋" w:cs="仿宋"/>
          <w:color w:val="auto"/>
          <w:sz w:val="24"/>
          <w:lang w:eastAsia="zh-CN"/>
        </w:rPr>
        <w:t>，</w:t>
      </w:r>
      <w:r>
        <w:rPr>
          <w:rFonts w:hint="eastAsia" w:ascii="仿宋" w:hAnsi="仿宋" w:eastAsia="仿宋" w:cs="仿宋"/>
          <w:color w:val="auto"/>
          <w:sz w:val="24"/>
        </w:rPr>
        <w:t>以及需要说明的其他资料</w:t>
      </w:r>
    </w:p>
    <w:p>
      <w:pPr>
        <w:snapToGrid w:val="0"/>
        <w:spacing w:line="360" w:lineRule="auto"/>
        <w:ind w:firstLine="482" w:firstLineChars="200"/>
        <w:rPr>
          <w:rFonts w:hint="eastAsia" w:ascii="仿宋" w:hAnsi="仿宋" w:eastAsia="仿宋" w:cs="仿宋"/>
          <w:color w:val="auto"/>
          <w:sz w:val="24"/>
          <w:lang w:val="zh-CN"/>
        </w:rPr>
      </w:pPr>
      <w:r>
        <w:rPr>
          <w:rFonts w:hint="eastAsia" w:ascii="仿宋" w:hAnsi="仿宋" w:eastAsia="仿宋" w:cs="仿宋"/>
          <w:b/>
          <w:bCs/>
          <w:color w:val="auto"/>
          <w:sz w:val="24"/>
          <w:lang w:val="zh-CN"/>
        </w:rPr>
        <w:t>11.</w:t>
      </w:r>
      <w:r>
        <w:rPr>
          <w:rFonts w:hint="eastAsia" w:ascii="仿宋" w:hAnsi="仿宋" w:eastAsia="仿宋" w:cs="仿宋"/>
          <w:b/>
          <w:bCs/>
          <w:color w:val="auto"/>
          <w:sz w:val="24"/>
        </w:rPr>
        <w:t>2</w:t>
      </w:r>
      <w:r>
        <w:rPr>
          <w:rFonts w:hint="eastAsia" w:ascii="仿宋" w:hAnsi="仿宋" w:eastAsia="仿宋" w:cs="仿宋"/>
          <w:b/>
          <w:bCs/>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r>
        <w:rPr>
          <w:rFonts w:hint="eastAsia" w:ascii="仿宋" w:hAnsi="仿宋" w:eastAsia="仿宋" w:cs="仿宋"/>
          <w:b/>
          <w:bCs/>
          <w:color w:val="auto"/>
          <w:sz w:val="24"/>
        </w:rPr>
        <w:t>【标项一、标项二、标项三】</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11.2.3供应商情况介绍</w:t>
      </w:r>
    </w:p>
    <w:p>
      <w:pPr>
        <w:snapToGrid w:val="0"/>
        <w:spacing w:line="360" w:lineRule="auto"/>
        <w:ind w:left="420" w:leftChars="200" w:firstLine="638" w:firstLineChars="266"/>
        <w:rPr>
          <w:rFonts w:hint="eastAsia" w:ascii="仿宋" w:hAnsi="仿宋" w:eastAsia="仿宋" w:cs="仿宋"/>
          <w:color w:val="auto"/>
          <w:sz w:val="24"/>
        </w:rPr>
      </w:pPr>
      <w:r>
        <w:rPr>
          <w:rFonts w:hint="eastAsia" w:ascii="仿宋" w:hAnsi="仿宋" w:eastAsia="仿宋" w:cs="仿宋"/>
          <w:color w:val="auto"/>
          <w:sz w:val="24"/>
          <w:lang w:eastAsia="zh-CN"/>
        </w:rPr>
        <w:t>11.2.4</w:t>
      </w:r>
      <w:r>
        <w:rPr>
          <w:rFonts w:hint="eastAsia" w:ascii="仿宋" w:hAnsi="仿宋" w:eastAsia="仿宋" w:cs="仿宋"/>
          <w:color w:val="auto"/>
          <w:sz w:val="24"/>
        </w:rPr>
        <w:t>评标标准相应的商务技术资料</w:t>
      </w:r>
      <w:bookmarkStart w:id="36" w:name="_Toc20238"/>
    </w:p>
    <w:p>
      <w:pPr>
        <w:snapToGrid w:val="0"/>
        <w:spacing w:line="360" w:lineRule="auto"/>
        <w:ind w:left="420" w:leftChars="200" w:firstLine="638" w:firstLineChars="266"/>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11.2.4.1商务技术偏离表</w:t>
      </w:r>
    </w:p>
    <w:p>
      <w:pPr>
        <w:snapToGrid w:val="0"/>
        <w:spacing w:line="360" w:lineRule="auto"/>
        <w:ind w:left="420" w:leftChars="200" w:firstLine="638" w:firstLineChars="266"/>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11.2.4.2商务需求响应表</w:t>
      </w:r>
    </w:p>
    <w:p>
      <w:pPr>
        <w:snapToGrid w:val="0"/>
        <w:spacing w:line="360" w:lineRule="auto"/>
        <w:ind w:left="420" w:leftChars="200" w:firstLine="638" w:firstLineChars="266"/>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11.2.4.3投标产品方案</w:t>
      </w:r>
    </w:p>
    <w:p>
      <w:pPr>
        <w:snapToGrid w:val="0"/>
        <w:spacing w:line="360" w:lineRule="auto"/>
        <w:ind w:left="420" w:leftChars="200" w:firstLine="638" w:firstLineChars="266"/>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11.2.4.4产品节能环保情况</w:t>
      </w:r>
    </w:p>
    <w:p>
      <w:pPr>
        <w:snapToGrid w:val="0"/>
        <w:spacing w:line="360" w:lineRule="auto"/>
        <w:ind w:left="420" w:leftChars="200" w:firstLine="638" w:firstLineChars="266"/>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11.2.4.5现场勘察</w:t>
      </w:r>
    </w:p>
    <w:p>
      <w:pPr>
        <w:snapToGrid w:val="0"/>
        <w:spacing w:line="360" w:lineRule="auto"/>
        <w:ind w:left="420" w:leftChars="200" w:firstLine="638" w:firstLineChars="266"/>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11.2.4.6技术方案</w:t>
      </w:r>
    </w:p>
    <w:p>
      <w:pPr>
        <w:snapToGrid w:val="0"/>
        <w:spacing w:line="360" w:lineRule="auto"/>
        <w:ind w:left="420" w:leftChars="200" w:firstLine="638" w:firstLineChars="266"/>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11.2.4.7项目具体实施计划</w:t>
      </w:r>
    </w:p>
    <w:p>
      <w:pPr>
        <w:snapToGrid w:val="0"/>
        <w:spacing w:line="360" w:lineRule="auto"/>
        <w:ind w:left="420" w:leftChars="200" w:firstLine="638" w:firstLineChars="266"/>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11.2.4.8项目团队人员</w:t>
      </w:r>
    </w:p>
    <w:p>
      <w:pPr>
        <w:snapToGrid w:val="0"/>
        <w:spacing w:line="360" w:lineRule="auto"/>
        <w:ind w:left="420" w:leftChars="200" w:firstLine="638" w:firstLineChars="266"/>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11.2.4.9企业资信证书</w:t>
      </w:r>
    </w:p>
    <w:p>
      <w:pPr>
        <w:snapToGrid w:val="0"/>
        <w:spacing w:line="360" w:lineRule="auto"/>
        <w:ind w:left="420" w:leftChars="200" w:firstLine="638" w:firstLineChars="266"/>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11.2.4.10售后服务方案</w:t>
      </w:r>
    </w:p>
    <w:p>
      <w:pPr>
        <w:snapToGrid w:val="0"/>
        <w:spacing w:line="360" w:lineRule="auto"/>
        <w:ind w:left="420" w:leftChars="200" w:firstLine="638" w:firstLineChars="266"/>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11.2.4.11质保期</w:t>
      </w:r>
    </w:p>
    <w:p>
      <w:pPr>
        <w:snapToGrid w:val="0"/>
        <w:spacing w:line="360" w:lineRule="auto"/>
        <w:ind w:left="420" w:leftChars="200" w:firstLine="638" w:firstLineChars="266"/>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11.2.4.12售后方案</w:t>
      </w:r>
    </w:p>
    <w:p>
      <w:pPr>
        <w:snapToGrid w:val="0"/>
        <w:spacing w:line="360" w:lineRule="auto"/>
        <w:ind w:left="420" w:leftChars="200" w:firstLine="638" w:firstLineChars="266"/>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11.2.4.12优惠承诺</w:t>
      </w:r>
    </w:p>
    <w:p>
      <w:pPr>
        <w:snapToGrid w:val="0"/>
        <w:spacing w:line="360" w:lineRule="auto"/>
        <w:ind w:left="420" w:leftChars="200" w:firstLine="638" w:firstLineChars="266"/>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11.2.4.13培训方案</w:t>
      </w:r>
    </w:p>
    <w:p>
      <w:pPr>
        <w:pStyle w:val="2"/>
        <w:ind w:left="420" w:leftChars="200" w:firstLine="638" w:firstLineChars="266"/>
        <w:outlineLvl w:val="0"/>
        <w:rPr>
          <w:rFonts w:hint="eastAsia" w:ascii="仿宋" w:hAnsi="仿宋" w:eastAsia="仿宋" w:cs="仿宋"/>
          <w:b w:val="0"/>
          <w:bCs w:val="0"/>
          <w:color w:val="auto"/>
          <w:kern w:val="2"/>
          <w:sz w:val="24"/>
          <w:szCs w:val="24"/>
          <w:lang w:val="en-US" w:eastAsia="zh-CN" w:bidi="ar-SA"/>
        </w:rPr>
      </w:pPr>
      <w:r>
        <w:rPr>
          <w:rFonts w:hint="eastAsia" w:ascii="仿宋" w:eastAsia="仿宋" w:cs="仿宋"/>
          <w:b w:val="0"/>
          <w:bCs w:val="0"/>
          <w:color w:val="auto"/>
          <w:kern w:val="2"/>
          <w:sz w:val="24"/>
          <w:szCs w:val="24"/>
          <w:lang w:val="en-US" w:eastAsia="zh-CN" w:bidi="ar-SA"/>
        </w:rPr>
        <w:t>11.2.4</w:t>
      </w:r>
      <w:r>
        <w:rPr>
          <w:rFonts w:hint="eastAsia" w:ascii="仿宋" w:hAnsi="仿宋" w:eastAsia="仿宋" w:cs="仿宋"/>
          <w:b w:val="0"/>
          <w:bCs w:val="0"/>
          <w:color w:val="auto"/>
          <w:kern w:val="2"/>
          <w:sz w:val="24"/>
          <w:szCs w:val="24"/>
          <w:lang w:val="en-US" w:eastAsia="zh-CN" w:bidi="ar-SA"/>
        </w:rPr>
        <w:t>.14本地化服务</w:t>
      </w:r>
    </w:p>
    <w:p>
      <w:pPr>
        <w:pStyle w:val="2"/>
        <w:ind w:left="420" w:leftChars="200" w:firstLine="638" w:firstLineChars="266"/>
        <w:outlineLvl w:val="0"/>
        <w:rPr>
          <w:rFonts w:hint="eastAsia" w:ascii="仿宋" w:hAnsi="仿宋" w:eastAsia="仿宋" w:cs="仿宋"/>
          <w:b w:val="0"/>
          <w:bCs w:val="0"/>
          <w:color w:val="auto"/>
          <w:kern w:val="2"/>
          <w:sz w:val="24"/>
          <w:szCs w:val="24"/>
          <w:lang w:val="en-US" w:eastAsia="zh-CN" w:bidi="ar-SA"/>
        </w:rPr>
      </w:pPr>
      <w:r>
        <w:rPr>
          <w:rFonts w:hint="eastAsia" w:ascii="仿宋" w:eastAsia="仿宋" w:cs="仿宋"/>
          <w:b w:val="0"/>
          <w:bCs w:val="0"/>
          <w:color w:val="auto"/>
          <w:kern w:val="2"/>
          <w:sz w:val="24"/>
          <w:szCs w:val="24"/>
          <w:lang w:val="en-US" w:eastAsia="zh-CN" w:bidi="ar-SA"/>
        </w:rPr>
        <w:t>11.2.4</w:t>
      </w:r>
      <w:r>
        <w:rPr>
          <w:rFonts w:hint="eastAsia" w:ascii="仿宋" w:hAnsi="仿宋" w:eastAsia="仿宋" w:cs="仿宋"/>
          <w:b w:val="0"/>
          <w:bCs w:val="0"/>
          <w:color w:val="auto"/>
          <w:kern w:val="2"/>
          <w:sz w:val="24"/>
          <w:szCs w:val="24"/>
          <w:lang w:val="en-US" w:eastAsia="zh-CN" w:bidi="ar-SA"/>
        </w:rPr>
        <w:t>.15产品节能环保情况</w:t>
      </w:r>
    </w:p>
    <w:p>
      <w:pPr>
        <w:pStyle w:val="2"/>
        <w:ind w:left="420" w:leftChars="200" w:firstLine="638" w:firstLineChars="266"/>
        <w:outlineLvl w:val="0"/>
        <w:rPr>
          <w:rFonts w:hint="eastAsia" w:ascii="仿宋" w:hAnsi="仿宋" w:eastAsia="仿宋" w:cs="仿宋"/>
          <w:b w:val="0"/>
          <w:bCs w:val="0"/>
          <w:color w:val="auto"/>
          <w:kern w:val="2"/>
          <w:sz w:val="24"/>
          <w:szCs w:val="24"/>
          <w:lang w:val="en-US" w:eastAsia="zh-CN" w:bidi="ar-SA"/>
        </w:rPr>
      </w:pPr>
      <w:r>
        <w:rPr>
          <w:rFonts w:hint="eastAsia" w:ascii="仿宋" w:eastAsia="仿宋" w:cs="仿宋"/>
          <w:b w:val="0"/>
          <w:bCs w:val="0"/>
          <w:color w:val="auto"/>
          <w:kern w:val="2"/>
          <w:sz w:val="24"/>
          <w:szCs w:val="24"/>
          <w:lang w:val="en-US" w:eastAsia="zh-CN" w:bidi="ar-SA"/>
        </w:rPr>
        <w:t>11.2.4</w:t>
      </w:r>
      <w:r>
        <w:rPr>
          <w:rFonts w:hint="eastAsia" w:ascii="仿宋" w:hAnsi="仿宋" w:eastAsia="仿宋" w:cs="仿宋"/>
          <w:b w:val="0"/>
          <w:bCs w:val="0"/>
          <w:color w:val="auto"/>
          <w:kern w:val="2"/>
          <w:sz w:val="24"/>
          <w:szCs w:val="24"/>
          <w:lang w:val="en-US" w:eastAsia="zh-CN" w:bidi="ar-SA"/>
        </w:rPr>
        <w:t>.16同类业绩</w:t>
      </w:r>
    </w:p>
    <w:p>
      <w:pPr>
        <w:pStyle w:val="2"/>
        <w:ind w:left="420" w:leftChars="200" w:firstLine="638" w:firstLineChars="266"/>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11.2.</w:t>
      </w:r>
      <w:r>
        <w:rPr>
          <w:rFonts w:hint="eastAsia" w:ascii="仿宋" w:eastAsia="仿宋" w:cs="仿宋"/>
          <w:b w:val="0"/>
          <w:bCs w:val="0"/>
          <w:color w:val="auto"/>
          <w:kern w:val="2"/>
          <w:sz w:val="24"/>
          <w:szCs w:val="24"/>
          <w:lang w:val="en-US" w:eastAsia="zh-CN" w:bidi="ar-SA"/>
        </w:rPr>
        <w:t>5</w:t>
      </w:r>
      <w:r>
        <w:rPr>
          <w:rFonts w:hint="eastAsia" w:ascii="仿宋" w:hAnsi="仿宋" w:eastAsia="仿宋" w:cs="仿宋"/>
          <w:b w:val="0"/>
          <w:bCs w:val="0"/>
          <w:color w:val="auto"/>
          <w:kern w:val="2"/>
          <w:sz w:val="24"/>
          <w:szCs w:val="24"/>
          <w:lang w:val="en-US" w:eastAsia="zh-CN" w:bidi="ar-SA"/>
        </w:rPr>
        <w:t>投标标的清单；</w:t>
      </w:r>
      <w:bookmarkEnd w:id="36"/>
    </w:p>
    <w:p>
      <w:pPr>
        <w:pStyle w:val="2"/>
        <w:ind w:left="420" w:leftChars="200" w:firstLine="638" w:firstLineChars="266"/>
        <w:outlineLvl w:val="0"/>
        <w:rPr>
          <w:rFonts w:hint="eastAsia" w:ascii="仿宋" w:hAnsi="仿宋" w:eastAsia="仿宋" w:cs="仿宋"/>
          <w:b w:val="0"/>
          <w:bCs w:val="0"/>
          <w:color w:val="auto"/>
          <w:kern w:val="2"/>
          <w:sz w:val="24"/>
          <w:szCs w:val="24"/>
          <w:lang w:val="zh-CN" w:eastAsia="zh-CN" w:bidi="ar-SA"/>
        </w:rPr>
      </w:pPr>
      <w:bookmarkStart w:id="37" w:name="_Toc4291"/>
      <w:r>
        <w:rPr>
          <w:rFonts w:hint="eastAsia" w:ascii="仿宋" w:hAnsi="仿宋" w:eastAsia="仿宋" w:cs="仿宋"/>
          <w:b w:val="0"/>
          <w:bCs w:val="0"/>
          <w:color w:val="auto"/>
          <w:kern w:val="2"/>
          <w:sz w:val="24"/>
          <w:szCs w:val="24"/>
          <w:lang w:val="en-US" w:eastAsia="zh-CN" w:bidi="ar-SA"/>
        </w:rPr>
        <w:t>11.2.</w:t>
      </w:r>
      <w:r>
        <w:rPr>
          <w:rFonts w:hint="eastAsia" w:ascii="仿宋" w:eastAsia="仿宋" w:cs="仿宋"/>
          <w:b w:val="0"/>
          <w:bCs w:val="0"/>
          <w:color w:val="auto"/>
          <w:kern w:val="2"/>
          <w:sz w:val="24"/>
          <w:szCs w:val="24"/>
          <w:lang w:val="en-US" w:eastAsia="zh-CN" w:bidi="ar-SA"/>
        </w:rPr>
        <w:t>6</w:t>
      </w:r>
      <w:r>
        <w:rPr>
          <w:rFonts w:hint="eastAsia" w:ascii="仿宋" w:hAnsi="仿宋" w:eastAsia="仿宋" w:cs="仿宋"/>
          <w:b w:val="0"/>
          <w:bCs w:val="0"/>
          <w:color w:val="auto"/>
          <w:kern w:val="2"/>
          <w:sz w:val="24"/>
          <w:szCs w:val="24"/>
          <w:lang w:val="zh-CN" w:eastAsia="zh-CN" w:bidi="ar-SA"/>
        </w:rPr>
        <w:t>政府采购供应商廉洁自律承诺书</w:t>
      </w:r>
      <w:bookmarkEnd w:id="37"/>
    </w:p>
    <w:p>
      <w:pPr>
        <w:snapToGrid w:val="0"/>
        <w:spacing w:line="360" w:lineRule="auto"/>
        <w:ind w:firstLine="482" w:firstLineChars="200"/>
        <w:rPr>
          <w:rFonts w:hint="eastAsia" w:ascii="仿宋" w:hAnsi="仿宋" w:eastAsia="仿宋" w:cs="仿宋"/>
          <w:color w:val="auto"/>
          <w:sz w:val="24"/>
          <w:u w:val="single"/>
          <w:lang w:val="zh-CN"/>
        </w:rPr>
      </w:pPr>
      <w:r>
        <w:rPr>
          <w:rFonts w:hint="eastAsia" w:ascii="仿宋" w:hAnsi="仿宋" w:eastAsia="仿宋" w:cs="仿宋"/>
          <w:b/>
          <w:bCs/>
          <w:color w:val="auto"/>
          <w:kern w:val="0"/>
          <w:sz w:val="24"/>
          <w:lang w:val="zh-CN"/>
        </w:rPr>
        <w:t>11.</w:t>
      </w:r>
      <w:r>
        <w:rPr>
          <w:rFonts w:hint="eastAsia" w:ascii="仿宋" w:hAnsi="仿宋" w:eastAsia="仿宋" w:cs="仿宋"/>
          <w:b/>
          <w:bCs/>
          <w:color w:val="auto"/>
          <w:kern w:val="0"/>
          <w:sz w:val="24"/>
        </w:rPr>
        <w:t>3</w:t>
      </w:r>
      <w:r>
        <w:rPr>
          <w:rFonts w:hint="eastAsia" w:ascii="仿宋" w:hAnsi="仿宋" w:eastAsia="仿宋" w:cs="仿宋"/>
          <w:b/>
          <w:bCs/>
          <w:color w:val="auto"/>
          <w:sz w:val="24"/>
        </w:rPr>
        <w:t>报价文件</w:t>
      </w:r>
      <w:r>
        <w:rPr>
          <w:rFonts w:hint="eastAsia" w:ascii="仿宋" w:hAnsi="仿宋" w:eastAsia="仿宋" w:cs="仿宋"/>
          <w:b/>
          <w:color w:val="auto"/>
          <w:sz w:val="24"/>
        </w:rPr>
        <w:t>：</w:t>
      </w:r>
      <w:r>
        <w:rPr>
          <w:rFonts w:hint="eastAsia" w:ascii="仿宋" w:hAnsi="仿宋" w:eastAsia="仿宋" w:cs="仿宋"/>
          <w:b/>
          <w:bCs/>
          <w:color w:val="auto"/>
          <w:sz w:val="24"/>
        </w:rPr>
        <w:t>【标项一、标项二、标项三】</w:t>
      </w:r>
      <w:r>
        <w:rPr>
          <w:rFonts w:hint="eastAsia" w:ascii="仿宋" w:hAnsi="仿宋" w:eastAsia="仿宋" w:cs="仿宋"/>
          <w:color w:val="auto"/>
          <w:sz w:val="24"/>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11.3.2投标项目报价明细表（格式见附件）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w:t>
      </w:r>
      <w:r>
        <w:rPr>
          <w:rFonts w:hint="eastAsia" w:ascii="仿宋" w:hAnsi="仿宋" w:eastAsia="仿宋" w:cs="仿宋"/>
          <w:color w:val="auto"/>
          <w:sz w:val="24"/>
          <w:lang w:val="en-US" w:eastAsia="zh-CN"/>
        </w:rPr>
        <w:t>3</w:t>
      </w:r>
      <w:r>
        <w:rPr>
          <w:rFonts w:hint="eastAsia" w:ascii="仿宋" w:hAnsi="仿宋" w:eastAsia="仿宋" w:cs="仿宋"/>
          <w:color w:val="auto"/>
          <w:sz w:val="24"/>
        </w:rPr>
        <w:t>中小企业声明函（格式见附件）。</w:t>
      </w:r>
    </w:p>
    <w:p>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11.3.</w:t>
      </w:r>
      <w:r>
        <w:rPr>
          <w:rFonts w:hint="eastAsia" w:ascii="仿宋" w:hAnsi="仿宋" w:eastAsia="仿宋" w:cs="仿宋"/>
          <w:color w:val="auto"/>
          <w:sz w:val="24"/>
          <w:lang w:val="en-US" w:eastAsia="zh-CN"/>
        </w:rPr>
        <w:t>4</w:t>
      </w:r>
      <w:r>
        <w:rPr>
          <w:rFonts w:hint="eastAsia" w:ascii="仿宋" w:hAnsi="仿宋" w:eastAsia="仿宋" w:cs="仿宋"/>
          <w:color w:val="auto"/>
          <w:sz w:val="24"/>
        </w:rPr>
        <w:t>投标人针对报价需要说明的其他文件和说明（格式自拟）</w:t>
      </w:r>
    </w:p>
    <w:p>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pPr>
        <w:pStyle w:val="130"/>
        <w:snapToGrid w:val="0"/>
        <w:spacing w:before="0"/>
        <w:ind w:firstLine="0" w:firstLineChars="0"/>
        <w:outlineLvl w:val="0"/>
        <w:rPr>
          <w:rFonts w:hint="eastAsia" w:ascii="仿宋" w:hAnsi="仿宋" w:eastAsia="仿宋" w:cs="仿宋"/>
          <w:b/>
          <w:color w:val="auto"/>
          <w:szCs w:val="24"/>
        </w:rPr>
      </w:pPr>
      <w:bookmarkStart w:id="38" w:name="_Toc21577"/>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bookmarkEnd w:id="38"/>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pPr>
        <w:pStyle w:val="130"/>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13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pPr>
        <w:pStyle w:val="130"/>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w:t>
      </w:r>
      <w:r>
        <w:rPr>
          <w:rFonts w:hint="eastAsia" w:ascii="仿宋" w:hAnsi="仿宋" w:eastAsia="仿宋" w:cs="仿宋"/>
          <w:color w:val="auto"/>
          <w:szCs w:val="24"/>
          <w:lang w:eastAsia="zh-CN"/>
        </w:rPr>
        <w:t>采购代理机构</w:t>
      </w:r>
      <w:r>
        <w:rPr>
          <w:rFonts w:hint="eastAsia" w:ascii="仿宋" w:hAnsi="仿宋" w:eastAsia="仿宋" w:cs="仿宋"/>
          <w:color w:val="auto"/>
          <w:szCs w:val="24"/>
        </w:rPr>
        <w:t>可以视情况延长投标文件提交的截止时间。在上述情况下，</w:t>
      </w:r>
      <w:r>
        <w:rPr>
          <w:rFonts w:hint="eastAsia" w:ascii="仿宋" w:hAnsi="仿宋" w:eastAsia="仿宋" w:cs="仿宋"/>
          <w:color w:val="auto"/>
          <w:szCs w:val="24"/>
          <w:lang w:eastAsia="zh-CN"/>
        </w:rPr>
        <w:t>采购代理机构</w:t>
      </w:r>
      <w:r>
        <w:rPr>
          <w:rFonts w:hint="eastAsia" w:ascii="仿宋" w:hAnsi="仿宋" w:eastAsia="仿宋" w:cs="仿宋"/>
          <w:color w:val="auto"/>
          <w:szCs w:val="24"/>
        </w:rPr>
        <w:t>与投标人在投标截止期</w:t>
      </w:r>
      <w:r>
        <w:rPr>
          <w:rFonts w:hint="eastAsia" w:ascii="仿宋" w:hAnsi="仿宋" w:eastAsia="仿宋" w:cs="仿宋"/>
          <w:color w:val="auto"/>
          <w:szCs w:val="24"/>
          <w:lang w:eastAsia="zh-CN"/>
        </w:rPr>
        <w:t>前</w:t>
      </w:r>
      <w:r>
        <w:rPr>
          <w:rFonts w:hint="eastAsia" w:ascii="仿宋" w:hAnsi="仿宋" w:eastAsia="仿宋" w:cs="仿宋"/>
          <w:color w:val="auto"/>
          <w:szCs w:val="24"/>
        </w:rPr>
        <w:t>的全部权利、责任和义务，将适用于延长至新的投标截止期。</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3"/>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w:t>
      </w:r>
      <w:r>
        <w:rPr>
          <w:rFonts w:hint="eastAsia" w:ascii="仿宋" w:hAnsi="仿宋" w:eastAsia="仿宋" w:cs="仿宋"/>
          <w:b/>
          <w:color w:val="auto"/>
          <w:sz w:val="24"/>
          <w:szCs w:val="24"/>
          <w:lang w:eastAsia="zh-CN"/>
        </w:rPr>
        <w:t>采购代理机构</w:t>
      </w:r>
      <w:r>
        <w:rPr>
          <w:rFonts w:hint="eastAsia" w:ascii="仿宋" w:hAnsi="仿宋" w:eastAsia="仿宋" w:cs="仿宋"/>
          <w:b/>
          <w:color w:val="auto"/>
          <w:sz w:val="24"/>
          <w:szCs w:val="24"/>
        </w:rPr>
        <w:t>不强制或变相强制投标人提交备份投标文件。</w:t>
      </w:r>
    </w:p>
    <w:p>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b/>
          <w:bCs/>
          <w:color w:val="auto"/>
          <w:sz w:val="24"/>
          <w:szCs w:val="24"/>
          <w:lang w:val="en-US" w:eastAsia="zh-CN"/>
        </w:rPr>
        <w:t>U</w:t>
      </w:r>
      <w:r>
        <w:rPr>
          <w:rFonts w:hint="eastAsia" w:ascii="仿宋" w:hAnsi="仿宋" w:eastAsia="仿宋" w:cs="仿宋"/>
          <w:color w:val="auto"/>
          <w:sz w:val="24"/>
          <w:szCs w:val="24"/>
          <w:lang w:val="en-US" w:eastAsia="zh-CN"/>
        </w:rPr>
        <w:t>盘或</w:t>
      </w:r>
      <w:r>
        <w:rPr>
          <w:rFonts w:hint="eastAsia" w:ascii="仿宋" w:hAnsi="仿宋" w:eastAsia="仿宋" w:cs="仿宋"/>
          <w:color w:val="auto"/>
          <w:sz w:val="24"/>
        </w:rPr>
        <w:t>DVD光盘</w:t>
      </w:r>
      <w:r>
        <w:rPr>
          <w:rFonts w:hint="eastAsia" w:ascii="仿宋" w:hAnsi="仿宋" w:eastAsia="仿宋" w:cs="仿宋"/>
          <w:color w:val="auto"/>
          <w:sz w:val="24"/>
          <w:lang w:val="en-US" w:eastAsia="zh-CN"/>
        </w:rPr>
        <w:t>等存储介质</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将拒绝接受逾期送达的备份投标文件。</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15.5投标人仅提交备份投标文件，未在电子交易平台传输递交投标文件的，投标无效。</w:t>
      </w:r>
    </w:p>
    <w:p>
      <w:pPr>
        <w:pStyle w:val="13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16.投标文件的无效处理</w:t>
      </w:r>
    </w:p>
    <w:p>
      <w:pPr>
        <w:pStyle w:val="25"/>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4.2规定</w:t>
      </w:r>
      <w:r>
        <w:rPr>
          <w:rFonts w:hint="eastAsia" w:ascii="仿宋" w:hAnsi="仿宋" w:eastAsia="仿宋" w:cs="仿宋"/>
          <w:color w:val="auto"/>
          <w:szCs w:val="21"/>
        </w:rPr>
        <w:t>的情形之一的，投标无效：</w:t>
      </w:r>
    </w:p>
    <w:p>
      <w:pPr>
        <w:pStyle w:val="13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130"/>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130"/>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w:t>
      </w:r>
      <w:r>
        <w:rPr>
          <w:rFonts w:hint="eastAsia" w:ascii="仿宋" w:hAnsi="仿宋" w:eastAsia="仿宋" w:cs="仿宋"/>
          <w:color w:val="auto"/>
          <w:lang w:eastAsia="zh-CN"/>
        </w:rPr>
        <w:t>采购代理机构</w:t>
      </w:r>
      <w:r>
        <w:rPr>
          <w:rFonts w:hint="eastAsia" w:ascii="仿宋" w:hAnsi="仿宋" w:eastAsia="仿宋" w:cs="仿宋"/>
          <w:color w:val="auto"/>
        </w:rPr>
        <w:t>可以以书面形式通知投标人延长投标有效期。投标人同意延长的，不得要求或被允许修改其投标文件，投标人拒绝延长的，其投标无效。</w:t>
      </w:r>
    </w:p>
    <w:p>
      <w:pPr>
        <w:pStyle w:val="130"/>
        <w:spacing w:before="0"/>
        <w:ind w:firstLine="643"/>
        <w:rPr>
          <w:rFonts w:hint="eastAsia" w:ascii="仿宋" w:hAnsi="仿宋" w:eastAsia="仿宋" w:cs="仿宋"/>
          <w:b/>
          <w:color w:val="auto"/>
          <w:sz w:val="32"/>
        </w:rPr>
      </w:pPr>
    </w:p>
    <w:p>
      <w:pPr>
        <w:pStyle w:val="130"/>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556"/>
        <w:spacing w:before="0" w:line="36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18.开标</w:t>
      </w:r>
      <w:r>
        <w:rPr>
          <w:rFonts w:hint="eastAsia" w:ascii="仿宋" w:hAnsi="仿宋" w:eastAsia="仿宋" w:cs="仿宋"/>
          <w:color w:val="auto"/>
          <w:sz w:val="24"/>
        </w:rPr>
        <w:t xml:space="preserve"> </w:t>
      </w:r>
    </w:p>
    <w:p>
      <w:pPr>
        <w:pStyle w:val="556"/>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　19、资格审查</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w:t>
      </w:r>
      <w:r>
        <w:rPr>
          <w:rFonts w:hint="eastAsia" w:ascii="仿宋" w:hAnsi="仿宋" w:eastAsia="仿宋" w:cs="仿宋"/>
          <w:color w:val="auto"/>
          <w:kern w:val="0"/>
          <w:sz w:val="24"/>
          <w:lang w:val="en-US" w:eastAsia="zh-CN"/>
        </w:rPr>
        <w:t>1</w:t>
      </w:r>
      <w:r>
        <w:rPr>
          <w:rFonts w:hint="eastAsia" w:ascii="仿宋" w:hAnsi="仿宋" w:eastAsia="仿宋" w:cs="仿宋"/>
          <w:color w:val="auto"/>
          <w:sz w:val="24"/>
        </w:rPr>
        <w:t>采购人或</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依据法律法规和招标文件的规定，对投标人的资格进行审查。</w:t>
      </w:r>
    </w:p>
    <w:p>
      <w:pPr>
        <w:pStyle w:val="130"/>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kern w:val="0"/>
          <w:szCs w:val="24"/>
          <w:lang w:val="en-US" w:eastAsia="zh-CN"/>
        </w:rPr>
        <w:t>2</w:t>
      </w:r>
      <w:r>
        <w:rPr>
          <w:rFonts w:hint="eastAsia" w:ascii="仿宋" w:hAnsi="仿宋" w:eastAsia="仿宋" w:cs="仿宋"/>
          <w:color w:val="auto"/>
          <w:kern w:val="0"/>
          <w:szCs w:val="24"/>
        </w:rPr>
        <w:t>投标人未按照招标文件要求提供与</w:t>
      </w:r>
      <w:r>
        <w:rPr>
          <w:rFonts w:hint="eastAsia" w:ascii="仿宋" w:hAnsi="仿宋" w:eastAsia="仿宋" w:cs="仿宋"/>
          <w:color w:val="auto"/>
        </w:rPr>
        <w:t>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130"/>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lang w:val="en-US" w:eastAsia="zh-CN"/>
        </w:rPr>
        <w:t>3</w:t>
      </w:r>
      <w:r>
        <w:rPr>
          <w:rFonts w:hint="eastAsia" w:ascii="仿宋" w:hAnsi="仿宋" w:eastAsia="仿宋" w:cs="仿宋"/>
          <w:color w:val="auto"/>
        </w:rPr>
        <w:t>对未通过资格审查的投标人，采购人或</w:t>
      </w:r>
      <w:r>
        <w:rPr>
          <w:rFonts w:hint="eastAsia" w:ascii="仿宋" w:hAnsi="仿宋" w:eastAsia="仿宋" w:cs="仿宋"/>
          <w:color w:val="auto"/>
          <w:lang w:eastAsia="zh-CN"/>
        </w:rPr>
        <w:t>采购代理机构</w:t>
      </w:r>
      <w:r>
        <w:rPr>
          <w:rFonts w:hint="eastAsia" w:ascii="仿宋" w:hAnsi="仿宋" w:eastAsia="仿宋" w:cs="仿宋"/>
          <w:color w:val="auto"/>
        </w:rPr>
        <w:t>告知其未通过的原因。</w:t>
      </w:r>
    </w:p>
    <w:p>
      <w:pPr>
        <w:pStyle w:val="130"/>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lang w:val="en-US" w:eastAsia="zh-CN"/>
        </w:rPr>
        <w:t>4</w:t>
      </w:r>
      <w:r>
        <w:rPr>
          <w:rFonts w:hint="eastAsia" w:ascii="仿宋" w:hAnsi="仿宋" w:eastAsia="仿宋" w:cs="仿宋"/>
          <w:color w:val="auto"/>
        </w:rPr>
        <w:t>合格投标人不足3家的，不再评标。</w:t>
      </w:r>
    </w:p>
    <w:p>
      <w:pPr>
        <w:pStyle w:val="13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130"/>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w:t>
      </w:r>
      <w:r>
        <w:rPr>
          <w:rFonts w:hint="eastAsia" w:ascii="仿宋" w:hAnsi="仿宋" w:eastAsia="仿宋" w:cs="仿宋"/>
          <w:color w:val="auto"/>
          <w:kern w:val="0"/>
          <w:szCs w:val="24"/>
          <w:lang w:eastAsia="zh-CN"/>
        </w:rPr>
        <w:t>采购代理机构</w:t>
      </w:r>
      <w:r>
        <w:rPr>
          <w:rFonts w:hint="eastAsia" w:ascii="仿宋" w:hAnsi="仿宋" w:eastAsia="仿宋" w:cs="仿宋"/>
          <w:color w:val="auto"/>
          <w:kern w:val="0"/>
          <w:szCs w:val="24"/>
        </w:rPr>
        <w:t>将在资格审查时通过“信用中国”网站(www.creditchina.gov.cn)、中国政府采购网(www.ccgp.gov.cn)渠道查询投标人接受资格审查时的信用记录。</w:t>
      </w:r>
    </w:p>
    <w:p>
      <w:pPr>
        <w:pStyle w:val="130"/>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130"/>
        <w:spacing w:before="0"/>
        <w:ind w:firstLine="0" w:firstLineChars="0"/>
        <w:rPr>
          <w:rFonts w:hint="eastAsia" w:ascii="仿宋" w:hAnsi="仿宋" w:eastAsia="仿宋" w:cs="仿宋"/>
          <w:color w:val="auto"/>
          <w:kern w:val="0"/>
          <w:szCs w:val="24"/>
        </w:rPr>
      </w:pPr>
    </w:p>
    <w:p>
      <w:pPr>
        <w:snapToGrid w:val="0"/>
        <w:spacing w:line="360" w:lineRule="auto"/>
        <w:jc w:val="center"/>
        <w:outlineLvl w:val="0"/>
        <w:rPr>
          <w:rFonts w:hint="eastAsia" w:ascii="仿宋" w:hAnsi="仿宋" w:eastAsia="仿宋" w:cs="仿宋"/>
          <w:b/>
          <w:color w:val="auto"/>
          <w:sz w:val="36"/>
          <w:szCs w:val="36"/>
        </w:rPr>
      </w:pPr>
      <w:bookmarkStart w:id="39" w:name="_Toc5303"/>
      <w:r>
        <w:rPr>
          <w:rFonts w:hint="eastAsia" w:ascii="仿宋" w:hAnsi="仿宋" w:eastAsia="仿宋" w:cs="仿宋"/>
          <w:b/>
          <w:color w:val="auto"/>
          <w:sz w:val="36"/>
          <w:szCs w:val="36"/>
        </w:rPr>
        <w:t>五、评标</w:t>
      </w:r>
      <w:bookmarkEnd w:id="39"/>
    </w:p>
    <w:p>
      <w:pPr>
        <w:spacing w:line="360" w:lineRule="auto"/>
        <w:ind w:firstLine="482" w:firstLineChars="200"/>
        <w:rPr>
          <w:rFonts w:hint="eastAsia" w:ascii="仿宋" w:hAnsi="仿宋" w:eastAsia="仿宋" w:cs="仿宋"/>
          <w:b/>
          <w:color w:val="auto"/>
          <w:sz w:val="24"/>
        </w:rPr>
      </w:pPr>
      <w:bookmarkStart w:id="40" w:name="_Toc91899903"/>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pacing w:line="360" w:lineRule="auto"/>
        <w:rPr>
          <w:rFonts w:hint="eastAsia" w:ascii="仿宋" w:hAnsi="仿宋" w:eastAsia="仿宋" w:cs="仿宋"/>
          <w:b/>
          <w:color w:val="auto"/>
          <w:sz w:val="24"/>
        </w:rPr>
      </w:pPr>
    </w:p>
    <w:p>
      <w:pPr>
        <w:snapToGrid w:val="0"/>
        <w:spacing w:line="360" w:lineRule="auto"/>
        <w:jc w:val="center"/>
        <w:outlineLvl w:val="0"/>
        <w:rPr>
          <w:rFonts w:hint="eastAsia" w:ascii="仿宋" w:hAnsi="仿宋" w:eastAsia="仿宋" w:cs="仿宋"/>
          <w:b/>
          <w:color w:val="auto"/>
          <w:sz w:val="36"/>
          <w:szCs w:val="36"/>
        </w:rPr>
      </w:pPr>
      <w:bookmarkStart w:id="41" w:name="_Toc918"/>
      <w:r>
        <w:rPr>
          <w:rFonts w:hint="eastAsia" w:ascii="仿宋" w:hAnsi="仿宋" w:eastAsia="仿宋" w:cs="仿宋"/>
          <w:b/>
          <w:color w:val="auto"/>
          <w:sz w:val="36"/>
          <w:szCs w:val="36"/>
        </w:rPr>
        <w:t>六、定 标</w:t>
      </w:r>
      <w:bookmarkEnd w:id="41"/>
    </w:p>
    <w:p>
      <w:pPr>
        <w:pStyle w:val="25"/>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pPr>
        <w:pStyle w:val="130"/>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向中标人发出中标通知书，同时编制发布采购结果公告。</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25"/>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25"/>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25. 合同的签订</w:t>
      </w:r>
    </w:p>
    <w:p>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采购人与中标人应当在中标通知书发出之日起三十日内，按照招标文件确定的事项签订政府采购合同，并在签订之日起2个工作日内将政府采购合同在浙江政府采购网上公告。</w:t>
      </w:r>
    </w:p>
    <w:p>
      <w:pPr>
        <w:pStyle w:val="130"/>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130"/>
        <w:snapToGrid w:val="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5.6</w:t>
      </w:r>
      <w:r>
        <w:rPr>
          <w:rFonts w:hint="eastAsia" w:ascii="仿宋" w:hAnsi="仿宋" w:eastAsia="仿宋" w:cs="仿宋"/>
          <w:color w:val="auto"/>
          <w:sz w:val="24"/>
        </w:rPr>
        <w:t>.采购人应当自政府采购合同签订之日起7个工作日内，将政府采购合同通过政采云平台提交至同级人民政府财政部门备案存档。</w:t>
      </w:r>
    </w:p>
    <w:p>
      <w:pPr>
        <w:pStyle w:val="25"/>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26. 履约保证金</w:t>
      </w:r>
    </w:p>
    <w:p>
      <w:pPr>
        <w:pStyle w:val="2"/>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无</w:t>
      </w:r>
    </w:p>
    <w:p>
      <w:pPr>
        <w:pStyle w:val="2"/>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rPr>
        <w:t>27.预付款</w:t>
      </w:r>
    </w:p>
    <w:p>
      <w:pPr>
        <w:snapToGrid w:val="0"/>
        <w:spacing w:line="360" w:lineRule="auto"/>
        <w:rPr>
          <w:rFonts w:hint="eastAsia" w:ascii="仿宋" w:hAnsi="仿宋" w:eastAsia="仿宋" w:cs="仿宋"/>
          <w:color w:val="auto"/>
          <w:kern w:val="2"/>
          <w:sz w:val="24"/>
          <w:szCs w:val="20"/>
          <w:lang w:val="en-US" w:eastAsia="zh-CN" w:bidi="ar-SA"/>
        </w:rPr>
      </w:pPr>
      <w:r>
        <w:rPr>
          <w:rFonts w:hint="eastAsia" w:ascii="仿宋" w:hAnsi="仿宋" w:eastAsia="仿宋" w:cs="仿宋"/>
          <w:color w:val="auto"/>
          <w:kern w:val="2"/>
          <w:sz w:val="24"/>
          <w:szCs w:val="20"/>
          <w:lang w:val="en-US" w:eastAsia="zh-CN" w:bidi="ar-SA"/>
        </w:rPr>
        <w:t>合同总额的40%作为预付款</w:t>
      </w:r>
    </w:p>
    <w:p>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pPr>
        <w:pStyle w:val="130"/>
        <w:snapToGrid w:val="0"/>
        <w:spacing w:before="0"/>
        <w:ind w:firstLine="0" w:firstLineChars="0"/>
        <w:rPr>
          <w:rFonts w:hint="eastAsia" w:ascii="仿宋" w:hAnsi="仿宋" w:eastAsia="仿宋" w:cs="仿宋"/>
          <w:color w:val="auto"/>
        </w:rPr>
      </w:pPr>
      <w:r>
        <w:rPr>
          <w:rFonts w:hint="eastAsia" w:ascii="仿宋" w:hAnsi="仿宋" w:eastAsia="仿宋" w:cs="仿宋"/>
          <w:b/>
          <w:bCs/>
          <w:color w:val="auto"/>
          <w:kern w:val="2"/>
          <w:sz w:val="24"/>
          <w:szCs w:val="20"/>
        </w:rPr>
        <w:t>2</w:t>
      </w:r>
      <w:r>
        <w:rPr>
          <w:rFonts w:hint="eastAsia" w:ascii="仿宋" w:hAnsi="仿宋" w:eastAsia="仿宋" w:cs="仿宋"/>
          <w:b/>
          <w:bCs/>
          <w:color w:val="auto"/>
          <w:kern w:val="2"/>
          <w:sz w:val="24"/>
          <w:szCs w:val="24"/>
        </w:rPr>
        <w:t>8</w:t>
      </w:r>
      <w:r>
        <w:rPr>
          <w:rFonts w:hint="eastAsia" w:ascii="仿宋" w:hAnsi="仿宋" w:eastAsia="仿宋" w:cs="仿宋"/>
          <w:b/>
          <w:color w:val="auto"/>
          <w:szCs w:val="24"/>
        </w:rPr>
        <w:t>. 电子交易活动的中止。</w:t>
      </w:r>
      <w:r>
        <w:rPr>
          <w:rFonts w:hint="eastAsia" w:ascii="仿宋" w:hAnsi="仿宋" w:eastAsia="仿宋" w:cs="仿宋"/>
          <w:color w:val="auto"/>
        </w:rPr>
        <w:t>采购过程中出现以下情形，导致电子交易平台无法正常运行，或者无法保证电子交易的公平、公正和安全时，</w:t>
      </w:r>
      <w:r>
        <w:rPr>
          <w:rFonts w:hint="eastAsia" w:ascii="仿宋" w:hAnsi="仿宋" w:eastAsia="仿宋" w:cs="仿宋"/>
          <w:color w:val="auto"/>
          <w:lang w:eastAsia="zh-CN"/>
        </w:rPr>
        <w:t>采购代理机构</w:t>
      </w:r>
      <w:r>
        <w:rPr>
          <w:rFonts w:hint="eastAsia" w:ascii="仿宋" w:hAnsi="仿宋" w:eastAsia="仿宋" w:cs="仿宋"/>
          <w:color w:val="auto"/>
        </w:rPr>
        <w:t>可中止电子交易活动：</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28.1电子交易平台发生故障而无法登录访问的； </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28.2电子交易平台应用或数据库出现错误，不能进行正常操作的；</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28.3电子交易平台发现严重安全漏洞，有潜在泄密危险的；</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28.4病毒发作导致不能进行正常操作的； </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28.5其他无法保证电子交易的公平、公正和安全的情况。</w:t>
      </w:r>
    </w:p>
    <w:p>
      <w:pPr>
        <w:pStyle w:val="130"/>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bookmarkEnd w:id="40"/>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投标人负责系统从安装、调试、试运行到验收合格前的全部运行维护工作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所有费用应包括在投标总价中，安装和验收须符合《地表水水质自动监测站安装验收技术要求（试行）》要求。在验收合格前，业主不负责系统的运行维护。</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系统试运行完成后，中标人以书面形式向业主提交验收报告及验收申请，业主审核同意后按照相关技术规范组织验收。业主只接收验收合格的系统。</w:t>
      </w:r>
    </w:p>
    <w:p>
      <w:pPr>
        <w:tabs>
          <w:tab w:val="left" w:pos="0"/>
        </w:tabs>
        <w:spacing w:line="360" w:lineRule="auto"/>
        <w:ind w:firstLine="480"/>
        <w:rPr>
          <w:rFonts w:hint="eastAsia" w:ascii="仿宋" w:hAnsi="仿宋" w:eastAsia="仿宋" w:cs="仿宋"/>
          <w:color w:val="auto"/>
          <w:kern w:val="0"/>
          <w:sz w:val="24"/>
        </w:rPr>
        <w:sectPr>
          <w:headerReference r:id="rId4" w:type="first"/>
          <w:footerReference r:id="rId6" w:type="first"/>
          <w:headerReference r:id="rId3" w:type="default"/>
          <w:footerReference r:id="rId5" w:type="default"/>
          <w:pgSz w:w="11905" w:h="16838"/>
          <w:pgMar w:top="1440" w:right="1083" w:bottom="1440" w:left="1083" w:header="567" w:footer="567" w:gutter="0"/>
          <w:pgBorders>
            <w:top w:val="none" w:sz="0" w:space="0"/>
            <w:left w:val="none" w:sz="0" w:space="0"/>
            <w:bottom w:val="none" w:sz="0" w:space="0"/>
            <w:right w:val="none" w:sz="0" w:space="0"/>
          </w:pgBorders>
          <w:pgNumType w:fmt="decimal" w:start="1"/>
          <w:cols w:space="0" w:num="1"/>
          <w:titlePg/>
          <w:rtlGutter w:val="0"/>
          <w:docGrid w:linePitch="312" w:charSpace="0"/>
        </w:sectPr>
      </w:pPr>
    </w:p>
    <w:bookmarkEnd w:id="16"/>
    <w:bookmarkEnd w:id="17"/>
    <w:p>
      <w:pPr>
        <w:pStyle w:val="3"/>
        <w:keepNext/>
        <w:keepLines/>
        <w:pageBreakBefore w:val="0"/>
        <w:widowControl w:val="0"/>
        <w:kinsoku/>
        <w:wordWrap/>
        <w:overflowPunct/>
        <w:topLinePunct w:val="0"/>
        <w:autoSpaceDE/>
        <w:autoSpaceDN/>
        <w:bidi w:val="0"/>
        <w:adjustRightInd w:val="0"/>
        <w:snapToGrid/>
        <w:spacing w:after="0" w:line="360" w:lineRule="auto"/>
        <w:ind w:left="431" w:hanging="431"/>
        <w:jc w:val="center"/>
        <w:textAlignment w:val="auto"/>
        <w:rPr>
          <w:rFonts w:hint="eastAsia" w:ascii="仿宋" w:hAnsi="仿宋" w:eastAsia="仿宋" w:cs="仿宋"/>
          <w:color w:val="auto"/>
        </w:rPr>
      </w:pPr>
      <w:bookmarkStart w:id="42" w:name="_Toc29425"/>
      <w:bookmarkStart w:id="43" w:name="第四部分"/>
      <w:r>
        <w:rPr>
          <w:rFonts w:hint="eastAsia" w:ascii="仿宋" w:hAnsi="仿宋" w:eastAsia="仿宋" w:cs="仿宋"/>
          <w:color w:val="auto"/>
        </w:rPr>
        <w:t>第三部分   采购需求</w:t>
      </w:r>
      <w:bookmarkEnd w:id="42"/>
    </w:p>
    <w:p>
      <w:pPr>
        <w:numPr>
          <w:ilvl w:val="0"/>
          <w:numId w:val="1"/>
        </w:numPr>
        <w:tabs>
          <w:tab w:val="left" w:pos="8280"/>
        </w:tabs>
        <w:ind w:right="25"/>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招标项目一览表</w:t>
      </w:r>
    </w:p>
    <w:p>
      <w:pPr>
        <w:pStyle w:val="25"/>
        <w:numPr>
          <w:ilvl w:val="0"/>
          <w:numId w:val="0"/>
        </w:numPr>
        <w:rPr>
          <w:rFonts w:hint="eastAsia" w:ascii="仿宋" w:hAnsi="仿宋" w:eastAsia="仿宋" w:cs="仿宋"/>
          <w:color w:val="auto"/>
          <w:lang w:eastAsia="zh-CN"/>
        </w:rPr>
      </w:pPr>
      <w:r>
        <w:rPr>
          <w:rFonts w:hint="eastAsia" w:ascii="仿宋" w:hAnsi="仿宋" w:eastAsia="仿宋" w:cs="仿宋"/>
          <w:color w:val="auto"/>
          <w:lang w:eastAsia="zh-CN"/>
        </w:rPr>
        <w:t>（一）</w:t>
      </w:r>
      <w:r>
        <w:rPr>
          <w:rFonts w:hint="eastAsia" w:ascii="仿宋" w:hAnsi="仿宋" w:eastAsia="仿宋" w:cs="仿宋"/>
          <w:b/>
          <w:color w:val="auto"/>
          <w:kern w:val="0"/>
          <w:sz w:val="24"/>
          <w:szCs w:val="24"/>
          <w:highlight w:val="none"/>
          <w:lang w:val="en-US" w:eastAsia="zh-CN"/>
        </w:rPr>
        <w:t>2023年台州市环境质量自动监测智能化建设项目</w:t>
      </w:r>
      <w:r>
        <w:rPr>
          <w:rFonts w:hint="eastAsia" w:ascii="仿宋" w:hAnsi="仿宋" w:eastAsia="仿宋" w:cs="仿宋"/>
          <w:b/>
          <w:color w:val="auto"/>
          <w:kern w:val="0"/>
          <w:sz w:val="24"/>
          <w:szCs w:val="24"/>
          <w:highlight w:val="none"/>
        </w:rPr>
        <w:t>标</w:t>
      </w:r>
      <w:r>
        <w:rPr>
          <w:rFonts w:hint="eastAsia" w:ascii="仿宋" w:hAnsi="仿宋" w:eastAsia="仿宋" w:cs="仿宋"/>
          <w:b/>
          <w:color w:val="auto"/>
          <w:kern w:val="0"/>
          <w:sz w:val="24"/>
          <w:szCs w:val="24"/>
          <w:highlight w:val="none"/>
          <w:lang w:eastAsia="zh-CN"/>
        </w:rPr>
        <w:t>项</w:t>
      </w:r>
      <w:r>
        <w:rPr>
          <w:rFonts w:hint="eastAsia" w:ascii="仿宋" w:hAnsi="仿宋" w:eastAsia="仿宋" w:cs="仿宋"/>
          <w:b/>
          <w:color w:val="auto"/>
          <w:kern w:val="0"/>
          <w:sz w:val="24"/>
          <w:szCs w:val="24"/>
          <w:highlight w:val="none"/>
        </w:rPr>
        <w:t>划分表</w:t>
      </w:r>
    </w:p>
    <w:tbl>
      <w:tblPr>
        <w:tblStyle w:val="64"/>
        <w:tblpPr w:leftFromText="180" w:rightFromText="180" w:vertAnchor="text" w:horzAnchor="page" w:tblpX="1310" w:tblpY="91"/>
        <w:tblOverlap w:val="never"/>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473"/>
        <w:gridCol w:w="685"/>
        <w:gridCol w:w="1222"/>
        <w:gridCol w:w="3179"/>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38" w:type="dxa"/>
            <w:noWrap/>
            <w:vAlign w:val="center"/>
          </w:tcPr>
          <w:p>
            <w:pPr>
              <w:tabs>
                <w:tab w:val="left" w:pos="8280"/>
              </w:tabs>
              <w:ind w:right="25"/>
              <w:jc w:val="center"/>
              <w:rPr>
                <w:rFonts w:hint="eastAsia" w:ascii="仿宋" w:hAnsi="仿宋" w:eastAsia="仿宋" w:cs="仿宋"/>
                <w:b/>
                <w:color w:val="auto"/>
                <w:sz w:val="24"/>
              </w:rPr>
            </w:pPr>
            <w:r>
              <w:rPr>
                <w:rFonts w:hint="eastAsia" w:ascii="仿宋" w:hAnsi="仿宋" w:eastAsia="仿宋" w:cs="仿宋"/>
                <w:b/>
                <w:color w:val="auto"/>
                <w:sz w:val="24"/>
              </w:rPr>
              <w:t>标项号</w:t>
            </w:r>
          </w:p>
        </w:tc>
        <w:tc>
          <w:tcPr>
            <w:tcW w:w="2473" w:type="dxa"/>
            <w:noWrap/>
            <w:vAlign w:val="center"/>
          </w:tcPr>
          <w:p>
            <w:pPr>
              <w:tabs>
                <w:tab w:val="left" w:pos="8280"/>
              </w:tabs>
              <w:ind w:right="25"/>
              <w:jc w:val="center"/>
              <w:rPr>
                <w:rFonts w:hint="eastAsia" w:ascii="仿宋" w:hAnsi="仿宋" w:eastAsia="仿宋" w:cs="仿宋"/>
                <w:b/>
                <w:color w:val="auto"/>
                <w:sz w:val="24"/>
              </w:rPr>
            </w:pPr>
            <w:r>
              <w:rPr>
                <w:rFonts w:hint="eastAsia" w:ascii="仿宋" w:hAnsi="仿宋" w:eastAsia="仿宋" w:cs="仿宋"/>
                <w:b/>
                <w:color w:val="auto"/>
                <w:sz w:val="24"/>
              </w:rPr>
              <w:t>采购内容</w:t>
            </w:r>
          </w:p>
        </w:tc>
        <w:tc>
          <w:tcPr>
            <w:tcW w:w="685" w:type="dxa"/>
            <w:noWrap/>
            <w:vAlign w:val="center"/>
          </w:tcPr>
          <w:p>
            <w:pPr>
              <w:tabs>
                <w:tab w:val="left" w:pos="8280"/>
              </w:tabs>
              <w:ind w:right="25"/>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222" w:type="dxa"/>
            <w:noWrap/>
            <w:vAlign w:val="center"/>
          </w:tcPr>
          <w:p>
            <w:pPr>
              <w:tabs>
                <w:tab w:val="left" w:pos="8280"/>
              </w:tabs>
              <w:ind w:right="25"/>
              <w:jc w:val="center"/>
              <w:rPr>
                <w:rFonts w:hint="eastAsia" w:ascii="仿宋" w:hAnsi="仿宋" w:eastAsia="仿宋" w:cs="仿宋"/>
                <w:b/>
                <w:color w:val="auto"/>
                <w:sz w:val="24"/>
              </w:rPr>
            </w:pPr>
            <w:r>
              <w:rPr>
                <w:rFonts w:hint="eastAsia" w:ascii="仿宋" w:hAnsi="仿宋" w:eastAsia="仿宋" w:cs="仿宋"/>
                <w:b/>
                <w:color w:val="auto"/>
                <w:sz w:val="24"/>
              </w:rPr>
              <w:t>预算</w:t>
            </w:r>
          </w:p>
          <w:p>
            <w:pPr>
              <w:tabs>
                <w:tab w:val="left" w:pos="8280"/>
              </w:tabs>
              <w:ind w:right="25"/>
              <w:jc w:val="center"/>
              <w:rPr>
                <w:rFonts w:hint="eastAsia" w:ascii="仿宋" w:hAnsi="仿宋" w:eastAsia="仿宋" w:cs="仿宋"/>
                <w:b/>
                <w:color w:val="auto"/>
                <w:sz w:val="24"/>
              </w:rPr>
            </w:pPr>
            <w:r>
              <w:rPr>
                <w:rFonts w:hint="eastAsia" w:ascii="仿宋" w:hAnsi="仿宋" w:eastAsia="仿宋" w:cs="仿宋"/>
                <w:b/>
                <w:color w:val="auto"/>
                <w:sz w:val="24"/>
              </w:rPr>
              <w:t>（万元）</w:t>
            </w:r>
          </w:p>
        </w:tc>
        <w:tc>
          <w:tcPr>
            <w:tcW w:w="3179" w:type="dxa"/>
            <w:noWrap/>
            <w:vAlign w:val="center"/>
          </w:tcPr>
          <w:p>
            <w:pPr>
              <w:tabs>
                <w:tab w:val="left" w:pos="8280"/>
              </w:tabs>
              <w:ind w:right="25"/>
              <w:jc w:val="center"/>
              <w:rPr>
                <w:rFonts w:hint="eastAsia" w:ascii="仿宋" w:hAnsi="仿宋" w:eastAsia="仿宋" w:cs="仿宋"/>
                <w:b/>
                <w:color w:val="auto"/>
                <w:sz w:val="24"/>
              </w:rPr>
            </w:pPr>
            <w:r>
              <w:rPr>
                <w:rFonts w:hint="eastAsia" w:ascii="仿宋" w:hAnsi="仿宋" w:eastAsia="仿宋" w:cs="仿宋"/>
                <w:b/>
                <w:color w:val="auto"/>
                <w:sz w:val="24"/>
              </w:rPr>
              <w:t>简要技术要求</w:t>
            </w:r>
          </w:p>
        </w:tc>
        <w:tc>
          <w:tcPr>
            <w:tcW w:w="1353" w:type="dxa"/>
            <w:noWrap/>
            <w:vAlign w:val="center"/>
          </w:tcPr>
          <w:p>
            <w:pPr>
              <w:tabs>
                <w:tab w:val="left" w:pos="8280"/>
              </w:tabs>
              <w:ind w:right="25"/>
              <w:jc w:val="center"/>
              <w:rPr>
                <w:rFonts w:hint="eastAsia" w:ascii="仿宋" w:hAnsi="仿宋" w:eastAsia="仿宋" w:cs="仿宋"/>
                <w:b/>
                <w:color w:val="auto"/>
                <w:sz w:val="24"/>
              </w:rPr>
            </w:pPr>
            <w:r>
              <w:rPr>
                <w:rFonts w:hint="eastAsia" w:ascii="仿宋" w:hAnsi="仿宋" w:eastAsia="仿宋" w:cs="仿宋"/>
                <w:b/>
                <w:color w:val="auto"/>
                <w:sz w:val="24"/>
              </w:rPr>
              <w:t>项目实施地点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538" w:type="dxa"/>
            <w:noWrap/>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1</w:t>
            </w:r>
          </w:p>
        </w:tc>
        <w:tc>
          <w:tcPr>
            <w:tcW w:w="2473" w:type="dxa"/>
            <w:noWrap/>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椒江区和临海市5个（栅浦、栅浦闸、岩头闸、渡头范、西岑）省控地表水水质自动监测站建设</w:t>
            </w:r>
          </w:p>
        </w:tc>
        <w:tc>
          <w:tcPr>
            <w:tcW w:w="685" w:type="dxa"/>
            <w:noWrap/>
            <w:vAlign w:val="center"/>
          </w:tcPr>
          <w:p>
            <w:pPr>
              <w:widowControl/>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各1</w:t>
            </w:r>
          </w:p>
        </w:tc>
        <w:tc>
          <w:tcPr>
            <w:tcW w:w="1222" w:type="dxa"/>
            <w:noWrap/>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309.5</w:t>
            </w:r>
          </w:p>
        </w:tc>
        <w:tc>
          <w:tcPr>
            <w:tcW w:w="3179" w:type="dxa"/>
            <w:noWrap/>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椒江区和临海市5个（栅浦、栅浦闸、岩头闸、渡头范、西岑）省控地表水水质自动监测站建设</w:t>
            </w:r>
          </w:p>
        </w:tc>
        <w:tc>
          <w:tcPr>
            <w:tcW w:w="1353" w:type="dxa"/>
            <w:noWrap/>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38" w:type="dxa"/>
            <w:noWrap/>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2</w:t>
            </w:r>
          </w:p>
        </w:tc>
        <w:tc>
          <w:tcPr>
            <w:tcW w:w="2473" w:type="dxa"/>
            <w:noWrap/>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黄岩区、温岭市和玉环市4个（朱砂堆、大众旺、太平、长屿闸）省控地表水水质自动监测站建设</w:t>
            </w:r>
          </w:p>
        </w:tc>
        <w:tc>
          <w:tcPr>
            <w:tcW w:w="685" w:type="dxa"/>
            <w:noWrap/>
            <w:vAlign w:val="center"/>
          </w:tcPr>
          <w:p>
            <w:pPr>
              <w:widowControl/>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各1</w:t>
            </w:r>
          </w:p>
        </w:tc>
        <w:tc>
          <w:tcPr>
            <w:tcW w:w="1222" w:type="dxa"/>
            <w:noWrap/>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247.7</w:t>
            </w:r>
          </w:p>
        </w:tc>
        <w:tc>
          <w:tcPr>
            <w:tcW w:w="3179" w:type="dxa"/>
            <w:noWrap/>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黄岩区、温岭市和玉环市4个（朱砂堆、大众旺、太平、长屿闸）省控地表水水质自动监测站建设</w:t>
            </w:r>
          </w:p>
        </w:tc>
        <w:tc>
          <w:tcPr>
            <w:tcW w:w="1353" w:type="dxa"/>
            <w:noWrap/>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38" w:type="dxa"/>
            <w:noWrap/>
            <w:vAlign w:val="center"/>
          </w:tcPr>
          <w:p>
            <w:pPr>
              <w:widowControl/>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2473" w:type="dxa"/>
            <w:noWrap/>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路桥区、天台县和仙居县5个省控地表水（峰江（下里桥）、三条埠头、响岩、曹店、柴岭下）水质自动监测站建设</w:t>
            </w:r>
          </w:p>
        </w:tc>
        <w:tc>
          <w:tcPr>
            <w:tcW w:w="685" w:type="dxa"/>
            <w:noWrap/>
            <w:vAlign w:val="center"/>
          </w:tcPr>
          <w:p>
            <w:pPr>
              <w:widowControl/>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各1</w:t>
            </w:r>
          </w:p>
        </w:tc>
        <w:tc>
          <w:tcPr>
            <w:tcW w:w="1222" w:type="dxa"/>
            <w:noWrap/>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309.5</w:t>
            </w:r>
          </w:p>
        </w:tc>
        <w:tc>
          <w:tcPr>
            <w:tcW w:w="3179" w:type="dxa"/>
            <w:noWrap/>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路桥区、天台县和仙居县5个省控地表水（峰江（下里桥）、三条埠头、响岩、曹店、柴岭下）水质自动监测站建设</w:t>
            </w:r>
          </w:p>
        </w:tc>
        <w:tc>
          <w:tcPr>
            <w:tcW w:w="1353" w:type="dxa"/>
            <w:noWrap/>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450" w:type="dxa"/>
            <w:gridSpan w:val="6"/>
            <w:noWrap/>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b/>
                <w:bCs/>
                <w:color w:val="auto"/>
                <w:sz w:val="24"/>
                <w:szCs w:val="21"/>
              </w:rPr>
              <w:t>本项目共分三个标段，按标项1、标项2、标项3标段顺序开标、评标，采取兼投不兼中原则，投标人可以参加所有标段的投标，但同一投标人不得兼中。</w:t>
            </w:r>
          </w:p>
        </w:tc>
      </w:tr>
    </w:tbl>
    <w:p>
      <w:pPr>
        <w:pStyle w:val="33"/>
        <w:snapToGrid w:val="0"/>
        <w:rPr>
          <w:rFonts w:hint="eastAsia" w:ascii="仿宋" w:hAnsi="仿宋" w:eastAsia="仿宋" w:cs="仿宋"/>
          <w:b/>
          <w:bCs/>
          <w:color w:val="auto"/>
          <w:sz w:val="24"/>
          <w:szCs w:val="24"/>
          <w:lang w:eastAsia="zh-CN"/>
        </w:rPr>
      </w:pPr>
    </w:p>
    <w:p>
      <w:pPr>
        <w:keepNext w:val="0"/>
        <w:keepLines w:val="0"/>
        <w:pageBreakBefore w:val="0"/>
        <w:widowControl w:val="0"/>
        <w:shd w:val="clea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auto"/>
          <w:kern w:val="0"/>
          <w:sz w:val="24"/>
          <w:szCs w:val="24"/>
          <w:highlight w:val="none"/>
          <w:lang w:val="en-US" w:eastAsia="zh-CN"/>
        </w:rPr>
      </w:pPr>
      <w:r>
        <w:rPr>
          <w:rFonts w:hint="eastAsia" w:ascii="仿宋" w:hAnsi="仿宋" w:eastAsia="仿宋" w:cs="仿宋"/>
          <w:color w:val="auto"/>
          <w:sz w:val="24"/>
          <w:lang w:eastAsia="zh-CN"/>
        </w:rPr>
        <w:t>（二）</w:t>
      </w:r>
      <w:r>
        <w:rPr>
          <w:rFonts w:hint="eastAsia" w:ascii="仿宋" w:hAnsi="仿宋" w:eastAsia="仿宋" w:cs="仿宋"/>
          <w:b/>
          <w:color w:val="auto"/>
          <w:kern w:val="0"/>
          <w:sz w:val="24"/>
          <w:szCs w:val="24"/>
          <w:highlight w:val="none"/>
          <w:lang w:val="en-US" w:eastAsia="zh-CN"/>
        </w:rPr>
        <w:t>2023年台州市环境质量自动监测智能化建设项目标项及建设内容</w:t>
      </w:r>
    </w:p>
    <w:tbl>
      <w:tblPr>
        <w:tblStyle w:val="64"/>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0"/>
        <w:gridCol w:w="717"/>
        <w:gridCol w:w="1573"/>
        <w:gridCol w:w="3350"/>
        <w:gridCol w:w="960"/>
        <w:gridCol w:w="1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jc w:val="center"/>
        </w:trPr>
        <w:tc>
          <w:tcPr>
            <w:tcW w:w="5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标项</w:t>
            </w:r>
          </w:p>
        </w:tc>
        <w:tc>
          <w:tcPr>
            <w:tcW w:w="717"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地区</w:t>
            </w:r>
          </w:p>
        </w:tc>
        <w:tc>
          <w:tcPr>
            <w:tcW w:w="1573"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站点名称</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内容</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187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717"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椒江区、临海市</w:t>
            </w:r>
          </w:p>
        </w:tc>
        <w:tc>
          <w:tcPr>
            <w:tcW w:w="1573"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栅浦、栅浦闸、岩头闸、渡头范、西岑</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五参数水质自动分析仪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各1台</w:t>
            </w:r>
          </w:p>
        </w:tc>
        <w:tc>
          <w:tcPr>
            <w:tcW w:w="187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新建站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17"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573"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高锰酸盐指数水质自动分析仪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各1台</w:t>
            </w:r>
          </w:p>
        </w:tc>
        <w:tc>
          <w:tcPr>
            <w:tcW w:w="187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17"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573"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氨氮水质自动分析仪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各1台</w:t>
            </w:r>
          </w:p>
        </w:tc>
        <w:tc>
          <w:tcPr>
            <w:tcW w:w="187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17"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573"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总磷水质自动分析仪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各1台</w:t>
            </w:r>
          </w:p>
        </w:tc>
        <w:tc>
          <w:tcPr>
            <w:tcW w:w="187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17"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573"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各1台</w:t>
            </w:r>
          </w:p>
        </w:tc>
        <w:tc>
          <w:tcPr>
            <w:tcW w:w="187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17"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573"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新建集成系统</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各1套</w:t>
            </w:r>
          </w:p>
        </w:tc>
        <w:tc>
          <w:tcPr>
            <w:tcW w:w="187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17"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573"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运行维护</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各1年</w:t>
            </w:r>
          </w:p>
        </w:tc>
        <w:tc>
          <w:tcPr>
            <w:tcW w:w="1870" w:type="dxa"/>
            <w:tcBorders>
              <w:tl2br w:val="nil"/>
              <w:tr2bl w:val="nil"/>
            </w:tcBorders>
            <w:noWrap/>
            <w:vAlign w:val="top"/>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验收合格之日起一年免费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717"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黄岩区、温岭市、玉环市</w:t>
            </w:r>
          </w:p>
        </w:tc>
        <w:tc>
          <w:tcPr>
            <w:tcW w:w="1573"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朱砂堆、大众旺、太平、长屿闸</w:t>
            </w: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五参数水质自动分析仪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各1台</w:t>
            </w:r>
          </w:p>
        </w:tc>
        <w:tc>
          <w:tcPr>
            <w:tcW w:w="1870" w:type="dxa"/>
            <w:vMerge w:val="restart"/>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新建站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17"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573"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高锰酸盐指数水质自动分析仪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各1台</w:t>
            </w:r>
          </w:p>
        </w:tc>
        <w:tc>
          <w:tcPr>
            <w:tcW w:w="1870" w:type="dxa"/>
            <w:vMerge w:val="continue"/>
            <w:tcBorders>
              <w:tl2br w:val="nil"/>
              <w:tr2bl w:val="nil"/>
            </w:tcBorders>
            <w:noWrap/>
            <w:vAlign w:val="top"/>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17"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573" w:type="dxa"/>
            <w:vMerge w:val="continue"/>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35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氨氮水质自动分析仪</w:t>
            </w:r>
          </w:p>
        </w:tc>
        <w:tc>
          <w:tcPr>
            <w:tcW w:w="960" w:type="dxa"/>
            <w:tcBorders>
              <w:tl2br w:val="nil"/>
              <w:tr2bl w:val="nil"/>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各1台</w:t>
            </w:r>
          </w:p>
        </w:tc>
        <w:tc>
          <w:tcPr>
            <w:tcW w:w="1870" w:type="dxa"/>
            <w:vMerge w:val="continue"/>
            <w:tcBorders>
              <w:tl2br w:val="nil"/>
              <w:tr2bl w:val="nil"/>
            </w:tcBorders>
            <w:noWrap/>
            <w:vAlign w:val="top"/>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17"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573"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0" w:type="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总磷水质自动分析仪</w:t>
            </w:r>
          </w:p>
        </w:tc>
        <w:tc>
          <w:tcPr>
            <w:tcW w:w="0" w:type="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各1台</w:t>
            </w:r>
          </w:p>
        </w:tc>
        <w:tc>
          <w:tcPr>
            <w:tcW w:w="1870"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17"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573"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0" w:type="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总氮水质自动分析仪</w:t>
            </w:r>
          </w:p>
        </w:tc>
        <w:tc>
          <w:tcPr>
            <w:tcW w:w="0" w:type="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各1台</w:t>
            </w:r>
          </w:p>
        </w:tc>
        <w:tc>
          <w:tcPr>
            <w:tcW w:w="1870"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17"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573"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0" w:type="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新建集成系统</w:t>
            </w:r>
          </w:p>
        </w:tc>
        <w:tc>
          <w:tcPr>
            <w:tcW w:w="0" w:type="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各1套</w:t>
            </w:r>
          </w:p>
        </w:tc>
        <w:tc>
          <w:tcPr>
            <w:tcW w:w="1870"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17"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573"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0" w:type="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运行维护</w:t>
            </w:r>
          </w:p>
        </w:tc>
        <w:tc>
          <w:tcPr>
            <w:tcW w:w="0" w:type="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各1年</w:t>
            </w:r>
          </w:p>
        </w:tc>
        <w:tc>
          <w:tcPr>
            <w:tcW w:w="0" w:type="auto"/>
            <w:vAlign w:val="top"/>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验收合格之日起一年免费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restart"/>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717" w:type="dxa"/>
            <w:vMerge w:val="restart"/>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路桥区、天台县、仙居县</w:t>
            </w:r>
          </w:p>
        </w:tc>
        <w:tc>
          <w:tcPr>
            <w:tcW w:w="1573" w:type="dxa"/>
            <w:vMerge w:val="restart"/>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峰江（下里桥）、三条埠头、响岩、曹店、柴岭下</w:t>
            </w:r>
          </w:p>
        </w:tc>
        <w:tc>
          <w:tcPr>
            <w:tcW w:w="0" w:type="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五参数水质自动分析仪</w:t>
            </w:r>
          </w:p>
        </w:tc>
        <w:tc>
          <w:tcPr>
            <w:tcW w:w="0" w:type="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各1台</w:t>
            </w:r>
          </w:p>
        </w:tc>
        <w:tc>
          <w:tcPr>
            <w:tcW w:w="1870" w:type="dxa"/>
            <w:vMerge w:val="restart"/>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新建站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17"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573"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0" w:type="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高锰酸盐指数水质自动分析仪</w:t>
            </w:r>
          </w:p>
        </w:tc>
        <w:tc>
          <w:tcPr>
            <w:tcW w:w="0" w:type="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各1台</w:t>
            </w:r>
          </w:p>
        </w:tc>
        <w:tc>
          <w:tcPr>
            <w:tcW w:w="1870"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17"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573"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0" w:type="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氨氮水质自动分析仪</w:t>
            </w:r>
          </w:p>
        </w:tc>
        <w:tc>
          <w:tcPr>
            <w:tcW w:w="0" w:type="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各1台</w:t>
            </w:r>
          </w:p>
        </w:tc>
        <w:tc>
          <w:tcPr>
            <w:tcW w:w="1870"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17"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573"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0" w:type="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总磷水质自动分析仪</w:t>
            </w:r>
          </w:p>
        </w:tc>
        <w:tc>
          <w:tcPr>
            <w:tcW w:w="0" w:type="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各1台</w:t>
            </w:r>
          </w:p>
        </w:tc>
        <w:tc>
          <w:tcPr>
            <w:tcW w:w="1870"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17"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573"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0" w:type="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总氮水质自动分析仪</w:t>
            </w:r>
          </w:p>
        </w:tc>
        <w:tc>
          <w:tcPr>
            <w:tcW w:w="0" w:type="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各1台</w:t>
            </w:r>
          </w:p>
        </w:tc>
        <w:tc>
          <w:tcPr>
            <w:tcW w:w="1870"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50"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17"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573"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0" w:type="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新建集成系统</w:t>
            </w:r>
          </w:p>
        </w:tc>
        <w:tc>
          <w:tcPr>
            <w:tcW w:w="0" w:type="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各1套</w:t>
            </w:r>
          </w:p>
        </w:tc>
        <w:tc>
          <w:tcPr>
            <w:tcW w:w="1870"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7" w:hRule="atLeast"/>
          <w:jc w:val="center"/>
        </w:trPr>
        <w:tc>
          <w:tcPr>
            <w:tcW w:w="550"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17"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573"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0" w:type="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运行维护</w:t>
            </w:r>
          </w:p>
        </w:tc>
        <w:tc>
          <w:tcPr>
            <w:tcW w:w="0" w:type="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各1年</w:t>
            </w:r>
          </w:p>
        </w:tc>
        <w:tc>
          <w:tcPr>
            <w:tcW w:w="0" w:type="auto"/>
            <w:vAlign w:val="top"/>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验收合格之日起一年免费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7" w:hRule="atLeast"/>
          <w:jc w:val="center"/>
        </w:trPr>
        <w:tc>
          <w:tcPr>
            <w:tcW w:w="550"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17"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573" w:type="dxa"/>
            <w:vMerge w:val="continue"/>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6180" w:type="dxa"/>
            <w:gridSpan w:val="3"/>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定制预警模块，可实时接入台州市所有省控及以上环境质量自动监测数据，实现各监测站点定制化预警功能</w:t>
            </w:r>
          </w:p>
        </w:tc>
      </w:tr>
    </w:tbl>
    <w:p>
      <w:pPr>
        <w:pStyle w:val="25"/>
        <w:ind w:left="0" w:leftChars="0" w:firstLine="0" w:firstLineChars="0"/>
        <w:rPr>
          <w:rFonts w:hint="eastAsia" w:ascii="仿宋" w:hAnsi="仿宋" w:eastAsia="仿宋" w:cs="仿宋"/>
          <w:color w:val="auto"/>
          <w:lang w:eastAsia="zh-CN"/>
        </w:rPr>
      </w:pPr>
    </w:p>
    <w:p>
      <w:pPr>
        <w:keepNext w:val="0"/>
        <w:keepLines w:val="0"/>
        <w:pageBreakBefore w:val="0"/>
        <w:widowControl w:val="0"/>
        <w:tabs>
          <w:tab w:val="left" w:pos="8280"/>
        </w:tabs>
        <w:kinsoku/>
        <w:wordWrap/>
        <w:overflowPunct/>
        <w:topLinePunct w:val="0"/>
        <w:autoSpaceDE/>
        <w:autoSpaceDN/>
        <w:bidi w:val="0"/>
        <w:snapToGrid/>
        <w:spacing w:line="360" w:lineRule="auto"/>
        <w:ind w:right="25"/>
        <w:textAlignment w:val="auto"/>
        <w:outlineLvl w:val="1"/>
        <w:rPr>
          <w:rFonts w:hint="eastAsia" w:ascii="仿宋" w:hAnsi="仿宋" w:eastAsia="仿宋" w:cs="仿宋"/>
          <w:b/>
          <w:bCs/>
          <w:color w:val="auto"/>
          <w:kern w:val="0"/>
          <w:sz w:val="24"/>
        </w:rPr>
      </w:pPr>
      <w:r>
        <w:rPr>
          <w:rFonts w:hint="eastAsia" w:ascii="仿宋" w:hAnsi="仿宋" w:eastAsia="仿宋" w:cs="仿宋"/>
          <w:b/>
          <w:bCs/>
          <w:color w:val="auto"/>
          <w:kern w:val="0"/>
          <w:sz w:val="24"/>
        </w:rPr>
        <w:t>二、技术要求</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2.1、通用技术要求</w:t>
      </w:r>
    </w:p>
    <w:p>
      <w:pPr>
        <w:keepNext w:val="0"/>
        <w:keepLines w:val="0"/>
        <w:pageBreakBefore w:val="0"/>
        <w:widowControl w:val="0"/>
        <w:shd w:val="clear"/>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1、操作语言</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水质自动分析仪器和控制单元所有显示须为中文，符合《信息交换用汉字编码字符集》（GB2312－1980）。</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2、供电要求</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固定站设备的运行电压为：(220±22)V，交流频率为（50±0.5）Hz。</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所有设备的电源插头为中国制式A9120-9085-1。</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3、使用环境要求</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所有设备在温度5～45℃、相对湿度小于90%环境下能够正常运行。</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4、试剂供应</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（1）需提供仪器试剂配制方法，并提供试剂成分及纯度；</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（2）仪器所需试剂贮存于专用试剂瓶中，试剂保质期不低于一周；</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（3）仪器使用的实验用水、试剂、标准溶液均须达到《国家地表水环境质量监测网监测任务作业指导书》（试行）（中国环境出版社，2017）中质量保证要求。</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5、通讯协议要求</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投标人须承诺中标后按照采购人指定的传输协议要求，将所有监测数据传输至指定的平台，包括仪器的实时状态、关键参数和监测数据等。并向采购人提供所有仪器的底层通信协议。</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2.2、自动分析仪器技术要求 </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自动分析仪器均需满足如下要求：</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2.2.1、水质自动分析仪器基本要求</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（1）高锰酸盐指数、氨氮、总磷、总氮分析仪具有零点核查、量程核查及校零校标功能；</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（2）具有异常信息记录及上传功能，如零部件故障、超量程报警、超标报警、缺试剂报警等信息；</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（3）具有仪器状态(如测量、空闲、故障等)和关键参数显示及传输功能；</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（4）具有 RS-232或 RS-485或 RJ-45标准通讯接口；</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（5）具备 1小时 1次的监测能力</w:t>
      </w:r>
      <w:r>
        <w:rPr>
          <w:rFonts w:hint="eastAsia" w:ascii="仿宋" w:hAnsi="仿宋" w:eastAsia="仿宋" w:cs="仿宋"/>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rPr>
        <w:t>★</w:t>
      </w:r>
      <w:r>
        <w:rPr>
          <w:rFonts w:hint="eastAsia" w:ascii="仿宋" w:hAnsi="仿宋" w:eastAsia="仿宋" w:cs="仿宋"/>
          <w:color w:val="auto"/>
          <w:sz w:val="24"/>
          <w:szCs w:val="24"/>
          <w:highlight w:val="none"/>
        </w:rPr>
        <w:t>（6）五参数、高锰酸盐指数、氨氮、总磷、总氮分析仪为同一品牌。</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2.2.2、水质分析仪器技术要求</w:t>
      </w:r>
    </w:p>
    <w:p>
      <w:pPr>
        <w:pStyle w:val="63"/>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地表水自动监测技术规范》（HT915-2017）、《pH水质自动分析仪技术要求》（HJ/T96-2003）、《电导率水质自动分析仪技术要求》（HJ/T97-2003）、浊度水质自动分析仪技术要求》（HJ/T98-2003）、《溶解氧（DO）水质自动分析仪技术要求》（HJ/T99-2003）、《高锰酸盐指数水质自动分析仪技术要求》（HJ/T100-2003）、《氨氮水质自动分析仪技术要求》（HJ/T101-2019）、《总氮水质自动分析仪技术要求》（HJ/T102-2003）、《总磷水质自动分析仪技术要求》（HJ/T103-2003）等规范以及国家地表水自动监测仪器通信协议技术要求》和《国家地表水自动监测系统通信协议技术要求》相关技术文件，设立以下建设技术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2.2.3常规五参数水质自动分析仪</w:t>
      </w:r>
    </w:p>
    <w:p>
      <w:pPr>
        <w:keepNext w:val="0"/>
        <w:keepLines w:val="0"/>
        <w:pageBreakBefore w:val="0"/>
        <w:shd w:val="clear"/>
        <w:kinsoku/>
        <w:wordWrap/>
        <w:overflowPunct/>
        <w:bidi w:val="0"/>
        <w:snapToGrid w:val="0"/>
        <w:spacing w:line="360" w:lineRule="auto"/>
        <w:ind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水温水质自动分析仪</w:t>
      </w:r>
    </w:p>
    <w:tbl>
      <w:tblPr>
        <w:tblStyle w:val="64"/>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6"/>
        <w:gridCol w:w="5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786"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项目</w:t>
            </w:r>
          </w:p>
        </w:tc>
        <w:tc>
          <w:tcPr>
            <w:tcW w:w="5073"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786"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测定原理</w:t>
            </w:r>
          </w:p>
        </w:tc>
        <w:tc>
          <w:tcPr>
            <w:tcW w:w="5073"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热电阻或热电偶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786"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量程</w:t>
            </w:r>
          </w:p>
        </w:tc>
        <w:tc>
          <w:tcPr>
            <w:tcW w:w="5073"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0 ℃，可调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786"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准确度</w:t>
            </w:r>
          </w:p>
        </w:tc>
        <w:tc>
          <w:tcPr>
            <w:tcW w:w="5073"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786"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MTBF</w:t>
            </w:r>
          </w:p>
        </w:tc>
        <w:tc>
          <w:tcPr>
            <w:tcW w:w="5073"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≥720 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3786" w:type="dxa"/>
            <w:noWrap w:val="0"/>
            <w:vAlign w:val="center"/>
          </w:tcPr>
          <w:p>
            <w:pPr>
              <w:pStyle w:val="956"/>
              <w:keepNext w:val="0"/>
              <w:keepLines w:val="0"/>
              <w:pageBreakBefore w:val="0"/>
              <w:widowControl w:val="0"/>
              <w:shd w:val="clear"/>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适用性检测</w:t>
            </w:r>
          </w:p>
        </w:tc>
        <w:tc>
          <w:tcPr>
            <w:tcW w:w="5073" w:type="dxa"/>
            <w:noWrap w:val="0"/>
            <w:vAlign w:val="center"/>
          </w:tcPr>
          <w:p>
            <w:pPr>
              <w:pStyle w:val="956"/>
              <w:keepNext w:val="0"/>
              <w:keepLines w:val="0"/>
              <w:pageBreakBefore w:val="0"/>
              <w:widowControl w:val="0"/>
              <w:shd w:val="clear"/>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eastAsia="zh-CN"/>
              </w:rPr>
              <w:t>具有生态环境部环境监测仪器质量监督检验中心出具的在有效期内的检测合格报告</w:t>
            </w:r>
          </w:p>
        </w:tc>
      </w:tr>
    </w:tbl>
    <w:p>
      <w:pPr>
        <w:keepNext w:val="0"/>
        <w:keepLines w:val="0"/>
        <w:pageBreakBefore w:val="0"/>
        <w:shd w:val="clear"/>
        <w:kinsoku/>
        <w:wordWrap/>
        <w:overflowPunct/>
        <w:bidi w:val="0"/>
        <w:snapToGrid w:val="0"/>
        <w:spacing w:line="360" w:lineRule="auto"/>
        <w:ind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pH水质自动分析仪</w:t>
      </w:r>
    </w:p>
    <w:tbl>
      <w:tblPr>
        <w:tblStyle w:val="64"/>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9"/>
        <w:gridCol w:w="4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jc w:val="center"/>
        </w:trPr>
        <w:tc>
          <w:tcPr>
            <w:tcW w:w="3709"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项目</w:t>
            </w:r>
          </w:p>
        </w:tc>
        <w:tc>
          <w:tcPr>
            <w:tcW w:w="4970"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709"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测定原理</w:t>
            </w:r>
          </w:p>
        </w:tc>
        <w:tc>
          <w:tcPr>
            <w:tcW w:w="4970"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玻璃电极法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709"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量程</w:t>
            </w:r>
          </w:p>
        </w:tc>
        <w:tc>
          <w:tcPr>
            <w:tcW w:w="4970"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pH 0～14 （0～40 ℃），可调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709"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漂移（pH=4、7、9）</w:t>
            </w:r>
          </w:p>
        </w:tc>
        <w:tc>
          <w:tcPr>
            <w:tcW w:w="4970"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709"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重复性</w:t>
            </w:r>
          </w:p>
        </w:tc>
        <w:tc>
          <w:tcPr>
            <w:tcW w:w="4970"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709"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响应时间</w:t>
            </w:r>
          </w:p>
        </w:tc>
        <w:tc>
          <w:tcPr>
            <w:tcW w:w="4970"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709"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温度补偿精度</w:t>
            </w:r>
          </w:p>
        </w:tc>
        <w:tc>
          <w:tcPr>
            <w:tcW w:w="4970"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709"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实际水样比对实验</w:t>
            </w:r>
          </w:p>
        </w:tc>
        <w:tc>
          <w:tcPr>
            <w:tcW w:w="4970"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709"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防护等级</w:t>
            </w:r>
          </w:p>
        </w:tc>
        <w:tc>
          <w:tcPr>
            <w:tcW w:w="4970"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709"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MTBF</w:t>
            </w:r>
          </w:p>
        </w:tc>
        <w:tc>
          <w:tcPr>
            <w:tcW w:w="4970"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≥720 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3709" w:type="dxa"/>
            <w:noWrap w:val="0"/>
            <w:vAlign w:val="center"/>
          </w:tcPr>
          <w:p>
            <w:pPr>
              <w:pStyle w:val="956"/>
              <w:keepNext w:val="0"/>
              <w:keepLines w:val="0"/>
              <w:pageBreakBefore w:val="0"/>
              <w:widowControl w:val="0"/>
              <w:shd w:val="clear"/>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rPr>
              <w:t>适用性检测</w:t>
            </w:r>
          </w:p>
        </w:tc>
        <w:tc>
          <w:tcPr>
            <w:tcW w:w="4970" w:type="dxa"/>
            <w:noWrap w:val="0"/>
            <w:vAlign w:val="center"/>
          </w:tcPr>
          <w:p>
            <w:pPr>
              <w:pStyle w:val="956"/>
              <w:keepNext w:val="0"/>
              <w:keepLines w:val="0"/>
              <w:pageBreakBefore w:val="0"/>
              <w:widowControl w:val="0"/>
              <w:shd w:val="clear"/>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eastAsia="zh-CN"/>
              </w:rPr>
              <w:t>具有生态环境部环境监测仪器质量监督检验中心出具的在有效期内的检测合格报告</w:t>
            </w:r>
          </w:p>
        </w:tc>
      </w:tr>
    </w:tbl>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keepNext w:val="0"/>
        <w:keepLines w:val="0"/>
        <w:pageBreakBefore w:val="0"/>
        <w:shd w:val="clear"/>
        <w:kinsoku/>
        <w:wordWrap/>
        <w:overflowPunct/>
        <w:bidi w:val="0"/>
        <w:snapToGrid w:val="0"/>
        <w:spacing w:line="360" w:lineRule="auto"/>
        <w:ind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溶解氧水质自动分析仪</w:t>
      </w:r>
    </w:p>
    <w:p>
      <w:pPr>
        <w:pStyle w:val="63"/>
        <w:shd w:val="clear"/>
        <w:rPr>
          <w:rFonts w:hint="eastAsia" w:ascii="仿宋" w:hAnsi="仿宋" w:eastAsia="仿宋" w:cs="仿宋"/>
          <w:color w:val="auto"/>
          <w:highlight w:val="none"/>
        </w:rPr>
      </w:pPr>
    </w:p>
    <w:tbl>
      <w:tblPr>
        <w:tblStyle w:val="64"/>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5"/>
        <w:gridCol w:w="5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795"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项目</w:t>
            </w:r>
          </w:p>
        </w:tc>
        <w:tc>
          <w:tcPr>
            <w:tcW w:w="5084"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795"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测定原理</w:t>
            </w:r>
          </w:p>
        </w:tc>
        <w:tc>
          <w:tcPr>
            <w:tcW w:w="5084"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电化学法、荧光法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795"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量程</w:t>
            </w:r>
          </w:p>
        </w:tc>
        <w:tc>
          <w:tcPr>
            <w:tcW w:w="5084"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0～20 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795"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零点漂移</w:t>
            </w:r>
          </w:p>
        </w:tc>
        <w:tc>
          <w:tcPr>
            <w:tcW w:w="5084"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795"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量程漂移</w:t>
            </w:r>
          </w:p>
        </w:tc>
        <w:tc>
          <w:tcPr>
            <w:tcW w:w="5084"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795"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重复性</w:t>
            </w:r>
          </w:p>
        </w:tc>
        <w:tc>
          <w:tcPr>
            <w:tcW w:w="5084"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795"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响应时间（T</w:t>
            </w:r>
            <w:r>
              <w:rPr>
                <w:rFonts w:hint="eastAsia" w:ascii="仿宋" w:hAnsi="仿宋" w:eastAsia="仿宋" w:cs="仿宋"/>
                <w:color w:val="auto"/>
                <w:kern w:val="0"/>
                <w:sz w:val="24"/>
                <w:szCs w:val="24"/>
                <w:highlight w:val="none"/>
                <w:vertAlign w:val="subscript"/>
              </w:rPr>
              <w:t>90</w:t>
            </w:r>
            <w:r>
              <w:rPr>
                <w:rFonts w:hint="eastAsia" w:ascii="仿宋" w:hAnsi="仿宋" w:eastAsia="仿宋" w:cs="仿宋"/>
                <w:color w:val="auto"/>
                <w:kern w:val="0"/>
                <w:sz w:val="24"/>
                <w:szCs w:val="24"/>
                <w:highlight w:val="none"/>
              </w:rPr>
              <w:t>）</w:t>
            </w:r>
          </w:p>
        </w:tc>
        <w:tc>
          <w:tcPr>
            <w:tcW w:w="5084"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795"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温度补偿精度</w:t>
            </w:r>
          </w:p>
        </w:tc>
        <w:tc>
          <w:tcPr>
            <w:tcW w:w="5084"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795" w:type="dxa"/>
            <w:noWrap w:val="0"/>
            <w:vAlign w:val="top"/>
          </w:tcPr>
          <w:p>
            <w:pPr>
              <w:pStyle w:val="956"/>
              <w:shd w:val="clear"/>
              <w:spacing w:before="64"/>
              <w:ind w:left="602" w:leftChars="0"/>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zh-CN" w:bidi="ar-SA"/>
              </w:rPr>
              <w:t>实际水样比对试验</w:t>
            </w:r>
          </w:p>
        </w:tc>
        <w:tc>
          <w:tcPr>
            <w:tcW w:w="5084" w:type="dxa"/>
            <w:noWrap w:val="0"/>
            <w:vAlign w:val="top"/>
          </w:tcPr>
          <w:p>
            <w:pPr>
              <w:pStyle w:val="956"/>
              <w:shd w:val="clear"/>
              <w:spacing w:before="111"/>
              <w:ind w:left="3" w:leftChars="0"/>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zh-CN" w:bidi="ar-SA"/>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795"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防护等级</w:t>
            </w:r>
          </w:p>
        </w:tc>
        <w:tc>
          <w:tcPr>
            <w:tcW w:w="5084"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795"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MTBF</w:t>
            </w:r>
          </w:p>
        </w:tc>
        <w:tc>
          <w:tcPr>
            <w:tcW w:w="5084"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≥720 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795" w:type="dxa"/>
            <w:noWrap w:val="0"/>
            <w:vAlign w:val="center"/>
          </w:tcPr>
          <w:p>
            <w:pPr>
              <w:pStyle w:val="956"/>
              <w:keepNext w:val="0"/>
              <w:keepLines w:val="0"/>
              <w:pageBreakBefore w:val="0"/>
              <w:widowControl w:val="0"/>
              <w:shd w:val="clear"/>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rPr>
              <w:t>适用性检测</w:t>
            </w:r>
          </w:p>
        </w:tc>
        <w:tc>
          <w:tcPr>
            <w:tcW w:w="5084" w:type="dxa"/>
            <w:noWrap w:val="0"/>
            <w:vAlign w:val="center"/>
          </w:tcPr>
          <w:p>
            <w:pPr>
              <w:pStyle w:val="956"/>
              <w:keepNext w:val="0"/>
              <w:keepLines w:val="0"/>
              <w:pageBreakBefore w:val="0"/>
              <w:widowControl w:val="0"/>
              <w:shd w:val="clear"/>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eastAsia="zh-CN"/>
              </w:rPr>
              <w:t>具有生态环境部环境监测仪器质量监督检验中心出具的在有效期内的检测合格报告</w:t>
            </w:r>
          </w:p>
        </w:tc>
      </w:tr>
    </w:tbl>
    <w:p>
      <w:pPr>
        <w:keepNext w:val="0"/>
        <w:keepLines w:val="0"/>
        <w:pageBreakBefore w:val="0"/>
        <w:shd w:val="clear"/>
        <w:kinsoku/>
        <w:wordWrap/>
        <w:overflowPunct/>
        <w:bidi w:val="0"/>
        <w:snapToGrid w:val="0"/>
        <w:spacing w:line="360" w:lineRule="auto"/>
        <w:ind w:firstLine="482" w:firstLineChars="200"/>
        <w:jc w:val="center"/>
        <w:rPr>
          <w:rFonts w:hint="eastAsia" w:ascii="仿宋" w:hAnsi="仿宋" w:eastAsia="仿宋" w:cs="仿宋"/>
          <w:b/>
          <w:bCs/>
          <w:color w:val="auto"/>
          <w:sz w:val="24"/>
          <w:szCs w:val="24"/>
          <w:highlight w:val="none"/>
          <w:lang w:eastAsia="zh-CN"/>
        </w:rPr>
      </w:pPr>
    </w:p>
    <w:p>
      <w:pPr>
        <w:keepNext w:val="0"/>
        <w:keepLines w:val="0"/>
        <w:pageBreakBefore w:val="0"/>
        <w:shd w:val="clear"/>
        <w:kinsoku/>
        <w:wordWrap/>
        <w:overflowPunct/>
        <w:bidi w:val="0"/>
        <w:snapToGrid w:val="0"/>
        <w:spacing w:line="360" w:lineRule="auto"/>
        <w:ind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电导率水质自动分析仪</w:t>
      </w:r>
    </w:p>
    <w:tbl>
      <w:tblPr>
        <w:tblStyle w:val="64"/>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7"/>
        <w:gridCol w:w="5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837"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项目</w:t>
            </w:r>
          </w:p>
        </w:tc>
        <w:tc>
          <w:tcPr>
            <w:tcW w:w="5102"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837"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测定原理</w:t>
            </w:r>
          </w:p>
        </w:tc>
        <w:tc>
          <w:tcPr>
            <w:tcW w:w="5102"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837"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最小检测范围</w:t>
            </w:r>
          </w:p>
        </w:tc>
        <w:tc>
          <w:tcPr>
            <w:tcW w:w="5102"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0～500 mS/m（0～40℃），可调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837"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重复性误差</w:t>
            </w:r>
          </w:p>
        </w:tc>
        <w:tc>
          <w:tcPr>
            <w:tcW w:w="5102"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837"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零点漂移</w:t>
            </w:r>
          </w:p>
        </w:tc>
        <w:tc>
          <w:tcPr>
            <w:tcW w:w="5102"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837"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量程漂移</w:t>
            </w:r>
          </w:p>
        </w:tc>
        <w:tc>
          <w:tcPr>
            <w:tcW w:w="5102"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837"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响应时间（T</w:t>
            </w:r>
            <w:r>
              <w:rPr>
                <w:rFonts w:hint="eastAsia" w:ascii="仿宋" w:hAnsi="仿宋" w:eastAsia="仿宋" w:cs="仿宋"/>
                <w:color w:val="auto"/>
                <w:kern w:val="0"/>
                <w:sz w:val="24"/>
                <w:szCs w:val="24"/>
                <w:highlight w:val="none"/>
                <w:vertAlign w:val="subscript"/>
              </w:rPr>
              <w:t>90</w:t>
            </w:r>
            <w:r>
              <w:rPr>
                <w:rFonts w:hint="eastAsia" w:ascii="仿宋" w:hAnsi="仿宋" w:eastAsia="仿宋" w:cs="仿宋"/>
                <w:color w:val="auto"/>
                <w:kern w:val="0"/>
                <w:sz w:val="24"/>
                <w:szCs w:val="24"/>
                <w:highlight w:val="none"/>
              </w:rPr>
              <w:t>）</w:t>
            </w:r>
          </w:p>
        </w:tc>
        <w:tc>
          <w:tcPr>
            <w:tcW w:w="5102"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837"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温度补偿精度</w:t>
            </w:r>
          </w:p>
        </w:tc>
        <w:tc>
          <w:tcPr>
            <w:tcW w:w="5102"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837" w:type="dxa"/>
            <w:noWrap w:val="0"/>
            <w:vAlign w:val="top"/>
          </w:tcPr>
          <w:p>
            <w:pPr>
              <w:pStyle w:val="956"/>
              <w:shd w:val="clear"/>
              <w:spacing w:before="64"/>
              <w:ind w:left="467" w:leftChars="0" w:firstLine="240" w:firstLineChars="1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实际水样比对试验</w:t>
            </w:r>
          </w:p>
        </w:tc>
        <w:tc>
          <w:tcPr>
            <w:tcW w:w="5102" w:type="dxa"/>
            <w:noWrap w:val="0"/>
            <w:vAlign w:val="top"/>
          </w:tcPr>
          <w:p>
            <w:pPr>
              <w:pStyle w:val="956"/>
              <w:shd w:val="clear"/>
              <w:spacing w:before="1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837"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防护等级</w:t>
            </w:r>
          </w:p>
        </w:tc>
        <w:tc>
          <w:tcPr>
            <w:tcW w:w="5102"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837"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MTBF</w:t>
            </w:r>
          </w:p>
        </w:tc>
        <w:tc>
          <w:tcPr>
            <w:tcW w:w="5102"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≥720 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3837" w:type="dxa"/>
            <w:noWrap w:val="0"/>
            <w:vAlign w:val="center"/>
          </w:tcPr>
          <w:p>
            <w:pPr>
              <w:pStyle w:val="956"/>
              <w:keepNext w:val="0"/>
              <w:keepLines w:val="0"/>
              <w:pageBreakBefore w:val="0"/>
              <w:widowControl w:val="0"/>
              <w:shd w:val="clear"/>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rPr>
              <w:t>适用性检测</w:t>
            </w:r>
          </w:p>
        </w:tc>
        <w:tc>
          <w:tcPr>
            <w:tcW w:w="5102" w:type="dxa"/>
            <w:noWrap w:val="0"/>
            <w:vAlign w:val="center"/>
          </w:tcPr>
          <w:p>
            <w:pPr>
              <w:pStyle w:val="956"/>
              <w:keepNext w:val="0"/>
              <w:keepLines w:val="0"/>
              <w:pageBreakBefore w:val="0"/>
              <w:widowControl w:val="0"/>
              <w:shd w:val="clear"/>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eastAsia="zh-CN"/>
              </w:rPr>
              <w:t>具有生态环境部环境监测仪器质量监督检验中心出具的在有效期内的检测合格报告</w:t>
            </w:r>
          </w:p>
        </w:tc>
      </w:tr>
    </w:tbl>
    <w:p>
      <w:pPr>
        <w:keepNext w:val="0"/>
        <w:keepLines w:val="0"/>
        <w:pageBreakBefore w:val="0"/>
        <w:shd w:val="clear"/>
        <w:kinsoku/>
        <w:wordWrap/>
        <w:overflowPunct/>
        <w:bidi w:val="0"/>
        <w:snapToGrid w:val="0"/>
        <w:spacing w:line="360" w:lineRule="auto"/>
        <w:ind w:firstLine="482" w:firstLineChars="200"/>
        <w:jc w:val="center"/>
        <w:rPr>
          <w:rFonts w:hint="eastAsia" w:ascii="仿宋" w:hAnsi="仿宋" w:eastAsia="仿宋" w:cs="仿宋"/>
          <w:b/>
          <w:bCs/>
          <w:color w:val="auto"/>
          <w:sz w:val="24"/>
          <w:szCs w:val="24"/>
          <w:highlight w:val="none"/>
        </w:rPr>
      </w:pPr>
    </w:p>
    <w:p>
      <w:pPr>
        <w:keepNext w:val="0"/>
        <w:keepLines w:val="0"/>
        <w:pageBreakBefore w:val="0"/>
        <w:shd w:val="clear"/>
        <w:kinsoku/>
        <w:wordWrap/>
        <w:overflowPunct/>
        <w:bidi w:val="0"/>
        <w:snapToGrid w:val="0"/>
        <w:spacing w:line="360" w:lineRule="auto"/>
        <w:ind w:firstLine="482" w:firstLineChars="200"/>
        <w:jc w:val="center"/>
        <w:rPr>
          <w:rFonts w:hint="eastAsia" w:ascii="仿宋" w:hAnsi="仿宋" w:eastAsia="仿宋" w:cs="仿宋"/>
          <w:color w:val="auto"/>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浊度水质自动分析仪</w:t>
      </w:r>
    </w:p>
    <w:tbl>
      <w:tblPr>
        <w:tblStyle w:val="6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3"/>
        <w:gridCol w:w="5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3863"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项目</w:t>
            </w:r>
          </w:p>
        </w:tc>
        <w:tc>
          <w:tcPr>
            <w:tcW w:w="5096"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863"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测定原理</w:t>
            </w:r>
          </w:p>
        </w:tc>
        <w:tc>
          <w:tcPr>
            <w:tcW w:w="5096"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光散射法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863"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量程</w:t>
            </w:r>
          </w:p>
        </w:tc>
        <w:tc>
          <w:tcPr>
            <w:tcW w:w="5096"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0～1000NTU，可调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863"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重复性</w:t>
            </w:r>
          </w:p>
        </w:tc>
        <w:tc>
          <w:tcPr>
            <w:tcW w:w="5096"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863"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零点漂移</w:t>
            </w:r>
          </w:p>
        </w:tc>
        <w:tc>
          <w:tcPr>
            <w:tcW w:w="5096"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863"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量程漂移</w:t>
            </w:r>
          </w:p>
        </w:tc>
        <w:tc>
          <w:tcPr>
            <w:tcW w:w="5096"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863"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线性误差</w:t>
            </w:r>
          </w:p>
        </w:tc>
        <w:tc>
          <w:tcPr>
            <w:tcW w:w="5096"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863" w:type="dxa"/>
            <w:noWrap w:val="0"/>
            <w:vAlign w:val="top"/>
          </w:tcPr>
          <w:p>
            <w:pPr>
              <w:pStyle w:val="956"/>
              <w:shd w:val="clear"/>
              <w:spacing w:before="64"/>
              <w:ind w:left="530" w:lef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实际水样比对试验</w:t>
            </w:r>
          </w:p>
        </w:tc>
        <w:tc>
          <w:tcPr>
            <w:tcW w:w="5096" w:type="dxa"/>
            <w:noWrap w:val="0"/>
            <w:vAlign w:val="top"/>
          </w:tcPr>
          <w:p>
            <w:pPr>
              <w:pStyle w:val="956"/>
              <w:shd w:val="clear"/>
              <w:spacing w:before="111"/>
              <w:ind w:left="5"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863"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防护等级</w:t>
            </w:r>
          </w:p>
        </w:tc>
        <w:tc>
          <w:tcPr>
            <w:tcW w:w="5096"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863"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MTBF</w:t>
            </w:r>
          </w:p>
        </w:tc>
        <w:tc>
          <w:tcPr>
            <w:tcW w:w="5096"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≥720 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3863" w:type="dxa"/>
            <w:noWrap w:val="0"/>
            <w:vAlign w:val="center"/>
          </w:tcPr>
          <w:p>
            <w:pPr>
              <w:pStyle w:val="956"/>
              <w:keepNext w:val="0"/>
              <w:keepLines w:val="0"/>
              <w:pageBreakBefore w:val="0"/>
              <w:widowControl w:val="0"/>
              <w:shd w:val="clear"/>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rPr>
              <w:t>适用性检测</w:t>
            </w:r>
          </w:p>
        </w:tc>
        <w:tc>
          <w:tcPr>
            <w:tcW w:w="5096" w:type="dxa"/>
            <w:noWrap w:val="0"/>
            <w:vAlign w:val="center"/>
          </w:tcPr>
          <w:p>
            <w:pPr>
              <w:pStyle w:val="956"/>
              <w:keepNext w:val="0"/>
              <w:keepLines w:val="0"/>
              <w:pageBreakBefore w:val="0"/>
              <w:widowControl w:val="0"/>
              <w:shd w:val="clear"/>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eastAsia="zh-CN"/>
              </w:rPr>
              <w:t>具有生态环境部环境监测仪器质量监督检验中心出具的在有效期内的检测合格报告</w:t>
            </w:r>
          </w:p>
        </w:tc>
      </w:tr>
    </w:tbl>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24"/>
          <w:szCs w:val="24"/>
          <w:highlight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2.2.4氨氮水质自动分析仪</w:t>
      </w:r>
    </w:p>
    <w:tbl>
      <w:tblPr>
        <w:tblStyle w:val="64"/>
        <w:tblW w:w="8739" w:type="dxa"/>
        <w:jc w:val="center"/>
        <w:tblLayout w:type="fixed"/>
        <w:tblCellMar>
          <w:top w:w="0" w:type="dxa"/>
          <w:left w:w="0" w:type="dxa"/>
          <w:bottom w:w="0" w:type="dxa"/>
          <w:right w:w="0" w:type="dxa"/>
        </w:tblCellMar>
      </w:tblPr>
      <w:tblGrid>
        <w:gridCol w:w="2080"/>
        <w:gridCol w:w="4748"/>
        <w:gridCol w:w="1911"/>
      </w:tblGrid>
      <w:tr>
        <w:trPr>
          <w:trHeight w:val="518" w:hRule="atLeast"/>
          <w:jc w:val="center"/>
        </w:trPr>
        <w:tc>
          <w:tcPr>
            <w:tcW w:w="2080"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项目</w:t>
            </w:r>
          </w:p>
        </w:tc>
        <w:tc>
          <w:tcPr>
            <w:tcW w:w="6659" w:type="dxa"/>
            <w:gridSpan w:val="2"/>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技术指标</w:t>
            </w:r>
          </w:p>
        </w:tc>
      </w:tr>
      <w:tr>
        <w:tblPrEx>
          <w:tblCellMar>
            <w:top w:w="0" w:type="dxa"/>
            <w:left w:w="0" w:type="dxa"/>
            <w:bottom w:w="0" w:type="dxa"/>
            <w:right w:w="0" w:type="dxa"/>
          </w:tblCellMar>
        </w:tblPrEx>
        <w:trPr>
          <w:trHeight w:val="518" w:hRule="atLeast"/>
          <w:jc w:val="center"/>
        </w:trPr>
        <w:tc>
          <w:tcPr>
            <w:tcW w:w="2080"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color w:val="auto"/>
                <w:kern w:val="2"/>
                <w:sz w:val="24"/>
                <w:szCs w:val="24"/>
                <w:highlight w:val="none"/>
              </w:rPr>
              <w:t>测定原理</w:t>
            </w:r>
          </w:p>
        </w:tc>
        <w:tc>
          <w:tcPr>
            <w:tcW w:w="665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56"/>
              <w:keepNext w:val="0"/>
              <w:keepLines w:val="0"/>
              <w:pageBreakBefore w:val="0"/>
              <w:widowControl w:val="0"/>
              <w:shd w:val="clear"/>
              <w:kinsoku/>
              <w:wordWrap/>
              <w:overflowPunct/>
              <w:topLinePunct w:val="0"/>
              <w:autoSpaceDE/>
              <w:autoSpaceDN/>
              <w:bidi w:val="0"/>
              <w:adjustRightInd w:val="0"/>
              <w:snapToGrid w:val="0"/>
              <w:spacing w:line="360" w:lineRule="auto"/>
              <w:ind w:left="0" w:right="0"/>
              <w:jc w:val="both"/>
              <w:textAlignment w:val="auto"/>
              <w:rPr>
                <w:rFonts w:hint="eastAsia" w:ascii="仿宋" w:hAnsi="仿宋" w:eastAsia="仿宋" w:cs="仿宋"/>
                <w:b/>
                <w:bCs/>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纳氏试剂分光光度法、水杨酸分光光度法、氨气敏电极法</w:t>
            </w:r>
          </w:p>
        </w:tc>
      </w:tr>
      <w:tr>
        <w:tblPrEx>
          <w:tblCellMar>
            <w:top w:w="0" w:type="dxa"/>
            <w:left w:w="0" w:type="dxa"/>
            <w:bottom w:w="0" w:type="dxa"/>
            <w:right w:w="0" w:type="dxa"/>
          </w:tblCellMar>
        </w:tblPrEx>
        <w:trPr>
          <w:trHeight w:val="518" w:hRule="atLeast"/>
          <w:jc w:val="center"/>
        </w:trPr>
        <w:tc>
          <w:tcPr>
            <w:tcW w:w="2080"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color w:val="auto"/>
                <w:kern w:val="2"/>
                <w:sz w:val="24"/>
                <w:szCs w:val="24"/>
                <w:highlight w:val="none"/>
              </w:rPr>
              <w:t>量程</w:t>
            </w:r>
          </w:p>
        </w:tc>
        <w:tc>
          <w:tcPr>
            <w:tcW w:w="6659" w:type="dxa"/>
            <w:gridSpan w:val="2"/>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color w:val="auto"/>
                <w:kern w:val="2"/>
                <w:sz w:val="24"/>
                <w:szCs w:val="24"/>
                <w:highlight w:val="none"/>
              </w:rPr>
              <w:t>0～10</w:t>
            </w:r>
            <w:r>
              <w:rPr>
                <w:rFonts w:hint="eastAsia" w:ascii="仿宋" w:hAnsi="仿宋" w:eastAsia="仿宋" w:cs="仿宋"/>
                <w:color w:val="auto"/>
                <w:spacing w:val="-2"/>
                <w:kern w:val="2"/>
                <w:sz w:val="24"/>
                <w:szCs w:val="24"/>
                <w:highlight w:val="none"/>
              </w:rPr>
              <w:t xml:space="preserve"> </w:t>
            </w:r>
            <w:r>
              <w:rPr>
                <w:rFonts w:hint="eastAsia" w:ascii="仿宋" w:hAnsi="仿宋" w:eastAsia="仿宋" w:cs="仿宋"/>
                <w:color w:val="auto"/>
                <w:kern w:val="2"/>
                <w:sz w:val="24"/>
                <w:szCs w:val="24"/>
                <w:highlight w:val="none"/>
              </w:rPr>
              <w:t>mg/L，可调</w:t>
            </w:r>
          </w:p>
        </w:tc>
      </w:tr>
      <w:tr>
        <w:tblPrEx>
          <w:tblCellMar>
            <w:top w:w="0" w:type="dxa"/>
            <w:left w:w="0" w:type="dxa"/>
            <w:bottom w:w="0" w:type="dxa"/>
            <w:right w:w="0" w:type="dxa"/>
          </w:tblCellMar>
        </w:tblPrEx>
        <w:trPr>
          <w:trHeight w:val="518" w:hRule="atLeast"/>
          <w:jc w:val="center"/>
        </w:trPr>
        <w:tc>
          <w:tcPr>
            <w:tcW w:w="2080"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零点漂移</w:t>
            </w:r>
          </w:p>
        </w:tc>
        <w:tc>
          <w:tcPr>
            <w:tcW w:w="6659" w:type="dxa"/>
            <w:gridSpan w:val="2"/>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≤0.02</w:t>
            </w:r>
            <w:r>
              <w:rPr>
                <w:rFonts w:hint="eastAsia" w:ascii="仿宋" w:hAnsi="仿宋" w:eastAsia="仿宋" w:cs="仿宋"/>
                <w:color w:val="auto"/>
                <w:spacing w:val="1"/>
                <w:kern w:val="2"/>
                <w:sz w:val="24"/>
                <w:szCs w:val="24"/>
                <w:highlight w:val="none"/>
              </w:rPr>
              <w:t xml:space="preserve"> </w:t>
            </w:r>
            <w:r>
              <w:rPr>
                <w:rFonts w:hint="eastAsia" w:ascii="仿宋" w:hAnsi="仿宋" w:eastAsia="仿宋" w:cs="仿宋"/>
                <w:color w:val="auto"/>
                <w:kern w:val="2"/>
                <w:sz w:val="24"/>
                <w:szCs w:val="24"/>
                <w:highlight w:val="none"/>
              </w:rPr>
              <w:t>mg/L</w:t>
            </w:r>
          </w:p>
        </w:tc>
      </w:tr>
      <w:tr>
        <w:tblPrEx>
          <w:tblCellMar>
            <w:top w:w="0" w:type="dxa"/>
            <w:left w:w="0" w:type="dxa"/>
            <w:bottom w:w="0" w:type="dxa"/>
            <w:right w:w="0" w:type="dxa"/>
          </w:tblCellMar>
        </w:tblPrEx>
        <w:trPr>
          <w:trHeight w:val="518" w:hRule="atLeast"/>
          <w:jc w:val="center"/>
        </w:trPr>
        <w:tc>
          <w:tcPr>
            <w:tcW w:w="2080"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量程漂移</w:t>
            </w:r>
          </w:p>
        </w:tc>
        <w:tc>
          <w:tcPr>
            <w:tcW w:w="6659" w:type="dxa"/>
            <w:gridSpan w:val="2"/>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≤1.0%</w:t>
            </w:r>
          </w:p>
        </w:tc>
      </w:tr>
      <w:tr>
        <w:tblPrEx>
          <w:tblCellMar>
            <w:top w:w="0" w:type="dxa"/>
            <w:left w:w="0" w:type="dxa"/>
            <w:bottom w:w="0" w:type="dxa"/>
            <w:right w:w="0" w:type="dxa"/>
          </w:tblCellMar>
        </w:tblPrEx>
        <w:trPr>
          <w:trHeight w:val="518" w:hRule="atLeast"/>
          <w:jc w:val="center"/>
        </w:trPr>
        <w:tc>
          <w:tcPr>
            <w:tcW w:w="2080" w:type="dxa"/>
            <w:vMerge w:val="restart"/>
            <w:tcBorders>
              <w:top w:val="single" w:color="000000" w:sz="4" w:space="0"/>
              <w:left w:val="single" w:color="000000" w:sz="4" w:space="0"/>
              <w:right w:val="single" w:color="000000" w:sz="4" w:space="0"/>
            </w:tcBorders>
            <w:noWrap w:val="0"/>
            <w:vAlign w:val="center"/>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示值误差</w:t>
            </w:r>
          </w:p>
        </w:tc>
        <w:tc>
          <w:tcPr>
            <w:tcW w:w="4748"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标液浓度为</w:t>
            </w:r>
            <w:r>
              <w:rPr>
                <w:rFonts w:hint="eastAsia" w:ascii="仿宋" w:hAnsi="仿宋" w:eastAsia="仿宋" w:cs="仿宋"/>
                <w:color w:val="auto"/>
                <w:spacing w:val="-53"/>
                <w:kern w:val="2"/>
                <w:sz w:val="24"/>
                <w:szCs w:val="24"/>
                <w:highlight w:val="none"/>
              </w:rPr>
              <w:t xml:space="preserve"> </w:t>
            </w:r>
            <w:r>
              <w:rPr>
                <w:rFonts w:hint="eastAsia" w:ascii="仿宋" w:hAnsi="仿宋" w:eastAsia="仿宋" w:cs="仿宋"/>
                <w:color w:val="auto"/>
                <w:kern w:val="2"/>
                <w:sz w:val="24"/>
                <w:szCs w:val="24"/>
                <w:highlight w:val="none"/>
              </w:rPr>
              <w:t>2.0</w:t>
            </w:r>
            <w:r>
              <w:rPr>
                <w:rFonts w:hint="eastAsia" w:ascii="仿宋" w:hAnsi="仿宋" w:eastAsia="仿宋" w:cs="仿宋"/>
                <w:color w:val="auto"/>
                <w:spacing w:val="-1"/>
                <w:kern w:val="2"/>
                <w:sz w:val="24"/>
                <w:szCs w:val="24"/>
                <w:highlight w:val="none"/>
              </w:rPr>
              <w:t xml:space="preserve"> </w:t>
            </w:r>
            <w:r>
              <w:rPr>
                <w:rFonts w:hint="eastAsia" w:ascii="仿宋" w:hAnsi="仿宋" w:eastAsia="仿宋" w:cs="仿宋"/>
                <w:color w:val="auto"/>
                <w:kern w:val="2"/>
                <w:sz w:val="24"/>
                <w:szCs w:val="24"/>
                <w:highlight w:val="none"/>
              </w:rPr>
              <w:t>mg/L</w:t>
            </w:r>
            <w:r>
              <w:rPr>
                <w:rFonts w:hint="eastAsia" w:ascii="仿宋" w:hAnsi="仿宋" w:eastAsia="仿宋" w:cs="仿宋"/>
                <w:color w:val="auto"/>
                <w:spacing w:val="-5"/>
                <w:kern w:val="2"/>
                <w:sz w:val="24"/>
                <w:szCs w:val="24"/>
                <w:highlight w:val="none"/>
              </w:rPr>
              <w:t xml:space="preserve"> </w:t>
            </w:r>
            <w:r>
              <w:rPr>
                <w:rFonts w:hint="eastAsia" w:ascii="仿宋" w:hAnsi="仿宋" w:eastAsia="仿宋" w:cs="仿宋"/>
                <w:color w:val="auto"/>
                <w:kern w:val="2"/>
                <w:sz w:val="24"/>
                <w:szCs w:val="24"/>
                <w:highlight w:val="none"/>
              </w:rPr>
              <w:t>时</w:t>
            </w:r>
          </w:p>
        </w:tc>
        <w:tc>
          <w:tcPr>
            <w:tcW w:w="1911"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8.0%</w:t>
            </w:r>
          </w:p>
        </w:tc>
      </w:tr>
      <w:tr>
        <w:tblPrEx>
          <w:tblCellMar>
            <w:top w:w="0" w:type="dxa"/>
            <w:left w:w="0" w:type="dxa"/>
            <w:bottom w:w="0" w:type="dxa"/>
            <w:right w:w="0" w:type="dxa"/>
          </w:tblCellMar>
        </w:tblPrEx>
        <w:trPr>
          <w:trHeight w:val="518" w:hRule="atLeast"/>
          <w:jc w:val="center"/>
        </w:trPr>
        <w:tc>
          <w:tcPr>
            <w:tcW w:w="2080" w:type="dxa"/>
            <w:vMerge w:val="continue"/>
            <w:tcBorders>
              <w:left w:val="single" w:color="000000" w:sz="4" w:space="0"/>
              <w:right w:val="single" w:color="000000" w:sz="4" w:space="0"/>
            </w:tcBorders>
            <w:noWrap w:val="0"/>
            <w:vAlign w:val="top"/>
          </w:tcPr>
          <w:p>
            <w:pPr>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仿宋" w:hAnsi="仿宋" w:eastAsia="仿宋" w:cs="仿宋"/>
                <w:color w:val="auto"/>
                <w:sz w:val="24"/>
                <w:szCs w:val="24"/>
                <w:highlight w:val="none"/>
              </w:rPr>
            </w:pPr>
          </w:p>
        </w:tc>
        <w:tc>
          <w:tcPr>
            <w:tcW w:w="4748"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标液浓度为</w:t>
            </w:r>
            <w:r>
              <w:rPr>
                <w:rFonts w:hint="eastAsia" w:ascii="仿宋" w:hAnsi="仿宋" w:eastAsia="仿宋" w:cs="仿宋"/>
                <w:color w:val="auto"/>
                <w:spacing w:val="-53"/>
                <w:kern w:val="2"/>
                <w:sz w:val="24"/>
                <w:szCs w:val="24"/>
                <w:highlight w:val="none"/>
              </w:rPr>
              <w:t xml:space="preserve"> </w:t>
            </w:r>
            <w:r>
              <w:rPr>
                <w:rFonts w:hint="eastAsia" w:ascii="仿宋" w:hAnsi="仿宋" w:eastAsia="仿宋" w:cs="仿宋"/>
                <w:color w:val="auto"/>
                <w:kern w:val="2"/>
                <w:sz w:val="24"/>
                <w:szCs w:val="24"/>
                <w:highlight w:val="none"/>
              </w:rPr>
              <w:t>5.0</w:t>
            </w:r>
            <w:r>
              <w:rPr>
                <w:rFonts w:hint="eastAsia" w:ascii="仿宋" w:hAnsi="仿宋" w:eastAsia="仿宋" w:cs="仿宋"/>
                <w:color w:val="auto"/>
                <w:spacing w:val="-1"/>
                <w:kern w:val="2"/>
                <w:sz w:val="24"/>
                <w:szCs w:val="24"/>
                <w:highlight w:val="none"/>
              </w:rPr>
              <w:t xml:space="preserve"> </w:t>
            </w:r>
            <w:r>
              <w:rPr>
                <w:rFonts w:hint="eastAsia" w:ascii="仿宋" w:hAnsi="仿宋" w:eastAsia="仿宋" w:cs="仿宋"/>
                <w:color w:val="auto"/>
                <w:kern w:val="2"/>
                <w:sz w:val="24"/>
                <w:szCs w:val="24"/>
                <w:highlight w:val="none"/>
              </w:rPr>
              <w:t>mg/L</w:t>
            </w:r>
            <w:r>
              <w:rPr>
                <w:rFonts w:hint="eastAsia" w:ascii="仿宋" w:hAnsi="仿宋" w:eastAsia="仿宋" w:cs="仿宋"/>
                <w:color w:val="auto"/>
                <w:spacing w:val="-5"/>
                <w:kern w:val="2"/>
                <w:sz w:val="24"/>
                <w:szCs w:val="24"/>
                <w:highlight w:val="none"/>
              </w:rPr>
              <w:t xml:space="preserve"> </w:t>
            </w:r>
            <w:r>
              <w:rPr>
                <w:rFonts w:hint="eastAsia" w:ascii="仿宋" w:hAnsi="仿宋" w:eastAsia="仿宋" w:cs="仿宋"/>
                <w:color w:val="auto"/>
                <w:kern w:val="2"/>
                <w:sz w:val="24"/>
                <w:szCs w:val="24"/>
                <w:highlight w:val="none"/>
              </w:rPr>
              <w:t>时</w:t>
            </w:r>
          </w:p>
        </w:tc>
        <w:tc>
          <w:tcPr>
            <w:tcW w:w="1911"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5.0%</w:t>
            </w:r>
          </w:p>
        </w:tc>
      </w:tr>
      <w:tr>
        <w:tblPrEx>
          <w:tblCellMar>
            <w:top w:w="0" w:type="dxa"/>
            <w:left w:w="0" w:type="dxa"/>
            <w:bottom w:w="0" w:type="dxa"/>
            <w:right w:w="0" w:type="dxa"/>
          </w:tblCellMar>
        </w:tblPrEx>
        <w:trPr>
          <w:trHeight w:val="518" w:hRule="atLeast"/>
          <w:jc w:val="center"/>
        </w:trPr>
        <w:tc>
          <w:tcPr>
            <w:tcW w:w="2080" w:type="dxa"/>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仿宋" w:hAnsi="仿宋" w:eastAsia="仿宋" w:cs="仿宋"/>
                <w:color w:val="auto"/>
                <w:sz w:val="24"/>
                <w:szCs w:val="24"/>
                <w:highlight w:val="none"/>
              </w:rPr>
            </w:pPr>
          </w:p>
        </w:tc>
        <w:tc>
          <w:tcPr>
            <w:tcW w:w="4748"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标液浓度为</w:t>
            </w:r>
            <w:r>
              <w:rPr>
                <w:rFonts w:hint="eastAsia" w:ascii="仿宋" w:hAnsi="仿宋" w:eastAsia="仿宋" w:cs="仿宋"/>
                <w:color w:val="auto"/>
                <w:spacing w:val="-53"/>
                <w:kern w:val="2"/>
                <w:sz w:val="24"/>
                <w:szCs w:val="24"/>
                <w:highlight w:val="none"/>
              </w:rPr>
              <w:t xml:space="preserve"> </w:t>
            </w:r>
            <w:r>
              <w:rPr>
                <w:rFonts w:hint="eastAsia" w:ascii="仿宋" w:hAnsi="仿宋" w:eastAsia="仿宋" w:cs="仿宋"/>
                <w:color w:val="auto"/>
                <w:kern w:val="2"/>
                <w:sz w:val="24"/>
                <w:szCs w:val="24"/>
                <w:highlight w:val="none"/>
              </w:rPr>
              <w:t>8.0</w:t>
            </w:r>
            <w:r>
              <w:rPr>
                <w:rFonts w:hint="eastAsia" w:ascii="仿宋" w:hAnsi="仿宋" w:eastAsia="仿宋" w:cs="仿宋"/>
                <w:color w:val="auto"/>
                <w:spacing w:val="-1"/>
                <w:kern w:val="2"/>
                <w:sz w:val="24"/>
                <w:szCs w:val="24"/>
                <w:highlight w:val="none"/>
              </w:rPr>
              <w:t xml:space="preserve"> </w:t>
            </w:r>
            <w:r>
              <w:rPr>
                <w:rFonts w:hint="eastAsia" w:ascii="仿宋" w:hAnsi="仿宋" w:eastAsia="仿宋" w:cs="仿宋"/>
                <w:color w:val="auto"/>
                <w:kern w:val="2"/>
                <w:sz w:val="24"/>
                <w:szCs w:val="24"/>
                <w:highlight w:val="none"/>
              </w:rPr>
              <w:t>mg/L</w:t>
            </w:r>
            <w:r>
              <w:rPr>
                <w:rFonts w:hint="eastAsia" w:ascii="仿宋" w:hAnsi="仿宋" w:eastAsia="仿宋" w:cs="仿宋"/>
                <w:color w:val="auto"/>
                <w:spacing w:val="-5"/>
                <w:kern w:val="2"/>
                <w:sz w:val="24"/>
                <w:szCs w:val="24"/>
                <w:highlight w:val="none"/>
              </w:rPr>
              <w:t xml:space="preserve"> </w:t>
            </w:r>
            <w:r>
              <w:rPr>
                <w:rFonts w:hint="eastAsia" w:ascii="仿宋" w:hAnsi="仿宋" w:eastAsia="仿宋" w:cs="仿宋"/>
                <w:color w:val="auto"/>
                <w:kern w:val="2"/>
                <w:sz w:val="24"/>
                <w:szCs w:val="24"/>
                <w:highlight w:val="none"/>
              </w:rPr>
              <w:t>时</w:t>
            </w:r>
          </w:p>
        </w:tc>
        <w:tc>
          <w:tcPr>
            <w:tcW w:w="1911"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3.0%</w:t>
            </w:r>
          </w:p>
        </w:tc>
      </w:tr>
      <w:tr>
        <w:tblPrEx>
          <w:tblCellMar>
            <w:top w:w="0" w:type="dxa"/>
            <w:left w:w="0" w:type="dxa"/>
            <w:bottom w:w="0" w:type="dxa"/>
            <w:right w:w="0" w:type="dxa"/>
          </w:tblCellMar>
        </w:tblPrEx>
        <w:trPr>
          <w:trHeight w:val="518" w:hRule="atLeast"/>
          <w:jc w:val="center"/>
        </w:trPr>
        <w:tc>
          <w:tcPr>
            <w:tcW w:w="2080"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重复性</w:t>
            </w:r>
          </w:p>
        </w:tc>
        <w:tc>
          <w:tcPr>
            <w:tcW w:w="6659" w:type="dxa"/>
            <w:gridSpan w:val="2"/>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≤2.0%</w:t>
            </w:r>
          </w:p>
        </w:tc>
      </w:tr>
      <w:tr>
        <w:tblPrEx>
          <w:tblCellMar>
            <w:top w:w="0" w:type="dxa"/>
            <w:left w:w="0" w:type="dxa"/>
            <w:bottom w:w="0" w:type="dxa"/>
            <w:right w:w="0" w:type="dxa"/>
          </w:tblCellMar>
        </w:tblPrEx>
        <w:trPr>
          <w:trHeight w:val="518" w:hRule="atLeast"/>
          <w:jc w:val="center"/>
        </w:trPr>
        <w:tc>
          <w:tcPr>
            <w:tcW w:w="2080" w:type="dxa"/>
            <w:vMerge w:val="restart"/>
            <w:tcBorders>
              <w:top w:val="single" w:color="000000" w:sz="4" w:space="0"/>
              <w:left w:val="single" w:color="000000" w:sz="4" w:space="0"/>
              <w:right w:val="single" w:color="000000" w:sz="4" w:space="0"/>
            </w:tcBorders>
            <w:noWrap w:val="0"/>
            <w:vAlign w:val="center"/>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记忆效应</w:t>
            </w:r>
          </w:p>
        </w:tc>
        <w:tc>
          <w:tcPr>
            <w:tcW w:w="4748"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标液浓度为</w:t>
            </w:r>
            <w:r>
              <w:rPr>
                <w:rFonts w:hint="eastAsia" w:ascii="仿宋" w:hAnsi="仿宋" w:eastAsia="仿宋" w:cs="仿宋"/>
                <w:color w:val="auto"/>
                <w:spacing w:val="-53"/>
                <w:kern w:val="2"/>
                <w:sz w:val="24"/>
                <w:szCs w:val="24"/>
                <w:highlight w:val="none"/>
              </w:rPr>
              <w:t xml:space="preserve"> </w:t>
            </w:r>
            <w:r>
              <w:rPr>
                <w:rFonts w:hint="eastAsia" w:ascii="仿宋" w:hAnsi="仿宋" w:eastAsia="仿宋" w:cs="仿宋"/>
                <w:color w:val="auto"/>
                <w:kern w:val="2"/>
                <w:sz w:val="24"/>
                <w:szCs w:val="24"/>
                <w:highlight w:val="none"/>
              </w:rPr>
              <w:t>2.0</w:t>
            </w:r>
            <w:r>
              <w:rPr>
                <w:rFonts w:hint="eastAsia" w:ascii="仿宋" w:hAnsi="仿宋" w:eastAsia="仿宋" w:cs="仿宋"/>
                <w:color w:val="auto"/>
                <w:spacing w:val="-1"/>
                <w:kern w:val="2"/>
                <w:sz w:val="24"/>
                <w:szCs w:val="24"/>
                <w:highlight w:val="none"/>
              </w:rPr>
              <w:t xml:space="preserve"> </w:t>
            </w:r>
            <w:r>
              <w:rPr>
                <w:rFonts w:hint="eastAsia" w:ascii="仿宋" w:hAnsi="仿宋" w:eastAsia="仿宋" w:cs="仿宋"/>
                <w:color w:val="auto"/>
                <w:kern w:val="2"/>
                <w:sz w:val="24"/>
                <w:szCs w:val="24"/>
                <w:highlight w:val="none"/>
              </w:rPr>
              <w:t>mg/L</w:t>
            </w:r>
            <w:r>
              <w:rPr>
                <w:rFonts w:hint="eastAsia" w:ascii="仿宋" w:hAnsi="仿宋" w:eastAsia="仿宋" w:cs="仿宋"/>
                <w:color w:val="auto"/>
                <w:spacing w:val="-5"/>
                <w:kern w:val="2"/>
                <w:sz w:val="24"/>
                <w:szCs w:val="24"/>
                <w:highlight w:val="none"/>
              </w:rPr>
              <w:t xml:space="preserve"> </w:t>
            </w:r>
            <w:r>
              <w:rPr>
                <w:rFonts w:hint="eastAsia" w:ascii="仿宋" w:hAnsi="仿宋" w:eastAsia="仿宋" w:cs="仿宋"/>
                <w:color w:val="auto"/>
                <w:kern w:val="2"/>
                <w:sz w:val="24"/>
                <w:szCs w:val="24"/>
                <w:highlight w:val="none"/>
              </w:rPr>
              <w:t>时</w:t>
            </w:r>
          </w:p>
        </w:tc>
        <w:tc>
          <w:tcPr>
            <w:tcW w:w="1911"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0.3</w:t>
            </w:r>
            <w:r>
              <w:rPr>
                <w:rFonts w:hint="eastAsia" w:ascii="仿宋" w:hAnsi="仿宋" w:eastAsia="仿宋" w:cs="仿宋"/>
                <w:color w:val="auto"/>
                <w:spacing w:val="-2"/>
                <w:kern w:val="2"/>
                <w:sz w:val="24"/>
                <w:szCs w:val="24"/>
                <w:highlight w:val="none"/>
              </w:rPr>
              <w:t xml:space="preserve"> </w:t>
            </w:r>
            <w:r>
              <w:rPr>
                <w:rFonts w:hint="eastAsia" w:ascii="仿宋" w:hAnsi="仿宋" w:eastAsia="仿宋" w:cs="仿宋"/>
                <w:color w:val="auto"/>
                <w:kern w:val="2"/>
                <w:sz w:val="24"/>
                <w:szCs w:val="24"/>
                <w:highlight w:val="none"/>
              </w:rPr>
              <w:t>mg/L</w:t>
            </w:r>
          </w:p>
        </w:tc>
      </w:tr>
      <w:tr>
        <w:tblPrEx>
          <w:tblCellMar>
            <w:top w:w="0" w:type="dxa"/>
            <w:left w:w="0" w:type="dxa"/>
            <w:bottom w:w="0" w:type="dxa"/>
            <w:right w:w="0" w:type="dxa"/>
          </w:tblCellMar>
        </w:tblPrEx>
        <w:trPr>
          <w:trHeight w:val="518" w:hRule="atLeast"/>
          <w:jc w:val="center"/>
        </w:trPr>
        <w:tc>
          <w:tcPr>
            <w:tcW w:w="2080" w:type="dxa"/>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仿宋" w:hAnsi="仿宋" w:eastAsia="仿宋" w:cs="仿宋"/>
                <w:color w:val="auto"/>
                <w:sz w:val="24"/>
                <w:szCs w:val="24"/>
                <w:highlight w:val="none"/>
              </w:rPr>
            </w:pPr>
          </w:p>
        </w:tc>
        <w:tc>
          <w:tcPr>
            <w:tcW w:w="4748"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标液浓度为</w:t>
            </w:r>
            <w:r>
              <w:rPr>
                <w:rFonts w:hint="eastAsia" w:ascii="仿宋" w:hAnsi="仿宋" w:eastAsia="仿宋" w:cs="仿宋"/>
                <w:color w:val="auto"/>
                <w:spacing w:val="-53"/>
                <w:kern w:val="2"/>
                <w:sz w:val="24"/>
                <w:szCs w:val="24"/>
                <w:highlight w:val="none"/>
              </w:rPr>
              <w:t xml:space="preserve"> </w:t>
            </w:r>
            <w:r>
              <w:rPr>
                <w:rFonts w:hint="eastAsia" w:ascii="仿宋" w:hAnsi="仿宋" w:eastAsia="仿宋" w:cs="仿宋"/>
                <w:color w:val="auto"/>
                <w:kern w:val="2"/>
                <w:sz w:val="24"/>
                <w:szCs w:val="24"/>
                <w:highlight w:val="none"/>
              </w:rPr>
              <w:t>8.0</w:t>
            </w:r>
            <w:r>
              <w:rPr>
                <w:rFonts w:hint="eastAsia" w:ascii="仿宋" w:hAnsi="仿宋" w:eastAsia="仿宋" w:cs="仿宋"/>
                <w:color w:val="auto"/>
                <w:spacing w:val="-1"/>
                <w:kern w:val="2"/>
                <w:sz w:val="24"/>
                <w:szCs w:val="24"/>
                <w:highlight w:val="none"/>
              </w:rPr>
              <w:t xml:space="preserve"> </w:t>
            </w:r>
            <w:r>
              <w:rPr>
                <w:rFonts w:hint="eastAsia" w:ascii="仿宋" w:hAnsi="仿宋" w:eastAsia="仿宋" w:cs="仿宋"/>
                <w:color w:val="auto"/>
                <w:kern w:val="2"/>
                <w:sz w:val="24"/>
                <w:szCs w:val="24"/>
                <w:highlight w:val="none"/>
              </w:rPr>
              <w:t>mg/L</w:t>
            </w:r>
            <w:r>
              <w:rPr>
                <w:rFonts w:hint="eastAsia" w:ascii="仿宋" w:hAnsi="仿宋" w:eastAsia="仿宋" w:cs="仿宋"/>
                <w:color w:val="auto"/>
                <w:spacing w:val="-5"/>
                <w:kern w:val="2"/>
                <w:sz w:val="24"/>
                <w:szCs w:val="24"/>
                <w:highlight w:val="none"/>
              </w:rPr>
              <w:t xml:space="preserve"> </w:t>
            </w:r>
            <w:r>
              <w:rPr>
                <w:rFonts w:hint="eastAsia" w:ascii="仿宋" w:hAnsi="仿宋" w:eastAsia="仿宋" w:cs="仿宋"/>
                <w:color w:val="auto"/>
                <w:kern w:val="2"/>
                <w:sz w:val="24"/>
                <w:szCs w:val="24"/>
                <w:highlight w:val="none"/>
              </w:rPr>
              <w:t>时</w:t>
            </w:r>
          </w:p>
        </w:tc>
        <w:tc>
          <w:tcPr>
            <w:tcW w:w="1911"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0.2</w:t>
            </w:r>
            <w:r>
              <w:rPr>
                <w:rFonts w:hint="eastAsia" w:ascii="仿宋" w:hAnsi="仿宋" w:eastAsia="仿宋" w:cs="仿宋"/>
                <w:color w:val="auto"/>
                <w:spacing w:val="-2"/>
                <w:kern w:val="2"/>
                <w:sz w:val="24"/>
                <w:szCs w:val="24"/>
                <w:highlight w:val="none"/>
              </w:rPr>
              <w:t xml:space="preserve"> </w:t>
            </w:r>
            <w:r>
              <w:rPr>
                <w:rFonts w:hint="eastAsia" w:ascii="仿宋" w:hAnsi="仿宋" w:eastAsia="仿宋" w:cs="仿宋"/>
                <w:color w:val="auto"/>
                <w:kern w:val="2"/>
                <w:sz w:val="24"/>
                <w:szCs w:val="24"/>
                <w:highlight w:val="none"/>
              </w:rPr>
              <w:t>mg/L</w:t>
            </w:r>
          </w:p>
        </w:tc>
      </w:tr>
      <w:tr>
        <w:tblPrEx>
          <w:tblCellMar>
            <w:top w:w="0" w:type="dxa"/>
            <w:left w:w="0" w:type="dxa"/>
            <w:bottom w:w="0" w:type="dxa"/>
            <w:right w:w="0" w:type="dxa"/>
          </w:tblCellMar>
        </w:tblPrEx>
        <w:trPr>
          <w:trHeight w:val="518" w:hRule="atLeast"/>
          <w:jc w:val="center"/>
        </w:trPr>
        <w:tc>
          <w:tcPr>
            <w:tcW w:w="2080"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检出限</w:t>
            </w:r>
          </w:p>
        </w:tc>
        <w:tc>
          <w:tcPr>
            <w:tcW w:w="6659" w:type="dxa"/>
            <w:gridSpan w:val="2"/>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≤0.05mg/L</w:t>
            </w:r>
          </w:p>
        </w:tc>
      </w:tr>
      <w:tr>
        <w:tblPrEx>
          <w:tblCellMar>
            <w:top w:w="0" w:type="dxa"/>
            <w:left w:w="0" w:type="dxa"/>
            <w:bottom w:w="0" w:type="dxa"/>
            <w:right w:w="0" w:type="dxa"/>
          </w:tblCellMar>
        </w:tblPrEx>
        <w:trPr>
          <w:trHeight w:val="518" w:hRule="atLeast"/>
          <w:jc w:val="center"/>
        </w:trPr>
        <w:tc>
          <w:tcPr>
            <w:tcW w:w="2080"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pH</w:t>
            </w:r>
            <w:r>
              <w:rPr>
                <w:rFonts w:hint="eastAsia" w:ascii="仿宋" w:hAnsi="仿宋" w:eastAsia="仿宋" w:cs="仿宋"/>
                <w:color w:val="auto"/>
                <w:spacing w:val="2"/>
                <w:kern w:val="2"/>
                <w:sz w:val="24"/>
                <w:szCs w:val="24"/>
                <w:highlight w:val="none"/>
              </w:rPr>
              <w:t xml:space="preserve"> </w:t>
            </w:r>
            <w:r>
              <w:rPr>
                <w:rFonts w:hint="eastAsia" w:ascii="仿宋" w:hAnsi="仿宋" w:eastAsia="仿宋" w:cs="仿宋"/>
                <w:color w:val="auto"/>
                <w:kern w:val="2"/>
                <w:sz w:val="24"/>
                <w:szCs w:val="24"/>
                <w:highlight w:val="none"/>
              </w:rPr>
              <w:t>干扰试验</w:t>
            </w:r>
          </w:p>
        </w:tc>
        <w:tc>
          <w:tcPr>
            <w:tcW w:w="6659" w:type="dxa"/>
            <w:gridSpan w:val="2"/>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6.0%</w:t>
            </w:r>
          </w:p>
        </w:tc>
      </w:tr>
      <w:tr>
        <w:tblPrEx>
          <w:tblCellMar>
            <w:top w:w="0" w:type="dxa"/>
            <w:left w:w="0" w:type="dxa"/>
            <w:bottom w:w="0" w:type="dxa"/>
            <w:right w:w="0" w:type="dxa"/>
          </w:tblCellMar>
        </w:tblPrEx>
        <w:trPr>
          <w:trHeight w:val="518" w:hRule="atLeast"/>
          <w:jc w:val="center"/>
        </w:trPr>
        <w:tc>
          <w:tcPr>
            <w:tcW w:w="2080" w:type="dxa"/>
            <w:vMerge w:val="restart"/>
            <w:tcBorders>
              <w:top w:val="single" w:color="000000" w:sz="4" w:space="0"/>
              <w:left w:val="single" w:color="000000" w:sz="4" w:space="0"/>
              <w:right w:val="single" w:color="000000" w:sz="4" w:space="0"/>
            </w:tcBorders>
            <w:noWrap w:val="0"/>
            <w:vAlign w:val="center"/>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实际水样比对试验</w:t>
            </w:r>
          </w:p>
        </w:tc>
        <w:tc>
          <w:tcPr>
            <w:tcW w:w="4748"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水样浓度&lt;2.0</w:t>
            </w:r>
            <w:r>
              <w:rPr>
                <w:rFonts w:hint="eastAsia" w:ascii="仿宋" w:hAnsi="仿宋" w:eastAsia="仿宋" w:cs="仿宋"/>
                <w:color w:val="auto"/>
                <w:spacing w:val="-3"/>
                <w:kern w:val="2"/>
                <w:sz w:val="24"/>
                <w:szCs w:val="24"/>
                <w:highlight w:val="none"/>
              </w:rPr>
              <w:t xml:space="preserve"> </w:t>
            </w:r>
            <w:r>
              <w:rPr>
                <w:rFonts w:hint="eastAsia" w:ascii="仿宋" w:hAnsi="仿宋" w:eastAsia="仿宋" w:cs="仿宋"/>
                <w:color w:val="auto"/>
                <w:kern w:val="2"/>
                <w:sz w:val="24"/>
                <w:szCs w:val="24"/>
                <w:highlight w:val="none"/>
              </w:rPr>
              <w:t>mg/L</w:t>
            </w:r>
          </w:p>
        </w:tc>
        <w:tc>
          <w:tcPr>
            <w:tcW w:w="1911"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≤0.2 mg/L</w:t>
            </w:r>
          </w:p>
        </w:tc>
      </w:tr>
      <w:tr>
        <w:tblPrEx>
          <w:tblCellMar>
            <w:top w:w="0" w:type="dxa"/>
            <w:left w:w="0" w:type="dxa"/>
            <w:bottom w:w="0" w:type="dxa"/>
            <w:right w:w="0" w:type="dxa"/>
          </w:tblCellMar>
        </w:tblPrEx>
        <w:trPr>
          <w:trHeight w:val="518" w:hRule="atLeast"/>
          <w:jc w:val="center"/>
        </w:trPr>
        <w:tc>
          <w:tcPr>
            <w:tcW w:w="2080" w:type="dxa"/>
            <w:vMerge w:val="continue"/>
            <w:tcBorders>
              <w:left w:val="single" w:color="000000" w:sz="4" w:space="0"/>
              <w:bottom w:val="single" w:color="000000" w:sz="4" w:space="0"/>
              <w:right w:val="single" w:color="000000" w:sz="4" w:space="0"/>
            </w:tcBorders>
            <w:noWrap w:val="0"/>
            <w:vAlign w:val="top"/>
          </w:tcPr>
          <w:p>
            <w:pPr>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仿宋" w:hAnsi="仿宋" w:eastAsia="仿宋" w:cs="仿宋"/>
                <w:color w:val="auto"/>
                <w:sz w:val="24"/>
                <w:szCs w:val="24"/>
                <w:highlight w:val="none"/>
              </w:rPr>
            </w:pPr>
          </w:p>
        </w:tc>
        <w:tc>
          <w:tcPr>
            <w:tcW w:w="4748"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水样浓度≥2.0</w:t>
            </w:r>
            <w:r>
              <w:rPr>
                <w:rFonts w:hint="eastAsia" w:ascii="仿宋" w:hAnsi="仿宋" w:eastAsia="仿宋" w:cs="仿宋"/>
                <w:color w:val="auto"/>
                <w:spacing w:val="-1"/>
                <w:kern w:val="2"/>
                <w:sz w:val="24"/>
                <w:szCs w:val="24"/>
                <w:highlight w:val="none"/>
              </w:rPr>
              <w:t xml:space="preserve"> </w:t>
            </w:r>
            <w:r>
              <w:rPr>
                <w:rFonts w:hint="eastAsia" w:ascii="仿宋" w:hAnsi="仿宋" w:eastAsia="仿宋" w:cs="仿宋"/>
                <w:color w:val="auto"/>
                <w:kern w:val="2"/>
                <w:sz w:val="24"/>
                <w:szCs w:val="24"/>
                <w:highlight w:val="none"/>
              </w:rPr>
              <w:t>mg/L</w:t>
            </w:r>
          </w:p>
        </w:tc>
        <w:tc>
          <w:tcPr>
            <w:tcW w:w="1911"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≤10.0%</w:t>
            </w:r>
          </w:p>
        </w:tc>
      </w:tr>
      <w:tr>
        <w:trPr>
          <w:trHeight w:val="518" w:hRule="atLeast"/>
          <w:jc w:val="center"/>
        </w:trPr>
        <w:tc>
          <w:tcPr>
            <w:tcW w:w="2080" w:type="dxa"/>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最小维护周期</w:t>
            </w:r>
          </w:p>
        </w:tc>
        <w:tc>
          <w:tcPr>
            <w:tcW w:w="6659" w:type="dxa"/>
            <w:gridSpan w:val="2"/>
            <w:tcBorders>
              <w:top w:val="single" w:color="000000" w:sz="4" w:space="0"/>
              <w:left w:val="single" w:color="000000" w:sz="4" w:space="0"/>
              <w:bottom w:val="single" w:color="000000" w:sz="4" w:space="0"/>
              <w:right w:val="single" w:color="000000" w:sz="4" w:space="0"/>
            </w:tcBorders>
            <w:noWrap w:val="0"/>
            <w:vAlign w:val="top"/>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≥168h</w:t>
            </w:r>
          </w:p>
        </w:tc>
      </w:tr>
      <w:tr>
        <w:tblPrEx>
          <w:tblCellMar>
            <w:top w:w="0" w:type="dxa"/>
            <w:left w:w="0" w:type="dxa"/>
            <w:bottom w:w="0" w:type="dxa"/>
            <w:right w:w="0" w:type="dxa"/>
          </w:tblCellMar>
        </w:tblPrEx>
        <w:trPr>
          <w:trHeight w:val="1038" w:hRule="atLeast"/>
          <w:jc w:val="center"/>
        </w:trPr>
        <w:tc>
          <w:tcPr>
            <w:tcW w:w="2080" w:type="dxa"/>
            <w:tcBorders>
              <w:top w:val="single" w:color="000000" w:sz="4" w:space="0"/>
              <w:left w:val="single" w:color="000000" w:sz="4" w:space="0"/>
              <w:bottom w:val="single" w:color="000000" w:sz="4" w:space="0"/>
              <w:right w:val="single" w:color="000000" w:sz="4" w:space="0"/>
            </w:tcBorders>
            <w:noWrap w:val="0"/>
            <w:vAlign w:val="center"/>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适用性检测</w:t>
            </w:r>
          </w:p>
        </w:tc>
        <w:tc>
          <w:tcPr>
            <w:tcW w:w="665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56"/>
              <w:keepNext w:val="0"/>
              <w:keepLines w:val="0"/>
              <w:pageBreakBefore w:val="0"/>
              <w:widowControl w:val="0"/>
              <w:shd w:val="clear"/>
              <w:kinsoku/>
              <w:wordWrap/>
              <w:overflowPunct/>
              <w:topLinePunct w:val="0"/>
              <w:autoSpaceDE/>
              <w:autoSpaceDN/>
              <w:bidi w:val="0"/>
              <w:spacing w:line="360" w:lineRule="auto"/>
              <w:ind w:left="0" w:right="0"/>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具有生态环境部环境监测仪器质量监督检验中心出具的在有效期内的检测合格报告</w:t>
            </w:r>
          </w:p>
        </w:tc>
      </w:tr>
    </w:tbl>
    <w:p>
      <w:pPr>
        <w:pStyle w:val="63"/>
        <w:numPr>
          <w:ilvl w:val="0"/>
          <w:numId w:val="0"/>
        </w:numPr>
        <w:shd w:val="clear"/>
        <w:rPr>
          <w:rFonts w:hint="eastAsia" w:ascii="仿宋" w:hAnsi="仿宋" w:eastAsia="仿宋" w:cs="仿宋"/>
          <w:color w:val="auto"/>
          <w:highlight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2.2.5高锰酸盐指数水质自动分析仪</w:t>
      </w:r>
    </w:p>
    <w:tbl>
      <w:tblPr>
        <w:tblStyle w:val="64"/>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6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2681"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项目</w:t>
            </w:r>
          </w:p>
        </w:tc>
        <w:tc>
          <w:tcPr>
            <w:tcW w:w="6178"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81"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测定原理</w:t>
            </w:r>
          </w:p>
        </w:tc>
        <w:tc>
          <w:tcPr>
            <w:tcW w:w="6178"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酸性或碱性</w:t>
            </w:r>
            <w:r>
              <w:rPr>
                <w:rFonts w:hint="eastAsia" w:ascii="仿宋" w:hAnsi="仿宋" w:eastAsia="仿宋" w:cs="仿宋"/>
                <w:color w:val="auto"/>
                <w:kern w:val="0"/>
                <w:sz w:val="24"/>
                <w:szCs w:val="24"/>
                <w:highlight w:val="none"/>
              </w:rPr>
              <w:t>高锰酸钾氧化法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2681"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量程</w:t>
            </w:r>
          </w:p>
        </w:tc>
        <w:tc>
          <w:tcPr>
            <w:tcW w:w="6178"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0～20mg/L，可调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81"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零点漂移</w:t>
            </w:r>
          </w:p>
        </w:tc>
        <w:tc>
          <w:tcPr>
            <w:tcW w:w="6178"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81"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量程漂移</w:t>
            </w:r>
          </w:p>
        </w:tc>
        <w:tc>
          <w:tcPr>
            <w:tcW w:w="6178"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81"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葡萄糖试验</w:t>
            </w:r>
          </w:p>
        </w:tc>
        <w:tc>
          <w:tcPr>
            <w:tcW w:w="6178"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±5%（测量误差）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81"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重复性</w:t>
            </w:r>
          </w:p>
        </w:tc>
        <w:tc>
          <w:tcPr>
            <w:tcW w:w="6178"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81"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检出限</w:t>
            </w:r>
          </w:p>
        </w:tc>
        <w:tc>
          <w:tcPr>
            <w:tcW w:w="6178"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81"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MTBF</w:t>
            </w:r>
          </w:p>
        </w:tc>
        <w:tc>
          <w:tcPr>
            <w:tcW w:w="6178"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≥720 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81" w:type="dxa"/>
            <w:noWrap w:val="0"/>
            <w:vAlign w:val="top"/>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实际水样比对试验</w:t>
            </w:r>
          </w:p>
        </w:tc>
        <w:tc>
          <w:tcPr>
            <w:tcW w:w="6178" w:type="dxa"/>
            <w:noWrap w:val="0"/>
            <w:vAlign w:val="top"/>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681"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适用性检测</w:t>
            </w:r>
          </w:p>
        </w:tc>
        <w:tc>
          <w:tcPr>
            <w:tcW w:w="6178"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具有生态环境部环境监测仪器质量监督检验中心出具的在有效期内的检测合格报告</w:t>
            </w:r>
          </w:p>
        </w:tc>
      </w:tr>
    </w:tbl>
    <w:p>
      <w:pPr>
        <w:pStyle w:val="63"/>
        <w:numPr>
          <w:ilvl w:val="0"/>
          <w:numId w:val="0"/>
        </w:numPr>
        <w:shd w:val="clear"/>
        <w:ind w:leftChars="0"/>
        <w:rPr>
          <w:rFonts w:hint="eastAsia" w:ascii="仿宋" w:hAnsi="仿宋" w:eastAsia="仿宋" w:cs="仿宋"/>
          <w:color w:val="auto"/>
          <w:highlight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2.2.6总磷水质自动分析仪</w:t>
      </w:r>
    </w:p>
    <w:tbl>
      <w:tblPr>
        <w:tblStyle w:val="64"/>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4"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项目</w:t>
            </w:r>
          </w:p>
        </w:tc>
        <w:tc>
          <w:tcPr>
            <w:tcW w:w="6085"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测定原理</w:t>
            </w:r>
          </w:p>
        </w:tc>
        <w:tc>
          <w:tcPr>
            <w:tcW w:w="608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钼酸铵分光光度法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量程</w:t>
            </w:r>
          </w:p>
        </w:tc>
        <w:tc>
          <w:tcPr>
            <w:tcW w:w="608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0～2mg/L，可调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零点漂移</w:t>
            </w:r>
          </w:p>
        </w:tc>
        <w:tc>
          <w:tcPr>
            <w:tcW w:w="608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量程漂移</w:t>
            </w:r>
          </w:p>
        </w:tc>
        <w:tc>
          <w:tcPr>
            <w:tcW w:w="608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直线性</w:t>
            </w:r>
          </w:p>
        </w:tc>
        <w:tc>
          <w:tcPr>
            <w:tcW w:w="608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重复性</w:t>
            </w:r>
          </w:p>
        </w:tc>
        <w:tc>
          <w:tcPr>
            <w:tcW w:w="608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检出限</w:t>
            </w:r>
          </w:p>
        </w:tc>
        <w:tc>
          <w:tcPr>
            <w:tcW w:w="608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rPr>
              <w:t>MTBF</w:t>
            </w:r>
          </w:p>
        </w:tc>
        <w:tc>
          <w:tcPr>
            <w:tcW w:w="608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rPr>
              <w:t>≥720h/次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rPr>
              <w:t>实际水样比对试验</w:t>
            </w:r>
          </w:p>
        </w:tc>
        <w:tc>
          <w:tcPr>
            <w:tcW w:w="6085"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2634"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lang w:eastAsia="zh-CN"/>
              </w:rPr>
              <w:t>浊度补偿功能</w:t>
            </w:r>
          </w:p>
        </w:tc>
        <w:tc>
          <w:tcPr>
            <w:tcW w:w="6085"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eastAsia="zh-CN"/>
              </w:rPr>
              <w:t>由于本项目</w:t>
            </w:r>
            <w:r>
              <w:rPr>
                <w:rFonts w:hint="eastAsia" w:ascii="仿宋" w:hAnsi="仿宋" w:eastAsia="仿宋" w:cs="仿宋"/>
                <w:b w:val="0"/>
                <w:bCs w:val="0"/>
                <w:color w:val="auto"/>
                <w:kern w:val="0"/>
                <w:sz w:val="24"/>
                <w:szCs w:val="24"/>
                <w:highlight w:val="none"/>
                <w:lang w:val="en-US" w:eastAsia="zh-CN"/>
              </w:rPr>
              <w:t>受</w:t>
            </w:r>
            <w:r>
              <w:rPr>
                <w:rFonts w:hint="eastAsia" w:ascii="仿宋" w:hAnsi="仿宋" w:eastAsia="仿宋" w:cs="仿宋"/>
                <w:b w:val="0"/>
                <w:bCs w:val="0"/>
                <w:color w:val="auto"/>
                <w:kern w:val="0"/>
                <w:sz w:val="24"/>
                <w:szCs w:val="24"/>
                <w:highlight w:val="none"/>
                <w:lang w:eastAsia="zh-CN"/>
              </w:rPr>
              <w:t>浊度</w:t>
            </w:r>
            <w:r>
              <w:rPr>
                <w:rFonts w:hint="eastAsia" w:ascii="仿宋" w:hAnsi="仿宋" w:eastAsia="仿宋" w:cs="仿宋"/>
                <w:b w:val="0"/>
                <w:bCs w:val="0"/>
                <w:color w:val="auto"/>
                <w:kern w:val="0"/>
                <w:sz w:val="24"/>
                <w:szCs w:val="24"/>
                <w:highlight w:val="none"/>
                <w:lang w:val="en-US" w:eastAsia="zh-CN"/>
              </w:rPr>
              <w:t>影响</w:t>
            </w:r>
            <w:r>
              <w:rPr>
                <w:rFonts w:hint="eastAsia" w:ascii="仿宋" w:hAnsi="仿宋" w:eastAsia="仿宋" w:cs="仿宋"/>
                <w:b w:val="0"/>
                <w:bCs w:val="0"/>
                <w:color w:val="auto"/>
                <w:kern w:val="0"/>
                <w:sz w:val="24"/>
                <w:szCs w:val="24"/>
                <w:highlight w:val="none"/>
                <w:lang w:eastAsia="zh-CN"/>
              </w:rPr>
              <w:t>大，要求仪器具备浊度和色度自动补偿功能，需要提供计量部门出具的分析报告和生态环境部门出具的用户证明材料原件扫描件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634"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rPr>
              <w:t>适用性检测</w:t>
            </w:r>
          </w:p>
        </w:tc>
        <w:tc>
          <w:tcPr>
            <w:tcW w:w="6085"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eastAsia="zh-CN"/>
              </w:rPr>
              <w:t>具有生态环境部环境监测仪器质量监督检验中心出具的在有效期内的检测合格报告</w:t>
            </w:r>
          </w:p>
        </w:tc>
      </w:tr>
    </w:tbl>
    <w:p>
      <w:pPr>
        <w:pStyle w:val="63"/>
        <w:numPr>
          <w:ilvl w:val="0"/>
          <w:numId w:val="0"/>
        </w:numPr>
        <w:shd w:val="clear"/>
        <w:ind w:leftChars="0"/>
        <w:rPr>
          <w:rFonts w:hint="eastAsia" w:ascii="仿宋" w:hAnsi="仿宋" w:eastAsia="仿宋" w:cs="仿宋"/>
          <w:color w:val="auto"/>
          <w:highlight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2.2.6总氮水质自动分析仪</w:t>
      </w:r>
    </w:p>
    <w:tbl>
      <w:tblPr>
        <w:tblStyle w:val="6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77"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项目</w:t>
            </w:r>
          </w:p>
        </w:tc>
        <w:tc>
          <w:tcPr>
            <w:tcW w:w="6282"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7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测定原理</w:t>
            </w:r>
          </w:p>
        </w:tc>
        <w:tc>
          <w:tcPr>
            <w:tcW w:w="62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eastAsia="zh-CN"/>
              </w:rPr>
              <w:t>过硫酸钾消解-紫外分光光度法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7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量程</w:t>
            </w:r>
          </w:p>
        </w:tc>
        <w:tc>
          <w:tcPr>
            <w:tcW w:w="62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0～20mg/L，可调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7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零点漂移</w:t>
            </w:r>
          </w:p>
        </w:tc>
        <w:tc>
          <w:tcPr>
            <w:tcW w:w="62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7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量程漂移</w:t>
            </w:r>
          </w:p>
        </w:tc>
        <w:tc>
          <w:tcPr>
            <w:tcW w:w="62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7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直线性</w:t>
            </w:r>
          </w:p>
        </w:tc>
        <w:tc>
          <w:tcPr>
            <w:tcW w:w="62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7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重复性</w:t>
            </w:r>
          </w:p>
        </w:tc>
        <w:tc>
          <w:tcPr>
            <w:tcW w:w="62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7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检出限</w:t>
            </w:r>
          </w:p>
        </w:tc>
        <w:tc>
          <w:tcPr>
            <w:tcW w:w="62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7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MTBF</w:t>
            </w:r>
          </w:p>
        </w:tc>
        <w:tc>
          <w:tcPr>
            <w:tcW w:w="62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≥720h/次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77"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实际水样比对试验</w:t>
            </w:r>
          </w:p>
        </w:tc>
        <w:tc>
          <w:tcPr>
            <w:tcW w:w="6282"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rPr>
            </w:pPr>
            <w:r>
              <w:rPr>
                <w:rFonts w:hint="eastAsia" w:ascii="仿宋" w:hAnsi="仿宋" w:eastAsia="仿宋" w:cs="仿宋"/>
                <w:b w:val="0"/>
                <w:bCs w:val="0"/>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677"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color w:val="auto"/>
                <w:kern w:val="0"/>
                <w:sz w:val="24"/>
                <w:szCs w:val="24"/>
                <w:highlight w:val="none"/>
                <w:lang w:eastAsia="zh-CN"/>
              </w:rPr>
              <w:t>浊度补偿功能</w:t>
            </w:r>
          </w:p>
        </w:tc>
        <w:tc>
          <w:tcPr>
            <w:tcW w:w="6282"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由于本项目</w:t>
            </w:r>
            <w:r>
              <w:rPr>
                <w:rFonts w:hint="eastAsia" w:ascii="仿宋" w:hAnsi="仿宋" w:eastAsia="仿宋" w:cs="仿宋"/>
                <w:b w:val="0"/>
                <w:bCs w:val="0"/>
                <w:color w:val="auto"/>
                <w:kern w:val="0"/>
                <w:sz w:val="24"/>
                <w:szCs w:val="24"/>
                <w:highlight w:val="none"/>
                <w:lang w:val="en-US" w:eastAsia="zh-CN"/>
              </w:rPr>
              <w:t>受</w:t>
            </w:r>
            <w:r>
              <w:rPr>
                <w:rFonts w:hint="eastAsia" w:ascii="仿宋" w:hAnsi="仿宋" w:eastAsia="仿宋" w:cs="仿宋"/>
                <w:b w:val="0"/>
                <w:bCs w:val="0"/>
                <w:color w:val="auto"/>
                <w:kern w:val="0"/>
                <w:sz w:val="24"/>
                <w:szCs w:val="24"/>
                <w:highlight w:val="none"/>
                <w:lang w:eastAsia="zh-CN"/>
              </w:rPr>
              <w:t>浊度</w:t>
            </w:r>
            <w:r>
              <w:rPr>
                <w:rFonts w:hint="eastAsia" w:ascii="仿宋" w:hAnsi="仿宋" w:eastAsia="仿宋" w:cs="仿宋"/>
                <w:b w:val="0"/>
                <w:bCs w:val="0"/>
                <w:color w:val="auto"/>
                <w:kern w:val="0"/>
                <w:sz w:val="24"/>
                <w:szCs w:val="24"/>
                <w:highlight w:val="none"/>
                <w:lang w:val="en-US" w:eastAsia="zh-CN"/>
              </w:rPr>
              <w:t>影响</w:t>
            </w:r>
            <w:r>
              <w:rPr>
                <w:rFonts w:hint="eastAsia" w:ascii="仿宋" w:hAnsi="仿宋" w:eastAsia="仿宋" w:cs="仿宋"/>
                <w:b w:val="0"/>
                <w:bCs w:val="0"/>
                <w:color w:val="auto"/>
                <w:kern w:val="0"/>
                <w:sz w:val="24"/>
                <w:szCs w:val="24"/>
                <w:highlight w:val="none"/>
                <w:lang w:eastAsia="zh-CN"/>
              </w:rPr>
              <w:t>大，要求仪器具备浊度和色度自动补偿功能，需要提供计量部门出具的分析报告和生态环境部门出具的用户证明材料原件扫描件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677"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rPr>
              <w:t>适用性检测</w:t>
            </w:r>
          </w:p>
        </w:tc>
        <w:tc>
          <w:tcPr>
            <w:tcW w:w="6282"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具有生态环境部环境监测仪器质量监督检验中心出具的在有效期内的检测合格报告</w:t>
            </w:r>
          </w:p>
        </w:tc>
      </w:tr>
    </w:tbl>
    <w:p>
      <w:pPr>
        <w:pStyle w:val="63"/>
        <w:numPr>
          <w:ilvl w:val="0"/>
          <w:numId w:val="0"/>
        </w:numPr>
        <w:shd w:val="clear"/>
        <w:ind w:leftChars="0"/>
        <w:rPr>
          <w:rFonts w:hint="eastAsia" w:ascii="仿宋" w:hAnsi="仿宋" w:eastAsia="仿宋" w:cs="仿宋"/>
          <w:color w:val="auto"/>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2.3.系统集成要求</w:t>
      </w:r>
    </w:p>
    <w:p>
      <w:pPr>
        <w:keepNext w:val="0"/>
        <w:keepLines w:val="0"/>
        <w:pageBreakBefore w:val="0"/>
        <w:shd w:val="clear"/>
        <w:kinsoku/>
        <w:wordWrap/>
        <w:overflowPunct/>
        <w:bidi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系统集成主要包括配水及预处理单元、控制单元、分析单元、留样单元、辅助单元等。</w:t>
      </w:r>
    </w:p>
    <w:p>
      <w:pPr>
        <w:keepNext w:val="0"/>
        <w:keepLines w:val="0"/>
        <w:pageBreakBefore w:val="0"/>
        <w:shd w:val="clear"/>
        <w:kinsoku/>
        <w:wordWrap/>
        <w:overflowPunct/>
        <w:bidi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投标人须提供合理、先进、完整的系统集成方案，具备智能化、标准化、流程化和可溯源的质量控制体系，确保</w:t>
      </w:r>
      <w:r>
        <w:rPr>
          <w:rFonts w:hint="eastAsia" w:ascii="仿宋" w:hAnsi="仿宋" w:eastAsia="仿宋" w:cs="仿宋"/>
          <w:color w:val="auto"/>
          <w:sz w:val="24"/>
          <w:szCs w:val="24"/>
          <w:highlight w:val="none"/>
          <w:lang w:eastAsia="zh-CN"/>
        </w:rPr>
        <w:t>采配水</w:t>
      </w:r>
      <w:r>
        <w:rPr>
          <w:rFonts w:hint="eastAsia" w:ascii="仿宋" w:hAnsi="仿宋" w:eastAsia="仿宋" w:cs="仿宋"/>
          <w:color w:val="auto"/>
          <w:sz w:val="24"/>
          <w:szCs w:val="24"/>
          <w:highlight w:val="none"/>
        </w:rPr>
        <w:t>、预处理、分析、质控、清洗以及数据采集和传输等环节的准确可靠。</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2.3.1、系统集成功能要求</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（1）具有仪器及系统运行周期（连续或间歇）设置功能，至少具备常规、应急、质控等多种运行模式；</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（2）具有异常信息记录、上传功能，如采水故障、部件故障、超量程报警、超标报警、缺试剂报警等信息；</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（3）具有仪器关键参数上传、远程设置功能，能接受远程控制指令；</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（4）能够实现对高锰酸盐指数、氨氮、总磷和总氮水质自动分析仪器进行自动标样核查、自动加标回收率核查、自动零点核查、自动跨度核查等质控功能，</w:t>
      </w:r>
      <w:r>
        <w:rPr>
          <w:rFonts w:hint="eastAsia" w:ascii="仿宋" w:hAnsi="仿宋" w:eastAsia="仿宋" w:cs="仿宋"/>
          <w:color w:val="auto"/>
          <w:sz w:val="24"/>
          <w:szCs w:val="24"/>
          <w:highlight w:val="none"/>
          <w:lang w:eastAsia="zh-CN"/>
        </w:rPr>
        <w:t>自动核查结果须满足相关技术规范要求，</w:t>
      </w:r>
      <w:r>
        <w:rPr>
          <w:rFonts w:hint="eastAsia" w:ascii="仿宋" w:hAnsi="仿宋" w:eastAsia="仿宋" w:cs="仿宋"/>
          <w:color w:val="auto"/>
          <w:sz w:val="24"/>
          <w:szCs w:val="24"/>
          <w:highlight w:val="none"/>
        </w:rPr>
        <w:t>并在平台端协议的支撑下，实现自动站系统和设备的远程控制，记录质控操作和质控数据</w:t>
      </w:r>
      <w:r>
        <w:rPr>
          <w:rFonts w:hint="eastAsia" w:ascii="仿宋" w:hAnsi="仿宋" w:eastAsia="仿宋" w:cs="仿宋"/>
          <w:color w:val="auto"/>
          <w:sz w:val="24"/>
          <w:szCs w:val="24"/>
          <w:highlight w:val="none"/>
          <w:lang w:eastAsia="zh-CN"/>
        </w:rPr>
        <w:t>，同时</w:t>
      </w:r>
      <w:r>
        <w:rPr>
          <w:rFonts w:hint="eastAsia" w:ascii="仿宋" w:hAnsi="仿宋" w:eastAsia="仿宋" w:cs="仿宋"/>
          <w:color w:val="auto"/>
          <w:sz w:val="24"/>
          <w:szCs w:val="24"/>
          <w:highlight w:val="none"/>
        </w:rPr>
        <w:t>具备自动留样功能；</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（5）确保仪器、系统运行的监测数据和状态信息等稳定传输；</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（6）具备断电再度通电后自动排空水样和试剂、自动清洗管路、自动复位到待机状态的功能；</w:t>
      </w:r>
    </w:p>
    <w:p>
      <w:pPr>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（7）具有分析仪器及系统过程日志记录和环境参数记录功能，并能够上传至中心平台；</w:t>
      </w:r>
    </w:p>
    <w:p>
      <w:pPr>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（8）存储不少于1年的原始数据和运行日志；</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（9）水质自动分析仪器（常规五参数外）及控制单元须具有三级管理权限；</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（10）系统应具有良好的扩展性和兼容性，根据实际应用需要，可增加新的监测参数，并方便仪器安装与接入。</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2.3.2、系统集成技术要求</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（一）配水及预处理单元</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投标人应提供针对性的配水和预处理方案。</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水及预处理单元由水样分配单元、预处理装置及管道等组成。实现对分析仪器配水的功能，并具有自动反清（吹）洗和自动除藻功能。预处理单元为不同分析仪器配备预处理装置，常规五参数水质自动分析仪器使用原水直接分析，应根据国家标准分析方法要求对高锰酸盐指数、氨氮、总氮、总磷分析仪器提供相应的预处理方法。</w:t>
      </w:r>
      <w:r>
        <w:rPr>
          <w:rFonts w:hint="eastAsia" w:ascii="仿宋" w:hAnsi="仿宋" w:eastAsia="仿宋" w:cs="仿宋"/>
          <w:color w:val="auto"/>
          <w:kern w:val="0"/>
          <w:sz w:val="24"/>
          <w:szCs w:val="24"/>
          <w:highlight w:val="none"/>
          <w:lang w:val="en-US" w:eastAsia="zh-CN"/>
        </w:rPr>
        <w:t>针对泥沙较大水体、</w:t>
      </w:r>
      <w:r>
        <w:rPr>
          <w:rFonts w:hint="eastAsia" w:ascii="仿宋" w:hAnsi="仿宋" w:eastAsia="仿宋" w:cs="仿宋"/>
          <w:color w:val="auto"/>
          <w:kern w:val="0"/>
          <w:sz w:val="24"/>
          <w:szCs w:val="24"/>
          <w:highlight w:val="none"/>
        </w:rPr>
        <w:t xml:space="preserve">暴雨期间、泄洪、丰水期等浊度影响较大的情况，系统应针对性的提供多种设计方式。 </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（1）配水管路设计合理，流向清晰，便于维护；保证仪器分析测试的水样应能代表断面水质情况并满足仪器测试需求；</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（2）配水单元具备自动反清（吹）洗功能，防止菌类和藻类等微生物对样品污染或对系统工作造成不良影响，设计中不使用对环境产生污染的清洗方法；</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（3）配水主管路采用串联方式，各仪器之间管路采用并联方式，每台仪器从各自的取样杯中取水，任何仪器的配水管路出现故障不能影响其他仪器的测试；</w:t>
      </w:r>
      <w:r>
        <w:rPr>
          <w:rFonts w:hint="eastAsia" w:ascii="仿宋" w:hAnsi="仿宋" w:eastAsia="仿宋" w:cs="仿宋"/>
          <w:color w:val="auto"/>
          <w:kern w:val="0"/>
          <w:sz w:val="24"/>
          <w:szCs w:val="24"/>
          <w:highlight w:val="none"/>
        </w:rPr>
        <w:tab/>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（4）具备可扩展功能，水站预留不少于4台设备的接水口、排水口以及水样比对实验用的手动取水口；</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（5）能配合系统实现水样自动分配、自动预处理、故障自动报警、关键部件工作状态的显示和反控等功能；</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（6）配水单元的所有操作均可通过控制单元实现，并接受平台端的远程控制；</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（7）所选管材机械强度及化学稳定性好、使用寿命长、便于安装维护，不会对水样水质造成影响；管路内径、压力、流量、流速满足仪器分析需要，并留有余量</w:t>
      </w:r>
      <w:r>
        <w:rPr>
          <w:rFonts w:hint="eastAsia" w:ascii="仿宋" w:hAnsi="仿宋" w:eastAsia="仿宋" w:cs="仿宋"/>
          <w:color w:val="auto"/>
          <w:kern w:val="0"/>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（二）控制单元</w:t>
      </w:r>
    </w:p>
    <w:p>
      <w:pPr>
        <w:keepNext w:val="0"/>
        <w:keepLines w:val="0"/>
        <w:pageBreakBefore w:val="0"/>
        <w:shd w:val="clear"/>
        <w:kinsoku/>
        <w:wordWrap/>
        <w:overflowPunct/>
        <w:bidi w:val="0"/>
        <w:spacing w:line="360" w:lineRule="auto"/>
        <w:ind w:firstLine="55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控制单元对采水单元、配水及预处理单元、分析单元、留样单元、辅助单元等进行控制，并实现数据采集与传输功能，保证系统连续、可靠和安全运行。</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1）功能要求</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（1）具有断电保护功能，能够在断电时保存系统参数和历史数据，在来电时自动恢复系统；</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（2）具备自动采集数据功能，包括自动采集水质自动分析仪器数据、集成控制数据等，采集的数据应自动添加数据标识，异常监测数据能自动识别，并主动上传至中心平台；</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（3）具备单点控制功能，能够对单一控制点（阀、泵等）进行调试；</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（4）具备对自动分析仪器的启停、校时、校准、质控测试等控制功能；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（5）具备对留样单元的留样、排样的控制功能；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（6）能够兼容视频监控设备并能实现对视频设备进行校时、重新启动、参数设置、软件升级、远程维护等功能；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（7）具备参数设置功能，能够对小数位、单位、仪器测定上下限、报警（超标）上下限等参数进行设置；</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（8）具备各仪器监测结果、状态参数、运行流程、报警信息等显示的功能；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（9）具有监测数据查询、导出、自动备份功能，可分类查询水质周期数据、质控数据</w:t>
      </w:r>
      <w:r>
        <w:rPr>
          <w:rFonts w:hint="eastAsia" w:ascii="仿宋" w:hAnsi="仿宋" w:eastAsia="仿宋" w:cs="仿宋"/>
          <w:color w:val="auto"/>
          <w:kern w:val="0"/>
          <w:sz w:val="24"/>
          <w:szCs w:val="24"/>
          <w:highlight w:val="none"/>
          <w:lang w:val="en-US" w:eastAsia="zh-CN"/>
        </w:rPr>
        <w:t>（空白测试数据、标样核查数据、加标</w:t>
      </w:r>
      <w:r>
        <w:rPr>
          <w:rFonts w:hint="eastAsia" w:ascii="仿宋" w:hAnsi="仿宋" w:eastAsia="仿宋" w:cs="仿宋"/>
          <w:color w:val="auto"/>
          <w:kern w:val="0"/>
          <w:sz w:val="24"/>
          <w:szCs w:val="24"/>
          <w:highlight w:val="none"/>
        </w:rPr>
        <w:t>回收率数据等）及其对应的仪器、系统日志流程信息</w:t>
      </w:r>
      <w:r>
        <w:rPr>
          <w:rFonts w:hint="eastAsia" w:ascii="仿宋" w:hAnsi="仿宋" w:eastAsia="仿宋" w:cs="仿宋"/>
          <w:color w:val="auto"/>
          <w:kern w:val="0"/>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能够按照设定周期或远程接受指令，实现对高锰酸盐指数、氨氮、总磷和总氮水质自动分析仪器进行标样自动核查、平行样品自动测试、自动加标回收率测试等质控功能，以及在异常情况下自动留样功能等。</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 ）硬件设备技术参数</w:t>
      </w:r>
    </w:p>
    <w:p>
      <w:pPr>
        <w:keepNext w:val="0"/>
        <w:keepLines w:val="0"/>
        <w:pageBreakBefore w:val="0"/>
        <w:shd w:val="clear"/>
        <w:kinsoku/>
        <w:wordWrap/>
        <w:overflowPunct/>
        <w:bidi w:val="0"/>
        <w:spacing w:line="360" w:lineRule="auto"/>
        <w:ind w:firstLine="55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（1）工业控制计算机</w:t>
      </w:r>
    </w:p>
    <w:tbl>
      <w:tblPr>
        <w:tblStyle w:val="64"/>
        <w:tblW w:w="7650" w:type="dxa"/>
        <w:jc w:val="center"/>
        <w:tblLayout w:type="fixed"/>
        <w:tblCellMar>
          <w:top w:w="0" w:type="dxa"/>
          <w:left w:w="0" w:type="dxa"/>
          <w:bottom w:w="0" w:type="dxa"/>
          <w:right w:w="0" w:type="dxa"/>
        </w:tblCellMar>
      </w:tblPr>
      <w:tblGrid>
        <w:gridCol w:w="816"/>
        <w:gridCol w:w="2014"/>
        <w:gridCol w:w="4820"/>
      </w:tblGrid>
      <w:tr>
        <w:trPr>
          <w:trHeight w:val="478"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top"/>
          </w:tcPr>
          <w:p>
            <w:pPr>
              <w:pStyle w:val="956"/>
              <w:shd w:val="clear"/>
              <w:spacing w:before="39"/>
              <w:ind w:left="160"/>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序号</w:t>
            </w:r>
          </w:p>
        </w:tc>
        <w:tc>
          <w:tcPr>
            <w:tcW w:w="2014" w:type="dxa"/>
            <w:tcBorders>
              <w:top w:val="single" w:color="000000" w:sz="4" w:space="0"/>
              <w:left w:val="single" w:color="000000" w:sz="4" w:space="0"/>
              <w:bottom w:val="single" w:color="000000" w:sz="4" w:space="0"/>
              <w:right w:val="single" w:color="000000" w:sz="4" w:space="0"/>
            </w:tcBorders>
            <w:noWrap w:val="0"/>
            <w:vAlign w:val="top"/>
          </w:tcPr>
          <w:p>
            <w:pPr>
              <w:pStyle w:val="956"/>
              <w:shd w:val="clear"/>
              <w:spacing w:before="39"/>
              <w:ind w:left="220"/>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指标名称</w:t>
            </w:r>
          </w:p>
        </w:tc>
        <w:tc>
          <w:tcPr>
            <w:tcW w:w="4820" w:type="dxa"/>
            <w:tcBorders>
              <w:top w:val="single" w:color="000000" w:sz="4" w:space="0"/>
              <w:left w:val="single" w:color="000000" w:sz="4" w:space="0"/>
              <w:bottom w:val="single" w:color="000000" w:sz="4" w:space="0"/>
              <w:right w:val="single" w:color="000000" w:sz="4" w:space="0"/>
            </w:tcBorders>
            <w:noWrap w:val="0"/>
            <w:vAlign w:val="top"/>
          </w:tcPr>
          <w:p>
            <w:pPr>
              <w:pStyle w:val="956"/>
              <w:shd w:val="clear"/>
              <w:spacing w:before="39"/>
              <w:jc w:val="center"/>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性能指标</w:t>
            </w:r>
          </w:p>
        </w:tc>
      </w:tr>
      <w:tr>
        <w:tblPrEx>
          <w:tblCellMar>
            <w:top w:w="0" w:type="dxa"/>
            <w:left w:w="0" w:type="dxa"/>
            <w:bottom w:w="0" w:type="dxa"/>
            <w:right w:w="0" w:type="dxa"/>
          </w:tblCellMar>
        </w:tblPrEx>
        <w:trPr>
          <w:trHeight w:val="478"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top"/>
          </w:tcPr>
          <w:p>
            <w:pPr>
              <w:pStyle w:val="956"/>
              <w:shd w:val="clear"/>
              <w:spacing w:before="92"/>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highlight w:val="none"/>
              </w:rPr>
              <w:t>1</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pStyle w:val="956"/>
              <w:shd w:val="clear"/>
              <w:spacing w:before="92"/>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highlight w:val="none"/>
              </w:rPr>
              <w:t>CPU</w:t>
            </w:r>
          </w:p>
        </w:tc>
        <w:tc>
          <w:tcPr>
            <w:tcW w:w="4820" w:type="dxa"/>
            <w:tcBorders>
              <w:top w:val="single" w:color="000000" w:sz="4" w:space="0"/>
              <w:left w:val="single" w:color="000000" w:sz="4" w:space="0"/>
              <w:bottom w:val="single" w:color="000000" w:sz="4" w:space="0"/>
              <w:right w:val="single" w:color="000000" w:sz="4" w:space="0"/>
            </w:tcBorders>
            <w:noWrap w:val="0"/>
            <w:vAlign w:val="top"/>
          </w:tcPr>
          <w:p>
            <w:pPr>
              <w:pStyle w:val="956"/>
              <w:shd w:val="clear"/>
              <w:spacing w:before="92"/>
              <w:ind w:left="10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≥3.0GHz</w:t>
            </w:r>
          </w:p>
        </w:tc>
      </w:tr>
      <w:tr>
        <w:trPr>
          <w:trHeight w:val="478"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top"/>
          </w:tcPr>
          <w:p>
            <w:pPr>
              <w:pStyle w:val="956"/>
              <w:shd w:val="clear"/>
              <w:spacing w:before="92"/>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highlight w:val="none"/>
              </w:rPr>
              <w:t>2</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pStyle w:val="956"/>
              <w:shd w:val="clear"/>
              <w:spacing w:before="39"/>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内存</w:t>
            </w:r>
          </w:p>
        </w:tc>
        <w:tc>
          <w:tcPr>
            <w:tcW w:w="4820" w:type="dxa"/>
            <w:tcBorders>
              <w:top w:val="single" w:color="000000" w:sz="4" w:space="0"/>
              <w:left w:val="single" w:color="000000" w:sz="4" w:space="0"/>
              <w:bottom w:val="single" w:color="000000" w:sz="4" w:space="0"/>
              <w:right w:val="single" w:color="000000" w:sz="4" w:space="0"/>
            </w:tcBorders>
            <w:noWrap w:val="0"/>
            <w:vAlign w:val="top"/>
          </w:tcPr>
          <w:p>
            <w:pPr>
              <w:pStyle w:val="956"/>
              <w:shd w:val="clear"/>
              <w:spacing w:before="92"/>
              <w:ind w:left="10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≥4GB</w:t>
            </w:r>
          </w:p>
        </w:tc>
      </w:tr>
      <w:tr>
        <w:tblPrEx>
          <w:tblCellMar>
            <w:top w:w="0" w:type="dxa"/>
            <w:left w:w="0" w:type="dxa"/>
            <w:bottom w:w="0" w:type="dxa"/>
            <w:right w:w="0" w:type="dxa"/>
          </w:tblCellMar>
        </w:tblPrEx>
        <w:trPr>
          <w:trHeight w:val="478"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top"/>
          </w:tcPr>
          <w:p>
            <w:pPr>
              <w:pStyle w:val="956"/>
              <w:shd w:val="clear"/>
              <w:spacing w:before="92"/>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highlight w:val="none"/>
              </w:rPr>
              <w:t>3</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pStyle w:val="956"/>
              <w:shd w:val="clear"/>
              <w:spacing w:before="39"/>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硬盘容量</w:t>
            </w:r>
          </w:p>
        </w:tc>
        <w:tc>
          <w:tcPr>
            <w:tcW w:w="4820" w:type="dxa"/>
            <w:tcBorders>
              <w:top w:val="single" w:color="000000" w:sz="4" w:space="0"/>
              <w:left w:val="single" w:color="000000" w:sz="4" w:space="0"/>
              <w:bottom w:val="single" w:color="000000" w:sz="4" w:space="0"/>
              <w:right w:val="single" w:color="000000" w:sz="4" w:space="0"/>
            </w:tcBorders>
            <w:noWrap w:val="0"/>
            <w:vAlign w:val="top"/>
          </w:tcPr>
          <w:p>
            <w:pPr>
              <w:pStyle w:val="956"/>
              <w:shd w:val="clear"/>
              <w:spacing w:before="92"/>
              <w:ind w:left="10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≥500GB</w:t>
            </w:r>
          </w:p>
        </w:tc>
      </w:tr>
      <w:tr>
        <w:trPr>
          <w:trHeight w:val="480" w:hRule="exact"/>
          <w:jc w:val="center"/>
        </w:trPr>
        <w:tc>
          <w:tcPr>
            <w:tcW w:w="816" w:type="dxa"/>
            <w:tcBorders>
              <w:top w:val="single" w:color="000000" w:sz="4" w:space="0"/>
              <w:left w:val="single" w:color="000000" w:sz="4" w:space="0"/>
              <w:bottom w:val="single" w:color="000000" w:sz="4" w:space="0"/>
              <w:right w:val="single" w:color="000000" w:sz="4" w:space="0"/>
            </w:tcBorders>
            <w:noWrap w:val="0"/>
            <w:vAlign w:val="top"/>
          </w:tcPr>
          <w:p>
            <w:pPr>
              <w:pStyle w:val="956"/>
              <w:shd w:val="clear"/>
              <w:spacing w:before="95"/>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highlight w:val="none"/>
              </w:rPr>
              <w:t>4</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pStyle w:val="956"/>
              <w:shd w:val="clear"/>
              <w:spacing w:before="41"/>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显示器</w:t>
            </w:r>
          </w:p>
        </w:tc>
        <w:tc>
          <w:tcPr>
            <w:tcW w:w="4820" w:type="dxa"/>
            <w:tcBorders>
              <w:top w:val="single" w:color="000000" w:sz="4" w:space="0"/>
              <w:left w:val="single" w:color="000000" w:sz="4" w:space="0"/>
              <w:bottom w:val="single" w:color="000000" w:sz="4" w:space="0"/>
              <w:right w:val="single" w:color="000000" w:sz="4" w:space="0"/>
            </w:tcBorders>
            <w:noWrap w:val="0"/>
            <w:vAlign w:val="top"/>
          </w:tcPr>
          <w:p>
            <w:pPr>
              <w:pStyle w:val="956"/>
              <w:shd w:val="clear"/>
              <w:spacing w:before="41"/>
              <w:ind w:left="10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≥12 英寸</w:t>
            </w:r>
          </w:p>
        </w:tc>
      </w:tr>
      <w:tr>
        <w:tblPrEx>
          <w:tblCellMar>
            <w:top w:w="0" w:type="dxa"/>
            <w:left w:w="0" w:type="dxa"/>
            <w:bottom w:w="0" w:type="dxa"/>
            <w:right w:w="0" w:type="dxa"/>
          </w:tblCellMar>
        </w:tblPrEx>
        <w:trPr>
          <w:trHeight w:val="478" w:hRule="exact"/>
          <w:jc w:val="center"/>
        </w:trPr>
        <w:tc>
          <w:tcPr>
            <w:tcW w:w="816" w:type="dxa"/>
            <w:vMerge w:val="restart"/>
            <w:tcBorders>
              <w:top w:val="single" w:color="000000" w:sz="4" w:space="0"/>
              <w:left w:val="single" w:color="000000" w:sz="4" w:space="0"/>
              <w:right w:val="single" w:color="000000" w:sz="4" w:space="0"/>
            </w:tcBorders>
            <w:noWrap w:val="0"/>
            <w:vAlign w:val="top"/>
          </w:tcPr>
          <w:p>
            <w:pPr>
              <w:pStyle w:val="956"/>
              <w:shd w:val="clear"/>
              <w:spacing w:before="4"/>
              <w:rPr>
                <w:rFonts w:hint="eastAsia" w:ascii="仿宋" w:hAnsi="仿宋" w:eastAsia="仿宋" w:cs="仿宋"/>
                <w:color w:val="auto"/>
                <w:kern w:val="2"/>
                <w:sz w:val="25"/>
                <w:szCs w:val="25"/>
                <w:highlight w:val="none"/>
              </w:rPr>
            </w:pPr>
          </w:p>
          <w:p>
            <w:pPr>
              <w:pStyle w:val="956"/>
              <w:shd w:val="clear"/>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highlight w:val="none"/>
              </w:rPr>
              <w:t>5</w:t>
            </w:r>
          </w:p>
        </w:tc>
        <w:tc>
          <w:tcPr>
            <w:tcW w:w="2014" w:type="dxa"/>
            <w:vMerge w:val="restart"/>
            <w:tcBorders>
              <w:top w:val="single" w:color="000000" w:sz="4" w:space="0"/>
              <w:left w:val="single" w:color="000000" w:sz="4" w:space="0"/>
              <w:right w:val="single" w:color="000000" w:sz="4" w:space="0"/>
            </w:tcBorders>
            <w:noWrap w:val="0"/>
            <w:vAlign w:val="center"/>
          </w:tcPr>
          <w:p>
            <w:pPr>
              <w:pStyle w:val="956"/>
              <w:shd w:val="clear"/>
              <w:ind w:left="223"/>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通讯接口</w:t>
            </w:r>
          </w:p>
        </w:tc>
        <w:tc>
          <w:tcPr>
            <w:tcW w:w="4820" w:type="dxa"/>
            <w:tcBorders>
              <w:top w:val="single" w:color="000000" w:sz="4" w:space="0"/>
              <w:left w:val="single" w:color="000000" w:sz="4" w:space="0"/>
              <w:bottom w:val="single" w:color="000000" w:sz="4" w:space="0"/>
              <w:right w:val="single" w:color="000000" w:sz="4" w:space="0"/>
            </w:tcBorders>
            <w:noWrap w:val="0"/>
            <w:vAlign w:val="top"/>
          </w:tcPr>
          <w:p>
            <w:pPr>
              <w:pStyle w:val="956"/>
              <w:shd w:val="clear"/>
              <w:spacing w:before="39"/>
              <w:ind w:left="10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RS-232/485</w:t>
            </w:r>
            <w:r>
              <w:rPr>
                <w:rFonts w:hint="eastAsia" w:ascii="仿宋" w:hAnsi="仿宋" w:eastAsia="仿宋" w:cs="仿宋"/>
                <w:color w:val="auto"/>
                <w:kern w:val="2"/>
                <w:sz w:val="24"/>
                <w:szCs w:val="24"/>
                <w:highlight w:val="none"/>
                <w:lang w:eastAsia="zh-CN"/>
              </w:rPr>
              <w:t xml:space="preserve"> </w:t>
            </w:r>
            <w:r>
              <w:rPr>
                <w:rFonts w:hint="eastAsia" w:ascii="仿宋" w:hAnsi="仿宋" w:eastAsia="仿宋" w:cs="仿宋"/>
                <w:color w:val="auto"/>
                <w:kern w:val="2"/>
                <w:sz w:val="24"/>
                <w:szCs w:val="24"/>
                <w:highlight w:val="none"/>
              </w:rPr>
              <w:t>COM口，不小于</w:t>
            </w:r>
            <w:r>
              <w:rPr>
                <w:rFonts w:hint="eastAsia" w:ascii="仿宋" w:hAnsi="仿宋" w:eastAsia="仿宋" w:cs="仿宋"/>
                <w:color w:val="auto"/>
                <w:spacing w:val="-61"/>
                <w:kern w:val="2"/>
                <w:sz w:val="24"/>
                <w:szCs w:val="24"/>
                <w:highlight w:val="none"/>
              </w:rPr>
              <w:t xml:space="preserve"> </w:t>
            </w:r>
            <w:r>
              <w:rPr>
                <w:rFonts w:hint="eastAsia" w:ascii="仿宋" w:hAnsi="仿宋" w:eastAsia="仿宋" w:cs="仿宋"/>
                <w:color w:val="auto"/>
                <w:kern w:val="2"/>
                <w:sz w:val="24"/>
                <w:szCs w:val="24"/>
                <w:highlight w:val="none"/>
              </w:rPr>
              <w:t>8个</w:t>
            </w:r>
          </w:p>
        </w:tc>
      </w:tr>
      <w:tr>
        <w:tblPrEx>
          <w:tblCellMar>
            <w:top w:w="0" w:type="dxa"/>
            <w:left w:w="0" w:type="dxa"/>
            <w:bottom w:w="0" w:type="dxa"/>
            <w:right w:w="0" w:type="dxa"/>
          </w:tblCellMar>
        </w:tblPrEx>
        <w:trPr>
          <w:trHeight w:val="478" w:hRule="exact"/>
          <w:jc w:val="center"/>
        </w:trPr>
        <w:tc>
          <w:tcPr>
            <w:tcW w:w="816" w:type="dxa"/>
            <w:vMerge w:val="continue"/>
            <w:tcBorders>
              <w:left w:val="single" w:color="000000" w:sz="4" w:space="0"/>
              <w:bottom w:val="single" w:color="000000" w:sz="4" w:space="0"/>
              <w:right w:val="single" w:color="000000" w:sz="4" w:space="0"/>
            </w:tcBorders>
            <w:noWrap w:val="0"/>
            <w:vAlign w:val="top"/>
          </w:tcPr>
          <w:p>
            <w:pPr>
              <w:shd w:val="clear"/>
              <w:rPr>
                <w:rFonts w:hint="eastAsia" w:ascii="仿宋" w:hAnsi="仿宋" w:eastAsia="仿宋" w:cs="仿宋"/>
                <w:color w:val="auto"/>
                <w:highlight w:val="none"/>
              </w:rPr>
            </w:pPr>
          </w:p>
        </w:tc>
        <w:tc>
          <w:tcPr>
            <w:tcW w:w="2014" w:type="dxa"/>
            <w:vMerge w:val="continue"/>
            <w:tcBorders>
              <w:left w:val="single" w:color="000000" w:sz="4" w:space="0"/>
              <w:bottom w:val="single" w:color="000000" w:sz="4" w:space="0"/>
              <w:right w:val="single" w:color="000000" w:sz="4" w:space="0"/>
            </w:tcBorders>
            <w:noWrap w:val="0"/>
            <w:vAlign w:val="top"/>
          </w:tcPr>
          <w:p>
            <w:pPr>
              <w:shd w:val="clear"/>
              <w:rPr>
                <w:rFonts w:hint="eastAsia" w:ascii="仿宋" w:hAnsi="仿宋" w:eastAsia="仿宋" w:cs="仿宋"/>
                <w:color w:val="auto"/>
                <w:highlight w:val="none"/>
              </w:rPr>
            </w:pPr>
          </w:p>
        </w:tc>
        <w:tc>
          <w:tcPr>
            <w:tcW w:w="4820" w:type="dxa"/>
            <w:tcBorders>
              <w:top w:val="single" w:color="000000" w:sz="4" w:space="0"/>
              <w:left w:val="single" w:color="000000" w:sz="4" w:space="0"/>
              <w:bottom w:val="single" w:color="000000" w:sz="4" w:space="0"/>
              <w:right w:val="single" w:color="000000" w:sz="4" w:space="0"/>
            </w:tcBorders>
            <w:noWrap w:val="0"/>
            <w:vAlign w:val="top"/>
          </w:tcPr>
          <w:p>
            <w:pPr>
              <w:pStyle w:val="956"/>
              <w:shd w:val="clear"/>
              <w:spacing w:before="39"/>
              <w:ind w:left="10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网口，不少于</w:t>
            </w:r>
            <w:r>
              <w:rPr>
                <w:rFonts w:hint="eastAsia" w:ascii="仿宋" w:hAnsi="仿宋" w:eastAsia="仿宋" w:cs="仿宋"/>
                <w:color w:val="auto"/>
                <w:spacing w:val="-60"/>
                <w:kern w:val="2"/>
                <w:sz w:val="24"/>
                <w:szCs w:val="24"/>
                <w:highlight w:val="none"/>
              </w:rPr>
              <w:t xml:space="preserve"> </w:t>
            </w:r>
            <w:r>
              <w:rPr>
                <w:rFonts w:hint="eastAsia" w:ascii="仿宋" w:hAnsi="仿宋" w:eastAsia="仿宋" w:cs="仿宋"/>
                <w:color w:val="auto"/>
                <w:kern w:val="2"/>
                <w:sz w:val="24"/>
                <w:szCs w:val="24"/>
                <w:highlight w:val="none"/>
              </w:rPr>
              <w:t>2个</w:t>
            </w:r>
          </w:p>
        </w:tc>
      </w:tr>
    </w:tbl>
    <w:p>
      <w:pPr>
        <w:pStyle w:val="63"/>
        <w:shd w:val="clear"/>
        <w:rPr>
          <w:rFonts w:hint="eastAsia" w:ascii="仿宋" w:hAnsi="仿宋" w:eastAsia="仿宋" w:cs="仿宋"/>
          <w:color w:val="auto"/>
          <w:highlight w:val="none"/>
        </w:rPr>
      </w:pPr>
    </w:p>
    <w:p>
      <w:pPr>
        <w:keepNext w:val="0"/>
        <w:keepLines w:val="0"/>
        <w:pageBreakBefore w:val="0"/>
        <w:shd w:val="clear"/>
        <w:kinsoku/>
        <w:wordWrap/>
        <w:overflowPunct/>
        <w:bidi w:val="0"/>
        <w:spacing w:line="360" w:lineRule="auto"/>
        <w:ind w:firstLine="55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（2）可编程控制器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13"/>
        <w:gridCol w:w="4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17"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2013"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4892"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17"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3"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扩展能力</w:t>
            </w:r>
          </w:p>
        </w:tc>
        <w:tc>
          <w:tcPr>
            <w:tcW w:w="4892" w:type="dxa"/>
            <w:noWrap w:val="0"/>
            <w:vAlign w:val="center"/>
          </w:tcPr>
          <w:p>
            <w:pPr>
              <w:keepNext w:val="0"/>
              <w:keepLines w:val="0"/>
              <w:pageBreakBefore w:val="0"/>
              <w:widowControl/>
              <w:shd w:val="clear"/>
              <w:kinsoku/>
              <w:wordWrap/>
              <w:overflowPunct/>
              <w:bidi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控制器输入输出接口满足需求且余量不少于4路，以便以后扩展。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17"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3" w:type="dxa"/>
            <w:noWrap w:val="0"/>
            <w:vAlign w:val="center"/>
          </w:tcPr>
          <w:p>
            <w:pPr>
              <w:keepNext w:val="0"/>
              <w:keepLines w:val="0"/>
              <w:pageBreakBefore w:val="0"/>
              <w:widowControl/>
              <w:shd w:val="clear"/>
              <w:kinsoku/>
              <w:wordWrap/>
              <w:overflowPunct/>
              <w:bidi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防雷抗干扰能力</w:t>
            </w:r>
          </w:p>
        </w:tc>
        <w:tc>
          <w:tcPr>
            <w:tcW w:w="4892" w:type="dxa"/>
            <w:noWrap w:val="0"/>
            <w:vAlign w:val="center"/>
          </w:tcPr>
          <w:p>
            <w:pPr>
              <w:keepNext w:val="0"/>
              <w:keepLines w:val="0"/>
              <w:pageBreakBefore w:val="0"/>
              <w:widowControl/>
              <w:shd w:val="clear"/>
              <w:kinsoku/>
              <w:wordWrap/>
              <w:overflowPunct/>
              <w:bidi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符合抗电磁辐射、电磁感应的相关规定，具备电源隔离和信号隔离措施。</w:t>
            </w:r>
          </w:p>
        </w:tc>
      </w:tr>
    </w:tbl>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（三）数据采集与传输要求</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1）数据采集与存储</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（1）采集自动分析仪器的监测数据，并分类保存；</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（2）采集自动分析仪器和集成系统各单元的工作状态量，并以运行日志的形式记录保存；</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（3）断电后能自动保存历史数据和参数设置</w:t>
      </w:r>
      <w:r>
        <w:rPr>
          <w:rFonts w:hint="eastAsia" w:ascii="仿宋" w:hAnsi="仿宋" w:eastAsia="仿宋" w:cs="仿宋"/>
          <w:color w:val="auto"/>
          <w:kern w:val="0"/>
          <w:sz w:val="24"/>
          <w:szCs w:val="24"/>
          <w:highlight w:val="none"/>
          <w:lang w:val="en-US" w:eastAsia="zh-CN"/>
        </w:rPr>
        <w:t>;</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）能够实时采集视频信息并传输至中心平台</w:t>
      </w:r>
      <w:r>
        <w:rPr>
          <w:rFonts w:hint="eastAsia" w:ascii="仿宋" w:hAnsi="仿宋" w:eastAsia="仿宋" w:cs="仿宋"/>
          <w:color w:val="auto"/>
          <w:kern w:val="0"/>
          <w:sz w:val="24"/>
          <w:szCs w:val="24"/>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2）数据传输与通讯</w:t>
      </w:r>
    </w:p>
    <w:p>
      <w:pPr>
        <w:pStyle w:val="611"/>
        <w:keepNext w:val="0"/>
        <w:keepLines w:val="0"/>
        <w:pageBreakBefore w:val="0"/>
        <w:shd w:val="clear"/>
        <w:kinsoku/>
        <w:wordWrap/>
        <w:overflowPunct/>
        <w:bidi w:val="0"/>
        <w:spacing w:line="360" w:lineRule="auto"/>
        <w:ind w:left="560" w:firstLine="0" w:firstLineChars="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（1）采用有线的通讯方式满足数据传输要求；</w:t>
      </w:r>
    </w:p>
    <w:p>
      <w:pPr>
        <w:pStyle w:val="611"/>
        <w:keepNext w:val="0"/>
        <w:keepLines w:val="0"/>
        <w:pageBreakBefore w:val="0"/>
        <w:shd w:val="clear"/>
        <w:kinsoku/>
        <w:wordWrap/>
        <w:overflowPunct/>
        <w:bidi w:val="0"/>
        <w:spacing w:line="360" w:lineRule="auto"/>
        <w:ind w:left="560" w:firstLine="0" w:firstLineChars="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（2）采用虚拟专用网络（VPN）和环保专网数据等传输方式；</w:t>
      </w:r>
    </w:p>
    <w:p>
      <w:pPr>
        <w:pStyle w:val="611"/>
        <w:keepNext w:val="0"/>
        <w:keepLines w:val="0"/>
        <w:pageBreakBefore w:val="0"/>
        <w:shd w:val="clear"/>
        <w:kinsoku/>
        <w:wordWrap/>
        <w:overflowPunct/>
        <w:bidi w:val="0"/>
        <w:spacing w:line="360" w:lineRule="auto"/>
        <w:ind w:left="560" w:firstLine="0" w:firstLineChars="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（3）具备对通信链路的自动诊断功能，具备超时补发功能。</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（四）留样单元</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（1）具备水样冷藏功能，温度在4±2℃； </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（2）留样瓶数≥12个； </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（3）留样瓶由惰性材料制成，易清洗，容量应在500mL</w:t>
      </w:r>
      <w:r>
        <w:rPr>
          <w:rFonts w:hint="eastAsia" w:ascii="仿宋" w:hAnsi="仿宋" w:eastAsia="仿宋" w:cs="仿宋"/>
          <w:color w:val="auto"/>
          <w:kern w:val="0"/>
          <w:sz w:val="24"/>
          <w:szCs w:val="24"/>
          <w:highlight w:val="none"/>
        </w:rPr>
        <w:t xml:space="preserve">以上； </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（4）留样瓶具有密封功能； </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（5）具有留样后自动排空的功能； </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（6）具有留样失败报警功能。 </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（五）辅助单元</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辅助单元应包含UPS、稳压电源、防雷单元、废液单元、自动灭火装置等部分。</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（1）配备UPS（总功率≥3KW，断电后至少能保证仪器完成一个测量周期和数据上传，且待机不少于1h）、三相稳压电源（功率≥10KW）、系统集成机柜、维护专用成套工具等；</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（2）配备废液</w:t>
      </w:r>
      <w:r>
        <w:rPr>
          <w:rFonts w:hint="eastAsia" w:ascii="仿宋" w:hAnsi="仿宋" w:eastAsia="仿宋" w:cs="仿宋"/>
          <w:color w:val="auto"/>
          <w:sz w:val="24"/>
          <w:szCs w:val="24"/>
          <w:highlight w:val="none"/>
        </w:rPr>
        <w:t>自动处理单元或</w:t>
      </w:r>
      <w:r>
        <w:rPr>
          <w:rFonts w:hint="eastAsia" w:ascii="仿宋" w:hAnsi="仿宋" w:eastAsia="仿宋" w:cs="仿宋"/>
          <w:color w:val="auto"/>
          <w:kern w:val="0"/>
          <w:sz w:val="24"/>
          <w:szCs w:val="24"/>
          <w:highlight w:val="none"/>
        </w:rPr>
        <w:t>废液收集单元，满足两周以上废液量的收集；</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（3）为保证系统稳定、可靠运行，必须具有电源、信号等设施的三级防雷措施；</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）应配置便携式气体灭火器</w:t>
      </w:r>
      <w:r>
        <w:rPr>
          <w:rFonts w:hint="eastAsia" w:ascii="仿宋" w:hAnsi="仿宋" w:eastAsia="仿宋" w:cs="仿宋"/>
          <w:color w:val="auto"/>
          <w:kern w:val="0"/>
          <w:sz w:val="24"/>
          <w:szCs w:val="24"/>
          <w:highlight w:val="none"/>
          <w:lang w:eastAsia="zh-CN"/>
        </w:rPr>
        <w:t>和</w:t>
      </w:r>
      <w:r>
        <w:rPr>
          <w:rFonts w:hint="eastAsia" w:ascii="仿宋" w:hAnsi="仿宋" w:eastAsia="仿宋" w:cs="仿宋"/>
          <w:color w:val="auto"/>
          <w:kern w:val="0"/>
          <w:sz w:val="24"/>
          <w:szCs w:val="24"/>
          <w:highlight w:val="none"/>
        </w:rPr>
        <w:t>自动灭火装置，</w:t>
      </w:r>
      <w:r>
        <w:rPr>
          <w:rFonts w:hint="eastAsia" w:ascii="仿宋" w:hAnsi="仿宋" w:eastAsia="仿宋" w:cs="仿宋"/>
          <w:color w:val="auto"/>
          <w:kern w:val="0"/>
          <w:sz w:val="24"/>
          <w:szCs w:val="24"/>
          <w:highlight w:val="none"/>
          <w:lang w:eastAsia="zh-CN"/>
        </w:rPr>
        <w:t>自动灭火装置</w:t>
      </w:r>
      <w:r>
        <w:rPr>
          <w:rFonts w:hint="eastAsia" w:ascii="仿宋" w:hAnsi="仿宋" w:eastAsia="仿宋" w:cs="仿宋"/>
          <w:color w:val="auto"/>
          <w:kern w:val="0"/>
          <w:sz w:val="24"/>
          <w:szCs w:val="24"/>
          <w:highlight w:val="none"/>
        </w:rPr>
        <w:t>采用悬挂式灭火器，灭火材料须对人体和设备无害。</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（六）系统防雷设备技术要求</w:t>
      </w:r>
    </w:p>
    <w:p>
      <w:pPr>
        <w:keepNext w:val="0"/>
        <w:keepLines w:val="0"/>
        <w:pageBreakBefore w:val="0"/>
        <w:shd w:val="clear"/>
        <w:kinsoku/>
        <w:wordWrap/>
        <w:overflowPunct/>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系统配置全面的防感应雷措施，防雷器和通讯线路防雷器采用优质防雷模块，有效防止雷击对系统造成的损坏。</w:t>
      </w:r>
    </w:p>
    <w:p>
      <w:pPr>
        <w:keepNext w:val="0"/>
        <w:keepLines w:val="0"/>
        <w:pageBreakBefore w:val="0"/>
        <w:shd w:val="clear"/>
        <w:kinsoku/>
        <w:wordWrap/>
        <w:overflowPunct/>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内部防雷装置由等电位连接系统、共用接地系统、屏蔽系统、合理布线系统、浪涌保护器等组成，主要用于减小和防止雷电流在需防空间内所产生的电磁效应，包括通讯系统、供电系统、视频系统、仪器设备等。</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（七）视频监控技术要求</w:t>
      </w:r>
    </w:p>
    <w:p>
      <w:pPr>
        <w:pStyle w:val="58"/>
        <w:keepNext w:val="0"/>
        <w:keepLines w:val="0"/>
        <w:widowControl/>
        <w:suppressLineNumbers w:val="0"/>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站房须安装视频监控系统，可远程监视水站站房内设备整体运行情况，观察采水设施工作状况，采水口周边水位、水流等情况，可观察水站院落、站房、供电线路等周边环境。</w:t>
      </w:r>
    </w:p>
    <w:p>
      <w:pPr>
        <w:pStyle w:val="58"/>
        <w:keepNext w:val="0"/>
        <w:keepLines w:val="0"/>
        <w:widowControl/>
        <w:suppressLineNumbers w:val="0"/>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（1）设备布设</w:t>
      </w:r>
    </w:p>
    <w:p>
      <w:pPr>
        <w:pStyle w:val="58"/>
        <w:keepNext w:val="0"/>
        <w:keepLines w:val="0"/>
        <w:widowControl/>
        <w:suppressLineNumbers w:val="0"/>
        <w:ind w:left="0" w:firstLine="64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采水口监控设备：配置球机，安装在靠近采水口岸边，并考虑50年一遇的防洪要求，用于监控采水口及周边情况。</w:t>
      </w:r>
    </w:p>
    <w:p>
      <w:pPr>
        <w:pStyle w:val="58"/>
        <w:keepNext w:val="0"/>
        <w:keepLines w:val="0"/>
        <w:widowControl/>
        <w:suppressLineNumbers w:val="0"/>
        <w:ind w:left="0" w:firstLine="64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进门处监控设备：配置枪机，安装在站房大门附近墙壁上，固定监控视角，用于监控人员进出站房情况。</w:t>
      </w:r>
    </w:p>
    <w:p>
      <w:pPr>
        <w:pStyle w:val="58"/>
        <w:keepNext w:val="0"/>
        <w:keepLines w:val="0"/>
        <w:widowControl/>
        <w:suppressLineNumbers w:val="0"/>
        <w:ind w:left="0" w:firstLine="64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仪器间监控设备：配置球机，安装在集成机柜正面墙壁上，用于监控仪器间内部设备运行情况。</w:t>
      </w:r>
    </w:p>
    <w:p>
      <w:pPr>
        <w:pStyle w:val="58"/>
        <w:keepNext w:val="0"/>
        <w:keepLines w:val="0"/>
        <w:widowControl/>
        <w:numPr>
          <w:ilvl w:val="0"/>
          <w:numId w:val="0"/>
        </w:numPr>
        <w:suppressLineNumbers w:val="0"/>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（2）功能要求</w:t>
      </w:r>
    </w:p>
    <w:p>
      <w:pPr>
        <w:pStyle w:val="58"/>
        <w:keepNext w:val="0"/>
        <w:keepLines w:val="0"/>
        <w:widowControl/>
        <w:numPr>
          <w:ilvl w:val="0"/>
          <w:numId w:val="0"/>
        </w:numPr>
        <w:suppressLineNumbers w:val="0"/>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实时监控功能：可实现24h不间断监控，实时获取监控区域内清晰的监控图像。</w:t>
      </w:r>
    </w:p>
    <w:p>
      <w:pPr>
        <w:pStyle w:val="58"/>
        <w:keepNext w:val="0"/>
        <w:keepLines w:val="0"/>
        <w:widowControl/>
        <w:suppressLineNumbers w:val="0"/>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云台操作功能：可实现全方位、多视角、无盲区、全天候监控。</w:t>
      </w:r>
    </w:p>
    <w:p>
      <w:pPr>
        <w:pStyle w:val="58"/>
        <w:keepNext w:val="0"/>
        <w:keepLines w:val="0"/>
        <w:widowControl/>
        <w:suppressLineNumbers w:val="0"/>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录像存储功能：支持前端存储和中心存储两种模式。通过前端的视音信号接入视频处理单元存储数据，满足前端存储的需要，必要时可调查取证；也可通过部署存储服务器和存储设备，满足大容量多通道并发的中心存储需要。</w:t>
      </w:r>
    </w:p>
    <w:p>
      <w:pPr>
        <w:pStyle w:val="58"/>
        <w:keepNext w:val="0"/>
        <w:keepLines w:val="0"/>
        <w:widowControl/>
        <w:suppressLineNumbers w:val="0"/>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远程维护功能：可通过系统软件对前端设备进行校时、重启、修正参数、软件升级、远程维护等操作。</w:t>
      </w:r>
    </w:p>
    <w:p>
      <w:pPr>
        <w:pStyle w:val="58"/>
        <w:keepNext w:val="0"/>
        <w:keepLines w:val="0"/>
        <w:widowControl/>
        <w:numPr>
          <w:ilvl w:val="0"/>
          <w:numId w:val="0"/>
        </w:numPr>
        <w:suppressLineNumbers w:val="0"/>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（3）性能要求</w:t>
      </w:r>
    </w:p>
    <w:p>
      <w:pPr>
        <w:pStyle w:val="58"/>
        <w:keepNext w:val="0"/>
        <w:keepLines w:val="0"/>
        <w:widowControl/>
        <w:numPr>
          <w:ilvl w:val="0"/>
          <w:numId w:val="0"/>
        </w:numPr>
        <w:suppressLineNumbers w:val="0"/>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球机带云台，可水平360度旋转，竖直0～90度旋转；带红外，支持夜间查看。网络录像机应可接驳符合ONVIF、PSLA、RTSP标准的摄像头；支持不低于200万像素高清网络视频的预览、存储和回放；支持IPC集中管理，包括IPC参数配置、信息的导入/导出、语音对讲和升级等；支持智能搜索、回放及备份；支持30天以上视频数据保存。</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2.4.其他技术要求</w:t>
      </w:r>
    </w:p>
    <w:p>
      <w:pPr>
        <w:keepNext w:val="0"/>
        <w:keepLines w:val="0"/>
        <w:pageBreakBefore w:val="0"/>
        <w:shd w:val="clear"/>
        <w:kinsoku/>
        <w:wordWrap/>
        <w:overflowPunct/>
        <w:topLinePunct/>
        <w:bidi w:val="0"/>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新建地表水站根据《浙江省水环境自动监测系统标牌制作规定》要求制作，制作完成后应安装在水站站房正门处醒目位置。</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2.5.运行维护要求</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中标单位须按照采购人的技术要求和质量控制要求，全面负责水站（站房、采水、所有仪器设备等）的日常运行维护。当采购人依据国家有关规定和技术要求出台新的运维要求时，以新要求为准。</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（1）系统运维应符合《国家地表水水质自动监测站运行维护管理实施细则（试行）》、《地表水水质自动监测站运行维护技术要求（试行）》的相关要求，报价应该包括保证整套系统正常运行的所有费用。</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（2）中标单位运行维护期间必须遵守国家的有关法律、法规及其他规定，依照有关规范和技术要求，使水站的运行结果达到采购人的考核指标要求，充分发挥水质自动监测系统的效能。</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（3）运行维护期间，</w:t>
      </w:r>
      <w:r>
        <w:rPr>
          <w:rFonts w:hint="eastAsia" w:ascii="仿宋" w:hAnsi="仿宋" w:eastAsia="仿宋" w:cs="仿宋"/>
          <w:color w:val="auto"/>
          <w:sz w:val="24"/>
          <w:szCs w:val="24"/>
          <w:highlight w:val="none"/>
          <w:lang w:eastAsia="zh-CN"/>
        </w:rPr>
        <w:t>运维人员</w:t>
      </w:r>
      <w:r>
        <w:rPr>
          <w:rFonts w:hint="eastAsia" w:ascii="仿宋" w:hAnsi="仿宋" w:eastAsia="仿宋" w:cs="仿宋"/>
          <w:color w:val="auto"/>
          <w:sz w:val="24"/>
          <w:szCs w:val="24"/>
          <w:highlight w:val="none"/>
        </w:rPr>
        <w:t>相关费用以及采水、供水、供电、通讯、采暖、试剂耗材、仪器设备维修、设施设备的年检保养和水站安全保障所发生的费用等均由中标单位支付。</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（4）中标单位须参加采购人组织的技术培训以及运维质量的相互监督检查，接受采购人或其委托相关机构的监管和考核。</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人员要求：中标单位应为本项目配置一名具备5年及以上水质自动监测站运维经验的项目经理，同</w:t>
      </w:r>
      <w:r>
        <w:rPr>
          <w:rFonts w:hint="eastAsia" w:ascii="仿宋" w:hAnsi="仿宋" w:eastAsia="仿宋" w:cs="仿宋"/>
          <w:color w:val="auto"/>
          <w:sz w:val="24"/>
          <w:szCs w:val="24"/>
          <w:highlight w:val="none"/>
          <w:lang w:eastAsia="zh-CN"/>
        </w:rPr>
        <w:t>时</w:t>
      </w:r>
      <w:r>
        <w:rPr>
          <w:rFonts w:hint="eastAsia" w:ascii="仿宋" w:hAnsi="仿宋" w:eastAsia="仿宋" w:cs="仿宋"/>
          <w:color w:val="auto"/>
          <w:sz w:val="24"/>
          <w:szCs w:val="24"/>
          <w:highlight w:val="none"/>
          <w:lang w:val="en-US" w:eastAsia="zh-CN"/>
        </w:rPr>
        <w:t>按照每3个站点配备不少于1个</w:t>
      </w:r>
      <w:r>
        <w:rPr>
          <w:rFonts w:hint="eastAsia" w:ascii="仿宋" w:hAnsi="仿宋" w:eastAsia="仿宋" w:cs="仿宋"/>
          <w:color w:val="auto"/>
          <w:sz w:val="24"/>
          <w:szCs w:val="24"/>
          <w:highlight w:val="none"/>
        </w:rPr>
        <w:t>运维人员</w:t>
      </w:r>
      <w:r>
        <w:rPr>
          <w:rFonts w:hint="eastAsia" w:ascii="仿宋" w:hAnsi="仿宋" w:eastAsia="仿宋" w:cs="仿宋"/>
          <w:color w:val="auto"/>
          <w:sz w:val="24"/>
          <w:szCs w:val="24"/>
          <w:highlight w:val="none"/>
          <w:lang w:eastAsia="zh-CN"/>
        </w:rPr>
        <w:t>的要求配置运维人员，运维人员需持证上岗，</w:t>
      </w:r>
      <w:r>
        <w:rPr>
          <w:rFonts w:hint="eastAsia" w:ascii="仿宋" w:hAnsi="仿宋" w:eastAsia="仿宋" w:cs="仿宋"/>
          <w:color w:val="auto"/>
          <w:sz w:val="24"/>
          <w:szCs w:val="24"/>
          <w:highlight w:val="none"/>
        </w:rPr>
        <w:t>具有相关的专业知识，能独立运行维护水站。</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（6）中标单位应</w:t>
      </w:r>
      <w:r>
        <w:rPr>
          <w:rFonts w:hint="eastAsia" w:ascii="仿宋" w:hAnsi="仿宋" w:eastAsia="仿宋" w:cs="仿宋"/>
          <w:color w:val="auto"/>
          <w:sz w:val="24"/>
          <w:szCs w:val="24"/>
          <w:highlight w:val="none"/>
          <w:lang w:eastAsia="zh-CN"/>
        </w:rPr>
        <w:t>在台州地区</w:t>
      </w:r>
      <w:r>
        <w:rPr>
          <w:rFonts w:hint="eastAsia" w:ascii="仿宋" w:hAnsi="仿宋" w:eastAsia="仿宋" w:cs="仿宋"/>
          <w:color w:val="auto"/>
          <w:sz w:val="24"/>
          <w:szCs w:val="24"/>
          <w:highlight w:val="none"/>
        </w:rPr>
        <w:t>设立运维服务机构，建立备品备件和备机库，</w:t>
      </w:r>
      <w:r>
        <w:rPr>
          <w:rFonts w:hint="eastAsia" w:ascii="仿宋" w:hAnsi="仿宋" w:eastAsia="仿宋" w:cs="仿宋"/>
          <w:color w:val="auto"/>
          <w:sz w:val="24"/>
          <w:szCs w:val="24"/>
          <w:highlight w:val="none"/>
          <w:lang w:val="en-US" w:eastAsia="zh-CN"/>
        </w:rPr>
        <w:t>至少为本项目</w:t>
      </w:r>
      <w:r>
        <w:rPr>
          <w:rFonts w:hint="eastAsia" w:ascii="仿宋" w:hAnsi="仿宋" w:eastAsia="仿宋" w:cs="仿宋"/>
          <w:color w:val="auto"/>
          <w:sz w:val="24"/>
          <w:szCs w:val="24"/>
          <w:highlight w:val="none"/>
        </w:rPr>
        <w:t>配备</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辆</w:t>
      </w:r>
      <w:r>
        <w:rPr>
          <w:rFonts w:hint="eastAsia" w:ascii="仿宋" w:hAnsi="仿宋" w:eastAsia="仿宋" w:cs="仿宋"/>
          <w:color w:val="auto"/>
          <w:sz w:val="24"/>
          <w:szCs w:val="24"/>
          <w:highlight w:val="none"/>
          <w:lang w:eastAsia="zh-CN"/>
        </w:rPr>
        <w:t>专用</w:t>
      </w:r>
      <w:r>
        <w:rPr>
          <w:rFonts w:hint="eastAsia" w:ascii="仿宋" w:hAnsi="仿宋" w:eastAsia="仿宋" w:cs="仿宋"/>
          <w:color w:val="auto"/>
          <w:sz w:val="24"/>
          <w:szCs w:val="24"/>
          <w:highlight w:val="none"/>
        </w:rPr>
        <w:t>运维车辆。</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（7）中标单位每日开展水站远程维护、现场维护和应急维护等工作，保证监测数据质量，并对维护过程进行详细记录。</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（8）运行维护期间，如遇采购人为水站更换或新增仪器，中标单位须配合做好新仪器的安装、调试和运行维护等工作，以及数据无缝对接到采购人指定的管理平台中。</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（9）中标单位保证站房空调及取暖设施运行正常，定期对空调进行全面的清洗。每年需通过具有资质的专业机构对防雷设施进行检测、维护或更换，并出具报告。定期更换防火设备。</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b/>
          <w:bCs/>
          <w:color w:val="auto"/>
          <w:sz w:val="21"/>
          <w:szCs w:val="21"/>
        </w:rPr>
      </w:pPr>
      <w:r>
        <w:rPr>
          <w:rFonts w:hint="eastAsia" w:ascii="仿宋" w:hAnsi="仿宋" w:eastAsia="仿宋" w:cs="仿宋"/>
          <w:color w:val="auto"/>
          <w:sz w:val="24"/>
          <w:szCs w:val="24"/>
          <w:highlight w:val="none"/>
        </w:rPr>
        <w:t>（10）运行维护期间，中标单位有责任保证水站全部资产的完整、安全并处于良好状态。如出现因中标单位安保措施不当造成的水站资产丢失、破坏的情况，中标单位须复原并尽快恢复运行，所发生的费用由中标单位承担。中标单位须协助采购人做好水站固定资产登记管理等工作。</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针对异常数据、系统故障和数据缺失等情况，中标单位必须建立一套完整的应急维护方案。</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①发生数据异常情况时应及时远程启动标样核查，通过核查结果初步判定仪表当前的状态是否正常；确系污染过程应启动水站加密测试模式，同时记录并上报；</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②水站仪器发生故障时，中标</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应及时响应（响应时间不超过8小时），并在24小时内解决所有的故障，如故障不能排除，应在48小时内更换备机；</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当出现水站长时间停电和水位不足造成水站无法自动取样时需进行人工补测，并将实验室分析结果录入数据平台；补测频率为每周两次，两次采样间隔不低于两天；根据各站仪器配置补测相关监测项目，包括氨氮、高锰酸盐指数、总磷</w:t>
      </w:r>
      <w:r>
        <w:rPr>
          <w:rFonts w:hint="eastAsia" w:ascii="仿宋" w:hAnsi="仿宋" w:eastAsia="仿宋" w:cs="仿宋"/>
          <w:color w:val="auto"/>
          <w:sz w:val="24"/>
          <w:szCs w:val="24"/>
          <w:highlight w:val="none"/>
          <w:lang w:eastAsia="zh-CN"/>
        </w:rPr>
        <w:t>、总氮</w:t>
      </w:r>
      <w:r>
        <w:rPr>
          <w:rFonts w:hint="eastAsia" w:ascii="仿宋" w:hAnsi="仿宋" w:eastAsia="仿宋" w:cs="仿宋"/>
          <w:color w:val="auto"/>
          <w:sz w:val="24"/>
          <w:szCs w:val="24"/>
          <w:highlight w:val="none"/>
        </w:rPr>
        <w:t>及水质常规五参数。</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）中标单位对水站的监测数据负有保密的责任，不得以任何方式和渠道向外界提供或用于商业用途。</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）中标单位运维期满后应保证资产完好，并做好资产交接。</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四、产品标准和规范</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技术规格书只是对一些原则性要求，并不是详尽的要求，投标人有责任对设计符合技术规范、标准负责。投标人应及时提供给业主最新相关技术标准（国外标准应翻译成中文）。投标遵守不仅限于此规格书中的标准时，要求及时解释清楚，获得业主认可后投标人推荐的标准和制造规范等效或适用于此技术规格书，业主可以接受。投标人须阐明其替换的标准或其实际使用的标准并提供所推荐的标准和制造规范。</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五、质量保证</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中标人（及制造商）对中标设备使用的安全性能与检测结果的可靠性负全部责任。</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为确保系统高质量，投标人应制定有关实施期间的质量保证计划，包括系统设计与施工规范化管理、仪器设备质量保证、技术人员资质及管理等。</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系统的完整性：投标人所提供设备应能构成一个完整的系统并按技术要求连续运行。需要业主自行解决的设备、配件应在投标文件中列出。否则，由此引起的影响整个系统正常运行所需的人力和相关设备及部件，均视为由投标人免费及时提供。对于影响系统正常工作所必须的组成部分，无论指出与否，投标人都应提供。</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2、设备的适应性：投标人所提供的设备应保证能在使用当地的水文、气候及水质条件下全天候正常运行。</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3、设备的完好性：投标人所提供的设备必须是全新的、完整的、有效的、功能齐全的设备，并且必须是技术先进的、高质量的和工艺精良的产品，所有的部件必须无任何缺陷。</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4、提供的整套设备既要体现技术先进、经济合理，又要成熟、安全可靠，并具有操作简单、管理方便的特点。</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5、提供的货物应具有出厂检验合格证，不得是长期积压产品(须于202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年1月1日后生产)。</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6、招标人不接受拼凑、组装的货物投标，不接受试制品或不成熟、未定型的货物。</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7、在试运行和质量保修期内，由于系统中软件或者硬件、仪器设备自己本身的设计缺陷的，会影响或者将来可能影响正常使用的，供应商应提供免费升级、维修及更换。</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六、系统验收</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投标人负责系统从安装、调试、试运行到验收合格前的全部运行维护工作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所有费用应包括在投标总价中，安装和验收须符合《地表水水质自动监测站安装验收技术要求（试行）》要求。在验收合格前，业主不负责系统的运行维护。</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系统试运行完成后，中标人以书面形式向业主提交验收报告及验收申请，业主审核同意后按照相关技术规范组织验收。业主只接收验收合格的系统。</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七、成果及技术资料</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本项目产生的知识产权（包括但不限于源程序、文件、资料、图标或其他媒体的著作权、专利权、商标权等）全部归业主所有及使用。</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中标人需在验收</w:t>
      </w:r>
      <w:r>
        <w:rPr>
          <w:rFonts w:hint="eastAsia" w:ascii="仿宋" w:hAnsi="仿宋" w:eastAsia="仿宋" w:cs="仿宋"/>
          <w:color w:val="auto"/>
          <w:sz w:val="24"/>
          <w:szCs w:val="24"/>
          <w:highlight w:val="none"/>
          <w:lang w:eastAsia="zh-CN"/>
        </w:rPr>
        <w:t>时向</w:t>
      </w:r>
      <w:r>
        <w:rPr>
          <w:rFonts w:hint="eastAsia" w:ascii="仿宋" w:hAnsi="仿宋" w:eastAsia="仿宋" w:cs="仿宋"/>
          <w:color w:val="auto"/>
          <w:sz w:val="24"/>
          <w:szCs w:val="24"/>
          <w:highlight w:val="none"/>
        </w:rPr>
        <w:t>业主提交以下资料：</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1、系统的体系架构及描述、网络系统的拓扑结构。</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2、提供所有仪器设备及软件系统中文说明书（每台2套），如仪器操作平台为英文，应提供中英文对照说明。</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3、每个站点1份的中文保养手册以及维修卡。</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4、每个站点1份的工艺图、技术说明和数据表（包括接线图和电路图）、仪器通讯协议、运行参数设置清单。</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5、设备各组成部件的名称（包括型号、技术规格、制造商和数量）。</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6、设备的备品备件及损耗件清单。</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7、设备及其组件的质量合格证书。</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、计算机系统运行手册、说明手册和参考手册，软件程序及组件的源码、程序说明及目标代码。</w:t>
      </w:r>
    </w:p>
    <w:p>
      <w:pPr>
        <w:rPr>
          <w:rFonts w:hint="eastAsia" w:ascii="仿宋" w:hAnsi="仿宋" w:eastAsia="仿宋" w:cs="仿宋"/>
          <w:snapToGrid w:val="0"/>
          <w:color w:val="auto"/>
          <w:kern w:val="0"/>
          <w:sz w:val="24"/>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八、其他要求</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1、投标人必须在投标文件中注明所投仪器的型号、生产厂家和技术指标。</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2、投标人为代理商的，必须在合同签订时提供所有自动监测仪器生产厂家针对本项目的授权书。</w:t>
      </w:r>
    </w:p>
    <w:p>
      <w:pPr>
        <w:keepNext w:val="0"/>
        <w:keepLines w:val="0"/>
        <w:pageBreakBefore w:val="0"/>
        <w:shd w:val="clear"/>
        <w:kinsoku/>
        <w:wordWrap/>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3、投标人必须在投标文件中提供售后服务、响应时间计划，包括用户故障的响应、处理、定期巡检的情况。</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九、资信及商务要求表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7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362" w:type="dxa"/>
            <w:noWrap w:val="0"/>
            <w:vAlign w:val="center"/>
          </w:tcPr>
          <w:p>
            <w:pPr>
              <w:keepNext w:val="0"/>
              <w:keepLines w:val="0"/>
              <w:pageBreakBefore w:val="0"/>
              <w:shd w:val="clear"/>
              <w:kinsoku/>
              <w:wordWrap/>
              <w:overflowPunct/>
              <w:autoSpaceDE w:val="0"/>
              <w:autoSpaceDN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售后服务保障要求</w:t>
            </w:r>
          </w:p>
        </w:tc>
        <w:tc>
          <w:tcPr>
            <w:tcW w:w="7317" w:type="dxa"/>
            <w:noWrap w:val="0"/>
            <w:vAlign w:val="top"/>
          </w:tcPr>
          <w:p>
            <w:pPr>
              <w:keepNext w:val="0"/>
              <w:keepLines w:val="0"/>
              <w:pageBreakBefore w:val="0"/>
              <w:shd w:val="clear"/>
              <w:kinsoku/>
              <w:wordWrap/>
              <w:overflowPunct/>
              <w:autoSpaceDE w:val="0"/>
              <w:autoSpaceDN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中标商在接到业主维修及技术服务要求后应立即作出响应，在远程不能解决问题的情况下，应在6小时内赶到现场并及时排除故障，如在24小时内还不能解决的应提供备机，保证48小时内系统恢复正常运行。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362" w:type="dxa"/>
            <w:noWrap w:val="0"/>
            <w:vAlign w:val="center"/>
          </w:tcPr>
          <w:p>
            <w:pPr>
              <w:keepNext w:val="0"/>
              <w:keepLines w:val="0"/>
              <w:pageBreakBefore w:val="0"/>
              <w:shd w:val="clear"/>
              <w:kinsoku/>
              <w:wordWrap/>
              <w:overflowPunct/>
              <w:autoSpaceDE w:val="0"/>
              <w:autoSpaceDN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7317" w:type="dxa"/>
            <w:noWrap w:val="0"/>
            <w:vAlign w:val="top"/>
          </w:tcPr>
          <w:p>
            <w:pPr>
              <w:keepNext w:val="0"/>
              <w:keepLines w:val="0"/>
              <w:pageBreakBefore w:val="0"/>
              <w:shd w:val="clear"/>
              <w:kinsoku/>
              <w:wordWrap/>
              <w:overflowPunct/>
              <w:autoSpaceDE w:val="0"/>
              <w:autoSpaceDN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整体质量保修期</w:t>
            </w:r>
            <w:r>
              <w:rPr>
                <w:rFonts w:hint="eastAsia" w:ascii="仿宋" w:hAnsi="仿宋" w:eastAsia="仿宋" w:cs="仿宋"/>
                <w:color w:val="auto"/>
                <w:sz w:val="24"/>
                <w:szCs w:val="24"/>
                <w:highlight w:val="none"/>
                <w:lang w:val="en-US" w:eastAsia="zh-CN"/>
              </w:rPr>
              <w:t>为验收合格之日起</w:t>
            </w:r>
            <w:r>
              <w:rPr>
                <w:rFonts w:hint="eastAsia" w:ascii="仿宋" w:hAnsi="仿宋" w:eastAsia="仿宋" w:cs="仿宋"/>
                <w:color w:val="auto"/>
                <w:sz w:val="24"/>
                <w:szCs w:val="24"/>
                <w:highlight w:val="none"/>
              </w:rPr>
              <w:t xml:space="preserve">1年， </w:t>
            </w:r>
            <w:r>
              <w:rPr>
                <w:rFonts w:hint="eastAsia" w:ascii="仿宋" w:hAnsi="仿宋" w:eastAsia="仿宋" w:cs="仿宋"/>
                <w:color w:val="auto"/>
                <w:sz w:val="24"/>
                <w:szCs w:val="24"/>
                <w:highlight w:val="none"/>
                <w:lang w:val="en-US" w:eastAsia="zh-CN"/>
              </w:rPr>
              <w:t>质保费用</w:t>
            </w:r>
            <w:r>
              <w:rPr>
                <w:rFonts w:hint="eastAsia" w:ascii="仿宋" w:hAnsi="仿宋" w:eastAsia="仿宋" w:cs="仿宋"/>
                <w:color w:val="auto"/>
                <w:sz w:val="24"/>
                <w:szCs w:val="24"/>
                <w:highlight w:val="none"/>
              </w:rPr>
              <w:t>计入投标总价；</w:t>
            </w:r>
          </w:p>
          <w:p>
            <w:pPr>
              <w:keepNext w:val="0"/>
              <w:keepLines w:val="0"/>
              <w:pageBreakBefore w:val="0"/>
              <w:shd w:val="clear"/>
              <w:kinsoku/>
              <w:wordWrap/>
              <w:overflowPunct/>
              <w:autoSpaceDE w:val="0"/>
              <w:autoSpaceDN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2、投标人须保证验收通过之后2~6年的零部件、备品备件、消耗品供应及设备维修。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2362" w:type="dxa"/>
            <w:noWrap w:val="0"/>
            <w:vAlign w:val="center"/>
          </w:tcPr>
          <w:p>
            <w:pPr>
              <w:keepNext w:val="0"/>
              <w:keepLines w:val="0"/>
              <w:pageBreakBefore w:val="0"/>
              <w:shd w:val="clear"/>
              <w:kinsoku/>
              <w:wordWrap/>
              <w:overflowPunct/>
              <w:autoSpaceDE w:val="0"/>
              <w:autoSpaceDN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交货时间及地点</w:t>
            </w:r>
          </w:p>
        </w:tc>
        <w:tc>
          <w:tcPr>
            <w:tcW w:w="7317" w:type="dxa"/>
            <w:noWrap w:val="0"/>
            <w:vAlign w:val="top"/>
          </w:tcPr>
          <w:p>
            <w:pPr>
              <w:keepNext w:val="0"/>
              <w:keepLines w:val="0"/>
              <w:pageBreakBefore w:val="0"/>
              <w:shd w:val="clear"/>
              <w:kinsoku/>
              <w:wordWrap/>
              <w:overflowPunct/>
              <w:autoSpaceDE w:val="0"/>
              <w:autoSpaceDN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1、新建站点在监测站房具备施工条件后1个月内</w:t>
            </w:r>
            <w:r>
              <w:rPr>
                <w:rFonts w:hint="eastAsia" w:ascii="仿宋" w:hAnsi="仿宋" w:eastAsia="仿宋" w:cs="仿宋"/>
                <w:color w:val="auto"/>
                <w:sz w:val="24"/>
                <w:szCs w:val="24"/>
                <w:highlight w:val="none"/>
              </w:rPr>
              <w:t xml:space="preserve">完成安装、调试和单机测试。 </w:t>
            </w:r>
          </w:p>
          <w:p>
            <w:pPr>
              <w:keepNext w:val="0"/>
              <w:keepLines w:val="0"/>
              <w:pageBreakBefore w:val="0"/>
              <w:shd w:val="clear"/>
              <w:kinsoku/>
              <w:wordWrap/>
              <w:overflowPunct/>
              <w:autoSpaceDE w:val="0"/>
              <w:autoSpaceDN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安装地点为用户指定地点。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2362" w:type="dxa"/>
            <w:noWrap w:val="0"/>
            <w:vAlign w:val="center"/>
          </w:tcPr>
          <w:p>
            <w:pPr>
              <w:keepNext w:val="0"/>
              <w:keepLines w:val="0"/>
              <w:pageBreakBefore w:val="0"/>
              <w:shd w:val="clear"/>
              <w:kinsoku/>
              <w:wordWrap/>
              <w:overflowPunct/>
              <w:autoSpaceDE w:val="0"/>
              <w:autoSpaceDN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7317" w:type="dxa"/>
            <w:noWrap w:val="0"/>
            <w:vAlign w:val="top"/>
          </w:tcPr>
          <w:p>
            <w:pPr>
              <w:keepNext w:val="0"/>
              <w:keepLines w:val="0"/>
              <w:pageBreakBefore w:val="0"/>
              <w:shd w:val="clear"/>
              <w:kinsoku/>
              <w:wordWrap/>
              <w:overflowPunct/>
              <w:autoSpaceDE w:val="0"/>
              <w:autoSpaceDN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合同生效后支付合同总额的40%作为预付款</w:t>
            </w:r>
            <w:r>
              <w:rPr>
                <w:rFonts w:hint="eastAsia" w:ascii="仿宋" w:hAnsi="仿宋" w:eastAsia="仿宋" w:cs="仿宋"/>
                <w:color w:val="auto"/>
                <w:sz w:val="24"/>
                <w:szCs w:val="24"/>
                <w:highlight w:val="none"/>
              </w:rPr>
              <w:t>，安装调试完成后支付合同总额的40%，验收合格后支付2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p>
        </w:tc>
      </w:tr>
    </w:tbl>
    <w:p>
      <w:pPr>
        <w:pStyle w:val="63"/>
        <w:shd w:val="clear"/>
        <w:rPr>
          <w:rFonts w:hint="eastAsia" w:ascii="仿宋" w:hAnsi="仿宋" w:eastAsia="仿宋" w:cs="仿宋"/>
          <w:color w:val="auto"/>
          <w:highlight w:val="none"/>
        </w:rPr>
      </w:pPr>
    </w:p>
    <w:p>
      <w:pPr>
        <w:pStyle w:val="964"/>
        <w:rPr>
          <w:rFonts w:hint="eastAsia" w:ascii="仿宋" w:hAnsi="仿宋" w:eastAsia="仿宋" w:cs="仿宋"/>
          <w:color w:val="auto"/>
          <w:highlight w:val="none"/>
        </w:rPr>
      </w:pPr>
    </w:p>
    <w:p>
      <w:pPr>
        <w:rPr>
          <w:rFonts w:hint="eastAsia" w:ascii="仿宋" w:hAnsi="仿宋" w:eastAsia="仿宋" w:cs="仿宋"/>
          <w:color w:val="auto"/>
          <w:lang w:val="en-US" w:eastAsia="zh-CN"/>
        </w:rPr>
      </w:pPr>
      <w:r>
        <w:rPr>
          <w:rFonts w:hint="eastAsia" w:ascii="仿宋" w:hAnsi="仿宋" w:eastAsia="仿宋" w:cs="仿宋"/>
          <w:color w:val="auto"/>
          <w:highlight w:val="none"/>
          <w:lang w:val="en-US" w:eastAsia="zh-CN"/>
        </w:rPr>
        <w:t>+</w:t>
      </w:r>
    </w:p>
    <w:p>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pPr>
        <w:pStyle w:val="63"/>
        <w:jc w:val="center"/>
        <w:rPr>
          <w:rFonts w:hint="eastAsia" w:ascii="仿宋" w:hAnsi="仿宋" w:eastAsia="仿宋" w:cs="仿宋"/>
          <w:color w:val="auto"/>
          <w:lang w:eastAsia="zh-CN"/>
        </w:rPr>
      </w:pPr>
      <w:r>
        <w:rPr>
          <w:rFonts w:hint="eastAsia" w:ascii="仿宋" w:hAnsi="仿宋" w:eastAsia="仿宋" w:cs="仿宋"/>
          <w:color w:val="auto"/>
          <w:highlight w:val="none"/>
          <w:lang w:eastAsia="zh-CN"/>
        </w:rPr>
        <w:t>省控手工监测断面基本信息表</w:t>
      </w:r>
    </w:p>
    <w:tbl>
      <w:tblPr>
        <w:tblStyle w:val="64"/>
        <w:tblW w:w="68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1462"/>
        <w:gridCol w:w="1009"/>
        <w:gridCol w:w="1242"/>
        <w:gridCol w:w="1302"/>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序号</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断面名称</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行政区</w:t>
            </w:r>
          </w:p>
        </w:tc>
        <w:tc>
          <w:tcPr>
            <w:tcW w:w="12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经度</w:t>
            </w:r>
          </w:p>
        </w:tc>
        <w:tc>
          <w:tcPr>
            <w:tcW w:w="13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纬度</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所在河流名称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栅浦</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椒江区</w:t>
            </w:r>
          </w:p>
        </w:tc>
        <w:tc>
          <w:tcPr>
            <w:tcW w:w="12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121.3717</w:t>
            </w:r>
          </w:p>
        </w:tc>
        <w:tc>
          <w:tcPr>
            <w:tcW w:w="13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28.6964</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椒江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岩头闸</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椒江区</w:t>
            </w:r>
          </w:p>
        </w:tc>
        <w:tc>
          <w:tcPr>
            <w:tcW w:w="12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121.4761</w:t>
            </w:r>
          </w:p>
        </w:tc>
        <w:tc>
          <w:tcPr>
            <w:tcW w:w="13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28.6708</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三条河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栅浦闸</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椒江区</w:t>
            </w:r>
          </w:p>
        </w:tc>
        <w:tc>
          <w:tcPr>
            <w:tcW w:w="1242"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121.3867</w:t>
            </w:r>
          </w:p>
        </w:tc>
        <w:tc>
          <w:tcPr>
            <w:tcW w:w="1302"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28.6764</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永宁河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大众旺</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黄岩区</w:t>
            </w:r>
          </w:p>
        </w:tc>
        <w:tc>
          <w:tcPr>
            <w:tcW w:w="12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121.0281</w:t>
            </w:r>
          </w:p>
        </w:tc>
        <w:tc>
          <w:tcPr>
            <w:tcW w:w="13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28.5383</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长潭水库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朱砂堆</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黄岩区</w:t>
            </w:r>
          </w:p>
        </w:tc>
        <w:tc>
          <w:tcPr>
            <w:tcW w:w="1242"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121.2999</w:t>
            </w:r>
          </w:p>
        </w:tc>
        <w:tc>
          <w:tcPr>
            <w:tcW w:w="1302"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28.6606</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东官河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三条埠头</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路桥区</w:t>
            </w:r>
          </w:p>
        </w:tc>
        <w:tc>
          <w:tcPr>
            <w:tcW w:w="1242"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121.5045</w:t>
            </w:r>
          </w:p>
        </w:tc>
        <w:tc>
          <w:tcPr>
            <w:tcW w:w="1302"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28.5586</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青龙浦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峰江</w:t>
            </w:r>
          </w:p>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（下里桥）</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路桥区</w:t>
            </w:r>
          </w:p>
        </w:tc>
        <w:tc>
          <w:tcPr>
            <w:tcW w:w="12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121.3633</w:t>
            </w:r>
          </w:p>
        </w:tc>
        <w:tc>
          <w:tcPr>
            <w:tcW w:w="13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28.5205</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南官河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渡头范</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临海市</w:t>
            </w:r>
          </w:p>
        </w:tc>
        <w:tc>
          <w:tcPr>
            <w:tcW w:w="12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121.1803</w:t>
            </w:r>
          </w:p>
        </w:tc>
        <w:tc>
          <w:tcPr>
            <w:tcW w:w="13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28.8003</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灵江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西岑</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临海市</w:t>
            </w:r>
          </w:p>
        </w:tc>
        <w:tc>
          <w:tcPr>
            <w:tcW w:w="12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121.2806</w:t>
            </w:r>
          </w:p>
        </w:tc>
        <w:tc>
          <w:tcPr>
            <w:tcW w:w="13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28.7483</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灵江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太平</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温岭市</w:t>
            </w:r>
          </w:p>
        </w:tc>
        <w:tc>
          <w:tcPr>
            <w:tcW w:w="12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121.4061</w:t>
            </w:r>
          </w:p>
        </w:tc>
        <w:tc>
          <w:tcPr>
            <w:tcW w:w="13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28.3872</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湖漫河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长屿闸</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玉环市</w:t>
            </w:r>
          </w:p>
        </w:tc>
        <w:tc>
          <w:tcPr>
            <w:tcW w:w="12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121.1578</w:t>
            </w:r>
          </w:p>
        </w:tc>
        <w:tc>
          <w:tcPr>
            <w:tcW w:w="13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28.0733</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庆澜河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曹店</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仙居县</w:t>
            </w:r>
          </w:p>
        </w:tc>
        <w:tc>
          <w:tcPr>
            <w:tcW w:w="12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120.3964</w:t>
            </w:r>
          </w:p>
        </w:tc>
        <w:tc>
          <w:tcPr>
            <w:tcW w:w="13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28.5844</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曹店港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柴岭下</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仙居县</w:t>
            </w:r>
          </w:p>
        </w:tc>
        <w:tc>
          <w:tcPr>
            <w:tcW w:w="12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120.7786</w:t>
            </w:r>
          </w:p>
        </w:tc>
        <w:tc>
          <w:tcPr>
            <w:tcW w:w="13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28.8544</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永安溪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w:t>
            </w:r>
          </w:p>
        </w:tc>
        <w:tc>
          <w:tcPr>
            <w:tcW w:w="14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响岩</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天台县</w:t>
            </w:r>
          </w:p>
        </w:tc>
        <w:tc>
          <w:tcPr>
            <w:tcW w:w="12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121.0634</w:t>
            </w:r>
          </w:p>
        </w:tc>
        <w:tc>
          <w:tcPr>
            <w:tcW w:w="13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29.1113</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始丰溪</w:t>
            </w:r>
          </w:p>
        </w:tc>
      </w:tr>
    </w:tbl>
    <w:p>
      <w:pPr>
        <w:pStyle w:val="63"/>
        <w:rPr>
          <w:rFonts w:hint="eastAsia" w:ascii="仿宋" w:hAnsi="仿宋" w:eastAsia="仿宋" w:cs="仿宋"/>
          <w:color w:val="auto"/>
          <w:lang w:eastAsia="zh-CN"/>
        </w:rPr>
      </w:pPr>
    </w:p>
    <w:p>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24"/>
        </w:rPr>
        <w:br w:type="page"/>
      </w:r>
      <w:bookmarkStart w:id="44" w:name="_Toc19373"/>
      <w:r>
        <w:rPr>
          <w:rFonts w:hint="eastAsia" w:ascii="仿宋" w:hAnsi="仿宋" w:eastAsia="仿宋" w:cs="仿宋"/>
          <w:b/>
          <w:bCs/>
          <w:color w:val="auto"/>
          <w:kern w:val="44"/>
          <w:sz w:val="44"/>
          <w:szCs w:val="44"/>
          <w:lang w:val="en-US" w:eastAsia="zh-CN" w:bidi="ar-SA"/>
        </w:rPr>
        <w:t xml:space="preserve">第四部分   </w:t>
      </w:r>
      <w:bookmarkStart w:id="45" w:name="_Toc184312120"/>
      <w:bookmarkEnd w:id="45"/>
      <w:bookmarkStart w:id="46" w:name="_Toc184310332"/>
      <w:bookmarkEnd w:id="46"/>
      <w:bookmarkStart w:id="47" w:name="_Toc184314453"/>
      <w:bookmarkEnd w:id="47"/>
      <w:bookmarkStart w:id="48" w:name="_Toc184313250"/>
      <w:bookmarkEnd w:id="48"/>
      <w:bookmarkStart w:id="49" w:name="_Toc184310316"/>
      <w:bookmarkEnd w:id="49"/>
      <w:bookmarkStart w:id="50" w:name="_Toc184308063"/>
      <w:bookmarkEnd w:id="50"/>
      <w:bookmarkStart w:id="51" w:name="_Toc184310336"/>
      <w:bookmarkEnd w:id="51"/>
      <w:bookmarkStart w:id="52" w:name="_Toc184310331"/>
      <w:bookmarkEnd w:id="52"/>
      <w:bookmarkStart w:id="53" w:name="_Toc184312129"/>
      <w:bookmarkEnd w:id="53"/>
      <w:bookmarkStart w:id="54" w:name="_Toc184308099"/>
      <w:bookmarkEnd w:id="54"/>
      <w:bookmarkStart w:id="55" w:name="_Toc184312117"/>
      <w:bookmarkEnd w:id="55"/>
      <w:bookmarkStart w:id="56" w:name="_Toc184310284"/>
      <w:bookmarkEnd w:id="56"/>
      <w:bookmarkStart w:id="57" w:name="_Toc184312088"/>
      <w:bookmarkEnd w:id="57"/>
      <w:bookmarkStart w:id="58" w:name="_Toc184314414"/>
      <w:bookmarkEnd w:id="58"/>
      <w:bookmarkStart w:id="59" w:name="_Toc184314479"/>
      <w:bookmarkEnd w:id="59"/>
      <w:bookmarkStart w:id="60" w:name="_Toc184313299"/>
      <w:bookmarkEnd w:id="60"/>
      <w:bookmarkStart w:id="61" w:name="_Toc184314482"/>
      <w:bookmarkEnd w:id="61"/>
      <w:bookmarkStart w:id="62" w:name="_Toc184308094"/>
      <w:bookmarkEnd w:id="62"/>
      <w:bookmarkStart w:id="63" w:name="_Toc184313310"/>
      <w:bookmarkEnd w:id="63"/>
      <w:bookmarkStart w:id="64" w:name="_Toc184314460"/>
      <w:bookmarkEnd w:id="64"/>
      <w:bookmarkStart w:id="65" w:name="_Toc184308036"/>
      <w:bookmarkEnd w:id="65"/>
      <w:bookmarkStart w:id="66" w:name="_Toc184312080"/>
      <w:bookmarkEnd w:id="66"/>
      <w:bookmarkStart w:id="67" w:name="_Toc184308038"/>
      <w:bookmarkEnd w:id="67"/>
      <w:bookmarkStart w:id="68" w:name="_Toc184310320"/>
      <w:bookmarkEnd w:id="68"/>
      <w:bookmarkStart w:id="69" w:name="_Toc184314473"/>
      <w:bookmarkEnd w:id="69"/>
      <w:bookmarkStart w:id="70" w:name="_Toc184313258"/>
      <w:bookmarkEnd w:id="70"/>
      <w:bookmarkStart w:id="71" w:name="_Toc184312134"/>
      <w:bookmarkEnd w:id="71"/>
      <w:bookmarkStart w:id="72" w:name="_Toc184314430"/>
      <w:bookmarkEnd w:id="72"/>
      <w:bookmarkStart w:id="73" w:name="_Toc184313244"/>
      <w:bookmarkEnd w:id="73"/>
      <w:bookmarkStart w:id="74" w:name="_Toc184312132"/>
      <w:bookmarkEnd w:id="74"/>
      <w:bookmarkStart w:id="75" w:name="_Toc184314472"/>
      <w:bookmarkEnd w:id="75"/>
      <w:bookmarkStart w:id="76" w:name="_Toc184308104"/>
      <w:bookmarkEnd w:id="76"/>
      <w:bookmarkStart w:id="77" w:name="_Toc184310323"/>
      <w:bookmarkEnd w:id="77"/>
      <w:bookmarkStart w:id="78" w:name="_Toc184308047"/>
      <w:bookmarkEnd w:id="78"/>
      <w:bookmarkStart w:id="79" w:name="_Toc184312091"/>
      <w:bookmarkEnd w:id="79"/>
      <w:bookmarkStart w:id="80" w:name="_Toc184310334"/>
      <w:bookmarkEnd w:id="80"/>
      <w:bookmarkStart w:id="81" w:name="_Toc184310280"/>
      <w:bookmarkEnd w:id="81"/>
      <w:bookmarkStart w:id="82" w:name="_Toc184314448"/>
      <w:bookmarkEnd w:id="82"/>
      <w:bookmarkStart w:id="83" w:name="_Toc184310341"/>
      <w:bookmarkEnd w:id="83"/>
      <w:bookmarkStart w:id="84" w:name="_Toc184308052"/>
      <w:bookmarkEnd w:id="84"/>
      <w:bookmarkStart w:id="85" w:name="_Toc184314415"/>
      <w:bookmarkEnd w:id="85"/>
      <w:bookmarkStart w:id="86" w:name="_Toc184308098"/>
      <w:bookmarkEnd w:id="86"/>
      <w:bookmarkStart w:id="87" w:name="_Toc184312093"/>
      <w:bookmarkEnd w:id="87"/>
      <w:bookmarkStart w:id="88" w:name="_Toc184313280"/>
      <w:bookmarkEnd w:id="88"/>
      <w:bookmarkStart w:id="89" w:name="_Toc184308083"/>
      <w:bookmarkEnd w:id="89"/>
      <w:bookmarkStart w:id="90" w:name="_Toc184310272"/>
      <w:bookmarkEnd w:id="90"/>
      <w:bookmarkStart w:id="91" w:name="_Toc184314452"/>
      <w:bookmarkEnd w:id="91"/>
      <w:bookmarkStart w:id="92" w:name="_Toc184312124"/>
      <w:bookmarkEnd w:id="92"/>
      <w:bookmarkStart w:id="93" w:name="_Toc184314469"/>
      <w:bookmarkEnd w:id="93"/>
      <w:bookmarkStart w:id="94" w:name="_Toc184310339"/>
      <w:bookmarkEnd w:id="94"/>
      <w:bookmarkStart w:id="95" w:name="_Toc184313263"/>
      <w:bookmarkEnd w:id="95"/>
      <w:bookmarkStart w:id="96" w:name="_Toc184313286"/>
      <w:bookmarkEnd w:id="96"/>
      <w:bookmarkStart w:id="97" w:name="_Toc184314434"/>
      <w:bookmarkEnd w:id="97"/>
      <w:bookmarkStart w:id="98" w:name="_Toc184312126"/>
      <w:bookmarkEnd w:id="98"/>
      <w:bookmarkStart w:id="99" w:name="_Toc184308060"/>
      <w:bookmarkEnd w:id="99"/>
      <w:bookmarkStart w:id="100" w:name="_Toc184312078"/>
      <w:bookmarkEnd w:id="100"/>
      <w:bookmarkStart w:id="101" w:name="_Toc184310285"/>
      <w:bookmarkEnd w:id="101"/>
      <w:bookmarkStart w:id="102" w:name="_Toc184314450"/>
      <w:bookmarkEnd w:id="102"/>
      <w:bookmarkStart w:id="103" w:name="_Toc184313277"/>
      <w:bookmarkEnd w:id="103"/>
      <w:bookmarkStart w:id="104" w:name="_Toc184312128"/>
      <w:bookmarkEnd w:id="104"/>
      <w:bookmarkStart w:id="105" w:name="_Toc184312138"/>
      <w:bookmarkEnd w:id="105"/>
      <w:bookmarkStart w:id="106" w:name="_Toc184314464"/>
      <w:bookmarkEnd w:id="106"/>
      <w:bookmarkStart w:id="107" w:name="_Toc184313270"/>
      <w:bookmarkEnd w:id="107"/>
      <w:bookmarkStart w:id="108" w:name="_Toc184308072"/>
      <w:bookmarkEnd w:id="108"/>
      <w:bookmarkStart w:id="109" w:name="_Toc184308077"/>
      <w:bookmarkEnd w:id="109"/>
      <w:bookmarkStart w:id="110" w:name="_Toc184313289"/>
      <w:bookmarkEnd w:id="110"/>
      <w:bookmarkStart w:id="111" w:name="_Toc184310328"/>
      <w:bookmarkEnd w:id="111"/>
      <w:bookmarkStart w:id="112" w:name="_Toc184312089"/>
      <w:bookmarkEnd w:id="112"/>
      <w:bookmarkStart w:id="113" w:name="_Toc184314438"/>
      <w:bookmarkEnd w:id="113"/>
      <w:bookmarkStart w:id="114" w:name="_Toc184308078"/>
      <w:bookmarkEnd w:id="114"/>
      <w:bookmarkStart w:id="115" w:name="_Toc184308080"/>
      <w:bookmarkEnd w:id="115"/>
      <w:bookmarkStart w:id="116" w:name="_Toc184310279"/>
      <w:bookmarkEnd w:id="116"/>
      <w:bookmarkStart w:id="117" w:name="_Toc184314466"/>
      <w:bookmarkEnd w:id="117"/>
      <w:bookmarkStart w:id="118" w:name="_Toc184310307"/>
      <w:bookmarkEnd w:id="118"/>
      <w:bookmarkStart w:id="119" w:name="_Toc184310313"/>
      <w:bookmarkEnd w:id="119"/>
      <w:bookmarkStart w:id="120" w:name="_Toc184314440"/>
      <w:bookmarkEnd w:id="120"/>
      <w:bookmarkStart w:id="121" w:name="_Toc184313305"/>
      <w:bookmarkEnd w:id="121"/>
      <w:bookmarkStart w:id="122" w:name="_Toc184308053"/>
      <w:bookmarkEnd w:id="122"/>
      <w:bookmarkStart w:id="123" w:name="_Toc184310311"/>
      <w:bookmarkEnd w:id="123"/>
      <w:bookmarkStart w:id="124" w:name="_Toc184310343"/>
      <w:bookmarkEnd w:id="124"/>
      <w:bookmarkStart w:id="125" w:name="_Toc184313273"/>
      <w:bookmarkEnd w:id="125"/>
      <w:bookmarkStart w:id="126" w:name="_Toc184310294"/>
      <w:bookmarkEnd w:id="126"/>
      <w:bookmarkStart w:id="127" w:name="_Toc184308091"/>
      <w:bookmarkEnd w:id="127"/>
      <w:bookmarkStart w:id="128" w:name="_Toc184312109"/>
      <w:bookmarkEnd w:id="128"/>
      <w:bookmarkStart w:id="129" w:name="_Toc184314412"/>
      <w:bookmarkEnd w:id="129"/>
      <w:bookmarkStart w:id="130" w:name="_Toc184310295"/>
      <w:bookmarkEnd w:id="130"/>
      <w:bookmarkStart w:id="131" w:name="_Toc184313267"/>
      <w:bookmarkEnd w:id="131"/>
      <w:bookmarkStart w:id="132" w:name="_Toc184313309"/>
      <w:bookmarkEnd w:id="132"/>
      <w:bookmarkStart w:id="133" w:name="_Toc184308067"/>
      <w:bookmarkEnd w:id="133"/>
      <w:bookmarkStart w:id="134" w:name="_Toc184313268"/>
      <w:bookmarkEnd w:id="134"/>
      <w:bookmarkStart w:id="135" w:name="_Toc184313282"/>
      <w:bookmarkEnd w:id="135"/>
      <w:bookmarkStart w:id="136" w:name="_Toc184313279"/>
      <w:bookmarkEnd w:id="136"/>
      <w:bookmarkStart w:id="137" w:name="_Toc184310314"/>
      <w:bookmarkEnd w:id="137"/>
      <w:bookmarkStart w:id="138" w:name="_Toc184313307"/>
      <w:bookmarkEnd w:id="138"/>
      <w:bookmarkStart w:id="139" w:name="_Toc184310302"/>
      <w:bookmarkEnd w:id="139"/>
      <w:bookmarkStart w:id="140" w:name="_Toc184308069"/>
      <w:bookmarkEnd w:id="140"/>
      <w:bookmarkStart w:id="141" w:name="_Toc184308039"/>
      <w:bookmarkEnd w:id="141"/>
      <w:bookmarkStart w:id="142" w:name="_Toc184312079"/>
      <w:bookmarkEnd w:id="142"/>
      <w:bookmarkStart w:id="143" w:name="_Toc184313292"/>
      <w:bookmarkEnd w:id="143"/>
      <w:bookmarkStart w:id="144" w:name="_Toc184308041"/>
      <w:bookmarkEnd w:id="144"/>
      <w:bookmarkStart w:id="145" w:name="_Toc184308051"/>
      <w:bookmarkEnd w:id="145"/>
      <w:bookmarkStart w:id="146" w:name="_Toc184313306"/>
      <w:bookmarkEnd w:id="146"/>
      <w:bookmarkStart w:id="147" w:name="_Toc184308100"/>
      <w:bookmarkEnd w:id="147"/>
      <w:bookmarkStart w:id="148" w:name="_Toc184314481"/>
      <w:bookmarkEnd w:id="148"/>
      <w:bookmarkStart w:id="149" w:name="_Toc184308101"/>
      <w:bookmarkEnd w:id="149"/>
      <w:bookmarkStart w:id="150" w:name="_Toc184313290"/>
      <w:bookmarkEnd w:id="150"/>
      <w:bookmarkStart w:id="151" w:name="_Toc184308087"/>
      <w:bookmarkEnd w:id="151"/>
      <w:bookmarkStart w:id="152" w:name="_Toc184310344"/>
      <w:bookmarkEnd w:id="152"/>
      <w:bookmarkStart w:id="153" w:name="_Toc184312118"/>
      <w:bookmarkEnd w:id="153"/>
      <w:bookmarkStart w:id="154" w:name="_Toc184312114"/>
      <w:bookmarkEnd w:id="154"/>
      <w:bookmarkStart w:id="155" w:name="_Toc184312135"/>
      <w:bookmarkEnd w:id="155"/>
      <w:bookmarkStart w:id="156" w:name="_Toc184312125"/>
      <w:bookmarkEnd w:id="156"/>
      <w:bookmarkStart w:id="157" w:name="_Toc184308108"/>
      <w:bookmarkEnd w:id="157"/>
      <w:bookmarkStart w:id="158" w:name="_Toc184308058"/>
      <w:bookmarkEnd w:id="158"/>
      <w:bookmarkStart w:id="159" w:name="_Toc184310293"/>
      <w:bookmarkEnd w:id="159"/>
      <w:bookmarkStart w:id="160" w:name="_Toc184312122"/>
      <w:bookmarkEnd w:id="160"/>
      <w:bookmarkStart w:id="161" w:name="_Toc184314459"/>
      <w:bookmarkEnd w:id="161"/>
      <w:bookmarkStart w:id="162" w:name="_Toc184312077"/>
      <w:bookmarkEnd w:id="162"/>
      <w:bookmarkStart w:id="163" w:name="_Toc184313249"/>
      <w:bookmarkEnd w:id="163"/>
      <w:bookmarkStart w:id="164" w:name="_Toc184313285"/>
      <w:bookmarkEnd w:id="164"/>
      <w:bookmarkStart w:id="165" w:name="_Toc184314461"/>
      <w:bookmarkEnd w:id="165"/>
      <w:bookmarkStart w:id="166" w:name="_Toc184314446"/>
      <w:bookmarkEnd w:id="166"/>
      <w:bookmarkStart w:id="167" w:name="_Toc184308102"/>
      <w:bookmarkEnd w:id="167"/>
      <w:bookmarkStart w:id="168" w:name="_Toc184308107"/>
      <w:bookmarkEnd w:id="168"/>
      <w:bookmarkStart w:id="169" w:name="_Toc184310335"/>
      <w:bookmarkEnd w:id="169"/>
      <w:bookmarkStart w:id="170" w:name="_Toc184308089"/>
      <w:bookmarkEnd w:id="170"/>
      <w:bookmarkStart w:id="171" w:name="_Toc184313296"/>
      <w:bookmarkEnd w:id="171"/>
      <w:bookmarkStart w:id="172" w:name="_Toc184310274"/>
      <w:bookmarkEnd w:id="172"/>
      <w:bookmarkStart w:id="173" w:name="_Toc184314480"/>
      <w:bookmarkEnd w:id="173"/>
      <w:bookmarkStart w:id="174" w:name="_Toc184312084"/>
      <w:bookmarkEnd w:id="174"/>
      <w:bookmarkStart w:id="175" w:name="_Toc184310333"/>
      <w:bookmarkEnd w:id="175"/>
      <w:bookmarkStart w:id="176" w:name="_Toc184310321"/>
      <w:bookmarkEnd w:id="176"/>
      <w:bookmarkStart w:id="177" w:name="_Toc184310309"/>
      <w:bookmarkEnd w:id="177"/>
      <w:bookmarkStart w:id="178" w:name="_Toc184314426"/>
      <w:bookmarkEnd w:id="178"/>
      <w:bookmarkStart w:id="179" w:name="_Toc184312099"/>
      <w:bookmarkEnd w:id="179"/>
      <w:bookmarkStart w:id="180" w:name="_Toc184308057"/>
      <w:bookmarkEnd w:id="180"/>
      <w:bookmarkStart w:id="181" w:name="_Toc184312067"/>
      <w:bookmarkEnd w:id="181"/>
      <w:bookmarkStart w:id="182" w:name="_Toc184308076"/>
      <w:bookmarkEnd w:id="182"/>
      <w:bookmarkStart w:id="183" w:name="_Toc184312121"/>
      <w:bookmarkEnd w:id="183"/>
      <w:bookmarkStart w:id="184" w:name="_Toc184308049"/>
      <w:bookmarkEnd w:id="184"/>
      <w:bookmarkStart w:id="185" w:name="_Toc184314437"/>
      <w:bookmarkEnd w:id="185"/>
      <w:bookmarkStart w:id="186" w:name="_Toc184312119"/>
      <w:bookmarkEnd w:id="186"/>
      <w:bookmarkStart w:id="187" w:name="_Toc184308079"/>
      <w:bookmarkEnd w:id="187"/>
      <w:bookmarkStart w:id="188" w:name="_Toc184310329"/>
      <w:bookmarkEnd w:id="188"/>
      <w:bookmarkStart w:id="189" w:name="_Toc184312111"/>
      <w:bookmarkEnd w:id="189"/>
      <w:bookmarkStart w:id="190" w:name="_Toc184314421"/>
      <w:bookmarkEnd w:id="190"/>
      <w:bookmarkStart w:id="191" w:name="_Toc184310342"/>
      <w:bookmarkEnd w:id="191"/>
      <w:bookmarkStart w:id="192" w:name="_Toc184314419"/>
      <w:bookmarkEnd w:id="192"/>
      <w:bookmarkStart w:id="193" w:name="_Toc184314436"/>
      <w:bookmarkEnd w:id="193"/>
      <w:bookmarkStart w:id="194" w:name="_Toc184308044"/>
      <w:bookmarkEnd w:id="194"/>
      <w:bookmarkStart w:id="195" w:name="_Toc184312085"/>
      <w:bookmarkEnd w:id="195"/>
      <w:bookmarkStart w:id="196" w:name="_Toc184314456"/>
      <w:bookmarkEnd w:id="196"/>
      <w:bookmarkStart w:id="197" w:name="_Toc184314428"/>
      <w:bookmarkEnd w:id="197"/>
      <w:bookmarkStart w:id="198" w:name="_Toc184314420"/>
      <w:bookmarkEnd w:id="198"/>
      <w:bookmarkStart w:id="199" w:name="_Toc184312113"/>
      <w:bookmarkEnd w:id="199"/>
      <w:bookmarkStart w:id="200" w:name="_Toc184312081"/>
      <w:bookmarkEnd w:id="200"/>
      <w:bookmarkStart w:id="201" w:name="_Toc184308075"/>
      <w:bookmarkEnd w:id="201"/>
      <w:bookmarkStart w:id="202" w:name="_Toc184308093"/>
      <w:bookmarkEnd w:id="202"/>
      <w:bookmarkStart w:id="203" w:name="_Toc184313304"/>
      <w:bookmarkEnd w:id="203"/>
      <w:bookmarkStart w:id="204" w:name="_Toc184308081"/>
      <w:bookmarkEnd w:id="204"/>
      <w:bookmarkStart w:id="205" w:name="_Toc184314433"/>
      <w:bookmarkEnd w:id="205"/>
      <w:bookmarkStart w:id="206" w:name="_Toc184313252"/>
      <w:bookmarkEnd w:id="206"/>
      <w:bookmarkStart w:id="207" w:name="_Toc184310330"/>
      <w:bookmarkEnd w:id="207"/>
      <w:bookmarkStart w:id="208" w:name="_Toc184313247"/>
      <w:bookmarkEnd w:id="208"/>
      <w:bookmarkStart w:id="209" w:name="_Toc184314416"/>
      <w:bookmarkEnd w:id="209"/>
      <w:bookmarkStart w:id="210" w:name="_Toc184314427"/>
      <w:bookmarkEnd w:id="210"/>
      <w:bookmarkStart w:id="211" w:name="_Toc184314445"/>
      <w:bookmarkEnd w:id="211"/>
      <w:bookmarkStart w:id="212" w:name="_Toc184308092"/>
      <w:bookmarkEnd w:id="212"/>
      <w:bookmarkStart w:id="213" w:name="_Toc184308059"/>
      <w:bookmarkEnd w:id="213"/>
      <w:bookmarkStart w:id="214" w:name="_Toc184310287"/>
      <w:bookmarkEnd w:id="214"/>
      <w:bookmarkStart w:id="215" w:name="_Toc184310325"/>
      <w:bookmarkEnd w:id="215"/>
      <w:bookmarkStart w:id="216" w:name="_Toc184313261"/>
      <w:bookmarkEnd w:id="216"/>
      <w:bookmarkStart w:id="217" w:name="_Toc184314410"/>
      <w:bookmarkEnd w:id="217"/>
      <w:bookmarkStart w:id="218" w:name="_Toc184314413"/>
      <w:bookmarkEnd w:id="218"/>
      <w:bookmarkStart w:id="219" w:name="_Toc184310312"/>
      <w:bookmarkEnd w:id="219"/>
      <w:bookmarkStart w:id="220" w:name="_Toc184313240"/>
      <w:bookmarkEnd w:id="220"/>
      <w:bookmarkStart w:id="221" w:name="_Toc184312133"/>
      <w:bookmarkEnd w:id="221"/>
      <w:bookmarkStart w:id="222" w:name="_Toc184313251"/>
      <w:bookmarkEnd w:id="222"/>
      <w:bookmarkStart w:id="223" w:name="_Toc184314423"/>
      <w:bookmarkEnd w:id="223"/>
      <w:bookmarkStart w:id="224" w:name="_Toc184314463"/>
      <w:bookmarkEnd w:id="224"/>
      <w:bookmarkStart w:id="225" w:name="_Toc184312130"/>
      <w:bookmarkEnd w:id="225"/>
      <w:bookmarkStart w:id="226" w:name="_Toc184310317"/>
      <w:bookmarkEnd w:id="226"/>
      <w:bookmarkStart w:id="227" w:name="_Toc184312108"/>
      <w:bookmarkEnd w:id="227"/>
      <w:bookmarkStart w:id="228" w:name="_Toc184313275"/>
      <w:bookmarkEnd w:id="228"/>
      <w:bookmarkStart w:id="229" w:name="_Toc184310318"/>
      <w:bookmarkEnd w:id="229"/>
      <w:bookmarkStart w:id="230" w:name="_Toc184312131"/>
      <w:bookmarkEnd w:id="230"/>
      <w:bookmarkStart w:id="231" w:name="_Toc184312082"/>
      <w:bookmarkEnd w:id="231"/>
      <w:bookmarkStart w:id="232" w:name="_Toc184313254"/>
      <w:bookmarkEnd w:id="232"/>
      <w:bookmarkStart w:id="233" w:name="_Toc184312090"/>
      <w:bookmarkEnd w:id="233"/>
      <w:bookmarkStart w:id="234" w:name="_Toc184310296"/>
      <w:bookmarkEnd w:id="234"/>
      <w:bookmarkStart w:id="235" w:name="_Toc184314432"/>
      <w:bookmarkEnd w:id="235"/>
      <w:bookmarkStart w:id="236" w:name="_Toc184312096"/>
      <w:bookmarkEnd w:id="236"/>
      <w:bookmarkStart w:id="237" w:name="_Toc184310326"/>
      <w:bookmarkEnd w:id="237"/>
      <w:bookmarkStart w:id="238" w:name="_Toc184308096"/>
      <w:bookmarkEnd w:id="238"/>
      <w:bookmarkStart w:id="239" w:name="_Toc184308095"/>
      <w:bookmarkEnd w:id="239"/>
      <w:bookmarkStart w:id="240" w:name="_Toc184310300"/>
      <w:bookmarkEnd w:id="240"/>
      <w:bookmarkStart w:id="241" w:name="_Toc184314443"/>
      <w:bookmarkEnd w:id="241"/>
      <w:bookmarkStart w:id="242" w:name="_Toc184312136"/>
      <w:bookmarkEnd w:id="242"/>
      <w:bookmarkStart w:id="243" w:name="_Toc184312072"/>
      <w:bookmarkEnd w:id="243"/>
      <w:bookmarkStart w:id="244" w:name="_Toc184308043"/>
      <w:bookmarkEnd w:id="244"/>
      <w:bookmarkStart w:id="245" w:name="_Toc184312106"/>
      <w:bookmarkEnd w:id="245"/>
      <w:bookmarkStart w:id="246" w:name="_Toc184313294"/>
      <w:bookmarkEnd w:id="246"/>
      <w:bookmarkStart w:id="247" w:name="_Toc184308064"/>
      <w:bookmarkEnd w:id="247"/>
      <w:bookmarkStart w:id="248" w:name="_Toc184312069"/>
      <w:bookmarkEnd w:id="248"/>
      <w:bookmarkStart w:id="249" w:name="_Toc184310273"/>
      <w:bookmarkEnd w:id="249"/>
      <w:bookmarkStart w:id="250" w:name="_Toc184312116"/>
      <w:bookmarkEnd w:id="250"/>
      <w:bookmarkStart w:id="251" w:name="_Toc184310310"/>
      <w:bookmarkEnd w:id="251"/>
      <w:bookmarkStart w:id="252" w:name="_Toc184310303"/>
      <w:bookmarkEnd w:id="252"/>
      <w:bookmarkStart w:id="253" w:name="_Toc184314444"/>
      <w:bookmarkEnd w:id="253"/>
      <w:bookmarkStart w:id="254" w:name="_Toc184310286"/>
      <w:bookmarkEnd w:id="254"/>
      <w:bookmarkStart w:id="255" w:name="_Toc184310337"/>
      <w:bookmarkEnd w:id="255"/>
      <w:bookmarkStart w:id="256" w:name="_Toc184308090"/>
      <w:bookmarkEnd w:id="256"/>
      <w:bookmarkStart w:id="257" w:name="_Toc184313259"/>
      <w:bookmarkEnd w:id="257"/>
      <w:bookmarkStart w:id="258" w:name="_Toc184314475"/>
      <w:bookmarkEnd w:id="258"/>
      <w:bookmarkStart w:id="259" w:name="_Toc184312095"/>
      <w:bookmarkEnd w:id="259"/>
      <w:bookmarkStart w:id="260" w:name="_Toc184310292"/>
      <w:bookmarkEnd w:id="260"/>
      <w:bookmarkStart w:id="261" w:name="_Toc184313253"/>
      <w:bookmarkEnd w:id="261"/>
      <w:bookmarkStart w:id="262" w:name="_Toc184313295"/>
      <w:bookmarkEnd w:id="262"/>
      <w:bookmarkStart w:id="263" w:name="_Toc184308042"/>
      <w:bookmarkEnd w:id="263"/>
      <w:bookmarkStart w:id="264" w:name="_Toc184314441"/>
      <w:bookmarkEnd w:id="264"/>
      <w:bookmarkStart w:id="265" w:name="_Toc184308084"/>
      <w:bookmarkEnd w:id="265"/>
      <w:bookmarkStart w:id="266" w:name="_Toc184310324"/>
      <w:bookmarkEnd w:id="266"/>
      <w:bookmarkStart w:id="267" w:name="_Toc184314424"/>
      <w:bookmarkEnd w:id="267"/>
      <w:bookmarkStart w:id="268" w:name="_Toc184314429"/>
      <w:bookmarkEnd w:id="268"/>
      <w:bookmarkStart w:id="269" w:name="_Toc184314411"/>
      <w:bookmarkEnd w:id="269"/>
      <w:bookmarkStart w:id="270" w:name="_Toc184310338"/>
      <w:bookmarkEnd w:id="270"/>
      <w:bookmarkStart w:id="271" w:name="_Toc184314417"/>
      <w:bookmarkEnd w:id="271"/>
      <w:bookmarkStart w:id="272" w:name="_Toc184308046"/>
      <w:bookmarkEnd w:id="272"/>
      <w:bookmarkStart w:id="273" w:name="_Toc184310301"/>
      <w:bookmarkEnd w:id="273"/>
      <w:bookmarkStart w:id="274" w:name="_Toc184312127"/>
      <w:bookmarkEnd w:id="274"/>
      <w:bookmarkStart w:id="275" w:name="_Toc184314476"/>
      <w:bookmarkEnd w:id="275"/>
      <w:bookmarkStart w:id="276" w:name="_Toc184308074"/>
      <w:bookmarkEnd w:id="276"/>
      <w:bookmarkStart w:id="277" w:name="_Toc184310327"/>
      <w:bookmarkEnd w:id="277"/>
      <w:bookmarkStart w:id="278" w:name="_Toc184312086"/>
      <w:bookmarkEnd w:id="278"/>
      <w:bookmarkStart w:id="279" w:name="_Toc184312104"/>
      <w:bookmarkEnd w:id="279"/>
      <w:bookmarkStart w:id="280" w:name="_Toc184313278"/>
      <w:bookmarkEnd w:id="280"/>
      <w:bookmarkStart w:id="281" w:name="_Toc184310283"/>
      <w:bookmarkEnd w:id="281"/>
      <w:bookmarkStart w:id="282" w:name="_Toc184314478"/>
      <w:bookmarkEnd w:id="282"/>
      <w:bookmarkStart w:id="283" w:name="_Toc184313302"/>
      <w:bookmarkEnd w:id="283"/>
      <w:bookmarkStart w:id="284" w:name="_Toc184312110"/>
      <w:bookmarkEnd w:id="284"/>
      <w:bookmarkStart w:id="285" w:name="_Toc184312075"/>
      <w:bookmarkEnd w:id="285"/>
      <w:bookmarkStart w:id="286" w:name="_Toc184308106"/>
      <w:bookmarkEnd w:id="286"/>
      <w:bookmarkStart w:id="287" w:name="_Toc184313269"/>
      <w:bookmarkEnd w:id="287"/>
      <w:bookmarkStart w:id="288" w:name="_Toc184308086"/>
      <w:bookmarkEnd w:id="288"/>
      <w:bookmarkStart w:id="289" w:name="_Toc184313272"/>
      <w:bookmarkEnd w:id="289"/>
      <w:bookmarkStart w:id="290" w:name="_Toc184308056"/>
      <w:bookmarkEnd w:id="290"/>
      <w:bookmarkStart w:id="291" w:name="_Toc184313293"/>
      <w:bookmarkEnd w:id="291"/>
      <w:bookmarkStart w:id="292" w:name="_Toc184313271"/>
      <w:bookmarkEnd w:id="292"/>
      <w:bookmarkStart w:id="293" w:name="_Toc184308082"/>
      <w:bookmarkEnd w:id="293"/>
      <w:bookmarkStart w:id="294" w:name="_Toc184313303"/>
      <w:bookmarkEnd w:id="294"/>
      <w:bookmarkStart w:id="295" w:name="_Toc184313266"/>
      <w:bookmarkEnd w:id="295"/>
      <w:bookmarkStart w:id="296" w:name="_Toc184310290"/>
      <w:bookmarkEnd w:id="296"/>
      <w:bookmarkStart w:id="297" w:name="_Toc184310298"/>
      <w:bookmarkEnd w:id="297"/>
      <w:bookmarkStart w:id="298" w:name="_Toc184314458"/>
      <w:bookmarkEnd w:id="298"/>
      <w:bookmarkStart w:id="299" w:name="_Toc184313262"/>
      <w:bookmarkEnd w:id="299"/>
      <w:bookmarkStart w:id="300" w:name="_Toc184308103"/>
      <w:bookmarkEnd w:id="300"/>
      <w:bookmarkStart w:id="301" w:name="_Toc184308062"/>
      <w:bookmarkEnd w:id="301"/>
      <w:bookmarkStart w:id="302" w:name="_Toc184314455"/>
      <w:bookmarkEnd w:id="302"/>
      <w:bookmarkStart w:id="303" w:name="_Toc184313255"/>
      <w:bookmarkEnd w:id="303"/>
      <w:bookmarkStart w:id="304" w:name="_Toc184314451"/>
      <w:bookmarkEnd w:id="304"/>
      <w:bookmarkStart w:id="305" w:name="_Toc184314474"/>
      <w:bookmarkEnd w:id="305"/>
      <w:bookmarkStart w:id="306" w:name="_Toc184310319"/>
      <w:bookmarkEnd w:id="306"/>
      <w:bookmarkStart w:id="307" w:name="_Toc184314425"/>
      <w:bookmarkEnd w:id="307"/>
      <w:bookmarkStart w:id="308" w:name="_Toc184313301"/>
      <w:bookmarkEnd w:id="308"/>
      <w:bookmarkStart w:id="309" w:name="_Toc184313276"/>
      <w:bookmarkEnd w:id="309"/>
      <w:bookmarkStart w:id="310" w:name="_Toc184310281"/>
      <w:bookmarkEnd w:id="310"/>
      <w:bookmarkStart w:id="311" w:name="_Toc184308050"/>
      <w:bookmarkEnd w:id="311"/>
      <w:bookmarkStart w:id="312" w:name="_Toc184313246"/>
      <w:bookmarkEnd w:id="312"/>
      <w:bookmarkStart w:id="313" w:name="_Toc184308048"/>
      <w:bookmarkEnd w:id="313"/>
      <w:bookmarkStart w:id="314" w:name="_Toc184312107"/>
      <w:bookmarkEnd w:id="314"/>
      <w:bookmarkStart w:id="315" w:name="_Toc184312094"/>
      <w:bookmarkEnd w:id="315"/>
      <w:bookmarkStart w:id="316" w:name="_Toc184312083"/>
      <w:bookmarkEnd w:id="316"/>
      <w:bookmarkStart w:id="317" w:name="_Toc184314418"/>
      <w:bookmarkEnd w:id="317"/>
      <w:bookmarkStart w:id="318" w:name="_Toc184308097"/>
      <w:bookmarkEnd w:id="318"/>
      <w:bookmarkStart w:id="319" w:name="_Toc184310282"/>
      <w:bookmarkEnd w:id="319"/>
      <w:bookmarkStart w:id="320" w:name="_Toc184313264"/>
      <w:bookmarkEnd w:id="320"/>
      <w:bookmarkStart w:id="321" w:name="_Toc184312070"/>
      <w:bookmarkEnd w:id="321"/>
      <w:bookmarkStart w:id="322" w:name="_Toc184313243"/>
      <w:bookmarkEnd w:id="322"/>
      <w:bookmarkStart w:id="323" w:name="_Toc184313242"/>
      <w:bookmarkEnd w:id="323"/>
      <w:bookmarkStart w:id="324" w:name="_Toc184310277"/>
      <w:bookmarkEnd w:id="324"/>
      <w:bookmarkStart w:id="325" w:name="_Toc184312112"/>
      <w:bookmarkEnd w:id="325"/>
      <w:bookmarkStart w:id="326" w:name="_Toc184310305"/>
      <w:bookmarkEnd w:id="326"/>
      <w:bookmarkStart w:id="327" w:name="_Toc184308073"/>
      <w:bookmarkEnd w:id="327"/>
      <w:bookmarkStart w:id="328" w:name="_Toc184312115"/>
      <w:bookmarkEnd w:id="328"/>
      <w:bookmarkStart w:id="329" w:name="_Toc184310315"/>
      <w:bookmarkEnd w:id="329"/>
      <w:bookmarkStart w:id="330" w:name="_Toc184312073"/>
      <w:bookmarkEnd w:id="330"/>
      <w:bookmarkStart w:id="331" w:name="_Toc184314457"/>
      <w:bookmarkEnd w:id="331"/>
      <w:bookmarkStart w:id="332" w:name="_Toc184313298"/>
      <w:bookmarkEnd w:id="332"/>
      <w:bookmarkStart w:id="333" w:name="_Toc184308037"/>
      <w:bookmarkEnd w:id="333"/>
      <w:bookmarkStart w:id="334" w:name="_Toc184313287"/>
      <w:bookmarkEnd w:id="334"/>
      <w:bookmarkStart w:id="335" w:name="_Toc184313239"/>
      <w:bookmarkEnd w:id="335"/>
      <w:bookmarkStart w:id="336" w:name="_Toc184312087"/>
      <w:bookmarkEnd w:id="336"/>
      <w:bookmarkStart w:id="337" w:name="_Toc184310289"/>
      <w:bookmarkEnd w:id="337"/>
      <w:bookmarkStart w:id="338" w:name="_Toc184310306"/>
      <w:bookmarkEnd w:id="338"/>
      <w:bookmarkStart w:id="339" w:name="_Toc184314470"/>
      <w:bookmarkEnd w:id="339"/>
      <w:bookmarkStart w:id="340" w:name="_Toc184310299"/>
      <w:bookmarkEnd w:id="340"/>
      <w:bookmarkStart w:id="341" w:name="_Toc184313257"/>
      <w:bookmarkEnd w:id="341"/>
      <w:bookmarkStart w:id="342" w:name="_Toc184310340"/>
      <w:bookmarkEnd w:id="342"/>
      <w:bookmarkStart w:id="343" w:name="_Toc184314439"/>
      <w:bookmarkEnd w:id="343"/>
      <w:bookmarkStart w:id="344" w:name="_Toc184308068"/>
      <w:bookmarkEnd w:id="344"/>
      <w:bookmarkStart w:id="345" w:name="_Toc184308070"/>
      <w:bookmarkEnd w:id="345"/>
      <w:bookmarkStart w:id="346" w:name="_Toc184308061"/>
      <w:bookmarkEnd w:id="346"/>
      <w:bookmarkStart w:id="347" w:name="_Toc184313241"/>
      <w:bookmarkEnd w:id="347"/>
      <w:bookmarkStart w:id="348" w:name="_Toc184314454"/>
      <w:bookmarkEnd w:id="348"/>
      <w:bookmarkStart w:id="349" w:name="_Toc184312102"/>
      <w:bookmarkEnd w:id="349"/>
      <w:bookmarkStart w:id="350" w:name="_Toc184308071"/>
      <w:bookmarkEnd w:id="350"/>
      <w:bookmarkStart w:id="351" w:name="_Toc184308085"/>
      <w:bookmarkEnd w:id="351"/>
      <w:bookmarkStart w:id="352" w:name="_Toc184308055"/>
      <w:bookmarkEnd w:id="352"/>
      <w:bookmarkStart w:id="353" w:name="_Toc184312074"/>
      <w:bookmarkEnd w:id="353"/>
      <w:bookmarkStart w:id="354" w:name="_Toc184312068"/>
      <w:bookmarkEnd w:id="354"/>
      <w:bookmarkStart w:id="355" w:name="_Toc184308088"/>
      <w:bookmarkEnd w:id="355"/>
      <w:bookmarkStart w:id="356" w:name="_Toc184314447"/>
      <w:bookmarkEnd w:id="356"/>
      <w:bookmarkStart w:id="357" w:name="_Toc184314431"/>
      <w:bookmarkEnd w:id="357"/>
      <w:bookmarkStart w:id="358" w:name="_Toc184308045"/>
      <w:bookmarkEnd w:id="358"/>
      <w:bookmarkStart w:id="359" w:name="_Toc184313245"/>
      <w:bookmarkEnd w:id="359"/>
      <w:bookmarkStart w:id="360" w:name="_Toc184310288"/>
      <w:bookmarkEnd w:id="360"/>
      <w:bookmarkStart w:id="361" w:name="_Toc184312098"/>
      <w:bookmarkEnd w:id="361"/>
      <w:bookmarkStart w:id="362" w:name="_Toc184313283"/>
      <w:bookmarkEnd w:id="362"/>
      <w:bookmarkStart w:id="363" w:name="_Toc184313248"/>
      <w:bookmarkEnd w:id="363"/>
      <w:bookmarkStart w:id="364" w:name="_Toc184313297"/>
      <w:bookmarkEnd w:id="364"/>
      <w:bookmarkStart w:id="365" w:name="_Toc184314442"/>
      <w:bookmarkEnd w:id="365"/>
      <w:bookmarkStart w:id="366" w:name="_Toc184314477"/>
      <w:bookmarkEnd w:id="366"/>
      <w:bookmarkStart w:id="367" w:name="_Toc184313300"/>
      <w:bookmarkEnd w:id="367"/>
      <w:bookmarkStart w:id="368" w:name="_Toc184314467"/>
      <w:bookmarkEnd w:id="368"/>
      <w:bookmarkStart w:id="369" w:name="_Toc184314422"/>
      <w:bookmarkEnd w:id="369"/>
      <w:bookmarkStart w:id="370" w:name="_Toc184314465"/>
      <w:bookmarkEnd w:id="370"/>
      <w:bookmarkStart w:id="371" w:name="_Toc184312103"/>
      <w:bookmarkEnd w:id="371"/>
      <w:bookmarkStart w:id="372" w:name="_Toc184314462"/>
      <w:bookmarkEnd w:id="372"/>
      <w:bookmarkStart w:id="373" w:name="_Toc184313274"/>
      <w:bookmarkEnd w:id="373"/>
      <w:bookmarkStart w:id="374" w:name="_Toc184312071"/>
      <w:bookmarkEnd w:id="374"/>
      <w:bookmarkStart w:id="375" w:name="_Toc184308105"/>
      <w:bookmarkEnd w:id="375"/>
      <w:bookmarkStart w:id="376" w:name="_Toc184313260"/>
      <w:bookmarkEnd w:id="376"/>
      <w:bookmarkStart w:id="377" w:name="_Toc184314471"/>
      <w:bookmarkEnd w:id="377"/>
      <w:bookmarkStart w:id="378" w:name="_Toc184312139"/>
      <w:bookmarkEnd w:id="378"/>
      <w:bookmarkStart w:id="379" w:name="_Toc184314435"/>
      <w:bookmarkEnd w:id="379"/>
      <w:bookmarkStart w:id="380" w:name="_Toc184310291"/>
      <w:bookmarkEnd w:id="380"/>
      <w:bookmarkStart w:id="381" w:name="_Toc184310276"/>
      <w:bookmarkEnd w:id="381"/>
      <w:bookmarkStart w:id="382" w:name="_Toc184312101"/>
      <w:bookmarkEnd w:id="382"/>
      <w:bookmarkStart w:id="383" w:name="_Toc184310297"/>
      <w:bookmarkEnd w:id="383"/>
      <w:bookmarkStart w:id="384" w:name="_Toc184313238"/>
      <w:bookmarkEnd w:id="384"/>
      <w:bookmarkStart w:id="385" w:name="_Toc184312105"/>
      <w:bookmarkEnd w:id="385"/>
      <w:bookmarkStart w:id="386" w:name="_Toc184313265"/>
      <w:bookmarkEnd w:id="386"/>
      <w:bookmarkStart w:id="387" w:name="_Toc184313291"/>
      <w:bookmarkEnd w:id="387"/>
      <w:bookmarkStart w:id="388" w:name="_Toc184312092"/>
      <w:bookmarkEnd w:id="388"/>
      <w:bookmarkStart w:id="389" w:name="_Toc184310304"/>
      <w:bookmarkEnd w:id="389"/>
      <w:bookmarkStart w:id="390" w:name="_Toc184314468"/>
      <w:bookmarkEnd w:id="390"/>
      <w:bookmarkStart w:id="391" w:name="_Toc184313284"/>
      <w:bookmarkEnd w:id="391"/>
      <w:bookmarkStart w:id="392" w:name="_Toc184313256"/>
      <w:bookmarkEnd w:id="392"/>
      <w:bookmarkStart w:id="393" w:name="_Toc184312076"/>
      <w:bookmarkEnd w:id="393"/>
      <w:bookmarkStart w:id="394" w:name="_Toc184310308"/>
      <w:bookmarkEnd w:id="394"/>
      <w:bookmarkStart w:id="395" w:name="_Toc184313288"/>
      <w:bookmarkEnd w:id="395"/>
      <w:bookmarkStart w:id="396" w:name="_Toc184312123"/>
      <w:bookmarkEnd w:id="396"/>
      <w:bookmarkStart w:id="397" w:name="_Toc184313308"/>
      <w:bookmarkEnd w:id="397"/>
      <w:bookmarkStart w:id="398" w:name="_Toc184310322"/>
      <w:bookmarkEnd w:id="398"/>
      <w:bookmarkStart w:id="399" w:name="_Toc184310275"/>
      <w:bookmarkEnd w:id="399"/>
      <w:bookmarkStart w:id="400" w:name="_Toc184312100"/>
      <w:bookmarkEnd w:id="400"/>
      <w:bookmarkStart w:id="401" w:name="_Toc184310278"/>
      <w:bookmarkEnd w:id="401"/>
      <w:bookmarkStart w:id="402" w:name="_Toc184308040"/>
      <w:bookmarkEnd w:id="402"/>
      <w:bookmarkStart w:id="403" w:name="_Toc184312097"/>
      <w:bookmarkEnd w:id="403"/>
      <w:bookmarkStart w:id="404" w:name="_Toc184308065"/>
      <w:bookmarkEnd w:id="404"/>
      <w:bookmarkStart w:id="405" w:name="_Toc184308066"/>
      <w:bookmarkEnd w:id="405"/>
      <w:bookmarkStart w:id="406" w:name="_Toc184312137"/>
      <w:bookmarkEnd w:id="406"/>
      <w:bookmarkStart w:id="407" w:name="_Toc184308054"/>
      <w:bookmarkEnd w:id="407"/>
      <w:bookmarkStart w:id="408" w:name="_Toc184314449"/>
      <w:bookmarkEnd w:id="408"/>
      <w:bookmarkStart w:id="409" w:name="_Toc184313281"/>
      <w:bookmarkEnd w:id="409"/>
      <w:r>
        <w:rPr>
          <w:rFonts w:hint="eastAsia" w:ascii="仿宋" w:hAnsi="仿宋" w:eastAsia="仿宋" w:cs="仿宋"/>
          <w:b/>
          <w:bCs/>
          <w:color w:val="auto"/>
          <w:kern w:val="44"/>
          <w:sz w:val="44"/>
          <w:szCs w:val="44"/>
          <w:lang w:val="en-US" w:eastAsia="zh-CN" w:bidi="ar-SA"/>
        </w:rPr>
        <w:t>评标办法</w:t>
      </w:r>
      <w:bookmarkEnd w:id="44"/>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评标办法前附表【标项一、标项二、标项三】 </w:t>
      </w:r>
    </w:p>
    <w:tbl>
      <w:tblPr>
        <w:tblStyle w:val="65"/>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413"/>
        <w:gridCol w:w="6147"/>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top"/>
          </w:tcPr>
          <w:p>
            <w:pPr>
              <w:shd w:val="clear"/>
              <w:spacing w:before="120" w:beforeLines="50" w:after="120" w:afterLines="50" w:line="3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413" w:type="dxa"/>
            <w:noWrap w:val="0"/>
            <w:vAlign w:val="top"/>
          </w:tcPr>
          <w:p>
            <w:pPr>
              <w:shd w:val="clear"/>
              <w:spacing w:before="120" w:beforeLines="50" w:after="120" w:afterLines="50" w:line="3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评分类型</w:t>
            </w:r>
          </w:p>
        </w:tc>
        <w:tc>
          <w:tcPr>
            <w:tcW w:w="6147" w:type="dxa"/>
            <w:noWrap w:val="0"/>
            <w:vAlign w:val="top"/>
          </w:tcPr>
          <w:p>
            <w:pPr>
              <w:shd w:val="clear"/>
              <w:spacing w:before="120" w:beforeLines="50" w:after="120" w:afterLines="50" w:line="3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评分标准</w:t>
            </w:r>
          </w:p>
        </w:tc>
        <w:tc>
          <w:tcPr>
            <w:tcW w:w="970" w:type="dxa"/>
            <w:noWrap w:val="0"/>
            <w:vAlign w:val="top"/>
          </w:tcPr>
          <w:p>
            <w:pPr>
              <w:shd w:val="clear"/>
              <w:spacing w:before="120" w:beforeLines="50" w:after="120" w:afterLines="50" w:line="3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868" w:type="dxa"/>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413" w:type="dxa"/>
            <w:vMerge w:val="restart"/>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w:t>
            </w:r>
          </w:p>
        </w:tc>
        <w:tc>
          <w:tcPr>
            <w:tcW w:w="6147" w:type="dxa"/>
            <w:noWrap w:val="0"/>
            <w:vAlign w:val="center"/>
          </w:tcPr>
          <w:p>
            <w:pPr>
              <w:shd w:val="clear"/>
              <w:spacing w:before="120" w:beforeLines="50" w:after="120" w:afterLines="50" w:line="340" w:lineRule="exac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符合明确指标参数得</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分。对非关键的性能指标及技术参数属负偏离或缺漏项的每项扣3分</w:t>
            </w:r>
            <w:r>
              <w:rPr>
                <w:rFonts w:hint="eastAsia" w:ascii="仿宋" w:hAnsi="仿宋" w:eastAsia="仿宋" w:cs="仿宋"/>
                <w:bCs/>
                <w:color w:val="auto"/>
                <w:sz w:val="24"/>
                <w:szCs w:val="24"/>
                <w:highlight w:val="none"/>
                <w:lang w:eastAsia="zh-CN"/>
              </w:rPr>
              <w:t>，最高扣</w:t>
            </w:r>
            <w:r>
              <w:rPr>
                <w:rFonts w:hint="eastAsia" w:ascii="仿宋" w:hAnsi="仿宋" w:eastAsia="仿宋" w:cs="仿宋"/>
                <w:bCs/>
                <w:color w:val="auto"/>
                <w:sz w:val="24"/>
                <w:szCs w:val="24"/>
                <w:highlight w:val="none"/>
                <w:lang w:val="en-US" w:eastAsia="zh-CN"/>
              </w:rPr>
              <w:t>15分；对</w:t>
            </w:r>
            <w:r>
              <w:rPr>
                <w:rFonts w:hint="eastAsia" w:ascii="仿宋" w:hAnsi="仿宋" w:eastAsia="仿宋" w:cs="仿宋"/>
                <w:bCs/>
                <w:color w:val="auto"/>
                <w:sz w:val="24"/>
                <w:szCs w:val="24"/>
                <w:highlight w:val="none"/>
              </w:rPr>
              <w:t>关键的性能指标及技术参数属负偏离或缺漏项的每项扣</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，最高扣</w:t>
            </w:r>
            <w:r>
              <w:rPr>
                <w:rFonts w:hint="eastAsia" w:ascii="仿宋" w:hAnsi="仿宋" w:eastAsia="仿宋" w:cs="仿宋"/>
                <w:bCs/>
                <w:color w:val="auto"/>
                <w:sz w:val="24"/>
                <w:szCs w:val="24"/>
                <w:highlight w:val="none"/>
                <w:lang w:val="en-US" w:eastAsia="zh-CN"/>
              </w:rPr>
              <w:t>15分</w:t>
            </w:r>
            <w:r>
              <w:rPr>
                <w:rFonts w:hint="eastAsia" w:ascii="仿宋" w:hAnsi="仿宋" w:eastAsia="仿宋" w:cs="仿宋"/>
                <w:bCs/>
                <w:color w:val="auto"/>
                <w:sz w:val="24"/>
                <w:szCs w:val="24"/>
                <w:highlight w:val="none"/>
              </w:rPr>
              <w:t>。</w:t>
            </w:r>
          </w:p>
        </w:tc>
        <w:tc>
          <w:tcPr>
            <w:tcW w:w="970" w:type="dxa"/>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413" w:type="dxa"/>
            <w:vMerge w:val="continue"/>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rPr>
            </w:pPr>
          </w:p>
        </w:tc>
        <w:tc>
          <w:tcPr>
            <w:tcW w:w="6147" w:type="dxa"/>
            <w:noWrap w:val="0"/>
            <w:vAlign w:val="center"/>
          </w:tcPr>
          <w:p>
            <w:pPr>
              <w:shd w:val="clear"/>
              <w:spacing w:before="120" w:beforeLines="50" w:after="120" w:afterLines="50" w:line="340" w:lineRule="exac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对性能指标、技术参数属正偏或高配的、有先进程度的正偏离每项加1分（最高分为</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分），无实质性意义的正偏离不加分。</w:t>
            </w:r>
            <w:r>
              <w:rPr>
                <w:rFonts w:hint="eastAsia" w:ascii="仿宋" w:hAnsi="仿宋" w:eastAsia="仿宋" w:cs="仿宋"/>
                <w:bCs/>
                <w:color w:val="auto"/>
                <w:sz w:val="24"/>
                <w:szCs w:val="24"/>
                <w:highlight w:val="none"/>
                <w:lang w:val="en-US" w:eastAsia="zh-CN"/>
              </w:rPr>
              <w:t>(需提供佐证材料）</w:t>
            </w:r>
          </w:p>
        </w:tc>
        <w:tc>
          <w:tcPr>
            <w:tcW w:w="970" w:type="dxa"/>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3</w:t>
            </w:r>
          </w:p>
        </w:tc>
        <w:tc>
          <w:tcPr>
            <w:tcW w:w="1413" w:type="dxa"/>
            <w:vMerge w:val="continue"/>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rPr>
            </w:pPr>
          </w:p>
        </w:tc>
        <w:tc>
          <w:tcPr>
            <w:tcW w:w="6147" w:type="dxa"/>
            <w:noWrap w:val="0"/>
            <w:vAlign w:val="center"/>
          </w:tcPr>
          <w:p>
            <w:pPr>
              <w:shd w:val="clear"/>
              <w:spacing w:before="120" w:beforeLines="50" w:after="120" w:afterLines="50" w:line="340" w:lineRule="exac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根据</w:t>
            </w:r>
            <w:r>
              <w:rPr>
                <w:rFonts w:hint="eastAsia" w:ascii="仿宋" w:hAnsi="仿宋" w:eastAsia="仿宋" w:cs="仿宋"/>
                <w:bCs/>
                <w:color w:val="auto"/>
                <w:sz w:val="24"/>
                <w:szCs w:val="24"/>
                <w:highlight w:val="none"/>
              </w:rPr>
              <w:t>各投标人所投五参数、高锰酸盐指数、氨氮、总磷、总氮</w:t>
            </w:r>
            <w:r>
              <w:rPr>
                <w:rFonts w:hint="eastAsia" w:ascii="仿宋" w:hAnsi="仿宋" w:eastAsia="仿宋" w:cs="仿宋"/>
                <w:color w:val="auto"/>
                <w:kern w:val="0"/>
                <w:sz w:val="24"/>
                <w:szCs w:val="24"/>
                <w:highlight w:val="none"/>
                <w:lang w:val="en-US" w:eastAsia="zh-CN"/>
              </w:rPr>
              <w:t>水质自动分析仪</w:t>
            </w:r>
            <w:r>
              <w:rPr>
                <w:rFonts w:hint="eastAsia" w:ascii="仿宋" w:hAnsi="仿宋" w:eastAsia="仿宋" w:cs="仿宋"/>
                <w:color w:val="auto"/>
                <w:kern w:val="0"/>
                <w:sz w:val="24"/>
                <w:szCs w:val="24"/>
                <w:highlight w:val="none"/>
              </w:rPr>
              <w:t>品牌形象、投标产品成熟度、用户反馈情况等综合打分，须提供相关证明材料（如</w:t>
            </w:r>
            <w:r>
              <w:rPr>
                <w:rFonts w:hint="eastAsia" w:ascii="仿宋" w:hAnsi="仿宋" w:eastAsia="仿宋" w:cs="仿宋"/>
                <w:color w:val="auto"/>
                <w:kern w:val="0"/>
                <w:sz w:val="24"/>
                <w:szCs w:val="24"/>
                <w:highlight w:val="none"/>
                <w:lang w:val="en-US" w:eastAsia="zh-CN"/>
              </w:rPr>
              <w:t>所投</w:t>
            </w:r>
            <w:r>
              <w:rPr>
                <w:rFonts w:hint="eastAsia" w:ascii="仿宋" w:hAnsi="仿宋" w:eastAsia="仿宋" w:cs="仿宋"/>
                <w:color w:val="auto"/>
                <w:kern w:val="0"/>
                <w:sz w:val="24"/>
                <w:szCs w:val="24"/>
                <w:highlight w:val="none"/>
              </w:rPr>
              <w:t>产品市场评价、产品</w:t>
            </w:r>
            <w:r>
              <w:rPr>
                <w:rFonts w:hint="eastAsia" w:ascii="仿宋" w:hAnsi="仿宋" w:eastAsia="仿宋" w:cs="仿宋"/>
                <w:color w:val="auto"/>
                <w:kern w:val="0"/>
                <w:sz w:val="24"/>
                <w:szCs w:val="24"/>
                <w:highlight w:val="none"/>
                <w:lang w:val="en-US" w:eastAsia="zh-CN"/>
              </w:rPr>
              <w:t>使用案例证明</w:t>
            </w:r>
            <w:r>
              <w:rPr>
                <w:rFonts w:hint="eastAsia" w:ascii="仿宋" w:hAnsi="仿宋" w:eastAsia="仿宋" w:cs="仿宋"/>
                <w:color w:val="auto"/>
                <w:kern w:val="0"/>
                <w:sz w:val="24"/>
                <w:szCs w:val="24"/>
                <w:highlight w:val="none"/>
              </w:rPr>
              <w:t>等）。</w:t>
            </w:r>
          </w:p>
        </w:tc>
        <w:tc>
          <w:tcPr>
            <w:tcW w:w="970" w:type="dxa"/>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4</w:t>
            </w:r>
          </w:p>
        </w:tc>
        <w:tc>
          <w:tcPr>
            <w:tcW w:w="1413" w:type="dxa"/>
            <w:vMerge w:val="continue"/>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rPr>
            </w:pPr>
          </w:p>
        </w:tc>
        <w:tc>
          <w:tcPr>
            <w:tcW w:w="6147" w:type="dxa"/>
            <w:noWrap w:val="0"/>
            <w:vAlign w:val="center"/>
          </w:tcPr>
          <w:p>
            <w:pPr>
              <w:shd w:val="clear"/>
              <w:spacing w:before="120" w:beforeLines="50" w:after="120" w:afterLines="50" w:line="340" w:lineRule="exac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970" w:type="dxa"/>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rPr>
            </w:pPr>
          </w:p>
        </w:tc>
        <w:tc>
          <w:tcPr>
            <w:tcW w:w="1413" w:type="dxa"/>
            <w:vMerge w:val="continue"/>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rPr>
            </w:pPr>
          </w:p>
        </w:tc>
        <w:tc>
          <w:tcPr>
            <w:tcW w:w="6147" w:type="dxa"/>
            <w:noWrap w:val="0"/>
            <w:vAlign w:val="top"/>
          </w:tcPr>
          <w:p>
            <w:pPr>
              <w:shd w:val="clear"/>
              <w:spacing w:before="120" w:beforeLines="50" w:after="120" w:afterLines="50" w:line="340" w:lineRule="exac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根据招标文件所附省控手工监测断面基本信息表</w:t>
            </w:r>
            <w:r>
              <w:rPr>
                <w:rFonts w:hint="eastAsia" w:ascii="仿宋" w:hAnsi="仿宋" w:eastAsia="仿宋" w:cs="仿宋"/>
                <w:color w:val="auto"/>
                <w:sz w:val="24"/>
                <w:szCs w:val="24"/>
                <w:highlight w:val="none"/>
              </w:rPr>
              <w:t>自行踏勘现场，根据站点现场</w:t>
            </w:r>
            <w:r>
              <w:rPr>
                <w:rFonts w:hint="eastAsia" w:ascii="仿宋" w:hAnsi="仿宋" w:eastAsia="仿宋" w:cs="仿宋"/>
                <w:color w:val="auto"/>
                <w:sz w:val="24"/>
                <w:szCs w:val="24"/>
                <w:highlight w:val="none"/>
                <w:lang w:val="en-US" w:eastAsia="zh-CN"/>
              </w:rPr>
              <w:t>实际</w:t>
            </w:r>
            <w:r>
              <w:rPr>
                <w:rFonts w:hint="eastAsia" w:ascii="仿宋" w:hAnsi="仿宋" w:eastAsia="仿宋" w:cs="仿宋"/>
                <w:color w:val="auto"/>
                <w:sz w:val="24"/>
                <w:szCs w:val="24"/>
                <w:highlight w:val="none"/>
              </w:rPr>
              <w:t>情况</w:t>
            </w:r>
            <w:r>
              <w:rPr>
                <w:rFonts w:hint="eastAsia" w:ascii="仿宋" w:hAnsi="仿宋" w:eastAsia="仿宋" w:cs="仿宋"/>
                <w:color w:val="auto"/>
                <w:sz w:val="24"/>
                <w:szCs w:val="24"/>
                <w:highlight w:val="none"/>
                <w:lang w:val="en-US" w:eastAsia="zh-CN"/>
              </w:rPr>
              <w:t>做出调研报告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分析各站点实施的重点难点问题并提出针对性解决方案。有明确的方案内容，各站点实施重难点分析符合实际情况，针对重难点分析可以一一举例提出解决措施得9-12分；有较明确得方案内容，能相对清晰得列举重难点问题，但解决措施为完全对应提出得5-8.9分；方案内容较简略，未详细得描述重难点内容及提出对应解决措施得0-4.9分。</w:t>
            </w:r>
          </w:p>
        </w:tc>
        <w:tc>
          <w:tcPr>
            <w:tcW w:w="970" w:type="dxa"/>
            <w:noWrap w:val="0"/>
            <w:vAlign w:val="center"/>
          </w:tcPr>
          <w:p>
            <w:pPr>
              <w:shd w:val="clear"/>
              <w:spacing w:before="120" w:beforeLines="50" w:after="120" w:afterLines="50" w:line="3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868" w:type="dxa"/>
            <w:noWrap w:val="0"/>
            <w:vAlign w:val="center"/>
          </w:tcPr>
          <w:p>
            <w:pPr>
              <w:shd w:val="clear"/>
              <w:spacing w:before="120" w:beforeLines="50" w:after="120" w:afterLines="50" w:line="3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5</w:t>
            </w:r>
          </w:p>
        </w:tc>
        <w:tc>
          <w:tcPr>
            <w:tcW w:w="1413" w:type="dxa"/>
            <w:vMerge w:val="continue"/>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rPr>
            </w:pPr>
          </w:p>
        </w:tc>
        <w:tc>
          <w:tcPr>
            <w:tcW w:w="6147" w:type="dxa"/>
            <w:noWrap w:val="0"/>
            <w:vAlign w:val="top"/>
          </w:tcPr>
          <w:p>
            <w:pPr>
              <w:shd w:val="clear"/>
              <w:spacing w:before="120" w:beforeLines="50" w:after="120" w:afterLines="50" w:line="340" w:lineRule="exac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结合各站点实际情况</w:t>
            </w:r>
            <w:r>
              <w:rPr>
                <w:rFonts w:hint="eastAsia" w:ascii="仿宋" w:hAnsi="仿宋" w:eastAsia="仿宋" w:cs="仿宋"/>
                <w:bCs/>
                <w:color w:val="auto"/>
                <w:sz w:val="24"/>
                <w:szCs w:val="24"/>
                <w:highlight w:val="none"/>
              </w:rPr>
              <w:t>系统集成的具体技术解决方案。</w:t>
            </w:r>
          </w:p>
          <w:p>
            <w:pPr>
              <w:shd w:val="clear"/>
              <w:spacing w:before="120" w:beforeLines="50" w:after="120" w:afterLines="50" w:line="340" w:lineRule="exac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方案完整、合理且科学，完全满足采购需求的，得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1-6</w:t>
            </w:r>
            <w:r>
              <w:rPr>
                <w:rFonts w:hint="eastAsia" w:ascii="仿宋" w:hAnsi="仿宋" w:eastAsia="仿宋" w:cs="仿宋"/>
                <w:bCs/>
                <w:color w:val="auto"/>
                <w:sz w:val="24"/>
                <w:szCs w:val="24"/>
                <w:highlight w:val="none"/>
              </w:rPr>
              <w:t>分；方案内容较完整，设计较合理的，得2.</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分；方案内容简单，存在缺漏或与需求有一定偏差的，得</w:t>
            </w:r>
            <w:r>
              <w:rPr>
                <w:rFonts w:hint="eastAsia" w:ascii="仿宋" w:hAnsi="仿宋" w:eastAsia="仿宋" w:cs="仿宋"/>
                <w:bCs/>
                <w:color w:val="auto"/>
                <w:sz w:val="24"/>
                <w:szCs w:val="24"/>
                <w:highlight w:val="none"/>
                <w:lang w:val="en-US" w:eastAsia="zh-CN"/>
              </w:rPr>
              <w:t>0.5-2</w:t>
            </w:r>
            <w:r>
              <w:rPr>
                <w:rFonts w:hint="eastAsia" w:ascii="仿宋" w:hAnsi="仿宋" w:eastAsia="仿宋" w:cs="仿宋"/>
                <w:bCs/>
                <w:color w:val="auto"/>
                <w:sz w:val="24"/>
                <w:szCs w:val="24"/>
                <w:highlight w:val="none"/>
              </w:rPr>
              <w:t>分；未提供不得分。</w:t>
            </w:r>
          </w:p>
        </w:tc>
        <w:tc>
          <w:tcPr>
            <w:tcW w:w="970" w:type="dxa"/>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7</w:t>
            </w:r>
          </w:p>
        </w:tc>
        <w:tc>
          <w:tcPr>
            <w:tcW w:w="1413" w:type="dxa"/>
            <w:vMerge w:val="continue"/>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rPr>
            </w:pPr>
          </w:p>
        </w:tc>
        <w:tc>
          <w:tcPr>
            <w:tcW w:w="6147" w:type="dxa"/>
            <w:noWrap w:val="0"/>
            <w:vAlign w:val="top"/>
          </w:tcPr>
          <w:p>
            <w:pPr>
              <w:pStyle w:val="24"/>
              <w:numPr>
                <w:ilvl w:val="0"/>
                <w:numId w:val="0"/>
              </w:numPr>
              <w:spacing w:line="24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项目具体实施计划。</w:t>
            </w:r>
          </w:p>
          <w:p>
            <w:pPr>
              <w:pStyle w:val="24"/>
              <w:numPr>
                <w:ilvl w:val="0"/>
                <w:numId w:val="0"/>
              </w:numPr>
              <w:spacing w:line="24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方案完整、合理且科学，完全满足采购需求的，得3.1-5分；方案内容较完整，设计较合理的，得1.6-3分；方案内容简单，存在缺漏或与需求有一定偏差的，得0.5-1.5分；未提供不得分。</w:t>
            </w:r>
          </w:p>
        </w:tc>
        <w:tc>
          <w:tcPr>
            <w:tcW w:w="970" w:type="dxa"/>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8</w:t>
            </w:r>
          </w:p>
        </w:tc>
        <w:tc>
          <w:tcPr>
            <w:tcW w:w="1413" w:type="dxa"/>
            <w:vMerge w:val="continue"/>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rPr>
            </w:pPr>
          </w:p>
        </w:tc>
        <w:tc>
          <w:tcPr>
            <w:tcW w:w="6147" w:type="dxa"/>
            <w:noWrap w:val="0"/>
            <w:vAlign w:val="top"/>
          </w:tcPr>
          <w:p>
            <w:pPr>
              <w:widowControl w:val="0"/>
              <w:jc w:val="both"/>
              <w:rPr>
                <w:rFonts w:hint="eastAsia" w:ascii="仿宋" w:hAnsi="仿宋" w:eastAsia="仿宋" w:cs="仿宋"/>
                <w:bCs/>
                <w:color w:val="auto"/>
                <w:sz w:val="24"/>
                <w:szCs w:val="24"/>
                <w:highlight w:val="none"/>
              </w:rPr>
            </w:pPr>
            <w:r>
              <w:rPr>
                <w:rFonts w:hint="eastAsia" w:ascii="仿宋" w:hAnsi="仿宋" w:eastAsia="仿宋" w:cs="仿宋"/>
                <w:bCs/>
                <w:snapToGrid w:val="0"/>
                <w:color w:val="auto"/>
                <w:kern w:val="2"/>
                <w:sz w:val="24"/>
                <w:szCs w:val="24"/>
                <w:highlight w:val="none"/>
                <w:lang w:val="en-US" w:eastAsia="zh-CN" w:bidi="ar-SA"/>
              </w:rPr>
              <w:t>项目组实施人员能力。</w:t>
            </w:r>
            <w:r>
              <w:rPr>
                <w:rFonts w:hint="eastAsia" w:ascii="仿宋" w:hAnsi="仿宋" w:eastAsia="仿宋" w:cs="仿宋"/>
                <w:bCs/>
                <w:snapToGrid w:val="0"/>
                <w:color w:val="auto"/>
                <w:kern w:val="2"/>
                <w:sz w:val="24"/>
                <w:szCs w:val="24"/>
                <w:highlight w:val="none"/>
                <w:lang w:val="zh-CN" w:eastAsia="zh-CN" w:bidi="ar-SA"/>
              </w:rPr>
              <w:t>根据投标人拥有的实施人员的数量、经验、专业能力以及获得主管部门颁发的资格证书等能否满足项目需求，进行综合评分</w:t>
            </w:r>
            <w:r>
              <w:rPr>
                <w:rFonts w:hint="eastAsia" w:ascii="仿宋" w:hAnsi="仿宋" w:eastAsia="仿宋" w:cs="仿宋"/>
                <w:bCs/>
                <w:color w:val="auto"/>
                <w:sz w:val="24"/>
                <w:szCs w:val="24"/>
                <w:highlight w:val="none"/>
              </w:rPr>
              <w:t>。</w:t>
            </w:r>
            <w:r>
              <w:rPr>
                <w:rFonts w:hint="eastAsia" w:ascii="仿宋" w:hAnsi="仿宋" w:eastAsia="仿宋" w:cs="仿宋"/>
                <w:bCs/>
                <w:color w:val="auto"/>
                <w:kern w:val="2"/>
                <w:sz w:val="24"/>
                <w:szCs w:val="24"/>
                <w:highlight w:val="none"/>
                <w:lang w:val="en-US" w:eastAsia="zh-CN" w:bidi="ar-SA"/>
              </w:rPr>
              <w:t>完全满足采购需求的，得3.1-5分；基本满足得1.6-3分；较差的得0.5-1.5分；未提供不得分。</w:t>
            </w:r>
          </w:p>
        </w:tc>
        <w:tc>
          <w:tcPr>
            <w:tcW w:w="970" w:type="dxa"/>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9</w:t>
            </w:r>
          </w:p>
        </w:tc>
        <w:tc>
          <w:tcPr>
            <w:tcW w:w="1413" w:type="dxa"/>
            <w:vMerge w:val="restart"/>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商务资信</w:t>
            </w:r>
          </w:p>
        </w:tc>
        <w:tc>
          <w:tcPr>
            <w:tcW w:w="6147" w:type="dxa"/>
            <w:noWrap w:val="0"/>
            <w:vAlign w:val="top"/>
          </w:tcPr>
          <w:p>
            <w:pPr>
              <w:shd w:val="clear"/>
              <w:spacing w:before="120" w:beforeLines="50" w:after="120" w:afterLines="50" w:line="34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根据投标人提供的综合实力（集成能力、软件开发能力、运维能力等）进行综合评分，最高得3分。</w:t>
            </w:r>
          </w:p>
        </w:tc>
        <w:tc>
          <w:tcPr>
            <w:tcW w:w="970" w:type="dxa"/>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68" w:type="dxa"/>
            <w:noWrap w:val="0"/>
            <w:vAlign w:val="center"/>
          </w:tcPr>
          <w:p>
            <w:pPr>
              <w:shd w:val="clear"/>
              <w:spacing w:before="120" w:beforeLines="50" w:after="120" w:afterLines="50" w:line="3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10</w:t>
            </w:r>
          </w:p>
        </w:tc>
        <w:tc>
          <w:tcPr>
            <w:tcW w:w="1413" w:type="dxa"/>
            <w:vMerge w:val="continue"/>
            <w:noWrap w:val="0"/>
            <w:vAlign w:val="top"/>
          </w:tcPr>
          <w:p>
            <w:pPr>
              <w:shd w:val="clear"/>
              <w:spacing w:before="120" w:beforeLines="50" w:after="120" w:afterLines="50" w:line="340" w:lineRule="exact"/>
              <w:rPr>
                <w:rFonts w:hint="eastAsia" w:ascii="仿宋" w:hAnsi="仿宋" w:eastAsia="仿宋" w:cs="仿宋"/>
                <w:bCs/>
                <w:color w:val="auto"/>
                <w:sz w:val="24"/>
                <w:szCs w:val="24"/>
                <w:highlight w:val="none"/>
              </w:rPr>
            </w:pPr>
          </w:p>
        </w:tc>
        <w:tc>
          <w:tcPr>
            <w:tcW w:w="6147" w:type="dxa"/>
            <w:noWrap w:val="0"/>
            <w:vAlign w:val="top"/>
          </w:tcPr>
          <w:p>
            <w:pPr>
              <w:shd w:val="clear"/>
              <w:spacing w:before="120" w:beforeLines="50" w:after="120" w:afterLines="50" w:line="340" w:lineRule="exact"/>
              <w:rPr>
                <w:rFonts w:hint="eastAsia" w:ascii="仿宋" w:hAnsi="仿宋" w:eastAsia="仿宋" w:cs="仿宋"/>
                <w:bCs/>
                <w:color w:val="auto"/>
                <w:sz w:val="36"/>
                <w:szCs w:val="36"/>
                <w:highlight w:val="none"/>
              </w:rPr>
            </w:pPr>
            <w:r>
              <w:rPr>
                <w:rFonts w:hint="eastAsia" w:ascii="仿宋" w:hAnsi="仿宋" w:eastAsia="仿宋" w:cs="仿宋"/>
                <w:bCs/>
                <w:color w:val="auto"/>
                <w:sz w:val="24"/>
                <w:szCs w:val="24"/>
                <w:highlight w:val="none"/>
                <w:lang w:val="en-US" w:eastAsia="zh-CN"/>
              </w:rPr>
              <w:t>根据投标人提供</w:t>
            </w:r>
            <w:r>
              <w:rPr>
                <w:rFonts w:hint="eastAsia" w:ascii="仿宋" w:hAnsi="仿宋" w:eastAsia="仿宋" w:cs="仿宋"/>
                <w:bCs/>
                <w:color w:val="auto"/>
                <w:sz w:val="24"/>
                <w:szCs w:val="24"/>
                <w:highlight w:val="none"/>
              </w:rPr>
              <w:t>售后服务的响应情况（对用户故障响应、处理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设备生产厂商支持</w:t>
            </w:r>
            <w:r>
              <w:rPr>
                <w:rFonts w:hint="eastAsia" w:ascii="仿宋" w:hAnsi="仿宋" w:eastAsia="仿宋" w:cs="仿宋"/>
                <w:bCs/>
                <w:color w:val="auto"/>
                <w:sz w:val="24"/>
                <w:szCs w:val="24"/>
                <w:highlight w:val="none"/>
              </w:rPr>
              <w:t>等）</w:t>
            </w:r>
            <w:r>
              <w:rPr>
                <w:rFonts w:hint="eastAsia" w:ascii="仿宋" w:hAnsi="仿宋" w:eastAsia="仿宋" w:cs="仿宋"/>
                <w:bCs/>
                <w:color w:val="auto"/>
                <w:sz w:val="24"/>
                <w:szCs w:val="24"/>
                <w:highlight w:val="none"/>
                <w:lang w:val="en-US" w:eastAsia="zh-CN"/>
              </w:rPr>
              <w:t>进行综合评分，最高得</w:t>
            </w:r>
            <w:r>
              <w:rPr>
                <w:rFonts w:hint="eastAsia" w:ascii="仿宋" w:hAnsi="仿宋" w:eastAsia="仿宋" w:cs="仿宋"/>
                <w:bCs/>
                <w:color w:val="auto"/>
                <w:sz w:val="24"/>
                <w:szCs w:val="24"/>
                <w:highlight w:val="none"/>
                <w:lang w:eastAsia="zh-CN"/>
              </w:rPr>
              <w:t>3</w:t>
            </w:r>
            <w:r>
              <w:rPr>
                <w:rFonts w:hint="eastAsia" w:ascii="仿宋" w:hAnsi="仿宋" w:eastAsia="仿宋" w:cs="仿宋"/>
                <w:bCs/>
                <w:color w:val="auto"/>
                <w:sz w:val="24"/>
                <w:szCs w:val="24"/>
                <w:highlight w:val="none"/>
                <w:lang w:val="en-US" w:eastAsia="zh-CN"/>
              </w:rPr>
              <w:t>分。</w:t>
            </w:r>
          </w:p>
        </w:tc>
        <w:tc>
          <w:tcPr>
            <w:tcW w:w="970" w:type="dxa"/>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1</w:t>
            </w:r>
          </w:p>
        </w:tc>
        <w:tc>
          <w:tcPr>
            <w:tcW w:w="1413" w:type="dxa"/>
            <w:vMerge w:val="continue"/>
            <w:noWrap w:val="0"/>
            <w:vAlign w:val="top"/>
          </w:tcPr>
          <w:p>
            <w:pPr>
              <w:shd w:val="clear"/>
              <w:spacing w:before="120" w:beforeLines="50" w:after="120" w:afterLines="50" w:line="340" w:lineRule="exact"/>
              <w:rPr>
                <w:rFonts w:hint="eastAsia" w:ascii="仿宋" w:hAnsi="仿宋" w:eastAsia="仿宋" w:cs="仿宋"/>
                <w:bCs/>
                <w:color w:val="auto"/>
                <w:sz w:val="24"/>
                <w:szCs w:val="24"/>
                <w:highlight w:val="none"/>
              </w:rPr>
            </w:pPr>
          </w:p>
        </w:tc>
        <w:tc>
          <w:tcPr>
            <w:tcW w:w="6147" w:type="dxa"/>
            <w:noWrap w:val="0"/>
            <w:vAlign w:val="top"/>
          </w:tcPr>
          <w:p>
            <w:pPr>
              <w:shd w:val="clear"/>
              <w:spacing w:before="120" w:beforeLines="50" w:after="120" w:afterLines="50" w:line="34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质保期：不满足招标要求的得0分，满足招标要求的得1分，每增加一年加0.5分，最高得3分。</w:t>
            </w:r>
          </w:p>
        </w:tc>
        <w:tc>
          <w:tcPr>
            <w:tcW w:w="970" w:type="dxa"/>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12</w:t>
            </w:r>
          </w:p>
        </w:tc>
        <w:tc>
          <w:tcPr>
            <w:tcW w:w="1413" w:type="dxa"/>
            <w:vMerge w:val="continue"/>
            <w:noWrap w:val="0"/>
            <w:vAlign w:val="top"/>
          </w:tcPr>
          <w:p>
            <w:pPr>
              <w:shd w:val="clear"/>
              <w:spacing w:before="120" w:beforeLines="50" w:after="120" w:afterLines="50" w:line="340" w:lineRule="exact"/>
              <w:rPr>
                <w:rFonts w:hint="eastAsia" w:ascii="仿宋" w:hAnsi="仿宋" w:eastAsia="仿宋" w:cs="仿宋"/>
                <w:bCs/>
                <w:color w:val="auto"/>
                <w:sz w:val="24"/>
                <w:szCs w:val="24"/>
                <w:highlight w:val="none"/>
              </w:rPr>
            </w:pPr>
          </w:p>
        </w:tc>
        <w:tc>
          <w:tcPr>
            <w:tcW w:w="6147" w:type="dxa"/>
            <w:noWrap w:val="0"/>
            <w:vAlign w:val="top"/>
          </w:tcPr>
          <w:p>
            <w:pPr>
              <w:shd w:val="clear"/>
              <w:spacing w:before="120" w:beforeLines="50" w:after="120" w:afterLines="50" w:line="34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根据投标人针对本项目实际情况的提供的优惠承诺进行综合评分，最高得3分。</w:t>
            </w:r>
          </w:p>
        </w:tc>
        <w:tc>
          <w:tcPr>
            <w:tcW w:w="970" w:type="dxa"/>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13</w:t>
            </w:r>
          </w:p>
        </w:tc>
        <w:tc>
          <w:tcPr>
            <w:tcW w:w="1413" w:type="dxa"/>
            <w:vMerge w:val="continue"/>
            <w:noWrap w:val="0"/>
            <w:vAlign w:val="top"/>
          </w:tcPr>
          <w:p>
            <w:pPr>
              <w:shd w:val="clear"/>
              <w:spacing w:before="120" w:beforeLines="50" w:after="120" w:afterLines="50" w:line="340" w:lineRule="exact"/>
              <w:rPr>
                <w:rFonts w:hint="eastAsia" w:ascii="仿宋" w:hAnsi="仿宋" w:eastAsia="仿宋" w:cs="仿宋"/>
                <w:bCs/>
                <w:color w:val="auto"/>
                <w:sz w:val="24"/>
                <w:szCs w:val="24"/>
                <w:highlight w:val="none"/>
              </w:rPr>
            </w:pPr>
          </w:p>
        </w:tc>
        <w:tc>
          <w:tcPr>
            <w:tcW w:w="6147" w:type="dxa"/>
            <w:noWrap w:val="0"/>
            <w:vAlign w:val="top"/>
          </w:tcPr>
          <w:p>
            <w:pPr>
              <w:shd w:val="clear"/>
              <w:spacing w:before="120" w:beforeLines="50" w:after="120" w:afterLines="50" w:line="3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根据投标人提供</w:t>
            </w:r>
            <w:r>
              <w:rPr>
                <w:rFonts w:hint="eastAsia" w:ascii="仿宋" w:hAnsi="仿宋" w:eastAsia="仿宋" w:cs="仿宋"/>
                <w:bCs/>
                <w:color w:val="auto"/>
                <w:sz w:val="24"/>
                <w:szCs w:val="24"/>
                <w:highlight w:val="none"/>
              </w:rPr>
              <w:t>本地化服务</w:t>
            </w:r>
            <w:r>
              <w:rPr>
                <w:rFonts w:hint="eastAsia" w:ascii="仿宋" w:hAnsi="仿宋" w:eastAsia="仿宋" w:cs="仿宋"/>
                <w:bCs/>
                <w:color w:val="auto"/>
                <w:sz w:val="24"/>
                <w:szCs w:val="24"/>
                <w:highlight w:val="none"/>
                <w:lang w:eastAsia="zh-CN"/>
              </w:rPr>
              <w:t>方案</w:t>
            </w:r>
            <w:r>
              <w:rPr>
                <w:rFonts w:hint="eastAsia" w:ascii="仿宋" w:hAnsi="仿宋" w:eastAsia="仿宋" w:cs="仿宋"/>
                <w:bCs/>
                <w:color w:val="auto"/>
                <w:sz w:val="24"/>
                <w:szCs w:val="24"/>
                <w:highlight w:val="none"/>
                <w:lang w:val="en-US" w:eastAsia="zh-CN"/>
              </w:rPr>
              <w:t>进行综合评分，</w:t>
            </w:r>
            <w:r>
              <w:rPr>
                <w:rFonts w:hint="eastAsia" w:ascii="仿宋" w:hAnsi="仿宋" w:eastAsia="仿宋" w:cs="仿宋"/>
                <w:bCs/>
                <w:color w:val="auto"/>
                <w:sz w:val="24"/>
                <w:szCs w:val="24"/>
                <w:highlight w:val="none"/>
              </w:rPr>
              <w:t>最高得2分。</w:t>
            </w:r>
          </w:p>
        </w:tc>
        <w:tc>
          <w:tcPr>
            <w:tcW w:w="970" w:type="dxa"/>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14</w:t>
            </w:r>
          </w:p>
        </w:tc>
        <w:tc>
          <w:tcPr>
            <w:tcW w:w="1413" w:type="dxa"/>
            <w:vMerge w:val="continue"/>
            <w:noWrap w:val="0"/>
            <w:vAlign w:val="top"/>
          </w:tcPr>
          <w:p>
            <w:pPr>
              <w:shd w:val="clear"/>
              <w:spacing w:before="120" w:beforeLines="50" w:after="120" w:afterLines="50" w:line="340" w:lineRule="exact"/>
              <w:rPr>
                <w:rFonts w:hint="eastAsia" w:ascii="仿宋" w:hAnsi="仿宋" w:eastAsia="仿宋" w:cs="仿宋"/>
                <w:bCs/>
                <w:color w:val="auto"/>
                <w:sz w:val="24"/>
                <w:szCs w:val="24"/>
                <w:highlight w:val="none"/>
              </w:rPr>
            </w:pPr>
          </w:p>
        </w:tc>
        <w:tc>
          <w:tcPr>
            <w:tcW w:w="6147" w:type="dxa"/>
            <w:noWrap w:val="0"/>
            <w:vAlign w:val="top"/>
          </w:tcPr>
          <w:p>
            <w:pPr>
              <w:shd w:val="clear"/>
              <w:spacing w:before="120" w:beforeLines="50" w:after="120" w:afterLines="50" w:line="3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根据投标人提供</w:t>
            </w:r>
            <w:r>
              <w:rPr>
                <w:rFonts w:hint="eastAsia" w:ascii="仿宋" w:hAnsi="仿宋" w:eastAsia="仿宋" w:cs="仿宋"/>
                <w:bCs/>
                <w:color w:val="auto"/>
                <w:sz w:val="24"/>
                <w:szCs w:val="24"/>
                <w:highlight w:val="none"/>
              </w:rPr>
              <w:t>培训方案、计划的可行性及合理性</w:t>
            </w:r>
            <w:r>
              <w:rPr>
                <w:rFonts w:hint="eastAsia" w:ascii="仿宋" w:hAnsi="仿宋" w:eastAsia="仿宋" w:cs="仿宋"/>
                <w:bCs/>
                <w:color w:val="auto"/>
                <w:sz w:val="24"/>
                <w:szCs w:val="24"/>
                <w:highlight w:val="none"/>
                <w:lang w:val="en-US" w:eastAsia="zh-CN"/>
              </w:rPr>
              <w:t>进行综合评分，最高得2分。</w:t>
            </w:r>
          </w:p>
        </w:tc>
        <w:tc>
          <w:tcPr>
            <w:tcW w:w="970" w:type="dxa"/>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15</w:t>
            </w:r>
          </w:p>
        </w:tc>
        <w:tc>
          <w:tcPr>
            <w:tcW w:w="1413" w:type="dxa"/>
            <w:vMerge w:val="continue"/>
            <w:noWrap w:val="0"/>
            <w:vAlign w:val="top"/>
          </w:tcPr>
          <w:p>
            <w:pPr>
              <w:shd w:val="clear"/>
              <w:spacing w:before="120" w:beforeLines="50" w:after="120" w:afterLines="50" w:line="340" w:lineRule="exact"/>
              <w:rPr>
                <w:rFonts w:hint="eastAsia" w:ascii="仿宋" w:hAnsi="仿宋" w:eastAsia="仿宋" w:cs="仿宋"/>
                <w:bCs/>
                <w:color w:val="auto"/>
                <w:sz w:val="24"/>
                <w:szCs w:val="24"/>
                <w:highlight w:val="none"/>
              </w:rPr>
            </w:pPr>
          </w:p>
        </w:tc>
        <w:tc>
          <w:tcPr>
            <w:tcW w:w="6147" w:type="dxa"/>
            <w:noWrap w:val="0"/>
            <w:vAlign w:val="top"/>
          </w:tcPr>
          <w:p>
            <w:pPr>
              <w:shd w:val="clear"/>
              <w:spacing w:before="120" w:beforeLines="50" w:after="120" w:afterLines="50" w:line="34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20</w:t>
            </w: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年1月1日至今，</w:t>
            </w:r>
            <w:r>
              <w:rPr>
                <w:rFonts w:hint="eastAsia" w:ascii="仿宋" w:hAnsi="仿宋" w:eastAsia="仿宋" w:cs="仿宋"/>
                <w:bCs/>
                <w:color w:val="auto"/>
                <w:sz w:val="24"/>
                <w:szCs w:val="24"/>
                <w:highlight w:val="none"/>
                <w:lang w:val="en-US" w:eastAsia="zh-CN"/>
              </w:rPr>
              <w:t>所投</w:t>
            </w:r>
            <w:r>
              <w:rPr>
                <w:rFonts w:hint="eastAsia" w:ascii="仿宋" w:hAnsi="仿宋" w:eastAsia="仿宋" w:cs="仿宋"/>
                <w:bCs/>
                <w:color w:val="auto"/>
                <w:sz w:val="24"/>
                <w:szCs w:val="24"/>
                <w:highlight w:val="none"/>
              </w:rPr>
              <w:t>高锰酸盐指数、氨氮、总磷、总氮、常规五参数</w:t>
            </w:r>
            <w:r>
              <w:rPr>
                <w:rFonts w:hint="eastAsia" w:ascii="仿宋" w:hAnsi="仿宋" w:eastAsia="仿宋" w:cs="仿宋"/>
                <w:color w:val="auto"/>
                <w:kern w:val="0"/>
                <w:sz w:val="24"/>
                <w:szCs w:val="24"/>
                <w:highlight w:val="none"/>
                <w:lang w:val="en-US" w:eastAsia="zh-CN"/>
              </w:rPr>
              <w:t>水质自动分析</w:t>
            </w:r>
            <w:r>
              <w:rPr>
                <w:rFonts w:hint="eastAsia" w:ascii="仿宋" w:hAnsi="仿宋" w:eastAsia="仿宋" w:cs="仿宋"/>
                <w:bCs/>
                <w:color w:val="auto"/>
                <w:sz w:val="24"/>
                <w:szCs w:val="24"/>
                <w:highlight w:val="none"/>
                <w:lang w:val="en-US" w:eastAsia="zh-CN"/>
              </w:rPr>
              <w:t>仪同时在一个项目中使用的，且项目中站点数量不少于所投标段站点个数，每具有一个合同得1分，最高得3分。</w:t>
            </w:r>
          </w:p>
          <w:p>
            <w:pPr>
              <w:shd w:val="clear"/>
              <w:spacing w:before="120" w:beforeLines="50" w:after="120" w:afterLines="50" w:line="3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注：需提供项目</w:t>
            </w:r>
            <w:r>
              <w:rPr>
                <w:rFonts w:hint="eastAsia" w:ascii="仿宋" w:hAnsi="仿宋" w:eastAsia="仿宋" w:cs="仿宋"/>
                <w:bCs/>
                <w:color w:val="auto"/>
                <w:sz w:val="24"/>
                <w:szCs w:val="24"/>
                <w:highlight w:val="none"/>
                <w:lang w:eastAsia="zh-CN"/>
              </w:rPr>
              <w:t>中标通知书和</w:t>
            </w:r>
            <w:r>
              <w:rPr>
                <w:rFonts w:hint="eastAsia" w:ascii="仿宋" w:hAnsi="仿宋" w:eastAsia="仿宋" w:cs="仿宋"/>
                <w:bCs/>
                <w:color w:val="auto"/>
                <w:sz w:val="24"/>
                <w:szCs w:val="24"/>
                <w:highlight w:val="none"/>
              </w:rPr>
              <w:t>合同复印件</w:t>
            </w:r>
            <w:r>
              <w:rPr>
                <w:rFonts w:hint="eastAsia" w:ascii="仿宋" w:hAnsi="仿宋" w:eastAsia="仿宋" w:cs="仿宋"/>
                <w:bCs/>
                <w:color w:val="auto"/>
                <w:sz w:val="24"/>
                <w:szCs w:val="24"/>
                <w:highlight w:val="none"/>
                <w:lang w:eastAsia="zh-CN"/>
              </w:rPr>
              <w:t>并</w:t>
            </w:r>
            <w:r>
              <w:rPr>
                <w:rFonts w:hint="eastAsia" w:ascii="仿宋" w:hAnsi="仿宋" w:eastAsia="仿宋" w:cs="仿宋"/>
                <w:bCs/>
                <w:color w:val="auto"/>
                <w:sz w:val="24"/>
                <w:szCs w:val="24"/>
                <w:highlight w:val="none"/>
              </w:rPr>
              <w:t>加盖公章，标书里未提供证明材料的不得分。</w:t>
            </w:r>
          </w:p>
        </w:tc>
        <w:tc>
          <w:tcPr>
            <w:tcW w:w="970" w:type="dxa"/>
            <w:noWrap w:val="0"/>
            <w:vAlign w:val="center"/>
          </w:tcPr>
          <w:p>
            <w:pPr>
              <w:shd w:val="clear"/>
              <w:spacing w:before="120" w:beforeLines="50" w:after="120" w:afterLines="50" w:line="3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8" w:type="dxa"/>
            <w:noWrap w:val="0"/>
            <w:vAlign w:val="center"/>
          </w:tcPr>
          <w:p>
            <w:pPr>
              <w:shd w:val="clear"/>
              <w:spacing w:before="120" w:beforeLines="50" w:after="120" w:afterLines="50" w:line="34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16</w:t>
            </w:r>
          </w:p>
        </w:tc>
        <w:tc>
          <w:tcPr>
            <w:tcW w:w="1413" w:type="dxa"/>
            <w:noWrap w:val="0"/>
            <w:vAlign w:val="top"/>
          </w:tcPr>
          <w:p>
            <w:pPr>
              <w:shd w:val="clear"/>
              <w:spacing w:before="120" w:beforeLines="50" w:after="120" w:afterLines="50" w:line="34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价格分</w:t>
            </w:r>
          </w:p>
        </w:tc>
        <w:tc>
          <w:tcPr>
            <w:tcW w:w="6147" w:type="dxa"/>
            <w:noWrap w:val="0"/>
            <w:vAlign w:val="top"/>
          </w:tcPr>
          <w:p>
            <w:pPr>
              <w:outlineLvl w:val="0"/>
              <w:rPr>
                <w:rFonts w:ascii="仿宋" w:hAnsi="仿宋" w:eastAsia="仿宋" w:cs="仿宋"/>
                <w:sz w:val="21"/>
                <w:szCs w:val="21"/>
              </w:rPr>
            </w:pPr>
            <w:r>
              <w:rPr>
                <w:rFonts w:hint="eastAsia" w:ascii="仿宋" w:hAnsi="仿宋" w:eastAsia="仿宋" w:cs="仿宋"/>
                <w:sz w:val="21"/>
                <w:szCs w:val="21"/>
              </w:rPr>
              <w:t>有效投标报价的最低价作为评标基准价，其最低报价为满分；按［投标报价得分=（评标基准价/投标报价）*</w:t>
            </w:r>
            <w:r>
              <w:rPr>
                <w:rFonts w:hint="eastAsia" w:ascii="仿宋" w:hAnsi="仿宋" w:eastAsia="仿宋" w:cs="仿宋"/>
                <w:sz w:val="21"/>
                <w:szCs w:val="21"/>
                <w:lang w:val="en-US" w:eastAsia="zh-CN"/>
              </w:rPr>
              <w:t>30</w:t>
            </w:r>
            <w:r>
              <w:rPr>
                <w:rFonts w:hint="eastAsia" w:ascii="仿宋" w:hAnsi="仿宋" w:eastAsia="仿宋" w:cs="仿宋"/>
                <w:sz w:val="21"/>
                <w:szCs w:val="21"/>
              </w:rPr>
              <w:t>］的计算公式计算。</w:t>
            </w:r>
          </w:p>
          <w:p>
            <w:pPr>
              <w:outlineLvl w:val="0"/>
              <w:rPr>
                <w:rFonts w:ascii="仿宋" w:hAnsi="仿宋" w:eastAsia="仿宋" w:cs="仿宋"/>
                <w:sz w:val="21"/>
                <w:szCs w:val="21"/>
              </w:rPr>
            </w:pPr>
            <w:r>
              <w:rPr>
                <w:rFonts w:hint="eastAsia" w:ascii="仿宋" w:hAnsi="仿宋" w:eastAsia="仿宋" w:cs="仿宋"/>
                <w:sz w:val="21"/>
                <w:szCs w:val="21"/>
              </w:rPr>
              <w:t>评标过程中，不得去掉报价中的最高报价和最低报价。</w:t>
            </w:r>
          </w:p>
          <w:p>
            <w:pPr>
              <w:outlineLvl w:val="0"/>
              <w:rPr>
                <w:rFonts w:hint="eastAsia" w:ascii="仿宋" w:hAnsi="仿宋" w:eastAsia="仿宋" w:cs="仿宋"/>
                <w:kern w:val="2"/>
                <w:sz w:val="21"/>
                <w:szCs w:val="21"/>
                <w:lang w:val="en-US" w:eastAsia="zh-CN" w:bidi="ar-SA"/>
              </w:rPr>
            </w:pPr>
            <w:r>
              <w:rPr>
                <w:rFonts w:hint="eastAsia" w:ascii="仿宋" w:hAnsi="仿宋" w:eastAsia="仿宋" w:cs="仿宋"/>
                <w:sz w:val="21"/>
                <w:szCs w:val="21"/>
              </w:rPr>
              <w:t>因落实政府采购政策需要进行价格调整的，以调整后的价格计算评标基准价和投标报价。</w:t>
            </w:r>
          </w:p>
        </w:tc>
        <w:tc>
          <w:tcPr>
            <w:tcW w:w="970" w:type="dxa"/>
            <w:noWrap w:val="0"/>
            <w:vAlign w:val="center"/>
          </w:tcPr>
          <w:p>
            <w:pPr>
              <w:jc w:val="center"/>
              <w:outlineLvl w:val="0"/>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w:t>
            </w:r>
            <w:r>
              <w:rPr>
                <w:rFonts w:hint="eastAsia" w:ascii="仿宋" w:hAnsi="仿宋" w:eastAsia="仿宋" w:cs="仿宋"/>
                <w:sz w:val="21"/>
                <w:szCs w:val="21"/>
              </w:rPr>
              <w:t>0分</w:t>
            </w:r>
          </w:p>
        </w:tc>
      </w:tr>
    </w:tbl>
    <w:p>
      <w:pPr>
        <w:snapToGrid w:val="0"/>
        <w:spacing w:line="360" w:lineRule="auto"/>
        <w:rPr>
          <w:rFonts w:hint="eastAsia" w:ascii="仿宋" w:hAnsi="仿宋" w:eastAsia="仿宋" w:cs="仿宋"/>
          <w:color w:val="auto"/>
          <w:sz w:val="20"/>
          <w:szCs w:val="20"/>
          <w:shd w:val="clear" w:color="auto" w:fill="FFFFFF"/>
        </w:rPr>
      </w:pPr>
    </w:p>
    <w:p>
      <w:pPr>
        <w:snapToGrid w:val="0"/>
        <w:spacing w:line="360" w:lineRule="auto"/>
        <w:rPr>
          <w:rFonts w:hint="eastAsia" w:ascii="仿宋" w:hAnsi="仿宋" w:eastAsia="仿宋" w:cs="仿宋"/>
          <w:b/>
          <w:color w:val="auto"/>
          <w:sz w:val="24"/>
        </w:rPr>
      </w:pPr>
      <w:r>
        <w:rPr>
          <w:rFonts w:hint="eastAsia" w:ascii="仿宋" w:hAnsi="仿宋" w:eastAsia="仿宋" w:cs="仿宋"/>
          <w:color w:val="auto"/>
          <w:sz w:val="20"/>
          <w:szCs w:val="20"/>
          <w:shd w:val="clear" w:color="auto" w:fill="FFFFFF"/>
        </w:rPr>
        <w:t>*</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pPr>
        <w:snapToGrid w:val="0"/>
        <w:spacing w:line="360" w:lineRule="auto"/>
        <w:ind w:firstLine="482" w:firstLineChars="200"/>
        <w:rPr>
          <w:rFonts w:hint="eastAsia" w:ascii="仿宋" w:hAnsi="仿宋" w:eastAsia="仿宋" w:cs="仿宋"/>
          <w:color w:val="auto"/>
          <w:sz w:val="24"/>
          <w:lang w:eastAsia="zh-CN"/>
        </w:rPr>
      </w:pPr>
      <w:r>
        <w:rPr>
          <w:rFonts w:hint="eastAsia" w:ascii="仿宋" w:hAnsi="仿宋" w:eastAsia="仿宋" w:cs="仿宋"/>
          <w:b/>
          <w:color w:val="auto"/>
          <w:kern w:val="0"/>
          <w:sz w:val="24"/>
        </w:rPr>
        <w:t>1.本项目采用综合评分法。</w:t>
      </w:r>
      <w:r>
        <w:rPr>
          <w:rFonts w:hint="eastAsia" w:ascii="仿宋" w:hAnsi="仿宋" w:eastAsia="仿宋" w:cs="仿宋"/>
          <w:color w:val="auto"/>
          <w:sz w:val="24"/>
        </w:rPr>
        <w:t>本次评标采用综合评分法，总分为100分，其中价格分30分；商务资信</w:t>
      </w:r>
      <w:r>
        <w:rPr>
          <w:rFonts w:hint="eastAsia" w:ascii="仿宋" w:hAnsi="仿宋" w:eastAsia="仿宋" w:cs="仿宋"/>
          <w:color w:val="auto"/>
          <w:sz w:val="24"/>
          <w:lang w:eastAsia="zh-CN"/>
        </w:rPr>
        <w:t>、</w:t>
      </w:r>
      <w:r>
        <w:rPr>
          <w:rFonts w:hint="eastAsia" w:ascii="仿宋" w:hAnsi="仿宋" w:eastAsia="仿宋" w:cs="仿宋"/>
          <w:color w:val="auto"/>
          <w:sz w:val="24"/>
        </w:rPr>
        <w:t>技术</w:t>
      </w:r>
      <w:r>
        <w:rPr>
          <w:rFonts w:hint="eastAsia" w:ascii="仿宋" w:hAnsi="仿宋" w:eastAsia="仿宋" w:cs="仿宋"/>
          <w:color w:val="auto"/>
          <w:sz w:val="24"/>
          <w:lang w:eastAsia="zh-CN"/>
        </w:rPr>
        <w:t>分</w:t>
      </w:r>
      <w:r>
        <w:rPr>
          <w:rFonts w:hint="eastAsia" w:ascii="仿宋" w:hAnsi="仿宋" w:eastAsia="仿宋" w:cs="仿宋"/>
          <w:color w:val="auto"/>
          <w:sz w:val="24"/>
        </w:rPr>
        <w:t>70分。投标人评标综合得分=价格分+商务资信</w:t>
      </w:r>
      <w:r>
        <w:rPr>
          <w:rFonts w:hint="eastAsia" w:ascii="仿宋" w:hAnsi="仿宋" w:eastAsia="仿宋" w:cs="仿宋"/>
          <w:color w:val="auto"/>
          <w:sz w:val="24"/>
          <w:lang w:eastAsia="zh-CN"/>
        </w:rPr>
        <w:t>、</w:t>
      </w:r>
      <w:r>
        <w:rPr>
          <w:rFonts w:hint="eastAsia" w:ascii="仿宋" w:hAnsi="仿宋" w:eastAsia="仿宋" w:cs="仿宋"/>
          <w:color w:val="auto"/>
          <w:sz w:val="24"/>
        </w:rPr>
        <w:t>技术</w:t>
      </w:r>
      <w:r>
        <w:rPr>
          <w:rFonts w:hint="eastAsia" w:ascii="仿宋" w:hAnsi="仿宋" w:eastAsia="仿宋" w:cs="仿宋"/>
          <w:color w:val="auto"/>
          <w:sz w:val="24"/>
          <w:lang w:eastAsia="zh-CN"/>
        </w:rPr>
        <w:t>分。</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合格投标人的评标得分为各项目汇总得分。评标结果按评审后得分由高到低顺序排列。得分相同的，按扣除后的投标报价由低到高顺序排序；按前款不能区分的，按投标报价由低至高顺序排序；按前款不能区分的，优先采购节能产品、环保产品；按前款不能区分的，按技术指标优劣排序；其他情况，由评标委员会投票处理。</w:t>
      </w:r>
    </w:p>
    <w:p>
      <w:pPr>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lang w:eastAsia="zh-TW"/>
        </w:rPr>
        <w:t>本项目共分</w:t>
      </w:r>
      <w:r>
        <w:rPr>
          <w:rFonts w:hint="eastAsia" w:ascii="仿宋" w:hAnsi="仿宋" w:eastAsia="仿宋" w:cs="仿宋"/>
          <w:color w:val="auto"/>
          <w:sz w:val="24"/>
        </w:rPr>
        <w:t>三</w:t>
      </w:r>
      <w:r>
        <w:rPr>
          <w:rFonts w:hint="eastAsia" w:ascii="仿宋" w:hAnsi="仿宋" w:eastAsia="仿宋" w:cs="仿宋"/>
          <w:color w:val="auto"/>
          <w:sz w:val="24"/>
          <w:lang w:eastAsia="zh-TW"/>
        </w:rPr>
        <w:t>个标段，按标项1、标项2、</w:t>
      </w:r>
      <w:r>
        <w:rPr>
          <w:rFonts w:hint="eastAsia" w:ascii="仿宋" w:hAnsi="仿宋" w:eastAsia="仿宋" w:cs="仿宋"/>
          <w:color w:val="auto"/>
          <w:sz w:val="24"/>
        </w:rPr>
        <w:t>标项3</w:t>
      </w:r>
      <w:r>
        <w:rPr>
          <w:rFonts w:hint="eastAsia" w:ascii="仿宋" w:hAnsi="仿宋" w:eastAsia="仿宋" w:cs="仿宋"/>
          <w:color w:val="auto"/>
          <w:sz w:val="24"/>
          <w:lang w:eastAsia="zh-TW"/>
        </w:rPr>
        <w:t>标段顺序开标、评标，采取兼投不兼中原则，投标人可以参加所有标段的投标，但同一投标人不得兼中，当该投标人在多个标项中同时得分最高时，则按照标项顺序进行中标，且该投标人在其所投剩余标项中，只参加评审、不参加排序（排序为空）和推荐中标。评标委员会将按标项顺序进行评审，根据详细评审后的综合评分排序为招标人推荐各标段排名第一的供应商为中标候选人。已被推荐为排序在前的标段的第一中标候选人将不再作为后续各标的推荐中标候选人，按综合评分排序由后续投标人依次递补。</w:t>
      </w:r>
    </w:p>
    <w:p>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360" w:lineRule="auto"/>
        <w:outlineLvl w:val="0"/>
        <w:rPr>
          <w:rFonts w:hint="eastAsia" w:ascii="仿宋" w:hAnsi="仿宋" w:eastAsia="仿宋" w:cs="仿宋"/>
          <w:b/>
          <w:color w:val="auto"/>
          <w:sz w:val="36"/>
          <w:szCs w:val="36"/>
        </w:rPr>
      </w:pPr>
      <w:bookmarkStart w:id="410" w:name="_Toc18960"/>
      <w:r>
        <w:rPr>
          <w:rFonts w:hint="eastAsia" w:ascii="仿宋" w:hAnsi="仿宋" w:eastAsia="仿宋" w:cs="仿宋"/>
          <w:b/>
          <w:color w:val="auto"/>
          <w:sz w:val="36"/>
          <w:szCs w:val="36"/>
        </w:rPr>
        <w:t>三、评标程序</w:t>
      </w:r>
      <w:bookmarkEnd w:id="410"/>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pPr>
        <w:pStyle w:val="130"/>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pPr>
        <w:pStyle w:val="130"/>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4.2.12投标人仅提交备份投标文件，未在电子交易平台传输递交投标文件的，投标无效；</w:t>
      </w:r>
    </w:p>
    <w:p>
      <w:pPr>
        <w:pStyle w:val="2"/>
        <w:ind w:left="862" w:leftChars="205"/>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废标后，</w:t>
      </w:r>
      <w:r>
        <w:rPr>
          <w:rFonts w:hint="eastAsia" w:ascii="仿宋" w:hAnsi="仿宋" w:eastAsia="仿宋" w:cs="仿宋"/>
          <w:color w:val="auto"/>
          <w:lang w:eastAsia="zh-CN"/>
        </w:rPr>
        <w:t>采购代理机构</w:t>
      </w:r>
      <w:r>
        <w:rPr>
          <w:rFonts w:hint="eastAsia" w:ascii="仿宋" w:hAnsi="仿宋" w:eastAsia="仿宋" w:cs="仿宋"/>
          <w:color w:val="auto"/>
        </w:rPr>
        <w:t>应当将废标理由通知所有投标人。</w:t>
      </w:r>
    </w:p>
    <w:p>
      <w:pPr>
        <w:pStyle w:val="25"/>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lang w:eastAsia="zh-CN"/>
        </w:rPr>
        <w:t>采购代理机构</w:t>
      </w:r>
      <w:r>
        <w:rPr>
          <w:rFonts w:hint="eastAsia" w:ascii="仿宋" w:hAnsi="仿宋" w:eastAsia="仿宋" w:cs="仿宋"/>
          <w:color w:val="auto"/>
        </w:rPr>
        <w:t>沟通并作书面记录。采购人、</w:t>
      </w:r>
      <w:r>
        <w:rPr>
          <w:rFonts w:hint="eastAsia" w:ascii="仿宋" w:hAnsi="仿宋" w:eastAsia="仿宋" w:cs="仿宋"/>
          <w:color w:val="auto"/>
          <w:lang w:eastAsia="zh-CN"/>
        </w:rPr>
        <w:t>采购代理机构</w:t>
      </w:r>
      <w:r>
        <w:rPr>
          <w:rFonts w:hint="eastAsia" w:ascii="仿宋" w:hAnsi="仿宋" w:eastAsia="仿宋" w:cs="仿宋"/>
          <w:color w:val="auto"/>
        </w:rPr>
        <w:t>确认后，将修改招标文件，重新组织采购活动。</w:t>
      </w:r>
    </w:p>
    <w:p>
      <w:pPr>
        <w:pStyle w:val="25"/>
        <w:snapToGrid w:val="0"/>
        <w:spacing w:line="360" w:lineRule="auto"/>
        <w:ind w:firstLine="482"/>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有政府采购法第七十一条、第七十二条规定的违法行为之一，影响或者可能影响中标结果的，依照下列规定处理：</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7.1未确定中标供应商的，终止本次政府采购活动，重新开展政府采购活动。</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25"/>
        <w:snapToGrid w:val="0"/>
        <w:spacing w:line="360" w:lineRule="auto"/>
        <w:rPr>
          <w:rFonts w:hint="eastAsia" w:ascii="仿宋" w:hAnsi="仿宋" w:eastAsia="仿宋" w:cs="仿宋"/>
          <w:b/>
          <w:color w:val="auto"/>
          <w:sz w:val="36"/>
          <w:szCs w:val="36"/>
        </w:rPr>
      </w:pPr>
      <w:r>
        <w:rPr>
          <w:rFonts w:hint="eastAsia" w:ascii="仿宋" w:hAnsi="仿宋" w:eastAsia="仿宋" w:cs="仿宋"/>
          <w:color w:val="auto"/>
        </w:rPr>
        <w:t>7.5政府采购当事人有其他违反政府采购法或者政府采购法实施条例等法律法规规定的行为，经改正后仍然影响或者可能影响中标结果或者依法被认定为中标无效的，依照7.1-7.4规定处理。</w:t>
      </w:r>
      <w:bookmarkEnd w:id="43"/>
      <w:bookmarkStart w:id="411" w:name="第五部分"/>
      <w:bookmarkStart w:id="412" w:name="_Toc86217003"/>
    </w:p>
    <w:p>
      <w:pPr>
        <w:spacing w:line="360" w:lineRule="auto"/>
        <w:ind w:left="720" w:leftChars="343" w:firstLine="1084" w:firstLineChars="300"/>
        <w:outlineLvl w:val="9"/>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p>
    <w:p>
      <w:pPr>
        <w:widowControl/>
        <w:adjustRightInd/>
        <w:jc w:val="left"/>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pPr>
        <w:pStyle w:val="3"/>
        <w:keepNext/>
        <w:keepLines/>
        <w:pageBreakBefore w:val="0"/>
        <w:widowControl w:val="0"/>
        <w:kinsoku/>
        <w:wordWrap/>
        <w:overflowPunct/>
        <w:topLinePunct w:val="0"/>
        <w:autoSpaceDE/>
        <w:autoSpaceDN/>
        <w:bidi w:val="0"/>
        <w:adjustRightInd w:val="0"/>
        <w:snapToGrid/>
        <w:spacing w:after="0" w:line="360" w:lineRule="auto"/>
        <w:ind w:left="431" w:hanging="431"/>
        <w:jc w:val="center"/>
        <w:textAlignment w:val="auto"/>
        <w:rPr>
          <w:rFonts w:hint="eastAsia" w:ascii="仿宋" w:hAnsi="仿宋" w:eastAsia="仿宋" w:cs="仿宋"/>
          <w:color w:val="auto"/>
        </w:rPr>
      </w:pPr>
      <w:bookmarkStart w:id="413" w:name="_Toc16397"/>
      <w:r>
        <w:rPr>
          <w:rFonts w:hint="eastAsia" w:ascii="仿宋" w:hAnsi="仿宋" w:eastAsia="仿宋" w:cs="仿宋"/>
          <w:color w:val="auto"/>
        </w:rPr>
        <w:t>第五部分 拟签订的合同文本</w:t>
      </w:r>
      <w:bookmarkEnd w:id="413"/>
    </w:p>
    <w:p>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hint="eastAsia" w:ascii="仿宋" w:hAnsi="仿宋" w:eastAsia="仿宋" w:cs="仿宋"/>
          <w:b/>
          <w:color w:val="auto"/>
          <w:sz w:val="28"/>
          <w:szCs w:val="28"/>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before="120" w:line="22" w:lineRule="atLeast"/>
        <w:rPr>
          <w:rFonts w:hint="eastAsia" w:ascii="仿宋" w:hAnsi="仿宋" w:eastAsia="仿宋" w:cs="仿宋"/>
          <w:color w:val="auto"/>
          <w:sz w:val="24"/>
        </w:rPr>
      </w:pPr>
    </w:p>
    <w:p>
      <w:pPr>
        <w:pStyle w:val="2"/>
        <w:outlineLvl w:val="9"/>
        <w:rPr>
          <w:rFonts w:hint="eastAsia" w:ascii="仿宋" w:hAnsi="仿宋" w:eastAsia="仿宋" w:cs="仿宋"/>
          <w:color w:val="auto"/>
        </w:rPr>
      </w:pPr>
    </w:p>
    <w:p>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pPr>
        <w:pStyle w:val="598"/>
        <w:spacing w:before="120" w:line="22" w:lineRule="atLeast"/>
        <w:rPr>
          <w:rFonts w:hint="eastAsia" w:ascii="仿宋" w:hAnsi="仿宋" w:eastAsia="仿宋" w:cs="仿宋"/>
          <w:color w:val="auto"/>
          <w:szCs w:val="24"/>
        </w:rPr>
      </w:pPr>
    </w:p>
    <w:p>
      <w:pPr>
        <w:pStyle w:val="598"/>
        <w:spacing w:before="120" w:line="22" w:lineRule="atLeast"/>
        <w:rPr>
          <w:rFonts w:hint="eastAsia" w:ascii="仿宋" w:hAnsi="仿宋" w:eastAsia="仿宋" w:cs="仿宋"/>
          <w:color w:val="auto"/>
          <w:szCs w:val="24"/>
        </w:rPr>
      </w:pPr>
    </w:p>
    <w:p>
      <w:pPr>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widowControl/>
        <w:jc w:val="left"/>
        <w:rPr>
          <w:rFonts w:hint="eastAsia" w:ascii="仿宋" w:hAnsi="仿宋" w:eastAsia="仿宋" w:cs="仿宋"/>
          <w:color w:val="auto"/>
          <w:kern w:val="0"/>
          <w:sz w:val="24"/>
        </w:rPr>
        <w:sectPr>
          <w:headerReference r:id="rId7" w:type="default"/>
          <w:pgSz w:w="11905" w:h="16838"/>
          <w:pgMar w:top="1440" w:right="1083" w:bottom="1440" w:left="1083" w:header="567" w:footer="567" w:gutter="0"/>
          <w:cols w:space="0" w:num="1"/>
          <w:titlePg/>
          <w:rtlGutter w:val="0"/>
          <w:docGrid w:linePitch="0" w:charSpace="0"/>
        </w:sectPr>
      </w:pPr>
    </w:p>
    <w:p>
      <w:pPr>
        <w:rPr>
          <w:rFonts w:hint="eastAsia" w:ascii="仿宋" w:hAnsi="仿宋" w:eastAsia="仿宋" w:cs="仿宋"/>
          <w:b/>
          <w:color w:val="auto"/>
          <w:sz w:val="24"/>
        </w:rPr>
      </w:pPr>
    </w:p>
    <w:p>
      <w:pPr>
        <w:pStyle w:val="33"/>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
          <w:color w:val="auto"/>
          <w:sz w:val="24"/>
        </w:rPr>
      </w:pPr>
      <w:r>
        <w:rPr>
          <w:rFonts w:hint="eastAsia" w:ascii="仿宋" w:hAnsi="仿宋" w:eastAsia="仿宋" w:cs="仿宋"/>
          <w:color w:val="auto"/>
          <w:sz w:val="24"/>
        </w:rPr>
        <w:t>甲、乙双方根据××（采购组织机构名称）关于××单位××项目公开招标的结果，签署本合同。</w:t>
      </w:r>
    </w:p>
    <w:p>
      <w:pPr>
        <w:pStyle w:val="33"/>
        <w:keepNext w:val="0"/>
        <w:keepLines w:val="0"/>
        <w:pageBreakBefore w:val="0"/>
        <w:kinsoku/>
        <w:wordWrap/>
        <w:overflowPunct/>
        <w:topLinePunct w:val="0"/>
        <w:bidi w:val="0"/>
        <w:adjustRightInd w:val="0"/>
        <w:snapToGrid w:val="0"/>
        <w:spacing w:line="360" w:lineRule="auto"/>
        <w:textAlignment w:val="auto"/>
        <w:outlineLvl w:val="1"/>
        <w:rPr>
          <w:rFonts w:hint="eastAsia" w:ascii="仿宋" w:hAnsi="仿宋" w:eastAsia="仿宋" w:cs="仿宋"/>
          <w:b/>
          <w:color w:val="auto"/>
          <w:sz w:val="24"/>
          <w:lang w:val="zh-CN"/>
        </w:rPr>
      </w:pPr>
      <w:r>
        <w:rPr>
          <w:rFonts w:hint="eastAsia" w:ascii="仿宋" w:hAnsi="仿宋" w:eastAsia="仿宋" w:cs="仿宋"/>
          <w:b/>
          <w:color w:val="auto"/>
          <w:sz w:val="24"/>
          <w:lang w:val="zh-CN"/>
        </w:rPr>
        <w:t xml:space="preserve">一、合同文件： </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1.合同条款。</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2.中标通知书。</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3.更正补充文件。</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4.招标文件。</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5.中标人投标文件。</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6.其他。</w:t>
      </w:r>
    </w:p>
    <w:p>
      <w:pPr>
        <w:pStyle w:val="33"/>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上述所指合同文件应认为是互相补充和解释的，但是有模棱两可或互相矛盾之处，以其所列内容顺序为准。</w:t>
      </w:r>
    </w:p>
    <w:p>
      <w:pPr>
        <w:pStyle w:val="33"/>
        <w:keepNext w:val="0"/>
        <w:keepLines w:val="0"/>
        <w:pageBreakBefore w:val="0"/>
        <w:kinsoku/>
        <w:wordWrap/>
        <w:overflowPunct/>
        <w:topLinePunct w:val="0"/>
        <w:bidi w:val="0"/>
        <w:adjustRightInd w:val="0"/>
        <w:snapToGrid w:val="0"/>
        <w:spacing w:line="360" w:lineRule="auto"/>
        <w:textAlignment w:val="auto"/>
        <w:outlineLvl w:val="1"/>
        <w:rPr>
          <w:rFonts w:hint="eastAsia" w:ascii="仿宋" w:hAnsi="仿宋" w:eastAsia="仿宋" w:cs="仿宋"/>
          <w:b/>
          <w:color w:val="auto"/>
          <w:sz w:val="24"/>
          <w:lang w:val="zh-CN"/>
        </w:rPr>
      </w:pPr>
      <w:r>
        <w:rPr>
          <w:rFonts w:hint="eastAsia" w:ascii="仿宋" w:hAnsi="仿宋" w:eastAsia="仿宋" w:cs="仿宋"/>
          <w:b/>
          <w:color w:val="auto"/>
          <w:sz w:val="24"/>
          <w:lang w:val="zh-CN"/>
        </w:rPr>
        <w:t>二、合同内容及服务标准</w:t>
      </w:r>
    </w:p>
    <w:p>
      <w:pPr>
        <w:pStyle w:val="33"/>
        <w:keepNext w:val="0"/>
        <w:keepLines w:val="0"/>
        <w:pageBreakBefore w:val="0"/>
        <w:kinsoku/>
        <w:wordWrap/>
        <w:overflowPunct/>
        <w:topLinePunct w:val="0"/>
        <w:bidi w:val="0"/>
        <w:adjustRightInd w:val="0"/>
        <w:snapToGrid w:val="0"/>
        <w:spacing w:line="360" w:lineRule="auto"/>
        <w:textAlignment w:val="auto"/>
        <w:outlineLvl w:val="1"/>
        <w:rPr>
          <w:rFonts w:hint="eastAsia" w:ascii="仿宋" w:hAnsi="仿宋" w:eastAsia="仿宋" w:cs="仿宋"/>
          <w:b/>
          <w:color w:val="auto"/>
          <w:sz w:val="24"/>
          <w:lang w:val="zh-CN"/>
        </w:rPr>
      </w:pPr>
      <w:r>
        <w:rPr>
          <w:rFonts w:hint="eastAsia" w:ascii="仿宋" w:hAnsi="仿宋" w:eastAsia="仿宋" w:cs="仿宋"/>
          <w:b/>
          <w:color w:val="auto"/>
          <w:sz w:val="24"/>
          <w:lang w:val="zh-CN"/>
        </w:rPr>
        <w:t>（具体见项目需求）</w:t>
      </w:r>
    </w:p>
    <w:p>
      <w:pPr>
        <w:pStyle w:val="33"/>
        <w:keepNext w:val="0"/>
        <w:keepLines w:val="0"/>
        <w:pageBreakBefore w:val="0"/>
        <w:kinsoku/>
        <w:wordWrap/>
        <w:overflowPunct/>
        <w:topLinePunct w:val="0"/>
        <w:bidi w:val="0"/>
        <w:adjustRightInd w:val="0"/>
        <w:snapToGrid w:val="0"/>
        <w:spacing w:line="360" w:lineRule="auto"/>
        <w:textAlignment w:val="auto"/>
        <w:outlineLvl w:val="1"/>
        <w:rPr>
          <w:rFonts w:hint="eastAsia" w:ascii="仿宋" w:hAnsi="仿宋" w:eastAsia="仿宋" w:cs="仿宋"/>
          <w:b/>
          <w:color w:val="auto"/>
          <w:sz w:val="24"/>
          <w:lang w:val="zh-CN"/>
        </w:rPr>
      </w:pPr>
      <w:r>
        <w:rPr>
          <w:rFonts w:hint="eastAsia" w:ascii="仿宋" w:hAnsi="仿宋" w:eastAsia="仿宋" w:cs="仿宋"/>
          <w:b/>
          <w:color w:val="auto"/>
          <w:sz w:val="24"/>
          <w:lang w:val="zh-CN"/>
        </w:rPr>
        <w:t>三、合同金额</w:t>
      </w:r>
    </w:p>
    <w:p>
      <w:pPr>
        <w:pStyle w:val="33"/>
        <w:keepNext w:val="0"/>
        <w:keepLines w:val="0"/>
        <w:pageBreakBefore w:val="0"/>
        <w:kinsoku/>
        <w:wordWrap/>
        <w:overflowPunct/>
        <w:topLinePunct w:val="0"/>
        <w:bidi w:val="0"/>
        <w:adjustRightInd w:val="0"/>
        <w:snapToGrid w:val="0"/>
        <w:spacing w:line="360" w:lineRule="auto"/>
        <w:ind w:left="410" w:hanging="410" w:hangingChars="171"/>
        <w:textAlignment w:val="auto"/>
        <w:rPr>
          <w:rFonts w:hint="eastAsia" w:ascii="仿宋" w:hAnsi="仿宋" w:eastAsia="仿宋" w:cs="仿宋"/>
          <w:color w:val="auto"/>
          <w:sz w:val="24"/>
        </w:rPr>
      </w:pPr>
      <w:r>
        <w:rPr>
          <w:rFonts w:hint="eastAsia" w:ascii="仿宋" w:hAnsi="仿宋" w:eastAsia="仿宋" w:cs="仿宋"/>
          <w:color w:val="auto"/>
          <w:sz w:val="24"/>
        </w:rPr>
        <w:t xml:space="preserve">   本合同金额为（大写）：____________________元（￥_______________元）人民币。</w:t>
      </w:r>
    </w:p>
    <w:p>
      <w:pPr>
        <w:pStyle w:val="33"/>
        <w:keepNext w:val="0"/>
        <w:keepLines w:val="0"/>
        <w:pageBreakBefore w:val="0"/>
        <w:kinsoku/>
        <w:wordWrap/>
        <w:overflowPunct/>
        <w:topLinePunct w:val="0"/>
        <w:bidi w:val="0"/>
        <w:adjustRightInd w:val="0"/>
        <w:snapToGrid w:val="0"/>
        <w:spacing w:line="360" w:lineRule="auto"/>
        <w:textAlignment w:val="auto"/>
        <w:outlineLvl w:val="1"/>
        <w:rPr>
          <w:rFonts w:hint="eastAsia" w:ascii="仿宋" w:hAnsi="仿宋" w:eastAsia="仿宋" w:cs="仿宋"/>
          <w:b/>
          <w:color w:val="auto"/>
          <w:sz w:val="24"/>
          <w:lang w:val="zh-CN"/>
        </w:rPr>
      </w:pPr>
      <w:r>
        <w:rPr>
          <w:rFonts w:hint="eastAsia" w:ascii="仿宋" w:hAnsi="仿宋" w:eastAsia="仿宋" w:cs="仿宋"/>
          <w:b/>
          <w:color w:val="auto"/>
          <w:sz w:val="24"/>
          <w:lang w:val="zh-CN"/>
        </w:rPr>
        <w:t>四、技术资料</w:t>
      </w:r>
    </w:p>
    <w:p>
      <w:pPr>
        <w:pStyle w:val="33"/>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1.乙方应按招标文件规定的时间向甲方提供使用货物的有关技术资料。</w:t>
      </w:r>
    </w:p>
    <w:p>
      <w:pPr>
        <w:pStyle w:val="33"/>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3"/>
        <w:keepNext w:val="0"/>
        <w:keepLines w:val="0"/>
        <w:pageBreakBefore w:val="0"/>
        <w:kinsoku/>
        <w:wordWrap/>
        <w:overflowPunct/>
        <w:topLinePunct w:val="0"/>
        <w:bidi w:val="0"/>
        <w:adjustRightInd w:val="0"/>
        <w:snapToGrid w:val="0"/>
        <w:spacing w:line="360" w:lineRule="auto"/>
        <w:textAlignment w:val="auto"/>
        <w:outlineLvl w:val="1"/>
        <w:rPr>
          <w:rFonts w:hint="eastAsia" w:ascii="仿宋" w:hAnsi="仿宋" w:eastAsia="仿宋" w:cs="仿宋"/>
          <w:b/>
          <w:color w:val="auto"/>
          <w:sz w:val="24"/>
          <w:lang w:val="zh-CN"/>
        </w:rPr>
      </w:pPr>
      <w:r>
        <w:rPr>
          <w:rFonts w:hint="eastAsia" w:ascii="仿宋" w:hAnsi="仿宋" w:eastAsia="仿宋" w:cs="仿宋"/>
          <w:b/>
          <w:color w:val="auto"/>
          <w:sz w:val="24"/>
          <w:lang w:val="zh-CN"/>
        </w:rPr>
        <w:t>五、知识产权</w:t>
      </w:r>
    </w:p>
    <w:p>
      <w:pPr>
        <w:pStyle w:val="33"/>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1.乙方应保证所提供的货物或其任何一部分均不会侵犯任何第三方的知识产权。</w:t>
      </w:r>
    </w:p>
    <w:p>
      <w:pPr>
        <w:pStyle w:val="33"/>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2.若侵犯,由乙方赔偿甲方因此遭受的损失（包括但不限于应对及追偿过程中所支付的律师费、差旅费、诉讼费、保全费、鉴定费、评估费等）。</w:t>
      </w:r>
    </w:p>
    <w:p>
      <w:pPr>
        <w:pStyle w:val="33"/>
        <w:keepNext w:val="0"/>
        <w:keepLines w:val="0"/>
        <w:pageBreakBefore w:val="0"/>
        <w:kinsoku/>
        <w:wordWrap/>
        <w:overflowPunct/>
        <w:topLinePunct w:val="0"/>
        <w:bidi w:val="0"/>
        <w:adjustRightInd w:val="0"/>
        <w:snapToGrid w:val="0"/>
        <w:spacing w:line="360" w:lineRule="auto"/>
        <w:textAlignment w:val="auto"/>
        <w:outlineLvl w:val="1"/>
        <w:rPr>
          <w:rFonts w:hint="eastAsia" w:ascii="仿宋" w:hAnsi="仿宋" w:eastAsia="仿宋" w:cs="仿宋"/>
          <w:b/>
          <w:color w:val="auto"/>
          <w:sz w:val="24"/>
          <w:lang w:val="zh-CN"/>
        </w:rPr>
      </w:pPr>
      <w:r>
        <w:rPr>
          <w:rFonts w:hint="eastAsia" w:ascii="仿宋" w:hAnsi="仿宋" w:eastAsia="仿宋" w:cs="仿宋"/>
          <w:b/>
          <w:color w:val="auto"/>
          <w:sz w:val="24"/>
          <w:lang w:val="zh-CN"/>
        </w:rPr>
        <w:t>六、产权担保</w:t>
      </w:r>
    </w:p>
    <w:p>
      <w:pPr>
        <w:pStyle w:val="33"/>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乙方保证所交付的货物的所有权完全属于乙方且无任何抵押、查封等产权瑕疵。</w:t>
      </w:r>
    </w:p>
    <w:p>
      <w:pPr>
        <w:pStyle w:val="33"/>
        <w:keepNext w:val="0"/>
        <w:keepLines w:val="0"/>
        <w:pageBreakBefore w:val="0"/>
        <w:kinsoku/>
        <w:wordWrap/>
        <w:overflowPunct/>
        <w:topLinePunct w:val="0"/>
        <w:bidi w:val="0"/>
        <w:adjustRightInd w:val="0"/>
        <w:snapToGrid w:val="0"/>
        <w:spacing w:line="360" w:lineRule="auto"/>
        <w:textAlignment w:val="auto"/>
        <w:outlineLvl w:val="1"/>
        <w:rPr>
          <w:rFonts w:hint="eastAsia" w:ascii="仿宋" w:hAnsi="仿宋" w:eastAsia="仿宋" w:cs="仿宋"/>
          <w:b/>
          <w:color w:val="auto"/>
          <w:sz w:val="24"/>
          <w:lang w:val="zh-CN"/>
        </w:rPr>
      </w:pPr>
      <w:r>
        <w:rPr>
          <w:rFonts w:hint="eastAsia" w:ascii="仿宋" w:hAnsi="仿宋" w:eastAsia="仿宋" w:cs="仿宋"/>
          <w:b/>
          <w:color w:val="auto"/>
          <w:sz w:val="24"/>
          <w:lang w:val="zh-CN"/>
        </w:rPr>
        <w:t>七、履约保证金</w:t>
      </w:r>
    </w:p>
    <w:p>
      <w:pPr>
        <w:pStyle w:val="34"/>
        <w:keepNext w:val="0"/>
        <w:keepLines w:val="0"/>
        <w:pageBreakBefore w:val="0"/>
        <w:kinsoku/>
        <w:wordWrap/>
        <w:overflowPunct/>
        <w:topLinePunct w:val="0"/>
        <w:bidi w:val="0"/>
        <w:adjustRightInd w:val="0"/>
        <w:spacing w:line="360" w:lineRule="auto"/>
        <w:ind w:left="0" w:leftChars="0"/>
        <w:textAlignment w:val="auto"/>
        <w:rPr>
          <w:rFonts w:hint="eastAsia" w:ascii="仿宋" w:hAnsi="仿宋" w:eastAsia="仿宋" w:cs="仿宋"/>
          <w:color w:val="auto"/>
          <w:u w:val="single"/>
          <w:lang w:val="en-US"/>
        </w:rPr>
      </w:pPr>
      <w:r>
        <w:rPr>
          <w:rFonts w:hint="eastAsia" w:ascii="仿宋" w:hAnsi="仿宋" w:eastAsia="仿宋" w:cs="仿宋"/>
          <w:color w:val="auto"/>
          <w:lang w:val="en-US"/>
        </w:rPr>
        <w:t xml:space="preserve">    </w:t>
      </w:r>
      <w:r>
        <w:rPr>
          <w:rFonts w:hint="eastAsia" w:ascii="仿宋" w:hAnsi="仿宋" w:eastAsia="仿宋" w:cs="仿宋"/>
          <w:color w:val="auto"/>
          <w:u w:val="single"/>
          <w:lang w:val="en-US"/>
        </w:rPr>
        <w:t xml:space="preserve">          。</w:t>
      </w:r>
    </w:p>
    <w:p>
      <w:pPr>
        <w:pStyle w:val="33"/>
        <w:keepNext w:val="0"/>
        <w:keepLines w:val="0"/>
        <w:pageBreakBefore w:val="0"/>
        <w:kinsoku/>
        <w:wordWrap/>
        <w:overflowPunct/>
        <w:topLinePunct w:val="0"/>
        <w:bidi w:val="0"/>
        <w:adjustRightInd w:val="0"/>
        <w:snapToGrid w:val="0"/>
        <w:spacing w:line="360" w:lineRule="auto"/>
        <w:textAlignment w:val="auto"/>
        <w:outlineLvl w:val="1"/>
        <w:rPr>
          <w:rFonts w:hint="eastAsia" w:ascii="仿宋" w:hAnsi="仿宋" w:eastAsia="仿宋" w:cs="仿宋"/>
          <w:b/>
          <w:color w:val="auto"/>
          <w:sz w:val="24"/>
          <w:lang w:val="zh-CN"/>
        </w:rPr>
      </w:pPr>
      <w:r>
        <w:rPr>
          <w:rFonts w:hint="eastAsia" w:ascii="仿宋" w:hAnsi="仿宋" w:eastAsia="仿宋" w:cs="仿宋"/>
          <w:b/>
          <w:color w:val="auto"/>
          <w:sz w:val="24"/>
          <w:lang w:val="zh-CN"/>
        </w:rPr>
        <w:t>八、转包或分包</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1.本合同范围的货物，应由乙方直接供应，不得转让他人供应；</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2.除非得到甲方的书面同意，乙方不得将本合同范围的货物全部或部分分包给他人供应；</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3.如有转让和未经甲方同意的分包行为，甲方有权解除合同，没收履约保证金并追究乙方的违约责任。</w:t>
      </w:r>
    </w:p>
    <w:p>
      <w:pPr>
        <w:pStyle w:val="33"/>
        <w:keepNext w:val="0"/>
        <w:keepLines w:val="0"/>
        <w:pageBreakBefore w:val="0"/>
        <w:kinsoku/>
        <w:wordWrap/>
        <w:overflowPunct/>
        <w:topLinePunct w:val="0"/>
        <w:bidi w:val="0"/>
        <w:adjustRightInd w:val="0"/>
        <w:snapToGrid w:val="0"/>
        <w:spacing w:line="360" w:lineRule="auto"/>
        <w:textAlignment w:val="auto"/>
        <w:outlineLvl w:val="1"/>
        <w:rPr>
          <w:rFonts w:hint="eastAsia" w:ascii="仿宋" w:hAnsi="仿宋" w:eastAsia="仿宋" w:cs="仿宋"/>
          <w:b/>
          <w:color w:val="auto"/>
          <w:sz w:val="24"/>
          <w:lang w:val="zh-CN"/>
        </w:rPr>
      </w:pPr>
      <w:r>
        <w:rPr>
          <w:rFonts w:hint="eastAsia" w:ascii="仿宋" w:hAnsi="仿宋" w:eastAsia="仿宋" w:cs="仿宋"/>
          <w:b/>
          <w:color w:val="auto"/>
          <w:sz w:val="24"/>
          <w:lang w:val="zh-CN"/>
        </w:rPr>
        <w:t>九、服务质量保证期</w:t>
      </w:r>
    </w:p>
    <w:p>
      <w:pPr>
        <w:pStyle w:val="33"/>
        <w:keepNext w:val="0"/>
        <w:keepLines w:val="0"/>
        <w:pageBreakBefore w:val="0"/>
        <w:kinsoku/>
        <w:wordWrap/>
        <w:overflowPunct/>
        <w:topLinePunct w:val="0"/>
        <w:bidi w:val="0"/>
        <w:adjustRightInd w:val="0"/>
        <w:snapToGrid w:val="0"/>
        <w:spacing w:line="360" w:lineRule="auto"/>
        <w:ind w:left="410" w:hanging="410" w:hangingChars="171"/>
        <w:textAlignment w:val="auto"/>
        <w:rPr>
          <w:rFonts w:hint="eastAsia" w:ascii="仿宋" w:hAnsi="仿宋" w:eastAsia="仿宋" w:cs="仿宋"/>
          <w:color w:val="auto"/>
          <w:sz w:val="24"/>
        </w:rPr>
      </w:pPr>
      <w:r>
        <w:rPr>
          <w:rFonts w:hint="eastAsia" w:ascii="仿宋" w:hAnsi="仿宋" w:eastAsia="仿宋" w:cs="仿宋"/>
          <w:color w:val="auto"/>
          <w:sz w:val="24"/>
        </w:rPr>
        <w:t>1. 质保期___年。（自验收合格之日起计）</w:t>
      </w:r>
    </w:p>
    <w:p>
      <w:pPr>
        <w:pStyle w:val="33"/>
        <w:keepNext w:val="0"/>
        <w:keepLines w:val="0"/>
        <w:pageBreakBefore w:val="0"/>
        <w:kinsoku/>
        <w:wordWrap/>
        <w:overflowPunct/>
        <w:topLinePunct w:val="0"/>
        <w:bidi w:val="0"/>
        <w:adjustRightInd w:val="0"/>
        <w:snapToGri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lang w:val="zh-CN"/>
        </w:rPr>
        <w:t>十、合同履行时间、履行方式及履行地点</w:t>
      </w:r>
    </w:p>
    <w:p>
      <w:pPr>
        <w:pStyle w:val="33"/>
        <w:keepNext w:val="0"/>
        <w:keepLines w:val="0"/>
        <w:pageBreakBefore w:val="0"/>
        <w:kinsoku/>
        <w:wordWrap/>
        <w:overflowPunct/>
        <w:topLinePunct w:val="0"/>
        <w:bidi w:val="0"/>
        <w:adjustRightInd w:val="0"/>
        <w:snapToGrid w:val="0"/>
        <w:spacing w:line="360" w:lineRule="auto"/>
        <w:textAlignment w:val="auto"/>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1.履行时间：   年   月   日-   年   月   日。</w:t>
      </w:r>
    </w:p>
    <w:p>
      <w:pPr>
        <w:pStyle w:val="33"/>
        <w:keepNext w:val="0"/>
        <w:keepLines w:val="0"/>
        <w:pageBreakBefore w:val="0"/>
        <w:kinsoku/>
        <w:wordWrap/>
        <w:overflowPunct/>
        <w:topLinePunct w:val="0"/>
        <w:bidi w:val="0"/>
        <w:adjustRightInd w:val="0"/>
        <w:snapToGrid w:val="0"/>
        <w:spacing w:line="360" w:lineRule="auto"/>
        <w:textAlignment w:val="auto"/>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2.履行方式：乙方在约定的时间内完成项目实施。</w:t>
      </w:r>
    </w:p>
    <w:p>
      <w:pPr>
        <w:pStyle w:val="33"/>
        <w:keepNext w:val="0"/>
        <w:keepLines w:val="0"/>
        <w:pageBreakBefore w:val="0"/>
        <w:kinsoku/>
        <w:wordWrap/>
        <w:overflowPunct/>
        <w:topLinePunct w:val="0"/>
        <w:bidi w:val="0"/>
        <w:adjustRightInd w:val="0"/>
        <w:snapToGrid w:val="0"/>
        <w:spacing w:line="360" w:lineRule="auto"/>
        <w:textAlignment w:val="auto"/>
        <w:rPr>
          <w:rFonts w:hint="eastAsia" w:ascii="仿宋" w:hAnsi="仿宋" w:eastAsia="仿宋" w:cs="仿宋"/>
          <w:b/>
          <w:color w:val="auto"/>
          <w:sz w:val="24"/>
        </w:rPr>
      </w:pPr>
      <w:r>
        <w:rPr>
          <w:rFonts w:hint="eastAsia" w:ascii="仿宋" w:hAnsi="仿宋" w:eastAsia="仿宋" w:cs="仿宋"/>
          <w:snapToGrid/>
          <w:color w:val="auto"/>
          <w:sz w:val="24"/>
          <w:szCs w:val="24"/>
        </w:rPr>
        <w:t xml:space="preserve">3.履行地点： </w:t>
      </w:r>
    </w:p>
    <w:p>
      <w:pPr>
        <w:pStyle w:val="33"/>
        <w:keepNext w:val="0"/>
        <w:keepLines w:val="0"/>
        <w:pageBreakBefore w:val="0"/>
        <w:kinsoku/>
        <w:wordWrap/>
        <w:overflowPunct/>
        <w:topLinePunct w:val="0"/>
        <w:bidi w:val="0"/>
        <w:adjustRightInd w:val="0"/>
        <w:snapToGrid w:val="0"/>
        <w:spacing w:line="360" w:lineRule="auto"/>
        <w:textAlignment w:val="auto"/>
        <w:outlineLvl w:val="1"/>
        <w:rPr>
          <w:rFonts w:hint="eastAsia" w:ascii="仿宋" w:hAnsi="仿宋" w:eastAsia="仿宋" w:cs="仿宋"/>
          <w:b/>
          <w:color w:val="auto"/>
          <w:sz w:val="24"/>
          <w:lang w:val="zh-CN"/>
        </w:rPr>
      </w:pPr>
      <w:r>
        <w:rPr>
          <w:rFonts w:hint="eastAsia" w:ascii="仿宋" w:hAnsi="仿宋" w:eastAsia="仿宋" w:cs="仿宋"/>
          <w:b/>
          <w:color w:val="auto"/>
          <w:sz w:val="24"/>
          <w:lang w:val="zh-CN"/>
        </w:rPr>
        <w:t>十一、货款支付</w:t>
      </w:r>
    </w:p>
    <w:p>
      <w:pPr>
        <w:keepNext w:val="0"/>
        <w:keepLines w:val="0"/>
        <w:pageBreakBefore w:val="0"/>
        <w:widowControl/>
        <w:suppressLineNumbers w:val="0"/>
        <w:kinsoku/>
        <w:wordWrap/>
        <w:overflowPunct/>
        <w:topLinePunct w:val="0"/>
        <w:autoSpaceDE/>
        <w:autoSpaceDN/>
        <w:bidi w:val="0"/>
        <w:adjustRightInd w:val="0"/>
        <w:spacing w:beforeAutospacing="0" w:afterAutospacing="0" w:line="360" w:lineRule="auto"/>
        <w:ind w:left="0" w:right="0"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color w:val="auto"/>
          <w:sz w:val="24"/>
        </w:rPr>
        <w:t>1. 付款方式：</w:t>
      </w:r>
      <w:r>
        <w:rPr>
          <w:rFonts w:hint="eastAsia" w:ascii="仿宋" w:hAnsi="仿宋" w:eastAsia="仿宋" w:cs="仿宋"/>
          <w:bCs/>
          <w:color w:val="auto"/>
          <w:sz w:val="24"/>
          <w:lang w:val="en-US" w:eastAsia="zh-CN"/>
        </w:rPr>
        <w:t>合同生效以及具备实施条件后7个工作日内支付合同总额的40%作为预付款</w:t>
      </w:r>
      <w:r>
        <w:rPr>
          <w:rFonts w:hint="eastAsia" w:ascii="仿宋" w:hAnsi="仿宋" w:eastAsia="仿宋" w:cs="仿宋"/>
          <w:bCs/>
          <w:color w:val="auto"/>
          <w:sz w:val="24"/>
        </w:rPr>
        <w:t>，安装调试完成后支付合同总额的40%，验收合格后支付</w:t>
      </w:r>
      <w:r>
        <w:rPr>
          <w:rFonts w:hint="eastAsia" w:ascii="仿宋" w:hAnsi="仿宋" w:eastAsia="仿宋" w:cs="仿宋"/>
          <w:bCs/>
          <w:color w:val="auto"/>
          <w:sz w:val="24"/>
          <w:lang w:eastAsia="zh-CN"/>
        </w:rPr>
        <w:t>剩余的</w:t>
      </w:r>
      <w:r>
        <w:rPr>
          <w:rFonts w:hint="eastAsia" w:ascii="仿宋" w:hAnsi="仿宋" w:eastAsia="仿宋" w:cs="仿宋"/>
          <w:bCs/>
          <w:color w:val="auto"/>
          <w:sz w:val="24"/>
        </w:rPr>
        <w:t>2</w:t>
      </w:r>
      <w:r>
        <w:rPr>
          <w:rFonts w:hint="eastAsia" w:ascii="仿宋" w:hAnsi="仿宋" w:eastAsia="仿宋" w:cs="仿宋"/>
          <w:bCs/>
          <w:color w:val="auto"/>
          <w:sz w:val="24"/>
          <w:lang w:val="en-US" w:eastAsia="zh-CN"/>
        </w:rPr>
        <w:t>0</w:t>
      </w:r>
      <w:r>
        <w:rPr>
          <w:rFonts w:hint="eastAsia" w:ascii="仿宋" w:hAnsi="仿宋" w:eastAsia="仿宋" w:cs="仿宋"/>
          <w:bCs/>
          <w:color w:val="auto"/>
          <w:sz w:val="24"/>
        </w:rPr>
        <w:t>%。</w:t>
      </w:r>
    </w:p>
    <w:p>
      <w:pPr>
        <w:pStyle w:val="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color w:val="auto"/>
          <w:sz w:val="24"/>
          <w:lang w:val="zh-CN"/>
        </w:rPr>
        <w:t>2.当采购数量与实际使用数量不一致时，由采购人向同级财政部门申请并经批准后，可以由乙方根据实际使用量供货，合同的最终结算金额按实际使用量乘以成交单价进行计算。</w:t>
      </w:r>
    </w:p>
    <w:p>
      <w:pPr>
        <w:keepNext w:val="0"/>
        <w:keepLines w:val="0"/>
        <w:pageBreakBefore w:val="0"/>
        <w:kinsoku/>
        <w:wordWrap/>
        <w:overflowPunct/>
        <w:topLinePunct w:val="0"/>
        <w:bidi w:val="0"/>
        <w:adjustRightInd w:val="0"/>
        <w:snapToGrid w:val="0"/>
        <w:spacing w:line="360" w:lineRule="auto"/>
        <w:textAlignment w:val="auto"/>
        <w:outlineLvl w:val="1"/>
        <w:rPr>
          <w:rFonts w:hint="eastAsia" w:ascii="仿宋" w:hAnsi="仿宋" w:eastAsia="仿宋" w:cs="仿宋"/>
          <w:b/>
          <w:snapToGrid w:val="0"/>
          <w:color w:val="auto"/>
          <w:sz w:val="24"/>
          <w:szCs w:val="21"/>
          <w:lang w:val="zh-CN"/>
        </w:rPr>
      </w:pPr>
      <w:r>
        <w:rPr>
          <w:rFonts w:hint="eastAsia" w:ascii="仿宋" w:hAnsi="仿宋" w:eastAsia="仿宋" w:cs="仿宋"/>
          <w:b/>
          <w:snapToGrid w:val="0"/>
          <w:color w:val="auto"/>
          <w:sz w:val="24"/>
          <w:szCs w:val="21"/>
          <w:lang w:val="zh-CN"/>
        </w:rPr>
        <w:t>十二、税费</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本合同执行中相关的一切税费均由乙方负担。</w:t>
      </w:r>
    </w:p>
    <w:p>
      <w:pPr>
        <w:pStyle w:val="33"/>
        <w:keepNext w:val="0"/>
        <w:keepLines w:val="0"/>
        <w:pageBreakBefore w:val="0"/>
        <w:kinsoku/>
        <w:wordWrap/>
        <w:overflowPunct/>
        <w:topLinePunct w:val="0"/>
        <w:bidi w:val="0"/>
        <w:adjustRightInd w:val="0"/>
        <w:snapToGrid w:val="0"/>
        <w:spacing w:line="360" w:lineRule="auto"/>
        <w:ind w:left="412" w:hanging="412" w:hangingChars="171"/>
        <w:textAlignment w:val="auto"/>
        <w:rPr>
          <w:rFonts w:hint="eastAsia" w:ascii="仿宋" w:hAnsi="仿宋" w:eastAsia="仿宋" w:cs="仿宋"/>
          <w:color w:val="auto"/>
          <w:sz w:val="24"/>
          <w:szCs w:val="24"/>
        </w:rPr>
      </w:pPr>
      <w:r>
        <w:rPr>
          <w:rFonts w:hint="eastAsia" w:ascii="仿宋" w:hAnsi="仿宋" w:eastAsia="仿宋" w:cs="仿宋"/>
          <w:b/>
          <w:color w:val="auto"/>
          <w:sz w:val="24"/>
          <w:lang w:val="zh-CN"/>
        </w:rPr>
        <w:t>十三、质量保证及后续服务</w:t>
      </w:r>
    </w:p>
    <w:p>
      <w:pPr>
        <w:pStyle w:val="33"/>
        <w:keepNext w:val="0"/>
        <w:keepLines w:val="0"/>
        <w:pageBreakBefore w:val="0"/>
        <w:kinsoku/>
        <w:wordWrap/>
        <w:overflowPunct/>
        <w:topLinePunct w:val="0"/>
        <w:bidi w:val="0"/>
        <w:adjustRightInd w:val="0"/>
        <w:snapToGrid w:val="0"/>
        <w:spacing w:line="360" w:lineRule="auto"/>
        <w:ind w:left="410" w:hanging="410" w:hangingChars="171"/>
        <w:textAlignment w:val="auto"/>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1．乙方应按招标文件规定向甲方提供服务。</w:t>
      </w:r>
    </w:p>
    <w:p>
      <w:pPr>
        <w:pStyle w:val="33"/>
        <w:keepNext w:val="0"/>
        <w:keepLines w:val="0"/>
        <w:pageBreakBefore w:val="0"/>
        <w:kinsoku/>
        <w:wordWrap/>
        <w:overflowPunct/>
        <w:topLinePunct w:val="0"/>
        <w:bidi w:val="0"/>
        <w:adjustRightInd w:val="0"/>
        <w:snapToGrid w:val="0"/>
        <w:spacing w:line="360" w:lineRule="auto"/>
        <w:ind w:left="480" w:hanging="480" w:hangingChars="200"/>
        <w:textAlignment w:val="auto"/>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2．乙方提供的服务成果在服务质量保证期内发生故障，乙方应负责免费提供后续服务。对达不到要求者，根据实际情况，经双方协商，可按以下办法处理：</w:t>
      </w:r>
    </w:p>
    <w:p>
      <w:pPr>
        <w:pStyle w:val="33"/>
        <w:keepNext w:val="0"/>
        <w:keepLines w:val="0"/>
        <w:pageBreakBefore w:val="0"/>
        <w:kinsoku/>
        <w:wordWrap/>
        <w:overflowPunct/>
        <w:topLinePunct w:val="0"/>
        <w:bidi w:val="0"/>
        <w:adjustRightInd w:val="0"/>
        <w:snapToGrid w:val="0"/>
        <w:spacing w:line="360" w:lineRule="auto"/>
        <w:ind w:firstLine="420"/>
        <w:textAlignment w:val="auto"/>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⑴重做：由乙方承担所发生的全部费用。</w:t>
      </w:r>
    </w:p>
    <w:p>
      <w:pPr>
        <w:pStyle w:val="33"/>
        <w:keepNext w:val="0"/>
        <w:keepLines w:val="0"/>
        <w:pageBreakBefore w:val="0"/>
        <w:kinsoku/>
        <w:wordWrap/>
        <w:overflowPunct/>
        <w:topLinePunct w:val="0"/>
        <w:bidi w:val="0"/>
        <w:adjustRightInd w:val="0"/>
        <w:snapToGrid w:val="0"/>
        <w:spacing w:line="360" w:lineRule="auto"/>
        <w:ind w:firstLine="420"/>
        <w:textAlignment w:val="auto"/>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⑵贬值处理：由甲乙双方合议定价。</w:t>
      </w:r>
    </w:p>
    <w:p>
      <w:pPr>
        <w:pStyle w:val="33"/>
        <w:keepNext w:val="0"/>
        <w:keepLines w:val="0"/>
        <w:pageBreakBefore w:val="0"/>
        <w:kinsoku/>
        <w:wordWrap/>
        <w:overflowPunct/>
        <w:topLinePunct w:val="0"/>
        <w:bidi w:val="0"/>
        <w:adjustRightInd w:val="0"/>
        <w:snapToGrid w:val="0"/>
        <w:spacing w:line="360" w:lineRule="auto"/>
        <w:ind w:left="420" w:leftChars="200"/>
        <w:textAlignment w:val="auto"/>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⑶解除合同。</w:t>
      </w:r>
    </w:p>
    <w:p>
      <w:pPr>
        <w:pStyle w:val="33"/>
        <w:keepNext w:val="0"/>
        <w:keepLines w:val="0"/>
        <w:pageBreakBefore w:val="0"/>
        <w:kinsoku/>
        <w:wordWrap/>
        <w:overflowPunct/>
        <w:topLinePunct w:val="0"/>
        <w:bidi w:val="0"/>
        <w:adjustRightInd w:val="0"/>
        <w:snapToGrid w:val="0"/>
        <w:spacing w:line="360" w:lineRule="auto"/>
        <w:textAlignment w:val="auto"/>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3．如在使用过程中发生问题，乙方在接到甲方通知后在</w:t>
      </w:r>
      <w:r>
        <w:rPr>
          <w:rFonts w:hint="eastAsia" w:ascii="仿宋" w:hAnsi="仿宋" w:eastAsia="仿宋" w:cs="仿宋"/>
          <w:snapToGrid/>
          <w:color w:val="auto"/>
          <w:sz w:val="24"/>
          <w:szCs w:val="24"/>
          <w:u w:val="single"/>
        </w:rPr>
        <w:t xml:space="preserve">   </w:t>
      </w:r>
      <w:r>
        <w:rPr>
          <w:rFonts w:hint="eastAsia" w:ascii="仿宋" w:hAnsi="仿宋" w:eastAsia="仿宋" w:cs="仿宋"/>
          <w:snapToGrid/>
          <w:color w:val="auto"/>
          <w:sz w:val="24"/>
          <w:szCs w:val="24"/>
        </w:rPr>
        <w:t>小时内到达甲方现场。</w:t>
      </w:r>
    </w:p>
    <w:p>
      <w:pPr>
        <w:pStyle w:val="33"/>
        <w:keepNext w:val="0"/>
        <w:keepLines w:val="0"/>
        <w:pageBreakBefore w:val="0"/>
        <w:kinsoku/>
        <w:wordWrap/>
        <w:overflowPunct/>
        <w:topLinePunct w:val="0"/>
        <w:bidi w:val="0"/>
        <w:adjustRightInd w:val="0"/>
        <w:snapToGrid w:val="0"/>
        <w:spacing w:line="360" w:lineRule="auto"/>
        <w:textAlignment w:val="auto"/>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4．在服务质量保证期内，乙方应对出现的质量及安全问题负责处理解决并承担</w:t>
      </w:r>
    </w:p>
    <w:p>
      <w:pPr>
        <w:pStyle w:val="33"/>
        <w:keepNext w:val="0"/>
        <w:keepLines w:val="0"/>
        <w:pageBreakBefore w:val="0"/>
        <w:kinsoku/>
        <w:wordWrap/>
        <w:overflowPunct/>
        <w:topLinePunct w:val="0"/>
        <w:bidi w:val="0"/>
        <w:adjustRightInd w:val="0"/>
        <w:snapToGrid w:val="0"/>
        <w:spacing w:line="360" w:lineRule="auto"/>
        <w:ind w:firstLine="360" w:firstLineChars="150"/>
        <w:textAlignment w:val="auto"/>
        <w:rPr>
          <w:rFonts w:hint="eastAsia" w:ascii="仿宋" w:hAnsi="仿宋" w:eastAsia="仿宋" w:cs="仿宋"/>
          <w:color w:val="auto"/>
          <w:sz w:val="24"/>
        </w:rPr>
      </w:pPr>
      <w:r>
        <w:rPr>
          <w:rFonts w:hint="eastAsia" w:ascii="仿宋" w:hAnsi="仿宋" w:eastAsia="仿宋" w:cs="仿宋"/>
          <w:snapToGrid/>
          <w:color w:val="auto"/>
          <w:sz w:val="24"/>
          <w:szCs w:val="24"/>
        </w:rPr>
        <w:t>一切费用。</w:t>
      </w:r>
    </w:p>
    <w:p>
      <w:pPr>
        <w:pStyle w:val="33"/>
        <w:keepNext w:val="0"/>
        <w:keepLines w:val="0"/>
        <w:pageBreakBefore w:val="0"/>
        <w:kinsoku/>
        <w:wordWrap/>
        <w:overflowPunct/>
        <w:topLinePunct w:val="0"/>
        <w:bidi w:val="0"/>
        <w:adjustRightInd w:val="0"/>
        <w:snapToGrid w:val="0"/>
        <w:spacing w:line="360" w:lineRule="auto"/>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十四、违约责任</w:t>
      </w:r>
    </w:p>
    <w:p>
      <w:pPr>
        <w:pStyle w:val="33"/>
        <w:keepNext w:val="0"/>
        <w:keepLines w:val="0"/>
        <w:pageBreakBefore w:val="0"/>
        <w:kinsoku/>
        <w:wordWrap/>
        <w:overflowPunct/>
        <w:topLinePunct w:val="0"/>
        <w:bidi w:val="0"/>
        <w:adjustRightInd w:val="0"/>
        <w:snapToGrid w:val="0"/>
        <w:spacing w:line="360" w:lineRule="auto"/>
        <w:ind w:firstLine="420" w:firstLineChars="175"/>
        <w:textAlignment w:val="auto"/>
        <w:outlineLvl w:val="1"/>
        <w:rPr>
          <w:rFonts w:hint="eastAsia" w:ascii="仿宋" w:hAnsi="仿宋" w:eastAsia="仿宋" w:cs="仿宋"/>
          <w:bCs/>
          <w:color w:val="auto"/>
          <w:sz w:val="24"/>
        </w:rPr>
      </w:pPr>
      <w:r>
        <w:rPr>
          <w:rFonts w:hint="eastAsia" w:ascii="仿宋" w:hAnsi="仿宋" w:eastAsia="仿宋" w:cs="仿宋"/>
          <w:bCs/>
          <w:color w:val="auto"/>
          <w:sz w:val="24"/>
        </w:rPr>
        <w:t>（一）甲方无正当理由拒收接受服务的，甲方向乙方偿付合同款项百分之五作为违约金。</w:t>
      </w:r>
    </w:p>
    <w:p>
      <w:pPr>
        <w:pStyle w:val="33"/>
        <w:keepNext w:val="0"/>
        <w:keepLines w:val="0"/>
        <w:pageBreakBefore w:val="0"/>
        <w:kinsoku/>
        <w:wordWrap/>
        <w:overflowPunct/>
        <w:topLinePunct w:val="0"/>
        <w:bidi w:val="0"/>
        <w:adjustRightInd w:val="0"/>
        <w:snapToGrid w:val="0"/>
        <w:spacing w:line="360" w:lineRule="auto"/>
        <w:ind w:firstLine="420" w:firstLineChars="175"/>
        <w:textAlignment w:val="auto"/>
        <w:outlineLvl w:val="1"/>
        <w:rPr>
          <w:rFonts w:hint="eastAsia" w:ascii="仿宋" w:hAnsi="仿宋" w:eastAsia="仿宋" w:cs="仿宋"/>
          <w:bCs/>
          <w:color w:val="auto"/>
          <w:sz w:val="24"/>
        </w:rPr>
      </w:pPr>
      <w:r>
        <w:rPr>
          <w:rFonts w:hint="eastAsia" w:ascii="仿宋" w:hAnsi="仿宋" w:eastAsia="仿宋" w:cs="仿宋"/>
          <w:bCs/>
          <w:color w:val="auto"/>
          <w:sz w:val="24"/>
        </w:rPr>
        <w:t>（二）甲方无故逾期验收和办理款项支付手续的,甲方应按逾期付款总额每日万分之五向乙方支付违约金。</w:t>
      </w:r>
    </w:p>
    <w:p>
      <w:pPr>
        <w:pStyle w:val="33"/>
        <w:keepNext w:val="0"/>
        <w:keepLines w:val="0"/>
        <w:pageBreakBefore w:val="0"/>
        <w:kinsoku/>
        <w:wordWrap/>
        <w:overflowPunct/>
        <w:topLinePunct w:val="0"/>
        <w:bidi w:val="0"/>
        <w:adjustRightInd w:val="0"/>
        <w:snapToGrid w:val="0"/>
        <w:spacing w:line="360" w:lineRule="auto"/>
        <w:ind w:firstLine="420" w:firstLineChars="175"/>
        <w:textAlignment w:val="auto"/>
        <w:outlineLvl w:val="1"/>
        <w:rPr>
          <w:rFonts w:hint="eastAsia" w:ascii="仿宋" w:hAnsi="仿宋" w:eastAsia="仿宋" w:cs="仿宋"/>
          <w:bCs/>
          <w:color w:val="auto"/>
          <w:sz w:val="24"/>
        </w:rPr>
      </w:pPr>
      <w:r>
        <w:rPr>
          <w:rFonts w:hint="eastAsia" w:ascii="仿宋" w:hAnsi="仿宋" w:eastAsia="仿宋" w:cs="仿宋"/>
          <w:bCs/>
          <w:color w:val="auto"/>
          <w:sz w:val="24"/>
        </w:rPr>
        <w:t xml:space="preserve">（三）乙方未能如期提供服务的，每日向甲方支付合同款项的千分之六作为违约金。乙方超过约定日期____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33"/>
        <w:keepNext w:val="0"/>
        <w:keepLines w:val="0"/>
        <w:pageBreakBefore w:val="0"/>
        <w:kinsoku/>
        <w:wordWrap/>
        <w:overflowPunct/>
        <w:topLinePunct w:val="0"/>
        <w:bidi w:val="0"/>
        <w:adjustRightInd w:val="0"/>
        <w:snapToGrid w:val="0"/>
        <w:spacing w:line="360" w:lineRule="auto"/>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十五、不可抗力事件处理</w:t>
      </w:r>
    </w:p>
    <w:p>
      <w:pPr>
        <w:pStyle w:val="33"/>
        <w:keepNext w:val="0"/>
        <w:keepLines w:val="0"/>
        <w:pageBreakBefore w:val="0"/>
        <w:kinsoku/>
        <w:wordWrap/>
        <w:overflowPunct/>
        <w:topLinePunct w:val="0"/>
        <w:bidi w:val="0"/>
        <w:adjustRightInd w:val="0"/>
        <w:snapToGrid w:val="0"/>
        <w:spacing w:line="360" w:lineRule="auto"/>
        <w:ind w:firstLine="420" w:firstLineChars="175"/>
        <w:textAlignment w:val="auto"/>
        <w:outlineLvl w:val="1"/>
        <w:rPr>
          <w:rFonts w:hint="eastAsia" w:ascii="仿宋" w:hAnsi="仿宋" w:eastAsia="仿宋" w:cs="仿宋"/>
          <w:bCs/>
          <w:color w:val="auto"/>
          <w:sz w:val="24"/>
        </w:rPr>
      </w:pPr>
      <w:r>
        <w:rPr>
          <w:rFonts w:hint="eastAsia" w:ascii="仿宋" w:hAnsi="仿宋" w:eastAsia="仿宋" w:cs="仿宋"/>
          <w:bCs/>
          <w:color w:val="auto"/>
          <w:sz w:val="24"/>
        </w:rPr>
        <w:t>（一）在合同有效期内，任何一方因不可抗力事件导致不能履行合同，则合同履行期可延长，其延长期与不可抗力影响期相同。</w:t>
      </w:r>
    </w:p>
    <w:p>
      <w:pPr>
        <w:pStyle w:val="33"/>
        <w:keepNext w:val="0"/>
        <w:keepLines w:val="0"/>
        <w:pageBreakBefore w:val="0"/>
        <w:kinsoku/>
        <w:wordWrap/>
        <w:overflowPunct/>
        <w:topLinePunct w:val="0"/>
        <w:bidi w:val="0"/>
        <w:adjustRightInd w:val="0"/>
        <w:snapToGrid w:val="0"/>
        <w:spacing w:line="360" w:lineRule="auto"/>
        <w:ind w:firstLine="420" w:firstLineChars="175"/>
        <w:textAlignment w:val="auto"/>
        <w:outlineLvl w:val="1"/>
        <w:rPr>
          <w:rFonts w:hint="eastAsia" w:ascii="仿宋" w:hAnsi="仿宋" w:eastAsia="仿宋" w:cs="仿宋"/>
          <w:bCs/>
          <w:color w:val="auto"/>
          <w:sz w:val="24"/>
        </w:rPr>
      </w:pPr>
      <w:r>
        <w:rPr>
          <w:rFonts w:hint="eastAsia" w:ascii="仿宋" w:hAnsi="仿宋" w:eastAsia="仿宋" w:cs="仿宋"/>
          <w:bCs/>
          <w:color w:val="auto"/>
          <w:sz w:val="24"/>
        </w:rPr>
        <w:t>（二）不可抗力事件发生后，应立即通知对方，并寄送有关权威机构出具的证明。</w:t>
      </w:r>
    </w:p>
    <w:p>
      <w:pPr>
        <w:pStyle w:val="33"/>
        <w:keepNext w:val="0"/>
        <w:keepLines w:val="0"/>
        <w:pageBreakBefore w:val="0"/>
        <w:kinsoku/>
        <w:wordWrap/>
        <w:overflowPunct/>
        <w:topLinePunct w:val="0"/>
        <w:bidi w:val="0"/>
        <w:adjustRightInd w:val="0"/>
        <w:snapToGrid w:val="0"/>
        <w:spacing w:line="360" w:lineRule="auto"/>
        <w:ind w:firstLine="420" w:firstLineChars="175"/>
        <w:textAlignment w:val="auto"/>
        <w:outlineLvl w:val="1"/>
        <w:rPr>
          <w:rFonts w:hint="eastAsia" w:ascii="仿宋" w:hAnsi="仿宋" w:eastAsia="仿宋" w:cs="仿宋"/>
          <w:bCs/>
          <w:color w:val="auto"/>
          <w:sz w:val="24"/>
        </w:rPr>
      </w:pPr>
      <w:r>
        <w:rPr>
          <w:rFonts w:hint="eastAsia" w:ascii="仿宋" w:hAnsi="仿宋" w:eastAsia="仿宋" w:cs="仿宋"/>
          <w:bCs/>
          <w:color w:val="auto"/>
          <w:sz w:val="24"/>
        </w:rPr>
        <w:t>（三）不可抗力事件延续120天以上，双方应通过友好协商，确定是否继续履行合同。</w:t>
      </w:r>
    </w:p>
    <w:p>
      <w:pPr>
        <w:pStyle w:val="33"/>
        <w:keepNext w:val="0"/>
        <w:keepLines w:val="0"/>
        <w:pageBreakBefore w:val="0"/>
        <w:kinsoku/>
        <w:wordWrap/>
        <w:overflowPunct/>
        <w:topLinePunct w:val="0"/>
        <w:bidi w:val="0"/>
        <w:adjustRightInd w:val="0"/>
        <w:snapToGrid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十六、解决争议的方法</w:t>
      </w:r>
    </w:p>
    <w:p>
      <w:pPr>
        <w:keepNext w:val="0"/>
        <w:keepLines w:val="0"/>
        <w:pageBreakBefore w:val="0"/>
        <w:widowControl/>
        <w:kinsoku/>
        <w:wordWrap/>
        <w:overflowPunct/>
        <w:topLinePunct w:val="0"/>
        <w:bidi w:val="0"/>
        <w:adjustRightInd w:val="0"/>
        <w:spacing w:line="36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 如双方在履行合同时发生纠纷，应协商解决；协商不成时，可提请政府采购管理部门调解；调解不成的通过以下方式解决：</w:t>
      </w:r>
    </w:p>
    <w:p>
      <w:pPr>
        <w:keepNext w:val="0"/>
        <w:keepLines w:val="0"/>
        <w:pageBreakBefore w:val="0"/>
        <w:widowControl/>
        <w:kinsoku/>
        <w:wordWrap/>
        <w:overflowPunct/>
        <w:topLinePunct w:val="0"/>
        <w:bidi w:val="0"/>
        <w:adjustRightInd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（1） 依法向人民法院提起诉讼。 </w:t>
      </w:r>
    </w:p>
    <w:p>
      <w:pPr>
        <w:pStyle w:val="33"/>
        <w:keepNext w:val="0"/>
        <w:keepLines w:val="0"/>
        <w:pageBreakBefore w:val="0"/>
        <w:tabs>
          <w:tab w:val="left" w:pos="5790"/>
        </w:tabs>
        <w:kinsoku/>
        <w:wordWrap/>
        <w:overflowPunct/>
        <w:topLinePunct w:val="0"/>
        <w:bidi w:val="0"/>
        <w:adjustRightInd w:val="0"/>
        <w:snapToGrid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十七、合同生效及其它</w:t>
      </w:r>
      <w:r>
        <w:rPr>
          <w:rFonts w:hint="eastAsia" w:ascii="仿宋" w:hAnsi="仿宋" w:eastAsia="仿宋" w:cs="仿宋"/>
          <w:b/>
          <w:color w:val="auto"/>
          <w:sz w:val="24"/>
        </w:rPr>
        <w:tab/>
      </w:r>
    </w:p>
    <w:p>
      <w:pPr>
        <w:pStyle w:val="24"/>
        <w:keepNext w:val="0"/>
        <w:keepLines w:val="0"/>
        <w:pageBreakBefore w:val="0"/>
        <w:widowControl/>
        <w:kinsoku/>
        <w:wordWrap/>
        <w:overflowPunct/>
        <w:topLinePunct w:val="0"/>
        <w:bidi w:val="0"/>
        <w:adjustRightInd w:val="0"/>
        <w:spacing w:line="360" w:lineRule="auto"/>
        <w:ind w:right="-88" w:firstLine="480" w:firstLineChars="200"/>
        <w:textAlignment w:val="auto"/>
        <w:rPr>
          <w:rFonts w:hint="eastAsia" w:ascii="仿宋" w:hAnsi="仿宋" w:eastAsia="仿宋" w:cs="仿宋"/>
          <w:color w:val="auto"/>
        </w:rPr>
      </w:pPr>
      <w:r>
        <w:rPr>
          <w:rFonts w:hint="eastAsia" w:ascii="仿宋" w:hAnsi="仿宋" w:eastAsia="仿宋" w:cs="仿宋"/>
          <w:color w:val="auto"/>
        </w:rPr>
        <w:t>1. 合同经双方法定代表人或授权代表签字并加盖单位公章后生效。</w:t>
      </w:r>
    </w:p>
    <w:p>
      <w:pPr>
        <w:pStyle w:val="24"/>
        <w:keepNext w:val="0"/>
        <w:keepLines w:val="0"/>
        <w:pageBreakBefore w:val="0"/>
        <w:widowControl/>
        <w:kinsoku/>
        <w:wordWrap/>
        <w:overflowPunct/>
        <w:topLinePunct w:val="0"/>
        <w:bidi w:val="0"/>
        <w:adjustRightInd w:val="0"/>
        <w:spacing w:line="360" w:lineRule="auto"/>
        <w:ind w:right="-88" w:firstLine="480" w:firstLineChars="200"/>
        <w:textAlignment w:val="auto"/>
        <w:rPr>
          <w:rFonts w:hint="eastAsia" w:ascii="仿宋" w:hAnsi="仿宋" w:eastAsia="仿宋" w:cs="仿宋"/>
          <w:color w:val="auto"/>
        </w:rPr>
      </w:pPr>
      <w:r>
        <w:rPr>
          <w:rFonts w:hint="eastAsia" w:ascii="仿宋" w:hAnsi="仿宋" w:eastAsia="仿宋" w:cs="仿宋"/>
          <w:color w:val="auto"/>
        </w:rPr>
        <w:t>2. 本合同未尽事宜，遵照《</w:t>
      </w:r>
      <w:r>
        <w:rPr>
          <w:rFonts w:hint="eastAsia" w:ascii="仿宋" w:hAnsi="仿宋" w:eastAsia="仿宋" w:cs="仿宋"/>
          <w:color w:val="auto"/>
          <w:lang w:val="en-US"/>
        </w:rPr>
        <w:t>民法典</w:t>
      </w:r>
      <w:r>
        <w:rPr>
          <w:rFonts w:hint="eastAsia" w:ascii="仿宋" w:hAnsi="仿宋" w:eastAsia="仿宋" w:cs="仿宋"/>
          <w:color w:val="auto"/>
        </w:rPr>
        <w:t>》有关条文执行。</w:t>
      </w:r>
    </w:p>
    <w:p>
      <w:pPr>
        <w:pStyle w:val="24"/>
        <w:keepNext w:val="0"/>
        <w:keepLines w:val="0"/>
        <w:pageBreakBefore w:val="0"/>
        <w:widowControl/>
        <w:kinsoku/>
        <w:wordWrap/>
        <w:overflowPunct/>
        <w:topLinePunct w:val="0"/>
        <w:bidi w:val="0"/>
        <w:adjustRightInd w:val="0"/>
        <w:spacing w:line="360" w:lineRule="auto"/>
        <w:ind w:right="-88" w:firstLine="480" w:firstLineChars="200"/>
        <w:textAlignment w:val="auto"/>
        <w:rPr>
          <w:rFonts w:hint="eastAsia" w:ascii="仿宋" w:hAnsi="仿宋" w:eastAsia="仿宋" w:cs="仿宋"/>
          <w:color w:val="auto"/>
        </w:rPr>
      </w:pPr>
      <w:r>
        <w:rPr>
          <w:rFonts w:hint="eastAsia" w:ascii="仿宋" w:hAnsi="仿宋" w:eastAsia="仿宋" w:cs="仿宋"/>
          <w:color w:val="auto"/>
        </w:rPr>
        <w:t>3. 本合同一式</w:t>
      </w:r>
      <w:r>
        <w:rPr>
          <w:rFonts w:hint="eastAsia" w:ascii="仿宋" w:hAnsi="仿宋" w:eastAsia="仿宋" w:cs="仿宋"/>
          <w:color w:val="auto"/>
          <w:lang w:eastAsia="zh-CN"/>
        </w:rPr>
        <w:t>伍</w:t>
      </w:r>
      <w:r>
        <w:rPr>
          <w:rFonts w:hint="eastAsia" w:ascii="仿宋" w:hAnsi="仿宋" w:eastAsia="仿宋" w:cs="仿宋"/>
          <w:color w:val="auto"/>
        </w:rPr>
        <w:t>份。甲、乙双方各执贰份，采购组织机构执一份。本项目未尽事宜以招标文件、投标文件及澄清文件等为准。</w:t>
      </w:r>
    </w:p>
    <w:p>
      <w:pPr>
        <w:widowControl/>
        <w:spacing w:line="360" w:lineRule="auto"/>
        <w:rPr>
          <w:rFonts w:hint="eastAsia" w:ascii="仿宋" w:hAnsi="仿宋" w:eastAsia="仿宋" w:cs="仿宋"/>
          <w:b/>
          <w:color w:val="auto"/>
          <w:sz w:val="24"/>
        </w:rPr>
      </w:pPr>
    </w:p>
    <w:p>
      <w:pPr>
        <w:widowControl/>
        <w:spacing w:line="360" w:lineRule="auto"/>
        <w:rPr>
          <w:rFonts w:hint="eastAsia" w:ascii="仿宋" w:hAnsi="仿宋" w:eastAsia="仿宋" w:cs="仿宋"/>
          <w:b/>
          <w:color w:val="auto"/>
          <w:sz w:val="24"/>
        </w:rPr>
      </w:pPr>
    </w:p>
    <w:tbl>
      <w:tblPr>
        <w:tblStyle w:val="65"/>
        <w:tblW w:w="99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8"/>
        <w:gridCol w:w="5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4848" w:type="dxa"/>
          </w:tcPr>
          <w:p>
            <w:pPr>
              <w:pStyle w:val="84"/>
              <w:ind w:firstLine="0"/>
              <w:rPr>
                <w:rFonts w:hint="eastAsia" w:ascii="仿宋" w:hAnsi="仿宋" w:eastAsia="仿宋" w:cs="仿宋"/>
                <w:color w:val="auto"/>
              </w:rPr>
            </w:pPr>
            <w:r>
              <w:rPr>
                <w:rFonts w:hint="eastAsia" w:ascii="仿宋" w:hAnsi="仿宋" w:eastAsia="仿宋" w:cs="仿宋"/>
                <w:color w:val="auto"/>
                <w:sz w:val="24"/>
              </w:rPr>
              <w:t>甲方（盖章）</w:t>
            </w:r>
          </w:p>
        </w:tc>
        <w:tc>
          <w:tcPr>
            <w:tcW w:w="5143" w:type="dxa"/>
          </w:tcPr>
          <w:p>
            <w:pPr>
              <w:pStyle w:val="84"/>
              <w:ind w:firstLine="0"/>
              <w:rPr>
                <w:rFonts w:hint="eastAsia" w:ascii="仿宋" w:hAnsi="仿宋" w:eastAsia="仿宋" w:cs="仿宋"/>
                <w:color w:val="auto"/>
              </w:rPr>
            </w:pPr>
            <w:r>
              <w:rPr>
                <w:rFonts w:hint="eastAsia" w:ascii="仿宋" w:hAnsi="仿宋" w:eastAsia="仿宋" w:cs="仿宋"/>
                <w:color w:val="auto"/>
                <w:sz w:val="24"/>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848" w:type="dxa"/>
          </w:tcPr>
          <w:p>
            <w:pPr>
              <w:pStyle w:val="84"/>
              <w:ind w:firstLine="0"/>
              <w:rPr>
                <w:rFonts w:hint="eastAsia" w:ascii="仿宋" w:hAnsi="仿宋" w:eastAsia="仿宋" w:cs="仿宋"/>
                <w:color w:val="auto"/>
              </w:rPr>
            </w:pPr>
            <w:r>
              <w:rPr>
                <w:rFonts w:hint="eastAsia" w:ascii="仿宋" w:hAnsi="仿宋" w:eastAsia="仿宋" w:cs="仿宋"/>
                <w:color w:val="auto"/>
                <w:sz w:val="24"/>
              </w:rPr>
              <w:t>法定代表人：</w:t>
            </w:r>
          </w:p>
        </w:tc>
        <w:tc>
          <w:tcPr>
            <w:tcW w:w="5143" w:type="dxa"/>
          </w:tcPr>
          <w:p>
            <w:pPr>
              <w:pStyle w:val="84"/>
              <w:ind w:firstLine="0"/>
              <w:rPr>
                <w:rFonts w:hint="eastAsia" w:ascii="仿宋" w:hAnsi="仿宋" w:eastAsia="仿宋" w:cs="仿宋"/>
                <w:color w:val="auto"/>
              </w:rPr>
            </w:pPr>
            <w:r>
              <w:rPr>
                <w:rFonts w:hint="eastAsia" w:ascii="仿宋" w:hAnsi="仿宋" w:eastAsia="仿宋" w:cs="仿宋"/>
                <w:color w:val="auto"/>
                <w:sz w:val="24"/>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4848" w:type="dxa"/>
          </w:tcPr>
          <w:p>
            <w:pPr>
              <w:pStyle w:val="84"/>
              <w:ind w:firstLine="0"/>
              <w:rPr>
                <w:rFonts w:hint="eastAsia" w:ascii="仿宋" w:hAnsi="仿宋" w:eastAsia="仿宋" w:cs="仿宋"/>
                <w:color w:val="auto"/>
              </w:rPr>
            </w:pPr>
            <w:r>
              <w:rPr>
                <w:rFonts w:hint="eastAsia" w:ascii="仿宋" w:hAnsi="仿宋" w:eastAsia="仿宋" w:cs="仿宋"/>
                <w:color w:val="auto"/>
                <w:sz w:val="24"/>
              </w:rPr>
              <w:t>委托代理人：</w:t>
            </w:r>
          </w:p>
        </w:tc>
        <w:tc>
          <w:tcPr>
            <w:tcW w:w="5143" w:type="dxa"/>
          </w:tcPr>
          <w:p>
            <w:pPr>
              <w:pStyle w:val="84"/>
              <w:ind w:firstLine="0"/>
              <w:rPr>
                <w:rFonts w:hint="eastAsia" w:ascii="仿宋" w:hAnsi="仿宋" w:eastAsia="仿宋" w:cs="仿宋"/>
                <w:color w:val="auto"/>
              </w:rPr>
            </w:pPr>
            <w:r>
              <w:rPr>
                <w:rFonts w:hint="eastAsia" w:ascii="仿宋" w:hAnsi="仿宋" w:eastAsia="仿宋" w:cs="仿宋"/>
                <w:color w:val="auto"/>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848" w:type="dxa"/>
          </w:tcPr>
          <w:p>
            <w:pPr>
              <w:pStyle w:val="84"/>
              <w:ind w:firstLine="0"/>
              <w:rPr>
                <w:rFonts w:hint="eastAsia" w:ascii="仿宋" w:hAnsi="仿宋" w:eastAsia="仿宋" w:cs="仿宋"/>
                <w:color w:val="auto"/>
              </w:rPr>
            </w:pPr>
            <w:r>
              <w:rPr>
                <w:rFonts w:hint="eastAsia" w:ascii="仿宋" w:hAnsi="仿宋" w:eastAsia="仿宋" w:cs="仿宋"/>
                <w:color w:val="auto"/>
                <w:sz w:val="24"/>
              </w:rPr>
              <w:t>联系电话：</w:t>
            </w:r>
          </w:p>
        </w:tc>
        <w:tc>
          <w:tcPr>
            <w:tcW w:w="5143" w:type="dxa"/>
          </w:tcPr>
          <w:p>
            <w:pPr>
              <w:pStyle w:val="84"/>
              <w:ind w:firstLine="0"/>
              <w:rPr>
                <w:rFonts w:hint="eastAsia" w:ascii="仿宋" w:hAnsi="仿宋" w:eastAsia="仿宋" w:cs="仿宋"/>
                <w:color w:val="auto"/>
              </w:rPr>
            </w:pPr>
            <w:r>
              <w:rPr>
                <w:rFonts w:hint="eastAsia" w:ascii="仿宋" w:hAnsi="仿宋" w:eastAsia="仿宋" w:cs="仿宋"/>
                <w:color w:val="auto"/>
                <w:sz w:val="24"/>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4848" w:type="dxa"/>
          </w:tcPr>
          <w:p>
            <w:pPr>
              <w:pStyle w:val="84"/>
              <w:ind w:firstLine="0"/>
              <w:rPr>
                <w:rFonts w:hint="eastAsia" w:ascii="仿宋" w:hAnsi="仿宋" w:eastAsia="仿宋" w:cs="仿宋"/>
                <w:color w:val="auto"/>
              </w:rPr>
            </w:pPr>
            <w:r>
              <w:rPr>
                <w:rFonts w:hint="eastAsia" w:ascii="仿宋" w:hAnsi="仿宋" w:eastAsia="仿宋" w:cs="仿宋"/>
                <w:color w:val="auto"/>
                <w:sz w:val="24"/>
              </w:rPr>
              <w:t>开户银行：</w:t>
            </w:r>
          </w:p>
        </w:tc>
        <w:tc>
          <w:tcPr>
            <w:tcW w:w="5143" w:type="dxa"/>
          </w:tcPr>
          <w:p>
            <w:pPr>
              <w:pStyle w:val="84"/>
              <w:ind w:firstLine="0"/>
              <w:rPr>
                <w:rFonts w:hint="eastAsia" w:ascii="仿宋" w:hAnsi="仿宋" w:eastAsia="仿宋" w:cs="仿宋"/>
                <w:color w:val="auto"/>
              </w:rPr>
            </w:pPr>
            <w:r>
              <w:rPr>
                <w:rFonts w:hint="eastAsia" w:ascii="仿宋" w:hAnsi="仿宋" w:eastAsia="仿宋" w:cs="仿宋"/>
                <w:color w:val="auto"/>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848" w:type="dxa"/>
          </w:tcPr>
          <w:p>
            <w:pPr>
              <w:pStyle w:val="84"/>
              <w:ind w:firstLine="0"/>
              <w:rPr>
                <w:rFonts w:hint="eastAsia" w:ascii="仿宋" w:hAnsi="仿宋" w:eastAsia="仿宋" w:cs="仿宋"/>
                <w:color w:val="auto"/>
              </w:rPr>
            </w:pPr>
            <w:r>
              <w:rPr>
                <w:rFonts w:hint="eastAsia" w:ascii="仿宋" w:hAnsi="仿宋" w:eastAsia="仿宋" w:cs="仿宋"/>
                <w:color w:val="auto"/>
                <w:sz w:val="24"/>
              </w:rPr>
              <w:t>帐号：</w:t>
            </w:r>
          </w:p>
        </w:tc>
        <w:tc>
          <w:tcPr>
            <w:tcW w:w="5143" w:type="dxa"/>
          </w:tcPr>
          <w:p>
            <w:pPr>
              <w:pStyle w:val="84"/>
              <w:ind w:firstLine="0"/>
              <w:rPr>
                <w:rFonts w:hint="eastAsia" w:ascii="仿宋" w:hAnsi="仿宋" w:eastAsia="仿宋" w:cs="仿宋"/>
                <w:color w:val="auto"/>
              </w:rPr>
            </w:pPr>
            <w:r>
              <w:rPr>
                <w:rFonts w:hint="eastAsia" w:ascii="仿宋" w:hAnsi="仿宋" w:eastAsia="仿宋" w:cs="仿宋"/>
                <w:color w:val="auto"/>
                <w:sz w:val="24"/>
              </w:rPr>
              <w:t>帐号：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4848" w:type="dxa"/>
          </w:tcPr>
          <w:p>
            <w:pPr>
              <w:pStyle w:val="84"/>
              <w:ind w:firstLine="0"/>
              <w:rPr>
                <w:rFonts w:hint="eastAsia" w:ascii="仿宋" w:hAnsi="仿宋" w:eastAsia="仿宋" w:cs="仿宋"/>
                <w:color w:val="auto"/>
              </w:rPr>
            </w:pPr>
            <w:r>
              <w:rPr>
                <w:rFonts w:hint="eastAsia" w:ascii="仿宋" w:hAnsi="仿宋" w:eastAsia="仿宋" w:cs="仿宋"/>
                <w:color w:val="auto"/>
                <w:sz w:val="24"/>
              </w:rPr>
              <w:t>地址及邮编：</w:t>
            </w:r>
          </w:p>
        </w:tc>
        <w:tc>
          <w:tcPr>
            <w:tcW w:w="5143" w:type="dxa"/>
          </w:tcPr>
          <w:p>
            <w:pPr>
              <w:pStyle w:val="84"/>
              <w:ind w:firstLine="0"/>
              <w:rPr>
                <w:rFonts w:hint="eastAsia" w:ascii="仿宋" w:hAnsi="仿宋" w:eastAsia="仿宋" w:cs="仿宋"/>
                <w:color w:val="auto"/>
              </w:rPr>
            </w:pPr>
            <w:r>
              <w:rPr>
                <w:rFonts w:hint="eastAsia" w:ascii="仿宋" w:hAnsi="仿宋" w:eastAsia="仿宋" w:cs="仿宋"/>
                <w:color w:val="auto"/>
                <w:sz w:val="24"/>
              </w:rPr>
              <w:t>地址及邮编：</w:t>
            </w:r>
          </w:p>
        </w:tc>
      </w:tr>
    </w:tbl>
    <w:p>
      <w:pPr>
        <w:pStyle w:val="84"/>
        <w:ind w:firstLine="0"/>
        <w:rPr>
          <w:rFonts w:hint="eastAsia" w:ascii="仿宋" w:hAnsi="仿宋" w:eastAsia="仿宋" w:cs="仿宋"/>
          <w:color w:val="auto"/>
          <w:sz w:val="24"/>
        </w:rPr>
      </w:pPr>
    </w:p>
    <w:p>
      <w:pPr>
        <w:pStyle w:val="84"/>
        <w:ind w:firstLine="0"/>
        <w:rPr>
          <w:rFonts w:hint="eastAsia" w:ascii="仿宋" w:hAnsi="仿宋" w:eastAsia="仿宋" w:cs="仿宋"/>
          <w:color w:val="auto"/>
          <w:sz w:val="24"/>
        </w:rPr>
      </w:pPr>
    </w:p>
    <w:p>
      <w:pPr>
        <w:pStyle w:val="84"/>
        <w:ind w:firstLine="0"/>
        <w:rPr>
          <w:rFonts w:hint="eastAsia" w:ascii="仿宋" w:hAnsi="仿宋" w:eastAsia="仿宋" w:cs="仿宋"/>
          <w:color w:val="auto"/>
        </w:rPr>
      </w:pPr>
      <w:r>
        <w:rPr>
          <w:rFonts w:hint="eastAsia" w:ascii="仿宋" w:hAnsi="仿宋" w:eastAsia="仿宋" w:cs="仿宋"/>
          <w:color w:val="auto"/>
          <w:sz w:val="24"/>
        </w:rPr>
        <w:t>合同鉴证方：</w:t>
      </w:r>
    </w:p>
    <w:p>
      <w:pPr>
        <w:spacing w:line="360" w:lineRule="auto"/>
        <w:ind w:firstLine="4920" w:firstLineChars="2050"/>
        <w:rPr>
          <w:rFonts w:hint="eastAsia" w:ascii="仿宋" w:hAnsi="仿宋" w:eastAsia="仿宋" w:cs="仿宋"/>
          <w:color w:val="auto"/>
          <w:sz w:val="24"/>
        </w:rPr>
      </w:pPr>
      <w:r>
        <w:rPr>
          <w:rFonts w:hint="eastAsia" w:ascii="仿宋" w:hAnsi="仿宋" w:eastAsia="仿宋" w:cs="仿宋"/>
          <w:color w:val="auto"/>
          <w:sz w:val="24"/>
        </w:rPr>
        <w:t>签订时间：    年   月    日</w:t>
      </w:r>
    </w:p>
    <w:p>
      <w:pPr>
        <w:widowControl/>
        <w:adjustRightInd/>
        <w:jc w:val="left"/>
        <w:rPr>
          <w:rFonts w:hint="eastAsia" w:ascii="仿宋" w:hAnsi="仿宋" w:eastAsia="仿宋" w:cs="仿宋"/>
          <w:b/>
          <w:color w:val="auto"/>
          <w:sz w:val="24"/>
        </w:rPr>
      </w:pPr>
      <w:r>
        <w:rPr>
          <w:rFonts w:hint="eastAsia" w:ascii="仿宋" w:hAnsi="仿宋" w:eastAsia="仿宋" w:cs="仿宋"/>
          <w:b/>
          <w:color w:val="auto"/>
        </w:rPr>
        <w:br w:type="page"/>
      </w:r>
    </w:p>
    <w:p>
      <w:pPr>
        <w:pStyle w:val="3"/>
        <w:keepNext/>
        <w:keepLines/>
        <w:pageBreakBefore w:val="0"/>
        <w:widowControl w:val="0"/>
        <w:kinsoku/>
        <w:wordWrap/>
        <w:overflowPunct/>
        <w:topLinePunct w:val="0"/>
        <w:autoSpaceDE/>
        <w:autoSpaceDN/>
        <w:bidi w:val="0"/>
        <w:adjustRightInd w:val="0"/>
        <w:snapToGrid/>
        <w:spacing w:after="0" w:line="360" w:lineRule="auto"/>
        <w:ind w:left="431" w:hanging="431"/>
        <w:jc w:val="center"/>
        <w:textAlignment w:val="auto"/>
        <w:rPr>
          <w:rFonts w:hint="eastAsia" w:ascii="仿宋" w:hAnsi="仿宋" w:eastAsia="仿宋" w:cs="仿宋"/>
          <w:color w:val="auto"/>
        </w:rPr>
      </w:pPr>
      <w:bookmarkStart w:id="414" w:name="_Toc4250"/>
      <w:r>
        <w:rPr>
          <w:rFonts w:hint="eastAsia" w:ascii="仿宋" w:hAnsi="仿宋" w:eastAsia="仿宋" w:cs="仿宋"/>
          <w:color w:val="auto"/>
        </w:rPr>
        <w:t>第六部分</w:t>
      </w:r>
      <w:bookmarkEnd w:id="411"/>
      <w:r>
        <w:rPr>
          <w:rFonts w:hint="eastAsia" w:ascii="仿宋" w:hAnsi="仿宋" w:eastAsia="仿宋" w:cs="仿宋"/>
          <w:color w:val="auto"/>
        </w:rPr>
        <w:t xml:space="preserve"> </w:t>
      </w:r>
      <w:bookmarkEnd w:id="412"/>
      <w:r>
        <w:rPr>
          <w:rFonts w:hint="eastAsia" w:ascii="仿宋" w:hAnsi="仿宋" w:eastAsia="仿宋" w:cs="仿宋"/>
          <w:color w:val="auto"/>
        </w:rPr>
        <w:t>应提交的有关格式范例</w:t>
      </w:r>
      <w:bookmarkEnd w:id="414"/>
    </w:p>
    <w:p>
      <w:pPr>
        <w:spacing w:line="360" w:lineRule="auto"/>
        <w:jc w:val="center"/>
        <w:outlineLvl w:val="9"/>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bookmarkStart w:id="415" w:name="_Toc32728"/>
      <w:r>
        <w:rPr>
          <w:rFonts w:hint="eastAsia" w:ascii="仿宋" w:hAnsi="仿宋" w:eastAsia="仿宋" w:cs="仿宋"/>
          <w:b/>
          <w:color w:val="auto"/>
          <w:kern w:val="0"/>
          <w:sz w:val="36"/>
          <w:szCs w:val="36"/>
        </w:rPr>
        <w:t>资格文件部分</w:t>
      </w:r>
      <w:bookmarkEnd w:id="415"/>
    </w:p>
    <w:p>
      <w:pPr>
        <w:spacing w:line="360" w:lineRule="auto"/>
        <w:jc w:val="center"/>
        <w:outlineLvl w:val="0"/>
        <w:rPr>
          <w:rFonts w:hint="eastAsia" w:ascii="仿宋" w:hAnsi="仿宋" w:eastAsia="仿宋" w:cs="仿宋"/>
          <w:b/>
          <w:color w:val="auto"/>
          <w:kern w:val="0"/>
          <w:sz w:val="36"/>
          <w:szCs w:val="36"/>
        </w:rPr>
      </w:pPr>
      <w:bookmarkStart w:id="416" w:name="_Toc26140"/>
      <w:r>
        <w:rPr>
          <w:rFonts w:hint="eastAsia" w:ascii="仿宋" w:hAnsi="仿宋" w:eastAsia="仿宋" w:cs="仿宋"/>
          <w:b/>
          <w:color w:val="auto"/>
          <w:kern w:val="0"/>
          <w:sz w:val="36"/>
          <w:szCs w:val="36"/>
        </w:rPr>
        <w:t>目录</w:t>
      </w:r>
      <w:bookmarkEnd w:id="416"/>
    </w:p>
    <w:p>
      <w:pPr>
        <w:spacing w:line="360" w:lineRule="auto"/>
        <w:jc w:val="center"/>
        <w:outlineLvl w:val="9"/>
        <w:rPr>
          <w:rFonts w:hint="eastAsia" w:ascii="仿宋" w:hAnsi="仿宋" w:eastAsia="仿宋" w:cs="仿宋"/>
          <w:b/>
          <w:color w:val="auto"/>
          <w:kern w:val="0"/>
          <w:sz w:val="36"/>
          <w:szCs w:val="36"/>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pPr>
        <w:snapToGrid w:val="0"/>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w:t>
      </w:r>
      <w:r>
        <w:rPr>
          <w:rFonts w:hint="eastAsia" w:ascii="仿宋" w:hAnsi="仿宋" w:eastAsia="仿宋" w:cs="仿宋"/>
          <w:color w:val="auto"/>
          <w:sz w:val="24"/>
          <w:highlight w:val="none"/>
        </w:rPr>
        <w:t>法人或者其他组织的营业执照等证明文件，自然人的身份证明</w:t>
      </w:r>
      <w:r>
        <w:rPr>
          <w:rFonts w:hint="eastAsia" w:ascii="仿宋" w:hAnsi="仿宋" w:eastAsia="仿宋" w:cs="仿宋"/>
          <w:color w:val="auto"/>
          <w:sz w:val="24"/>
        </w:rPr>
        <w:t>…（页码）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（3）落实政府采购政策需满足的资格要求………………………………（页码）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（4）本项目的特定资格要求………………………………………………（页码）</w:t>
      </w:r>
    </w:p>
    <w:p>
      <w:pPr>
        <w:snapToGrid w:val="0"/>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2023年台州市环境质量自动监测智能化建设项目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TZFD(2023)-1035号</w:t>
      </w:r>
      <w:r>
        <w:rPr>
          <w:rFonts w:hint="eastAsia" w:ascii="仿宋" w:hAnsi="仿宋" w:eastAsia="仿宋" w:cs="仿宋"/>
          <w:color w:val="auto"/>
          <w:sz w:val="24"/>
        </w:rPr>
        <w:t>】政府采购活动，郑重承诺：</w:t>
      </w:r>
    </w:p>
    <w:p>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rPr>
          <w:rFonts w:hint="eastAsia" w:ascii="仿宋" w:hAnsi="仿宋" w:eastAsia="仿宋" w:cs="仿宋"/>
          <w:color w:val="auto"/>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widowControl/>
        <w:adjustRightInd/>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r>
        <w:rPr>
          <w:rFonts w:hint="eastAsia" w:ascii="仿宋" w:hAnsi="仿宋" w:eastAsia="仿宋" w:cs="仿宋"/>
          <w:b/>
          <w:color w:val="auto"/>
          <w:kern w:val="0"/>
          <w:sz w:val="32"/>
          <w:szCs w:val="32"/>
        </w:rPr>
        <w:t>二、法人或者其他组织的营业执照等证明文件，自然人的身份证明</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 </w:t>
      </w:r>
    </w:p>
    <w:p>
      <w:pPr>
        <w:widowControl/>
        <w:spacing w:line="360" w:lineRule="auto"/>
        <w:ind w:firstLine="480"/>
        <w:jc w:val="left"/>
        <w:rPr>
          <w:rFonts w:hint="eastAsia" w:ascii="仿宋" w:hAnsi="仿宋" w:eastAsia="仿宋" w:cs="仿宋"/>
          <w:color w:val="auto"/>
          <w:sz w:val="24"/>
        </w:rPr>
      </w:pPr>
    </w:p>
    <w:p>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要求以联合体形式参加的，提供联合协议（附件）和中小企业声明函（附件），联合协议中中小企业合同金额应当达到招标公告载明的比例；如果供应商本身提供所有标的均由中小企业承接的，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rPr>
      </w:pPr>
      <w:r>
        <w:rPr>
          <w:rFonts w:hint="eastAsia" w:ascii="仿宋" w:hAnsi="仿宋" w:eastAsia="仿宋" w:cs="仿宋"/>
          <w:b/>
          <w:color w:val="auto"/>
          <w:sz w:val="24"/>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要求合同分包的，提供分包意向协议（附件）和中小企业声明函（附件），分包意向协议中中小企业合同金额应当达到招标公告载明的比例；如果供应商本身提供所有标的均由中小企业承接的，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pPr>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p>
    <w:p>
      <w:pPr>
        <w:widowControl/>
        <w:adjustRightInd/>
        <w:jc w:val="left"/>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pPr>
        <w:spacing w:line="360" w:lineRule="auto"/>
        <w:ind w:right="420" w:firstLine="3614" w:firstLineChars="100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360" w:lineRule="auto"/>
        <w:jc w:val="center"/>
        <w:outlineLvl w:val="9"/>
        <w:rPr>
          <w:rFonts w:hint="eastAsia" w:ascii="仿宋" w:hAnsi="仿宋" w:eastAsia="仿宋" w:cs="仿宋"/>
          <w:b/>
          <w:color w:val="auto"/>
          <w:kern w:val="0"/>
          <w:sz w:val="24"/>
        </w:rPr>
      </w:pPr>
    </w:p>
    <w:p>
      <w:pPr>
        <w:spacing w:line="360" w:lineRule="auto"/>
        <w:jc w:val="center"/>
        <w:outlineLvl w:val="0"/>
        <w:rPr>
          <w:rFonts w:hint="eastAsia" w:ascii="仿宋" w:hAnsi="仿宋" w:eastAsia="仿宋" w:cs="仿宋"/>
          <w:b/>
          <w:color w:val="auto"/>
          <w:kern w:val="0"/>
          <w:sz w:val="28"/>
          <w:szCs w:val="28"/>
        </w:rPr>
      </w:pPr>
      <w:bookmarkStart w:id="417" w:name="_Toc21317"/>
      <w:r>
        <w:rPr>
          <w:rFonts w:hint="eastAsia" w:ascii="仿宋" w:hAnsi="仿宋" w:eastAsia="仿宋" w:cs="仿宋"/>
          <w:b/>
          <w:color w:val="auto"/>
          <w:kern w:val="0"/>
          <w:sz w:val="28"/>
          <w:szCs w:val="28"/>
        </w:rPr>
        <w:t>目录</w:t>
      </w:r>
      <w:bookmarkEnd w:id="417"/>
    </w:p>
    <w:p>
      <w:pPr>
        <w:numPr>
          <w:ilvl w:val="0"/>
          <w:numId w:val="2"/>
        </w:num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投标函</w:t>
      </w:r>
      <w:r>
        <w:rPr>
          <w:rFonts w:hint="eastAsia" w:ascii="仿宋" w:hAnsi="仿宋" w:eastAsia="仿宋" w:cs="仿宋"/>
          <w:color w:val="auto"/>
        </w:rPr>
        <w:t>……………………………………………………………………………………（页码）</w:t>
      </w:r>
    </w:p>
    <w:p>
      <w:pPr>
        <w:numPr>
          <w:ilvl w:val="0"/>
          <w:numId w:val="0"/>
        </w:num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（3）供应商情况介绍</w:t>
      </w:r>
      <w:r>
        <w:rPr>
          <w:rFonts w:hint="eastAsia" w:ascii="仿宋" w:hAnsi="仿宋" w:eastAsia="仿宋" w:cs="仿宋"/>
          <w:color w:val="auto"/>
        </w:rPr>
        <w:t>………………………………………………………………………（页码）</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（4）评标标准相应的商务技术资料</w:t>
      </w:r>
      <w:r>
        <w:rPr>
          <w:rFonts w:hint="eastAsia" w:ascii="仿宋" w:hAnsi="仿宋" w:eastAsia="仿宋" w:cs="仿宋"/>
          <w:color w:val="auto"/>
          <w:sz w:val="24"/>
          <w:lang w:val="en-US" w:eastAsia="zh-CN"/>
        </w:rPr>
        <w:t xml:space="preserve"> </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rPr>
          <w:rFonts w:hint="eastAsia" w:ascii="仿宋" w:hAnsi="仿宋" w:eastAsia="仿宋" w:cs="仿宋"/>
          <w:b/>
          <w:color w:val="auto"/>
          <w:kern w:val="0"/>
          <w:sz w:val="32"/>
          <w:szCs w:val="32"/>
          <w:lang w:val="zh-CN"/>
        </w:rPr>
      </w:pPr>
    </w:p>
    <w:p>
      <w:pPr>
        <w:widowControl/>
        <w:adjustRightInd/>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snapToGrid w:val="0"/>
        <w:spacing w:line="360" w:lineRule="auto"/>
        <w:jc w:val="center"/>
        <w:outlineLvl w:val="0"/>
        <w:rPr>
          <w:rFonts w:hint="eastAsia" w:ascii="仿宋" w:hAnsi="仿宋" w:eastAsia="仿宋" w:cs="仿宋"/>
          <w:b/>
          <w:color w:val="auto"/>
          <w:sz w:val="32"/>
          <w:szCs w:val="32"/>
        </w:rPr>
      </w:pPr>
      <w:bookmarkStart w:id="418" w:name="_Toc14362"/>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bookmarkEnd w:id="418"/>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lang w:eastAsia="zh-CN"/>
        </w:rPr>
        <w:t>2023年台州市环境质量自动监测智能化建设项目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TZFD(2023)-1035号</w:t>
      </w:r>
      <w:r>
        <w:rPr>
          <w:rFonts w:hint="eastAsia" w:ascii="仿宋" w:hAnsi="仿宋" w:eastAsia="仿宋" w:cs="仿宋"/>
          <w:color w:val="auto"/>
          <w:sz w:val="24"/>
        </w:rPr>
        <w:t>】招标的有关活动，并对此项目进行投标。为此：</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pPr>
        <w:snapToGrid w:val="0"/>
        <w:spacing w:line="360" w:lineRule="auto"/>
        <w:ind w:left="420" w:leftChars="200"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2.1.2</w:t>
      </w:r>
      <w:r>
        <w:rPr>
          <w:rFonts w:hint="eastAsia" w:ascii="仿宋" w:hAnsi="仿宋" w:eastAsia="仿宋" w:cs="仿宋"/>
          <w:color w:val="auto"/>
          <w:sz w:val="24"/>
          <w:highlight w:val="none"/>
        </w:rPr>
        <w:t>法人或者其他组织的营业执照等证明文件，自然人的身份证明</w:t>
      </w:r>
      <w:r>
        <w:rPr>
          <w:rFonts w:hint="eastAsia" w:ascii="仿宋" w:hAnsi="仿宋" w:eastAsia="仿宋" w:cs="仿宋"/>
          <w:color w:val="auto"/>
          <w:sz w:val="24"/>
          <w:lang w:eastAsia="zh-CN"/>
        </w:rPr>
        <w:t>；</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2.2.3供应商情况介绍；</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投标标的清单；</w:t>
      </w:r>
    </w:p>
    <w:p>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w:t>
      </w:r>
      <w:r>
        <w:rPr>
          <w:rFonts w:hint="eastAsia" w:ascii="仿宋" w:hAnsi="仿宋" w:eastAsia="仿宋" w:cs="仿宋"/>
          <w:color w:val="auto"/>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2.3.2投标项目报价明细表；</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w:t>
      </w:r>
      <w:r>
        <w:rPr>
          <w:rFonts w:hint="eastAsia" w:ascii="仿宋" w:hAnsi="仿宋" w:eastAsia="仿宋" w:cs="仿宋"/>
          <w:color w:val="auto"/>
          <w:sz w:val="24"/>
          <w:lang w:val="en-US" w:eastAsia="zh-CN"/>
        </w:rPr>
        <w:t>3</w:t>
      </w:r>
      <w:r>
        <w:rPr>
          <w:rFonts w:hint="eastAsia" w:ascii="仿宋" w:hAnsi="仿宋" w:eastAsia="仿宋" w:cs="仿宋"/>
          <w:color w:val="auto"/>
          <w:sz w:val="24"/>
        </w:rPr>
        <w:t>中小企业声明函（如果有）；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w:t>
      </w:r>
      <w:r>
        <w:rPr>
          <w:rFonts w:hint="eastAsia" w:ascii="仿宋" w:hAnsi="仿宋" w:eastAsia="仿宋" w:cs="仿宋"/>
          <w:color w:val="auto"/>
          <w:sz w:val="24"/>
          <w:lang w:val="en-US" w:eastAsia="zh-CN"/>
        </w:rPr>
        <w:t>4</w:t>
      </w:r>
      <w:r>
        <w:rPr>
          <w:rFonts w:hint="eastAsia" w:ascii="仿宋" w:hAnsi="仿宋" w:eastAsia="仿宋" w:cs="仿宋"/>
          <w:color w:val="auto"/>
          <w:sz w:val="24"/>
        </w:rPr>
        <w:t>投标人针对报价需要说明的其他文件和说明（格式自拟）</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u w:val="single"/>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hint="eastAsia" w:ascii="仿宋" w:hAnsi="仿宋" w:eastAsia="仿宋" w:cs="仿宋"/>
          <w:color w:val="auto"/>
        </w:rPr>
        <w:t xml:space="preserve">                               </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2023年台州市环境质量自动监测智能化建设项目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TZFD(2023)-1035号</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2023年台州市环境质量自动监测智能化建设项目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TZFD(2023)-1035号</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jc w:val="center"/>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148"/>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pPr>
              <w:pStyle w:val="148"/>
              <w:adjustRightInd w:val="0"/>
              <w:spacing w:line="360" w:lineRule="auto"/>
              <w:rPr>
                <w:rFonts w:hint="eastAsia" w:ascii="仿宋" w:hAnsi="仿宋" w:eastAsia="仿宋" w:cs="仿宋"/>
                <w:bCs/>
                <w:color w:val="auto"/>
                <w:sz w:val="24"/>
              </w:rPr>
            </w:pPr>
          </w:p>
        </w:tc>
      </w:tr>
    </w:tbl>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snapToGrid w:val="0"/>
        <w:spacing w:line="360" w:lineRule="auto"/>
        <w:ind w:right="480"/>
        <w:rPr>
          <w:rFonts w:hint="eastAsia" w:ascii="仿宋" w:hAnsi="仿宋" w:eastAsia="仿宋" w:cs="仿宋"/>
          <w:b/>
          <w:color w:val="auto"/>
          <w:kern w:val="0"/>
          <w:sz w:val="32"/>
          <w:szCs w:val="32"/>
        </w:rPr>
        <w:sectPr>
          <w:headerReference r:id="rId9" w:type="first"/>
          <w:footerReference r:id="rId11" w:type="first"/>
          <w:headerReference r:id="rId8" w:type="default"/>
          <w:footerReference r:id="rId10" w:type="default"/>
          <w:pgSz w:w="11905" w:h="16838"/>
          <w:pgMar w:top="1440" w:right="1083" w:bottom="1440" w:left="1083" w:header="567" w:footer="567" w:gutter="0"/>
          <w:cols w:space="0" w:num="1"/>
          <w:titlePg/>
          <w:rtlGutter w:val="0"/>
          <w:docGrid w:linePitch="312" w:charSpace="0"/>
        </w:sectPr>
      </w:pPr>
    </w:p>
    <w:p>
      <w:pPr>
        <w:widowControl/>
        <w:spacing w:line="360" w:lineRule="auto"/>
        <w:ind w:firstLine="161" w:firstLineChars="50"/>
        <w:jc w:val="center"/>
        <w:rPr>
          <w:rFonts w:hint="eastAsia" w:ascii="仿宋" w:hAnsi="仿宋" w:eastAsia="仿宋" w:cs="仿宋"/>
          <w:color w:val="auto"/>
          <w:sz w:val="24"/>
          <w:lang w:eastAsia="zh-CN"/>
        </w:rPr>
      </w:pPr>
      <w:r>
        <w:rPr>
          <w:rFonts w:hint="eastAsia" w:ascii="仿宋" w:hAnsi="仿宋" w:eastAsia="仿宋" w:cs="仿宋"/>
          <w:b/>
          <w:color w:val="auto"/>
          <w:kern w:val="0"/>
          <w:sz w:val="32"/>
          <w:szCs w:val="32"/>
        </w:rPr>
        <w:t>三、</w:t>
      </w:r>
      <w:r>
        <w:rPr>
          <w:rFonts w:hint="eastAsia" w:ascii="仿宋" w:hAnsi="仿宋" w:eastAsia="仿宋" w:cs="仿宋"/>
          <w:b/>
          <w:color w:val="auto"/>
          <w:kern w:val="0"/>
          <w:sz w:val="32"/>
          <w:szCs w:val="32"/>
          <w:lang w:eastAsia="zh-CN"/>
        </w:rPr>
        <w:t>供应商情况表</w:t>
      </w:r>
    </w:p>
    <w:p>
      <w:pPr>
        <w:snapToGrid w:val="0"/>
        <w:spacing w:line="360" w:lineRule="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见附件</w:t>
      </w:r>
    </w:p>
    <w:p>
      <w:pPr>
        <w:jc w:val="center"/>
        <w:rPr>
          <w:rFonts w:hint="eastAsia" w:ascii="仿宋" w:hAnsi="仿宋" w:eastAsia="仿宋" w:cs="仿宋"/>
          <w:color w:val="auto"/>
        </w:rPr>
      </w:pPr>
      <w:r>
        <w:rPr>
          <w:rFonts w:hint="eastAsia" w:ascii="仿宋" w:hAnsi="仿宋" w:eastAsia="仿宋" w:cs="仿宋"/>
          <w:b/>
          <w:color w:val="auto"/>
          <w:kern w:val="0"/>
          <w:sz w:val="32"/>
          <w:szCs w:val="32"/>
        </w:rPr>
        <w:t>四、评标标准相应的商务技术资料</w:t>
      </w:r>
    </w:p>
    <w:p>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五</w:t>
      </w:r>
      <w:r>
        <w:rPr>
          <w:rFonts w:hint="eastAsia" w:ascii="仿宋" w:hAnsi="仿宋" w:eastAsia="仿宋" w:cs="仿宋"/>
          <w:b/>
          <w:color w:val="auto"/>
          <w:kern w:val="0"/>
          <w:sz w:val="32"/>
          <w:szCs w:val="32"/>
        </w:rPr>
        <w:t>、投标标的清单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14"/>
        <w:gridCol w:w="1650"/>
        <w:gridCol w:w="228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2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bl>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六</w:t>
      </w:r>
      <w:r>
        <w:rPr>
          <w:rFonts w:hint="eastAsia" w:ascii="仿宋" w:hAnsi="仿宋" w:eastAsia="仿宋" w:cs="仿宋"/>
          <w:b/>
          <w:color w:val="auto"/>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bl>
    <w:p>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jc w:val="center"/>
        <w:rPr>
          <w:rFonts w:hint="eastAsia" w:ascii="仿宋" w:hAnsi="仿宋" w:eastAsia="仿宋" w:cs="仿宋"/>
          <w:b/>
          <w:color w:val="auto"/>
          <w:kern w:val="0"/>
          <w:sz w:val="32"/>
          <w:szCs w:val="32"/>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ind w:firstLine="1911" w:firstLineChars="595"/>
        <w:rPr>
          <w:rFonts w:hint="eastAsia" w:ascii="仿宋" w:hAnsi="仿宋" w:eastAsia="仿宋" w:cs="仿宋"/>
          <w:b/>
          <w:bCs/>
          <w:color w:val="auto"/>
          <w:sz w:val="32"/>
          <w:szCs w:val="32"/>
        </w:rPr>
      </w:pPr>
    </w:p>
    <w:p>
      <w:pPr>
        <w:ind w:firstLine="1911" w:firstLineChars="595"/>
        <w:rPr>
          <w:rFonts w:hint="eastAsia" w:ascii="仿宋" w:hAnsi="仿宋" w:eastAsia="仿宋" w:cs="仿宋"/>
          <w:b/>
          <w:bCs/>
          <w:color w:val="auto"/>
          <w:sz w:val="32"/>
          <w:szCs w:val="32"/>
        </w:rPr>
      </w:pPr>
    </w:p>
    <w:p>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pPr>
        <w:widowControl/>
        <w:adjustRightInd/>
        <w:jc w:val="center"/>
        <w:rPr>
          <w:rFonts w:hint="eastAsia" w:ascii="仿宋" w:hAnsi="仿宋" w:eastAsia="仿宋" w:cs="仿宋"/>
          <w:b/>
          <w:color w:val="auto"/>
          <w:sz w:val="18"/>
          <w:szCs w:val="18"/>
        </w:rPr>
      </w:pPr>
      <w:r>
        <w:rPr>
          <w:rFonts w:hint="eastAsia" w:ascii="仿宋" w:hAnsi="仿宋" w:eastAsia="仿宋" w:cs="仿宋"/>
          <w:b/>
          <w:bCs/>
          <w:color w:val="auto"/>
          <w:sz w:val="32"/>
          <w:szCs w:val="32"/>
          <w:lang w:eastAsia="zh-CN"/>
        </w:rPr>
        <w:t>七</w:t>
      </w:r>
      <w:r>
        <w:rPr>
          <w:rFonts w:hint="eastAsia" w:ascii="仿宋" w:hAnsi="仿宋" w:eastAsia="仿宋" w:cs="仿宋"/>
          <w:b/>
          <w:color w:val="auto"/>
          <w:kern w:val="0"/>
          <w:sz w:val="32"/>
          <w:szCs w:val="32"/>
        </w:rPr>
        <w:t>、</w:t>
      </w:r>
      <w:bookmarkStart w:id="419" w:name="_Toc21582_WPSOffice_Level1"/>
      <w:bookmarkStart w:id="420" w:name="_Toc3068_WPSOffice_Level1"/>
      <w:r>
        <w:rPr>
          <w:rFonts w:hint="eastAsia" w:ascii="仿宋" w:hAnsi="仿宋" w:eastAsia="仿宋" w:cs="仿宋"/>
          <w:b/>
          <w:color w:val="auto"/>
          <w:sz w:val="32"/>
          <w:szCs w:val="32"/>
        </w:rPr>
        <w:t>商务需求响应表</w:t>
      </w:r>
      <w:bookmarkEnd w:id="419"/>
      <w:bookmarkEnd w:id="420"/>
    </w:p>
    <w:tbl>
      <w:tblPr>
        <w:tblStyle w:val="64"/>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hint="eastAsia" w:ascii="仿宋" w:hAnsi="仿宋" w:eastAsia="仿宋" w:cs="仿宋"/>
                <w:b/>
                <w:color w:val="auto"/>
                <w:sz w:val="24"/>
              </w:rPr>
            </w:pPr>
            <w:r>
              <w:rPr>
                <w:rFonts w:hint="eastAsia" w:ascii="仿宋" w:hAnsi="仿宋" w:eastAsia="仿宋" w:cs="仿宋"/>
                <w:b/>
                <w:color w:val="auto"/>
                <w:sz w:val="24"/>
              </w:rPr>
              <w:t>序号</w:t>
            </w:r>
          </w:p>
        </w:tc>
        <w:tc>
          <w:tcPr>
            <w:tcW w:w="2587" w:type="dxa"/>
            <w:tcMar>
              <w:top w:w="57" w:type="dxa"/>
              <w:left w:w="108" w:type="dxa"/>
              <w:bottom w:w="0" w:type="dxa"/>
              <w:right w:w="108" w:type="dxa"/>
            </w:tcMar>
            <w:vAlign w:val="center"/>
          </w:tcPr>
          <w:p>
            <w:pPr>
              <w:rPr>
                <w:rFonts w:hint="eastAsia" w:ascii="仿宋" w:hAnsi="仿宋" w:eastAsia="仿宋" w:cs="仿宋"/>
                <w:b/>
                <w:color w:val="auto"/>
                <w:sz w:val="24"/>
              </w:rPr>
            </w:pPr>
            <w:r>
              <w:rPr>
                <w:rFonts w:hint="eastAsia" w:ascii="仿宋" w:hAnsi="仿宋" w:eastAsia="仿宋" w:cs="仿宋"/>
                <w:b/>
                <w:color w:val="auto"/>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hint="eastAsia" w:ascii="仿宋" w:hAnsi="仿宋" w:eastAsia="仿宋" w:cs="仿宋"/>
                <w:b/>
                <w:color w:val="auto"/>
                <w:sz w:val="24"/>
              </w:rPr>
            </w:pPr>
            <w:r>
              <w:rPr>
                <w:rFonts w:hint="eastAsia" w:ascii="仿宋" w:hAnsi="仿宋" w:eastAsia="仿宋" w:cs="仿宋"/>
                <w:b/>
                <w:color w:val="auto"/>
                <w:sz w:val="24"/>
              </w:rPr>
              <w:t>招标需求</w:t>
            </w:r>
          </w:p>
        </w:tc>
        <w:tc>
          <w:tcPr>
            <w:tcW w:w="1365" w:type="dxa"/>
            <w:tcMar>
              <w:top w:w="57" w:type="dxa"/>
              <w:left w:w="108" w:type="dxa"/>
              <w:bottom w:w="0" w:type="dxa"/>
              <w:right w:w="108" w:type="dxa"/>
            </w:tcMar>
            <w:vAlign w:val="center"/>
          </w:tcPr>
          <w:p>
            <w:pPr>
              <w:ind w:left="152"/>
              <w:rPr>
                <w:rFonts w:hint="eastAsia" w:ascii="仿宋" w:hAnsi="仿宋" w:eastAsia="仿宋" w:cs="仿宋"/>
                <w:b/>
                <w:color w:val="auto"/>
                <w:sz w:val="24"/>
              </w:rPr>
            </w:pPr>
            <w:r>
              <w:rPr>
                <w:rFonts w:hint="eastAsia" w:ascii="仿宋" w:hAnsi="仿宋" w:eastAsia="仿宋" w:cs="仿宋"/>
                <w:b/>
                <w:color w:val="auto"/>
                <w:sz w:val="24"/>
              </w:rPr>
              <w:t>是否响应</w:t>
            </w:r>
          </w:p>
        </w:tc>
        <w:tc>
          <w:tcPr>
            <w:tcW w:w="2633" w:type="dxa"/>
            <w:tcMar>
              <w:top w:w="57" w:type="dxa"/>
              <w:left w:w="108" w:type="dxa"/>
              <w:bottom w:w="0" w:type="dxa"/>
              <w:right w:w="108" w:type="dxa"/>
            </w:tcMar>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2587" w:type="dxa"/>
            <w:tcMar>
              <w:top w:w="57" w:type="dxa"/>
              <w:left w:w="108" w:type="dxa"/>
              <w:bottom w:w="0" w:type="dxa"/>
              <w:right w:w="108" w:type="dxa"/>
            </w:tcMar>
          </w:tcPr>
          <w:p>
            <w:pPr>
              <w:snapToGrid w:val="0"/>
              <w:rPr>
                <w:rFonts w:hint="eastAsia" w:ascii="仿宋" w:hAnsi="仿宋" w:eastAsia="仿宋" w:cs="仿宋"/>
                <w:color w:val="auto"/>
                <w:sz w:val="24"/>
              </w:rPr>
            </w:pPr>
            <w:r>
              <w:rPr>
                <w:rFonts w:hint="eastAsia" w:ascii="仿宋" w:hAnsi="仿宋" w:eastAsia="仿宋" w:cs="仿宋"/>
                <w:color w:val="auto"/>
                <w:sz w:val="24"/>
              </w:rPr>
              <w:t>售后服务保障要求</w:t>
            </w:r>
          </w:p>
        </w:tc>
        <w:tc>
          <w:tcPr>
            <w:tcW w:w="178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136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2633" w:type="dxa"/>
            <w:tcMar>
              <w:top w:w="57" w:type="dxa"/>
              <w:left w:w="108" w:type="dxa"/>
              <w:bottom w:w="0" w:type="dxa"/>
              <w:right w:w="108" w:type="dxa"/>
            </w:tcMar>
            <w:vAlign w:val="center"/>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2587" w:type="dxa"/>
            <w:tcMar>
              <w:top w:w="57" w:type="dxa"/>
              <w:left w:w="108" w:type="dxa"/>
              <w:bottom w:w="0" w:type="dxa"/>
              <w:right w:w="108" w:type="dxa"/>
            </w:tcMar>
          </w:tcPr>
          <w:p>
            <w:pPr>
              <w:snapToGrid w:val="0"/>
              <w:rPr>
                <w:rFonts w:hint="eastAsia" w:ascii="仿宋" w:hAnsi="仿宋" w:eastAsia="仿宋" w:cs="仿宋"/>
                <w:color w:val="auto"/>
                <w:sz w:val="24"/>
              </w:rPr>
            </w:pPr>
            <w:r>
              <w:rPr>
                <w:rFonts w:hint="eastAsia" w:ascii="仿宋" w:hAnsi="仿宋" w:eastAsia="仿宋" w:cs="仿宋"/>
                <w:color w:val="auto"/>
                <w:sz w:val="24"/>
              </w:rPr>
              <w:t>备品备件及耗材等要求</w:t>
            </w:r>
          </w:p>
        </w:tc>
        <w:tc>
          <w:tcPr>
            <w:tcW w:w="178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136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2633" w:type="dxa"/>
            <w:tcMar>
              <w:top w:w="57" w:type="dxa"/>
              <w:left w:w="108" w:type="dxa"/>
              <w:bottom w:w="0" w:type="dxa"/>
              <w:right w:w="108" w:type="dxa"/>
            </w:tcMar>
            <w:vAlign w:val="center"/>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2587" w:type="dxa"/>
            <w:tcMar>
              <w:top w:w="57" w:type="dxa"/>
              <w:left w:w="108" w:type="dxa"/>
              <w:bottom w:w="0" w:type="dxa"/>
              <w:right w:w="108" w:type="dxa"/>
            </w:tcMar>
          </w:tcPr>
          <w:p>
            <w:pPr>
              <w:snapToGrid w:val="0"/>
              <w:rPr>
                <w:rFonts w:hint="eastAsia" w:ascii="仿宋" w:hAnsi="仿宋" w:eastAsia="仿宋" w:cs="仿宋"/>
                <w:color w:val="auto"/>
                <w:sz w:val="24"/>
              </w:rPr>
            </w:pPr>
            <w:r>
              <w:rPr>
                <w:rFonts w:hint="eastAsia" w:ascii="仿宋" w:hAnsi="仿宋" w:eastAsia="仿宋" w:cs="仿宋"/>
                <w:color w:val="auto"/>
                <w:sz w:val="24"/>
              </w:rPr>
              <w:t>质保期</w:t>
            </w:r>
          </w:p>
        </w:tc>
        <w:tc>
          <w:tcPr>
            <w:tcW w:w="178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136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2633" w:type="dxa"/>
            <w:tcMar>
              <w:top w:w="57" w:type="dxa"/>
              <w:left w:w="108" w:type="dxa"/>
              <w:bottom w:w="0" w:type="dxa"/>
              <w:right w:w="108" w:type="dxa"/>
            </w:tcMar>
            <w:vAlign w:val="center"/>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2587" w:type="dxa"/>
            <w:tcMar>
              <w:top w:w="57" w:type="dxa"/>
              <w:left w:w="108" w:type="dxa"/>
              <w:bottom w:w="0" w:type="dxa"/>
              <w:right w:w="108" w:type="dxa"/>
            </w:tcMar>
          </w:tcPr>
          <w:p>
            <w:pPr>
              <w:snapToGrid w:val="0"/>
              <w:rPr>
                <w:rFonts w:hint="eastAsia" w:ascii="仿宋" w:hAnsi="仿宋" w:eastAsia="仿宋" w:cs="仿宋"/>
                <w:color w:val="auto"/>
                <w:sz w:val="24"/>
              </w:rPr>
            </w:pPr>
            <w:r>
              <w:rPr>
                <w:rFonts w:hint="eastAsia" w:ascii="仿宋" w:hAnsi="仿宋" w:eastAsia="仿宋" w:cs="仿宋"/>
                <w:color w:val="auto"/>
                <w:sz w:val="24"/>
              </w:rPr>
              <w:t>交货和服务</w:t>
            </w:r>
          </w:p>
          <w:p>
            <w:pPr>
              <w:snapToGrid w:val="0"/>
              <w:rPr>
                <w:rFonts w:hint="eastAsia" w:ascii="仿宋" w:hAnsi="仿宋" w:eastAsia="仿宋" w:cs="仿宋"/>
                <w:color w:val="auto"/>
                <w:sz w:val="24"/>
              </w:rPr>
            </w:pPr>
            <w:r>
              <w:rPr>
                <w:rFonts w:hint="eastAsia" w:ascii="仿宋" w:hAnsi="仿宋" w:eastAsia="仿宋" w:cs="仿宋"/>
                <w:color w:val="auto"/>
                <w:sz w:val="24"/>
              </w:rPr>
              <w:t>时间及地点</w:t>
            </w:r>
          </w:p>
        </w:tc>
        <w:tc>
          <w:tcPr>
            <w:tcW w:w="178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136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2633" w:type="dxa"/>
            <w:tcMar>
              <w:top w:w="57" w:type="dxa"/>
              <w:left w:w="108" w:type="dxa"/>
              <w:bottom w:w="0" w:type="dxa"/>
              <w:right w:w="108" w:type="dxa"/>
            </w:tcMar>
            <w:vAlign w:val="center"/>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2587" w:type="dxa"/>
            <w:tcMar>
              <w:top w:w="57" w:type="dxa"/>
              <w:left w:w="108" w:type="dxa"/>
              <w:bottom w:w="0" w:type="dxa"/>
              <w:right w:w="108" w:type="dxa"/>
            </w:tcMar>
          </w:tcPr>
          <w:p>
            <w:pPr>
              <w:snapToGrid w:val="0"/>
              <w:rPr>
                <w:rFonts w:hint="eastAsia" w:ascii="仿宋" w:hAnsi="仿宋" w:eastAsia="仿宋" w:cs="仿宋"/>
                <w:color w:val="auto"/>
                <w:sz w:val="24"/>
              </w:rPr>
            </w:pPr>
            <w:r>
              <w:rPr>
                <w:rFonts w:hint="eastAsia" w:ascii="仿宋" w:hAnsi="仿宋" w:eastAsia="仿宋" w:cs="仿宋"/>
                <w:color w:val="auto"/>
                <w:sz w:val="24"/>
              </w:rPr>
              <w:t>付款条件</w:t>
            </w:r>
          </w:p>
        </w:tc>
        <w:tc>
          <w:tcPr>
            <w:tcW w:w="178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136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2633" w:type="dxa"/>
            <w:tcMar>
              <w:top w:w="57" w:type="dxa"/>
              <w:left w:w="108" w:type="dxa"/>
              <w:bottom w:w="0" w:type="dxa"/>
              <w:right w:w="108" w:type="dxa"/>
            </w:tcMar>
            <w:vAlign w:val="center"/>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2587" w:type="dxa"/>
            <w:tcMar>
              <w:top w:w="57" w:type="dxa"/>
              <w:left w:w="108" w:type="dxa"/>
              <w:bottom w:w="0" w:type="dxa"/>
              <w:right w:w="108" w:type="dxa"/>
            </w:tcMar>
          </w:tcPr>
          <w:p>
            <w:pPr>
              <w:snapToGrid w:val="0"/>
              <w:rPr>
                <w:rFonts w:hint="eastAsia" w:ascii="仿宋" w:hAnsi="仿宋" w:eastAsia="仿宋" w:cs="仿宋"/>
                <w:color w:val="auto"/>
                <w:sz w:val="24"/>
              </w:rPr>
            </w:pPr>
            <w:r>
              <w:rPr>
                <w:rFonts w:hint="eastAsia" w:ascii="仿宋" w:hAnsi="仿宋" w:eastAsia="仿宋" w:cs="仿宋"/>
                <w:color w:val="auto"/>
                <w:sz w:val="24"/>
              </w:rPr>
              <w:t>……</w:t>
            </w:r>
          </w:p>
        </w:tc>
        <w:tc>
          <w:tcPr>
            <w:tcW w:w="178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136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2633" w:type="dxa"/>
            <w:tcMar>
              <w:top w:w="57" w:type="dxa"/>
              <w:left w:w="108" w:type="dxa"/>
              <w:bottom w:w="0" w:type="dxa"/>
              <w:right w:w="108" w:type="dxa"/>
            </w:tcMar>
            <w:vAlign w:val="center"/>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2587" w:type="dxa"/>
            <w:tcMar>
              <w:top w:w="57" w:type="dxa"/>
              <w:left w:w="108" w:type="dxa"/>
              <w:bottom w:w="0" w:type="dxa"/>
              <w:right w:w="108" w:type="dxa"/>
            </w:tcMar>
          </w:tcPr>
          <w:p>
            <w:pPr>
              <w:snapToGrid w:val="0"/>
              <w:rPr>
                <w:rFonts w:hint="eastAsia" w:ascii="仿宋" w:hAnsi="仿宋" w:eastAsia="仿宋" w:cs="仿宋"/>
                <w:color w:val="auto"/>
                <w:sz w:val="24"/>
              </w:rPr>
            </w:pPr>
          </w:p>
        </w:tc>
        <w:tc>
          <w:tcPr>
            <w:tcW w:w="178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136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2633" w:type="dxa"/>
            <w:tcMar>
              <w:top w:w="57" w:type="dxa"/>
              <w:left w:w="108" w:type="dxa"/>
              <w:bottom w:w="0" w:type="dxa"/>
              <w:right w:w="108" w:type="dxa"/>
            </w:tcMar>
            <w:vAlign w:val="center"/>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2587" w:type="dxa"/>
            <w:tcMar>
              <w:top w:w="57" w:type="dxa"/>
              <w:left w:w="108" w:type="dxa"/>
              <w:bottom w:w="0" w:type="dxa"/>
              <w:right w:w="108" w:type="dxa"/>
            </w:tcMar>
          </w:tcPr>
          <w:p>
            <w:pPr>
              <w:snapToGrid w:val="0"/>
              <w:rPr>
                <w:rFonts w:hint="eastAsia" w:ascii="仿宋" w:hAnsi="仿宋" w:eastAsia="仿宋" w:cs="仿宋"/>
                <w:color w:val="auto"/>
                <w:sz w:val="24"/>
              </w:rPr>
            </w:pPr>
          </w:p>
        </w:tc>
        <w:tc>
          <w:tcPr>
            <w:tcW w:w="178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1365" w:type="dxa"/>
            <w:tcMar>
              <w:top w:w="57" w:type="dxa"/>
              <w:left w:w="108" w:type="dxa"/>
              <w:bottom w:w="0" w:type="dxa"/>
              <w:right w:w="108" w:type="dxa"/>
            </w:tcMar>
            <w:vAlign w:val="center"/>
          </w:tcPr>
          <w:p>
            <w:pPr>
              <w:rPr>
                <w:rFonts w:hint="eastAsia" w:ascii="仿宋" w:hAnsi="仿宋" w:eastAsia="仿宋" w:cs="仿宋"/>
                <w:color w:val="auto"/>
                <w:sz w:val="24"/>
              </w:rPr>
            </w:pPr>
          </w:p>
        </w:tc>
        <w:tc>
          <w:tcPr>
            <w:tcW w:w="2633" w:type="dxa"/>
            <w:tcMar>
              <w:top w:w="57" w:type="dxa"/>
              <w:left w:w="108" w:type="dxa"/>
              <w:bottom w:w="0" w:type="dxa"/>
              <w:right w:w="108" w:type="dxa"/>
            </w:tcMar>
            <w:vAlign w:val="center"/>
          </w:tcPr>
          <w:p>
            <w:pPr>
              <w:rPr>
                <w:rFonts w:hint="eastAsia" w:ascii="仿宋" w:hAnsi="仿宋" w:eastAsia="仿宋" w:cs="仿宋"/>
                <w:color w:val="auto"/>
                <w:sz w:val="24"/>
              </w:rPr>
            </w:pPr>
          </w:p>
        </w:tc>
      </w:tr>
    </w:tbl>
    <w:p>
      <w:pPr>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ind w:firstLine="1911" w:firstLineChars="595"/>
        <w:rPr>
          <w:rFonts w:hint="eastAsia" w:ascii="仿宋" w:hAnsi="仿宋" w:eastAsia="仿宋" w:cs="仿宋"/>
          <w:b/>
          <w:bCs/>
          <w:color w:val="auto"/>
          <w:sz w:val="32"/>
          <w:szCs w:val="32"/>
        </w:rPr>
      </w:pPr>
    </w:p>
    <w:p>
      <w:pPr>
        <w:widowControl/>
        <w:adjustRightInd/>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pPr>
        <w:ind w:firstLine="1911" w:firstLineChars="595"/>
        <w:rPr>
          <w:rFonts w:hint="eastAsia" w:ascii="仿宋" w:hAnsi="仿宋" w:eastAsia="仿宋" w:cs="仿宋"/>
          <w:b/>
          <w:color w:val="auto"/>
          <w:kern w:val="0"/>
          <w:sz w:val="32"/>
          <w:szCs w:val="32"/>
        </w:rPr>
      </w:pPr>
      <w:r>
        <w:rPr>
          <w:rFonts w:hint="eastAsia" w:ascii="仿宋" w:hAnsi="仿宋" w:eastAsia="仿宋" w:cs="仿宋"/>
          <w:b/>
          <w:bCs/>
          <w:color w:val="auto"/>
          <w:sz w:val="32"/>
          <w:szCs w:val="32"/>
          <w:lang w:eastAsia="zh-CN"/>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jc w:val="center"/>
        <w:rPr>
          <w:rFonts w:hint="eastAsia" w:ascii="仿宋" w:hAnsi="仿宋" w:eastAsia="仿宋" w:cs="仿宋"/>
          <w:b/>
          <w:bCs/>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pacing w:line="360" w:lineRule="auto"/>
        <w:jc w:val="center"/>
        <w:rPr>
          <w:rFonts w:hint="eastAsia" w:ascii="仿宋" w:hAnsi="仿宋" w:eastAsia="仿宋" w:cs="仿宋"/>
          <w:b/>
          <w:bCs/>
          <w:color w:val="auto"/>
          <w:sz w:val="24"/>
        </w:rPr>
        <w:sectPr>
          <w:headerReference r:id="rId13" w:type="first"/>
          <w:footerReference r:id="rId15" w:type="first"/>
          <w:headerReference r:id="rId12" w:type="default"/>
          <w:footerReference r:id="rId14" w:type="default"/>
          <w:pgSz w:w="11905" w:h="16838"/>
          <w:pgMar w:top="1440" w:right="1083" w:bottom="1440" w:left="1083" w:header="567" w:footer="567" w:gutter="0"/>
          <w:cols w:space="0" w:num="1"/>
          <w:titlePg/>
          <w:rtlGutter w:val="0"/>
          <w:docGrid w:linePitch="312" w:charSpace="0"/>
        </w:sectPr>
      </w:pPr>
    </w:p>
    <w:p>
      <w:pPr>
        <w:spacing w:line="360" w:lineRule="auto"/>
        <w:jc w:val="center"/>
        <w:outlineLvl w:val="0"/>
        <w:rPr>
          <w:rFonts w:hint="eastAsia" w:ascii="仿宋" w:hAnsi="仿宋" w:eastAsia="仿宋" w:cs="仿宋"/>
          <w:b/>
          <w:color w:val="auto"/>
          <w:kern w:val="0"/>
          <w:sz w:val="36"/>
          <w:szCs w:val="36"/>
        </w:rPr>
      </w:pPr>
      <w:bookmarkStart w:id="421" w:name="_Toc8220"/>
      <w:r>
        <w:rPr>
          <w:rFonts w:hint="eastAsia" w:ascii="仿宋" w:hAnsi="仿宋" w:eastAsia="仿宋" w:cs="仿宋"/>
          <w:b/>
          <w:color w:val="auto"/>
          <w:kern w:val="0"/>
          <w:sz w:val="36"/>
          <w:szCs w:val="36"/>
        </w:rPr>
        <w:t>报价文件部分</w:t>
      </w:r>
      <w:bookmarkEnd w:id="421"/>
    </w:p>
    <w:p>
      <w:pPr>
        <w:spacing w:line="360" w:lineRule="auto"/>
        <w:jc w:val="center"/>
        <w:outlineLvl w:val="0"/>
        <w:rPr>
          <w:rFonts w:hint="eastAsia" w:ascii="仿宋" w:hAnsi="仿宋" w:eastAsia="仿宋" w:cs="仿宋"/>
          <w:b/>
          <w:color w:val="auto"/>
          <w:kern w:val="0"/>
          <w:sz w:val="36"/>
          <w:szCs w:val="36"/>
        </w:rPr>
      </w:pPr>
      <w:bookmarkStart w:id="422" w:name="_Toc4678"/>
      <w:r>
        <w:rPr>
          <w:rFonts w:hint="eastAsia" w:ascii="仿宋" w:hAnsi="仿宋" w:eastAsia="仿宋" w:cs="仿宋"/>
          <w:b/>
          <w:color w:val="auto"/>
          <w:kern w:val="0"/>
          <w:sz w:val="36"/>
          <w:szCs w:val="36"/>
        </w:rPr>
        <w:t>目录</w:t>
      </w:r>
      <w:bookmarkEnd w:id="422"/>
    </w:p>
    <w:p>
      <w:pPr>
        <w:spacing w:line="360" w:lineRule="auto"/>
        <w:jc w:val="center"/>
        <w:outlineLvl w:val="9"/>
        <w:rPr>
          <w:rFonts w:hint="eastAsia" w:ascii="仿宋" w:hAnsi="仿宋" w:eastAsia="仿宋" w:cs="仿宋"/>
          <w:b/>
          <w:color w:val="auto"/>
          <w:kern w:val="0"/>
          <w:sz w:val="36"/>
          <w:szCs w:val="36"/>
        </w:rPr>
      </w:pPr>
    </w:p>
    <w:p>
      <w:pPr>
        <w:numPr>
          <w:ilvl w:val="0"/>
          <w:numId w:val="3"/>
        </w:numPr>
        <w:snapToGrid w:val="0"/>
        <w:spacing w:line="360" w:lineRule="auto"/>
        <w:ind w:left="425" w:leftChars="0" w:hanging="425" w:firstLineChars="0"/>
        <w:rPr>
          <w:rFonts w:hint="eastAsia" w:ascii="仿宋" w:hAnsi="仿宋" w:eastAsia="仿宋" w:cs="仿宋"/>
          <w:color w:val="auto"/>
          <w:sz w:val="24"/>
        </w:rPr>
      </w:pPr>
      <w:r>
        <w:rPr>
          <w:rFonts w:hint="eastAsia" w:ascii="仿宋" w:hAnsi="仿宋" w:eastAsia="仿宋" w:cs="仿宋"/>
          <w:color w:val="auto"/>
          <w:sz w:val="24"/>
        </w:rPr>
        <w:t>开标一览表（报价表）………………………………………………………（页码）</w:t>
      </w:r>
    </w:p>
    <w:p>
      <w:pPr>
        <w:numPr>
          <w:ilvl w:val="0"/>
          <w:numId w:val="3"/>
        </w:numPr>
        <w:snapToGrid w:val="0"/>
        <w:spacing w:line="360" w:lineRule="auto"/>
        <w:ind w:left="425" w:leftChars="0" w:hanging="425" w:firstLineChars="0"/>
        <w:rPr>
          <w:rFonts w:hint="eastAsia" w:ascii="仿宋" w:hAnsi="仿宋" w:eastAsia="仿宋" w:cs="仿宋"/>
          <w:color w:val="auto"/>
          <w:sz w:val="24"/>
        </w:rPr>
      </w:pPr>
      <w:r>
        <w:rPr>
          <w:rFonts w:hint="eastAsia" w:ascii="仿宋" w:hAnsi="仿宋" w:eastAsia="仿宋" w:cs="仿宋"/>
          <w:color w:val="auto"/>
          <w:sz w:val="24"/>
        </w:rPr>
        <w:t>投标项目报价明细表…………………………………………………………（页码）</w:t>
      </w:r>
    </w:p>
    <w:p>
      <w:pPr>
        <w:numPr>
          <w:ilvl w:val="0"/>
          <w:numId w:val="3"/>
        </w:numPr>
        <w:snapToGrid w:val="0"/>
        <w:spacing w:line="360" w:lineRule="auto"/>
        <w:ind w:left="425" w:leftChars="0" w:hanging="425" w:firstLineChars="0"/>
        <w:rPr>
          <w:rFonts w:hint="eastAsia" w:ascii="仿宋" w:hAnsi="仿宋" w:eastAsia="仿宋" w:cs="仿宋"/>
          <w:color w:val="auto"/>
          <w:sz w:val="24"/>
        </w:rPr>
      </w:pPr>
      <w:r>
        <w:rPr>
          <w:rFonts w:hint="eastAsia" w:ascii="仿宋" w:hAnsi="仿宋" w:eastAsia="仿宋" w:cs="仿宋"/>
          <w:color w:val="auto"/>
          <w:sz w:val="24"/>
        </w:rPr>
        <w:t>中小企业声明函………………………………………………………………（页码）</w:t>
      </w:r>
    </w:p>
    <w:p>
      <w:pPr>
        <w:numPr>
          <w:ilvl w:val="0"/>
          <w:numId w:val="3"/>
        </w:numPr>
        <w:snapToGrid w:val="0"/>
        <w:spacing w:line="360" w:lineRule="auto"/>
        <w:ind w:left="425" w:leftChars="0" w:hanging="425" w:firstLineChars="0"/>
        <w:rPr>
          <w:rFonts w:hint="eastAsia" w:ascii="仿宋" w:hAnsi="仿宋" w:eastAsia="仿宋" w:cs="仿宋"/>
          <w:color w:val="auto"/>
          <w:sz w:val="24"/>
        </w:rPr>
      </w:pPr>
      <w:r>
        <w:rPr>
          <w:rFonts w:hint="eastAsia" w:ascii="仿宋" w:hAnsi="仿宋" w:eastAsia="仿宋" w:cs="仿宋"/>
          <w:color w:val="auto"/>
          <w:sz w:val="24"/>
        </w:rPr>
        <w:t>投标人针对报价需要说明的其他文件和说明………………………………（页码）</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7" w:type="first"/>
          <w:footerReference r:id="rId19" w:type="first"/>
          <w:headerReference r:id="rId16" w:type="default"/>
          <w:footerReference r:id="rId18" w:type="default"/>
          <w:pgSz w:w="11905" w:h="16838"/>
          <w:pgMar w:top="1440" w:right="1083" w:bottom="1440" w:left="1083" w:header="567" w:footer="567" w:gutter="0"/>
          <w:cols w:space="0" w:num="1"/>
          <w:titlePg/>
          <w:rtlGutter w:val="0"/>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bookmarkStart w:id="423" w:name="_Toc13350"/>
      <w:r>
        <w:rPr>
          <w:rFonts w:hint="eastAsia" w:ascii="仿宋" w:hAnsi="仿宋" w:eastAsia="仿宋" w:cs="仿宋"/>
          <w:color w:val="auto"/>
          <w:kern w:val="2"/>
          <w:sz w:val="32"/>
          <w:szCs w:val="32"/>
        </w:rPr>
        <w:t>一、开标一览表（报价表）</w:t>
      </w:r>
      <w:bookmarkEnd w:id="423"/>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lang w:eastAsia="zh-CN"/>
        </w:rPr>
        <w:t>2023年台州市环境质量自动监测智能化建设项目</w:t>
      </w:r>
      <w:r>
        <w:rPr>
          <w:rFonts w:hint="eastAsia" w:ascii="仿宋" w:hAnsi="仿宋" w:eastAsia="仿宋" w:cs="仿宋"/>
          <w:color w:val="auto"/>
          <w:kern w:val="0"/>
          <w:sz w:val="24"/>
          <w:lang w:val="zh-CN"/>
        </w:rPr>
        <w:t>【招标编号：</w:t>
      </w:r>
      <w:r>
        <w:rPr>
          <w:rFonts w:hint="eastAsia" w:ascii="仿宋" w:hAnsi="仿宋" w:eastAsia="仿宋" w:cs="仿宋"/>
          <w:color w:val="auto"/>
          <w:sz w:val="24"/>
          <w:lang w:eastAsia="zh-CN"/>
        </w:rPr>
        <w:t>TZFD(2023)-1035号</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开标一览表（报价表）(标项：</w:t>
      </w:r>
      <w:r>
        <w:rPr>
          <w:rFonts w:hint="eastAsia" w:ascii="仿宋" w:hAnsi="仿宋" w:eastAsia="仿宋" w:cs="仿宋"/>
          <w:b/>
          <w:color w:val="auto"/>
          <w:kern w:val="0"/>
          <w:sz w:val="24"/>
          <w:lang w:val="en-US" w:eastAsia="zh-CN"/>
        </w:rPr>
        <w:t xml:space="preserve">    </w:t>
      </w:r>
      <w:r>
        <w:rPr>
          <w:rFonts w:hint="eastAsia" w:ascii="仿宋" w:hAnsi="仿宋" w:eastAsia="仿宋" w:cs="仿宋"/>
          <w:b/>
          <w:color w:val="auto"/>
          <w:kern w:val="0"/>
          <w:sz w:val="24"/>
          <w:lang w:val="zh-CN"/>
        </w:rPr>
        <w:t>)</w:t>
      </w:r>
    </w:p>
    <w:tbl>
      <w:tblPr>
        <w:tblStyle w:val="64"/>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723"/>
        <w:gridCol w:w="4922"/>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color w:val="auto"/>
              </w:rPr>
            </w:pPr>
            <w:r>
              <w:rPr>
                <w:rFonts w:hint="eastAsia" w:ascii="仿宋" w:hAnsi="仿宋" w:eastAsia="仿宋" w:cs="仿宋"/>
                <w:b/>
                <w:bCs/>
                <w:color w:val="auto"/>
              </w:rPr>
              <w:t>序号</w:t>
            </w:r>
          </w:p>
        </w:tc>
        <w:tc>
          <w:tcPr>
            <w:tcW w:w="27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color w:val="auto"/>
              </w:rPr>
            </w:pPr>
            <w:r>
              <w:rPr>
                <w:rFonts w:hint="eastAsia" w:ascii="仿宋" w:hAnsi="仿宋" w:eastAsia="仿宋" w:cs="仿宋"/>
                <w:b/>
                <w:bCs/>
                <w:color w:val="auto"/>
              </w:rPr>
              <w:t>采购内容</w:t>
            </w:r>
          </w:p>
        </w:tc>
        <w:tc>
          <w:tcPr>
            <w:tcW w:w="49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color w:val="auto"/>
              </w:rPr>
            </w:pPr>
            <w:r>
              <w:rPr>
                <w:rFonts w:hint="eastAsia" w:ascii="仿宋" w:hAnsi="仿宋" w:eastAsia="仿宋"/>
                <w:b/>
                <w:color w:val="auto"/>
                <w:sz w:val="24"/>
              </w:rPr>
              <w:t>金   额</w:t>
            </w:r>
          </w:p>
        </w:tc>
        <w:tc>
          <w:tcPr>
            <w:tcW w:w="14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color w:val="auto"/>
              </w:rPr>
            </w:pPr>
            <w:r>
              <w:rPr>
                <w:rFonts w:hint="eastAsia" w:ascii="仿宋" w:hAnsi="仿宋" w:eastAsia="仿宋" w:cs="仿宋"/>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color w:val="auto"/>
              </w:rPr>
            </w:pPr>
            <w:r>
              <w:rPr>
                <w:rFonts w:hint="eastAsia" w:ascii="仿宋" w:hAnsi="仿宋" w:eastAsia="仿宋" w:cs="仿宋"/>
                <w:color w:val="auto"/>
              </w:rPr>
              <w:t>1</w:t>
            </w:r>
          </w:p>
        </w:tc>
        <w:tc>
          <w:tcPr>
            <w:tcW w:w="27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color w:val="auto"/>
              </w:rPr>
            </w:pPr>
            <w:r>
              <w:rPr>
                <w:rFonts w:hint="eastAsia" w:ascii="仿宋" w:hAnsi="仿宋" w:eastAsia="仿宋" w:cs="仿宋"/>
                <w:color w:val="auto"/>
                <w:sz w:val="24"/>
                <w:lang w:eastAsia="zh-CN"/>
              </w:rPr>
              <w:t>2023年台州市环境质量自动监测智能化建设项目</w:t>
            </w:r>
          </w:p>
        </w:tc>
        <w:tc>
          <w:tcPr>
            <w:tcW w:w="49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olor w:val="auto"/>
                <w:sz w:val="24"/>
                <w:lang w:eastAsia="zh-CN"/>
              </w:rPr>
            </w:pPr>
            <w:r>
              <w:rPr>
                <w:rFonts w:hint="eastAsia" w:ascii="仿宋" w:hAnsi="仿宋" w:eastAsia="仿宋"/>
                <w:color w:val="auto"/>
                <w:sz w:val="24"/>
              </w:rPr>
              <w:t>大写：</w:t>
            </w:r>
            <w:r>
              <w:rPr>
                <w:rFonts w:hint="eastAsia" w:ascii="仿宋" w:hAnsi="仿宋" w:eastAsia="仿宋"/>
                <w:color w:val="auto"/>
                <w:sz w:val="24"/>
                <w:lang w:eastAsia="zh-CN"/>
              </w:rPr>
              <w:t>人民币</w:t>
            </w:r>
            <w:r>
              <w:rPr>
                <w:rFonts w:hint="eastAsia" w:ascii="仿宋" w:hAnsi="仿宋" w:eastAsia="仿宋"/>
                <w:color w:val="auto"/>
                <w:sz w:val="24"/>
              </w:rPr>
              <w:t>______________________</w:t>
            </w:r>
            <w:r>
              <w:rPr>
                <w:rFonts w:hint="eastAsia" w:ascii="仿宋" w:hAnsi="仿宋" w:eastAsia="仿宋"/>
                <w:color w:val="auto"/>
                <w:sz w:val="24"/>
                <w:lang w:eastAsia="zh-CN"/>
              </w:rPr>
              <w:t>元整</w:t>
            </w:r>
          </w:p>
          <w:p>
            <w:pPr>
              <w:snapToGrid w:val="0"/>
              <w:spacing w:line="360" w:lineRule="auto"/>
              <w:rPr>
                <w:rFonts w:ascii="仿宋" w:hAnsi="仿宋" w:eastAsia="仿宋"/>
                <w:color w:val="auto"/>
                <w:sz w:val="24"/>
              </w:rPr>
            </w:pPr>
          </w:p>
          <w:p>
            <w:pPr>
              <w:snapToGrid w:val="0"/>
              <w:spacing w:line="360" w:lineRule="auto"/>
              <w:rPr>
                <w:rFonts w:ascii="仿宋" w:hAnsi="仿宋" w:eastAsia="仿宋"/>
                <w:color w:val="auto"/>
                <w:sz w:val="24"/>
              </w:rPr>
            </w:pPr>
          </w:p>
          <w:p>
            <w:pPr>
              <w:snapToGrid w:val="0"/>
              <w:spacing w:line="360" w:lineRule="auto"/>
              <w:rPr>
                <w:rFonts w:hint="eastAsia" w:ascii="仿宋" w:hAnsi="仿宋" w:eastAsia="仿宋"/>
                <w:color w:val="auto"/>
                <w:sz w:val="24"/>
                <w:lang w:eastAsia="zh-CN"/>
              </w:rPr>
            </w:pPr>
            <w:r>
              <w:rPr>
                <w:rFonts w:hint="eastAsia" w:ascii="仿宋" w:hAnsi="仿宋" w:eastAsia="仿宋"/>
                <w:color w:val="auto"/>
                <w:sz w:val="24"/>
              </w:rPr>
              <w:t>小写：</w:t>
            </w:r>
            <w:r>
              <w:rPr>
                <w:rFonts w:hint="eastAsia" w:ascii="仿宋" w:hAnsi="仿宋" w:eastAsia="仿宋"/>
                <w:color w:val="auto"/>
                <w:sz w:val="24"/>
                <w:lang w:val="en-US" w:eastAsia="zh-CN"/>
              </w:rPr>
              <w:t>¥</w:t>
            </w:r>
            <w:r>
              <w:rPr>
                <w:rFonts w:hint="eastAsia" w:ascii="仿宋" w:hAnsi="仿宋" w:eastAsia="仿宋"/>
                <w:color w:val="auto"/>
                <w:sz w:val="24"/>
              </w:rPr>
              <w:t>__________________________</w:t>
            </w:r>
            <w:r>
              <w:rPr>
                <w:rFonts w:hint="eastAsia" w:ascii="仿宋" w:hAnsi="仿宋" w:eastAsia="仿宋"/>
                <w:color w:val="auto"/>
                <w:sz w:val="24"/>
                <w:lang w:eastAsia="zh-CN"/>
              </w:rPr>
              <w:t>元</w:t>
            </w:r>
          </w:p>
          <w:p>
            <w:pPr>
              <w:spacing w:line="380" w:lineRule="exact"/>
              <w:jc w:val="center"/>
              <w:rPr>
                <w:rFonts w:ascii="仿宋" w:hAnsi="仿宋" w:eastAsia="仿宋" w:cs="仿宋"/>
                <w:color w:val="auto"/>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color w:val="auto"/>
              </w:rPr>
            </w:pPr>
          </w:p>
        </w:tc>
      </w:tr>
    </w:tbl>
    <w:p>
      <w:pPr>
        <w:spacing w:line="360" w:lineRule="auto"/>
        <w:jc w:val="center"/>
        <w:rPr>
          <w:rFonts w:hint="eastAsia" w:ascii="仿宋" w:hAnsi="仿宋" w:eastAsia="仿宋" w:cs="仿宋"/>
          <w:b/>
          <w:color w:val="auto"/>
          <w:kern w:val="0"/>
          <w:sz w:val="24"/>
          <w:lang w:val="zh-CN"/>
        </w:rPr>
      </w:pPr>
    </w:p>
    <w:p>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w:t>
      </w:r>
      <w:r>
        <w:rPr>
          <w:rFonts w:hint="eastAsia" w:ascii="仿宋" w:hAnsi="仿宋" w:eastAsia="仿宋" w:cs="仿宋"/>
          <w:color w:val="auto"/>
          <w:kern w:val="0"/>
          <w:sz w:val="24"/>
          <w:lang w:val="zh-CN"/>
        </w:rPr>
        <w:t>。</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br w:type="page"/>
      </w:r>
    </w:p>
    <w:p>
      <w:pPr>
        <w:adjustRightInd w:val="0"/>
        <w:snapToGrid w:val="0"/>
        <w:spacing w:beforeLines="100" w:afterLines="100" w:line="360" w:lineRule="auto"/>
        <w:ind w:right="105" w:rightChars="5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投标项目报价明细表</w:t>
      </w:r>
    </w:p>
    <w:p>
      <w:pPr>
        <w:adjustRightInd w:val="0"/>
        <w:snapToGrid w:val="0"/>
        <w:spacing w:line="360" w:lineRule="auto"/>
        <w:ind w:right="105" w:rightChars="50"/>
        <w:jc w:val="left"/>
        <w:rPr>
          <w:rFonts w:hint="eastAsia" w:ascii="仿宋" w:hAnsi="仿宋" w:eastAsia="仿宋" w:cs="仿宋"/>
          <w:b/>
          <w:bCs/>
          <w:color w:val="auto"/>
          <w:szCs w:val="21"/>
        </w:rPr>
      </w:pPr>
      <w:r>
        <w:rPr>
          <w:rFonts w:hint="eastAsia" w:ascii="仿宋" w:hAnsi="仿宋" w:eastAsia="仿宋" w:cs="仿宋"/>
          <w:b/>
          <w:bCs/>
          <w:color w:val="auto"/>
          <w:szCs w:val="21"/>
        </w:rPr>
        <w:t>报价单位：</w:t>
      </w:r>
    </w:p>
    <w:tbl>
      <w:tblPr>
        <w:tblStyle w:val="6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81"/>
        <w:gridCol w:w="1212"/>
        <w:gridCol w:w="1212"/>
        <w:gridCol w:w="845"/>
        <w:gridCol w:w="941"/>
        <w:gridCol w:w="791"/>
        <w:gridCol w:w="800"/>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653" w:type="dxa"/>
            <w:vAlign w:val="center"/>
          </w:tcPr>
          <w:p>
            <w:pPr>
              <w:adjustRightInd w:val="0"/>
              <w:snapToGrid w:val="0"/>
              <w:ind w:left="-97" w:leftChars="-46" w:right="-63" w:rightChars="-30"/>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581" w:type="dxa"/>
            <w:vAlign w:val="center"/>
          </w:tcPr>
          <w:p>
            <w:pPr>
              <w:adjustRightInd w:val="0"/>
              <w:snapToGrid w:val="0"/>
              <w:ind w:left="-97" w:leftChars="-46" w:right="-63" w:rightChars="-30"/>
              <w:jc w:val="center"/>
              <w:rPr>
                <w:rFonts w:hint="eastAsia" w:ascii="仿宋" w:hAnsi="仿宋" w:eastAsia="仿宋" w:cs="仿宋"/>
                <w:color w:val="auto"/>
                <w:szCs w:val="21"/>
              </w:rPr>
            </w:pPr>
            <w:r>
              <w:rPr>
                <w:rFonts w:hint="eastAsia" w:ascii="仿宋" w:hAnsi="仿宋" w:eastAsia="仿宋" w:cs="仿宋"/>
                <w:color w:val="auto"/>
                <w:szCs w:val="21"/>
              </w:rPr>
              <w:t>产品名称</w:t>
            </w:r>
          </w:p>
        </w:tc>
        <w:tc>
          <w:tcPr>
            <w:tcW w:w="1212" w:type="dxa"/>
            <w:vAlign w:val="center"/>
          </w:tcPr>
          <w:p>
            <w:pPr>
              <w:adjustRightInd w:val="0"/>
              <w:snapToGrid w:val="0"/>
              <w:ind w:left="-97" w:leftChars="-46" w:right="-63" w:rightChars="-30"/>
              <w:jc w:val="center"/>
              <w:rPr>
                <w:rFonts w:hint="eastAsia" w:ascii="仿宋" w:hAnsi="仿宋" w:eastAsia="仿宋" w:cs="仿宋"/>
                <w:color w:val="auto"/>
                <w:szCs w:val="21"/>
              </w:rPr>
            </w:pPr>
            <w:r>
              <w:rPr>
                <w:rFonts w:hint="eastAsia" w:ascii="仿宋" w:hAnsi="仿宋" w:eastAsia="仿宋" w:cs="仿宋"/>
                <w:color w:val="auto"/>
                <w:szCs w:val="21"/>
              </w:rPr>
              <w:t>品牌</w:t>
            </w:r>
          </w:p>
        </w:tc>
        <w:tc>
          <w:tcPr>
            <w:tcW w:w="1212" w:type="dxa"/>
            <w:vAlign w:val="center"/>
          </w:tcPr>
          <w:p>
            <w:pPr>
              <w:adjustRightInd w:val="0"/>
              <w:snapToGrid w:val="0"/>
              <w:ind w:left="-97" w:leftChars="-46" w:right="-63" w:rightChars="-30"/>
              <w:jc w:val="center"/>
              <w:rPr>
                <w:rFonts w:hint="eastAsia" w:ascii="仿宋" w:hAnsi="仿宋" w:eastAsia="仿宋" w:cs="仿宋"/>
                <w:color w:val="auto"/>
                <w:szCs w:val="21"/>
              </w:rPr>
            </w:pPr>
            <w:r>
              <w:rPr>
                <w:rFonts w:hint="eastAsia" w:ascii="仿宋" w:hAnsi="仿宋" w:eastAsia="仿宋" w:cs="仿宋"/>
                <w:color w:val="auto"/>
                <w:szCs w:val="21"/>
              </w:rPr>
              <w:t>型号</w:t>
            </w:r>
          </w:p>
          <w:p>
            <w:pPr>
              <w:adjustRightInd w:val="0"/>
              <w:snapToGrid w:val="0"/>
              <w:ind w:left="-97" w:leftChars="-46" w:right="-63" w:rightChars="-30"/>
              <w:jc w:val="center"/>
              <w:rPr>
                <w:rFonts w:hint="eastAsia" w:ascii="仿宋" w:hAnsi="仿宋" w:eastAsia="仿宋" w:cs="仿宋"/>
                <w:color w:val="auto"/>
                <w:szCs w:val="21"/>
              </w:rPr>
            </w:pPr>
            <w:r>
              <w:rPr>
                <w:rFonts w:hint="eastAsia" w:ascii="仿宋" w:hAnsi="仿宋" w:eastAsia="仿宋" w:cs="仿宋"/>
                <w:color w:val="auto"/>
                <w:szCs w:val="21"/>
              </w:rPr>
              <w:t>规格</w:t>
            </w:r>
          </w:p>
        </w:tc>
        <w:tc>
          <w:tcPr>
            <w:tcW w:w="845" w:type="dxa"/>
            <w:vAlign w:val="center"/>
          </w:tcPr>
          <w:p>
            <w:pPr>
              <w:adjustRightInd w:val="0"/>
              <w:snapToGrid w:val="0"/>
              <w:ind w:left="-97" w:leftChars="-46" w:right="-63" w:rightChars="-30"/>
              <w:jc w:val="center"/>
              <w:rPr>
                <w:rFonts w:hint="eastAsia" w:ascii="仿宋" w:hAnsi="仿宋" w:eastAsia="仿宋" w:cs="仿宋"/>
                <w:color w:val="auto"/>
                <w:szCs w:val="21"/>
              </w:rPr>
            </w:pPr>
            <w:r>
              <w:rPr>
                <w:rFonts w:hint="eastAsia" w:ascii="仿宋" w:hAnsi="仿宋" w:eastAsia="仿宋" w:cs="仿宋"/>
                <w:color w:val="auto"/>
                <w:szCs w:val="21"/>
              </w:rPr>
              <w:t>数量</w:t>
            </w:r>
          </w:p>
        </w:tc>
        <w:tc>
          <w:tcPr>
            <w:tcW w:w="941" w:type="dxa"/>
            <w:vAlign w:val="center"/>
          </w:tcPr>
          <w:p>
            <w:pPr>
              <w:adjustRightInd w:val="0"/>
              <w:snapToGrid w:val="0"/>
              <w:ind w:left="-97" w:leftChars="-46" w:right="-63" w:rightChars="-30"/>
              <w:jc w:val="center"/>
              <w:rPr>
                <w:rFonts w:hint="eastAsia" w:ascii="仿宋" w:hAnsi="仿宋" w:eastAsia="仿宋" w:cs="仿宋"/>
                <w:color w:val="auto"/>
                <w:szCs w:val="21"/>
              </w:rPr>
            </w:pPr>
            <w:r>
              <w:rPr>
                <w:rFonts w:hint="eastAsia" w:ascii="仿宋" w:hAnsi="仿宋" w:eastAsia="仿宋" w:cs="仿宋"/>
                <w:color w:val="auto"/>
                <w:szCs w:val="21"/>
              </w:rPr>
              <w:t>制造商名称</w:t>
            </w:r>
          </w:p>
        </w:tc>
        <w:tc>
          <w:tcPr>
            <w:tcW w:w="791" w:type="dxa"/>
            <w:vAlign w:val="center"/>
          </w:tcPr>
          <w:p>
            <w:pPr>
              <w:adjustRightInd w:val="0"/>
              <w:snapToGrid w:val="0"/>
              <w:ind w:left="-97" w:leftChars="-46" w:right="-63" w:rightChars="-30"/>
              <w:jc w:val="center"/>
              <w:rPr>
                <w:rFonts w:hint="eastAsia" w:ascii="仿宋" w:hAnsi="仿宋" w:eastAsia="仿宋" w:cs="仿宋"/>
                <w:color w:val="auto"/>
                <w:szCs w:val="21"/>
              </w:rPr>
            </w:pPr>
            <w:r>
              <w:rPr>
                <w:rFonts w:hint="eastAsia" w:ascii="仿宋" w:hAnsi="仿宋" w:eastAsia="仿宋" w:cs="仿宋"/>
                <w:color w:val="auto"/>
                <w:szCs w:val="21"/>
              </w:rPr>
              <w:t>单价</w:t>
            </w:r>
          </w:p>
        </w:tc>
        <w:tc>
          <w:tcPr>
            <w:tcW w:w="800" w:type="dxa"/>
            <w:vAlign w:val="center"/>
          </w:tcPr>
          <w:p>
            <w:pPr>
              <w:adjustRightInd w:val="0"/>
              <w:snapToGrid w:val="0"/>
              <w:ind w:left="-97" w:leftChars="-46" w:right="-63" w:rightChars="-30"/>
              <w:jc w:val="center"/>
              <w:rPr>
                <w:rFonts w:hint="eastAsia" w:ascii="仿宋" w:hAnsi="仿宋" w:eastAsia="仿宋" w:cs="仿宋"/>
                <w:color w:val="auto"/>
                <w:szCs w:val="21"/>
              </w:rPr>
            </w:pPr>
            <w:r>
              <w:rPr>
                <w:rFonts w:hint="eastAsia" w:ascii="仿宋" w:hAnsi="仿宋" w:eastAsia="仿宋" w:cs="仿宋"/>
                <w:color w:val="auto"/>
                <w:szCs w:val="21"/>
              </w:rPr>
              <w:t>总价</w:t>
            </w:r>
          </w:p>
        </w:tc>
        <w:tc>
          <w:tcPr>
            <w:tcW w:w="941" w:type="dxa"/>
            <w:vAlign w:val="center"/>
          </w:tcPr>
          <w:p>
            <w:pPr>
              <w:adjustRightInd w:val="0"/>
              <w:snapToGrid w:val="0"/>
              <w:ind w:left="-97" w:leftChars="-46" w:right="-63" w:rightChars="-30"/>
              <w:jc w:val="center"/>
              <w:rPr>
                <w:rFonts w:hint="eastAsia" w:ascii="仿宋" w:hAnsi="仿宋" w:eastAsia="仿宋" w:cs="仿宋"/>
                <w:color w:val="auto"/>
                <w:szCs w:val="21"/>
              </w:rPr>
            </w:pPr>
            <w:r>
              <w:rPr>
                <w:rFonts w:hint="eastAsia" w:ascii="仿宋" w:hAnsi="仿宋" w:eastAsia="仿宋" w:cs="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3"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1581"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1212"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1212"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845"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941"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791"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800"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941" w:type="dxa"/>
            <w:vAlign w:val="center"/>
          </w:tcPr>
          <w:p>
            <w:pPr>
              <w:adjustRightInd w:val="0"/>
              <w:snapToGrid w:val="0"/>
              <w:ind w:left="-97" w:leftChars="-46" w:right="-63" w:rightChars="-30"/>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3"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1581"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1212"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1212"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845"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941"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791"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800"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941" w:type="dxa"/>
            <w:vAlign w:val="center"/>
          </w:tcPr>
          <w:p>
            <w:pPr>
              <w:adjustRightInd w:val="0"/>
              <w:snapToGrid w:val="0"/>
              <w:ind w:left="-97" w:leftChars="-46" w:right="-63" w:rightChars="-30"/>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3"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1581"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1212"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1212"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845"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941"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791"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800"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941" w:type="dxa"/>
            <w:vAlign w:val="center"/>
          </w:tcPr>
          <w:p>
            <w:pPr>
              <w:adjustRightInd w:val="0"/>
              <w:snapToGrid w:val="0"/>
              <w:ind w:left="-97" w:leftChars="-46" w:right="-63" w:rightChars="-30"/>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3"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1581"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1212"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1212"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845"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941"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791"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800"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941" w:type="dxa"/>
            <w:vAlign w:val="center"/>
          </w:tcPr>
          <w:p>
            <w:pPr>
              <w:adjustRightInd w:val="0"/>
              <w:snapToGrid w:val="0"/>
              <w:ind w:left="-97" w:leftChars="-46" w:right="-63" w:rightChars="-30"/>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3"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1581"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1212"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1212"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845"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941"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791"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800"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941" w:type="dxa"/>
            <w:vAlign w:val="center"/>
          </w:tcPr>
          <w:p>
            <w:pPr>
              <w:adjustRightInd w:val="0"/>
              <w:snapToGrid w:val="0"/>
              <w:ind w:left="-97" w:leftChars="-46" w:right="-63" w:rightChars="-30"/>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3"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1581"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1212"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1212"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845"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941"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791"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800" w:type="dxa"/>
            <w:vAlign w:val="center"/>
          </w:tcPr>
          <w:p>
            <w:pPr>
              <w:adjustRightInd w:val="0"/>
              <w:snapToGrid w:val="0"/>
              <w:ind w:left="-97" w:leftChars="-46" w:right="-63" w:rightChars="-30"/>
              <w:jc w:val="center"/>
              <w:rPr>
                <w:rFonts w:hint="eastAsia" w:ascii="仿宋" w:hAnsi="仿宋" w:eastAsia="仿宋" w:cs="仿宋"/>
                <w:color w:val="auto"/>
                <w:szCs w:val="21"/>
              </w:rPr>
            </w:pPr>
          </w:p>
        </w:tc>
        <w:tc>
          <w:tcPr>
            <w:tcW w:w="941" w:type="dxa"/>
            <w:vAlign w:val="center"/>
          </w:tcPr>
          <w:p>
            <w:pPr>
              <w:adjustRightInd w:val="0"/>
              <w:snapToGrid w:val="0"/>
              <w:ind w:left="-97" w:leftChars="-46" w:right="-63" w:rightChars="-30"/>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76" w:type="dxa"/>
            <w:gridSpan w:val="9"/>
            <w:vAlign w:val="center"/>
          </w:tcPr>
          <w:p>
            <w:pPr>
              <w:adjustRightInd w:val="0"/>
              <w:snapToGrid w:val="0"/>
              <w:ind w:right="105" w:rightChars="50"/>
              <w:jc w:val="center"/>
              <w:rPr>
                <w:rFonts w:hint="eastAsia" w:ascii="仿宋" w:hAnsi="仿宋" w:eastAsia="仿宋" w:cs="仿宋"/>
                <w:color w:val="auto"/>
                <w:szCs w:val="21"/>
              </w:rPr>
            </w:pPr>
            <w:r>
              <w:rPr>
                <w:rFonts w:hint="eastAsia" w:ascii="仿宋" w:hAnsi="仿宋" w:eastAsia="仿宋" w:cs="仿宋"/>
                <w:b/>
                <w:bCs/>
                <w:color w:val="auto"/>
                <w:szCs w:val="21"/>
              </w:rPr>
              <w:t>报价合计（人民币大写）：                      （￥         ）</w:t>
            </w:r>
          </w:p>
        </w:tc>
      </w:tr>
    </w:tbl>
    <w:p>
      <w:pPr>
        <w:adjustRightInd w:val="0"/>
        <w:snapToGrid w:val="0"/>
        <w:spacing w:line="360" w:lineRule="auto"/>
        <w:ind w:right="105" w:rightChars="50"/>
        <w:jc w:val="left"/>
        <w:rPr>
          <w:rFonts w:hint="eastAsia" w:ascii="仿宋" w:hAnsi="仿宋" w:eastAsia="仿宋" w:cs="仿宋"/>
          <w:color w:val="auto"/>
          <w:szCs w:val="21"/>
        </w:rPr>
      </w:pPr>
    </w:p>
    <w:p>
      <w:pPr>
        <w:adjustRightInd w:val="0"/>
        <w:snapToGrid w:val="0"/>
        <w:spacing w:line="360" w:lineRule="auto"/>
        <w:ind w:right="105" w:rightChars="50"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注：此表中，总价应和开标一览表的投标总价相一致。</w:t>
      </w: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pgSz w:w="11905" w:h="16838"/>
          <w:pgMar w:top="1440" w:right="1083" w:bottom="1440" w:left="1083" w:header="567" w:footer="567" w:gutter="0"/>
          <w:cols w:space="0" w:num="1"/>
          <w:titlePg/>
          <w:rtlGutter w:val="0"/>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rPr>
      </w:pPr>
      <w:bookmarkStart w:id="424" w:name="_Toc16541"/>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中小企业声明函（如果有）</w:t>
      </w:r>
      <w:bookmarkEnd w:id="424"/>
    </w:p>
    <w:p>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p>
    <w:p>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rPr>
      </w:pPr>
      <w:bookmarkStart w:id="425" w:name="_Toc29534"/>
      <w:r>
        <w:rPr>
          <w:rFonts w:hint="eastAsia" w:ascii="仿宋" w:hAnsi="仿宋" w:eastAsia="仿宋" w:cs="仿宋"/>
          <w:color w:val="auto"/>
        </w:rPr>
        <w:t>附件</w:t>
      </w:r>
      <w:bookmarkEnd w:id="425"/>
    </w:p>
    <w:p>
      <w:pPr>
        <w:spacing w:line="360" w:lineRule="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jc w:val="center"/>
        <w:rPr>
          <w:rFonts w:hint="eastAsia" w:ascii="仿宋" w:hAnsi="仿宋" w:eastAsia="仿宋" w:cs="仿宋"/>
          <w:b/>
          <w:color w:val="auto"/>
          <w:spacing w:val="6"/>
          <w:sz w:val="32"/>
          <w:szCs w:val="32"/>
        </w:rPr>
      </w:pPr>
      <w:bookmarkStart w:id="426" w:name="OLE_LINK14"/>
      <w:bookmarkStart w:id="427" w:name="OLE_LINK13"/>
      <w:r>
        <w:rPr>
          <w:rFonts w:hint="eastAsia" w:ascii="仿宋" w:hAnsi="仿宋" w:eastAsia="仿宋" w:cs="仿宋"/>
          <w:b/>
          <w:color w:val="auto"/>
          <w:spacing w:val="6"/>
          <w:sz w:val="32"/>
          <w:szCs w:val="32"/>
        </w:rPr>
        <w:t>残疾人福利性单位声明函</w:t>
      </w:r>
    </w:p>
    <w:bookmarkEnd w:id="426"/>
    <w:bookmarkEnd w:id="427"/>
    <w:p>
      <w:pPr>
        <w:spacing w:line="360" w:lineRule="auto"/>
        <w:rPr>
          <w:rFonts w:hint="eastAsia" w:ascii="仿宋" w:hAnsi="仿宋" w:eastAsia="仿宋" w:cs="仿宋"/>
          <w:b/>
          <w:color w:val="auto"/>
          <w:spacing w:val="6"/>
          <w:sz w:val="30"/>
          <w:szCs w:val="30"/>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lang w:eastAsia="zh-CN"/>
        </w:rPr>
        <w:t>2023年台州市环境质量自动监测智能化建设项目</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pPr>
        <w:spacing w:line="360" w:lineRule="auto"/>
        <w:ind w:firstLine="480" w:firstLineChars="200"/>
        <w:rPr>
          <w:rFonts w:hint="eastAsia" w:ascii="仿宋" w:hAnsi="仿宋" w:eastAsia="仿宋" w:cs="仿宋"/>
          <w:color w:val="auto"/>
          <w:sz w:val="24"/>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jc w:val="left"/>
        <w:outlineLvl w:val="0"/>
        <w:rPr>
          <w:rFonts w:hint="eastAsia" w:ascii="仿宋" w:hAnsi="仿宋" w:eastAsia="仿宋" w:cs="仿宋"/>
          <w:b/>
          <w:color w:val="auto"/>
          <w:sz w:val="36"/>
          <w:szCs w:val="20"/>
        </w:rPr>
      </w:pPr>
      <w:bookmarkStart w:id="428" w:name="_Toc1885"/>
      <w:r>
        <w:rPr>
          <w:rFonts w:hint="eastAsia" w:ascii="仿宋" w:hAnsi="仿宋" w:eastAsia="仿宋" w:cs="仿宋"/>
          <w:b/>
          <w:color w:val="auto"/>
          <w:spacing w:val="6"/>
          <w:sz w:val="32"/>
          <w:szCs w:val="32"/>
        </w:rPr>
        <w:t>附件2：</w:t>
      </w:r>
      <w:r>
        <w:rPr>
          <w:rFonts w:hint="eastAsia" w:ascii="仿宋" w:hAnsi="仿宋" w:eastAsia="仿宋" w:cs="仿宋"/>
          <w:b/>
          <w:color w:val="auto"/>
          <w:sz w:val="36"/>
          <w:szCs w:val="20"/>
        </w:rPr>
        <w:t>中小企业声明函</w:t>
      </w:r>
      <w:bookmarkEnd w:id="428"/>
    </w:p>
    <w:p>
      <w:pPr>
        <w:spacing w:line="360" w:lineRule="auto"/>
        <w:jc w:val="center"/>
        <w:rPr>
          <w:rFonts w:hint="eastAsia" w:ascii="仿宋" w:hAnsi="仿宋" w:eastAsia="仿宋" w:cs="仿宋"/>
          <w:color w:val="auto"/>
          <w:sz w:val="24"/>
          <w:u w:val="single"/>
        </w:rPr>
      </w:pPr>
    </w:p>
    <w:p>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中小企业声明函（货物）</w:t>
      </w:r>
    </w:p>
    <w:p>
      <w:pPr>
        <w:spacing w:line="360" w:lineRule="auto"/>
        <w:jc w:val="center"/>
        <w:rPr>
          <w:rFonts w:hint="eastAsia" w:ascii="仿宋" w:hAnsi="仿宋" w:eastAsia="仿宋" w:cs="仿宋"/>
          <w:b/>
          <w:sz w:val="32"/>
          <w:szCs w:val="32"/>
        </w:rPr>
      </w:pP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供应商名称（电子签名）：</w:t>
      </w:r>
    </w:p>
    <w:p>
      <w:pPr>
        <w:spacing w:line="360" w:lineRule="auto"/>
        <w:ind w:right="1120" w:firstLine="5160" w:firstLineChars="21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left"/>
        <w:rPr>
          <w:rFonts w:hint="eastAsia" w:ascii="仿宋" w:hAnsi="仿宋" w:eastAsia="仿宋" w:cs="仿宋"/>
          <w:b/>
          <w:color w:val="auto"/>
          <w:spacing w:val="6"/>
          <w:sz w:val="32"/>
          <w:szCs w:val="32"/>
        </w:rPr>
      </w:pPr>
    </w:p>
    <w:p>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pPr>
        <w:pStyle w:val="2"/>
        <w:jc w:val="both"/>
        <w:rPr>
          <w:rFonts w:hint="eastAsia" w:ascii="仿宋" w:hAnsi="仿宋" w:eastAsia="仿宋" w:cs="仿宋"/>
          <w:b/>
          <w:color w:val="auto"/>
          <w:kern w:val="0"/>
          <w:sz w:val="32"/>
          <w:szCs w:val="32"/>
        </w:rPr>
      </w:pPr>
      <w:r>
        <w:rPr>
          <w:rFonts w:hint="eastAsia" w:ascii="仿宋" w:hAnsi="仿宋" w:eastAsia="仿宋" w:cs="仿宋"/>
          <w:b/>
          <w:color w:val="auto"/>
          <w:spacing w:val="6"/>
          <w:sz w:val="32"/>
          <w:szCs w:val="32"/>
        </w:rPr>
        <w:t>附件3：</w:t>
      </w:r>
      <w:r>
        <w:rPr>
          <w:rFonts w:hint="eastAsia" w:ascii="仿宋" w:hAnsi="仿宋" w:eastAsia="仿宋" w:cs="仿宋"/>
          <w:b/>
          <w:color w:val="auto"/>
          <w:kern w:val="0"/>
          <w:sz w:val="32"/>
          <w:szCs w:val="32"/>
        </w:rPr>
        <w:t>供应商基本情况表</w:t>
      </w:r>
    </w:p>
    <w:p>
      <w:pPr>
        <w:pStyle w:val="2"/>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供应商基本情况表</w:t>
      </w:r>
    </w:p>
    <w:tbl>
      <w:tblPr>
        <w:tblStyle w:val="64"/>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774"/>
        <w:gridCol w:w="1443"/>
        <w:gridCol w:w="473"/>
        <w:gridCol w:w="826"/>
        <w:gridCol w:w="868"/>
        <w:gridCol w:w="434"/>
        <w:gridCol w:w="1009"/>
        <w:gridCol w:w="1028"/>
        <w:gridCol w:w="174"/>
        <w:gridCol w:w="676"/>
        <w:gridCol w:w="143"/>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4" w:type="dxa"/>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企业名称</w:t>
            </w:r>
          </w:p>
        </w:tc>
        <w:tc>
          <w:tcPr>
            <w:tcW w:w="4818" w:type="dxa"/>
            <w:gridSpan w:val="6"/>
            <w:noWrap w:val="0"/>
            <w:vAlign w:val="center"/>
          </w:tcPr>
          <w:p>
            <w:pPr>
              <w:spacing w:line="420" w:lineRule="exact"/>
              <w:jc w:val="center"/>
              <w:rPr>
                <w:rFonts w:hint="eastAsia" w:ascii="仿宋" w:hAnsi="仿宋" w:eastAsia="仿宋" w:cs="仿宋"/>
                <w:color w:val="auto"/>
              </w:rPr>
            </w:pPr>
          </w:p>
        </w:tc>
        <w:tc>
          <w:tcPr>
            <w:tcW w:w="2037" w:type="dxa"/>
            <w:gridSpan w:val="2"/>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法人代表</w:t>
            </w:r>
          </w:p>
        </w:tc>
        <w:tc>
          <w:tcPr>
            <w:tcW w:w="2439" w:type="dxa"/>
            <w:gridSpan w:val="4"/>
            <w:noWrap w:val="0"/>
            <w:vAlign w:val="center"/>
          </w:tcPr>
          <w:p>
            <w:pPr>
              <w:spacing w:line="42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地址</w:t>
            </w:r>
          </w:p>
        </w:tc>
        <w:tc>
          <w:tcPr>
            <w:tcW w:w="4818" w:type="dxa"/>
            <w:gridSpan w:val="6"/>
            <w:noWrap w:val="0"/>
            <w:vAlign w:val="center"/>
          </w:tcPr>
          <w:p>
            <w:pPr>
              <w:spacing w:line="420" w:lineRule="exact"/>
              <w:jc w:val="center"/>
              <w:rPr>
                <w:rFonts w:hint="eastAsia" w:ascii="仿宋" w:hAnsi="仿宋" w:eastAsia="仿宋" w:cs="仿宋"/>
                <w:color w:val="auto"/>
              </w:rPr>
            </w:pPr>
          </w:p>
        </w:tc>
        <w:tc>
          <w:tcPr>
            <w:tcW w:w="2037" w:type="dxa"/>
            <w:gridSpan w:val="2"/>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企业性质</w:t>
            </w:r>
          </w:p>
        </w:tc>
        <w:tc>
          <w:tcPr>
            <w:tcW w:w="2439" w:type="dxa"/>
            <w:gridSpan w:val="4"/>
            <w:noWrap w:val="0"/>
            <w:vAlign w:val="center"/>
          </w:tcPr>
          <w:p>
            <w:pPr>
              <w:spacing w:line="42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股东姓名</w:t>
            </w:r>
          </w:p>
        </w:tc>
        <w:tc>
          <w:tcPr>
            <w:tcW w:w="774" w:type="dxa"/>
            <w:noWrap w:val="0"/>
            <w:vAlign w:val="center"/>
          </w:tcPr>
          <w:p>
            <w:pPr>
              <w:spacing w:line="420" w:lineRule="exact"/>
              <w:jc w:val="center"/>
              <w:rPr>
                <w:rFonts w:hint="eastAsia" w:ascii="仿宋" w:hAnsi="仿宋" w:eastAsia="仿宋" w:cs="仿宋"/>
                <w:color w:val="auto"/>
              </w:rPr>
            </w:pPr>
          </w:p>
        </w:tc>
        <w:tc>
          <w:tcPr>
            <w:tcW w:w="1443" w:type="dxa"/>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股权结构（%）</w:t>
            </w:r>
          </w:p>
        </w:tc>
        <w:tc>
          <w:tcPr>
            <w:tcW w:w="2601" w:type="dxa"/>
            <w:gridSpan w:val="4"/>
            <w:noWrap w:val="0"/>
            <w:vAlign w:val="center"/>
          </w:tcPr>
          <w:p>
            <w:pPr>
              <w:spacing w:line="420" w:lineRule="exact"/>
              <w:jc w:val="center"/>
              <w:rPr>
                <w:rFonts w:hint="eastAsia" w:ascii="仿宋" w:hAnsi="仿宋" w:eastAsia="仿宋" w:cs="仿宋"/>
                <w:color w:val="auto"/>
              </w:rPr>
            </w:pPr>
          </w:p>
        </w:tc>
        <w:tc>
          <w:tcPr>
            <w:tcW w:w="2037" w:type="dxa"/>
            <w:gridSpan w:val="2"/>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股东关系</w:t>
            </w:r>
          </w:p>
        </w:tc>
        <w:tc>
          <w:tcPr>
            <w:tcW w:w="2439" w:type="dxa"/>
            <w:gridSpan w:val="4"/>
            <w:noWrap w:val="0"/>
            <w:vAlign w:val="center"/>
          </w:tcPr>
          <w:p>
            <w:pPr>
              <w:spacing w:line="42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restart"/>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联系人姓名</w:t>
            </w:r>
          </w:p>
        </w:tc>
        <w:tc>
          <w:tcPr>
            <w:tcW w:w="774" w:type="dxa"/>
            <w:vMerge w:val="restart"/>
            <w:noWrap w:val="0"/>
            <w:vAlign w:val="center"/>
          </w:tcPr>
          <w:p>
            <w:pPr>
              <w:spacing w:line="420" w:lineRule="exact"/>
              <w:jc w:val="center"/>
              <w:rPr>
                <w:rFonts w:hint="eastAsia" w:ascii="仿宋" w:hAnsi="仿宋" w:eastAsia="仿宋" w:cs="仿宋"/>
                <w:color w:val="auto"/>
              </w:rPr>
            </w:pPr>
          </w:p>
        </w:tc>
        <w:tc>
          <w:tcPr>
            <w:tcW w:w="1443" w:type="dxa"/>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固定电话</w:t>
            </w:r>
          </w:p>
        </w:tc>
        <w:tc>
          <w:tcPr>
            <w:tcW w:w="2601" w:type="dxa"/>
            <w:gridSpan w:val="4"/>
            <w:noWrap w:val="0"/>
            <w:vAlign w:val="center"/>
          </w:tcPr>
          <w:p>
            <w:pPr>
              <w:spacing w:line="420" w:lineRule="exact"/>
              <w:jc w:val="center"/>
              <w:rPr>
                <w:rFonts w:hint="eastAsia" w:ascii="仿宋" w:hAnsi="仿宋" w:eastAsia="仿宋" w:cs="仿宋"/>
                <w:color w:val="auto"/>
              </w:rPr>
            </w:pPr>
          </w:p>
        </w:tc>
        <w:tc>
          <w:tcPr>
            <w:tcW w:w="2037" w:type="dxa"/>
            <w:gridSpan w:val="2"/>
            <w:vMerge w:val="restart"/>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传真</w:t>
            </w:r>
          </w:p>
        </w:tc>
        <w:tc>
          <w:tcPr>
            <w:tcW w:w="2439" w:type="dxa"/>
            <w:gridSpan w:val="4"/>
            <w:vMerge w:val="restart"/>
            <w:noWrap w:val="0"/>
            <w:vAlign w:val="center"/>
          </w:tcPr>
          <w:p>
            <w:pPr>
              <w:spacing w:line="42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noWrap w:val="0"/>
            <w:vAlign w:val="center"/>
          </w:tcPr>
          <w:p>
            <w:pPr>
              <w:spacing w:line="420" w:lineRule="exact"/>
              <w:jc w:val="center"/>
              <w:rPr>
                <w:rFonts w:hint="eastAsia" w:ascii="仿宋" w:hAnsi="仿宋" w:eastAsia="仿宋" w:cs="仿宋"/>
                <w:color w:val="auto"/>
              </w:rPr>
            </w:pPr>
          </w:p>
        </w:tc>
        <w:tc>
          <w:tcPr>
            <w:tcW w:w="774" w:type="dxa"/>
            <w:vMerge w:val="continue"/>
            <w:noWrap w:val="0"/>
            <w:vAlign w:val="center"/>
          </w:tcPr>
          <w:p>
            <w:pPr>
              <w:spacing w:line="420" w:lineRule="exact"/>
              <w:jc w:val="center"/>
              <w:rPr>
                <w:rFonts w:hint="eastAsia" w:ascii="仿宋" w:hAnsi="仿宋" w:eastAsia="仿宋" w:cs="仿宋"/>
                <w:color w:val="auto"/>
              </w:rPr>
            </w:pPr>
          </w:p>
        </w:tc>
        <w:tc>
          <w:tcPr>
            <w:tcW w:w="1443" w:type="dxa"/>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手机</w:t>
            </w:r>
          </w:p>
        </w:tc>
        <w:tc>
          <w:tcPr>
            <w:tcW w:w="2601" w:type="dxa"/>
            <w:gridSpan w:val="4"/>
            <w:noWrap w:val="0"/>
            <w:vAlign w:val="center"/>
          </w:tcPr>
          <w:p>
            <w:pPr>
              <w:spacing w:line="420" w:lineRule="exact"/>
              <w:jc w:val="center"/>
              <w:rPr>
                <w:rFonts w:hint="eastAsia" w:ascii="仿宋" w:hAnsi="仿宋" w:eastAsia="仿宋" w:cs="仿宋"/>
                <w:color w:val="auto"/>
              </w:rPr>
            </w:pPr>
          </w:p>
        </w:tc>
        <w:tc>
          <w:tcPr>
            <w:tcW w:w="2037" w:type="dxa"/>
            <w:gridSpan w:val="2"/>
            <w:vMerge w:val="continue"/>
            <w:noWrap w:val="0"/>
            <w:vAlign w:val="center"/>
          </w:tcPr>
          <w:p>
            <w:pPr>
              <w:spacing w:line="420" w:lineRule="exact"/>
              <w:jc w:val="center"/>
              <w:rPr>
                <w:rFonts w:hint="eastAsia" w:ascii="仿宋" w:hAnsi="仿宋" w:eastAsia="仿宋" w:cs="仿宋"/>
                <w:color w:val="auto"/>
              </w:rPr>
            </w:pPr>
          </w:p>
        </w:tc>
        <w:tc>
          <w:tcPr>
            <w:tcW w:w="2439" w:type="dxa"/>
            <w:gridSpan w:val="4"/>
            <w:vMerge w:val="continue"/>
            <w:noWrap w:val="0"/>
            <w:vAlign w:val="center"/>
          </w:tcPr>
          <w:p>
            <w:pPr>
              <w:spacing w:line="42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04" w:type="dxa"/>
            <w:vMerge w:val="restart"/>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 xml:space="preserve">1. </w:t>
            </w:r>
          </w:p>
          <w:p>
            <w:pPr>
              <w:spacing w:line="420" w:lineRule="exact"/>
              <w:jc w:val="center"/>
              <w:rPr>
                <w:rFonts w:hint="eastAsia" w:ascii="仿宋" w:hAnsi="仿宋" w:eastAsia="仿宋" w:cs="仿宋"/>
                <w:color w:val="auto"/>
              </w:rPr>
            </w:pPr>
            <w:r>
              <w:rPr>
                <w:rFonts w:hint="eastAsia" w:ascii="仿宋" w:hAnsi="仿宋" w:eastAsia="仿宋" w:cs="仿宋"/>
                <w:color w:val="auto"/>
              </w:rPr>
              <w:t>企</w:t>
            </w:r>
          </w:p>
          <w:p>
            <w:pPr>
              <w:spacing w:line="420" w:lineRule="exact"/>
              <w:jc w:val="center"/>
              <w:rPr>
                <w:rFonts w:hint="eastAsia" w:ascii="仿宋" w:hAnsi="仿宋" w:eastAsia="仿宋" w:cs="仿宋"/>
                <w:color w:val="auto"/>
              </w:rPr>
            </w:pPr>
            <w:r>
              <w:rPr>
                <w:rFonts w:hint="eastAsia" w:ascii="仿宋" w:hAnsi="仿宋" w:eastAsia="仿宋" w:cs="仿宋"/>
                <w:color w:val="auto"/>
              </w:rPr>
              <w:t>业</w:t>
            </w:r>
          </w:p>
          <w:p>
            <w:pPr>
              <w:spacing w:line="420" w:lineRule="exact"/>
              <w:jc w:val="center"/>
              <w:rPr>
                <w:rFonts w:hint="eastAsia" w:ascii="仿宋" w:hAnsi="仿宋" w:eastAsia="仿宋" w:cs="仿宋"/>
                <w:color w:val="auto"/>
              </w:rPr>
            </w:pPr>
            <w:r>
              <w:rPr>
                <w:rFonts w:hint="eastAsia" w:ascii="仿宋" w:hAnsi="仿宋" w:eastAsia="仿宋" w:cs="仿宋"/>
                <w:color w:val="auto"/>
              </w:rPr>
              <w:t>概</w:t>
            </w:r>
          </w:p>
          <w:p>
            <w:pPr>
              <w:spacing w:line="420" w:lineRule="exact"/>
              <w:jc w:val="center"/>
              <w:rPr>
                <w:rFonts w:hint="eastAsia" w:ascii="仿宋" w:hAnsi="仿宋" w:eastAsia="仿宋" w:cs="仿宋"/>
                <w:color w:val="auto"/>
              </w:rPr>
            </w:pPr>
            <w:r>
              <w:rPr>
                <w:rFonts w:hint="eastAsia" w:ascii="仿宋" w:hAnsi="仿宋" w:eastAsia="仿宋" w:cs="仿宋"/>
                <w:color w:val="auto"/>
              </w:rPr>
              <w:t>况</w:t>
            </w:r>
          </w:p>
        </w:tc>
        <w:tc>
          <w:tcPr>
            <w:tcW w:w="774" w:type="dxa"/>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职工</w:t>
            </w:r>
          </w:p>
          <w:p>
            <w:pPr>
              <w:spacing w:line="420" w:lineRule="exact"/>
              <w:jc w:val="center"/>
              <w:rPr>
                <w:rFonts w:hint="eastAsia" w:ascii="仿宋" w:hAnsi="仿宋" w:eastAsia="仿宋" w:cs="仿宋"/>
                <w:color w:val="auto"/>
              </w:rPr>
            </w:pPr>
            <w:r>
              <w:rPr>
                <w:rFonts w:hint="eastAsia" w:ascii="仿宋" w:hAnsi="仿宋" w:eastAsia="仿宋" w:cs="仿宋"/>
                <w:color w:val="auto"/>
              </w:rPr>
              <w:t>人数</w:t>
            </w:r>
          </w:p>
        </w:tc>
        <w:tc>
          <w:tcPr>
            <w:tcW w:w="1443" w:type="dxa"/>
            <w:noWrap w:val="0"/>
            <w:vAlign w:val="center"/>
          </w:tcPr>
          <w:p>
            <w:pPr>
              <w:spacing w:line="420" w:lineRule="exact"/>
              <w:jc w:val="center"/>
              <w:rPr>
                <w:rFonts w:hint="eastAsia" w:ascii="仿宋" w:hAnsi="仿宋" w:eastAsia="仿宋" w:cs="仿宋"/>
                <w:color w:val="auto"/>
              </w:rPr>
            </w:pPr>
          </w:p>
        </w:tc>
        <w:tc>
          <w:tcPr>
            <w:tcW w:w="1299" w:type="dxa"/>
            <w:gridSpan w:val="2"/>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具备大专以上学历人数</w:t>
            </w:r>
          </w:p>
        </w:tc>
        <w:tc>
          <w:tcPr>
            <w:tcW w:w="1302" w:type="dxa"/>
            <w:gridSpan w:val="2"/>
            <w:noWrap w:val="0"/>
            <w:vAlign w:val="center"/>
          </w:tcPr>
          <w:p>
            <w:pPr>
              <w:spacing w:line="420" w:lineRule="exact"/>
              <w:jc w:val="center"/>
              <w:rPr>
                <w:rFonts w:hint="eastAsia" w:ascii="仿宋" w:hAnsi="仿宋" w:eastAsia="仿宋" w:cs="仿宋"/>
                <w:color w:val="auto"/>
              </w:rPr>
            </w:pPr>
          </w:p>
        </w:tc>
        <w:tc>
          <w:tcPr>
            <w:tcW w:w="2037" w:type="dxa"/>
            <w:gridSpan w:val="2"/>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国家授予技术职称人数</w:t>
            </w:r>
          </w:p>
        </w:tc>
        <w:tc>
          <w:tcPr>
            <w:tcW w:w="2439" w:type="dxa"/>
            <w:gridSpan w:val="4"/>
            <w:noWrap w:val="0"/>
            <w:vAlign w:val="center"/>
          </w:tcPr>
          <w:p>
            <w:pPr>
              <w:spacing w:line="42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04" w:type="dxa"/>
            <w:vMerge w:val="continue"/>
            <w:noWrap w:val="0"/>
            <w:vAlign w:val="center"/>
          </w:tcPr>
          <w:p>
            <w:pPr>
              <w:spacing w:line="420" w:lineRule="exact"/>
              <w:jc w:val="center"/>
              <w:rPr>
                <w:rFonts w:hint="eastAsia" w:ascii="仿宋" w:hAnsi="仿宋" w:eastAsia="仿宋" w:cs="仿宋"/>
                <w:color w:val="auto"/>
              </w:rPr>
            </w:pPr>
          </w:p>
        </w:tc>
        <w:tc>
          <w:tcPr>
            <w:tcW w:w="774" w:type="dxa"/>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占地</w:t>
            </w:r>
          </w:p>
          <w:p>
            <w:pPr>
              <w:spacing w:line="420" w:lineRule="exact"/>
              <w:jc w:val="center"/>
              <w:rPr>
                <w:rFonts w:hint="eastAsia" w:ascii="仿宋" w:hAnsi="仿宋" w:eastAsia="仿宋" w:cs="仿宋"/>
                <w:color w:val="auto"/>
              </w:rPr>
            </w:pPr>
            <w:r>
              <w:rPr>
                <w:rFonts w:hint="eastAsia" w:ascii="仿宋" w:hAnsi="仿宋" w:eastAsia="仿宋" w:cs="仿宋"/>
                <w:color w:val="auto"/>
              </w:rPr>
              <w:t>面积</w:t>
            </w:r>
          </w:p>
        </w:tc>
        <w:tc>
          <w:tcPr>
            <w:tcW w:w="1443" w:type="dxa"/>
            <w:noWrap w:val="0"/>
            <w:vAlign w:val="center"/>
          </w:tcPr>
          <w:p>
            <w:pPr>
              <w:spacing w:line="420" w:lineRule="exact"/>
              <w:jc w:val="center"/>
              <w:rPr>
                <w:rFonts w:hint="eastAsia" w:ascii="仿宋" w:hAnsi="仿宋" w:eastAsia="仿宋" w:cs="仿宋"/>
                <w:color w:val="auto"/>
              </w:rPr>
            </w:pPr>
          </w:p>
        </w:tc>
        <w:tc>
          <w:tcPr>
            <w:tcW w:w="1299" w:type="dxa"/>
            <w:gridSpan w:val="2"/>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建筑面积</w:t>
            </w:r>
          </w:p>
        </w:tc>
        <w:tc>
          <w:tcPr>
            <w:tcW w:w="1302" w:type="dxa"/>
            <w:gridSpan w:val="2"/>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平方米□自有□租赁</w:t>
            </w:r>
          </w:p>
        </w:tc>
        <w:tc>
          <w:tcPr>
            <w:tcW w:w="2037" w:type="dxa"/>
            <w:gridSpan w:val="2"/>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生产经营场所及场所的设施与设备</w:t>
            </w:r>
          </w:p>
        </w:tc>
        <w:tc>
          <w:tcPr>
            <w:tcW w:w="2439" w:type="dxa"/>
            <w:gridSpan w:val="4"/>
            <w:noWrap w:val="0"/>
            <w:vAlign w:val="center"/>
          </w:tcPr>
          <w:p>
            <w:pPr>
              <w:spacing w:line="42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noWrap w:val="0"/>
            <w:vAlign w:val="center"/>
          </w:tcPr>
          <w:p>
            <w:pPr>
              <w:spacing w:line="420" w:lineRule="exact"/>
              <w:jc w:val="center"/>
              <w:rPr>
                <w:rFonts w:hint="eastAsia" w:ascii="仿宋" w:hAnsi="仿宋" w:eastAsia="仿宋" w:cs="仿宋"/>
                <w:color w:val="auto"/>
              </w:rPr>
            </w:pPr>
          </w:p>
        </w:tc>
        <w:tc>
          <w:tcPr>
            <w:tcW w:w="774" w:type="dxa"/>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注册</w:t>
            </w:r>
          </w:p>
          <w:p>
            <w:pPr>
              <w:spacing w:line="420" w:lineRule="exact"/>
              <w:jc w:val="center"/>
              <w:rPr>
                <w:rFonts w:hint="eastAsia" w:ascii="仿宋" w:hAnsi="仿宋" w:eastAsia="仿宋" w:cs="仿宋"/>
                <w:color w:val="auto"/>
              </w:rPr>
            </w:pPr>
            <w:r>
              <w:rPr>
                <w:rFonts w:hint="eastAsia" w:ascii="仿宋" w:hAnsi="仿宋" w:eastAsia="仿宋" w:cs="仿宋"/>
                <w:color w:val="auto"/>
              </w:rPr>
              <w:t>资金</w:t>
            </w:r>
          </w:p>
        </w:tc>
        <w:tc>
          <w:tcPr>
            <w:tcW w:w="1443" w:type="dxa"/>
            <w:noWrap w:val="0"/>
            <w:vAlign w:val="center"/>
          </w:tcPr>
          <w:p>
            <w:pPr>
              <w:spacing w:line="420" w:lineRule="exact"/>
              <w:jc w:val="center"/>
              <w:rPr>
                <w:rFonts w:hint="eastAsia" w:ascii="仿宋" w:hAnsi="仿宋" w:eastAsia="仿宋" w:cs="仿宋"/>
                <w:color w:val="auto"/>
              </w:rPr>
            </w:pPr>
          </w:p>
        </w:tc>
        <w:tc>
          <w:tcPr>
            <w:tcW w:w="1299" w:type="dxa"/>
            <w:gridSpan w:val="2"/>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注册发证机关</w:t>
            </w:r>
          </w:p>
        </w:tc>
        <w:tc>
          <w:tcPr>
            <w:tcW w:w="3339" w:type="dxa"/>
            <w:gridSpan w:val="4"/>
            <w:noWrap w:val="0"/>
            <w:vAlign w:val="center"/>
          </w:tcPr>
          <w:p>
            <w:pPr>
              <w:spacing w:line="420" w:lineRule="exact"/>
              <w:jc w:val="center"/>
              <w:rPr>
                <w:rFonts w:hint="eastAsia" w:ascii="仿宋" w:hAnsi="仿宋" w:eastAsia="仿宋" w:cs="仿宋"/>
                <w:color w:val="auto"/>
              </w:rPr>
            </w:pPr>
          </w:p>
        </w:tc>
        <w:tc>
          <w:tcPr>
            <w:tcW w:w="850" w:type="dxa"/>
            <w:gridSpan w:val="2"/>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公司成立时间</w:t>
            </w:r>
          </w:p>
        </w:tc>
        <w:tc>
          <w:tcPr>
            <w:tcW w:w="1589" w:type="dxa"/>
            <w:gridSpan w:val="2"/>
            <w:noWrap w:val="0"/>
            <w:vAlign w:val="center"/>
          </w:tcPr>
          <w:p>
            <w:pPr>
              <w:spacing w:line="42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noWrap w:val="0"/>
            <w:vAlign w:val="center"/>
          </w:tcPr>
          <w:p>
            <w:pPr>
              <w:spacing w:line="420" w:lineRule="exact"/>
              <w:jc w:val="center"/>
              <w:rPr>
                <w:rFonts w:hint="eastAsia" w:ascii="仿宋" w:hAnsi="仿宋" w:eastAsia="仿宋" w:cs="仿宋"/>
                <w:color w:val="auto"/>
              </w:rPr>
            </w:pPr>
          </w:p>
        </w:tc>
        <w:tc>
          <w:tcPr>
            <w:tcW w:w="774" w:type="dxa"/>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核准经营范围</w:t>
            </w:r>
          </w:p>
        </w:tc>
        <w:tc>
          <w:tcPr>
            <w:tcW w:w="8520" w:type="dxa"/>
            <w:gridSpan w:val="11"/>
            <w:noWrap w:val="0"/>
            <w:vAlign w:val="center"/>
          </w:tcPr>
          <w:p>
            <w:pPr>
              <w:spacing w:line="42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noWrap w:val="0"/>
            <w:vAlign w:val="center"/>
          </w:tcPr>
          <w:p>
            <w:pPr>
              <w:spacing w:line="420" w:lineRule="exact"/>
              <w:jc w:val="center"/>
              <w:rPr>
                <w:rFonts w:hint="eastAsia" w:ascii="仿宋" w:hAnsi="仿宋" w:eastAsia="仿宋" w:cs="仿宋"/>
                <w:color w:val="auto"/>
              </w:rPr>
            </w:pPr>
          </w:p>
        </w:tc>
        <w:tc>
          <w:tcPr>
            <w:tcW w:w="9294" w:type="dxa"/>
            <w:gridSpan w:val="12"/>
            <w:noWrap w:val="0"/>
            <w:vAlign w:val="center"/>
          </w:tcPr>
          <w:p>
            <w:pPr>
              <w:spacing w:line="420" w:lineRule="exact"/>
              <w:rPr>
                <w:rFonts w:hint="eastAsia" w:ascii="仿宋" w:hAnsi="仿宋" w:eastAsia="仿宋" w:cs="仿宋"/>
                <w:color w:val="auto"/>
              </w:rPr>
            </w:pPr>
            <w:r>
              <w:rPr>
                <w:rFonts w:hint="eastAsia" w:ascii="仿宋" w:hAnsi="仿宋" w:eastAsia="仿宋" w:cs="仿宋"/>
                <w:color w:val="auto"/>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restart"/>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2.企业有关资质获证情况</w:t>
            </w:r>
          </w:p>
        </w:tc>
        <w:tc>
          <w:tcPr>
            <w:tcW w:w="2690" w:type="dxa"/>
            <w:gridSpan w:val="3"/>
            <w:vMerge w:val="restart"/>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产品生产许可证情况（对需获得生产许可证的产品要填写此栏）</w:t>
            </w:r>
          </w:p>
        </w:tc>
        <w:tc>
          <w:tcPr>
            <w:tcW w:w="1694" w:type="dxa"/>
            <w:gridSpan w:val="2"/>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产品名称</w:t>
            </w:r>
          </w:p>
        </w:tc>
        <w:tc>
          <w:tcPr>
            <w:tcW w:w="1443" w:type="dxa"/>
            <w:gridSpan w:val="2"/>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发证机关</w:t>
            </w:r>
          </w:p>
        </w:tc>
        <w:tc>
          <w:tcPr>
            <w:tcW w:w="1202" w:type="dxa"/>
            <w:gridSpan w:val="2"/>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编号</w:t>
            </w:r>
          </w:p>
        </w:tc>
        <w:tc>
          <w:tcPr>
            <w:tcW w:w="819" w:type="dxa"/>
            <w:gridSpan w:val="2"/>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发证时间</w:t>
            </w:r>
          </w:p>
        </w:tc>
        <w:tc>
          <w:tcPr>
            <w:tcW w:w="1446" w:type="dxa"/>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noWrap w:val="0"/>
            <w:vAlign w:val="center"/>
          </w:tcPr>
          <w:p>
            <w:pPr>
              <w:spacing w:line="420" w:lineRule="exact"/>
              <w:jc w:val="center"/>
              <w:rPr>
                <w:rFonts w:hint="eastAsia" w:ascii="仿宋" w:hAnsi="仿宋" w:eastAsia="仿宋" w:cs="仿宋"/>
                <w:color w:val="auto"/>
              </w:rPr>
            </w:pPr>
          </w:p>
        </w:tc>
        <w:tc>
          <w:tcPr>
            <w:tcW w:w="2690" w:type="dxa"/>
            <w:gridSpan w:val="3"/>
            <w:vMerge w:val="continue"/>
            <w:noWrap w:val="0"/>
            <w:vAlign w:val="center"/>
          </w:tcPr>
          <w:p>
            <w:pPr>
              <w:spacing w:line="420" w:lineRule="exact"/>
              <w:jc w:val="center"/>
              <w:rPr>
                <w:rFonts w:hint="eastAsia" w:ascii="仿宋" w:hAnsi="仿宋" w:eastAsia="仿宋" w:cs="仿宋"/>
                <w:color w:val="auto"/>
              </w:rPr>
            </w:pPr>
          </w:p>
        </w:tc>
        <w:tc>
          <w:tcPr>
            <w:tcW w:w="1694" w:type="dxa"/>
            <w:gridSpan w:val="2"/>
            <w:noWrap w:val="0"/>
            <w:vAlign w:val="center"/>
          </w:tcPr>
          <w:p>
            <w:pPr>
              <w:spacing w:line="420" w:lineRule="exact"/>
              <w:jc w:val="center"/>
              <w:rPr>
                <w:rFonts w:hint="eastAsia" w:ascii="仿宋" w:hAnsi="仿宋" w:eastAsia="仿宋" w:cs="仿宋"/>
                <w:color w:val="auto"/>
              </w:rPr>
            </w:pPr>
          </w:p>
        </w:tc>
        <w:tc>
          <w:tcPr>
            <w:tcW w:w="1443" w:type="dxa"/>
            <w:gridSpan w:val="2"/>
            <w:noWrap w:val="0"/>
            <w:vAlign w:val="center"/>
          </w:tcPr>
          <w:p>
            <w:pPr>
              <w:spacing w:line="420" w:lineRule="exact"/>
              <w:jc w:val="center"/>
              <w:rPr>
                <w:rFonts w:hint="eastAsia" w:ascii="仿宋" w:hAnsi="仿宋" w:eastAsia="仿宋" w:cs="仿宋"/>
                <w:color w:val="auto"/>
              </w:rPr>
            </w:pPr>
          </w:p>
        </w:tc>
        <w:tc>
          <w:tcPr>
            <w:tcW w:w="1202" w:type="dxa"/>
            <w:gridSpan w:val="2"/>
            <w:noWrap w:val="0"/>
            <w:vAlign w:val="center"/>
          </w:tcPr>
          <w:p>
            <w:pPr>
              <w:spacing w:line="420" w:lineRule="exact"/>
              <w:jc w:val="center"/>
              <w:rPr>
                <w:rFonts w:hint="eastAsia" w:ascii="仿宋" w:hAnsi="仿宋" w:eastAsia="仿宋" w:cs="仿宋"/>
                <w:color w:val="auto"/>
              </w:rPr>
            </w:pPr>
          </w:p>
        </w:tc>
        <w:tc>
          <w:tcPr>
            <w:tcW w:w="2265" w:type="dxa"/>
            <w:gridSpan w:val="3"/>
            <w:noWrap w:val="0"/>
            <w:vAlign w:val="center"/>
          </w:tcPr>
          <w:p>
            <w:pPr>
              <w:spacing w:line="42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noWrap w:val="0"/>
            <w:vAlign w:val="center"/>
          </w:tcPr>
          <w:p>
            <w:pPr>
              <w:spacing w:line="420" w:lineRule="exact"/>
              <w:jc w:val="center"/>
              <w:rPr>
                <w:rFonts w:hint="eastAsia" w:ascii="仿宋" w:hAnsi="仿宋" w:eastAsia="仿宋" w:cs="仿宋"/>
                <w:color w:val="auto"/>
              </w:rPr>
            </w:pPr>
          </w:p>
        </w:tc>
        <w:tc>
          <w:tcPr>
            <w:tcW w:w="2690" w:type="dxa"/>
            <w:gridSpan w:val="3"/>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企业通过质量体系、环保体系、计量等认证情况</w:t>
            </w:r>
          </w:p>
        </w:tc>
        <w:tc>
          <w:tcPr>
            <w:tcW w:w="6604" w:type="dxa"/>
            <w:gridSpan w:val="9"/>
            <w:noWrap w:val="0"/>
            <w:vAlign w:val="center"/>
          </w:tcPr>
          <w:p>
            <w:pPr>
              <w:spacing w:line="42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04" w:type="dxa"/>
            <w:vMerge w:val="continue"/>
            <w:noWrap w:val="0"/>
            <w:vAlign w:val="center"/>
          </w:tcPr>
          <w:p>
            <w:pPr>
              <w:spacing w:line="420" w:lineRule="exact"/>
              <w:jc w:val="center"/>
              <w:rPr>
                <w:rFonts w:hint="eastAsia" w:ascii="仿宋" w:hAnsi="仿宋" w:eastAsia="仿宋" w:cs="仿宋"/>
                <w:color w:val="auto"/>
              </w:rPr>
            </w:pPr>
          </w:p>
        </w:tc>
        <w:tc>
          <w:tcPr>
            <w:tcW w:w="2690" w:type="dxa"/>
            <w:gridSpan w:val="3"/>
            <w:noWrap w:val="0"/>
            <w:vAlign w:val="center"/>
          </w:tcPr>
          <w:p>
            <w:pPr>
              <w:spacing w:line="420" w:lineRule="exact"/>
              <w:jc w:val="center"/>
              <w:rPr>
                <w:rFonts w:hint="eastAsia" w:ascii="仿宋" w:hAnsi="仿宋" w:eastAsia="仿宋" w:cs="仿宋"/>
                <w:color w:val="auto"/>
              </w:rPr>
            </w:pPr>
            <w:r>
              <w:rPr>
                <w:rFonts w:hint="eastAsia" w:ascii="仿宋" w:hAnsi="仿宋" w:eastAsia="仿宋" w:cs="仿宋"/>
                <w:color w:val="auto"/>
              </w:rPr>
              <w:t>企业获得专利情况</w:t>
            </w:r>
          </w:p>
        </w:tc>
        <w:tc>
          <w:tcPr>
            <w:tcW w:w="6604" w:type="dxa"/>
            <w:gridSpan w:val="9"/>
            <w:noWrap w:val="0"/>
            <w:vAlign w:val="center"/>
          </w:tcPr>
          <w:p>
            <w:pPr>
              <w:spacing w:line="420" w:lineRule="exact"/>
              <w:jc w:val="center"/>
              <w:rPr>
                <w:rFonts w:hint="eastAsia" w:ascii="仿宋" w:hAnsi="仿宋" w:eastAsia="仿宋" w:cs="仿宋"/>
                <w:color w:val="auto"/>
              </w:rPr>
            </w:pPr>
          </w:p>
        </w:tc>
      </w:tr>
    </w:tbl>
    <w:p>
      <w:pPr>
        <w:rPr>
          <w:rFonts w:hint="eastAsia" w:ascii="仿宋" w:hAnsi="仿宋" w:eastAsia="仿宋" w:cs="仿宋"/>
          <w:b/>
          <w:color w:val="auto"/>
        </w:rPr>
      </w:pPr>
      <w:r>
        <w:rPr>
          <w:rFonts w:hint="eastAsia" w:ascii="仿宋" w:hAnsi="仿宋" w:eastAsia="仿宋" w:cs="仿宋"/>
          <w:b/>
          <w:color w:val="auto"/>
        </w:rPr>
        <w:t>要求：</w:t>
      </w:r>
    </w:p>
    <w:p>
      <w:pPr>
        <w:spacing w:line="400" w:lineRule="exact"/>
        <w:rPr>
          <w:rFonts w:hint="eastAsia" w:ascii="仿宋" w:hAnsi="仿宋" w:eastAsia="仿宋" w:cs="仿宋"/>
          <w:color w:val="auto"/>
        </w:rPr>
      </w:pPr>
      <w:r>
        <w:rPr>
          <w:rFonts w:hint="eastAsia" w:ascii="仿宋" w:hAnsi="仿宋" w:eastAsia="仿宋" w:cs="仿宋"/>
          <w:color w:val="auto"/>
        </w:rPr>
        <w:t>1.姓名栏必须将所有股东都统计在内，若非股份公司此行（第三行）无需填写；</w:t>
      </w:r>
    </w:p>
    <w:p>
      <w:pP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napToGrid w:val="0"/>
        <w:spacing w:line="360" w:lineRule="auto"/>
        <w:ind w:firstLine="5160" w:firstLineChars="215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rPr>
          <w:rFonts w:hint="eastAsia" w:ascii="仿宋" w:hAnsi="仿宋" w:eastAsia="仿宋" w:cs="仿宋"/>
          <w:b/>
          <w:color w:val="auto"/>
          <w:sz w:val="32"/>
          <w:szCs w:val="32"/>
        </w:rPr>
      </w:pPr>
    </w:p>
    <w:p>
      <w:pPr>
        <w:rPr>
          <w:rFonts w:hint="eastAsia" w:ascii="仿宋" w:hAnsi="仿宋" w:eastAsia="仿宋" w:cs="仿宋"/>
          <w:b/>
          <w:bCs w:val="0"/>
          <w:color w:val="auto"/>
          <w:spacing w:val="6"/>
          <w:kern w:val="2"/>
          <w:sz w:val="32"/>
          <w:szCs w:val="32"/>
          <w:lang w:val="en-US" w:eastAsia="zh-CN" w:bidi="ar-SA"/>
        </w:rPr>
      </w:pPr>
      <w:r>
        <w:rPr>
          <w:rFonts w:hint="eastAsia" w:ascii="仿宋" w:hAnsi="仿宋" w:eastAsia="仿宋" w:cs="仿宋"/>
          <w:b/>
          <w:bCs w:val="0"/>
          <w:color w:val="auto"/>
          <w:spacing w:val="6"/>
          <w:kern w:val="2"/>
          <w:sz w:val="32"/>
          <w:szCs w:val="32"/>
          <w:lang w:val="en-US" w:eastAsia="zh-CN" w:bidi="ar-SA"/>
        </w:rPr>
        <w:t>附件4</w:t>
      </w:r>
    </w:p>
    <w:p>
      <w:pPr>
        <w:pStyle w:val="966"/>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投标人类似项目</w:t>
      </w:r>
      <w:r>
        <w:rPr>
          <w:rFonts w:hint="eastAsia" w:ascii="仿宋" w:hAnsi="仿宋" w:eastAsia="仿宋" w:cs="仿宋"/>
          <w:b/>
          <w:color w:val="auto"/>
          <w:sz w:val="32"/>
          <w:szCs w:val="32"/>
          <w:lang w:eastAsia="zh-CN"/>
        </w:rPr>
        <w:t>业绩</w:t>
      </w:r>
      <w:r>
        <w:rPr>
          <w:rFonts w:hint="eastAsia" w:ascii="仿宋" w:hAnsi="仿宋" w:eastAsia="仿宋" w:cs="仿宋"/>
          <w:b/>
          <w:color w:val="auto"/>
          <w:sz w:val="32"/>
          <w:szCs w:val="32"/>
        </w:rPr>
        <w:t>一览表</w:t>
      </w:r>
    </w:p>
    <w:tbl>
      <w:tblPr>
        <w:tblStyle w:val="64"/>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项目</w:t>
            </w:r>
          </w:p>
          <w:p>
            <w:pPr>
              <w:autoSpaceDE w:val="0"/>
              <w:autoSpaceDN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合同</w:t>
            </w:r>
          </w:p>
          <w:p>
            <w:pPr>
              <w:autoSpaceDE w:val="0"/>
              <w:autoSpaceDN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金额</w:t>
            </w:r>
          </w:p>
          <w:p>
            <w:pPr>
              <w:autoSpaceDE w:val="0"/>
              <w:autoSpaceDN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rPr>
            </w:pPr>
          </w:p>
        </w:tc>
      </w:tr>
    </w:tbl>
    <w:p>
      <w:pPr>
        <w:pStyle w:val="966"/>
        <w:spacing w:line="360" w:lineRule="auto"/>
        <w:jc w:val="center"/>
        <w:rPr>
          <w:rFonts w:hint="eastAsia" w:ascii="仿宋" w:hAnsi="仿宋" w:eastAsia="仿宋" w:cs="仿宋"/>
          <w:b/>
          <w:color w:val="auto"/>
          <w:sz w:val="32"/>
          <w:szCs w:val="32"/>
        </w:rPr>
      </w:pPr>
    </w:p>
    <w:p>
      <w:pPr>
        <w:autoSpaceDE w:val="0"/>
        <w:autoSpaceDN w:val="0"/>
        <w:adjustRightInd w:val="0"/>
        <w:spacing w:beforeLines="50" w:line="360" w:lineRule="auto"/>
        <w:rPr>
          <w:rFonts w:hint="eastAsia" w:ascii="仿宋" w:hAnsi="仿宋" w:eastAsia="仿宋" w:cs="仿宋"/>
          <w:b/>
          <w:color w:val="auto"/>
          <w:szCs w:val="21"/>
        </w:rPr>
      </w:pPr>
      <w:r>
        <w:rPr>
          <w:rFonts w:hint="eastAsia" w:ascii="仿宋" w:hAnsi="仿宋" w:eastAsia="仿宋" w:cs="仿宋"/>
          <w:b/>
          <w:color w:val="auto"/>
          <w:szCs w:val="21"/>
        </w:rPr>
        <w:t>要求：</w:t>
      </w:r>
    </w:p>
    <w:p>
      <w:pPr>
        <w:autoSpaceDE w:val="0"/>
        <w:autoSpaceDN w:val="0"/>
        <w:adjustRightInd w:val="0"/>
        <w:spacing w:beforeLines="50" w:line="360" w:lineRule="auto"/>
        <w:ind w:firstLine="424" w:firstLineChars="202"/>
        <w:rPr>
          <w:rFonts w:hint="eastAsia" w:ascii="仿宋" w:hAnsi="仿宋" w:eastAsia="仿宋" w:cs="仿宋"/>
          <w:b/>
          <w:color w:val="auto"/>
          <w:szCs w:val="21"/>
        </w:rPr>
      </w:pPr>
      <w:r>
        <w:rPr>
          <w:rFonts w:hint="eastAsia" w:ascii="仿宋" w:hAnsi="仿宋" w:eastAsia="仿宋" w:cs="仿宋"/>
          <w:color w:val="auto"/>
          <w:szCs w:val="21"/>
        </w:rPr>
        <w:t>1.业绩证明应提供证明材料。</w:t>
      </w:r>
    </w:p>
    <w:p>
      <w:pPr>
        <w:spacing w:line="360" w:lineRule="auto"/>
        <w:ind w:firstLine="424" w:firstLineChars="202"/>
        <w:jc w:val="left"/>
        <w:rPr>
          <w:rFonts w:hint="eastAsia" w:ascii="仿宋" w:hAnsi="仿宋" w:eastAsia="仿宋" w:cs="仿宋"/>
          <w:color w:val="auto"/>
          <w:szCs w:val="21"/>
        </w:rPr>
      </w:pPr>
      <w:r>
        <w:rPr>
          <w:rFonts w:hint="eastAsia" w:ascii="仿宋" w:hAnsi="仿宋" w:eastAsia="仿宋" w:cs="仿宋"/>
          <w:color w:val="auto"/>
          <w:szCs w:val="21"/>
        </w:rPr>
        <w:t>2.投标人可按此表格式复制。</w:t>
      </w: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napToGrid w:val="0"/>
        <w:spacing w:line="360" w:lineRule="auto"/>
        <w:ind w:firstLine="5160" w:firstLineChars="215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rPr>
          <w:rFonts w:hint="eastAsia" w:ascii="仿宋" w:hAnsi="仿宋" w:eastAsia="仿宋" w:cs="仿宋"/>
          <w:b/>
          <w:bCs w:val="0"/>
          <w:color w:val="auto"/>
          <w:spacing w:val="6"/>
          <w:kern w:val="2"/>
          <w:sz w:val="32"/>
          <w:szCs w:val="32"/>
          <w:lang w:val="en-US" w:eastAsia="zh-CN" w:bidi="ar-SA"/>
        </w:rPr>
      </w:pPr>
      <w:r>
        <w:rPr>
          <w:rFonts w:hint="eastAsia" w:ascii="仿宋" w:hAnsi="仿宋" w:eastAsia="仿宋" w:cs="仿宋"/>
          <w:b/>
          <w:bCs w:val="0"/>
          <w:color w:val="auto"/>
          <w:spacing w:val="6"/>
          <w:kern w:val="2"/>
          <w:sz w:val="32"/>
          <w:szCs w:val="32"/>
          <w:lang w:val="en-US" w:eastAsia="zh-CN" w:bidi="ar-SA"/>
        </w:rPr>
        <w:br w:type="page"/>
      </w:r>
    </w:p>
    <w:p>
      <w:pPr>
        <w:pStyle w:val="2"/>
        <w:rPr>
          <w:rFonts w:hint="eastAsia" w:ascii="仿宋" w:hAnsi="仿宋" w:eastAsia="仿宋" w:cs="仿宋"/>
          <w:b/>
          <w:color w:val="auto"/>
          <w:sz w:val="32"/>
          <w:szCs w:val="32"/>
        </w:rPr>
      </w:pPr>
      <w:r>
        <w:rPr>
          <w:rFonts w:hint="eastAsia" w:ascii="仿宋" w:hAnsi="仿宋" w:eastAsia="仿宋" w:cs="仿宋"/>
          <w:b/>
          <w:bCs w:val="0"/>
          <w:color w:val="auto"/>
          <w:spacing w:val="6"/>
          <w:kern w:val="2"/>
          <w:sz w:val="32"/>
          <w:szCs w:val="32"/>
          <w:lang w:val="en-US" w:eastAsia="zh-CN" w:bidi="ar-SA"/>
        </w:rPr>
        <w:t>附件</w:t>
      </w:r>
      <w:r>
        <w:rPr>
          <w:rFonts w:hint="eastAsia" w:ascii="仿宋" w:eastAsia="仿宋" w:cs="仿宋"/>
          <w:b/>
          <w:bCs w:val="0"/>
          <w:color w:val="auto"/>
          <w:spacing w:val="6"/>
          <w:kern w:val="2"/>
          <w:sz w:val="32"/>
          <w:szCs w:val="32"/>
          <w:lang w:val="en-US" w:eastAsia="zh-CN" w:bidi="ar-SA"/>
        </w:rPr>
        <w:t>5</w:t>
      </w:r>
    </w:p>
    <w:p>
      <w:pPr>
        <w:pStyle w:val="967"/>
        <w:spacing w:line="360" w:lineRule="auto"/>
        <w:jc w:val="center"/>
        <w:rPr>
          <w:rFonts w:hint="eastAsia" w:ascii="仿宋" w:hAnsi="仿宋" w:eastAsia="仿宋" w:cs="仿宋"/>
          <w:b/>
          <w:color w:val="auto"/>
          <w:sz w:val="32"/>
          <w:szCs w:val="32"/>
        </w:rPr>
      </w:pPr>
      <w:bookmarkStart w:id="429" w:name="_Toc17604_WPSOffice_Level1"/>
      <w:bookmarkStart w:id="430" w:name="_Toc11030_WPSOffice_Level1"/>
      <w:r>
        <w:rPr>
          <w:rFonts w:hint="eastAsia" w:ascii="仿宋" w:hAnsi="仿宋" w:eastAsia="仿宋" w:cs="仿宋"/>
          <w:b/>
          <w:color w:val="auto"/>
          <w:sz w:val="32"/>
          <w:szCs w:val="32"/>
        </w:rPr>
        <w:t>证书一览表</w:t>
      </w:r>
      <w:bookmarkEnd w:id="429"/>
      <w:bookmarkEnd w:id="430"/>
    </w:p>
    <w:p>
      <w:pPr>
        <w:pStyle w:val="967"/>
        <w:spacing w:line="360" w:lineRule="auto"/>
        <w:jc w:val="center"/>
        <w:rPr>
          <w:rFonts w:hint="eastAsia" w:ascii="仿宋" w:hAnsi="仿宋" w:eastAsia="仿宋" w:cs="仿宋"/>
          <w:b/>
          <w:color w:val="auto"/>
          <w:sz w:val="32"/>
          <w:szCs w:val="32"/>
        </w:rPr>
      </w:pPr>
    </w:p>
    <w:tbl>
      <w:tblPr>
        <w:tblStyle w:val="64"/>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967"/>
              <w:jc w:val="center"/>
              <w:rPr>
                <w:rFonts w:hint="eastAsia" w:ascii="仿宋" w:hAnsi="仿宋" w:eastAsia="仿宋" w:cs="仿宋"/>
                <w:b/>
                <w:bCs/>
                <w:color w:val="auto"/>
                <w:szCs w:val="21"/>
              </w:rPr>
            </w:pPr>
            <w:r>
              <w:rPr>
                <w:rFonts w:hint="eastAsia" w:ascii="仿宋" w:hAnsi="仿宋" w:eastAsia="仿宋" w:cs="仿宋"/>
                <w:b/>
                <w:bCs/>
                <w:color w:val="auto"/>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967"/>
              <w:jc w:val="center"/>
              <w:rPr>
                <w:rFonts w:hint="eastAsia" w:ascii="仿宋" w:hAnsi="仿宋" w:eastAsia="仿宋" w:cs="仿宋"/>
                <w:b/>
                <w:bCs/>
                <w:color w:val="auto"/>
                <w:szCs w:val="21"/>
              </w:rPr>
            </w:pPr>
            <w:r>
              <w:rPr>
                <w:rFonts w:hint="eastAsia" w:ascii="仿宋" w:hAnsi="仿宋" w:eastAsia="仿宋" w:cs="仿宋"/>
                <w:b/>
                <w:bCs/>
                <w:color w:val="auto"/>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967"/>
              <w:jc w:val="center"/>
              <w:rPr>
                <w:rFonts w:hint="eastAsia" w:ascii="仿宋" w:hAnsi="仿宋" w:eastAsia="仿宋" w:cs="仿宋"/>
                <w:b/>
                <w:bCs/>
                <w:color w:val="auto"/>
                <w:szCs w:val="21"/>
              </w:rPr>
            </w:pPr>
            <w:r>
              <w:rPr>
                <w:rFonts w:hint="eastAsia" w:ascii="仿宋" w:hAnsi="仿宋" w:eastAsia="仿宋" w:cs="仿宋"/>
                <w:b/>
                <w:bCs/>
                <w:color w:val="auto"/>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967"/>
              <w:jc w:val="center"/>
              <w:rPr>
                <w:rFonts w:hint="eastAsia" w:ascii="仿宋" w:hAnsi="仿宋" w:eastAsia="仿宋" w:cs="仿宋"/>
                <w:b/>
                <w:bCs/>
                <w:color w:val="auto"/>
                <w:szCs w:val="21"/>
              </w:rPr>
            </w:pPr>
            <w:r>
              <w:rPr>
                <w:rFonts w:hint="eastAsia" w:ascii="仿宋" w:hAnsi="仿宋" w:eastAsia="仿宋" w:cs="仿宋"/>
                <w:b/>
                <w:bCs/>
                <w:color w:val="auto"/>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c>
          <w:tcPr>
            <w:tcW w:w="2258" w:type="dxa"/>
            <w:tcBorders>
              <w:top w:val="single" w:color="auto" w:sz="4" w:space="0"/>
            </w:tcBorders>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c>
          <w:tcPr>
            <w:tcW w:w="2260" w:type="dxa"/>
            <w:tcBorders>
              <w:top w:val="single" w:color="auto" w:sz="4" w:space="0"/>
            </w:tcBorders>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c>
          <w:tcPr>
            <w:tcW w:w="2258" w:type="dxa"/>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c>
          <w:tcPr>
            <w:tcW w:w="2260" w:type="dxa"/>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c>
          <w:tcPr>
            <w:tcW w:w="2359" w:type="dxa"/>
            <w:tcBorders>
              <w:right w:val="single" w:color="auto" w:sz="4" w:space="0"/>
            </w:tcBorders>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c>
          <w:tcPr>
            <w:tcW w:w="2258" w:type="dxa"/>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c>
          <w:tcPr>
            <w:tcW w:w="2260" w:type="dxa"/>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c>
          <w:tcPr>
            <w:tcW w:w="2359" w:type="dxa"/>
            <w:tcBorders>
              <w:right w:val="single" w:color="auto" w:sz="4" w:space="0"/>
            </w:tcBorders>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c>
          <w:tcPr>
            <w:tcW w:w="2258" w:type="dxa"/>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c>
          <w:tcPr>
            <w:tcW w:w="2260" w:type="dxa"/>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c>
          <w:tcPr>
            <w:tcW w:w="2359" w:type="dxa"/>
            <w:tcBorders>
              <w:right w:val="single" w:color="auto" w:sz="4" w:space="0"/>
            </w:tcBorders>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c>
          <w:tcPr>
            <w:tcW w:w="2258" w:type="dxa"/>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c>
          <w:tcPr>
            <w:tcW w:w="2260" w:type="dxa"/>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c>
          <w:tcPr>
            <w:tcW w:w="2359" w:type="dxa"/>
            <w:tcBorders>
              <w:right w:val="single" w:color="auto" w:sz="4" w:space="0"/>
            </w:tcBorders>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c>
          <w:tcPr>
            <w:tcW w:w="2258" w:type="dxa"/>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c>
          <w:tcPr>
            <w:tcW w:w="2260" w:type="dxa"/>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c>
          <w:tcPr>
            <w:tcW w:w="2359" w:type="dxa"/>
            <w:tcBorders>
              <w:right w:val="single" w:color="auto" w:sz="4" w:space="0"/>
            </w:tcBorders>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c>
          <w:tcPr>
            <w:tcW w:w="2258" w:type="dxa"/>
            <w:tcBorders>
              <w:bottom w:val="single" w:color="auto" w:sz="4" w:space="0"/>
            </w:tcBorders>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c>
          <w:tcPr>
            <w:tcW w:w="2260" w:type="dxa"/>
            <w:tcBorders>
              <w:bottom w:val="single" w:color="auto" w:sz="4" w:space="0"/>
            </w:tcBorders>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967"/>
              <w:spacing w:line="360" w:lineRule="auto"/>
              <w:jc w:val="center"/>
              <w:rPr>
                <w:rFonts w:hint="eastAsia" w:ascii="仿宋" w:hAnsi="仿宋" w:eastAsia="仿宋" w:cs="仿宋"/>
                <w:color w:val="auto"/>
                <w:szCs w:val="21"/>
              </w:rPr>
            </w:pPr>
          </w:p>
        </w:tc>
      </w:tr>
    </w:tbl>
    <w:p>
      <w:pPr>
        <w:pStyle w:val="967"/>
        <w:tabs>
          <w:tab w:val="left" w:pos="1050"/>
        </w:tabs>
        <w:spacing w:line="360" w:lineRule="auto"/>
        <w:rPr>
          <w:rFonts w:hint="eastAsia" w:ascii="仿宋" w:hAnsi="仿宋" w:eastAsia="仿宋" w:cs="仿宋"/>
          <w:color w:val="auto"/>
          <w:szCs w:val="21"/>
        </w:rPr>
      </w:pPr>
      <w:r>
        <w:rPr>
          <w:rFonts w:hint="eastAsia" w:ascii="仿宋" w:hAnsi="仿宋" w:eastAsia="仿宋" w:cs="仿宋"/>
          <w:b/>
          <w:color w:val="auto"/>
          <w:szCs w:val="21"/>
        </w:rPr>
        <w:t>要求：</w:t>
      </w:r>
    </w:p>
    <w:p>
      <w:pPr>
        <w:pStyle w:val="967"/>
        <w:tabs>
          <w:tab w:val="left" w:pos="1050"/>
        </w:tabs>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1.填写投标人获得资质、认证或企业信誉证书。</w:t>
      </w:r>
    </w:p>
    <w:p>
      <w:pPr>
        <w:pStyle w:val="967"/>
        <w:tabs>
          <w:tab w:val="left" w:pos="1050"/>
        </w:tabs>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2.附所列证书或其他证明材料。</w:t>
      </w:r>
    </w:p>
    <w:p>
      <w:pPr>
        <w:spacing w:line="360" w:lineRule="auto"/>
        <w:jc w:val="center"/>
        <w:rPr>
          <w:rFonts w:hint="eastAsia" w:ascii="仿宋" w:hAnsi="仿宋" w:eastAsia="仿宋" w:cs="仿宋"/>
          <w:b/>
          <w:color w:val="auto"/>
          <w:sz w:val="32"/>
          <w:szCs w:val="32"/>
        </w:rPr>
      </w:pPr>
    </w:p>
    <w:p>
      <w:pPr>
        <w:pStyle w:val="63"/>
        <w:rPr>
          <w:rFonts w:hint="eastAsia" w:ascii="仿宋" w:hAnsi="仿宋" w:eastAsia="仿宋" w:cs="仿宋"/>
          <w:color w:val="auto"/>
        </w:rPr>
      </w:pPr>
    </w:p>
    <w:p>
      <w:pPr>
        <w:snapToGrid w:val="0"/>
        <w:spacing w:line="360" w:lineRule="auto"/>
        <w:ind w:firstLine="5160" w:firstLineChars="215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rPr>
          <w:rFonts w:hint="eastAsia" w:ascii="仿宋" w:hAnsi="仿宋" w:eastAsia="仿宋" w:cs="仿宋"/>
          <w:bCs/>
          <w:color w:val="auto"/>
          <w:sz w:val="24"/>
        </w:rPr>
      </w:pPr>
      <w:r>
        <w:rPr>
          <w:rFonts w:hint="eastAsia" w:ascii="仿宋" w:hAnsi="仿宋" w:eastAsia="仿宋" w:cs="仿宋"/>
          <w:bCs/>
          <w:color w:val="auto"/>
          <w:sz w:val="24"/>
        </w:rPr>
        <w:br w:type="page"/>
      </w:r>
    </w:p>
    <w:p>
      <w:pPr>
        <w:pStyle w:val="2"/>
        <w:rPr>
          <w:rFonts w:hint="eastAsia" w:ascii="仿宋" w:hAnsi="仿宋" w:eastAsia="仿宋" w:cs="仿宋"/>
          <w:b/>
          <w:bCs w:val="0"/>
          <w:color w:val="auto"/>
          <w:spacing w:val="6"/>
          <w:kern w:val="2"/>
          <w:sz w:val="32"/>
          <w:szCs w:val="32"/>
          <w:lang w:val="en-US" w:eastAsia="zh-CN" w:bidi="ar-SA"/>
        </w:rPr>
      </w:pPr>
      <w:r>
        <w:rPr>
          <w:rFonts w:hint="eastAsia" w:ascii="仿宋" w:hAnsi="仿宋" w:eastAsia="仿宋" w:cs="仿宋"/>
          <w:b/>
          <w:bCs w:val="0"/>
          <w:color w:val="auto"/>
          <w:spacing w:val="6"/>
          <w:kern w:val="2"/>
          <w:sz w:val="32"/>
          <w:szCs w:val="32"/>
          <w:lang w:val="en-US" w:eastAsia="zh-CN" w:bidi="ar-SA"/>
        </w:rPr>
        <w:t>附件</w:t>
      </w:r>
      <w:r>
        <w:rPr>
          <w:rFonts w:hint="eastAsia" w:ascii="仿宋" w:eastAsia="仿宋" w:cs="仿宋"/>
          <w:b/>
          <w:bCs w:val="0"/>
          <w:color w:val="auto"/>
          <w:spacing w:val="6"/>
          <w:kern w:val="2"/>
          <w:sz w:val="32"/>
          <w:szCs w:val="32"/>
          <w:lang w:val="en-US" w:eastAsia="zh-CN" w:bidi="ar-SA"/>
        </w:rPr>
        <w:t>6</w:t>
      </w:r>
    </w:p>
    <w:p>
      <w:pPr>
        <w:spacing w:beforeLines="50" w:afterLines="50" w:line="360" w:lineRule="auto"/>
        <w:ind w:right="-10"/>
        <w:jc w:val="center"/>
        <w:rPr>
          <w:rFonts w:hint="eastAsia" w:ascii="仿宋" w:hAnsi="仿宋" w:eastAsia="仿宋" w:cs="仿宋"/>
          <w:b/>
          <w:bCs/>
          <w:color w:val="auto"/>
          <w:sz w:val="32"/>
          <w:szCs w:val="32"/>
        </w:rPr>
      </w:pPr>
      <w:bookmarkStart w:id="431" w:name="_Toc23055_WPSOffice_Level1"/>
      <w:bookmarkStart w:id="432" w:name="_Toc12710_WPSOffice_Level1"/>
      <w:r>
        <w:rPr>
          <w:rFonts w:hint="eastAsia" w:ascii="仿宋" w:hAnsi="仿宋" w:eastAsia="仿宋" w:cs="仿宋"/>
          <w:b/>
          <w:bCs/>
          <w:color w:val="auto"/>
          <w:sz w:val="32"/>
          <w:szCs w:val="32"/>
        </w:rPr>
        <w:t>项目负责人资格情况表</w:t>
      </w:r>
      <w:bookmarkEnd w:id="431"/>
      <w:bookmarkEnd w:id="432"/>
    </w:p>
    <w:tbl>
      <w:tblPr>
        <w:tblStyle w:val="64"/>
        <w:tblW w:w="931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3205"/>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 w:hRule="atLeast"/>
        </w:trPr>
        <w:tc>
          <w:tcPr>
            <w:tcW w:w="2132"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b/>
                <w:bCs/>
                <w:color w:val="auto"/>
                <w:lang w:val="zh-CN"/>
              </w:rPr>
            </w:pPr>
            <w:r>
              <w:rPr>
                <w:rFonts w:hint="eastAsia" w:ascii="仿宋" w:hAnsi="仿宋" w:eastAsia="仿宋" w:cs="仿宋"/>
                <w:b/>
                <w:bCs/>
                <w:color w:val="auto"/>
                <w:lang w:val="zh-CN"/>
              </w:rPr>
              <w:t>姓名</w:t>
            </w:r>
          </w:p>
        </w:tc>
        <w:tc>
          <w:tcPr>
            <w:tcW w:w="3205"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color w:val="auto"/>
                <w:lang w:val="zh-CN"/>
              </w:rPr>
            </w:pPr>
          </w:p>
        </w:tc>
        <w:tc>
          <w:tcPr>
            <w:tcW w:w="3981"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仿宋" w:hAnsi="仿宋" w:eastAsia="仿宋" w:cs="仿宋"/>
                <w:b/>
                <w:bCs/>
                <w:color w:val="auto"/>
                <w:lang w:val="zh-CN"/>
              </w:rPr>
            </w:pPr>
            <w:r>
              <w:rPr>
                <w:rFonts w:hint="eastAsia" w:ascii="仿宋" w:hAnsi="仿宋" w:eastAsia="仿宋" w:cs="仿宋"/>
                <w:b/>
                <w:bCs/>
                <w:color w:val="auto"/>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b/>
                <w:bCs/>
                <w:color w:val="auto"/>
                <w:lang w:val="zh-CN"/>
              </w:rPr>
            </w:pPr>
            <w:r>
              <w:rPr>
                <w:rFonts w:hint="eastAsia" w:ascii="仿宋" w:hAnsi="仿宋" w:eastAsia="仿宋" w:cs="仿宋"/>
                <w:b/>
                <w:bCs/>
                <w:color w:val="auto"/>
                <w:lang w:val="zh-CN"/>
              </w:rPr>
              <w:t>性别</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color w:val="auto"/>
                <w:lang w:val="zh-CN"/>
              </w:rPr>
            </w:pPr>
          </w:p>
        </w:tc>
        <w:tc>
          <w:tcPr>
            <w:tcW w:w="3981"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仿宋" w:hAnsi="仿宋" w:eastAsia="仿宋" w:cs="仿宋"/>
                <w:color w:val="auto"/>
              </w:rPr>
            </w:pPr>
            <w:r>
              <w:rPr>
                <w:rFonts w:hint="eastAsia" w:ascii="仿宋" w:hAnsi="仿宋" w:eastAsia="仿宋" w:cs="仿宋"/>
                <w:color w:val="auto"/>
              </w:rPr>
              <w:t>注：业绩证明应提供旁证材料</w:t>
            </w:r>
          </w:p>
          <w:p>
            <w:pPr>
              <w:autoSpaceDE w:val="0"/>
              <w:autoSpaceDN w:val="0"/>
              <w:adjustRightInd w:val="0"/>
              <w:snapToGrid w:val="0"/>
              <w:spacing w:line="360" w:lineRule="auto"/>
              <w:jc w:val="center"/>
              <w:rPr>
                <w:rFonts w:hint="eastAsia" w:ascii="仿宋" w:hAnsi="仿宋" w:eastAsia="仿宋" w:cs="仿宋"/>
                <w:color w:val="auto"/>
                <w:lang w:val="zh-CN"/>
              </w:rPr>
            </w:pPr>
            <w:r>
              <w:rPr>
                <w:rFonts w:hint="eastAsia" w:ascii="仿宋" w:hAnsi="仿宋" w:eastAsia="仿宋" w:cs="仿宋"/>
                <w:color w:val="auto"/>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b/>
                <w:bCs/>
                <w:color w:val="auto"/>
                <w:lang w:val="zh-CN"/>
              </w:rPr>
            </w:pPr>
            <w:r>
              <w:rPr>
                <w:rFonts w:hint="eastAsia" w:ascii="仿宋" w:hAnsi="仿宋" w:eastAsia="仿宋" w:cs="仿宋"/>
                <w:b/>
                <w:bCs/>
                <w:color w:val="auto"/>
                <w:lang w:val="zh-CN"/>
              </w:rPr>
              <w:t>年龄</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color w:val="auto"/>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仿宋" w:hAnsi="仿宋" w:eastAsia="仿宋" w:cs="仿宋"/>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b/>
                <w:bCs/>
                <w:color w:val="auto"/>
                <w:lang w:val="zh-CN"/>
              </w:rPr>
            </w:pPr>
            <w:r>
              <w:rPr>
                <w:rFonts w:hint="eastAsia" w:ascii="仿宋" w:hAnsi="仿宋" w:eastAsia="仿宋" w:cs="仿宋"/>
                <w:b/>
                <w:bCs/>
                <w:color w:val="auto"/>
                <w:lang w:val="zh-CN"/>
              </w:rPr>
              <w:t>职称</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color w:val="auto"/>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仿宋" w:hAnsi="仿宋" w:eastAsia="仿宋" w:cs="仿宋"/>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b/>
                <w:bCs/>
                <w:color w:val="auto"/>
                <w:lang w:val="zh-CN"/>
              </w:rPr>
            </w:pPr>
            <w:r>
              <w:rPr>
                <w:rFonts w:hint="eastAsia" w:ascii="仿宋" w:hAnsi="仿宋" w:eastAsia="仿宋" w:cs="仿宋"/>
                <w:b/>
                <w:bCs/>
                <w:color w:val="auto"/>
                <w:lang w:val="zh-CN"/>
              </w:rPr>
              <w:t>毕业时间</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color w:val="auto"/>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仿宋" w:hAnsi="仿宋" w:eastAsia="仿宋" w:cs="仿宋"/>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b/>
                <w:bCs/>
                <w:color w:val="auto"/>
                <w:lang w:val="zh-CN"/>
              </w:rPr>
            </w:pPr>
            <w:r>
              <w:rPr>
                <w:rFonts w:hint="eastAsia" w:ascii="仿宋" w:hAnsi="仿宋" w:eastAsia="仿宋" w:cs="仿宋"/>
                <w:b/>
                <w:bCs/>
                <w:color w:val="auto"/>
                <w:lang w:val="zh-CN"/>
              </w:rPr>
              <w:t>学校专业</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color w:val="auto"/>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仿宋" w:hAnsi="仿宋" w:eastAsia="仿宋" w:cs="仿宋"/>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b/>
                <w:bCs/>
                <w:color w:val="auto"/>
                <w:lang w:val="zh-CN"/>
              </w:rPr>
            </w:pPr>
            <w:r>
              <w:rPr>
                <w:rFonts w:hint="eastAsia" w:ascii="仿宋" w:hAnsi="仿宋" w:eastAsia="仿宋" w:cs="仿宋"/>
                <w:b/>
                <w:bCs/>
                <w:color w:val="auto"/>
                <w:lang w:val="zh-CN"/>
              </w:rPr>
              <w:t>联系电话</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color w:val="auto"/>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仿宋" w:hAnsi="仿宋" w:eastAsia="仿宋" w:cs="仿宋"/>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b/>
                <w:bCs/>
                <w:color w:val="auto"/>
                <w:lang w:val="zh-CN"/>
              </w:rPr>
            </w:pPr>
            <w:r>
              <w:rPr>
                <w:rFonts w:hint="eastAsia" w:ascii="仿宋" w:hAnsi="仿宋" w:eastAsia="仿宋" w:cs="仿宋"/>
                <w:b/>
                <w:bCs/>
                <w:color w:val="auto"/>
              </w:rPr>
              <w:t>最近一年工作状况</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color w:val="auto"/>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仿宋" w:hAnsi="仿宋" w:eastAsia="仿宋" w:cs="仿宋"/>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0" w:hRule="atLeast"/>
        </w:trPr>
        <w:tc>
          <w:tcPr>
            <w:tcW w:w="2132"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hint="eastAsia" w:ascii="仿宋" w:hAnsi="仿宋" w:eastAsia="仿宋" w:cs="仿宋"/>
                <w:b/>
                <w:bCs/>
                <w:color w:val="auto"/>
                <w:lang w:val="zh-CN"/>
              </w:rPr>
            </w:pPr>
            <w:r>
              <w:rPr>
                <w:rFonts w:hint="eastAsia" w:ascii="仿宋" w:hAnsi="仿宋" w:eastAsia="仿宋" w:cs="仿宋"/>
                <w:b/>
                <w:bCs/>
                <w:color w:val="auto"/>
                <w:lang w:val="zh-CN"/>
              </w:rPr>
              <w:t>拟在本项目中担任主要工作</w:t>
            </w:r>
          </w:p>
        </w:tc>
        <w:tc>
          <w:tcPr>
            <w:tcW w:w="7186"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hint="eastAsia" w:ascii="仿宋" w:hAnsi="仿宋" w:eastAsia="仿宋" w:cs="仿宋"/>
                <w:color w:val="auto"/>
                <w:lang w:val="zh-CN"/>
              </w:rPr>
            </w:pPr>
          </w:p>
        </w:tc>
      </w:tr>
    </w:tbl>
    <w:p>
      <w:pPr>
        <w:pStyle w:val="5"/>
        <w:rPr>
          <w:rFonts w:hint="eastAsia" w:ascii="仿宋" w:hAnsi="仿宋" w:eastAsia="仿宋" w:cs="仿宋"/>
          <w:color w:val="auto"/>
        </w:rPr>
      </w:pPr>
    </w:p>
    <w:p>
      <w:pPr>
        <w:snapToGrid w:val="0"/>
        <w:spacing w:line="360" w:lineRule="auto"/>
        <w:ind w:firstLine="5160" w:firstLineChars="215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rPr>
          <w:rFonts w:hint="eastAsia" w:ascii="仿宋" w:hAnsi="仿宋" w:eastAsia="仿宋" w:cs="仿宋"/>
          <w:color w:val="auto"/>
        </w:rPr>
      </w:pPr>
      <w:r>
        <w:rPr>
          <w:rFonts w:hint="eastAsia" w:ascii="仿宋" w:hAnsi="仿宋" w:eastAsia="仿宋" w:cs="仿宋"/>
          <w:color w:val="auto"/>
        </w:rPr>
        <w:br w:type="page"/>
      </w:r>
    </w:p>
    <w:p>
      <w:pPr>
        <w:pStyle w:val="2"/>
        <w:rPr>
          <w:rFonts w:hint="eastAsia" w:ascii="仿宋" w:hAnsi="仿宋" w:eastAsia="仿宋" w:cs="仿宋"/>
          <w:b/>
          <w:bCs w:val="0"/>
          <w:color w:val="auto"/>
          <w:spacing w:val="6"/>
          <w:kern w:val="2"/>
          <w:sz w:val="32"/>
          <w:szCs w:val="32"/>
          <w:lang w:val="en-US" w:eastAsia="zh-CN" w:bidi="ar-SA"/>
        </w:rPr>
      </w:pPr>
      <w:r>
        <w:rPr>
          <w:rFonts w:hint="eastAsia" w:ascii="仿宋" w:hAnsi="仿宋" w:eastAsia="仿宋" w:cs="仿宋"/>
          <w:b/>
          <w:bCs w:val="0"/>
          <w:color w:val="auto"/>
          <w:spacing w:val="6"/>
          <w:kern w:val="2"/>
          <w:sz w:val="32"/>
          <w:szCs w:val="32"/>
          <w:lang w:val="en-US" w:eastAsia="zh-CN" w:bidi="ar-SA"/>
        </w:rPr>
        <w:t>附件</w:t>
      </w:r>
      <w:r>
        <w:rPr>
          <w:rFonts w:hint="eastAsia" w:ascii="仿宋" w:eastAsia="仿宋" w:cs="仿宋"/>
          <w:b/>
          <w:bCs w:val="0"/>
          <w:color w:val="auto"/>
          <w:spacing w:val="6"/>
          <w:kern w:val="2"/>
          <w:sz w:val="32"/>
          <w:szCs w:val="32"/>
          <w:lang w:val="en-US" w:eastAsia="zh-CN" w:bidi="ar-SA"/>
        </w:rPr>
        <w:t>7</w:t>
      </w:r>
    </w:p>
    <w:p>
      <w:pPr>
        <w:pStyle w:val="5"/>
        <w:rPr>
          <w:rFonts w:hint="eastAsia" w:ascii="仿宋" w:hAnsi="仿宋" w:eastAsia="仿宋" w:cs="仿宋"/>
          <w:color w:val="auto"/>
          <w:lang w:val="en-US" w:eastAsia="zh-CN"/>
        </w:rPr>
      </w:pPr>
    </w:p>
    <w:p>
      <w:pPr>
        <w:snapToGrid w:val="0"/>
        <w:spacing w:line="360" w:lineRule="auto"/>
        <w:ind w:right="480"/>
        <w:jc w:val="center"/>
        <w:outlineLvl w:val="2"/>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项目组成员、售后人员一览表</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（主要从业人员及其技术资格）</w:t>
      </w:r>
    </w:p>
    <w:tbl>
      <w:tblPr>
        <w:tblStyle w:val="64"/>
        <w:tblW w:w="0" w:type="auto"/>
        <w:tblInd w:w="8" w:type="dxa"/>
        <w:tblLayout w:type="fixed"/>
        <w:tblCellMar>
          <w:top w:w="57" w:type="dxa"/>
          <w:left w:w="57" w:type="dxa"/>
          <w:bottom w:w="57" w:type="dxa"/>
          <w:right w:w="57" w:type="dxa"/>
        </w:tblCellMar>
      </w:tblPr>
      <w:tblGrid>
        <w:gridCol w:w="589"/>
        <w:gridCol w:w="1303"/>
        <w:gridCol w:w="709"/>
        <w:gridCol w:w="850"/>
        <w:gridCol w:w="851"/>
        <w:gridCol w:w="992"/>
        <w:gridCol w:w="1134"/>
        <w:gridCol w:w="851"/>
        <w:gridCol w:w="1275"/>
        <w:gridCol w:w="809"/>
      </w:tblGrid>
      <w:tr>
        <w:tblPrEx>
          <w:tblCellMar>
            <w:top w:w="57" w:type="dxa"/>
            <w:left w:w="57" w:type="dxa"/>
            <w:bottom w:w="57" w:type="dxa"/>
            <w:right w:w="57" w:type="dxa"/>
          </w:tblCellMar>
        </w:tblPrEx>
        <w:trPr>
          <w:cantSplit/>
          <w:trHeight w:val="529" w:hRule="atLeast"/>
        </w:trPr>
        <w:tc>
          <w:tcPr>
            <w:tcW w:w="58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rPr>
            </w:pPr>
            <w:r>
              <w:rPr>
                <w:rFonts w:hint="eastAsia" w:ascii="仿宋" w:hAnsi="仿宋" w:eastAsia="仿宋" w:cs="仿宋"/>
                <w:color w:val="auto"/>
              </w:rPr>
              <w:t>序号</w:t>
            </w:r>
          </w:p>
        </w:tc>
        <w:tc>
          <w:tcPr>
            <w:tcW w:w="130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rPr>
            </w:pPr>
            <w:r>
              <w:rPr>
                <w:rFonts w:hint="eastAsia" w:ascii="仿宋" w:hAnsi="仿宋" w:eastAsia="仿宋" w:cs="仿宋"/>
                <w:color w:val="auto"/>
              </w:rPr>
              <w:t>姓名</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rPr>
            </w:pPr>
            <w:r>
              <w:rPr>
                <w:rFonts w:hint="eastAsia" w:ascii="仿宋" w:hAnsi="仿宋" w:eastAsia="仿宋" w:cs="仿宋"/>
                <w:color w:val="auto"/>
              </w:rPr>
              <w:t>性别</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rPr>
            </w:pPr>
            <w:r>
              <w:rPr>
                <w:rFonts w:hint="eastAsia" w:ascii="仿宋" w:hAnsi="仿宋" w:eastAsia="仿宋" w:cs="仿宋"/>
                <w:color w:val="auto"/>
              </w:rPr>
              <w:t>年龄</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rPr>
            </w:pPr>
            <w:r>
              <w:rPr>
                <w:rFonts w:hint="eastAsia" w:ascii="仿宋" w:hAnsi="仿宋" w:eastAsia="仿宋" w:cs="仿宋"/>
                <w:color w:val="auto"/>
              </w:rPr>
              <w:t>学历</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rPr>
            </w:pPr>
            <w:r>
              <w:rPr>
                <w:rFonts w:hint="eastAsia" w:ascii="仿宋" w:hAnsi="仿宋" w:eastAsia="仿宋" w:cs="仿宋"/>
                <w:color w:val="auto"/>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color w:val="auto"/>
              </w:rPr>
            </w:pPr>
            <w:r>
              <w:rPr>
                <w:rFonts w:hint="eastAsia" w:ascii="仿宋" w:hAnsi="仿宋" w:eastAsia="仿宋" w:cs="仿宋"/>
                <w:color w:val="auto"/>
              </w:rPr>
              <w:t>证书编号</w:t>
            </w:r>
          </w:p>
        </w:tc>
        <w:tc>
          <w:tcPr>
            <w:tcW w:w="851"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color w:val="auto"/>
              </w:rPr>
            </w:pPr>
            <w:r>
              <w:rPr>
                <w:rFonts w:hint="eastAsia" w:ascii="仿宋" w:hAnsi="仿宋" w:eastAsia="仿宋" w:cs="仿宋"/>
                <w:color w:val="auto"/>
              </w:rPr>
              <w:t>职称</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rPr>
            </w:pPr>
            <w:r>
              <w:rPr>
                <w:rFonts w:hint="eastAsia" w:ascii="仿宋" w:hAnsi="仿宋" w:eastAsia="仿宋" w:cs="仿宋"/>
                <w:color w:val="auto"/>
              </w:rPr>
              <w:t>拟任本项目职务</w:t>
            </w:r>
          </w:p>
        </w:tc>
        <w:tc>
          <w:tcPr>
            <w:tcW w:w="80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rPr>
            </w:pPr>
            <w:r>
              <w:rPr>
                <w:rFonts w:hint="eastAsia" w:ascii="仿宋" w:hAnsi="仿宋" w:eastAsia="仿宋" w:cs="仿宋"/>
                <w:color w:val="auto"/>
              </w:rPr>
              <w:t>备注</w:t>
            </w: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hint="eastAsia" w:ascii="仿宋" w:hAnsi="仿宋" w:eastAsia="仿宋" w:cs="仿宋"/>
                <w:color w:val="auto"/>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hint="eastAsia" w:ascii="仿宋" w:hAnsi="仿宋" w:eastAsia="仿宋" w:cs="仿宋"/>
                <w:color w:val="auto"/>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hint="eastAsia" w:ascii="仿宋" w:hAnsi="仿宋" w:eastAsia="仿宋" w:cs="仿宋"/>
                <w:color w:val="auto"/>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hint="eastAsia" w:ascii="仿宋" w:hAnsi="仿宋" w:eastAsia="仿宋" w:cs="仿宋"/>
                <w:color w:val="auto"/>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1303"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1134" w:type="dxa"/>
            <w:tcBorders>
              <w:top w:val="single" w:color="auto" w:sz="4" w:space="0"/>
              <w:left w:val="single" w:color="auto" w:sz="6" w:space="0"/>
              <w:bottom w:val="single" w:color="auto" w:sz="4" w:space="0"/>
              <w:right w:val="single" w:color="auto" w:sz="4" w:space="0"/>
            </w:tcBorders>
            <w:vAlign w:val="center"/>
          </w:tcPr>
          <w:p>
            <w:pPr>
              <w:jc w:val="center"/>
              <w:rPr>
                <w:rFonts w:hint="eastAsia" w:ascii="仿宋" w:hAnsi="仿宋" w:eastAsia="仿宋" w:cs="仿宋"/>
                <w:color w:val="auto"/>
              </w:rPr>
            </w:pPr>
          </w:p>
        </w:tc>
        <w:tc>
          <w:tcPr>
            <w:tcW w:w="851" w:type="dxa"/>
            <w:tcBorders>
              <w:top w:val="single" w:color="auto" w:sz="4" w:space="0"/>
              <w:left w:val="single" w:color="auto" w:sz="4"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1275"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809"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1303"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1134" w:type="dxa"/>
            <w:tcBorders>
              <w:top w:val="single" w:color="auto" w:sz="4" w:space="0"/>
              <w:left w:val="single" w:color="auto" w:sz="6" w:space="0"/>
              <w:bottom w:val="single" w:color="auto" w:sz="4" w:space="0"/>
              <w:right w:val="single" w:color="auto" w:sz="4" w:space="0"/>
            </w:tcBorders>
            <w:vAlign w:val="center"/>
          </w:tcPr>
          <w:p>
            <w:pPr>
              <w:jc w:val="center"/>
              <w:rPr>
                <w:rFonts w:hint="eastAsia" w:ascii="仿宋" w:hAnsi="仿宋" w:eastAsia="仿宋" w:cs="仿宋"/>
                <w:color w:val="auto"/>
              </w:rPr>
            </w:pPr>
          </w:p>
        </w:tc>
        <w:tc>
          <w:tcPr>
            <w:tcW w:w="851" w:type="dxa"/>
            <w:tcBorders>
              <w:top w:val="single" w:color="auto" w:sz="4" w:space="0"/>
              <w:left w:val="single" w:color="auto" w:sz="4"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1275"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c>
          <w:tcPr>
            <w:tcW w:w="809"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color w:val="auto"/>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rPr>
            </w:pPr>
          </w:p>
        </w:tc>
        <w:tc>
          <w:tcPr>
            <w:tcW w:w="1303"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rPr>
            </w:pPr>
          </w:p>
        </w:tc>
        <w:tc>
          <w:tcPr>
            <w:tcW w:w="709"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rPr>
            </w:pPr>
          </w:p>
        </w:tc>
        <w:tc>
          <w:tcPr>
            <w:tcW w:w="851"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rPr>
            </w:pPr>
          </w:p>
        </w:tc>
        <w:tc>
          <w:tcPr>
            <w:tcW w:w="992"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rPr>
            </w:pPr>
          </w:p>
        </w:tc>
        <w:tc>
          <w:tcPr>
            <w:tcW w:w="1134" w:type="dxa"/>
            <w:tcBorders>
              <w:top w:val="single" w:color="auto" w:sz="4" w:space="0"/>
              <w:left w:val="single" w:color="auto" w:sz="6" w:space="0"/>
              <w:bottom w:val="single" w:color="auto" w:sz="6" w:space="0"/>
              <w:right w:val="single" w:color="auto" w:sz="4" w:space="0"/>
            </w:tcBorders>
            <w:vAlign w:val="center"/>
          </w:tcPr>
          <w:p>
            <w:pPr>
              <w:jc w:val="center"/>
              <w:rPr>
                <w:rFonts w:hint="eastAsia" w:ascii="仿宋" w:hAnsi="仿宋" w:eastAsia="仿宋" w:cs="仿宋"/>
                <w:color w:val="auto"/>
              </w:rPr>
            </w:pPr>
          </w:p>
        </w:tc>
        <w:tc>
          <w:tcPr>
            <w:tcW w:w="851" w:type="dxa"/>
            <w:tcBorders>
              <w:top w:val="single" w:color="auto" w:sz="4" w:space="0"/>
              <w:left w:val="single" w:color="auto" w:sz="4" w:space="0"/>
              <w:bottom w:val="single" w:color="auto" w:sz="6" w:space="0"/>
              <w:right w:val="single" w:color="auto" w:sz="6" w:space="0"/>
            </w:tcBorders>
            <w:vAlign w:val="center"/>
          </w:tcPr>
          <w:p>
            <w:pPr>
              <w:jc w:val="center"/>
              <w:rPr>
                <w:rFonts w:hint="eastAsia" w:ascii="仿宋" w:hAnsi="仿宋" w:eastAsia="仿宋" w:cs="仿宋"/>
                <w:color w:val="auto"/>
              </w:rPr>
            </w:pPr>
          </w:p>
        </w:tc>
        <w:tc>
          <w:tcPr>
            <w:tcW w:w="1275"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rPr>
            </w:pPr>
          </w:p>
        </w:tc>
        <w:tc>
          <w:tcPr>
            <w:tcW w:w="809"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color w:val="auto"/>
              </w:rPr>
            </w:pPr>
          </w:p>
        </w:tc>
      </w:tr>
    </w:tbl>
    <w:p>
      <w:pPr>
        <w:spacing w:before="100" w:beforeAutospacing="1"/>
        <w:rPr>
          <w:rFonts w:hint="eastAsia" w:ascii="仿宋" w:hAnsi="仿宋" w:eastAsia="仿宋" w:cs="仿宋"/>
          <w:b/>
          <w:color w:val="auto"/>
        </w:rPr>
      </w:pPr>
      <w:r>
        <w:rPr>
          <w:rFonts w:hint="eastAsia" w:ascii="仿宋" w:hAnsi="仿宋" w:eastAsia="仿宋" w:cs="仿宋"/>
          <w:b/>
          <w:color w:val="auto"/>
        </w:rPr>
        <w:t>要求：</w:t>
      </w:r>
    </w:p>
    <w:p>
      <w:pPr>
        <w:ind w:firstLine="420" w:firstLineChars="200"/>
        <w:rPr>
          <w:rFonts w:hint="eastAsia" w:ascii="仿宋" w:hAnsi="仿宋" w:eastAsia="仿宋" w:cs="仿宋"/>
          <w:color w:val="auto"/>
        </w:rPr>
      </w:pPr>
      <w:r>
        <w:rPr>
          <w:rFonts w:hint="eastAsia" w:ascii="仿宋" w:hAnsi="仿宋" w:eastAsia="仿宋" w:cs="仿宋"/>
          <w:color w:val="auto"/>
        </w:rPr>
        <w:t>1.在填写时，如本表格不适合投标单位的实际情况，可根据本表格式自行划表填写。</w:t>
      </w:r>
    </w:p>
    <w:p>
      <w:pPr>
        <w:ind w:firstLine="420" w:firstLineChars="20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b/>
          <w:color w:val="auto"/>
        </w:rPr>
        <w:t>需附人员学历证书、专业证书、职称证书、投标人为其缴纳的近3个月社保证明等相关证明材料扫描件。</w:t>
      </w:r>
    </w:p>
    <w:p>
      <w:pPr>
        <w:snapToGrid w:val="0"/>
        <w:spacing w:line="360" w:lineRule="auto"/>
        <w:ind w:firstLine="5160" w:firstLineChars="2150"/>
        <w:rPr>
          <w:rFonts w:hint="eastAsia" w:ascii="仿宋" w:hAnsi="仿宋" w:eastAsia="仿宋" w:cs="仿宋"/>
          <w:color w:val="auto"/>
          <w:kern w:val="0"/>
          <w:sz w:val="24"/>
          <w:lang w:val="zh-CN"/>
        </w:rPr>
      </w:pPr>
    </w:p>
    <w:p>
      <w:pPr>
        <w:snapToGrid w:val="0"/>
        <w:spacing w:line="360" w:lineRule="auto"/>
        <w:ind w:firstLine="5160" w:firstLineChars="2150"/>
        <w:rPr>
          <w:rFonts w:hint="eastAsia" w:ascii="仿宋" w:hAnsi="仿宋" w:eastAsia="仿宋" w:cs="仿宋"/>
          <w:color w:val="auto"/>
          <w:kern w:val="0"/>
          <w:sz w:val="24"/>
          <w:lang w:val="zh-CN"/>
        </w:rPr>
      </w:pPr>
    </w:p>
    <w:p>
      <w:pPr>
        <w:snapToGrid w:val="0"/>
        <w:spacing w:line="360" w:lineRule="auto"/>
        <w:ind w:firstLine="5160" w:firstLineChars="2150"/>
        <w:rPr>
          <w:rFonts w:hint="eastAsia" w:ascii="仿宋" w:hAnsi="仿宋" w:eastAsia="仿宋" w:cs="仿宋"/>
          <w:color w:val="auto"/>
          <w:kern w:val="0"/>
          <w:sz w:val="24"/>
          <w:lang w:val="zh-CN"/>
        </w:rPr>
      </w:pPr>
    </w:p>
    <w:p>
      <w:pPr>
        <w:snapToGrid w:val="0"/>
        <w:spacing w:line="360" w:lineRule="auto"/>
        <w:ind w:firstLine="5160" w:firstLineChars="215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rPr>
          <w:rFonts w:hint="eastAsia" w:ascii="仿宋" w:hAnsi="仿宋" w:eastAsia="仿宋" w:cs="仿宋"/>
          <w:color w:val="auto"/>
        </w:rPr>
      </w:pPr>
      <w:r>
        <w:rPr>
          <w:rFonts w:hint="eastAsia" w:ascii="仿宋" w:hAnsi="仿宋" w:eastAsia="仿宋" w:cs="仿宋"/>
          <w:color w:val="auto"/>
        </w:rPr>
        <w:br w:type="page"/>
      </w:r>
    </w:p>
    <w:p>
      <w:pPr>
        <w:pStyle w:val="2"/>
        <w:rPr>
          <w:rFonts w:hint="eastAsia" w:ascii="仿宋" w:hAnsi="仿宋" w:eastAsia="仿宋" w:cs="仿宋"/>
          <w:b/>
          <w:bCs w:val="0"/>
          <w:color w:val="auto"/>
          <w:spacing w:val="6"/>
          <w:kern w:val="2"/>
          <w:sz w:val="32"/>
          <w:szCs w:val="32"/>
          <w:lang w:val="en-US" w:eastAsia="zh-CN" w:bidi="ar-SA"/>
        </w:rPr>
      </w:pPr>
      <w:r>
        <w:rPr>
          <w:rFonts w:hint="eastAsia" w:ascii="仿宋" w:hAnsi="仿宋" w:eastAsia="仿宋" w:cs="仿宋"/>
          <w:b/>
          <w:bCs w:val="0"/>
          <w:color w:val="auto"/>
          <w:spacing w:val="6"/>
          <w:kern w:val="2"/>
          <w:sz w:val="32"/>
          <w:szCs w:val="32"/>
          <w:lang w:val="en-US" w:eastAsia="zh-CN" w:bidi="ar-SA"/>
        </w:rPr>
        <w:t>附件</w:t>
      </w:r>
      <w:r>
        <w:rPr>
          <w:rFonts w:hint="eastAsia" w:ascii="仿宋" w:eastAsia="仿宋" w:cs="仿宋"/>
          <w:b/>
          <w:bCs w:val="0"/>
          <w:color w:val="auto"/>
          <w:spacing w:val="6"/>
          <w:kern w:val="2"/>
          <w:sz w:val="32"/>
          <w:szCs w:val="32"/>
          <w:lang w:val="en-US" w:eastAsia="zh-CN" w:bidi="ar-SA"/>
        </w:rPr>
        <w:t>8</w:t>
      </w:r>
    </w:p>
    <w:p>
      <w:pPr>
        <w:spacing w:line="360" w:lineRule="exact"/>
        <w:jc w:val="center"/>
        <w:rPr>
          <w:rFonts w:hint="eastAsia" w:ascii="仿宋" w:hAnsi="仿宋" w:eastAsia="仿宋" w:cs="仿宋"/>
          <w:b/>
          <w:color w:val="auto"/>
          <w:sz w:val="32"/>
          <w:szCs w:val="32"/>
        </w:rPr>
      </w:pPr>
      <w:r>
        <w:rPr>
          <w:rFonts w:hint="eastAsia" w:ascii="仿宋" w:hAnsi="仿宋" w:eastAsia="仿宋" w:cs="仿宋"/>
          <w:b/>
          <w:color w:val="auto"/>
          <w:kern w:val="0"/>
          <w:sz w:val="32"/>
          <w:szCs w:val="32"/>
        </w:rPr>
        <w:t>针对本项目拟投入设备及工具一览表</w:t>
      </w:r>
    </w:p>
    <w:p>
      <w:pPr>
        <w:pStyle w:val="5"/>
        <w:ind w:left="-357" w:leftChars="-170" w:firstLine="0"/>
        <w:rPr>
          <w:rFonts w:hint="eastAsia" w:ascii="仿宋" w:hAnsi="仿宋" w:eastAsia="仿宋" w:cs="仿宋"/>
          <w:color w:val="auto"/>
        </w:rPr>
      </w:pPr>
    </w:p>
    <w:tbl>
      <w:tblPr>
        <w:tblStyle w:val="64"/>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2394"/>
        <w:gridCol w:w="1349"/>
        <w:gridCol w:w="134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3" w:hRule="atLeast"/>
        </w:trPr>
        <w:tc>
          <w:tcPr>
            <w:tcW w:w="2979" w:type="dxa"/>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设备或工具名称</w:t>
            </w:r>
          </w:p>
        </w:tc>
        <w:tc>
          <w:tcPr>
            <w:tcW w:w="2394" w:type="dxa"/>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品牌规格型号</w:t>
            </w:r>
          </w:p>
        </w:tc>
        <w:tc>
          <w:tcPr>
            <w:tcW w:w="1349" w:type="dxa"/>
            <w:noWrap w:val="0"/>
            <w:vAlign w:val="center"/>
          </w:tcPr>
          <w:p>
            <w:pPr>
              <w:jc w:val="center"/>
              <w:rPr>
                <w:rFonts w:hint="eastAsia" w:ascii="仿宋" w:hAnsi="仿宋" w:eastAsia="仿宋" w:cs="仿宋"/>
                <w:b/>
                <w:color w:val="auto"/>
                <w:sz w:val="24"/>
              </w:rPr>
            </w:pPr>
            <w:r>
              <w:rPr>
                <w:rFonts w:hint="eastAsia" w:ascii="仿宋" w:hAnsi="仿宋" w:eastAsia="仿宋" w:cs="仿宋_GB2312"/>
                <w:b/>
                <w:color w:val="auto"/>
                <w:sz w:val="24"/>
              </w:rPr>
              <w:t>规格配置详细说明</w:t>
            </w:r>
          </w:p>
        </w:tc>
        <w:tc>
          <w:tcPr>
            <w:tcW w:w="1349" w:type="dxa"/>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350" w:type="dxa"/>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noWrap w:val="0"/>
            <w:vAlign w:val="center"/>
          </w:tcPr>
          <w:p>
            <w:pPr>
              <w:ind w:firstLine="592"/>
              <w:jc w:val="center"/>
              <w:rPr>
                <w:rFonts w:hint="eastAsia" w:ascii="仿宋" w:hAnsi="仿宋" w:eastAsia="仿宋" w:cs="仿宋"/>
                <w:color w:val="auto"/>
                <w:sz w:val="22"/>
                <w:szCs w:val="22"/>
              </w:rPr>
            </w:pPr>
          </w:p>
        </w:tc>
        <w:tc>
          <w:tcPr>
            <w:tcW w:w="2394"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50" w:type="dxa"/>
            <w:noWrap w:val="0"/>
            <w:vAlign w:val="center"/>
          </w:tcPr>
          <w:p>
            <w:pPr>
              <w:ind w:firstLine="592"/>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noWrap w:val="0"/>
            <w:vAlign w:val="center"/>
          </w:tcPr>
          <w:p>
            <w:pPr>
              <w:ind w:firstLine="592"/>
              <w:jc w:val="center"/>
              <w:rPr>
                <w:rFonts w:hint="eastAsia" w:ascii="仿宋" w:hAnsi="仿宋" w:eastAsia="仿宋" w:cs="仿宋"/>
                <w:color w:val="auto"/>
                <w:sz w:val="22"/>
                <w:szCs w:val="22"/>
              </w:rPr>
            </w:pPr>
          </w:p>
        </w:tc>
        <w:tc>
          <w:tcPr>
            <w:tcW w:w="2394"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50" w:type="dxa"/>
            <w:noWrap w:val="0"/>
            <w:vAlign w:val="center"/>
          </w:tcPr>
          <w:p>
            <w:pPr>
              <w:ind w:firstLine="592"/>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noWrap w:val="0"/>
            <w:vAlign w:val="center"/>
          </w:tcPr>
          <w:p>
            <w:pPr>
              <w:ind w:firstLine="592"/>
              <w:jc w:val="center"/>
              <w:rPr>
                <w:rFonts w:hint="eastAsia" w:ascii="仿宋" w:hAnsi="仿宋" w:eastAsia="仿宋" w:cs="仿宋"/>
                <w:color w:val="auto"/>
                <w:sz w:val="22"/>
                <w:szCs w:val="22"/>
              </w:rPr>
            </w:pPr>
          </w:p>
        </w:tc>
        <w:tc>
          <w:tcPr>
            <w:tcW w:w="2394"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50" w:type="dxa"/>
            <w:noWrap w:val="0"/>
            <w:vAlign w:val="center"/>
          </w:tcPr>
          <w:p>
            <w:pPr>
              <w:ind w:firstLine="592"/>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2979" w:type="dxa"/>
            <w:noWrap w:val="0"/>
            <w:vAlign w:val="center"/>
          </w:tcPr>
          <w:p>
            <w:pPr>
              <w:ind w:firstLine="592"/>
              <w:jc w:val="center"/>
              <w:rPr>
                <w:rFonts w:hint="eastAsia" w:ascii="仿宋" w:hAnsi="仿宋" w:eastAsia="仿宋" w:cs="仿宋"/>
                <w:color w:val="auto"/>
                <w:sz w:val="22"/>
                <w:szCs w:val="22"/>
              </w:rPr>
            </w:pPr>
          </w:p>
        </w:tc>
        <w:tc>
          <w:tcPr>
            <w:tcW w:w="2394"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50" w:type="dxa"/>
            <w:noWrap w:val="0"/>
            <w:vAlign w:val="center"/>
          </w:tcPr>
          <w:p>
            <w:pPr>
              <w:ind w:firstLine="592"/>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2979" w:type="dxa"/>
            <w:noWrap w:val="0"/>
            <w:vAlign w:val="center"/>
          </w:tcPr>
          <w:p>
            <w:pPr>
              <w:ind w:firstLine="592"/>
              <w:jc w:val="center"/>
              <w:rPr>
                <w:rFonts w:hint="eastAsia" w:ascii="仿宋" w:hAnsi="仿宋" w:eastAsia="仿宋" w:cs="仿宋"/>
                <w:color w:val="auto"/>
                <w:sz w:val="22"/>
                <w:szCs w:val="22"/>
              </w:rPr>
            </w:pPr>
          </w:p>
        </w:tc>
        <w:tc>
          <w:tcPr>
            <w:tcW w:w="2394"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50" w:type="dxa"/>
            <w:noWrap w:val="0"/>
            <w:vAlign w:val="center"/>
          </w:tcPr>
          <w:p>
            <w:pPr>
              <w:ind w:firstLine="592"/>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2979" w:type="dxa"/>
            <w:noWrap w:val="0"/>
            <w:vAlign w:val="center"/>
          </w:tcPr>
          <w:p>
            <w:pPr>
              <w:ind w:firstLine="592"/>
              <w:jc w:val="center"/>
              <w:rPr>
                <w:rFonts w:hint="eastAsia" w:ascii="仿宋" w:hAnsi="仿宋" w:eastAsia="仿宋" w:cs="仿宋"/>
                <w:color w:val="auto"/>
                <w:sz w:val="22"/>
                <w:szCs w:val="22"/>
              </w:rPr>
            </w:pPr>
          </w:p>
        </w:tc>
        <w:tc>
          <w:tcPr>
            <w:tcW w:w="2394"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50" w:type="dxa"/>
            <w:noWrap w:val="0"/>
            <w:vAlign w:val="center"/>
          </w:tcPr>
          <w:p>
            <w:pPr>
              <w:ind w:firstLine="592"/>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2979" w:type="dxa"/>
            <w:noWrap w:val="0"/>
            <w:vAlign w:val="center"/>
          </w:tcPr>
          <w:p>
            <w:pPr>
              <w:ind w:firstLine="592"/>
              <w:jc w:val="center"/>
              <w:rPr>
                <w:rFonts w:hint="eastAsia" w:ascii="仿宋" w:hAnsi="仿宋" w:eastAsia="仿宋" w:cs="仿宋"/>
                <w:color w:val="auto"/>
                <w:sz w:val="22"/>
                <w:szCs w:val="22"/>
              </w:rPr>
            </w:pPr>
          </w:p>
        </w:tc>
        <w:tc>
          <w:tcPr>
            <w:tcW w:w="2394"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50" w:type="dxa"/>
            <w:noWrap w:val="0"/>
            <w:vAlign w:val="center"/>
          </w:tcPr>
          <w:p>
            <w:pPr>
              <w:ind w:firstLine="592"/>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2979" w:type="dxa"/>
            <w:noWrap w:val="0"/>
            <w:vAlign w:val="center"/>
          </w:tcPr>
          <w:p>
            <w:pPr>
              <w:ind w:firstLine="592"/>
              <w:jc w:val="center"/>
              <w:rPr>
                <w:rFonts w:hint="eastAsia" w:ascii="仿宋" w:hAnsi="仿宋" w:eastAsia="仿宋" w:cs="仿宋"/>
                <w:color w:val="auto"/>
                <w:sz w:val="22"/>
                <w:szCs w:val="22"/>
              </w:rPr>
            </w:pPr>
          </w:p>
        </w:tc>
        <w:tc>
          <w:tcPr>
            <w:tcW w:w="2394"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50" w:type="dxa"/>
            <w:noWrap w:val="0"/>
            <w:vAlign w:val="center"/>
          </w:tcPr>
          <w:p>
            <w:pPr>
              <w:ind w:firstLine="592"/>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2979" w:type="dxa"/>
            <w:noWrap w:val="0"/>
            <w:vAlign w:val="center"/>
          </w:tcPr>
          <w:p>
            <w:pPr>
              <w:ind w:firstLine="592"/>
              <w:jc w:val="center"/>
              <w:rPr>
                <w:rFonts w:hint="eastAsia" w:ascii="仿宋" w:hAnsi="仿宋" w:eastAsia="仿宋" w:cs="仿宋"/>
                <w:color w:val="auto"/>
                <w:sz w:val="22"/>
                <w:szCs w:val="22"/>
              </w:rPr>
            </w:pPr>
          </w:p>
        </w:tc>
        <w:tc>
          <w:tcPr>
            <w:tcW w:w="2394"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50" w:type="dxa"/>
            <w:noWrap w:val="0"/>
            <w:vAlign w:val="center"/>
          </w:tcPr>
          <w:p>
            <w:pPr>
              <w:ind w:firstLine="592"/>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2979" w:type="dxa"/>
            <w:noWrap w:val="0"/>
            <w:vAlign w:val="center"/>
          </w:tcPr>
          <w:p>
            <w:pPr>
              <w:ind w:firstLine="592"/>
              <w:jc w:val="center"/>
              <w:rPr>
                <w:rFonts w:hint="eastAsia" w:ascii="仿宋" w:hAnsi="仿宋" w:eastAsia="仿宋" w:cs="仿宋"/>
                <w:color w:val="auto"/>
                <w:sz w:val="22"/>
                <w:szCs w:val="22"/>
              </w:rPr>
            </w:pPr>
          </w:p>
        </w:tc>
        <w:tc>
          <w:tcPr>
            <w:tcW w:w="2394"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50" w:type="dxa"/>
            <w:noWrap w:val="0"/>
            <w:vAlign w:val="center"/>
          </w:tcPr>
          <w:p>
            <w:pPr>
              <w:ind w:firstLine="592"/>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2979" w:type="dxa"/>
            <w:noWrap w:val="0"/>
            <w:vAlign w:val="center"/>
          </w:tcPr>
          <w:p>
            <w:pPr>
              <w:ind w:firstLine="592"/>
              <w:jc w:val="center"/>
              <w:rPr>
                <w:rFonts w:hint="eastAsia" w:ascii="仿宋" w:hAnsi="仿宋" w:eastAsia="仿宋" w:cs="仿宋"/>
                <w:color w:val="auto"/>
                <w:sz w:val="22"/>
                <w:szCs w:val="22"/>
              </w:rPr>
            </w:pPr>
          </w:p>
        </w:tc>
        <w:tc>
          <w:tcPr>
            <w:tcW w:w="2394"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50" w:type="dxa"/>
            <w:noWrap w:val="0"/>
            <w:vAlign w:val="center"/>
          </w:tcPr>
          <w:p>
            <w:pPr>
              <w:ind w:firstLine="592"/>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2979" w:type="dxa"/>
            <w:noWrap w:val="0"/>
            <w:vAlign w:val="center"/>
          </w:tcPr>
          <w:p>
            <w:pPr>
              <w:ind w:firstLine="592"/>
              <w:jc w:val="center"/>
              <w:rPr>
                <w:rFonts w:hint="eastAsia" w:ascii="仿宋" w:hAnsi="仿宋" w:eastAsia="仿宋" w:cs="仿宋"/>
                <w:color w:val="auto"/>
                <w:sz w:val="22"/>
                <w:szCs w:val="22"/>
              </w:rPr>
            </w:pPr>
          </w:p>
        </w:tc>
        <w:tc>
          <w:tcPr>
            <w:tcW w:w="2394"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50" w:type="dxa"/>
            <w:noWrap w:val="0"/>
            <w:vAlign w:val="center"/>
          </w:tcPr>
          <w:p>
            <w:pPr>
              <w:ind w:firstLine="592"/>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trPr>
        <w:tc>
          <w:tcPr>
            <w:tcW w:w="2979" w:type="dxa"/>
            <w:noWrap w:val="0"/>
            <w:vAlign w:val="center"/>
          </w:tcPr>
          <w:p>
            <w:pPr>
              <w:ind w:firstLine="592"/>
              <w:jc w:val="center"/>
              <w:rPr>
                <w:rFonts w:hint="eastAsia" w:ascii="仿宋" w:hAnsi="仿宋" w:eastAsia="仿宋" w:cs="仿宋"/>
                <w:color w:val="auto"/>
                <w:sz w:val="22"/>
                <w:szCs w:val="22"/>
              </w:rPr>
            </w:pPr>
          </w:p>
        </w:tc>
        <w:tc>
          <w:tcPr>
            <w:tcW w:w="2394"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49" w:type="dxa"/>
            <w:noWrap w:val="0"/>
            <w:vAlign w:val="center"/>
          </w:tcPr>
          <w:p>
            <w:pPr>
              <w:ind w:firstLine="592"/>
              <w:jc w:val="center"/>
              <w:rPr>
                <w:rFonts w:hint="eastAsia" w:ascii="仿宋" w:hAnsi="仿宋" w:eastAsia="仿宋" w:cs="仿宋"/>
                <w:color w:val="auto"/>
                <w:sz w:val="22"/>
                <w:szCs w:val="22"/>
              </w:rPr>
            </w:pPr>
          </w:p>
        </w:tc>
        <w:tc>
          <w:tcPr>
            <w:tcW w:w="1350" w:type="dxa"/>
            <w:noWrap w:val="0"/>
            <w:vAlign w:val="center"/>
          </w:tcPr>
          <w:p>
            <w:pPr>
              <w:ind w:firstLine="592"/>
              <w:jc w:val="center"/>
              <w:rPr>
                <w:rFonts w:hint="eastAsia" w:ascii="仿宋" w:hAnsi="仿宋" w:eastAsia="仿宋" w:cs="仿宋"/>
                <w:color w:val="auto"/>
                <w:sz w:val="22"/>
                <w:szCs w:val="22"/>
              </w:rPr>
            </w:pPr>
          </w:p>
        </w:tc>
      </w:tr>
    </w:tbl>
    <w:p>
      <w:pPr>
        <w:autoSpaceDE w:val="0"/>
        <w:autoSpaceDN w:val="0"/>
        <w:spacing w:line="360" w:lineRule="auto"/>
        <w:rPr>
          <w:rFonts w:ascii="仿宋" w:hAnsi="仿宋" w:eastAsia="仿宋" w:cs="仿宋_GB2312"/>
          <w:b/>
          <w:color w:val="auto"/>
          <w:sz w:val="24"/>
        </w:rPr>
      </w:pPr>
      <w:r>
        <w:rPr>
          <w:rFonts w:hint="eastAsia" w:ascii="仿宋" w:hAnsi="仿宋" w:eastAsia="仿宋" w:cs="仿宋_GB2312"/>
          <w:b/>
          <w:color w:val="auto"/>
          <w:kern w:val="0"/>
          <w:sz w:val="24"/>
        </w:rPr>
        <w:t>注：1.</w:t>
      </w:r>
      <w:r>
        <w:rPr>
          <w:rFonts w:hint="eastAsia" w:ascii="仿宋" w:hAnsi="仿宋" w:eastAsia="仿宋" w:cs="仿宋_GB2312"/>
          <w:b/>
          <w:color w:val="auto"/>
          <w:sz w:val="24"/>
        </w:rPr>
        <w:t>如果本项目涉及硬件设备采购，须在技术文件中提供此配置清单，提供主要投标产品的技术参数证明材料（如官网截图、产品彩页、原厂技术说明等）。</w:t>
      </w:r>
    </w:p>
    <w:p>
      <w:pPr>
        <w:autoSpaceDE w:val="0"/>
        <w:autoSpaceDN w:val="0"/>
        <w:spacing w:line="360" w:lineRule="auto"/>
        <w:rPr>
          <w:rFonts w:ascii="仿宋" w:hAnsi="仿宋" w:eastAsia="仿宋"/>
          <w:b/>
          <w:color w:val="auto"/>
          <w:spacing w:val="6"/>
          <w:sz w:val="24"/>
        </w:rPr>
      </w:pPr>
      <w:r>
        <w:rPr>
          <w:rFonts w:hint="eastAsia" w:ascii="仿宋" w:hAnsi="仿宋" w:eastAsia="仿宋"/>
          <w:b/>
          <w:color w:val="auto"/>
          <w:spacing w:val="6"/>
          <w:sz w:val="24"/>
        </w:rPr>
        <w:t>2.</w:t>
      </w:r>
      <w:r>
        <w:rPr>
          <w:rFonts w:hint="eastAsia" w:ascii="仿宋" w:hAnsi="仿宋" w:eastAsia="仿宋" w:cs="仿宋_GB2312"/>
          <w:b/>
          <w:color w:val="auto"/>
          <w:sz w:val="24"/>
        </w:rPr>
        <w:t xml:space="preserve"> 本项目如需采购政府强制采购的节能产品的或投标人提供的产品是环境标志产品，投标人须提供节能产品、环境标志产品认证证书复印件。</w:t>
      </w:r>
    </w:p>
    <w:p>
      <w:pPr>
        <w:spacing w:line="460" w:lineRule="atLeast"/>
        <w:ind w:firstLine="1019" w:firstLineChars="392"/>
        <w:rPr>
          <w:rFonts w:hint="eastAsia" w:ascii="仿宋" w:hAnsi="仿宋" w:eastAsia="仿宋" w:cs="仿宋"/>
          <w:color w:val="auto"/>
          <w:spacing w:val="20"/>
          <w:sz w:val="22"/>
          <w:szCs w:val="22"/>
        </w:rPr>
      </w:pPr>
    </w:p>
    <w:p>
      <w:pPr>
        <w:rPr>
          <w:rFonts w:hint="eastAsia" w:ascii="仿宋" w:hAnsi="仿宋" w:eastAsia="仿宋" w:cs="仿宋"/>
          <w:color w:val="auto"/>
        </w:rPr>
      </w:pPr>
    </w:p>
    <w:p>
      <w:pPr>
        <w:snapToGrid w:val="0"/>
        <w:spacing w:line="360" w:lineRule="auto"/>
        <w:ind w:firstLine="5160" w:firstLineChars="215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pacing w:line="360" w:lineRule="auto"/>
        <w:jc w:val="center"/>
        <w:rPr>
          <w:rFonts w:hint="eastAsia" w:ascii="仿宋" w:hAnsi="仿宋" w:eastAsia="仿宋" w:cs="仿宋"/>
          <w:b/>
          <w:color w:val="auto"/>
          <w:sz w:val="24"/>
        </w:rPr>
      </w:pPr>
    </w:p>
    <w:sectPr>
      <w:headerReference r:id="rId21" w:type="first"/>
      <w:footerReference r:id="rId24" w:type="first"/>
      <w:headerReference r:id="rId20" w:type="default"/>
      <w:footerReference r:id="rId22" w:type="default"/>
      <w:footerReference r:id="rId23" w:type="even"/>
      <w:pgSz w:w="11905" w:h="16838"/>
      <w:pgMar w:top="1440" w:right="1083" w:bottom="1440" w:left="1083" w:header="567" w:footer="567"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方正公文黑体"/>
    <w:panose1 w:val="00000000000000000000"/>
    <w:charset w:val="00"/>
    <w:family w:val="roman"/>
    <w:pitch w:val="default"/>
    <w:sig w:usb0="00000000" w:usb1="00000000" w:usb2="00000000" w:usb3="00000000" w:csb0="00040001" w:csb1="00000000"/>
  </w:font>
  <w:font w:name="方正公文黑体">
    <w:panose1 w:val="02000500000000000000"/>
    <w:charset w:val="86"/>
    <w:family w:val="auto"/>
    <w:pitch w:val="default"/>
    <w:sig w:usb0="A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方正公文黑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方正公文黑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33" w:name="_Toc91899912"/>
    <w:bookmarkStart w:id="434" w:name="_Toc36110187"/>
    <w:bookmarkStart w:id="435" w:name="_Toc131845147"/>
    <w:bookmarkStart w:id="436" w:name="_Toc164085800"/>
    <w:r>
      <w:rPr>
        <w:rFonts w:hint="eastAsia" w:ascii="仿宋_GB2312" w:eastAsia="仿宋_GB2312"/>
        <w:kern w:val="0"/>
        <w:szCs w:val="21"/>
      </w:rPr>
      <w:t xml:space="preserve"> 页</w:t>
    </w:r>
    <w:bookmarkEnd w:id="433"/>
    <w:bookmarkEnd w:id="434"/>
    <w:bookmarkEnd w:id="435"/>
    <w:bookmarkEnd w:id="43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pPr>
    <w:r>
      <w:drawing>
        <wp:inline distT="0" distB="0" distL="114300" distR="114300">
          <wp:extent cx="545465" cy="432435"/>
          <wp:effectExtent l="0" t="0" r="6985"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rPr>
        <w:rFonts w:hint="eastAsia"/>
        <w:lang w:val="en-US" w:eastAsia="zh-CN"/>
      </w:rPr>
      <w:t xml:space="preserve">                                               </w:t>
    </w:r>
    <w:r>
      <w:rPr>
        <w:rFonts w:hint="eastAsia"/>
      </w:rPr>
      <w:t>2023年台州市</w:t>
    </w:r>
    <w:r>
      <w:rPr>
        <w:rFonts w:hint="eastAsia"/>
        <w:lang w:eastAsia="zh-CN"/>
      </w:rPr>
      <w:t>环境质量</w:t>
    </w:r>
    <w:r>
      <w:rPr>
        <w:rFonts w:hint="eastAsia"/>
      </w:rPr>
      <w:t>自动监测智能化建设项目</w:t>
    </w:r>
    <w:r>
      <w:rPr>
        <w:rFonts w:hint="eastAsia"/>
        <w:lang w:eastAsia="zh-CN"/>
      </w:rPr>
      <w:t>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hint="eastAsia" w:ascii="仿宋_GB2312" w:eastAsia="宋体"/>
        <w:b/>
        <w:i/>
        <w:iCs/>
        <w:u w:val="single"/>
        <w:lang w:eastAsia="zh-CN"/>
      </w:rPr>
    </w:pPr>
    <w:r>
      <w:drawing>
        <wp:inline distT="0" distB="0" distL="114300" distR="114300">
          <wp:extent cx="545465" cy="432435"/>
          <wp:effectExtent l="0" t="0" r="6985" b="571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2023年台州市环境质量自动监测智能化建设项目</w:t>
    </w:r>
    <w:r>
      <w:rPr>
        <w:rFonts w:hint="eastAsia" w:ascii="仿宋" w:hAnsi="仿宋" w:eastAsia="仿宋" w:cs="仿宋"/>
      </w:rPr>
      <w:t>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eastAsia="宋体"/>
        <w:lang w:eastAsia="zh-CN"/>
      </w:rPr>
    </w:pPr>
    <w:r>
      <w:t></w:t>
    </w:r>
    <w:r>
      <w:rPr>
        <w:rFonts w:hint="eastAsia"/>
      </w:rPr>
      <w:t xml:space="preserve">                                             </w:t>
    </w:r>
    <w:r>
      <w:rPr>
        <w:rFonts w:hint="eastAsia"/>
        <w:lang w:eastAsia="zh-CN"/>
      </w:rPr>
      <w:t xml:space="preserve"> 2023年台州市环境质量自动监测智能化建设项目公开招标文件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pPr>
    <w:r>
      <w:drawing>
        <wp:inline distT="0" distB="0" distL="114300" distR="114300">
          <wp:extent cx="545465" cy="432435"/>
          <wp:effectExtent l="0" t="0" r="6985" b="571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rPr>
        <w:rFonts w:hint="eastAsia"/>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rPr>
      <w:t>2023年台州市</w:t>
    </w:r>
    <w:r>
      <w:rPr>
        <w:rFonts w:hint="eastAsia" w:ascii="仿宋" w:hAnsi="仿宋" w:eastAsia="仿宋" w:cs="仿宋"/>
        <w:lang w:eastAsia="zh-CN"/>
      </w:rPr>
      <w:t>环境质量</w:t>
    </w:r>
    <w:r>
      <w:rPr>
        <w:rFonts w:hint="eastAsia" w:ascii="仿宋" w:hAnsi="仿宋" w:eastAsia="仿宋" w:cs="仿宋"/>
      </w:rPr>
      <w:t>自动监测智能化建设项目</w:t>
    </w:r>
    <w:r>
      <w:rPr>
        <w:rFonts w:hint="eastAsia" w:ascii="仿宋" w:hAnsi="仿宋" w:eastAsia="仿宋" w:cs="仿宋"/>
        <w:lang w:eastAsia="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left"/>
    </w:pPr>
    <w:r>
      <w:drawing>
        <wp:inline distT="0" distB="0" distL="114300" distR="114300">
          <wp:extent cx="545465" cy="432435"/>
          <wp:effectExtent l="0" t="0" r="698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lang w:val="en-US" w:eastAsia="zh-CN"/>
      </w:rPr>
      <w:t xml:space="preserve">                           </w:t>
    </w:r>
    <w:r>
      <w:t></w:t>
    </w:r>
    <w:r>
      <w:rPr>
        <w:rFonts w:hint="eastAsia" w:ascii="仿宋" w:hAnsi="仿宋" w:eastAsia="仿宋" w:cs="仿宋"/>
      </w:rPr>
      <w:t>2023年台州市</w:t>
    </w:r>
    <w:r>
      <w:rPr>
        <w:rFonts w:hint="eastAsia" w:ascii="仿宋" w:hAnsi="仿宋" w:eastAsia="仿宋" w:cs="仿宋"/>
        <w:lang w:eastAsia="zh-CN"/>
      </w:rPr>
      <w:t>环境质量</w:t>
    </w:r>
    <w:r>
      <w:rPr>
        <w:rFonts w:hint="eastAsia" w:ascii="仿宋" w:hAnsi="仿宋" w:eastAsia="仿宋" w:cs="仿宋"/>
      </w:rPr>
      <w:t>自动监测智能化建设项目公开招标文件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hint="eastAsia" w:ascii="仿宋_GB2312" w:eastAsia="宋体"/>
        <w:b/>
        <w:i/>
        <w:u w:val="single"/>
        <w:lang w:eastAsia="zh-CN"/>
      </w:rPr>
    </w:pPr>
    <w:r>
      <w:rPr>
        <w:rFonts w:hint="eastAsia"/>
      </w:rPr>
      <w:t xml:space="preserve"> </w:t>
    </w:r>
    <w:r>
      <w:drawing>
        <wp:inline distT="0" distB="0" distL="114300" distR="114300">
          <wp:extent cx="545465" cy="432435"/>
          <wp:effectExtent l="0" t="0" r="6985" b="571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2023年台州市环境质量自动监测智能化建设项目</w:t>
    </w:r>
    <w:r>
      <w:rPr>
        <w:rFonts w:hint="eastAsia" w:ascii="仿宋" w:hAnsi="仿宋" w:eastAsia="仿宋" w:cs="仿宋"/>
      </w:rPr>
      <w:t>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pPr>
    <w:r>
      <w:drawing>
        <wp:inline distT="0" distB="0" distL="114300" distR="114300">
          <wp:extent cx="545465" cy="432435"/>
          <wp:effectExtent l="0" t="0" r="6985" b="57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2023年台州市环境质量自动监测智能化建设项目</w:t>
    </w:r>
    <w:r>
      <w:rPr>
        <w:rFonts w:hint="eastAsia" w:ascii="仿宋" w:hAnsi="仿宋" w:eastAsia="仿宋" w:cs="仿宋"/>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pPr>
    <w:r>
      <w:drawing>
        <wp:inline distT="0" distB="0" distL="114300" distR="114300">
          <wp:extent cx="545465" cy="432435"/>
          <wp:effectExtent l="0" t="0" r="6985" b="571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2023年台州市环境质量自动监测智能化建设项目</w:t>
    </w:r>
    <w:r>
      <w:rPr>
        <w:rFonts w:hint="eastAsia" w:ascii="仿宋" w:hAnsi="仿宋" w:eastAsia="仿宋" w:cs="仿宋"/>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 xml:space="preserve"> 2023年台州市环境质量自动监测智能化建设项目公开招标文件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u w:val="single"/>
        <w:lang w:eastAsia="zh-CN"/>
      </w:rPr>
    </w:pPr>
    <w:r>
      <w:rPr>
        <w:rFonts w:hint="eastAsia"/>
      </w:rPr>
      <w:t xml:space="preserve">                                  </w:t>
    </w:r>
    <w:r>
      <w:rPr>
        <w:rFonts w:hint="eastAsia"/>
        <w:lang w:eastAsia="zh-CN"/>
      </w:rPr>
      <w:t xml:space="preserve"> 2023年台州市环境质量自动监测智能化建设项目公开招标文件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eastAsia="宋体"/>
        <w:lang w:eastAsia="zh-CN"/>
      </w:rPr>
    </w:pPr>
    <w:r>
      <w:rPr>
        <w:rFonts w:hint="eastAsia"/>
      </w:rPr>
      <w:t xml:space="preserve">                                                                                                        </w:t>
    </w:r>
    <w:r>
      <w:rPr>
        <w:rFonts w:hint="eastAsia"/>
        <w:lang w:eastAsia="zh-CN"/>
      </w:rPr>
      <w:t xml:space="preserve"> 2023年台州市环境质量自动监测智能化建设项目公开招标文件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3C3F9"/>
    <w:multiLevelType w:val="singleLevel"/>
    <w:tmpl w:val="B7E3C3F9"/>
    <w:lvl w:ilvl="0" w:tentative="0">
      <w:start w:val="1"/>
      <w:numFmt w:val="chineseCounting"/>
      <w:suff w:val="nothing"/>
      <w:lvlText w:val="%1、"/>
      <w:lvlJc w:val="left"/>
      <w:rPr>
        <w:rFonts w:hint="eastAsia"/>
      </w:rPr>
    </w:lvl>
  </w:abstractNum>
  <w:abstractNum w:abstractNumId="1">
    <w:nsid w:val="B8AA487A"/>
    <w:multiLevelType w:val="singleLevel"/>
    <w:tmpl w:val="B8AA487A"/>
    <w:lvl w:ilvl="0" w:tentative="0">
      <w:start w:val="1"/>
      <w:numFmt w:val="decimal"/>
      <w:suff w:val="nothing"/>
      <w:lvlText w:val="（%1）"/>
      <w:lvlJc w:val="left"/>
    </w:lvl>
  </w:abstractNum>
  <w:abstractNum w:abstractNumId="2">
    <w:nsid w:val="29F6A3B0"/>
    <w:multiLevelType w:val="singleLevel"/>
    <w:tmpl w:val="29F6A3B0"/>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NzEwYTRiNmZiNjYxYjc4ODNiMTlmMjBiNjdmMj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4970A8"/>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A4897"/>
    <w:rsid w:val="048F763B"/>
    <w:rsid w:val="049F330E"/>
    <w:rsid w:val="04AA775C"/>
    <w:rsid w:val="04AF1889"/>
    <w:rsid w:val="04F66F48"/>
    <w:rsid w:val="05251E14"/>
    <w:rsid w:val="05822BFD"/>
    <w:rsid w:val="05A16594"/>
    <w:rsid w:val="05A7762D"/>
    <w:rsid w:val="060E5941"/>
    <w:rsid w:val="06110FAF"/>
    <w:rsid w:val="06493CA7"/>
    <w:rsid w:val="065A6178"/>
    <w:rsid w:val="065B3401"/>
    <w:rsid w:val="066F1CF3"/>
    <w:rsid w:val="06930BB8"/>
    <w:rsid w:val="07245D42"/>
    <w:rsid w:val="07264C62"/>
    <w:rsid w:val="0779354C"/>
    <w:rsid w:val="07DD1966"/>
    <w:rsid w:val="08061376"/>
    <w:rsid w:val="08452D77"/>
    <w:rsid w:val="086401F8"/>
    <w:rsid w:val="08751CAA"/>
    <w:rsid w:val="087E4C40"/>
    <w:rsid w:val="08A871D0"/>
    <w:rsid w:val="08D66AD6"/>
    <w:rsid w:val="08DA33A3"/>
    <w:rsid w:val="08E80F13"/>
    <w:rsid w:val="09033BE6"/>
    <w:rsid w:val="09335624"/>
    <w:rsid w:val="0944690F"/>
    <w:rsid w:val="09535675"/>
    <w:rsid w:val="095F057D"/>
    <w:rsid w:val="09642282"/>
    <w:rsid w:val="09733572"/>
    <w:rsid w:val="09772C16"/>
    <w:rsid w:val="098353B5"/>
    <w:rsid w:val="09A92330"/>
    <w:rsid w:val="09B06B87"/>
    <w:rsid w:val="09C13146"/>
    <w:rsid w:val="09E04166"/>
    <w:rsid w:val="09F5216B"/>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4C1BB0"/>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46774"/>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FC545F"/>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AD9684"/>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F83F1D"/>
    <w:rsid w:val="1F0A0FF3"/>
    <w:rsid w:val="1F5771FF"/>
    <w:rsid w:val="1FD52DD5"/>
    <w:rsid w:val="1FE868A9"/>
    <w:rsid w:val="20034907"/>
    <w:rsid w:val="20173E4B"/>
    <w:rsid w:val="204E48BC"/>
    <w:rsid w:val="208921B3"/>
    <w:rsid w:val="20973DEB"/>
    <w:rsid w:val="20B26522"/>
    <w:rsid w:val="20B44310"/>
    <w:rsid w:val="211116EB"/>
    <w:rsid w:val="216133FC"/>
    <w:rsid w:val="21C726D9"/>
    <w:rsid w:val="21D56769"/>
    <w:rsid w:val="21E52EF3"/>
    <w:rsid w:val="21FB5D7B"/>
    <w:rsid w:val="22015E94"/>
    <w:rsid w:val="220B1C3D"/>
    <w:rsid w:val="221D1D20"/>
    <w:rsid w:val="22334A87"/>
    <w:rsid w:val="22721D38"/>
    <w:rsid w:val="22BE6801"/>
    <w:rsid w:val="230D2B83"/>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D014C9"/>
    <w:rsid w:val="25F74A5C"/>
    <w:rsid w:val="2628662C"/>
    <w:rsid w:val="262D45DE"/>
    <w:rsid w:val="26871DC8"/>
    <w:rsid w:val="26A53EF9"/>
    <w:rsid w:val="26A94201"/>
    <w:rsid w:val="26AC274F"/>
    <w:rsid w:val="27044A29"/>
    <w:rsid w:val="271D34C8"/>
    <w:rsid w:val="276142BF"/>
    <w:rsid w:val="27783712"/>
    <w:rsid w:val="27907362"/>
    <w:rsid w:val="28333E1D"/>
    <w:rsid w:val="28376AC0"/>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523F5D"/>
    <w:rsid w:val="32534937"/>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BFA1E3"/>
    <w:rsid w:val="37EE7094"/>
    <w:rsid w:val="38296C89"/>
    <w:rsid w:val="383002EB"/>
    <w:rsid w:val="38586797"/>
    <w:rsid w:val="38BC0149"/>
    <w:rsid w:val="38D87D1C"/>
    <w:rsid w:val="3903322F"/>
    <w:rsid w:val="39636459"/>
    <w:rsid w:val="396B7F6C"/>
    <w:rsid w:val="39B417A9"/>
    <w:rsid w:val="39FC5695"/>
    <w:rsid w:val="3A006D8E"/>
    <w:rsid w:val="3A3651E5"/>
    <w:rsid w:val="3A58698B"/>
    <w:rsid w:val="3A744481"/>
    <w:rsid w:val="3A8C7BEF"/>
    <w:rsid w:val="3A906246"/>
    <w:rsid w:val="3B2349B7"/>
    <w:rsid w:val="3B616CFF"/>
    <w:rsid w:val="3B6259F6"/>
    <w:rsid w:val="3B976654"/>
    <w:rsid w:val="3BC01EFC"/>
    <w:rsid w:val="3BCA786A"/>
    <w:rsid w:val="3BD31E2F"/>
    <w:rsid w:val="3BF15831"/>
    <w:rsid w:val="3C105946"/>
    <w:rsid w:val="3C447FE2"/>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C15"/>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1F93A10"/>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EF7B23"/>
    <w:rsid w:val="49F6167F"/>
    <w:rsid w:val="4A064FA0"/>
    <w:rsid w:val="4A16615C"/>
    <w:rsid w:val="4A4424D7"/>
    <w:rsid w:val="4AB82D0F"/>
    <w:rsid w:val="4AEB7664"/>
    <w:rsid w:val="4AFD7C19"/>
    <w:rsid w:val="4B0567D1"/>
    <w:rsid w:val="4B236AAE"/>
    <w:rsid w:val="4B707271"/>
    <w:rsid w:val="4B9739F7"/>
    <w:rsid w:val="4BDF193C"/>
    <w:rsid w:val="4BEE2503"/>
    <w:rsid w:val="4C245A30"/>
    <w:rsid w:val="4CB6685F"/>
    <w:rsid w:val="4CC367FE"/>
    <w:rsid w:val="4D077F3C"/>
    <w:rsid w:val="4D123355"/>
    <w:rsid w:val="4D2A3B31"/>
    <w:rsid w:val="4D312C52"/>
    <w:rsid w:val="4D83582C"/>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57C38"/>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4732C2"/>
    <w:rsid w:val="5A5D3B6E"/>
    <w:rsid w:val="5A637A76"/>
    <w:rsid w:val="5A6D33BA"/>
    <w:rsid w:val="5A792B1F"/>
    <w:rsid w:val="5A874767"/>
    <w:rsid w:val="5AA85BE2"/>
    <w:rsid w:val="5AAD6F28"/>
    <w:rsid w:val="5AD3266C"/>
    <w:rsid w:val="5AD63A24"/>
    <w:rsid w:val="5B2E1A1D"/>
    <w:rsid w:val="5B843A1C"/>
    <w:rsid w:val="5B873E3F"/>
    <w:rsid w:val="5C02690E"/>
    <w:rsid w:val="5C196DA7"/>
    <w:rsid w:val="5C2A048C"/>
    <w:rsid w:val="5C80234E"/>
    <w:rsid w:val="5C8A680C"/>
    <w:rsid w:val="5D0C4701"/>
    <w:rsid w:val="5D0F0395"/>
    <w:rsid w:val="5D1909AC"/>
    <w:rsid w:val="5D221076"/>
    <w:rsid w:val="5D397964"/>
    <w:rsid w:val="5D5A391C"/>
    <w:rsid w:val="5D5F10C0"/>
    <w:rsid w:val="5D891B7B"/>
    <w:rsid w:val="5DAD38EE"/>
    <w:rsid w:val="5E006862"/>
    <w:rsid w:val="5E0207B9"/>
    <w:rsid w:val="5E1834A1"/>
    <w:rsid w:val="5E261785"/>
    <w:rsid w:val="5E4A7017"/>
    <w:rsid w:val="5E552BBA"/>
    <w:rsid w:val="5E611C10"/>
    <w:rsid w:val="5E7A0F3F"/>
    <w:rsid w:val="5EDF067E"/>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8140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F57456"/>
    <w:rsid w:val="691664E5"/>
    <w:rsid w:val="693E15D3"/>
    <w:rsid w:val="69627681"/>
    <w:rsid w:val="6977531D"/>
    <w:rsid w:val="69CC2BFF"/>
    <w:rsid w:val="69FD55B8"/>
    <w:rsid w:val="6A0B1C62"/>
    <w:rsid w:val="6A2406C8"/>
    <w:rsid w:val="6AB02CA6"/>
    <w:rsid w:val="6ADE0BD1"/>
    <w:rsid w:val="6AE96859"/>
    <w:rsid w:val="6B147746"/>
    <w:rsid w:val="6B24787C"/>
    <w:rsid w:val="6B573233"/>
    <w:rsid w:val="6B5B6274"/>
    <w:rsid w:val="6B935D53"/>
    <w:rsid w:val="6C196F71"/>
    <w:rsid w:val="6C226FCB"/>
    <w:rsid w:val="6C31226F"/>
    <w:rsid w:val="6C552F0B"/>
    <w:rsid w:val="6C631946"/>
    <w:rsid w:val="6C8C67B7"/>
    <w:rsid w:val="6C9D744C"/>
    <w:rsid w:val="6D167928"/>
    <w:rsid w:val="6D26299B"/>
    <w:rsid w:val="6D4772EC"/>
    <w:rsid w:val="6D593A86"/>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3E0290"/>
    <w:rsid w:val="725923E4"/>
    <w:rsid w:val="72864BF7"/>
    <w:rsid w:val="729023FC"/>
    <w:rsid w:val="72BD382B"/>
    <w:rsid w:val="73C0646E"/>
    <w:rsid w:val="742222F5"/>
    <w:rsid w:val="74476126"/>
    <w:rsid w:val="74706664"/>
    <w:rsid w:val="747F3682"/>
    <w:rsid w:val="749C4185"/>
    <w:rsid w:val="75067759"/>
    <w:rsid w:val="75131D5F"/>
    <w:rsid w:val="752E6DCD"/>
    <w:rsid w:val="7551380D"/>
    <w:rsid w:val="75600BE5"/>
    <w:rsid w:val="7564475C"/>
    <w:rsid w:val="7583797F"/>
    <w:rsid w:val="75D20F1D"/>
    <w:rsid w:val="75DA2C18"/>
    <w:rsid w:val="75F54412"/>
    <w:rsid w:val="760320FA"/>
    <w:rsid w:val="761D08E0"/>
    <w:rsid w:val="765D347C"/>
    <w:rsid w:val="76826699"/>
    <w:rsid w:val="76A17DC2"/>
    <w:rsid w:val="76C87133"/>
    <w:rsid w:val="76CD08D5"/>
    <w:rsid w:val="76DB4B92"/>
    <w:rsid w:val="76FD013A"/>
    <w:rsid w:val="77052AA4"/>
    <w:rsid w:val="77136511"/>
    <w:rsid w:val="77340A39"/>
    <w:rsid w:val="77351FD0"/>
    <w:rsid w:val="77472422"/>
    <w:rsid w:val="777F31F2"/>
    <w:rsid w:val="77D1700D"/>
    <w:rsid w:val="77EC04CC"/>
    <w:rsid w:val="78775729"/>
    <w:rsid w:val="787E1A12"/>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BFD0AFE"/>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BF57FD"/>
    <w:rsid w:val="BB7FA927"/>
    <w:rsid w:val="CFFD5B5F"/>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Closing"/>
    <w:basedOn w:val="1"/>
    <w:semiHidden/>
    <w:qFormat/>
    <w:uiPriority w:val="0"/>
    <w:pPr>
      <w:ind w:left="4320"/>
    </w:pPr>
    <w:rPr>
      <w:kern w:val="1"/>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4"/>
    <w:qFormat/>
    <w:uiPriority w:val="0"/>
    <w:rPr>
      <w:rFonts w:ascii="宋体" w:hAnsi="Courier New" w:cs="Arial"/>
      <w:snapToGrid w:val="0"/>
      <w:szCs w:val="21"/>
    </w:rPr>
  </w:style>
  <w:style w:type="paragraph" w:styleId="34">
    <w:name w:val="Date"/>
    <w:basedOn w:val="1"/>
    <w:next w:val="1"/>
    <w:link w:val="180"/>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able of figures"/>
    <w:basedOn w:val="1"/>
    <w:next w:val="1"/>
    <w:qFormat/>
    <w:uiPriority w:val="0"/>
    <w:pPr>
      <w:ind w:left="200" w:leftChars="200" w:hanging="200" w:hangingChars="200"/>
    </w:p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qFormat/>
    <w:uiPriority w:val="0"/>
    <w:rPr>
      <w:b/>
      <w:bCs/>
    </w:rPr>
  </w:style>
  <w:style w:type="paragraph" w:styleId="62">
    <w:name w:val="Body Text First Indent"/>
    <w:basedOn w:val="24"/>
    <w:next w:val="1"/>
    <w:link w:val="320"/>
    <w:qFormat/>
    <w:uiPriority w:val="0"/>
    <w:pPr>
      <w:ind w:firstLine="420"/>
    </w:pPr>
    <w:rPr>
      <w:rFonts w:hAnsi="Calibri" w:cs="Times New Roman"/>
      <w:snapToGrid/>
      <w:szCs w:val="20"/>
    </w:rPr>
  </w:style>
  <w:style w:type="paragraph" w:styleId="63">
    <w:name w:val="Body Text First Indent 2"/>
    <w:basedOn w:val="25"/>
    <w:next w:val="1"/>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4"/>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965">
    <w:name w:val="DAS正文"/>
    <w:basedOn w:val="1"/>
    <w:qFormat/>
    <w:uiPriority w:val="0"/>
    <w:pPr>
      <w:spacing w:line="360" w:lineRule="auto"/>
      <w:ind w:right="181" w:firstLine="480" w:firstLineChars="200"/>
    </w:pPr>
    <w:rPr>
      <w:rFonts w:ascii="Verdana" w:hAnsi="Verdana"/>
    </w:rPr>
  </w:style>
  <w:style w:type="paragraph" w:customStyle="1" w:styleId="96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png"/><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34864</Words>
  <Characters>37919</Characters>
  <Lines>281</Lines>
  <Paragraphs>79</Paragraphs>
  <TotalTime>0</TotalTime>
  <ScaleCrop>false</ScaleCrop>
  <LinksUpToDate>false</LinksUpToDate>
  <CharactersWithSpaces>40383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睡不醒</cp:lastModifiedBy>
  <cp:lastPrinted>2021-12-28T19:06:00Z</cp:lastPrinted>
  <dcterms:modified xsi:type="dcterms:W3CDTF">2023-07-10T01:46:53Z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