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themeColor="text1"/>
          <w:kern w:val="0"/>
          <w:sz w:val="52"/>
          <w:szCs w:val="52"/>
          <w14:textFill>
            <w14:solidFill>
              <w14:schemeClr w14:val="tx1"/>
            </w14:solidFill>
          </w14:textFill>
        </w:rPr>
      </w:pPr>
      <w:r>
        <w:rPr>
          <w:rFonts w:hint="eastAsia" w:ascii="宋体"/>
          <w:b/>
          <w:color w:val="000000" w:themeColor="text1"/>
          <w:kern w:val="0"/>
          <w:sz w:val="52"/>
          <w:szCs w:val="52"/>
          <w14:textFill>
            <w14:solidFill>
              <w14:schemeClr w14:val="tx1"/>
            </w14:solidFill>
          </w14:textFill>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000000" w:themeColor="text1"/>
          <w:kern w:val="0"/>
          <w:sz w:val="52"/>
          <w:szCs w:val="52"/>
          <w14:textFill>
            <w14:solidFill>
              <w14:schemeClr w14:val="tx1"/>
            </w14:solidFill>
          </w14:textFill>
        </w:rPr>
      </w:pPr>
      <w:r>
        <w:rPr>
          <w:rFonts w:hint="eastAsia" w:ascii="宋体"/>
          <w:b/>
          <w:color w:val="000000" w:themeColor="text1"/>
          <w:kern w:val="0"/>
          <w:sz w:val="52"/>
          <w:szCs w:val="52"/>
          <w14:textFill>
            <w14:solidFill>
              <w14:schemeClr w14:val="tx1"/>
            </w14:solidFill>
          </w14:textFill>
        </w:rPr>
        <w:t>台州市政府采购招标文件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color w:val="000000" w:themeColor="text1"/>
          <w:kern w:val="0"/>
          <w:sz w:val="32"/>
          <w14:textFill>
            <w14:solidFill>
              <w14:schemeClr w14:val="tx1"/>
            </w14:solidFill>
          </w14:textFill>
        </w:rPr>
      </w:pPr>
      <w:r>
        <w:rPr>
          <w:rFonts w:hint="eastAsia" w:ascii="宋体"/>
          <w:b/>
          <w:color w:val="000000" w:themeColor="text1"/>
          <w:kern w:val="0"/>
          <w:sz w:val="32"/>
          <w14:textFill>
            <w14:solidFill>
              <w14:schemeClr w14:val="tx1"/>
            </w14:solidFill>
          </w14:textFill>
        </w:rPr>
        <w:t>TZ</w:t>
      </w:r>
      <w:r>
        <w:rPr>
          <w:rFonts w:ascii="宋体"/>
          <w:b/>
          <w:color w:val="000000" w:themeColor="text1"/>
          <w:kern w:val="0"/>
          <w:sz w:val="32"/>
          <w14:textFill>
            <w14:solidFill>
              <w14:schemeClr w14:val="tx1"/>
            </w14:solidFill>
          </w14:textFill>
        </w:rPr>
        <w:t>CG-20</w:t>
      </w:r>
      <w:r>
        <w:rPr>
          <w:rFonts w:hint="eastAsia" w:ascii="宋体"/>
          <w:b/>
          <w:color w:val="000000" w:themeColor="text1"/>
          <w:kern w:val="0"/>
          <w:sz w:val="32"/>
          <w:lang w:val="en-US" w:eastAsia="zh-CN"/>
          <w14:textFill>
            <w14:solidFill>
              <w14:schemeClr w14:val="tx1"/>
            </w14:solidFill>
          </w14:textFill>
        </w:rPr>
        <w:t>21</w:t>
      </w:r>
      <w:r>
        <w:rPr>
          <w:rFonts w:ascii="宋体"/>
          <w:b/>
          <w:color w:val="000000" w:themeColor="text1"/>
          <w:kern w:val="0"/>
          <w:sz w:val="32"/>
          <w14:textFill>
            <w14:solidFill>
              <w14:schemeClr w14:val="tx1"/>
            </w14:solidFill>
          </w14:textFill>
        </w:rPr>
        <w:t>-</w:t>
      </w:r>
      <w:r>
        <w:rPr>
          <w:rFonts w:hint="eastAsia" w:ascii="宋体"/>
          <w:b/>
          <w:color w:val="000000" w:themeColor="text1"/>
          <w:kern w:val="0"/>
          <w:sz w:val="32"/>
          <w14:textFill>
            <w14:solidFill>
              <w14:schemeClr w14:val="tx1"/>
            </w14:solidFill>
          </w14:textFill>
        </w:rPr>
        <w:t>GK</w:t>
      </w:r>
      <w:r>
        <w:rPr>
          <w:rFonts w:hint="eastAsia" w:ascii="宋体"/>
          <w:b/>
          <w:color w:val="000000" w:themeColor="text1"/>
          <w:kern w:val="0"/>
          <w:sz w:val="32"/>
          <w:lang w:val="en-US" w:eastAsia="zh-CN"/>
          <w14:textFill>
            <w14:solidFill>
              <w14:schemeClr w14:val="tx1"/>
            </w14:solidFill>
          </w14:textFill>
        </w:rPr>
        <w:t>017</w:t>
      </w:r>
      <w:r>
        <w:rPr>
          <w:rFonts w:hint="eastAsia" w:ascii="宋体"/>
          <w:b/>
          <w:color w:val="000000" w:themeColor="text1"/>
          <w:kern w:val="0"/>
          <w:sz w:val="32"/>
          <w14:textFill>
            <w14:solidFill>
              <w14:schemeClr w14:val="tx1"/>
            </w14:solidFill>
          </w14:textFill>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color w:val="000000"/>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r>
        <w:rPr>
          <w:rFonts w:hint="eastAsia" w:ascii="宋体"/>
          <w:kern w:val="0"/>
          <w:sz w:val="28"/>
        </w:rPr>
        <w:t>采购项目：</w:t>
      </w:r>
      <w:r>
        <w:rPr>
          <w:rFonts w:hint="eastAsia" w:ascii="宋体"/>
          <w:kern w:val="0"/>
          <w:sz w:val="28"/>
          <w:lang w:eastAsia="zh-CN"/>
        </w:rPr>
        <w:t>公交车</w:t>
      </w:r>
    </w:p>
    <w:p>
      <w:pPr>
        <w:autoSpaceDE w:val="0"/>
        <w:autoSpaceDN w:val="0"/>
        <w:adjustRightInd w:val="0"/>
        <w:spacing w:line="360" w:lineRule="auto"/>
        <w:ind w:left="1441" w:firstLine="280"/>
        <w:rPr>
          <w:rFonts w:hint="eastAsia" w:ascii="宋体"/>
          <w:kern w:val="0"/>
          <w:sz w:val="28"/>
        </w:rPr>
      </w:pPr>
      <w:r>
        <w:rPr>
          <w:rFonts w:hint="eastAsia" w:ascii="宋体"/>
          <w:kern w:val="0"/>
          <w:sz w:val="28"/>
        </w:rPr>
        <w:t xml:space="preserve"> 采购</w:t>
      </w:r>
      <w:r>
        <w:rPr>
          <w:rFonts w:hint="eastAsia" w:ascii="宋体"/>
          <w:kern w:val="0"/>
          <w:sz w:val="28"/>
          <w:lang w:eastAsia="zh-CN"/>
        </w:rPr>
        <w:t>人</w:t>
      </w:r>
      <w:r>
        <w:rPr>
          <w:rFonts w:hint="eastAsia" w:ascii="宋体"/>
          <w:kern w:val="0"/>
          <w:sz w:val="28"/>
        </w:rPr>
        <w:t>：台州市</w:t>
      </w:r>
      <w:r>
        <w:rPr>
          <w:rFonts w:hint="eastAsia" w:ascii="宋体"/>
          <w:kern w:val="0"/>
          <w:sz w:val="28"/>
          <w:lang w:eastAsia="zh-CN"/>
        </w:rPr>
        <w:t>公交巴士有限公司</w:t>
      </w: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hint="eastAsia" w:ascii="宋体" w:hAnsi="宋体" w:cs="宋体"/>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lang w:eastAsia="zh-CN"/>
          <w14:textFill>
            <w14:solidFill>
              <w14:schemeClr w14:val="tx1"/>
            </w14:solidFill>
          </w14:textFill>
        </w:rPr>
        <w:t>台州市政府采购中心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color w:val="000000" w:themeColor="text1"/>
          <w:kern w:val="0"/>
          <w:sz w:val="28"/>
          <w:szCs w:val="28"/>
          <w14:textFill>
            <w14:solidFill>
              <w14:schemeClr w14:val="tx1"/>
            </w14:solidFill>
          </w14:textFill>
        </w:rPr>
        <w:t>20</w:t>
      </w:r>
      <w:r>
        <w:rPr>
          <w:rFonts w:hint="eastAsia" w:ascii="宋体" w:hAnsi="宋体" w:cs="宋体"/>
          <w:color w:val="000000" w:themeColor="text1"/>
          <w:kern w:val="0"/>
          <w:sz w:val="28"/>
          <w:szCs w:val="28"/>
          <w:lang w:val="en-US" w:eastAsia="zh-CN"/>
          <w14:textFill>
            <w14:solidFill>
              <w14:schemeClr w14:val="tx1"/>
            </w14:solidFill>
          </w14:textFill>
        </w:rPr>
        <w:t xml:space="preserve">21 </w:t>
      </w:r>
      <w:r>
        <w:rPr>
          <w:rFonts w:hint="eastAsia" w:ascii="宋体" w:hAnsi="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 xml:space="preserve"> 10 </w:t>
      </w:r>
      <w:r>
        <w:rPr>
          <w:rFonts w:hint="eastAsia" w:ascii="宋体" w:hAnsi="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 xml:space="preserve"> 15 </w:t>
      </w:r>
      <w:r>
        <w:rPr>
          <w:rFonts w:hint="eastAsia" w:ascii="宋体" w:hAnsi="宋体" w:cs="宋体"/>
          <w:color w:val="000000" w:themeColor="text1"/>
          <w:kern w:val="0"/>
          <w:sz w:val="28"/>
          <w:szCs w:val="28"/>
          <w14:textFill>
            <w14:solidFill>
              <w14:schemeClr w14:val="tx1"/>
            </w14:solidFill>
          </w14:textFill>
        </w:rPr>
        <w:t>日</w:t>
      </w:r>
    </w:p>
    <w:p>
      <w:pPr>
        <w:spacing w:line="360" w:lineRule="auto"/>
      </w:pPr>
    </w:p>
    <w:p>
      <w:pPr>
        <w:spacing w:line="360" w:lineRule="auto"/>
      </w:pPr>
    </w:p>
    <w:p>
      <w:pPr>
        <w:jc w:val="center"/>
        <w:rPr>
          <w:rFonts w:ascii="宋体" w:hAnsi="宋体" w:cs="Arial"/>
          <w:b/>
          <w:bCs/>
          <w:color w:val="000000"/>
          <w:sz w:val="36"/>
          <w:szCs w:val="36"/>
        </w:rPr>
      </w:pPr>
      <w:r>
        <w:rPr>
          <w:rFonts w:hint="eastAsia" w:ascii="宋体" w:hAnsi="宋体" w:cs="Arial"/>
          <w:b/>
          <w:bCs/>
          <w:color w:val="000000"/>
          <w:sz w:val="36"/>
          <w:szCs w:val="36"/>
        </w:rPr>
        <w:t>目    录</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pPr>
        <w:spacing w:line="360" w:lineRule="auto"/>
        <w:rPr>
          <w:rFonts w:ascii="新宋体" w:hAnsi="新宋体" w:eastAsia="新宋体"/>
          <w:sz w:val="28"/>
          <w:szCs w:val="28"/>
        </w:rPr>
      </w:pP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公开招标采购公告</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lang w:eastAsia="zh-CN"/>
        </w:rPr>
        <w:t>投标人</w:t>
      </w:r>
      <w:r>
        <w:rPr>
          <w:rFonts w:hint="eastAsia" w:asciiTheme="minorEastAsia" w:hAnsiTheme="minorEastAsia" w:eastAsiaTheme="minorEastAsia"/>
          <w:b/>
          <w:sz w:val="28"/>
          <w:szCs w:val="28"/>
        </w:rPr>
        <w:t>须知</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评标办法及评分标准</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公开招标需求</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政府采购合同主要条款指引</w:t>
      </w:r>
    </w:p>
    <w:p>
      <w:pPr>
        <w:numPr>
          <w:ilvl w:val="0"/>
          <w:numId w:val="2"/>
        </w:num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投标文件格式附件</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tabs>
          <w:tab w:val="left" w:pos="180"/>
          <w:tab w:val="left" w:pos="360"/>
          <w:tab w:val="left" w:pos="540"/>
          <w:tab w:val="left" w:pos="8280"/>
        </w:tabs>
        <w:autoSpaceDE w:val="0"/>
        <w:autoSpaceDN w:val="0"/>
        <w:adjustRightInd w:val="0"/>
        <w:spacing w:line="360" w:lineRule="auto"/>
        <w:ind w:right="23"/>
        <w:jc w:val="center"/>
        <w:rPr>
          <w:rFonts w:asciiTheme="majorEastAsia" w:hAnsiTheme="majorEastAsia" w:eastAsiaTheme="majorEastAsia"/>
          <w:b/>
          <w:kern w:val="0"/>
          <w:sz w:val="36"/>
          <w:szCs w:val="36"/>
        </w:rPr>
      </w:pPr>
      <w:r>
        <w:rPr>
          <w:rFonts w:hint="eastAsia" w:asciiTheme="majorEastAsia" w:hAnsiTheme="majorEastAsia" w:eastAsiaTheme="majorEastAsia"/>
          <w:b/>
          <w:kern w:val="0"/>
          <w:sz w:val="36"/>
          <w:szCs w:val="36"/>
        </w:rPr>
        <w:t>第一章  公开</w:t>
      </w:r>
      <w:r>
        <w:rPr>
          <w:rFonts w:hint="eastAsia" w:asciiTheme="majorEastAsia" w:hAnsiTheme="majorEastAsia" w:eastAsiaTheme="majorEastAsia"/>
          <w:b/>
          <w:sz w:val="36"/>
          <w:szCs w:val="36"/>
        </w:rPr>
        <w:t>招标采购公告</w:t>
      </w:r>
    </w:p>
    <w:p>
      <w:pPr>
        <w:tabs>
          <w:tab w:val="left" w:pos="180"/>
          <w:tab w:val="left" w:pos="360"/>
          <w:tab w:val="left" w:pos="540"/>
          <w:tab w:val="left" w:pos="8280"/>
        </w:tabs>
        <w:autoSpaceDE w:val="0"/>
        <w:autoSpaceDN w:val="0"/>
        <w:adjustRightInd w:val="0"/>
        <w:spacing w:beforeLines="100" w:line="360" w:lineRule="auto"/>
        <w:ind w:right="23" w:firstLine="539"/>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根据《中华人民共和国政府采购法》、《中华人民共和国政府采购法实施条例》和财政部令第87号《政府采购货物和服务招标投标管理办法》等有关规定</w:t>
      </w:r>
      <w:r>
        <w:rPr>
          <w:rFonts w:asciiTheme="minorEastAsia" w:hAnsiTheme="minorEastAsia" w:eastAsiaTheme="minorEastAsia"/>
          <w:kern w:val="0"/>
          <w:sz w:val="24"/>
          <w:szCs w:val="24"/>
        </w:rPr>
        <w:t xml:space="preserve">, </w:t>
      </w:r>
      <w:r>
        <w:rPr>
          <w:rFonts w:hint="eastAsia" w:asciiTheme="minorEastAsia" w:hAnsiTheme="minorEastAsia" w:eastAsiaTheme="minorEastAsia"/>
          <w:kern w:val="0"/>
          <w:sz w:val="24"/>
          <w:szCs w:val="24"/>
        </w:rPr>
        <w:t>受采购人委托，现就</w:t>
      </w:r>
      <w:r>
        <w:rPr>
          <w:rFonts w:hint="eastAsia" w:asciiTheme="minorEastAsia" w:hAnsiTheme="minorEastAsia" w:eastAsiaTheme="minorEastAsia"/>
          <w:kern w:val="0"/>
          <w:sz w:val="24"/>
          <w:szCs w:val="24"/>
          <w:lang w:eastAsia="zh-CN"/>
        </w:rPr>
        <w:t>台州市公交巴士有限公司公交车</w:t>
      </w:r>
      <w:r>
        <w:rPr>
          <w:rFonts w:hint="eastAsia" w:asciiTheme="minorEastAsia" w:hAnsiTheme="minorEastAsia" w:eastAsiaTheme="minorEastAsia"/>
          <w:kern w:val="0"/>
          <w:sz w:val="24"/>
          <w:szCs w:val="24"/>
        </w:rPr>
        <w:t>项目进行公开招标采购，欢迎合格供应商前来投标。</w:t>
      </w:r>
    </w:p>
    <w:p>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hAnsiTheme="minorEastAsia" w:eastAsiaTheme="minorEastAsia"/>
          <w:kern w:val="0"/>
          <w:sz w:val="24"/>
          <w:szCs w:val="24"/>
        </w:rPr>
      </w:pPr>
      <w:r>
        <w:rPr>
          <w:rFonts w:hint="eastAsia" w:asciiTheme="minorEastAsia" w:hAnsiTheme="minorEastAsia" w:eastAsiaTheme="minorEastAsia"/>
          <w:b/>
          <w:kern w:val="0"/>
          <w:sz w:val="24"/>
          <w:szCs w:val="24"/>
        </w:rPr>
        <w:t>一、项目编号：</w:t>
      </w:r>
      <w:r>
        <w:rPr>
          <w:rFonts w:hint="eastAsia" w:asciiTheme="minorEastAsia" w:hAnsiTheme="minorEastAsia" w:eastAsiaTheme="minorEastAsia" w:cstheme="minorEastAsia"/>
          <w:sz w:val="28"/>
          <w:szCs w:val="28"/>
        </w:rPr>
        <w:t>TZCG-2021-GK0</w:t>
      </w:r>
      <w:r>
        <w:rPr>
          <w:rFonts w:hint="eastAsia" w:asciiTheme="minorEastAsia" w:hAnsiTheme="minorEastAsia" w:eastAsiaTheme="minorEastAsia" w:cstheme="minorEastAsia"/>
          <w:sz w:val="28"/>
          <w:szCs w:val="28"/>
          <w:lang w:val="en-US" w:eastAsia="zh-CN"/>
        </w:rPr>
        <w:t>17</w:t>
      </w:r>
      <w:r>
        <w:rPr>
          <w:rFonts w:hint="eastAsia" w:asciiTheme="minorEastAsia" w:hAnsiTheme="minorEastAsia" w:eastAsiaTheme="minorEastAsia" w:cstheme="minorEastAsia"/>
          <w:sz w:val="28"/>
          <w:szCs w:val="28"/>
        </w:rPr>
        <w:t>号</w:t>
      </w:r>
    </w:p>
    <w:p>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hAnsiTheme="minorEastAsia" w:eastAsiaTheme="minorEastAsia"/>
          <w:sz w:val="24"/>
          <w:szCs w:val="24"/>
        </w:rPr>
      </w:pPr>
      <w:r>
        <w:rPr>
          <w:rFonts w:hint="eastAsia" w:asciiTheme="minorEastAsia" w:hAnsiTheme="minorEastAsia" w:eastAsiaTheme="minorEastAsia"/>
          <w:b/>
          <w:kern w:val="0"/>
          <w:sz w:val="24"/>
          <w:szCs w:val="24"/>
        </w:rPr>
        <w:t>二、招标项目概况：</w:t>
      </w:r>
    </w:p>
    <w:tbl>
      <w:tblPr>
        <w:tblStyle w:val="16"/>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605"/>
        <w:gridCol w:w="1481"/>
        <w:gridCol w:w="749"/>
        <w:gridCol w:w="653"/>
        <w:gridCol w:w="1137"/>
        <w:gridCol w:w="1433"/>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6" w:hRule="atLeast"/>
          <w:jc w:val="center"/>
        </w:trPr>
        <w:tc>
          <w:tcPr>
            <w:tcW w:w="700" w:type="dxa"/>
            <w:vAlign w:val="center"/>
          </w:tcPr>
          <w:p>
            <w:pPr>
              <w:tabs>
                <w:tab w:val="left" w:pos="8280"/>
              </w:tabs>
              <w:autoSpaceDE w:val="0"/>
              <w:autoSpaceDN w:val="0"/>
              <w:adjustRightInd w:val="0"/>
              <w:spacing w:line="360" w:lineRule="auto"/>
              <w:ind w:right="25"/>
              <w:jc w:val="center"/>
              <w:rPr>
                <w:rFonts w:ascii="宋体"/>
                <w:b/>
                <w:sz w:val="24"/>
              </w:rPr>
            </w:pPr>
            <w:bookmarkStart w:id="0" w:name="EBc3c9f0bc06b6413d849824fe98ba274c"/>
            <w:r>
              <w:rPr>
                <w:rFonts w:hint="eastAsia" w:asciiTheme="minorEastAsia" w:hAnsiTheme="minorEastAsia" w:eastAsiaTheme="minorEastAsia"/>
                <w:b/>
                <w:sz w:val="24"/>
              </w:rPr>
              <w:t>标段号</w:t>
            </w:r>
          </w:p>
        </w:tc>
        <w:tc>
          <w:tcPr>
            <w:tcW w:w="1605" w:type="dxa"/>
            <w:vAlign w:val="center"/>
          </w:tcPr>
          <w:p>
            <w:pPr>
              <w:tabs>
                <w:tab w:val="left" w:pos="8280"/>
              </w:tabs>
              <w:autoSpaceDE w:val="0"/>
              <w:autoSpaceDN w:val="0"/>
              <w:adjustRightInd w:val="0"/>
              <w:spacing w:line="360" w:lineRule="auto"/>
              <w:ind w:right="25" w:firstLine="120" w:firstLineChars="50"/>
              <w:jc w:val="center"/>
              <w:rPr>
                <w:rFonts w:ascii="宋体"/>
                <w:b/>
                <w:sz w:val="24"/>
              </w:rPr>
            </w:pPr>
            <w:r>
              <w:rPr>
                <w:rFonts w:hint="eastAsia" w:asciiTheme="minorEastAsia" w:hAnsiTheme="minorEastAsia" w:eastAsiaTheme="minorEastAsia"/>
                <w:b/>
                <w:sz w:val="24"/>
                <w:lang w:eastAsia="zh-CN"/>
              </w:rPr>
              <w:t>标段</w:t>
            </w:r>
            <w:r>
              <w:rPr>
                <w:rFonts w:hint="eastAsia" w:asciiTheme="minorEastAsia" w:hAnsiTheme="minorEastAsia" w:eastAsiaTheme="minorEastAsia"/>
                <w:b/>
                <w:sz w:val="24"/>
              </w:rPr>
              <w:t>名称</w:t>
            </w:r>
          </w:p>
        </w:tc>
        <w:tc>
          <w:tcPr>
            <w:tcW w:w="1481" w:type="dxa"/>
            <w:vAlign w:val="center"/>
          </w:tcPr>
          <w:p>
            <w:pPr>
              <w:tabs>
                <w:tab w:val="left" w:pos="8280"/>
              </w:tabs>
              <w:autoSpaceDE w:val="0"/>
              <w:autoSpaceDN w:val="0"/>
              <w:adjustRightInd w:val="0"/>
              <w:spacing w:line="360" w:lineRule="auto"/>
              <w:ind w:right="25"/>
              <w:rPr>
                <w:rFonts w:ascii="宋体"/>
                <w:b/>
                <w:sz w:val="24"/>
              </w:rPr>
            </w:pPr>
            <w:r>
              <w:rPr>
                <w:rFonts w:hint="eastAsia" w:asciiTheme="minorEastAsia" w:hAnsiTheme="minorEastAsia" w:eastAsiaTheme="minorEastAsia"/>
                <w:b/>
                <w:sz w:val="24"/>
              </w:rPr>
              <w:t>规格型号</w:t>
            </w:r>
          </w:p>
        </w:tc>
        <w:tc>
          <w:tcPr>
            <w:tcW w:w="749"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数量</w:t>
            </w:r>
          </w:p>
        </w:tc>
        <w:tc>
          <w:tcPr>
            <w:tcW w:w="653"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单位</w:t>
            </w:r>
          </w:p>
        </w:tc>
        <w:tc>
          <w:tcPr>
            <w:tcW w:w="1137"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预算（万元）</w:t>
            </w:r>
          </w:p>
        </w:tc>
        <w:tc>
          <w:tcPr>
            <w:tcW w:w="1433"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b/>
                <w:sz w:val="24"/>
              </w:rPr>
            </w:pPr>
            <w:r>
              <w:rPr>
                <w:rFonts w:hint="eastAsia" w:asciiTheme="minorEastAsia" w:hAnsiTheme="minorEastAsia" w:eastAsiaTheme="minorEastAsia"/>
                <w:b/>
                <w:sz w:val="24"/>
              </w:rPr>
              <w:t>交货期</w:t>
            </w:r>
          </w:p>
          <w:p>
            <w:pPr>
              <w:tabs>
                <w:tab w:val="left" w:pos="8280"/>
              </w:tabs>
              <w:autoSpaceDE w:val="0"/>
              <w:autoSpaceDN w:val="0"/>
              <w:adjustRightInd w:val="0"/>
              <w:spacing w:line="360" w:lineRule="auto"/>
              <w:ind w:right="25"/>
              <w:jc w:val="center"/>
              <w:rPr>
                <w:rFonts w:hint="eastAsia" w:asciiTheme="minorEastAsia" w:hAnsiTheme="minorEastAsia" w:eastAsiaTheme="minorEastAsia"/>
                <w:b/>
                <w:sz w:val="24"/>
                <w:lang w:eastAsia="zh-CN"/>
              </w:rPr>
            </w:pPr>
            <w:r>
              <w:rPr>
                <w:rFonts w:hint="eastAsia" w:asciiTheme="minorEastAsia" w:hAnsiTheme="minorEastAsia" w:eastAsiaTheme="minorEastAsia"/>
                <w:b/>
                <w:sz w:val="24"/>
              </w:rPr>
              <w:t>（合同签订后几天内）</w:t>
            </w:r>
          </w:p>
        </w:tc>
        <w:tc>
          <w:tcPr>
            <w:tcW w:w="1342"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b/>
                <w:sz w:val="24"/>
              </w:rPr>
            </w:pPr>
            <w:r>
              <w:rPr>
                <w:rFonts w:hint="eastAsia" w:asciiTheme="minorEastAsia" w:hAnsiTheme="minorEastAsia" w:eastAsiaTheme="minorEastAsia"/>
                <w:b/>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700" w:type="dxa"/>
            <w:vAlign w:val="center"/>
          </w:tcPr>
          <w:p>
            <w:pPr>
              <w:tabs>
                <w:tab w:val="left" w:pos="8280"/>
              </w:tabs>
              <w:autoSpaceDE w:val="0"/>
              <w:autoSpaceDN w:val="0"/>
              <w:adjustRightInd w:val="0"/>
              <w:jc w:val="center"/>
              <w:rPr>
                <w:rFonts w:ascii="宋体" w:hAnsi="宋体"/>
                <w:b/>
                <w:sz w:val="24"/>
              </w:rPr>
            </w:pPr>
            <w:r>
              <w:rPr>
                <w:rFonts w:hint="eastAsia" w:asciiTheme="minorEastAsia" w:hAnsiTheme="minorEastAsia" w:eastAsiaTheme="minorEastAsia"/>
                <w:sz w:val="24"/>
              </w:rPr>
              <w:t>1</w:t>
            </w:r>
          </w:p>
        </w:tc>
        <w:tc>
          <w:tcPr>
            <w:tcW w:w="1605" w:type="dxa"/>
            <w:vAlign w:val="center"/>
          </w:tcPr>
          <w:p>
            <w:pPr>
              <w:tabs>
                <w:tab w:val="left" w:pos="8280"/>
              </w:tabs>
              <w:autoSpaceDE w:val="0"/>
              <w:autoSpaceDN w:val="0"/>
              <w:adjustRightInd w:val="0"/>
              <w:ind w:right="25" w:rightChars="0"/>
              <w:jc w:val="center"/>
              <w:rPr>
                <w:rFonts w:ascii="宋体" w:hAnsi="宋体"/>
                <w:b/>
                <w:sz w:val="24"/>
                <w:szCs w:val="24"/>
              </w:rPr>
            </w:pPr>
            <w:r>
              <w:rPr>
                <w:rFonts w:hint="eastAsia" w:ascii="仿宋" w:hAnsi="仿宋" w:eastAsia="仿宋" w:cs="仿宋"/>
                <w:color w:val="000000" w:themeColor="text1"/>
                <w:kern w:val="0"/>
                <w:sz w:val="24"/>
                <w:szCs w:val="24"/>
                <w:lang w:val="en-US" w:eastAsia="zh-CN"/>
                <w14:textFill>
                  <w14:solidFill>
                    <w14:schemeClr w14:val="tx1"/>
                  </w14:solidFill>
                </w14:textFill>
              </w:rPr>
              <w:t>5.9米级</w:t>
            </w:r>
            <w:r>
              <w:rPr>
                <w:rFonts w:hint="eastAsia" w:ascii="仿宋" w:hAnsi="仿宋" w:eastAsia="仿宋" w:cs="仿宋"/>
                <w:color w:val="000000" w:themeColor="text1"/>
                <w:kern w:val="0"/>
                <w:sz w:val="24"/>
                <w:szCs w:val="24"/>
                <w14:textFill>
                  <w14:solidFill>
                    <w14:schemeClr w14:val="tx1"/>
                  </w14:solidFill>
                </w14:textFill>
              </w:rPr>
              <w:t>城市公交客车</w:t>
            </w:r>
          </w:p>
        </w:tc>
        <w:tc>
          <w:tcPr>
            <w:tcW w:w="1481" w:type="dxa"/>
            <w:vAlign w:val="center"/>
          </w:tcPr>
          <w:p>
            <w:pPr>
              <w:tabs>
                <w:tab w:val="left" w:pos="8280"/>
              </w:tabs>
              <w:autoSpaceDE w:val="0"/>
              <w:autoSpaceDN w:val="0"/>
              <w:adjustRightInd w:val="0"/>
              <w:ind w:right="25" w:rightChars="0"/>
              <w:jc w:val="center"/>
              <w:rPr>
                <w:rFonts w:ascii="宋体" w:hAnsi="宋体"/>
                <w:b/>
                <w:sz w:val="24"/>
                <w:szCs w:val="24"/>
              </w:rPr>
            </w:pPr>
            <w:r>
              <w:rPr>
                <w:rFonts w:hint="eastAsia" w:ascii="仿宋" w:hAnsi="仿宋" w:eastAsia="仿宋" w:cs="仿宋"/>
                <w:color w:val="000000" w:themeColor="text1"/>
                <w:sz w:val="24"/>
                <w:szCs w:val="24"/>
                <w:lang w:eastAsia="zh-CN"/>
                <w14:textFill>
                  <w14:solidFill>
                    <w14:schemeClr w14:val="tx1"/>
                  </w14:solidFill>
                </w14:textFill>
              </w:rPr>
              <w:t>详见技术需求</w:t>
            </w:r>
          </w:p>
        </w:tc>
        <w:tc>
          <w:tcPr>
            <w:tcW w:w="749" w:type="dxa"/>
            <w:vAlign w:val="center"/>
          </w:tcPr>
          <w:p>
            <w:pPr>
              <w:tabs>
                <w:tab w:val="left" w:pos="8280"/>
              </w:tabs>
              <w:autoSpaceDE w:val="0"/>
              <w:autoSpaceDN w:val="0"/>
              <w:adjustRightInd w:val="0"/>
              <w:ind w:right="25" w:rightChars="0"/>
              <w:jc w:val="center"/>
              <w:rPr>
                <w:rFonts w:hint="eastAsia" w:ascii="宋体" w:hAnsi="宋体" w:eastAsia="宋体"/>
                <w:b/>
                <w:sz w:val="24"/>
                <w:szCs w:val="24"/>
                <w:lang w:val="en-US" w:eastAsia="zh-CN"/>
              </w:rPr>
            </w:pPr>
            <w:r>
              <w:rPr>
                <w:rFonts w:hint="eastAsia" w:ascii="仿宋" w:hAnsi="仿宋" w:eastAsia="仿宋" w:cs="仿宋"/>
                <w:color w:val="auto"/>
                <w:sz w:val="24"/>
                <w:szCs w:val="24"/>
                <w:highlight w:val="none"/>
                <w:lang w:val="en-US" w:eastAsia="zh-CN"/>
              </w:rPr>
              <w:t>9</w:t>
            </w:r>
          </w:p>
        </w:tc>
        <w:tc>
          <w:tcPr>
            <w:tcW w:w="653" w:type="dxa"/>
            <w:vAlign w:val="center"/>
          </w:tcPr>
          <w:p>
            <w:pPr>
              <w:tabs>
                <w:tab w:val="left" w:pos="8280"/>
              </w:tabs>
              <w:autoSpaceDE w:val="0"/>
              <w:autoSpaceDN w:val="0"/>
              <w:adjustRightInd w:val="0"/>
              <w:ind w:right="25" w:rightChars="0"/>
              <w:jc w:val="center"/>
              <w:rPr>
                <w:rFonts w:hint="eastAsia" w:ascii="宋体" w:hAnsi="宋体" w:eastAsia="宋体"/>
                <w:b/>
                <w:sz w:val="24"/>
                <w:szCs w:val="24"/>
                <w:lang w:eastAsia="zh-CN"/>
              </w:rPr>
            </w:pPr>
            <w:r>
              <w:rPr>
                <w:rFonts w:hint="eastAsia" w:ascii="仿宋" w:hAnsi="仿宋" w:eastAsia="仿宋" w:cs="仿宋"/>
                <w:color w:val="auto"/>
                <w:sz w:val="24"/>
                <w:szCs w:val="24"/>
                <w:highlight w:val="none"/>
                <w:lang w:eastAsia="zh-CN"/>
              </w:rPr>
              <w:t>辆</w:t>
            </w:r>
          </w:p>
        </w:tc>
        <w:tc>
          <w:tcPr>
            <w:tcW w:w="1137" w:type="dxa"/>
            <w:vAlign w:val="center"/>
          </w:tcPr>
          <w:p>
            <w:pPr>
              <w:tabs>
                <w:tab w:val="left" w:pos="8280"/>
              </w:tabs>
              <w:autoSpaceDE w:val="0"/>
              <w:autoSpaceDN w:val="0"/>
              <w:adjustRightInd w:val="0"/>
              <w:ind w:right="25" w:rightChars="0"/>
              <w:jc w:val="center"/>
              <w:rPr>
                <w:rFonts w:hint="default" w:ascii="宋体" w:hAnsi="宋体" w:eastAsia="宋体"/>
                <w:b/>
                <w:sz w:val="24"/>
                <w:szCs w:val="24"/>
                <w:lang w:val="en-US" w:eastAsia="zh-CN"/>
              </w:rPr>
            </w:pPr>
            <w:r>
              <w:rPr>
                <w:rFonts w:hint="eastAsia" w:ascii="仿宋" w:hAnsi="仿宋" w:eastAsia="仿宋" w:cs="仿宋"/>
                <w:color w:val="auto"/>
                <w:kern w:val="2"/>
                <w:sz w:val="24"/>
                <w:szCs w:val="24"/>
                <w:highlight w:val="none"/>
                <w:lang w:val="en-US" w:eastAsia="zh-CN" w:bidi="ar-SA"/>
              </w:rPr>
              <w:t>549</w:t>
            </w:r>
          </w:p>
        </w:tc>
        <w:tc>
          <w:tcPr>
            <w:tcW w:w="1433" w:type="dxa"/>
            <w:vAlign w:val="center"/>
          </w:tcPr>
          <w:p>
            <w:pPr>
              <w:widowControl/>
              <w:jc w:val="center"/>
              <w:rPr>
                <w:rFonts w:ascii="宋体" w:hAnsi="宋体"/>
                <w:b/>
                <w:sz w:val="24"/>
                <w:szCs w:val="24"/>
              </w:rPr>
            </w:pPr>
            <w:r>
              <w:rPr>
                <w:rFonts w:hint="eastAsia" w:ascii="仿宋" w:hAnsi="仿宋" w:eastAsia="仿宋" w:cs="仿宋"/>
                <w:color w:val="auto"/>
                <w:sz w:val="24"/>
                <w:szCs w:val="24"/>
                <w:highlight w:val="none"/>
                <w:lang w:val="en-US" w:eastAsia="zh-CN"/>
              </w:rPr>
              <w:t>40天</w:t>
            </w:r>
          </w:p>
        </w:tc>
        <w:tc>
          <w:tcPr>
            <w:tcW w:w="1342" w:type="dxa"/>
            <w:vMerge w:val="restart"/>
            <w:vAlign w:val="center"/>
          </w:tcPr>
          <w:p>
            <w:pPr>
              <w:tabs>
                <w:tab w:val="left" w:pos="8280"/>
              </w:tabs>
              <w:autoSpaceDE w:val="0"/>
              <w:autoSpaceDN w:val="0"/>
              <w:adjustRightInd w:val="0"/>
              <w:jc w:val="center"/>
              <w:rPr>
                <w:rFonts w:ascii="宋体" w:hAnsi="宋体"/>
                <w:b/>
                <w:sz w:val="24"/>
                <w:szCs w:val="24"/>
              </w:rPr>
            </w:pPr>
            <w:r>
              <w:rPr>
                <w:rFonts w:hint="eastAsia" w:ascii="仿宋" w:hAnsi="仿宋" w:eastAsia="仿宋" w:cs="仿宋"/>
                <w:color w:val="000000" w:themeColor="text1"/>
                <w:sz w:val="24"/>
                <w:szCs w:val="24"/>
                <w:lang w:eastAsia="zh-CN"/>
                <w14:textFill>
                  <w14:solidFill>
                    <w14:schemeClr w14:val="tx1"/>
                  </w14:solidFill>
                </w14:textFill>
              </w:rPr>
              <w:t>台州市公交巴士有限公司指定地点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700" w:type="dxa"/>
            <w:vAlign w:val="center"/>
          </w:tcPr>
          <w:p>
            <w:pPr>
              <w:tabs>
                <w:tab w:val="left" w:pos="8280"/>
              </w:tabs>
              <w:autoSpaceDE w:val="0"/>
              <w:autoSpaceDN w:val="0"/>
              <w:adjustRightIn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w:t>
            </w:r>
          </w:p>
        </w:tc>
        <w:tc>
          <w:tcPr>
            <w:tcW w:w="1605"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kern w:val="0"/>
                <w:sz w:val="24"/>
                <w:szCs w:val="24"/>
              </w:rPr>
            </w:pPr>
            <w:r>
              <w:rPr>
                <w:rFonts w:hint="eastAsia" w:ascii="仿宋" w:hAnsi="仿宋" w:eastAsia="仿宋" w:cs="仿宋"/>
                <w:color w:val="000000" w:themeColor="text1"/>
                <w:kern w:val="0"/>
                <w:sz w:val="24"/>
                <w:szCs w:val="24"/>
                <w:lang w:val="en-US" w:eastAsia="zh-CN"/>
                <w14:textFill>
                  <w14:solidFill>
                    <w14:schemeClr w14:val="tx1"/>
                  </w14:solidFill>
                </w14:textFill>
              </w:rPr>
              <w:t>8米级</w:t>
            </w:r>
            <w:r>
              <w:rPr>
                <w:rFonts w:hint="eastAsia" w:ascii="仿宋" w:hAnsi="仿宋" w:eastAsia="仿宋" w:cs="仿宋"/>
                <w:color w:val="000000" w:themeColor="text1"/>
                <w:kern w:val="0"/>
                <w:sz w:val="24"/>
                <w:szCs w:val="24"/>
                <w14:textFill>
                  <w14:solidFill>
                    <w14:schemeClr w14:val="tx1"/>
                  </w14:solidFill>
                </w14:textFill>
              </w:rPr>
              <w:t>城市公交客车</w:t>
            </w:r>
          </w:p>
        </w:tc>
        <w:tc>
          <w:tcPr>
            <w:tcW w:w="1481" w:type="dxa"/>
            <w:vAlign w:val="center"/>
          </w:tcPr>
          <w:p>
            <w:pPr>
              <w:tabs>
                <w:tab w:val="left" w:pos="8280"/>
              </w:tabs>
              <w:autoSpaceDE w:val="0"/>
              <w:autoSpaceDN w:val="0"/>
              <w:adjustRightInd w:val="0"/>
              <w:ind w:right="25" w:rightChars="0"/>
              <w:jc w:val="center"/>
              <w:rPr>
                <w:rFonts w:hint="eastAsia" w:ascii="宋体" w:hAnsi="宋体" w:cs="宋体"/>
                <w:kern w:val="0"/>
                <w:sz w:val="24"/>
                <w:szCs w:val="24"/>
              </w:rPr>
            </w:pPr>
            <w:r>
              <w:rPr>
                <w:rFonts w:hint="eastAsia" w:ascii="仿宋" w:hAnsi="仿宋" w:eastAsia="仿宋" w:cs="仿宋"/>
                <w:color w:val="000000" w:themeColor="text1"/>
                <w:sz w:val="24"/>
                <w:szCs w:val="24"/>
                <w:lang w:eastAsia="zh-CN"/>
                <w14:textFill>
                  <w14:solidFill>
                    <w14:schemeClr w14:val="tx1"/>
                  </w14:solidFill>
                </w14:textFill>
              </w:rPr>
              <w:t>详见技术需求</w:t>
            </w:r>
          </w:p>
        </w:tc>
        <w:tc>
          <w:tcPr>
            <w:tcW w:w="749"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11</w:t>
            </w:r>
          </w:p>
        </w:tc>
        <w:tc>
          <w:tcPr>
            <w:tcW w:w="653"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辆</w:t>
            </w:r>
          </w:p>
        </w:tc>
        <w:tc>
          <w:tcPr>
            <w:tcW w:w="1137" w:type="dxa"/>
            <w:vAlign w:val="center"/>
          </w:tcPr>
          <w:p>
            <w:pPr>
              <w:tabs>
                <w:tab w:val="left" w:pos="8280"/>
              </w:tabs>
              <w:autoSpaceDE w:val="0"/>
              <w:autoSpaceDN w:val="0"/>
              <w:adjustRightInd w:val="0"/>
              <w:ind w:right="25" w:rightChars="0"/>
              <w:jc w:val="center"/>
              <w:rPr>
                <w:rFonts w:hint="default"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781</w:t>
            </w:r>
          </w:p>
        </w:tc>
        <w:tc>
          <w:tcPr>
            <w:tcW w:w="1433"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val="en-US" w:eastAsia="zh-CN"/>
              </w:rPr>
              <w:t>40天</w:t>
            </w:r>
          </w:p>
        </w:tc>
        <w:tc>
          <w:tcPr>
            <w:tcW w:w="1342" w:type="dxa"/>
            <w:vMerge w:val="continue"/>
            <w:vAlign w:val="center"/>
          </w:tcPr>
          <w:p>
            <w:pPr>
              <w:tabs>
                <w:tab w:val="left" w:pos="8280"/>
              </w:tabs>
              <w:autoSpaceDE w:val="0"/>
              <w:autoSpaceDN w:val="0"/>
              <w:adjustRightInd w:val="0"/>
              <w:jc w:val="center"/>
              <w:rPr>
                <w:rFonts w:hint="eastAsia"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jc w:val="center"/>
        </w:trPr>
        <w:tc>
          <w:tcPr>
            <w:tcW w:w="700" w:type="dxa"/>
            <w:vAlign w:val="center"/>
          </w:tcPr>
          <w:p>
            <w:pPr>
              <w:tabs>
                <w:tab w:val="left" w:pos="8280"/>
              </w:tabs>
              <w:autoSpaceDE w:val="0"/>
              <w:autoSpaceDN w:val="0"/>
              <w:adjustRightIn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w:t>
            </w:r>
          </w:p>
        </w:tc>
        <w:tc>
          <w:tcPr>
            <w:tcW w:w="1605"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kern w:val="0"/>
                <w:sz w:val="24"/>
                <w:szCs w:val="24"/>
              </w:rPr>
            </w:pPr>
            <w:r>
              <w:rPr>
                <w:rFonts w:hint="eastAsia" w:ascii="仿宋" w:hAnsi="仿宋" w:eastAsia="仿宋" w:cs="仿宋"/>
                <w:color w:val="000000" w:themeColor="text1"/>
                <w:kern w:val="0"/>
                <w:sz w:val="24"/>
                <w:szCs w:val="24"/>
                <w:lang w:val="en-US" w:eastAsia="zh-CN"/>
                <w14:textFill>
                  <w14:solidFill>
                    <w14:schemeClr w14:val="tx1"/>
                  </w14:solidFill>
                </w14:textFill>
              </w:rPr>
              <w:t>8.5米级</w:t>
            </w:r>
            <w:r>
              <w:rPr>
                <w:rFonts w:hint="eastAsia" w:ascii="仿宋" w:hAnsi="仿宋" w:eastAsia="仿宋" w:cs="仿宋"/>
                <w:color w:val="000000" w:themeColor="text1"/>
                <w:kern w:val="0"/>
                <w:sz w:val="24"/>
                <w:szCs w:val="24"/>
                <w14:textFill>
                  <w14:solidFill>
                    <w14:schemeClr w14:val="tx1"/>
                  </w14:solidFill>
                </w14:textFill>
              </w:rPr>
              <w:t>城市公交客车</w:t>
            </w:r>
          </w:p>
        </w:tc>
        <w:tc>
          <w:tcPr>
            <w:tcW w:w="1481" w:type="dxa"/>
            <w:vAlign w:val="center"/>
          </w:tcPr>
          <w:p>
            <w:pPr>
              <w:tabs>
                <w:tab w:val="left" w:pos="8280"/>
              </w:tabs>
              <w:autoSpaceDE w:val="0"/>
              <w:autoSpaceDN w:val="0"/>
              <w:adjustRightInd w:val="0"/>
              <w:ind w:right="25" w:rightChars="0"/>
              <w:jc w:val="center"/>
              <w:rPr>
                <w:rFonts w:hint="eastAsia" w:ascii="宋体" w:hAnsi="宋体" w:cs="宋体"/>
                <w:kern w:val="0"/>
                <w:sz w:val="24"/>
                <w:szCs w:val="24"/>
              </w:rPr>
            </w:pPr>
            <w:r>
              <w:rPr>
                <w:rFonts w:hint="eastAsia" w:ascii="仿宋" w:hAnsi="仿宋" w:eastAsia="仿宋" w:cs="仿宋"/>
                <w:color w:val="000000" w:themeColor="text1"/>
                <w:sz w:val="24"/>
                <w:szCs w:val="24"/>
                <w:lang w:eastAsia="zh-CN"/>
                <w14:textFill>
                  <w14:solidFill>
                    <w14:schemeClr w14:val="tx1"/>
                  </w14:solidFill>
                </w14:textFill>
              </w:rPr>
              <w:t>详见技术需求</w:t>
            </w:r>
          </w:p>
        </w:tc>
        <w:tc>
          <w:tcPr>
            <w:tcW w:w="749"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10</w:t>
            </w:r>
          </w:p>
        </w:tc>
        <w:tc>
          <w:tcPr>
            <w:tcW w:w="653"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eastAsia="zh-CN"/>
              </w:rPr>
              <w:t>辆</w:t>
            </w:r>
          </w:p>
        </w:tc>
        <w:tc>
          <w:tcPr>
            <w:tcW w:w="1137" w:type="dxa"/>
            <w:vAlign w:val="center"/>
          </w:tcPr>
          <w:p>
            <w:pPr>
              <w:tabs>
                <w:tab w:val="left" w:pos="8280"/>
              </w:tabs>
              <w:autoSpaceDE w:val="0"/>
              <w:autoSpaceDN w:val="0"/>
              <w:adjustRightInd w:val="0"/>
              <w:ind w:right="25" w:rightChars="0"/>
              <w:jc w:val="center"/>
              <w:rPr>
                <w:rFonts w:hint="default"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800</w:t>
            </w:r>
          </w:p>
        </w:tc>
        <w:tc>
          <w:tcPr>
            <w:tcW w:w="1433"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val="en-US" w:eastAsia="zh-CN"/>
              </w:rPr>
              <w:t>40天</w:t>
            </w:r>
          </w:p>
        </w:tc>
        <w:tc>
          <w:tcPr>
            <w:tcW w:w="1342" w:type="dxa"/>
            <w:vMerge w:val="continue"/>
            <w:vAlign w:val="center"/>
          </w:tcPr>
          <w:p>
            <w:pPr>
              <w:tabs>
                <w:tab w:val="left" w:pos="8280"/>
              </w:tabs>
              <w:autoSpaceDE w:val="0"/>
              <w:autoSpaceDN w:val="0"/>
              <w:adjustRightInd w:val="0"/>
              <w:jc w:val="center"/>
              <w:rPr>
                <w:rFonts w:hint="eastAsia"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700" w:type="dxa"/>
            <w:vAlign w:val="center"/>
          </w:tcPr>
          <w:p>
            <w:pPr>
              <w:tabs>
                <w:tab w:val="left" w:pos="8280"/>
              </w:tabs>
              <w:autoSpaceDE w:val="0"/>
              <w:autoSpaceDN w:val="0"/>
              <w:adjustRightIn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w:t>
            </w:r>
          </w:p>
        </w:tc>
        <w:tc>
          <w:tcPr>
            <w:tcW w:w="1605"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kern w:val="0"/>
                <w:sz w:val="24"/>
                <w:szCs w:val="24"/>
              </w:rPr>
            </w:pPr>
            <w:r>
              <w:rPr>
                <w:rFonts w:hint="eastAsia" w:ascii="仿宋" w:hAnsi="仿宋" w:eastAsia="仿宋" w:cs="仿宋"/>
                <w:color w:val="000000" w:themeColor="text1"/>
                <w:kern w:val="0"/>
                <w:sz w:val="24"/>
                <w:szCs w:val="24"/>
                <w:lang w:val="en-US" w:eastAsia="zh-CN"/>
                <w14:textFill>
                  <w14:solidFill>
                    <w14:schemeClr w14:val="tx1"/>
                  </w14:solidFill>
                </w14:textFill>
              </w:rPr>
              <w:t>8.5米级</w:t>
            </w:r>
            <w:r>
              <w:rPr>
                <w:rFonts w:hint="eastAsia" w:ascii="仿宋" w:hAnsi="仿宋" w:eastAsia="仿宋" w:cs="仿宋"/>
                <w:color w:val="000000" w:themeColor="text1"/>
                <w:kern w:val="0"/>
                <w:sz w:val="24"/>
                <w:szCs w:val="24"/>
                <w14:textFill>
                  <w14:solidFill>
                    <w14:schemeClr w14:val="tx1"/>
                  </w14:solidFill>
                </w14:textFill>
              </w:rPr>
              <w:t>城市公交客车</w:t>
            </w:r>
            <w:r>
              <w:rPr>
                <w:rFonts w:hint="eastAsia" w:ascii="仿宋" w:hAnsi="仿宋" w:eastAsia="仿宋" w:cs="仿宋"/>
                <w:color w:val="000000" w:themeColor="text1"/>
                <w:kern w:val="0"/>
                <w:sz w:val="24"/>
                <w:szCs w:val="24"/>
                <w:lang w:eastAsia="zh-CN"/>
                <w14:textFill>
                  <w14:solidFill>
                    <w14:schemeClr w14:val="tx1"/>
                  </w14:solidFill>
                </w14:textFill>
              </w:rPr>
              <w:t>（轮边驱动）</w:t>
            </w:r>
          </w:p>
        </w:tc>
        <w:tc>
          <w:tcPr>
            <w:tcW w:w="1481" w:type="dxa"/>
            <w:vAlign w:val="center"/>
          </w:tcPr>
          <w:p>
            <w:pPr>
              <w:tabs>
                <w:tab w:val="left" w:pos="8280"/>
              </w:tabs>
              <w:autoSpaceDE w:val="0"/>
              <w:autoSpaceDN w:val="0"/>
              <w:adjustRightInd w:val="0"/>
              <w:ind w:right="25" w:rightChars="0"/>
              <w:jc w:val="center"/>
              <w:rPr>
                <w:rFonts w:hint="eastAsia" w:ascii="宋体" w:hAnsi="宋体" w:cs="宋体"/>
                <w:kern w:val="0"/>
                <w:sz w:val="24"/>
                <w:szCs w:val="24"/>
              </w:rPr>
            </w:pPr>
            <w:r>
              <w:rPr>
                <w:rFonts w:hint="eastAsia" w:ascii="仿宋" w:hAnsi="仿宋" w:eastAsia="仿宋" w:cs="仿宋"/>
                <w:color w:val="000000" w:themeColor="text1"/>
                <w:sz w:val="24"/>
                <w:szCs w:val="24"/>
                <w:lang w:eastAsia="zh-CN"/>
                <w14:textFill>
                  <w14:solidFill>
                    <w14:schemeClr w14:val="tx1"/>
                  </w14:solidFill>
                </w14:textFill>
              </w:rPr>
              <w:t>详见技术需求</w:t>
            </w:r>
          </w:p>
        </w:tc>
        <w:tc>
          <w:tcPr>
            <w:tcW w:w="749"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8</w:t>
            </w:r>
          </w:p>
        </w:tc>
        <w:tc>
          <w:tcPr>
            <w:tcW w:w="653"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eastAsia="zh-CN"/>
              </w:rPr>
              <w:t>辆</w:t>
            </w:r>
          </w:p>
        </w:tc>
        <w:tc>
          <w:tcPr>
            <w:tcW w:w="1137" w:type="dxa"/>
            <w:vAlign w:val="center"/>
          </w:tcPr>
          <w:p>
            <w:pPr>
              <w:tabs>
                <w:tab w:val="left" w:pos="8280"/>
              </w:tabs>
              <w:autoSpaceDE w:val="0"/>
              <w:autoSpaceDN w:val="0"/>
              <w:adjustRightInd w:val="0"/>
              <w:ind w:right="25" w:rightChars="0"/>
              <w:jc w:val="center"/>
              <w:rPr>
                <w:rFonts w:hint="default"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720</w:t>
            </w:r>
          </w:p>
        </w:tc>
        <w:tc>
          <w:tcPr>
            <w:tcW w:w="1433"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val="en-US" w:eastAsia="zh-CN"/>
              </w:rPr>
              <w:t>40天</w:t>
            </w:r>
          </w:p>
        </w:tc>
        <w:tc>
          <w:tcPr>
            <w:tcW w:w="1342" w:type="dxa"/>
            <w:vMerge w:val="continue"/>
            <w:vAlign w:val="center"/>
          </w:tcPr>
          <w:p>
            <w:pPr>
              <w:tabs>
                <w:tab w:val="left" w:pos="8280"/>
              </w:tabs>
              <w:autoSpaceDE w:val="0"/>
              <w:autoSpaceDN w:val="0"/>
              <w:adjustRightInd w:val="0"/>
              <w:jc w:val="center"/>
              <w:rPr>
                <w:rFonts w:hint="eastAsia" w:asciiTheme="minorEastAsia" w:hAnsiTheme="minorEastAsia" w:eastAsiaTheme="minorEastAsia"/>
                <w:kern w:val="0"/>
                <w:sz w:val="24"/>
                <w:szCs w:val="24"/>
              </w:rPr>
            </w:pPr>
          </w:p>
        </w:tc>
      </w:tr>
    </w:tbl>
    <w:p>
      <w:pPr>
        <w:widowControl/>
        <w:tabs>
          <w:tab w:val="left" w:pos="0"/>
        </w:tabs>
        <w:spacing w:line="360" w:lineRule="auto"/>
        <w:ind w:firstLine="480" w:firstLineChars="200"/>
        <w:rPr>
          <w:rFonts w:asciiTheme="minorEastAsia" w:hAnsiTheme="minorEastAsia" w:eastAsiaTheme="minorEastAsia"/>
          <w:color w:val="auto"/>
          <w:sz w:val="24"/>
          <w:szCs w:val="24"/>
        </w:rPr>
      </w:pPr>
      <w:r>
        <w:rPr>
          <w:rFonts w:hint="eastAsia" w:asciiTheme="minorEastAsia" w:hAnsiTheme="minorEastAsia" w:eastAsiaTheme="minorEastAsia"/>
          <w:color w:val="auto"/>
          <w:sz w:val="24"/>
          <w:szCs w:val="24"/>
        </w:rPr>
        <w:t>本次采购产品为非进口产品。</w:t>
      </w:r>
    </w:p>
    <w:bookmarkEnd w:id="0"/>
    <w:p>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hAnsiTheme="minorEastAsia" w:eastAsiaTheme="minorEastAsia"/>
          <w:b/>
          <w:kern w:val="0"/>
          <w:sz w:val="24"/>
          <w:szCs w:val="24"/>
        </w:rPr>
      </w:pPr>
      <w:r>
        <w:rPr>
          <w:rFonts w:hint="eastAsia" w:asciiTheme="minorEastAsia" w:hAnsiTheme="minorEastAsia" w:eastAsiaTheme="minorEastAsia"/>
          <w:b/>
          <w:sz w:val="24"/>
          <w:szCs w:val="24"/>
        </w:rPr>
        <w:t>三、合格投标人的资格条件：</w:t>
      </w:r>
    </w:p>
    <w:p>
      <w:pPr>
        <w:pStyle w:val="20"/>
        <w:adjustRightInd w:val="0"/>
        <w:snapToGrid w:val="0"/>
        <w:spacing w:before="0" w:line="360" w:lineRule="auto"/>
        <w:ind w:left="102" w:right="102"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（一）符合《中华人民共和国政府采购法》第二十二条规定的投标人资格条件。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（二）本项目供应商特定条件：</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Theme="minorEastAsia" w:hAnsiTheme="minorEastAsia" w:eastAsiaTheme="minorEastAsia"/>
          <w:sz w:val="24"/>
          <w:szCs w:val="24"/>
          <w:lang w:eastAsia="zh-CN"/>
        </w:rPr>
      </w:pPr>
      <w:r>
        <w:rPr>
          <w:rFonts w:hint="eastAsia" w:asciiTheme="minorEastAsia" w:hAnsiTheme="minorEastAsia" w:eastAsiaTheme="minorEastAsia"/>
          <w:sz w:val="24"/>
          <w:szCs w:val="24"/>
        </w:rPr>
        <w:t>1、本项目不接受联合体投标</w:t>
      </w:r>
      <w:r>
        <w:rPr>
          <w:rFonts w:hint="eastAsia" w:asciiTheme="minorEastAsia" w:hAnsiTheme="minorEastAsia" w:eastAsiaTheme="minorEastAsia"/>
          <w:sz w:val="24"/>
          <w:szCs w:val="24"/>
          <w:lang w:eastAsia="zh-CN"/>
        </w:rPr>
        <w:t>。</w:t>
      </w:r>
    </w:p>
    <w:p>
      <w:pPr>
        <w:pStyle w:val="2"/>
        <w:rPr>
          <w:rFonts w:hint="eastAsia"/>
          <w:lang w:eastAsia="zh-CN"/>
        </w:rPr>
      </w:pPr>
      <w:r>
        <w:rPr>
          <w:rFonts w:hint="eastAsia" w:asciiTheme="minorEastAsia" w:hAnsiTheme="minorEastAsia" w:eastAsiaTheme="minorEastAsia"/>
          <w:sz w:val="24"/>
          <w:szCs w:val="24"/>
          <w:lang w:val="en-US" w:eastAsia="zh-CN"/>
        </w:rPr>
        <w:t>2、投标人必须是所投货物生产制造厂家。</w:t>
      </w:r>
    </w:p>
    <w:p>
      <w:pPr>
        <w:tabs>
          <w:tab w:val="left" w:pos="180"/>
          <w:tab w:val="left" w:pos="360"/>
          <w:tab w:val="left" w:pos="540"/>
          <w:tab w:val="left" w:pos="8280"/>
        </w:tabs>
        <w:autoSpaceDE w:val="0"/>
        <w:autoSpaceDN w:val="0"/>
        <w:adjustRightInd w:val="0"/>
        <w:spacing w:before="100" w:line="360" w:lineRule="auto"/>
        <w:ind w:right="23" w:firstLine="482" w:firstLineChars="200"/>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四、招标文件获取的方式、时间：</w:t>
      </w:r>
    </w:p>
    <w:p>
      <w:pPr>
        <w:snapToGrid w:val="0"/>
        <w:spacing w:line="360" w:lineRule="auto"/>
        <w:ind w:firstLine="480" w:firstLineChars="200"/>
        <w:rPr>
          <w:rFonts w:cs="Arial" w:asciiTheme="minorEastAsia" w:hAnsiTheme="minorEastAsia" w:eastAsiaTheme="minorEastAsia"/>
          <w:color w:val="auto"/>
          <w:sz w:val="24"/>
          <w:szCs w:val="24"/>
        </w:rPr>
      </w:pPr>
      <w:r>
        <w:rPr>
          <w:rFonts w:hint="eastAsia" w:cs="Arial" w:asciiTheme="minorEastAsia" w:hAnsiTheme="minorEastAsia" w:eastAsiaTheme="minorEastAsia"/>
          <w:sz w:val="24"/>
          <w:szCs w:val="24"/>
        </w:rPr>
        <w:t>1、获取方式：网上免费下载，下载地址为</w:t>
      </w:r>
      <w:r>
        <w:rPr>
          <w:rFonts w:cs="Arial" w:asciiTheme="minorEastAsia" w:hAnsiTheme="minorEastAsia" w:eastAsiaTheme="minorEastAsia"/>
          <w:color w:val="000000"/>
          <w:sz w:val="24"/>
          <w:szCs w:val="24"/>
        </w:rPr>
        <w:t>http://www.zjzfcg.gov.cn</w:t>
      </w:r>
      <w:r>
        <w:rPr>
          <w:rFonts w:hint="eastAsia" w:cs="Arial" w:asciiTheme="minorEastAsia" w:hAnsiTheme="minorEastAsia" w:eastAsiaTheme="minorEastAsia"/>
          <w:sz w:val="24"/>
          <w:szCs w:val="24"/>
        </w:rPr>
        <w:t>或</w:t>
      </w:r>
      <w:r>
        <w:rPr>
          <w:rFonts w:hint="eastAsia" w:asciiTheme="minorEastAsia" w:hAnsiTheme="minorEastAsia" w:eastAsiaTheme="minorEastAsia"/>
          <w:color w:val="auto"/>
          <w:sz w:val="24"/>
          <w:szCs w:val="24"/>
        </w:rPr>
        <w:fldChar w:fldCharType="begin"/>
      </w:r>
      <w:r>
        <w:rPr>
          <w:rFonts w:hint="eastAsia" w:asciiTheme="minorEastAsia" w:hAnsiTheme="minorEastAsia" w:eastAsiaTheme="minorEastAsia"/>
          <w:color w:val="auto"/>
          <w:sz w:val="24"/>
          <w:szCs w:val="24"/>
        </w:rPr>
        <w:instrText xml:space="preserve"> HYPERLINK "http://www.tzztb.com/tzcms/zfcg.jhtml" </w:instrText>
      </w:r>
      <w:r>
        <w:rPr>
          <w:rFonts w:hint="eastAsia" w:asciiTheme="minorEastAsia" w:hAnsiTheme="minorEastAsia" w:eastAsiaTheme="minorEastAsia"/>
          <w:color w:val="auto"/>
          <w:sz w:val="24"/>
          <w:szCs w:val="24"/>
        </w:rPr>
        <w:fldChar w:fldCharType="separate"/>
      </w:r>
      <w:r>
        <w:rPr>
          <w:rFonts w:hint="eastAsia" w:asciiTheme="minorEastAsia" w:hAnsiTheme="minorEastAsia" w:eastAsiaTheme="minorEastAsia"/>
          <w:color w:val="auto"/>
          <w:sz w:val="24"/>
          <w:szCs w:val="24"/>
        </w:rPr>
        <w:t>http://www.tzztb.com/tzcms/zfcg.jhtml</w:t>
      </w:r>
      <w:r>
        <w:rPr>
          <w:rFonts w:hint="eastAsia" w:asciiTheme="minorEastAsia" w:hAnsiTheme="minorEastAsia" w:eastAsiaTheme="minorEastAsia"/>
          <w:color w:val="auto"/>
          <w:sz w:val="24"/>
          <w:szCs w:val="24"/>
        </w:rPr>
        <w:fldChar w:fldCharType="end"/>
      </w:r>
    </w:p>
    <w:p>
      <w:pPr>
        <w:spacing w:line="360" w:lineRule="auto"/>
        <w:ind w:firstLine="600" w:firstLineChars="25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2、获取（公告）时间：</w:t>
      </w:r>
      <w:r>
        <w:rPr>
          <w:rFonts w:hint="eastAsia" w:cs="Arial" w:asciiTheme="minorEastAsia" w:hAnsiTheme="minorEastAsia" w:eastAsiaTheme="minorEastAsia"/>
          <w:color w:val="FF00FF"/>
          <w:sz w:val="24"/>
          <w:szCs w:val="24"/>
          <w:lang w:val="en-US" w:eastAsia="zh-CN"/>
        </w:rPr>
        <w:t>2021</w:t>
      </w:r>
      <w:r>
        <w:rPr>
          <w:rFonts w:hint="eastAsia" w:cs="Arial" w:asciiTheme="minorEastAsia" w:hAnsiTheme="minorEastAsia" w:eastAsiaTheme="minorEastAsia"/>
          <w:sz w:val="24"/>
          <w:szCs w:val="24"/>
        </w:rPr>
        <w:t>年</w:t>
      </w:r>
      <w:r>
        <w:rPr>
          <w:rFonts w:hint="eastAsia" w:cs="Arial" w:asciiTheme="minorEastAsia" w:hAnsiTheme="minorEastAsia" w:eastAsiaTheme="minorEastAsia"/>
          <w:color w:val="FF00FF"/>
          <w:sz w:val="24"/>
          <w:szCs w:val="24"/>
          <w:lang w:val="en-US" w:eastAsia="zh-CN"/>
        </w:rPr>
        <w:t>10</w:t>
      </w:r>
      <w:r>
        <w:rPr>
          <w:rFonts w:hint="eastAsia" w:cs="Arial" w:asciiTheme="minorEastAsia" w:hAnsiTheme="minorEastAsia" w:eastAsiaTheme="minorEastAsia"/>
          <w:sz w:val="24"/>
          <w:szCs w:val="24"/>
        </w:rPr>
        <w:t>月</w:t>
      </w:r>
      <w:r>
        <w:rPr>
          <w:rFonts w:hint="eastAsia" w:cs="Arial" w:asciiTheme="minorEastAsia" w:hAnsiTheme="minorEastAsia" w:eastAsiaTheme="minorEastAsia"/>
          <w:color w:val="FF00FF"/>
          <w:sz w:val="24"/>
          <w:szCs w:val="24"/>
          <w:lang w:val="en-US" w:eastAsia="zh-CN"/>
        </w:rPr>
        <w:t>18</w:t>
      </w:r>
      <w:r>
        <w:rPr>
          <w:rFonts w:hint="eastAsia" w:cs="Arial" w:asciiTheme="minorEastAsia" w:hAnsiTheme="minorEastAsia" w:eastAsiaTheme="minorEastAsia"/>
          <w:sz w:val="24"/>
          <w:szCs w:val="24"/>
        </w:rPr>
        <w:t>日至</w:t>
      </w:r>
      <w:r>
        <w:rPr>
          <w:rFonts w:hint="eastAsia" w:cs="Arial" w:asciiTheme="minorEastAsia" w:hAnsiTheme="minorEastAsia" w:eastAsiaTheme="minorEastAsia"/>
          <w:color w:val="FF00FF"/>
          <w:sz w:val="24"/>
          <w:szCs w:val="24"/>
          <w:lang w:val="en-US" w:eastAsia="zh-CN"/>
        </w:rPr>
        <w:t>2021</w:t>
      </w:r>
      <w:r>
        <w:rPr>
          <w:rFonts w:hint="eastAsia" w:cs="Arial" w:asciiTheme="minorEastAsia" w:hAnsiTheme="minorEastAsia" w:eastAsiaTheme="minorEastAsia"/>
          <w:sz w:val="24"/>
          <w:szCs w:val="24"/>
        </w:rPr>
        <w:t>年</w:t>
      </w:r>
      <w:r>
        <w:rPr>
          <w:rFonts w:hint="eastAsia" w:cs="Arial" w:asciiTheme="minorEastAsia" w:hAnsiTheme="minorEastAsia" w:eastAsiaTheme="minorEastAsia"/>
          <w:color w:val="FF00FF"/>
          <w:sz w:val="24"/>
          <w:szCs w:val="24"/>
          <w:lang w:val="en-US" w:eastAsia="zh-CN"/>
        </w:rPr>
        <w:t>10</w:t>
      </w:r>
      <w:r>
        <w:rPr>
          <w:rFonts w:hint="eastAsia" w:cs="Arial" w:asciiTheme="minorEastAsia" w:hAnsiTheme="minorEastAsia" w:eastAsiaTheme="minorEastAsia"/>
          <w:sz w:val="24"/>
          <w:szCs w:val="24"/>
        </w:rPr>
        <w:t>月</w:t>
      </w:r>
      <w:r>
        <w:rPr>
          <w:rFonts w:hint="eastAsia" w:cs="Arial" w:asciiTheme="minorEastAsia" w:hAnsiTheme="minorEastAsia" w:eastAsiaTheme="minorEastAsia"/>
          <w:color w:val="FF00FF"/>
          <w:sz w:val="24"/>
          <w:szCs w:val="24"/>
          <w:lang w:val="en-US" w:eastAsia="zh-CN"/>
        </w:rPr>
        <w:t>22</w:t>
      </w:r>
      <w:r>
        <w:rPr>
          <w:rFonts w:hint="eastAsia" w:cs="Arial" w:asciiTheme="minorEastAsia" w:hAnsiTheme="minorEastAsia" w:eastAsiaTheme="minorEastAsia"/>
          <w:sz w:val="24"/>
          <w:szCs w:val="24"/>
        </w:rPr>
        <w:t>日</w:t>
      </w:r>
    </w:p>
    <w:p>
      <w:pPr>
        <w:tabs>
          <w:tab w:val="left" w:pos="180"/>
          <w:tab w:val="left" w:pos="360"/>
          <w:tab w:val="left" w:pos="540"/>
          <w:tab w:val="left" w:pos="8280"/>
        </w:tabs>
        <w:autoSpaceDE w:val="0"/>
        <w:autoSpaceDN w:val="0"/>
        <w:adjustRightInd w:val="0"/>
        <w:spacing w:before="100" w:line="360" w:lineRule="auto"/>
        <w:ind w:right="23" w:firstLine="482" w:firstLineChars="200"/>
        <w:jc w:val="left"/>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五、招标答疑会</w:t>
      </w:r>
    </w:p>
    <w:p>
      <w:pPr>
        <w:tabs>
          <w:tab w:val="left" w:pos="180"/>
          <w:tab w:val="left" w:pos="360"/>
          <w:tab w:val="left" w:pos="540"/>
          <w:tab w:val="left" w:pos="8280"/>
        </w:tabs>
        <w:autoSpaceDE w:val="0"/>
        <w:autoSpaceDN w:val="0"/>
        <w:adjustRightInd w:val="0"/>
        <w:spacing w:before="100" w:line="360" w:lineRule="auto"/>
        <w:ind w:right="23" w:firstLine="480" w:firstLineChars="200"/>
        <w:jc w:val="left"/>
        <w:rPr>
          <w:rFonts w:hint="eastAsia" w:asciiTheme="minorEastAsia" w:hAnsiTheme="minorEastAsia" w:eastAsiaTheme="minorEastAsia"/>
          <w:color w:val="auto"/>
          <w:sz w:val="24"/>
          <w:szCs w:val="24"/>
          <w:lang w:eastAsia="zh-CN"/>
        </w:rPr>
      </w:pPr>
      <w:r>
        <w:rPr>
          <w:rFonts w:hint="eastAsia" w:cs="Arial" w:asciiTheme="minorEastAsia" w:hAnsiTheme="minorEastAsia" w:eastAsiaTheme="minorEastAsia"/>
          <w:color w:val="auto"/>
          <w:sz w:val="24"/>
          <w:szCs w:val="24"/>
        </w:rPr>
        <w:t>无</w:t>
      </w:r>
      <w:r>
        <w:rPr>
          <w:rFonts w:hint="eastAsia" w:cs="Arial" w:asciiTheme="minorEastAsia" w:hAnsiTheme="minorEastAsia" w:eastAsiaTheme="minorEastAsia"/>
          <w:color w:val="auto"/>
          <w:sz w:val="24"/>
          <w:szCs w:val="24"/>
          <w:lang w:eastAsia="zh-CN"/>
        </w:rPr>
        <w:t>。</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left"/>
        <w:rPr>
          <w:rFonts w:asciiTheme="minorEastAsia" w:hAnsiTheme="minorEastAsia" w:eastAsiaTheme="minorEastAsia"/>
          <w:b/>
          <w:color w:val="auto"/>
          <w:kern w:val="0"/>
          <w:sz w:val="24"/>
          <w:szCs w:val="24"/>
        </w:rPr>
      </w:pPr>
      <w:r>
        <w:rPr>
          <w:rFonts w:hint="eastAsia" w:cs="Arial" w:asciiTheme="minorEastAsia" w:hAnsiTheme="minorEastAsia" w:eastAsiaTheme="minorEastAsia"/>
          <w:b/>
          <w:color w:val="000000"/>
          <w:sz w:val="24"/>
          <w:szCs w:val="24"/>
        </w:rPr>
        <w:t>六、</w:t>
      </w:r>
      <w:r>
        <w:rPr>
          <w:rFonts w:hint="eastAsia" w:asciiTheme="minorEastAsia" w:hAnsiTheme="minorEastAsia" w:eastAsiaTheme="minorEastAsia"/>
          <w:b/>
          <w:color w:val="auto"/>
          <w:kern w:val="0"/>
          <w:sz w:val="24"/>
          <w:szCs w:val="24"/>
        </w:rPr>
        <w:t>投标截止及开标时间、地点：</w:t>
      </w:r>
    </w:p>
    <w:p>
      <w:pPr>
        <w:snapToGrid w:val="0"/>
        <w:spacing w:line="360" w:lineRule="auto"/>
        <w:ind w:firstLine="480" w:firstLineChars="200"/>
        <w:rPr>
          <w:rFonts w:ascii="仿宋_GB2312" w:hAnsi="仿宋_GB2312" w:eastAsia="仿宋_GB2312" w:cs="仿宋_GB2312"/>
          <w:bCs/>
          <w:kern w:val="0"/>
          <w:sz w:val="24"/>
          <w:szCs w:val="24"/>
        </w:rPr>
      </w:pPr>
      <w:r>
        <w:rPr>
          <w:rFonts w:hint="eastAsia" w:cs="Arial" w:asciiTheme="minorEastAsia" w:hAnsiTheme="minorEastAsia" w:eastAsiaTheme="minorEastAsia"/>
          <w:color w:val="000000"/>
          <w:sz w:val="24"/>
          <w:szCs w:val="24"/>
        </w:rPr>
        <w:t>本次招标将于</w:t>
      </w:r>
      <w:r>
        <w:rPr>
          <w:rFonts w:hint="eastAsia" w:cs="Arial" w:asciiTheme="minorEastAsia" w:hAnsiTheme="minorEastAsia" w:eastAsiaTheme="minorEastAsia"/>
          <w:color w:val="FF00FF"/>
          <w:sz w:val="24"/>
          <w:szCs w:val="24"/>
          <w:lang w:val="en-US" w:eastAsia="zh-CN"/>
        </w:rPr>
        <w:t>2021</w:t>
      </w:r>
      <w:r>
        <w:rPr>
          <w:rFonts w:hint="eastAsia" w:asciiTheme="minorEastAsia" w:hAnsiTheme="minorEastAsia" w:eastAsiaTheme="minorEastAsia"/>
          <w:kern w:val="0"/>
          <w:sz w:val="24"/>
          <w:szCs w:val="24"/>
        </w:rPr>
        <w:t>年</w:t>
      </w:r>
      <w:r>
        <w:rPr>
          <w:rFonts w:hint="eastAsia" w:cs="Arial" w:asciiTheme="minorEastAsia" w:hAnsiTheme="minorEastAsia" w:eastAsiaTheme="minorEastAsia"/>
          <w:color w:val="FF00FF"/>
          <w:sz w:val="24"/>
          <w:szCs w:val="24"/>
          <w:lang w:val="en-US" w:eastAsia="zh-CN"/>
        </w:rPr>
        <w:t>11</w:t>
      </w:r>
      <w:r>
        <w:rPr>
          <w:rFonts w:hint="eastAsia" w:asciiTheme="minorEastAsia" w:hAnsiTheme="minorEastAsia" w:eastAsiaTheme="minorEastAsia"/>
          <w:kern w:val="0"/>
          <w:sz w:val="24"/>
          <w:szCs w:val="24"/>
        </w:rPr>
        <w:t>月</w:t>
      </w:r>
      <w:r>
        <w:rPr>
          <w:rFonts w:hint="eastAsia" w:cs="Arial" w:asciiTheme="minorEastAsia" w:hAnsiTheme="minorEastAsia" w:eastAsiaTheme="minorEastAsia"/>
          <w:color w:val="FF00FF"/>
          <w:sz w:val="24"/>
          <w:szCs w:val="24"/>
          <w:lang w:val="en-US" w:eastAsia="zh-CN"/>
        </w:rPr>
        <w:t>5</w:t>
      </w:r>
      <w:r>
        <w:rPr>
          <w:rFonts w:hint="eastAsia" w:asciiTheme="minorEastAsia" w:hAnsiTheme="minorEastAsia" w:eastAsiaTheme="minorEastAsia"/>
          <w:kern w:val="0"/>
          <w:sz w:val="24"/>
          <w:szCs w:val="24"/>
        </w:rPr>
        <w:t>日</w:t>
      </w:r>
      <w:r>
        <w:rPr>
          <w:rFonts w:hint="eastAsia" w:cs="Arial" w:asciiTheme="minorEastAsia" w:hAnsiTheme="minorEastAsia" w:eastAsiaTheme="minorEastAsia"/>
          <w:color w:val="FF00FF"/>
          <w:sz w:val="24"/>
        </w:rPr>
        <w:t>上</w:t>
      </w:r>
      <w:r>
        <w:rPr>
          <w:rFonts w:hint="eastAsia" w:asciiTheme="minorEastAsia" w:hAnsiTheme="minorEastAsia" w:eastAsiaTheme="minorEastAsia"/>
          <w:kern w:val="0"/>
          <w:sz w:val="24"/>
        </w:rPr>
        <w:t>午</w:t>
      </w:r>
      <w:r>
        <w:rPr>
          <w:rFonts w:hint="eastAsia" w:cs="Arial" w:asciiTheme="minorEastAsia" w:hAnsiTheme="minorEastAsia" w:eastAsiaTheme="minorEastAsia"/>
          <w:color w:val="FF00FF"/>
          <w:sz w:val="24"/>
        </w:rPr>
        <w:t>9</w:t>
      </w:r>
      <w:r>
        <w:rPr>
          <w:rFonts w:hint="eastAsia" w:asciiTheme="minorEastAsia" w:hAnsiTheme="minorEastAsia" w:eastAsiaTheme="minorEastAsia"/>
          <w:kern w:val="0"/>
          <w:sz w:val="24"/>
        </w:rPr>
        <w:t>时30整</w:t>
      </w:r>
      <w:r>
        <w:rPr>
          <w:rFonts w:hint="eastAsia" w:cs="Arial" w:asciiTheme="minorEastAsia" w:hAnsiTheme="minorEastAsia" w:eastAsiaTheme="minorEastAsia"/>
          <w:sz w:val="24"/>
          <w:szCs w:val="24"/>
        </w:rPr>
        <w:t>在</w:t>
      </w:r>
      <w:r>
        <w:rPr>
          <w:rFonts w:hint="eastAsia" w:cs="Arial" w:asciiTheme="minorEastAsia" w:hAnsiTheme="minorEastAsia" w:eastAsiaTheme="minorEastAsia"/>
          <w:color w:val="FF00FF"/>
          <w:sz w:val="24"/>
        </w:rPr>
        <w:t>台州市公共资源交易中心3楼306室第四开标室</w:t>
      </w:r>
      <w:r>
        <w:rPr>
          <w:rFonts w:hint="eastAsia" w:asciiTheme="minorEastAsia" w:hAnsiTheme="minorEastAsia" w:eastAsiaTheme="minorEastAsia"/>
          <w:sz w:val="24"/>
          <w:szCs w:val="24"/>
        </w:rPr>
        <w:t>开</w:t>
      </w:r>
      <w:r>
        <w:rPr>
          <w:rFonts w:hint="eastAsia" w:cs="Arial" w:asciiTheme="minorEastAsia" w:hAnsiTheme="minorEastAsia" w:eastAsiaTheme="minorEastAsia"/>
          <w:sz w:val="24"/>
          <w:szCs w:val="24"/>
        </w:rPr>
        <w:t>标，</w:t>
      </w:r>
      <w:r>
        <w:rPr>
          <w:rFonts w:hint="eastAsia" w:asciiTheme="minorEastAsia" w:hAnsiTheme="minorEastAsia" w:eastAsiaTheme="minorEastAsia"/>
          <w:kern w:val="0"/>
          <w:sz w:val="24"/>
          <w:szCs w:val="24"/>
        </w:rPr>
        <w:t>请在开标当日</w:t>
      </w:r>
      <w:r>
        <w:rPr>
          <w:rFonts w:hint="eastAsia" w:cs="Arial" w:asciiTheme="minorEastAsia" w:hAnsiTheme="minorEastAsia" w:eastAsiaTheme="minorEastAsia"/>
          <w:color w:val="FF00FF"/>
          <w:sz w:val="24"/>
          <w:szCs w:val="24"/>
        </w:rPr>
        <w:t>09:00</w:t>
      </w:r>
      <w:r>
        <w:rPr>
          <w:rFonts w:hint="eastAsia" w:asciiTheme="minorEastAsia" w:hAnsiTheme="minorEastAsia" w:eastAsiaTheme="minorEastAsia"/>
          <w:kern w:val="0"/>
          <w:sz w:val="24"/>
          <w:szCs w:val="24"/>
        </w:rPr>
        <w:t>至</w:t>
      </w:r>
      <w:r>
        <w:rPr>
          <w:rFonts w:hint="eastAsia" w:cs="Arial" w:asciiTheme="minorEastAsia" w:hAnsiTheme="minorEastAsia" w:eastAsiaTheme="minorEastAsia"/>
          <w:color w:val="FF00FF"/>
          <w:sz w:val="24"/>
          <w:szCs w:val="24"/>
        </w:rPr>
        <w:t>09:30</w:t>
      </w:r>
      <w:r>
        <w:rPr>
          <w:rFonts w:hint="eastAsia" w:asciiTheme="minorEastAsia" w:hAnsiTheme="minorEastAsia" w:eastAsiaTheme="minorEastAsia"/>
          <w:kern w:val="0"/>
          <w:sz w:val="24"/>
          <w:szCs w:val="24"/>
        </w:rPr>
        <w:t>将投标文件送达开标地点，逾期或不符合规定的投标文件恕不接受。</w:t>
      </w:r>
    </w:p>
    <w:p>
      <w:pPr>
        <w:numPr>
          <w:ilvl w:val="0"/>
          <w:numId w:val="2"/>
        </w:numPr>
        <w:snapToGrid w:val="0"/>
        <w:spacing w:line="360" w:lineRule="auto"/>
        <w:ind w:left="960" w:leftChars="0" w:hanging="600" w:firstLineChars="0"/>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投标保证金：</w:t>
      </w:r>
    </w:p>
    <w:p>
      <w:pPr>
        <w:numPr>
          <w:ilvl w:val="0"/>
          <w:numId w:val="0"/>
        </w:numPr>
        <w:snapToGrid w:val="0"/>
        <w:spacing w:line="360" w:lineRule="auto"/>
        <w:ind w:left="360" w:leftChars="0"/>
        <w:rPr>
          <w:rFonts w:cs="Arial" w:asciiTheme="minorEastAsia" w:hAnsiTheme="minorEastAsia" w:eastAsiaTheme="minorEastAsia"/>
          <w:sz w:val="24"/>
          <w:szCs w:val="24"/>
        </w:rPr>
      </w:pPr>
      <w:r>
        <w:rPr>
          <w:rFonts w:hint="eastAsia" w:cs="Arial" w:asciiTheme="minorEastAsia" w:hAnsiTheme="minorEastAsia" w:eastAsiaTheme="minorEastAsia"/>
          <w:color w:val="000000" w:themeColor="text1"/>
          <w:sz w:val="24"/>
          <w:lang w:eastAsia="zh-CN"/>
          <w14:textFill>
            <w14:solidFill>
              <w14:schemeClr w14:val="tx1"/>
            </w14:solidFill>
          </w14:textFill>
        </w:rPr>
        <w:t>本项目投标保证金为零。</w:t>
      </w:r>
    </w:p>
    <w:p>
      <w:pPr>
        <w:snapToGrid w:val="0"/>
        <w:spacing w:line="360" w:lineRule="auto"/>
        <w:ind w:firstLine="482" w:firstLineChars="200"/>
        <w:rPr>
          <w:rFonts w:cs="Arial" w:asciiTheme="minorEastAsia" w:hAnsiTheme="minorEastAsia" w:eastAsiaTheme="minorEastAsia"/>
          <w:b/>
          <w:color w:val="000000"/>
          <w:sz w:val="24"/>
          <w:szCs w:val="24"/>
        </w:rPr>
      </w:pPr>
      <w:r>
        <w:rPr>
          <w:rFonts w:hint="eastAsia" w:cs="Arial" w:asciiTheme="minorEastAsia" w:hAnsiTheme="minorEastAsia" w:eastAsiaTheme="minorEastAsia"/>
          <w:b/>
          <w:color w:val="000000"/>
          <w:sz w:val="24"/>
          <w:szCs w:val="24"/>
        </w:rPr>
        <w:t>八</w:t>
      </w:r>
      <w:r>
        <w:rPr>
          <w:rFonts w:cs="Arial" w:asciiTheme="minorEastAsia" w:hAnsiTheme="minorEastAsia" w:eastAsiaTheme="minorEastAsia"/>
          <w:b/>
          <w:color w:val="000000"/>
          <w:sz w:val="24"/>
          <w:szCs w:val="24"/>
        </w:rPr>
        <w:t>、投标人信用信息查询渠道及截止时点、信用信息查询记录和证据留存的具体方式、信用信息的使用规则</w:t>
      </w:r>
      <w:r>
        <w:rPr>
          <w:rFonts w:hint="eastAsia" w:cs="Arial" w:asciiTheme="minorEastAsia" w:hAnsiTheme="minorEastAsia" w:eastAsiaTheme="minorEastAsia"/>
          <w:b/>
          <w:color w:val="000000"/>
          <w:sz w:val="24"/>
          <w:szCs w:val="24"/>
        </w:rPr>
        <w:t>：</w:t>
      </w:r>
    </w:p>
    <w:p>
      <w:pPr>
        <w:spacing w:line="360" w:lineRule="auto"/>
        <w:ind w:firstLine="588" w:firstLineChars="245"/>
        <w:rPr>
          <w:rFonts w:hint="eastAsia" w:ascii="宋体" w:hAnsi="宋体" w:eastAsia="宋体" w:cs="Arial"/>
          <w:color w:val="auto"/>
          <w:sz w:val="24"/>
          <w:szCs w:val="24"/>
          <w:shd w:val="clear" w:color="auto" w:fill="auto"/>
        </w:rPr>
      </w:pPr>
      <w:r>
        <w:rPr>
          <w:rFonts w:hint="eastAsia" w:cs="Arial" w:asciiTheme="minorEastAsia" w:hAnsiTheme="minorEastAsia" w:eastAsiaTheme="minorEastAsia"/>
          <w:color w:val="000000"/>
          <w:sz w:val="24"/>
          <w:szCs w:val="24"/>
        </w:rPr>
        <w:t>1、查询渠道：</w:t>
      </w:r>
      <w:r>
        <w:rPr>
          <w:rFonts w:hint="eastAsia" w:cs="Arial" w:asciiTheme="minorEastAsia" w:hAnsiTheme="minorEastAsia" w:eastAsiaTheme="minorEastAsia"/>
          <w:color w:val="000000"/>
          <w:sz w:val="24"/>
          <w:szCs w:val="24"/>
          <w:lang w:eastAsia="zh-CN"/>
        </w:rPr>
        <w:t>信用中国（</w:t>
      </w:r>
      <w:r>
        <w:rPr>
          <w:rFonts w:hint="eastAsia" w:cs="Arial" w:asciiTheme="minorEastAsia" w:hAnsiTheme="minorEastAsia" w:eastAsiaTheme="minorEastAsia"/>
          <w:color w:val="000000"/>
          <w:sz w:val="24"/>
        </w:rPr>
        <w:t>网址：</w:t>
      </w:r>
      <w:r>
        <w:fldChar w:fldCharType="begin"/>
      </w:r>
      <w:r>
        <w:instrText xml:space="preserve"> HYPERLINK "http://www.creditchina.gov.cn" </w:instrText>
      </w:r>
      <w:r>
        <w:fldChar w:fldCharType="separate"/>
      </w:r>
      <w:r>
        <w:rPr>
          <w:rFonts w:cs="Arial" w:asciiTheme="minorEastAsia" w:hAnsiTheme="minorEastAsia" w:eastAsiaTheme="minorEastAsia"/>
          <w:color w:val="000000"/>
          <w:sz w:val="24"/>
        </w:rPr>
        <w:t>http://www.creditchina.gov.cn</w:t>
      </w:r>
      <w:r>
        <w:rPr>
          <w:rFonts w:cs="Arial" w:asciiTheme="minorEastAsia" w:hAnsiTheme="minorEastAsia" w:eastAsiaTheme="minorEastAsia"/>
          <w:color w:val="000000"/>
          <w:sz w:val="24"/>
        </w:rPr>
        <w:fldChar w:fldCharType="end"/>
      </w:r>
      <w:r>
        <w:rPr>
          <w:rFonts w:hint="eastAsia" w:cs="Arial" w:asciiTheme="minorEastAsia" w:hAnsiTheme="minorEastAsia" w:eastAsiaTheme="minorEastAsia"/>
          <w:color w:val="000000"/>
          <w:sz w:val="24"/>
          <w:szCs w:val="24"/>
          <w:lang w:eastAsia="zh-CN"/>
        </w:rPr>
        <w:t>）、中国政府采购网</w:t>
      </w:r>
      <w:r>
        <w:rPr>
          <w:rFonts w:hint="eastAsia" w:cs="Arial" w:asciiTheme="minorEastAsia" w:hAnsiTheme="minorEastAsia" w:eastAsiaTheme="minorEastAsia"/>
          <w:color w:val="000000"/>
          <w:sz w:val="24"/>
          <w:szCs w:val="24"/>
          <w:lang w:val="en-US" w:eastAsia="zh-CN"/>
        </w:rPr>
        <w:t>(</w:t>
      </w:r>
      <w:r>
        <w:rPr>
          <w:rFonts w:hint="eastAsia" w:cs="Arial" w:asciiTheme="minorEastAsia" w:hAnsiTheme="minorEastAsia" w:eastAsiaTheme="minorEastAsia"/>
          <w:color w:val="000000"/>
          <w:sz w:val="24"/>
        </w:rPr>
        <w:t>网址：</w:t>
      </w:r>
      <w:r>
        <w:rPr>
          <w:rFonts w:cs="Arial" w:asciiTheme="minorEastAsia" w:hAnsiTheme="minorEastAsia" w:eastAsiaTheme="minorEastAsia"/>
          <w:color w:val="000000"/>
          <w:sz w:val="24"/>
        </w:rPr>
        <w:t>http://www.ccgp.gov.cn</w:t>
      </w:r>
      <w:r>
        <w:rPr>
          <w:rFonts w:hint="eastAsia" w:ascii="宋体" w:hAnsi="宋体" w:cs="Arial"/>
          <w:color w:val="auto"/>
          <w:sz w:val="24"/>
          <w:szCs w:val="24"/>
          <w:shd w:val="clear" w:color="auto" w:fill="auto"/>
          <w:lang w:val="en-US" w:eastAsia="zh-CN"/>
        </w:rPr>
        <w:t>。</w:t>
      </w:r>
    </w:p>
    <w:p>
      <w:pPr>
        <w:snapToGrid w:val="0"/>
        <w:spacing w:line="360" w:lineRule="auto"/>
        <w:ind w:firstLine="480" w:firstLineChars="200"/>
        <w:rPr>
          <w:rFonts w:cs="Arial" w:asciiTheme="minorEastAsia" w:hAnsiTheme="minorEastAsia" w:eastAsiaTheme="minorEastAsia"/>
          <w:b/>
          <w:bCs/>
          <w:color w:val="000000"/>
          <w:sz w:val="24"/>
          <w:szCs w:val="24"/>
          <w:shd w:val="clear" w:color="FFFFFF" w:fill="D9D9D9"/>
        </w:rPr>
      </w:pPr>
      <w:r>
        <w:rPr>
          <w:rFonts w:hint="eastAsia" w:cs="Arial" w:asciiTheme="minorEastAsia" w:hAnsiTheme="minorEastAsia" w:eastAsiaTheme="minorEastAsia"/>
          <w:color w:val="000000"/>
          <w:sz w:val="24"/>
          <w:szCs w:val="24"/>
        </w:rPr>
        <w:t>2、截止时点：开标后评标前。</w:t>
      </w:r>
    </w:p>
    <w:p>
      <w:pPr>
        <w:snapToGrid w:val="0"/>
        <w:spacing w:line="360" w:lineRule="auto"/>
        <w:ind w:firstLine="480" w:firstLineChars="20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3、</w:t>
      </w:r>
      <w:r>
        <w:rPr>
          <w:rFonts w:cs="Arial" w:asciiTheme="minorEastAsia" w:hAnsiTheme="minorEastAsia" w:eastAsiaTheme="minorEastAsia"/>
          <w:color w:val="000000"/>
          <w:sz w:val="24"/>
          <w:szCs w:val="24"/>
        </w:rPr>
        <w:t>信用信息查询记录和证据留存的具体方式</w:t>
      </w:r>
      <w:r>
        <w:rPr>
          <w:rFonts w:hint="eastAsia" w:cs="Arial" w:asciiTheme="minorEastAsia" w:hAnsiTheme="minorEastAsia" w:eastAsiaTheme="minorEastAsia"/>
          <w:color w:val="000000"/>
          <w:sz w:val="24"/>
          <w:szCs w:val="24"/>
        </w:rPr>
        <w:t>：由采购</w:t>
      </w:r>
      <w:r>
        <w:rPr>
          <w:rFonts w:hint="eastAsia" w:cs="Arial" w:asciiTheme="minorEastAsia" w:hAnsiTheme="minorEastAsia" w:eastAsiaTheme="minorEastAsia"/>
          <w:color w:val="000000"/>
          <w:sz w:val="24"/>
          <w:szCs w:val="24"/>
          <w:lang w:eastAsia="zh-CN"/>
        </w:rPr>
        <w:t>组织机构</w:t>
      </w:r>
      <w:r>
        <w:rPr>
          <w:rFonts w:hint="eastAsia" w:cs="Arial" w:asciiTheme="minorEastAsia" w:hAnsiTheme="minorEastAsia" w:eastAsiaTheme="minorEastAsia"/>
          <w:color w:val="000000"/>
          <w:sz w:val="24"/>
          <w:szCs w:val="24"/>
        </w:rPr>
        <w:t>在规定查询时间内打印信用信息查询记录并归入项目档案。</w:t>
      </w:r>
    </w:p>
    <w:p>
      <w:pPr>
        <w:snapToGrid w:val="0"/>
        <w:spacing w:line="360" w:lineRule="auto"/>
        <w:ind w:firstLine="480" w:firstLineChars="200"/>
        <w:rPr>
          <w:rFonts w:cs="Arial" w:asciiTheme="minorEastAsia" w:hAnsiTheme="minorEastAsia" w:eastAsiaTheme="minorEastAsia"/>
          <w:color w:val="000000"/>
          <w:sz w:val="24"/>
          <w:szCs w:val="24"/>
        </w:rPr>
      </w:pPr>
      <w:r>
        <w:rPr>
          <w:rFonts w:hint="eastAsia" w:cs="Arial" w:asciiTheme="minorEastAsia" w:hAnsiTheme="minorEastAsia" w:eastAsiaTheme="minorEastAsia"/>
          <w:color w:val="000000"/>
          <w:sz w:val="24"/>
          <w:szCs w:val="24"/>
        </w:rPr>
        <w:t>4、使用规则：对列入失信被执行人、重大税收违法案件当事人名单、政府采购严重违法失信行为记录名单及其他不符合《中华人民共和国政府采购法》第二十二条规定条件的供应商，</w:t>
      </w:r>
      <w:r>
        <w:rPr>
          <w:rFonts w:cs="Arial" w:asciiTheme="minorEastAsia" w:hAnsiTheme="minorEastAsia" w:eastAsiaTheme="minorEastAsia"/>
          <w:color w:val="000000"/>
          <w:sz w:val="24"/>
          <w:szCs w:val="24"/>
        </w:rPr>
        <w:t>将被</w:t>
      </w:r>
      <w:r>
        <w:rPr>
          <w:rFonts w:hint="eastAsia" w:cs="Arial" w:asciiTheme="minorEastAsia" w:hAnsiTheme="minorEastAsia" w:eastAsiaTheme="minorEastAsia"/>
          <w:color w:val="000000"/>
          <w:sz w:val="24"/>
          <w:szCs w:val="24"/>
        </w:rPr>
        <w:t>拒绝其参与政府采购活动。</w:t>
      </w:r>
    </w:p>
    <w:p>
      <w:pPr>
        <w:snapToGrid w:val="0"/>
        <w:spacing w:line="360" w:lineRule="auto"/>
        <w:ind w:firstLine="482" w:firstLineChars="200"/>
        <w:rPr>
          <w:rFonts w:ascii="宋体" w:hAnsi="宋体" w:cs="Arial"/>
          <w:sz w:val="24"/>
          <w:szCs w:val="24"/>
        </w:rPr>
      </w:pPr>
      <w:r>
        <w:rPr>
          <w:rFonts w:hint="eastAsia" w:cs="Arial" w:asciiTheme="minorEastAsia" w:hAnsiTheme="minorEastAsia" w:eastAsiaTheme="minorEastAsia"/>
          <w:b/>
          <w:bCs/>
          <w:sz w:val="24"/>
          <w:szCs w:val="24"/>
        </w:rPr>
        <w:t>九</w:t>
      </w:r>
      <w:r>
        <w:rPr>
          <w:rFonts w:cs="Arial" w:asciiTheme="minorEastAsia" w:hAnsiTheme="minorEastAsia" w:eastAsiaTheme="minorEastAsia"/>
          <w:b/>
          <w:bCs/>
          <w:sz w:val="24"/>
          <w:szCs w:val="24"/>
        </w:rPr>
        <w:t>、</w:t>
      </w:r>
      <w:r>
        <w:rPr>
          <w:rFonts w:hint="eastAsia" w:ascii="宋体" w:hAnsi="宋体" w:cs="Arial"/>
          <w:b/>
          <w:sz w:val="24"/>
          <w:szCs w:val="24"/>
        </w:rPr>
        <w:t>相关注意事项</w:t>
      </w:r>
      <w:r>
        <w:rPr>
          <w:rFonts w:hint="eastAsia" w:ascii="宋体" w:hAnsi="宋体" w:cs="Arial"/>
          <w:sz w:val="24"/>
          <w:szCs w:val="24"/>
        </w:rPr>
        <w:t>：</w:t>
      </w:r>
    </w:p>
    <w:p>
      <w:pPr>
        <w:snapToGrid w:val="0"/>
        <w:spacing w:line="360" w:lineRule="auto"/>
        <w:ind w:firstLine="480" w:firstLineChars="200"/>
        <w:rPr>
          <w:rFonts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1、供应商认为采购文件使自己的权益受到损害的，可以自收到采购文件之日（获取截止日之后收到采购文件的，以获取截止日为准）起7个工作日内且应当在采购响应截止时间之前，以书面形式一次性向采购人和集中采构机构提出同一环节的质疑。否则，被质疑人可不予接受。质疑供应商对采购人、集中采构机构的答复不满意或者采购人、集中采构机构未在规定的时间内作出答复的，可以在答复期满后十五个工作日内向同级政府采购监督管理部门投诉。</w:t>
      </w:r>
    </w:p>
    <w:p>
      <w:pPr>
        <w:spacing w:line="360" w:lineRule="auto"/>
        <w:ind w:firstLine="480" w:firstLineChars="200"/>
        <w:rPr>
          <w:rFonts w:ascii="宋体" w:hAnsi="宋体" w:cs="Arial"/>
          <w:sz w:val="24"/>
          <w:szCs w:val="24"/>
        </w:rPr>
      </w:pPr>
      <w:r>
        <w:rPr>
          <w:rFonts w:hint="eastAsia" w:ascii="宋体" w:hAnsi="宋体" w:cs="Arial"/>
          <w:sz w:val="24"/>
          <w:szCs w:val="24"/>
        </w:rPr>
        <w:t>2、根据《浙江省政府采购供应商注册及诚信管理暂行办法》浙财采监【2009】28号文件，请各投标供应商及时办理浙江政府采购网“政府采购供应商注册”手续。</w:t>
      </w:r>
    </w:p>
    <w:p>
      <w:pPr>
        <w:snapToGrid w:val="0"/>
        <w:spacing w:line="360" w:lineRule="auto"/>
        <w:ind w:firstLine="480" w:firstLineChars="200"/>
        <w:rPr>
          <w:rFonts w:cs="Arial" w:asciiTheme="minorEastAsia" w:hAnsiTheme="minorEastAsia" w:eastAsiaTheme="minorEastAsia"/>
          <w:color w:val="000000" w:themeColor="text1"/>
          <w:sz w:val="24"/>
          <w14:textFill>
            <w14:solidFill>
              <w14:schemeClr w14:val="tx1"/>
            </w14:solidFill>
          </w14:textFill>
        </w:rPr>
      </w:pPr>
      <w:r>
        <w:rPr>
          <w:rFonts w:hint="eastAsia" w:ascii="宋体" w:hAnsi="宋体" w:cs="Arial"/>
          <w:color w:val="000000" w:themeColor="text1"/>
          <w:sz w:val="24"/>
          <w14:textFill>
            <w14:solidFill>
              <w14:schemeClr w14:val="tx1"/>
            </w14:solidFill>
          </w14:textFill>
        </w:rPr>
        <w:t>3、</w:t>
      </w:r>
      <w:r>
        <w:rPr>
          <w:rFonts w:cs="Arial" w:asciiTheme="minorEastAsia" w:hAnsiTheme="minorEastAsia" w:eastAsiaTheme="minorEastAsia"/>
          <w:color w:val="000000" w:themeColor="text1"/>
          <w:sz w:val="24"/>
          <w14:textFill>
            <w14:solidFill>
              <w14:schemeClr w14:val="tx1"/>
            </w14:solidFill>
          </w14:textFill>
        </w:rPr>
        <w:t>参与政府采购项目的注册供应商，</w:t>
      </w:r>
      <w:r>
        <w:rPr>
          <w:rFonts w:hint="eastAsia" w:cs="Arial" w:asciiTheme="minorEastAsia" w:hAnsiTheme="minorEastAsia" w:eastAsiaTheme="minorEastAsia"/>
          <w:color w:val="000000" w:themeColor="text1"/>
          <w:sz w:val="24"/>
          <w14:textFill>
            <w14:solidFill>
              <w14:schemeClr w14:val="tx1"/>
            </w14:solidFill>
          </w14:textFill>
        </w:rPr>
        <w:t>需登录浙江省政府采购</w:t>
      </w:r>
      <w:r>
        <w:rPr>
          <w:rFonts w:hint="eastAsia" w:cs="Arial" w:asciiTheme="minorEastAsia" w:hAnsiTheme="minorEastAsia" w:eastAsiaTheme="minorEastAsia"/>
          <w:color w:val="000000" w:themeColor="text1"/>
          <w:sz w:val="24"/>
          <w:lang w:eastAsia="zh-CN"/>
          <w14:textFill>
            <w14:solidFill>
              <w14:schemeClr w14:val="tx1"/>
            </w14:solidFill>
          </w14:textFill>
        </w:rPr>
        <w:t>网</w:t>
      </w:r>
      <w:r>
        <w:rPr>
          <w:rFonts w:hint="eastAsia" w:cs="Arial" w:asciiTheme="minorEastAsia" w:hAnsiTheme="minorEastAsia" w:eastAsiaTheme="minorEastAsia"/>
          <w:color w:val="000000" w:themeColor="text1"/>
          <w:sz w:val="24"/>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"http://www.tzztb.com/tzcms/zfcg.jhtml" </w:instrText>
      </w:r>
      <w:r>
        <w:rPr>
          <w:color w:val="000000" w:themeColor="text1"/>
          <w14:textFill>
            <w14:solidFill>
              <w14:schemeClr w14:val="tx1"/>
            </w14:solidFill>
          </w14:textFill>
        </w:rPr>
        <w:fldChar w:fldCharType="separate"/>
      </w:r>
      <w:r>
        <w:rPr>
          <w:rFonts w:hint="eastAsia" w:cs="Arial" w:asciiTheme="minorEastAsia" w:hAnsiTheme="minorEastAsia" w:eastAsiaTheme="minorEastAsia"/>
          <w:color w:val="000000" w:themeColor="text1"/>
          <w:sz w:val="24"/>
          <w14:textFill>
            <w14:solidFill>
              <w14:schemeClr w14:val="tx1"/>
            </w14:solidFill>
          </w14:textFill>
        </w:rPr>
        <w:t>http://www.zjzfcg.gov.cn</w:t>
      </w:r>
      <w:r>
        <w:rPr>
          <w:rFonts w:hint="eastAsia" w:cs="Arial" w:asciiTheme="minorEastAsia" w:hAnsiTheme="minorEastAsia" w:eastAsiaTheme="minorEastAsia"/>
          <w:color w:val="000000" w:themeColor="text1"/>
          <w:sz w:val="24"/>
          <w14:textFill>
            <w14:solidFill>
              <w14:schemeClr w14:val="tx1"/>
            </w14:solidFill>
          </w14:textFill>
        </w:rPr>
        <w:fldChar w:fldCharType="end"/>
      </w:r>
      <w:r>
        <w:rPr>
          <w:rFonts w:hint="eastAsia" w:cs="Arial" w:asciiTheme="minorEastAsia" w:hAnsiTheme="minorEastAsia" w:eastAsiaTheme="minorEastAsia"/>
          <w:color w:val="000000" w:themeColor="text1"/>
          <w:sz w:val="24"/>
          <w14:textFill>
            <w14:solidFill>
              <w14:schemeClr w14:val="tx1"/>
            </w14:solidFill>
          </w14:textFill>
        </w:rPr>
        <w:t>）</w:t>
      </w:r>
      <w:r>
        <w:rPr>
          <w:rFonts w:hint="eastAsia" w:cs="Arial" w:asciiTheme="minorEastAsia" w:hAnsiTheme="minorEastAsia" w:eastAsiaTheme="minorEastAsia"/>
          <w:color w:val="000000" w:themeColor="text1"/>
          <w:sz w:val="24"/>
          <w:lang w:eastAsia="zh-CN"/>
          <w14:textFill>
            <w14:solidFill>
              <w14:schemeClr w14:val="tx1"/>
            </w14:solidFill>
          </w14:textFill>
        </w:rPr>
        <w:t>及台州市公共资源交易网（http://www.tzztb.com/）</w:t>
      </w:r>
      <w:r>
        <w:rPr>
          <w:rFonts w:hint="eastAsia" w:cs="Arial" w:asciiTheme="minorEastAsia" w:hAnsiTheme="minorEastAsia" w:eastAsiaTheme="minorEastAsia"/>
          <w:color w:val="000000" w:themeColor="text1"/>
          <w:sz w:val="24"/>
          <w14:textFill>
            <w14:solidFill>
              <w14:schemeClr w14:val="tx1"/>
            </w14:solidFill>
          </w14:textFill>
        </w:rPr>
        <w:t>进行网上报名；尚未注册的供应商应当先在浙江政府采购网上申请注册，注册终审通过后再进行网</w:t>
      </w:r>
      <w:r>
        <w:rPr>
          <w:rFonts w:cs="Arial" w:asciiTheme="minorEastAsia" w:hAnsiTheme="minorEastAsia" w:eastAsiaTheme="minorEastAsia"/>
          <w:color w:val="000000" w:themeColor="text1"/>
          <w:sz w:val="24"/>
          <w14:textFill>
            <w14:solidFill>
              <w14:schemeClr w14:val="tx1"/>
            </w14:solidFill>
          </w14:textFill>
        </w:rPr>
        <w:t>上报名</w:t>
      </w:r>
      <w:r>
        <w:rPr>
          <w:rFonts w:hint="eastAsia" w:cs="Arial" w:asciiTheme="minorEastAsia" w:hAnsiTheme="minorEastAsia" w:eastAsiaTheme="minorEastAsia"/>
          <w:color w:val="000000" w:themeColor="text1"/>
          <w:sz w:val="24"/>
          <w14:textFill>
            <w14:solidFill>
              <w14:schemeClr w14:val="tx1"/>
            </w14:solidFill>
          </w14:textFill>
        </w:rPr>
        <w:t>。</w:t>
      </w:r>
    </w:p>
    <w:p>
      <w:pPr>
        <w:snapToGrid w:val="0"/>
        <w:spacing w:line="360" w:lineRule="auto"/>
        <w:ind w:firstLine="480" w:firstLineChars="200"/>
        <w:rPr>
          <w:rFonts w:cs="Arial" w:asciiTheme="minorEastAsia" w:hAnsiTheme="minorEastAsia" w:eastAsiaTheme="minorEastAsia"/>
          <w:color w:val="000000" w:themeColor="text1"/>
          <w:sz w:val="24"/>
          <w14:textFill>
            <w14:solidFill>
              <w14:schemeClr w14:val="tx1"/>
            </w14:solidFill>
          </w14:textFill>
        </w:rPr>
      </w:pPr>
      <w:r>
        <w:rPr>
          <w:rFonts w:hint="eastAsia" w:cs="Arial" w:asciiTheme="minorEastAsia" w:hAnsiTheme="minorEastAsia" w:eastAsiaTheme="minorEastAsia"/>
          <w:color w:val="000000" w:themeColor="text1"/>
          <w:sz w:val="24"/>
          <w14:textFill>
            <w14:solidFill>
              <w14:schemeClr w14:val="tx1"/>
            </w14:solidFill>
          </w14:textFill>
        </w:rPr>
        <w:t xml:space="preserve">4、本项目所有公告发布网站：“浙江省政府采购网”（http:// www.zjzfcg.gov.cn）和“台州市公共资源交易中心”（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"http://www.xjztb.cn" </w:instrText>
      </w:r>
      <w:r>
        <w:rPr>
          <w:color w:val="000000" w:themeColor="text1"/>
          <w14:textFill>
            <w14:solidFill>
              <w14:schemeClr w14:val="tx1"/>
            </w14:solidFill>
          </w14:textFill>
        </w:rPr>
        <w:fldChar w:fldCharType="separate"/>
      </w:r>
      <w:r>
        <w:rPr>
          <w:rFonts w:hint="eastAsia" w:cs="Arial" w:asciiTheme="minorEastAsia" w:hAnsiTheme="minorEastAsia" w:eastAsiaTheme="minorEastAsia"/>
          <w:color w:val="000000" w:themeColor="text1"/>
          <w:sz w:val="24"/>
          <w14:textFill>
            <w14:solidFill>
              <w14:schemeClr w14:val="tx1"/>
            </w14:solidFill>
          </w14:textFill>
        </w:rPr>
        <w:t>http://www.tzztb.com</w:t>
      </w:r>
      <w:r>
        <w:rPr>
          <w:rFonts w:hint="eastAsia" w:cs="Arial" w:asciiTheme="minorEastAsia" w:hAnsiTheme="minorEastAsia" w:eastAsiaTheme="minorEastAsia"/>
          <w:color w:val="000000" w:themeColor="text1"/>
          <w:sz w:val="24"/>
          <w14:textFill>
            <w14:solidFill>
              <w14:schemeClr w14:val="tx1"/>
            </w14:solidFill>
          </w14:textFill>
        </w:rPr>
        <w:fldChar w:fldCharType="end"/>
      </w:r>
      <w:r>
        <w:rPr>
          <w:rFonts w:hint="eastAsia" w:cs="Arial" w:asciiTheme="minorEastAsia" w:hAnsiTheme="minorEastAsia" w:eastAsiaTheme="minorEastAsia"/>
          <w:color w:val="000000" w:themeColor="text1"/>
          <w:sz w:val="24"/>
          <w14:textFill>
            <w14:solidFill>
              <w14:schemeClr w14:val="tx1"/>
            </w14:solidFill>
          </w14:textFill>
        </w:rPr>
        <w:t>）。</w:t>
      </w:r>
    </w:p>
    <w:p>
      <w:pPr>
        <w:spacing w:line="360" w:lineRule="auto"/>
        <w:ind w:firstLine="590" w:firstLineChars="245"/>
        <w:rPr>
          <w:rFonts w:asciiTheme="minorEastAsia" w:hAnsiTheme="minorEastAsia" w:eastAsiaTheme="minorEastAsia"/>
          <w:b/>
          <w:color w:val="auto"/>
          <w:sz w:val="24"/>
          <w:szCs w:val="24"/>
        </w:rPr>
      </w:pPr>
      <w:r>
        <w:rPr>
          <w:rFonts w:hint="eastAsia" w:asciiTheme="minorEastAsia" w:hAnsiTheme="minorEastAsia" w:eastAsiaTheme="minorEastAsia"/>
          <w:b/>
          <w:color w:val="auto"/>
          <w:sz w:val="24"/>
          <w:szCs w:val="24"/>
        </w:rPr>
        <w:t>十、联系方式：</w:t>
      </w:r>
    </w:p>
    <w:p>
      <w:pPr>
        <w:snapToGrid w:val="0"/>
        <w:spacing w:line="360" w:lineRule="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1.采购人（受理采购文件相关质疑及答复） </w:t>
      </w:r>
    </w:p>
    <w:p>
      <w:pPr>
        <w:spacing w:line="360" w:lineRule="auto"/>
        <w:ind w:left="1079" w:leftChars="371" w:hanging="300" w:hangingChars="125"/>
        <w:jc w:val="left"/>
        <w:rPr>
          <w:rFonts w:asciiTheme="minorEastAsia" w:hAnsiTheme="minorEastAsia" w:eastAsiaTheme="minorEastAsia" w:cstheme="minorEastAsia"/>
          <w:sz w:val="24"/>
          <w:szCs w:val="24"/>
        </w:rPr>
      </w:pPr>
      <w:bookmarkStart w:id="1" w:name="_Toc28359086"/>
      <w:bookmarkStart w:id="2" w:name="_Toc28359009"/>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　台州</w:t>
      </w:r>
      <w:r>
        <w:rPr>
          <w:rFonts w:hint="eastAsia" w:asciiTheme="minorEastAsia" w:hAnsiTheme="minorEastAsia" w:eastAsiaTheme="minorEastAsia" w:cstheme="minorEastAsia"/>
          <w:sz w:val="24"/>
          <w:szCs w:val="24"/>
          <w:u w:val="single"/>
          <w:lang w:val="en-US" w:eastAsia="zh-CN"/>
        </w:rPr>
        <w:t>市公交巴士有限公司</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p>
    <w:p>
      <w:pPr>
        <w:snapToGrid w:val="0"/>
        <w:spacing w:line="360" w:lineRule="auto"/>
        <w:ind w:firstLine="840" w:firstLineChars="350"/>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u w:val="single"/>
        </w:rPr>
        <w:t>　</w:t>
      </w:r>
      <w:r>
        <w:rPr>
          <w:rFonts w:hint="eastAsia" w:ascii="宋体"/>
          <w:kern w:val="0"/>
          <w:sz w:val="24"/>
          <w:u w:val="single"/>
        </w:rPr>
        <w:t>台州市椒江区海门街道民辉村一号</w:t>
      </w:r>
      <w:r>
        <w:rPr>
          <w:rFonts w:hint="eastAsia" w:asciiTheme="minorEastAsia" w:hAnsiTheme="minorEastAsia" w:eastAsiaTheme="minorEastAsia" w:cstheme="minorEastAsia"/>
          <w:sz w:val="24"/>
          <w:szCs w:val="24"/>
          <w:u w:val="single"/>
          <w:lang w:val="en-US" w:eastAsia="zh-CN"/>
        </w:rPr>
        <w:t xml:space="preserve">  </w:t>
      </w:r>
    </w:p>
    <w:p>
      <w:pPr>
        <w:spacing w:line="360" w:lineRule="auto"/>
        <w:ind w:left="1079" w:leftChars="371" w:hanging="300" w:hangingChars="125"/>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联系人：</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陈先生</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p>
    <w:p>
      <w:pPr>
        <w:spacing w:line="360" w:lineRule="auto"/>
        <w:ind w:firstLine="720" w:firstLineChars="3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0576-88</w:t>
      </w:r>
      <w:r>
        <w:rPr>
          <w:rFonts w:hint="eastAsia" w:asciiTheme="minorEastAsia" w:hAnsiTheme="minorEastAsia" w:eastAsiaTheme="minorEastAsia" w:cstheme="minorEastAsia"/>
          <w:sz w:val="24"/>
          <w:szCs w:val="24"/>
          <w:u w:val="single"/>
          <w:lang w:val="en-US" w:eastAsia="zh-CN"/>
        </w:rPr>
        <w:t>602672</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w:t>
      </w:r>
    </w:p>
    <w:p>
      <w:pPr>
        <w:pStyle w:val="2"/>
      </w:pPr>
    </w:p>
    <w:p>
      <w:pPr>
        <w:spacing w:line="360" w:lineRule="auto"/>
        <w:ind w:firstLine="840" w:firstLineChars="30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rPr>
        <w:t>2.</w:t>
      </w:r>
      <w:bookmarkEnd w:id="1"/>
      <w:bookmarkEnd w:id="2"/>
      <w:r>
        <w:rPr>
          <w:rFonts w:hint="eastAsia" w:asciiTheme="minorEastAsia" w:hAnsiTheme="minorEastAsia" w:eastAsiaTheme="minorEastAsia" w:cstheme="minorEastAsia"/>
          <w:b/>
          <w:sz w:val="28"/>
          <w:szCs w:val="28"/>
        </w:rPr>
        <w:t>集中采购机构</w:t>
      </w:r>
    </w:p>
    <w:p>
      <w:pPr>
        <w:spacing w:line="360" w:lineRule="auto"/>
        <w:ind w:firstLine="720" w:firstLineChars="3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台州市</w:t>
      </w:r>
      <w:r>
        <w:rPr>
          <w:rFonts w:hint="eastAsia" w:asciiTheme="minorEastAsia" w:hAnsiTheme="minorEastAsia" w:eastAsiaTheme="minorEastAsia" w:cstheme="minorEastAsia"/>
          <w:sz w:val="24"/>
          <w:u w:val="single"/>
          <w:lang w:eastAsia="zh-CN"/>
        </w:rPr>
        <w:t>政府采购</w:t>
      </w:r>
      <w:r>
        <w:rPr>
          <w:rFonts w:hint="eastAsia" w:asciiTheme="minorEastAsia" w:hAnsiTheme="minorEastAsia" w:eastAsiaTheme="minorEastAsia" w:cstheme="minorEastAsia"/>
          <w:sz w:val="24"/>
          <w:u w:val="single"/>
        </w:rPr>
        <w:t>中心</w:t>
      </w:r>
      <w:r>
        <w:rPr>
          <w:rFonts w:hint="eastAsia" w:asciiTheme="minorEastAsia" w:hAnsiTheme="minorEastAsia" w:eastAsiaTheme="minorEastAsia" w:cstheme="minorEastAsia"/>
          <w:sz w:val="24"/>
          <w:u w:val="single"/>
          <w:lang w:val="en-US" w:eastAsia="zh-CN"/>
        </w:rPr>
        <w:t xml:space="preserve">             </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台州市市府大道777号</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项目联系人：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eastAsia="zh-CN"/>
        </w:rPr>
        <w:t>谢</w:t>
      </w:r>
      <w:r>
        <w:rPr>
          <w:rFonts w:hint="eastAsia" w:asciiTheme="minorEastAsia" w:hAnsiTheme="minorEastAsia" w:eastAsiaTheme="minorEastAsia" w:cstheme="minorEastAsia"/>
          <w:sz w:val="24"/>
          <w:u w:val="single"/>
        </w:rPr>
        <w:t>女士</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p>
    <w:p>
      <w:pPr>
        <w:spacing w:line="360" w:lineRule="auto"/>
        <w:ind w:firstLine="720" w:firstLineChars="3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0576-886850</w:t>
      </w:r>
      <w:r>
        <w:rPr>
          <w:rFonts w:hint="eastAsia" w:asciiTheme="minorEastAsia" w:hAnsiTheme="minorEastAsia" w:eastAsiaTheme="minorEastAsia" w:cstheme="minorEastAsia"/>
          <w:sz w:val="24"/>
          <w:u w:val="single"/>
          <w:lang w:val="en-US" w:eastAsia="zh-CN"/>
        </w:rPr>
        <w:t>62</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窗口联系人：候女士（受理供应商注册、中标结果相关质疑及答复）</w:t>
      </w:r>
    </w:p>
    <w:p>
      <w:pPr>
        <w:spacing w:line="360" w:lineRule="auto"/>
        <w:ind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联系电话：0576-88685121  </w:t>
      </w:r>
    </w:p>
    <w:p>
      <w:pPr>
        <w:spacing w:line="360" w:lineRule="auto"/>
        <w:ind w:firstLine="843" w:firstLineChars="3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lang w:val="en-US" w:eastAsia="zh-CN"/>
        </w:rPr>
        <w:t>3.</w:t>
      </w:r>
      <w:r>
        <w:rPr>
          <w:rFonts w:hint="eastAsia" w:asciiTheme="minorEastAsia" w:hAnsiTheme="minorEastAsia" w:eastAsiaTheme="minorEastAsia" w:cstheme="minorEastAsia"/>
          <w:b/>
          <w:sz w:val="28"/>
          <w:szCs w:val="28"/>
        </w:rPr>
        <w:t>同级政府采购监督管理部门</w:t>
      </w:r>
    </w:p>
    <w:p>
      <w:pPr>
        <w:numPr>
          <w:ilvl w:val="255"/>
          <w:numId w:val="0"/>
        </w:numPr>
        <w:snapToGrid w:val="0"/>
        <w:spacing w:line="360" w:lineRule="auto"/>
        <w:ind w:left="525" w:leftChars="250" w:firstLine="240" w:firstLineChars="10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名称：台州市财政局</w:t>
      </w:r>
    </w:p>
    <w:p>
      <w:pPr>
        <w:snapToGrid w:val="0"/>
        <w:spacing w:line="360" w:lineRule="auto"/>
        <w:ind w:firstLine="840" w:firstLineChars="35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联系人：</w:t>
      </w:r>
      <w:r>
        <w:rPr>
          <w:rFonts w:hint="eastAsia" w:cs="Arial" w:asciiTheme="minorEastAsia" w:hAnsiTheme="minorEastAsia" w:eastAsiaTheme="minorEastAsia"/>
          <w:color w:val="000000"/>
          <w:sz w:val="24"/>
          <w:lang w:eastAsia="zh-CN"/>
        </w:rPr>
        <w:t>陈女士</w:t>
      </w:r>
      <w:r>
        <w:rPr>
          <w:rFonts w:hint="eastAsia" w:cs="Arial" w:asciiTheme="minorEastAsia" w:hAnsiTheme="minorEastAsia" w:eastAsiaTheme="minorEastAsia"/>
          <w:color w:val="000000"/>
          <w:sz w:val="24"/>
        </w:rPr>
        <w:t xml:space="preserve">                  </w:t>
      </w:r>
    </w:p>
    <w:p>
      <w:pPr>
        <w:snapToGrid w:val="0"/>
        <w:spacing w:line="360" w:lineRule="auto"/>
        <w:ind w:firstLine="840" w:firstLineChars="350"/>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监督投诉电话：0576-88206705         传真：0576-88206705</w:t>
      </w:r>
    </w:p>
    <w:p>
      <w:pPr>
        <w:widowControl/>
        <w:spacing w:before="60" w:after="60" w:line="360" w:lineRule="auto"/>
        <w:ind w:left="60" w:right="60" w:firstLine="856" w:firstLineChars="357"/>
        <w:jc w:val="left"/>
        <w:rPr>
          <w:rFonts w:cs="Arial" w:asciiTheme="minorEastAsia" w:hAnsiTheme="minorEastAsia" w:eastAsiaTheme="minorEastAsia"/>
          <w:color w:val="000000"/>
          <w:sz w:val="24"/>
        </w:rPr>
      </w:pPr>
      <w:r>
        <w:rPr>
          <w:rFonts w:hint="eastAsia" w:cs="Arial" w:asciiTheme="minorEastAsia" w:hAnsiTheme="minorEastAsia" w:eastAsiaTheme="minorEastAsia"/>
          <w:color w:val="000000"/>
          <w:sz w:val="24"/>
        </w:rPr>
        <w:t>地址：台州市纬一路66号</w:t>
      </w:r>
    </w:p>
    <w:p>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left="1440" w:right="-94" w:rightChars="0"/>
        <w:jc w:val="center"/>
        <w:rPr>
          <w:rFonts w:hint="eastAsia" w:cs="Arial" w:asciiTheme="minorEastAsia" w:hAnsiTheme="minorEastAsia" w:eastAsiaTheme="minorEastAsia"/>
          <w:sz w:val="24"/>
          <w:lang w:val="en-US" w:eastAsia="zh-CN"/>
        </w:rPr>
      </w:pPr>
      <w:r>
        <w:rPr>
          <w:rFonts w:hint="eastAsia" w:cs="Arial" w:asciiTheme="minorEastAsia" w:hAnsiTheme="minorEastAsia" w:eastAsiaTheme="minorEastAsia"/>
          <w:sz w:val="24"/>
          <w:lang w:val="en-US" w:eastAsia="zh-CN"/>
        </w:rPr>
        <w:t xml:space="preserve"> </w:t>
      </w:r>
    </w:p>
    <w:p>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left="1440" w:right="-94" w:rightChars="0"/>
        <w:jc w:val="center"/>
        <w:rPr>
          <w:rFonts w:hint="eastAsia" w:cs="Arial" w:asciiTheme="minorEastAsia" w:hAnsiTheme="minorEastAsia" w:eastAsiaTheme="minorEastAsia"/>
          <w:sz w:val="24"/>
          <w:lang w:val="en-US" w:eastAsia="zh-CN"/>
        </w:rPr>
      </w:pPr>
    </w:p>
    <w:p>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left="1440" w:right="-94" w:rightChars="0"/>
        <w:jc w:val="center"/>
        <w:rPr>
          <w:rFonts w:ascii="宋体"/>
          <w:color w:val="000000"/>
          <w:kern w:val="0"/>
          <w:sz w:val="24"/>
          <w:szCs w:val="24"/>
        </w:rPr>
      </w:pPr>
      <w:r>
        <w:rPr>
          <w:rFonts w:hint="eastAsia" w:cs="Arial" w:asciiTheme="minorEastAsia" w:hAnsiTheme="minorEastAsia" w:eastAsiaTheme="minorEastAsia"/>
          <w:sz w:val="24"/>
          <w:lang w:val="en-US" w:eastAsia="zh-CN"/>
        </w:rPr>
        <w:t xml:space="preserve">                                   </w:t>
      </w:r>
      <w:r>
        <w:rPr>
          <w:rFonts w:hint="eastAsia" w:cs="Arial" w:asciiTheme="minorEastAsia" w:hAnsiTheme="minorEastAsia" w:eastAsiaTheme="minorEastAsia"/>
          <w:sz w:val="24"/>
        </w:rPr>
        <w:t>台州市政府采购中心</w:t>
      </w:r>
      <w:r>
        <w:rPr>
          <w:rFonts w:ascii="宋体"/>
          <w:color w:val="000000"/>
          <w:kern w:val="0"/>
          <w:sz w:val="24"/>
          <w:szCs w:val="24"/>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center"/>
        <w:rPr>
          <w:rFonts w:hint="eastAsia" w:ascii="宋体"/>
          <w:color w:val="000000"/>
          <w:kern w:val="0"/>
          <w:sz w:val="24"/>
          <w:szCs w:val="24"/>
        </w:rPr>
      </w:pPr>
      <w:r>
        <w:rPr>
          <w:rFonts w:hint="eastAsia" w:ascii="宋体"/>
          <w:color w:val="000000"/>
          <w:kern w:val="0"/>
          <w:sz w:val="24"/>
          <w:szCs w:val="24"/>
        </w:rPr>
        <w:t xml:space="preserve">                            </w:t>
      </w:r>
      <w:r>
        <w:rPr>
          <w:rFonts w:hint="eastAsia" w:ascii="宋体"/>
          <w:color w:val="000000"/>
          <w:kern w:val="0"/>
          <w:sz w:val="24"/>
          <w:szCs w:val="24"/>
          <w:lang w:val="en-US" w:eastAsia="zh-CN"/>
        </w:rPr>
        <w:t xml:space="preserve">              </w:t>
      </w:r>
      <w:r>
        <w:rPr>
          <w:rFonts w:hint="eastAsia" w:ascii="宋体"/>
          <w:color w:val="000000"/>
          <w:kern w:val="0"/>
          <w:sz w:val="24"/>
          <w:szCs w:val="24"/>
        </w:rPr>
        <w:t xml:space="preserve">  </w:t>
      </w:r>
      <w:r>
        <w:rPr>
          <w:rFonts w:ascii="宋体"/>
          <w:color w:val="000000"/>
          <w:kern w:val="0"/>
          <w:sz w:val="24"/>
          <w:szCs w:val="24"/>
        </w:rPr>
        <w:t xml:space="preserve"> </w:t>
      </w:r>
      <w:r>
        <w:rPr>
          <w:rFonts w:hint="eastAsia" w:ascii="宋体" w:hAnsi="宋体"/>
          <w:color w:val="FF00FF"/>
          <w:sz w:val="24"/>
          <w:szCs w:val="24"/>
          <w:lang w:val="en-US" w:eastAsia="zh-CN"/>
        </w:rPr>
        <w:t>2021</w:t>
      </w:r>
      <w:r>
        <w:rPr>
          <w:rFonts w:hint="eastAsia" w:ascii="宋体"/>
          <w:color w:val="000000"/>
          <w:kern w:val="0"/>
          <w:sz w:val="24"/>
          <w:szCs w:val="24"/>
        </w:rPr>
        <w:t>年</w:t>
      </w:r>
      <w:r>
        <w:rPr>
          <w:rFonts w:hint="eastAsia" w:ascii="宋体" w:hAnsi="宋体"/>
          <w:color w:val="FF00FF"/>
          <w:sz w:val="24"/>
          <w:szCs w:val="24"/>
          <w:lang w:val="en-US" w:eastAsia="zh-CN"/>
        </w:rPr>
        <w:t>10</w:t>
      </w:r>
      <w:r>
        <w:rPr>
          <w:rFonts w:hint="eastAsia" w:ascii="宋体"/>
          <w:color w:val="000000"/>
          <w:kern w:val="0"/>
          <w:sz w:val="24"/>
          <w:szCs w:val="24"/>
        </w:rPr>
        <w:t>月</w:t>
      </w:r>
      <w:r>
        <w:rPr>
          <w:rFonts w:hint="eastAsia" w:ascii="宋体" w:hAnsi="宋体"/>
          <w:color w:val="FF00FF"/>
          <w:sz w:val="24"/>
          <w:szCs w:val="24"/>
          <w:lang w:val="en-US" w:eastAsia="zh-CN"/>
        </w:rPr>
        <w:t>15</w:t>
      </w:r>
      <w:r>
        <w:rPr>
          <w:rFonts w:hint="eastAsia" w:ascii="宋体"/>
          <w:color w:val="000000"/>
          <w:kern w:val="0"/>
          <w:sz w:val="24"/>
          <w:szCs w:val="24"/>
        </w:rPr>
        <w:t>日</w:t>
      </w:r>
    </w:p>
    <w:p>
      <w:pPr>
        <w:numPr>
          <w:ilvl w:val="0"/>
          <w:numId w:val="3"/>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lang w:eastAsia="zh-CN"/>
        </w:rPr>
        <w:t>投标人</w:t>
      </w:r>
      <w:r>
        <w:rPr>
          <w:rFonts w:hint="eastAsia" w:asciiTheme="minorEastAsia" w:hAnsiTheme="minorEastAsia" w:eastAsiaTheme="minorEastAsia"/>
          <w:b/>
          <w:sz w:val="36"/>
          <w:szCs w:val="36"/>
        </w:rPr>
        <w:t>须知</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前附表</w:t>
      </w:r>
    </w:p>
    <w:tbl>
      <w:tblPr>
        <w:tblStyle w:val="16"/>
        <w:tblW w:w="89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992"/>
        <w:gridCol w:w="6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序号</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项    目</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1</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供应商特定资格要求</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2</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auto"/>
                <w:kern w:val="0"/>
                <w:sz w:val="24"/>
                <w:szCs w:val="24"/>
              </w:rPr>
              <w:t>答疑会或</w:t>
            </w:r>
            <w:r>
              <w:rPr>
                <w:rFonts w:hint="eastAsia" w:asciiTheme="majorEastAsia" w:hAnsiTheme="majorEastAsia" w:eastAsiaTheme="majorEastAsia" w:cstheme="majorEastAsia"/>
                <w:color w:val="auto"/>
                <w:sz w:val="24"/>
                <w:szCs w:val="24"/>
              </w:rPr>
              <w:t>现场踏勘</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ajorEastAsia" w:hAnsiTheme="majorEastAsia" w:eastAsiaTheme="majorEastAsia" w:cstheme="majorEastAsia"/>
                <w:color w:val="auto"/>
                <w:sz w:val="24"/>
                <w:szCs w:val="24"/>
                <w:lang w:eastAsia="zh-CN"/>
              </w:rPr>
            </w:pPr>
            <w:r>
              <w:rPr>
                <w:rFonts w:hint="eastAsia" w:cs="Arial" w:asciiTheme="minorEastAsia" w:hAnsiTheme="minorEastAsia" w:eastAsiaTheme="minorEastAsia"/>
                <w:color w:val="auto"/>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3</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投标文件包装要求</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themeColor="text1"/>
                <w:sz w:val="24"/>
                <w14:textFill>
                  <w14:solidFill>
                    <w14:schemeClr w14:val="tx1"/>
                  </w14:solidFill>
                </w14:textFill>
              </w:rPr>
              <w:t>投标文件中的报价文件必须与其他文件分开各自密封包装。资格证明文件、商务与技术文件正本</w:t>
            </w:r>
            <w:r>
              <w:rPr>
                <w:rFonts w:hint="eastAsia" w:cs="Arial" w:asciiTheme="minorEastAsia" w:hAnsiTheme="minorEastAsia" w:eastAsiaTheme="minorEastAsia"/>
                <w:color w:val="000000" w:themeColor="text1"/>
                <w:sz w:val="24"/>
                <w14:textFill>
                  <w14:solidFill>
                    <w14:schemeClr w14:val="tx1"/>
                  </w14:solidFill>
                </w14:textFill>
              </w:rPr>
              <w:t>1</w:t>
            </w:r>
            <w:r>
              <w:rPr>
                <w:rFonts w:hint="eastAsia" w:asciiTheme="majorEastAsia" w:hAnsiTheme="majorEastAsia" w:eastAsiaTheme="majorEastAsia" w:cstheme="majorEastAsia"/>
                <w:color w:val="000000" w:themeColor="text1"/>
                <w:sz w:val="24"/>
                <w14:textFill>
                  <w14:solidFill>
                    <w14:schemeClr w14:val="tx1"/>
                  </w14:solidFill>
                </w14:textFill>
              </w:rPr>
              <w:t>份、电子投标文件</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光盘</w:t>
            </w:r>
            <w:r>
              <w:rPr>
                <w:rFonts w:hint="eastAsia" w:asciiTheme="majorEastAsia" w:hAnsiTheme="majorEastAsia" w:eastAsiaTheme="majorEastAsia" w:cstheme="majorEastAsia"/>
                <w:color w:val="000000" w:themeColor="text1"/>
                <w:sz w:val="24"/>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张</w:t>
            </w:r>
            <w:r>
              <w:rPr>
                <w:rFonts w:hint="eastAsia" w:asciiTheme="majorEastAsia" w:hAnsiTheme="majorEastAsia" w:eastAsiaTheme="majorEastAsia" w:cstheme="majorEastAsia"/>
                <w:color w:val="000000" w:themeColor="text1"/>
                <w:sz w:val="24"/>
                <w14:textFill>
                  <w14:solidFill>
                    <w14:schemeClr w14:val="tx1"/>
                  </w14:solidFill>
                </w14:textFill>
              </w:rPr>
              <w:t>，报价文件正本1份、电子</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报价</w:t>
            </w:r>
            <w:r>
              <w:rPr>
                <w:rFonts w:hint="eastAsia" w:asciiTheme="majorEastAsia" w:hAnsiTheme="majorEastAsia" w:eastAsiaTheme="majorEastAsia" w:cstheme="majorEastAsia"/>
                <w:color w:val="000000" w:themeColor="text1"/>
                <w:sz w:val="24"/>
                <w14:textFill>
                  <w14:solidFill>
                    <w14:schemeClr w14:val="tx1"/>
                  </w14:solidFill>
                </w14:textFill>
              </w:rPr>
              <w:t>文件</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光盘</w:t>
            </w:r>
            <w:r>
              <w:rPr>
                <w:rFonts w:hint="eastAsia" w:cs="Arial" w:asciiTheme="minorEastAsia" w:hAnsiTheme="minorEastAsia" w:eastAsiaTheme="minorEastAsia"/>
                <w:color w:val="000000" w:themeColor="text1"/>
                <w:sz w:val="24"/>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张</w:t>
            </w:r>
            <w:r>
              <w:rPr>
                <w:rFonts w:hint="eastAsia" w:asciiTheme="majorEastAsia" w:hAnsiTheme="majorEastAsia" w:eastAsiaTheme="majorEastAsia" w:cstheme="majorEastAsia"/>
                <w:color w:val="000000" w:themeColor="text1"/>
                <w:sz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4</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投标</w:t>
            </w:r>
            <w:r>
              <w:rPr>
                <w:rFonts w:hint="eastAsia" w:asciiTheme="majorEastAsia" w:hAnsiTheme="majorEastAsia" w:eastAsiaTheme="majorEastAsia" w:cstheme="majorEastAsia"/>
                <w:color w:val="000000"/>
                <w:sz w:val="24"/>
                <w:szCs w:val="24"/>
              </w:rPr>
              <w:t>有效期</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投标有效期为开标后90天，</w:t>
            </w:r>
            <w:r>
              <w:rPr>
                <w:rFonts w:hint="eastAsia" w:asciiTheme="majorEastAsia" w:hAnsiTheme="majorEastAsia" w:eastAsiaTheme="majorEastAsia" w:cstheme="majorEastAsia"/>
                <w:kern w:val="0"/>
                <w:sz w:val="24"/>
                <w:szCs w:val="24"/>
              </w:rPr>
              <w:t>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5</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投标文件递交</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eastAsia="宋体" w:cs="宋体"/>
                <w:color w:val="000000"/>
                <w:sz w:val="24"/>
                <w:szCs w:val="24"/>
              </w:rPr>
            </w:pPr>
            <w:r>
              <w:rPr>
                <w:rFonts w:hint="eastAsia" w:asciiTheme="majorEastAsia" w:hAnsiTheme="majorEastAsia" w:eastAsiaTheme="majorEastAsia" w:cstheme="majorEastAsia"/>
                <w:color w:val="000000"/>
                <w:sz w:val="24"/>
                <w:szCs w:val="24"/>
              </w:rPr>
              <w:t>截止时间：北</w:t>
            </w:r>
            <w:r>
              <w:rPr>
                <w:rFonts w:hint="eastAsia" w:asciiTheme="majorEastAsia" w:hAnsiTheme="majorEastAsia" w:eastAsiaTheme="majorEastAsia" w:cstheme="majorEastAsia"/>
                <w:color w:val="auto"/>
                <w:sz w:val="24"/>
                <w:szCs w:val="24"/>
              </w:rPr>
              <w:t>京时间20</w:t>
            </w:r>
            <w:r>
              <w:rPr>
                <w:rFonts w:hint="eastAsia" w:ascii="宋体" w:hAnsi="宋体" w:cs="Arial"/>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Arial"/>
                <w:color w:val="auto"/>
                <w:sz w:val="24"/>
                <w:szCs w:val="24"/>
                <w:lang w:val="en-US" w:eastAsia="zh-CN"/>
              </w:rPr>
              <w:t>11</w:t>
            </w:r>
            <w:r>
              <w:rPr>
                <w:rFonts w:hint="eastAsia" w:ascii="宋体" w:hAnsi="宋体" w:eastAsia="宋体" w:cs="Arial"/>
                <w:color w:val="auto"/>
                <w:sz w:val="24"/>
                <w:szCs w:val="24"/>
              </w:rPr>
              <w:t>月</w:t>
            </w:r>
            <w:r>
              <w:rPr>
                <w:rFonts w:hint="eastAsia" w:ascii="宋体" w:hAnsi="宋体" w:cs="Arial"/>
                <w:color w:val="auto"/>
                <w:sz w:val="24"/>
                <w:szCs w:val="24"/>
                <w:lang w:val="en-US" w:eastAsia="zh-CN"/>
              </w:rPr>
              <w:t>5</w:t>
            </w:r>
            <w:r>
              <w:rPr>
                <w:rFonts w:hint="eastAsia" w:ascii="宋体" w:hAnsi="宋体" w:eastAsia="宋体" w:cs="Arial"/>
                <w:color w:val="auto"/>
                <w:sz w:val="24"/>
                <w:szCs w:val="24"/>
              </w:rPr>
              <w:t>日</w:t>
            </w:r>
            <w:r>
              <w:rPr>
                <w:rFonts w:hint="eastAsia" w:ascii="宋体" w:hAnsi="宋体" w:cs="Arial"/>
                <w:color w:val="auto"/>
                <w:sz w:val="24"/>
                <w:szCs w:val="24"/>
                <w:lang w:val="en-US" w:eastAsia="zh-CN"/>
              </w:rPr>
              <w:t>09</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w:t>
            </w:r>
          </w:p>
          <w:p>
            <w:pPr>
              <w:spacing w:line="360" w:lineRule="auto"/>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递交地点：</w:t>
            </w:r>
            <w:r>
              <w:rPr>
                <w:rFonts w:hint="eastAsia" w:asciiTheme="minorEastAsia" w:hAnsiTheme="minorEastAsia" w:eastAsiaTheme="minorEastAsia"/>
                <w:kern w:val="0"/>
                <w:sz w:val="24"/>
              </w:rPr>
              <w:t>台州市市府大道777号台州市公共资源交易中心(电信大楼南面)三楼306室</w:t>
            </w:r>
          </w:p>
          <w:p>
            <w:pPr>
              <w:spacing w:line="360" w:lineRule="auto"/>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逾期送达的投标文件恕不接受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6</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开标时间及地点</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ajorEastAsia" w:hAnsiTheme="majorEastAsia" w:eastAsiaTheme="majorEastAsia" w:cstheme="majorEastAsia"/>
                <w:color w:val="auto"/>
                <w:sz w:val="24"/>
                <w:szCs w:val="24"/>
              </w:rPr>
            </w:pPr>
            <w:r>
              <w:rPr>
                <w:rFonts w:hint="eastAsia" w:asciiTheme="majorEastAsia" w:hAnsiTheme="majorEastAsia" w:eastAsiaTheme="majorEastAsia" w:cstheme="majorEastAsia"/>
                <w:color w:val="000000"/>
                <w:sz w:val="24"/>
                <w:szCs w:val="24"/>
              </w:rPr>
              <w:t>时间：北京</w:t>
            </w:r>
            <w:r>
              <w:rPr>
                <w:rFonts w:hint="eastAsia" w:asciiTheme="majorEastAsia" w:hAnsiTheme="majorEastAsia" w:eastAsiaTheme="majorEastAsia" w:cstheme="majorEastAsia"/>
                <w:color w:val="auto"/>
                <w:sz w:val="24"/>
                <w:szCs w:val="24"/>
              </w:rPr>
              <w:t>时间20</w:t>
            </w:r>
            <w:r>
              <w:rPr>
                <w:rFonts w:hint="eastAsia" w:ascii="宋体" w:hAnsi="宋体" w:cs="Arial"/>
                <w:color w:val="auto"/>
                <w:sz w:val="24"/>
                <w:szCs w:val="24"/>
                <w:lang w:val="en-US" w:eastAsia="zh-CN"/>
              </w:rPr>
              <w:t>21</w:t>
            </w:r>
            <w:r>
              <w:rPr>
                <w:rFonts w:hint="eastAsia" w:ascii="宋体" w:hAnsi="宋体" w:eastAsia="宋体" w:cs="宋体"/>
                <w:color w:val="auto"/>
                <w:sz w:val="24"/>
                <w:szCs w:val="24"/>
              </w:rPr>
              <w:t>年</w:t>
            </w:r>
            <w:r>
              <w:rPr>
                <w:rFonts w:hint="eastAsia" w:ascii="宋体" w:hAnsi="宋体" w:cs="Arial"/>
                <w:color w:val="auto"/>
                <w:sz w:val="24"/>
                <w:szCs w:val="24"/>
                <w:lang w:val="en-US" w:eastAsia="zh-CN"/>
              </w:rPr>
              <w:t>11</w:t>
            </w:r>
            <w:r>
              <w:rPr>
                <w:rFonts w:hint="eastAsia" w:ascii="宋体" w:hAnsi="宋体" w:eastAsia="宋体" w:cs="Arial"/>
                <w:color w:val="auto"/>
                <w:sz w:val="24"/>
                <w:szCs w:val="24"/>
              </w:rPr>
              <w:t>月</w:t>
            </w:r>
            <w:r>
              <w:rPr>
                <w:rFonts w:hint="eastAsia" w:ascii="宋体" w:hAnsi="宋体" w:cs="Arial"/>
                <w:color w:val="auto"/>
                <w:sz w:val="24"/>
                <w:szCs w:val="24"/>
                <w:lang w:val="en-US" w:eastAsia="zh-CN"/>
              </w:rPr>
              <w:t>5</w:t>
            </w:r>
            <w:r>
              <w:rPr>
                <w:rFonts w:hint="eastAsia" w:ascii="宋体" w:hAnsi="宋体" w:eastAsia="宋体" w:cs="Arial"/>
                <w:color w:val="auto"/>
                <w:sz w:val="24"/>
                <w:szCs w:val="24"/>
              </w:rPr>
              <w:t>日</w:t>
            </w:r>
            <w:r>
              <w:rPr>
                <w:rFonts w:hint="eastAsia" w:ascii="宋体" w:hAnsi="宋体" w:cs="Arial"/>
                <w:color w:val="auto"/>
                <w:sz w:val="24"/>
                <w:szCs w:val="24"/>
                <w:lang w:val="en-US" w:eastAsia="zh-CN"/>
              </w:rPr>
              <w:t>09</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0</w:t>
            </w:r>
          </w:p>
          <w:p>
            <w:pPr>
              <w:spacing w:line="360" w:lineRule="auto"/>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地点：</w:t>
            </w:r>
            <w:r>
              <w:rPr>
                <w:rFonts w:hint="eastAsia" w:asciiTheme="minorEastAsia" w:hAnsiTheme="minorEastAsia" w:eastAsiaTheme="minorEastAsia"/>
                <w:kern w:val="0"/>
                <w:sz w:val="24"/>
              </w:rPr>
              <w:t>台州市市府大道777号台州市公共资源交易中心(电信大楼南面)三楼306室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7</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lang w:eastAsia="zh-CN"/>
              </w:rPr>
              <w:t>本项目所属行业</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lang w:eastAsia="zh-CN"/>
              </w:rPr>
              <w:t>汽车制造业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8</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auto"/>
                <w:sz w:val="24"/>
                <w:szCs w:val="24"/>
                <w:lang w:eastAsia="zh-CN"/>
              </w:rPr>
            </w:pPr>
            <w:r>
              <w:rPr>
                <w:rFonts w:hint="eastAsia" w:asciiTheme="majorEastAsia" w:hAnsiTheme="majorEastAsia" w:eastAsiaTheme="majorEastAsia" w:cstheme="majorEastAsia"/>
                <w:color w:val="auto"/>
                <w:sz w:val="24"/>
                <w:szCs w:val="24"/>
                <w:lang w:eastAsia="zh-CN"/>
              </w:rPr>
              <w:t>小微企业核查网址</w:t>
            </w:r>
          </w:p>
        </w:tc>
        <w:tc>
          <w:tcPr>
            <w:tcW w:w="620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Theme="majorEastAsia" w:hAnsiTheme="majorEastAsia" w:eastAsiaTheme="majorEastAsia" w:cstheme="majorEastAsia"/>
                <w:color w:val="auto"/>
                <w:sz w:val="24"/>
                <w:szCs w:val="24"/>
                <w:lang w:eastAsia="zh-CN"/>
              </w:rPr>
            </w:pPr>
            <w:r>
              <w:rPr>
                <w:rFonts w:hint="eastAsia" w:cs="Arial" w:asciiTheme="minorEastAsia" w:hAnsiTheme="minorEastAsia" w:eastAsiaTheme="minorEastAsia"/>
                <w:color w:val="auto"/>
                <w:sz w:val="24"/>
              </w:rPr>
              <w:t>http://xwqy.gsxt.gov.cn/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lang w:val="en-US" w:eastAsia="zh-CN"/>
              </w:rPr>
              <w:t>9</w:t>
            </w:r>
          </w:p>
        </w:tc>
        <w:tc>
          <w:tcPr>
            <w:tcW w:w="19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履约保证金</w:t>
            </w:r>
          </w:p>
        </w:tc>
        <w:tc>
          <w:tcPr>
            <w:tcW w:w="6203" w:type="dxa"/>
            <w:tcBorders>
              <w:top w:val="single" w:color="auto" w:sz="4" w:space="0"/>
              <w:left w:val="single" w:color="auto" w:sz="4" w:space="0"/>
              <w:bottom w:val="single" w:color="auto" w:sz="4" w:space="0"/>
              <w:right w:val="single" w:color="auto" w:sz="4" w:space="0"/>
            </w:tcBorders>
            <w:vAlign w:val="center"/>
          </w:tcPr>
          <w:p>
            <w:pPr>
              <w:pStyle w:val="10"/>
              <w:spacing w:line="360" w:lineRule="auto"/>
              <w:ind w:left="0" w:leftChars="0"/>
              <w:rPr>
                <w:rFonts w:hint="eastAsia" w:eastAsia="宋体" w:asciiTheme="majorEastAsia" w:hAnsiTheme="majorEastAsia" w:cstheme="majorEastAsia"/>
                <w:color w:val="000000"/>
                <w:sz w:val="24"/>
                <w:szCs w:val="24"/>
                <w:lang w:eastAsia="zh-CN"/>
              </w:rPr>
            </w:pPr>
            <w:r>
              <w:rPr>
                <w:rFonts w:hint="eastAsia" w:ascii="宋体" w:hAnsi="宋体" w:eastAsia="宋体" w:cs="宋体"/>
                <w:color w:val="000000"/>
                <w:sz w:val="24"/>
                <w:szCs w:val="24"/>
              </w:rPr>
              <w:t>供应商在签订合同前须交纳本项目履约保证金为合同金额的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u w:val="single"/>
                <w:lang w:val="en-US" w:eastAsia="zh-CN"/>
              </w:rPr>
              <w:t>5</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heme="majorEastAsia" w:hAnsiTheme="majorEastAsia" w:eastAsiaTheme="majorEastAsia" w:cstheme="majorEastAsia"/>
                <w:color w:val="000000"/>
                <w:sz w:val="24"/>
                <w:szCs w:val="24"/>
                <w:lang w:val="en-US" w:eastAsia="zh-CN"/>
              </w:rPr>
            </w:pPr>
            <w:r>
              <w:rPr>
                <w:rFonts w:hint="eastAsia" w:asciiTheme="majorEastAsia" w:hAnsiTheme="majorEastAsia" w:eastAsiaTheme="majorEastAsia" w:cstheme="majorEastAsia"/>
                <w:color w:val="000000"/>
                <w:sz w:val="24"/>
                <w:szCs w:val="24"/>
                <w:lang w:val="en-US" w:eastAsia="zh-CN"/>
              </w:rPr>
              <w:t>10</w:t>
            </w:r>
          </w:p>
        </w:tc>
        <w:tc>
          <w:tcPr>
            <w:tcW w:w="1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000000"/>
                <w:sz w:val="24"/>
                <w:szCs w:val="24"/>
                <w:lang w:val="zh-CN"/>
              </w:rPr>
            </w:pPr>
            <w:r>
              <w:rPr>
                <w:rFonts w:hint="eastAsia" w:asciiTheme="majorEastAsia" w:hAnsiTheme="majorEastAsia" w:eastAsiaTheme="majorEastAsia" w:cstheme="majorEastAsia"/>
                <w:color w:val="000000"/>
                <w:sz w:val="24"/>
                <w:szCs w:val="24"/>
                <w:lang w:val="zh-CN"/>
              </w:rPr>
              <w:t>实质性条款</w:t>
            </w:r>
          </w:p>
        </w:tc>
        <w:tc>
          <w:tcPr>
            <w:tcW w:w="62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1050" w:hanging="1050"/>
              <w:rPr>
                <w:rFonts w:asciiTheme="majorEastAsia" w:hAnsiTheme="majorEastAsia" w:eastAsiaTheme="majorEastAsia" w:cstheme="majorEastAsia"/>
                <w:color w:val="000000"/>
                <w:kern w:val="0"/>
                <w:sz w:val="24"/>
                <w:szCs w:val="24"/>
                <w:lang w:val="zh-CN"/>
              </w:rPr>
            </w:pPr>
            <w:r>
              <w:rPr>
                <w:rFonts w:hint="eastAsia" w:asciiTheme="majorEastAsia" w:hAnsiTheme="majorEastAsia" w:eastAsiaTheme="majorEastAsia" w:cstheme="majorEastAsia"/>
                <w:color w:val="000000"/>
                <w:kern w:val="0"/>
                <w:sz w:val="24"/>
                <w:szCs w:val="24"/>
                <w:lang w:val="zh-CN"/>
              </w:rPr>
              <w:t>带“</w:t>
            </w:r>
            <w:r>
              <w:rPr>
                <w:rFonts w:hint="eastAsia" w:asciiTheme="majorEastAsia" w:hAnsiTheme="majorEastAsia" w:eastAsiaTheme="majorEastAsia" w:cstheme="majorEastAsia"/>
                <w:bCs/>
                <w:color w:val="000000"/>
                <w:sz w:val="24"/>
                <w:szCs w:val="24"/>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Theme="majorEastAsia" w:hAnsiTheme="majorEastAsia" w:eastAsiaTheme="majorEastAsia" w:cstheme="majorEastAsia"/>
                <w:color w:val="000000"/>
                <w:sz w:val="24"/>
                <w:szCs w:val="24"/>
                <w:lang w:eastAsia="zh-CN"/>
              </w:rPr>
            </w:pPr>
            <w:r>
              <w:rPr>
                <w:rFonts w:hint="eastAsia" w:asciiTheme="majorEastAsia" w:hAnsiTheme="majorEastAsia" w:eastAsiaTheme="majorEastAsia" w:cstheme="majorEastAsia"/>
                <w:color w:val="000000"/>
                <w:sz w:val="24"/>
                <w:szCs w:val="24"/>
              </w:rPr>
              <w:t>1</w:t>
            </w:r>
            <w:r>
              <w:rPr>
                <w:rFonts w:hint="eastAsia" w:asciiTheme="majorEastAsia" w:hAnsiTheme="majorEastAsia" w:eastAsiaTheme="majorEastAsia" w:cstheme="majorEastAsia"/>
                <w:color w:val="000000"/>
                <w:sz w:val="24"/>
                <w:szCs w:val="24"/>
                <w:lang w:val="en-US" w:eastAsia="zh-CN"/>
              </w:rPr>
              <w:t>1</w:t>
            </w:r>
          </w:p>
        </w:tc>
        <w:tc>
          <w:tcPr>
            <w:tcW w:w="199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sz w:val="24"/>
                <w:szCs w:val="24"/>
              </w:rPr>
              <w:t>解释权</w:t>
            </w:r>
          </w:p>
        </w:tc>
        <w:tc>
          <w:tcPr>
            <w:tcW w:w="62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themeColor="text1"/>
                <w:sz w:val="24"/>
                <w14:textFill>
                  <w14:solidFill>
                    <w14:schemeClr w14:val="tx1"/>
                  </w14:solidFill>
                </w14:textFill>
              </w:rPr>
              <w:t>本招标文件解释权属于采购人和</w:t>
            </w:r>
            <w:r>
              <w:rPr>
                <w:rFonts w:hint="eastAsia" w:ascii="宋体" w:hAnsi="宋体" w:cs="Arial"/>
                <w:color w:val="000000" w:themeColor="text1"/>
                <w:sz w:val="24"/>
                <w14:textFill>
                  <w14:solidFill>
                    <w14:schemeClr w14:val="tx1"/>
                  </w14:solidFill>
                </w14:textFill>
              </w:rPr>
              <w:t>台州市政府采购中心</w:t>
            </w:r>
          </w:p>
        </w:tc>
      </w:tr>
    </w:tbl>
    <w:p>
      <w:pPr>
        <w:pStyle w:val="9"/>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一 、总  则</w:t>
      </w:r>
    </w:p>
    <w:p>
      <w:pPr>
        <w:snapToGrid w:val="0"/>
        <w:spacing w:line="360" w:lineRule="auto"/>
        <w:ind w:firstLine="472" w:firstLineChars="196"/>
        <w:jc w:val="left"/>
        <w:outlineLvl w:val="1"/>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（一）</w:t>
      </w:r>
      <w:r>
        <w:rPr>
          <w:rFonts w:asciiTheme="minorEastAsia" w:hAnsiTheme="minorEastAsia" w:eastAsiaTheme="minorEastAsia"/>
          <w:b/>
          <w:color w:val="000000"/>
          <w:sz w:val="24"/>
          <w:szCs w:val="24"/>
        </w:rPr>
        <w:t xml:space="preserve"> 适用范围</w:t>
      </w:r>
    </w:p>
    <w:p>
      <w:pPr>
        <w:snapToGrid w:val="0"/>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本招标文件适用于</w:t>
      </w:r>
      <w:r>
        <w:rPr>
          <w:rFonts w:hint="eastAsia" w:asciiTheme="minorEastAsia" w:hAnsiTheme="minorEastAsia" w:eastAsiaTheme="minorEastAsia"/>
          <w:bCs/>
          <w:color w:val="000000"/>
          <w:sz w:val="24"/>
          <w:szCs w:val="24"/>
        </w:rPr>
        <w:t>本次</w:t>
      </w:r>
      <w:r>
        <w:rPr>
          <w:rFonts w:hint="eastAsia" w:asciiTheme="minorEastAsia" w:hAnsiTheme="minorEastAsia" w:eastAsiaTheme="minorEastAsia"/>
          <w:color w:val="000000"/>
          <w:sz w:val="24"/>
          <w:szCs w:val="24"/>
        </w:rPr>
        <w:t>项目的招标、投标、评标、定标、验收、合同履约、付款等行为（法律、法规另有规定的，从其规定）。</w:t>
      </w:r>
    </w:p>
    <w:p>
      <w:pPr>
        <w:snapToGrid w:val="0"/>
        <w:spacing w:beforeLines="50" w:line="360" w:lineRule="auto"/>
        <w:ind w:firstLine="354" w:firstLineChars="147"/>
        <w:jc w:val="left"/>
        <w:outlineLvl w:val="1"/>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（二）定义</w:t>
      </w:r>
    </w:p>
    <w:p>
      <w:pPr>
        <w:pStyle w:val="3"/>
        <w:keepNext w:val="0"/>
        <w:keepLines w:val="0"/>
        <w:tabs>
          <w:tab w:val="left" w:pos="0"/>
          <w:tab w:val="left" w:pos="851"/>
        </w:tabs>
        <w:autoSpaceDE w:val="0"/>
        <w:autoSpaceDN w:val="0"/>
        <w:adjustRightInd w:val="0"/>
        <w:snapToGrid w:val="0"/>
        <w:spacing w:before="0" w:after="0"/>
        <w:ind w:firstLine="566" w:firstLineChars="236"/>
        <w:jc w:val="left"/>
        <w:rPr>
          <w:rFonts w:asciiTheme="minorEastAsia" w:hAnsiTheme="minorEastAsia" w:eastAsiaTheme="minorEastAsia"/>
          <w:b w:val="0"/>
          <w:bCs w:val="0"/>
          <w:color w:val="000000"/>
          <w:sz w:val="24"/>
          <w:szCs w:val="24"/>
        </w:rPr>
      </w:pPr>
      <w:r>
        <w:rPr>
          <w:rFonts w:hint="eastAsia" w:asciiTheme="minorEastAsia" w:hAnsiTheme="minorEastAsia" w:eastAsiaTheme="minorEastAsia"/>
          <w:b w:val="0"/>
          <w:color w:val="000000"/>
          <w:sz w:val="24"/>
          <w:szCs w:val="24"/>
        </w:rPr>
        <w:t>1、</w:t>
      </w:r>
      <w:r>
        <w:rPr>
          <w:rFonts w:hint="eastAsia" w:ascii="宋体" w:hAnsi="宋体" w:eastAsia="宋体"/>
          <w:b w:val="0"/>
          <w:bCs w:val="0"/>
          <w:color w:val="auto"/>
          <w:sz w:val="24"/>
          <w:szCs w:val="24"/>
          <w:lang w:val="zh-CN"/>
        </w:rPr>
        <w:t>“采购组织机构”指采购人委托组织</w:t>
      </w:r>
      <w:r>
        <w:rPr>
          <w:rFonts w:hint="eastAsia" w:ascii="宋体" w:hAnsi="宋体"/>
          <w:b w:val="0"/>
          <w:bCs w:val="0"/>
          <w:color w:val="auto"/>
          <w:sz w:val="24"/>
          <w:szCs w:val="24"/>
          <w:lang w:val="zh-CN"/>
        </w:rPr>
        <w:t>招标</w:t>
      </w:r>
      <w:r>
        <w:rPr>
          <w:rFonts w:hint="eastAsia" w:ascii="宋体" w:hAnsi="宋体" w:eastAsia="宋体"/>
          <w:b w:val="0"/>
          <w:bCs w:val="0"/>
          <w:color w:val="auto"/>
          <w:sz w:val="24"/>
          <w:szCs w:val="24"/>
          <w:lang w:val="zh-CN"/>
        </w:rPr>
        <w:t>的集中采购机构</w:t>
      </w:r>
      <w:r>
        <w:rPr>
          <w:rFonts w:hint="eastAsia" w:ascii="宋体" w:hAnsi="宋体" w:eastAsia="宋体" w:cs="Arial"/>
          <w:b w:val="0"/>
          <w:bCs w:val="0"/>
          <w:color w:val="000000"/>
          <w:sz w:val="24"/>
          <w:szCs w:val="24"/>
        </w:rPr>
        <w:t>/</w:t>
      </w:r>
      <w:r>
        <w:rPr>
          <w:rFonts w:hint="eastAsia" w:ascii="宋体" w:hAnsi="宋体" w:eastAsia="宋体"/>
          <w:b w:val="0"/>
          <w:bCs w:val="0"/>
          <w:color w:val="auto"/>
          <w:sz w:val="24"/>
          <w:szCs w:val="24"/>
          <w:lang w:val="zh-CN"/>
        </w:rPr>
        <w:t>采购代理机构。</w:t>
      </w:r>
    </w:p>
    <w:p>
      <w:pPr>
        <w:snapToGrid w:val="0"/>
        <w:spacing w:line="360" w:lineRule="auto"/>
        <w:ind w:firstLine="566" w:firstLineChars="236"/>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2、采购人：是指委托</w:t>
      </w:r>
      <w:r>
        <w:rPr>
          <w:rFonts w:hint="eastAsia" w:ascii="宋体" w:hAnsi="宋体" w:eastAsia="宋体"/>
          <w:b w:val="0"/>
          <w:bCs w:val="0"/>
          <w:color w:val="auto"/>
          <w:sz w:val="24"/>
          <w:szCs w:val="24"/>
          <w:lang w:val="zh-CN"/>
        </w:rPr>
        <w:t>集中采购机构</w:t>
      </w:r>
      <w:r>
        <w:rPr>
          <w:rFonts w:hint="eastAsia" w:ascii="宋体" w:hAnsi="宋体" w:eastAsia="宋体" w:cs="Arial"/>
          <w:b w:val="0"/>
          <w:bCs w:val="0"/>
          <w:color w:val="000000"/>
          <w:sz w:val="24"/>
          <w:szCs w:val="24"/>
        </w:rPr>
        <w:t>/</w:t>
      </w:r>
      <w:r>
        <w:rPr>
          <w:rFonts w:hint="eastAsia" w:asciiTheme="minorEastAsia" w:hAnsiTheme="minorEastAsia" w:eastAsiaTheme="minorEastAsia"/>
          <w:color w:val="000000"/>
          <w:sz w:val="24"/>
          <w:szCs w:val="24"/>
        </w:rPr>
        <w:t>采购代理机构采购本次项目的国家机关、事业单位和团体组织。</w:t>
      </w:r>
    </w:p>
    <w:p>
      <w:pPr>
        <w:snapToGrid w:val="0"/>
        <w:spacing w:line="360" w:lineRule="auto"/>
        <w:ind w:left="424" w:leftChars="202" w:firstLine="141" w:firstLineChars="59"/>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w:t>
      </w:r>
      <w:r>
        <w:rPr>
          <w:rFonts w:asciiTheme="minorEastAsia" w:hAnsiTheme="minorEastAsia" w:eastAsiaTheme="minorEastAsia"/>
          <w:color w:val="000000"/>
          <w:sz w:val="24"/>
          <w:szCs w:val="24"/>
        </w:rPr>
        <w:t>投标人</w:t>
      </w:r>
      <w:r>
        <w:rPr>
          <w:rFonts w:hint="eastAsia" w:asciiTheme="minorEastAsia" w:hAnsiTheme="minorEastAsia" w:eastAsiaTheme="minorEastAsia"/>
          <w:color w:val="000000"/>
          <w:sz w:val="24"/>
          <w:szCs w:val="24"/>
        </w:rPr>
        <w:t>：是</w:t>
      </w:r>
      <w:r>
        <w:rPr>
          <w:rFonts w:asciiTheme="minorEastAsia" w:hAnsiTheme="minorEastAsia" w:eastAsiaTheme="minorEastAsia"/>
          <w:color w:val="000000"/>
          <w:sz w:val="24"/>
          <w:szCs w:val="24"/>
        </w:rPr>
        <w:t>指向</w:t>
      </w:r>
      <w:r>
        <w:rPr>
          <w:rFonts w:hint="eastAsia" w:asciiTheme="minorEastAsia" w:hAnsiTheme="minorEastAsia" w:eastAsiaTheme="minorEastAsia"/>
          <w:color w:val="000000"/>
          <w:sz w:val="24"/>
          <w:szCs w:val="24"/>
        </w:rPr>
        <w:t>采购</w:t>
      </w:r>
      <w:r>
        <w:rPr>
          <w:rFonts w:hint="eastAsia" w:ascii="宋体" w:hAnsi="宋体" w:eastAsia="宋体"/>
          <w:b w:val="0"/>
          <w:bCs w:val="0"/>
          <w:color w:val="auto"/>
          <w:sz w:val="24"/>
          <w:szCs w:val="24"/>
          <w:lang w:val="zh-CN"/>
        </w:rPr>
        <w:t>组织</w:t>
      </w:r>
      <w:r>
        <w:rPr>
          <w:rFonts w:hint="eastAsia" w:asciiTheme="minorEastAsia" w:hAnsiTheme="minorEastAsia" w:eastAsiaTheme="minorEastAsia"/>
          <w:color w:val="000000"/>
          <w:sz w:val="24"/>
          <w:szCs w:val="24"/>
        </w:rPr>
        <w:t>机构</w:t>
      </w:r>
      <w:r>
        <w:rPr>
          <w:rFonts w:asciiTheme="minorEastAsia" w:hAnsiTheme="minorEastAsia" w:eastAsiaTheme="minorEastAsia"/>
          <w:color w:val="000000"/>
          <w:sz w:val="24"/>
          <w:szCs w:val="24"/>
        </w:rPr>
        <w:t>提交投标文件的单位或个人。</w:t>
      </w:r>
    </w:p>
    <w:p>
      <w:pPr>
        <w:snapToGrid w:val="0"/>
        <w:spacing w:line="360" w:lineRule="auto"/>
        <w:ind w:left="424" w:leftChars="202" w:firstLine="143"/>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r>
        <w:rPr>
          <w:rFonts w:asciiTheme="minorEastAsia" w:hAnsiTheme="minorEastAsia" w:eastAsiaTheme="minorEastAsia"/>
          <w:color w:val="000000"/>
          <w:sz w:val="24"/>
          <w:szCs w:val="24"/>
        </w:rPr>
        <w:t>货物</w:t>
      </w:r>
      <w:r>
        <w:rPr>
          <w:rFonts w:hint="eastAsia" w:asciiTheme="minorEastAsia" w:hAnsiTheme="minorEastAsia" w:eastAsiaTheme="minorEastAsia"/>
          <w:color w:val="000000"/>
          <w:sz w:val="24"/>
          <w:szCs w:val="24"/>
        </w:rPr>
        <w:t>：</w:t>
      </w:r>
      <w:r>
        <w:rPr>
          <w:rFonts w:asciiTheme="minorEastAsia" w:hAnsiTheme="minorEastAsia" w:eastAsiaTheme="minorEastAsia"/>
          <w:color w:val="000000"/>
          <w:sz w:val="24"/>
          <w:szCs w:val="24"/>
        </w:rPr>
        <w:t>是指各种形态和种类的物品，包括原材料、燃料、设备、产品等。</w:t>
      </w:r>
    </w:p>
    <w:p>
      <w:pPr>
        <w:snapToGrid w:val="0"/>
        <w:spacing w:line="360" w:lineRule="auto"/>
        <w:ind w:firstLine="566" w:firstLineChars="236"/>
        <w:jc w:val="left"/>
        <w:rPr>
          <w:rFonts w:asciiTheme="minorEastAsia" w:hAnsiTheme="minorEastAsia" w:eastAsiaTheme="minorEastAsia"/>
          <w:b/>
          <w:sz w:val="24"/>
          <w:szCs w:val="24"/>
        </w:rPr>
      </w:pPr>
      <w:r>
        <w:rPr>
          <w:rFonts w:hint="eastAsia" w:asciiTheme="minorEastAsia" w:hAnsiTheme="minorEastAsia" w:eastAsiaTheme="minorEastAsia"/>
          <w:color w:val="000000"/>
          <w:sz w:val="24"/>
          <w:szCs w:val="24"/>
        </w:rPr>
        <w:t>5、</w:t>
      </w:r>
      <w:r>
        <w:rPr>
          <w:rFonts w:asciiTheme="minorEastAsia" w:hAnsiTheme="minorEastAsia" w:eastAsiaTheme="minorEastAsia"/>
          <w:sz w:val="24"/>
          <w:szCs w:val="24"/>
        </w:rPr>
        <w:t>服务</w:t>
      </w:r>
      <w:r>
        <w:rPr>
          <w:rFonts w:hint="eastAsia" w:asciiTheme="minorEastAsia" w:hAnsiTheme="minorEastAsia" w:eastAsiaTheme="minorEastAsia"/>
          <w:sz w:val="24"/>
          <w:szCs w:val="24"/>
        </w:rPr>
        <w:t>：</w:t>
      </w:r>
      <w:r>
        <w:rPr>
          <w:rFonts w:asciiTheme="minorEastAsia" w:hAnsiTheme="minorEastAsia" w:eastAsiaTheme="minorEastAsia"/>
          <w:sz w:val="24"/>
          <w:szCs w:val="24"/>
        </w:rPr>
        <w:t>是指除货物和工程以外的政府采购对象，包括各类专业服务、信息网络开发服务、金融保险服务、运输服务，以及维修与维护服务等。</w:t>
      </w:r>
    </w:p>
    <w:p>
      <w:pPr>
        <w:snapToGrid w:val="0"/>
        <w:spacing w:line="360" w:lineRule="auto"/>
        <w:ind w:firstLine="566" w:firstLineChars="236"/>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w:t>
      </w:r>
      <w:r>
        <w:rPr>
          <w:rFonts w:asciiTheme="minorEastAsia" w:hAnsiTheme="minorEastAsia" w:eastAsiaTheme="minorEastAsia"/>
          <w:color w:val="000000"/>
          <w:sz w:val="24"/>
          <w:szCs w:val="24"/>
        </w:rPr>
        <w:t>“书面形式”包括信函、传真等。</w:t>
      </w:r>
    </w:p>
    <w:p>
      <w:pPr>
        <w:snapToGrid w:val="0"/>
        <w:spacing w:line="360" w:lineRule="auto"/>
        <w:ind w:firstLine="566" w:firstLineChars="236"/>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w:t>
      </w:r>
      <w:r>
        <w:rPr>
          <w:rFonts w:asciiTheme="minorEastAsia" w:hAnsiTheme="minorEastAsia" w:eastAsiaTheme="minorEastAsia"/>
          <w:color w:val="000000"/>
          <w:sz w:val="24"/>
          <w:szCs w:val="24"/>
        </w:rPr>
        <w:t>“▲”系指实质性要求条款。</w:t>
      </w:r>
    </w:p>
    <w:p>
      <w:pPr>
        <w:snapToGrid w:val="0"/>
        <w:spacing w:beforeLines="50" w:line="360" w:lineRule="auto"/>
        <w:ind w:firstLine="472" w:firstLineChars="196"/>
        <w:jc w:val="left"/>
        <w:outlineLvl w:val="1"/>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（三）投标费用</w:t>
      </w:r>
    </w:p>
    <w:p>
      <w:pPr>
        <w:snapToGrid w:val="0"/>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不论投标结果如何，投标人均应自行承担所有与投标有关的全部费用（招标文件有相关规定除外）。</w:t>
      </w:r>
    </w:p>
    <w:p>
      <w:pPr>
        <w:pStyle w:val="9"/>
        <w:snapToGrid w:val="0"/>
        <w:spacing w:line="360" w:lineRule="auto"/>
        <w:ind w:left="2" w:leftChars="1" w:firstLine="482" w:firstLineChars="200"/>
        <w:rPr>
          <w:rFonts w:hAnsi="宋体"/>
          <w:b/>
          <w:sz w:val="24"/>
          <w:szCs w:val="24"/>
        </w:rPr>
      </w:pPr>
      <w:r>
        <w:rPr>
          <w:rFonts w:hint="eastAsia" w:hAnsi="宋体"/>
          <w:b/>
          <w:sz w:val="24"/>
          <w:szCs w:val="24"/>
        </w:rPr>
        <w:t>（四）特别说明</w:t>
      </w:r>
    </w:p>
    <w:p>
      <w:pPr>
        <w:pStyle w:val="9"/>
        <w:snapToGrid w:val="0"/>
        <w:spacing w:line="360" w:lineRule="auto"/>
        <w:ind w:left="2" w:leftChars="1"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投标人投标所使用的资格、信誉、荣誉、业绩与企业认证必须为本法人所拥有。投标人投标所使用的采购项目实施人员必须为本法人员工（</w:t>
      </w:r>
      <w:r>
        <w:rPr>
          <w:rFonts w:hint="eastAsia" w:asciiTheme="minorEastAsia" w:hAnsiTheme="minorEastAsia" w:eastAsiaTheme="minorEastAsia"/>
          <w:sz w:val="24"/>
          <w:szCs w:val="24"/>
        </w:rPr>
        <w:t>指</w:t>
      </w:r>
      <w:r>
        <w:rPr>
          <w:rFonts w:asciiTheme="minorEastAsia" w:hAnsiTheme="minorEastAsia" w:eastAsiaTheme="minorEastAsia"/>
          <w:sz w:val="24"/>
          <w:szCs w:val="24"/>
        </w:rPr>
        <w:t>本法人或控股公司正式员工）。</w:t>
      </w:r>
    </w:p>
    <w:p>
      <w:pPr>
        <w:spacing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Theme="minorEastAsia" w:hAnsiTheme="minorEastAsia" w:eastAsiaTheme="minorEastAsia" w:cstheme="minorBidi"/>
          <w:sz w:val="24"/>
          <w:szCs w:val="24"/>
        </w:rPr>
        <w:tab/>
      </w:r>
    </w:p>
    <w:p>
      <w:pPr>
        <w:pStyle w:val="21"/>
        <w:snapToGrid w:val="0"/>
        <w:spacing w:line="360" w:lineRule="auto"/>
        <w:ind w:firstLineChars="0"/>
        <w:rPr>
          <w:rFonts w:hint="eastAsia"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3、</w:t>
      </w:r>
      <w:r>
        <w:rPr>
          <w:rFonts w:asciiTheme="minorEastAsia" w:hAnsiTheme="minorEastAsia" w:eastAsiaTheme="minorEastAsia" w:cstheme="minorBidi"/>
          <w:sz w:val="24"/>
          <w:szCs w:val="24"/>
        </w:rPr>
        <w:t>投标人在投标活动中提供任何虚假材料,其投标无效，并报监管部门查处；中标后发现的,根据《中华人民共和国政府采购法》第七十七条第一款第一项之规定</w:t>
      </w:r>
      <w:r>
        <w:rPr>
          <w:rFonts w:hint="eastAsia" w:asciiTheme="minorEastAsia" w:hAnsiTheme="minorEastAsia" w:eastAsiaTheme="minorEastAsia" w:cstheme="minorBidi"/>
          <w:sz w:val="24"/>
          <w:szCs w:val="24"/>
        </w:rPr>
        <w:t>，</w:t>
      </w:r>
      <w:r>
        <w:rPr>
          <w:rFonts w:asciiTheme="minorEastAsia" w:hAnsiTheme="minorEastAsia" w:eastAsia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Theme="minorEastAsia" w:hAnsiTheme="minorEastAsia" w:eastAsiaTheme="minorEastAsia" w:cstheme="minorBidi"/>
          <w:sz w:val="24"/>
          <w:szCs w:val="24"/>
        </w:rPr>
        <w:t>。</w:t>
      </w:r>
    </w:p>
    <w:p>
      <w:pPr>
        <w:pStyle w:val="3"/>
        <w:keepNext w:val="0"/>
        <w:keepLines w:val="0"/>
        <w:tabs>
          <w:tab w:val="left" w:pos="851"/>
        </w:tabs>
        <w:autoSpaceDE w:val="0"/>
        <w:autoSpaceDN w:val="0"/>
        <w:adjustRightInd w:val="0"/>
        <w:snapToGrid w:val="0"/>
        <w:spacing w:before="0" w:after="0" w:line="360" w:lineRule="auto"/>
        <w:ind w:firstLine="480" w:firstLineChars="200"/>
        <w:rPr>
          <w:rFonts w:hint="eastAsia" w:asciiTheme="minorEastAsia" w:hAnsiTheme="minorEastAsia" w:eastAsiaTheme="minorEastAsia" w:cstheme="minorBidi"/>
          <w:sz w:val="24"/>
          <w:szCs w:val="24"/>
        </w:rPr>
      </w:pPr>
      <w:r>
        <w:rPr>
          <w:rFonts w:hint="eastAsia" w:cs="Times New Roman" w:asciiTheme="minorEastAsia" w:hAnsiTheme="minorEastAsia" w:eastAsiaTheme="minorEastAsia"/>
          <w:b w:val="0"/>
          <w:i w:val="0"/>
          <w:caps w:val="0"/>
          <w:color w:val="auto"/>
          <w:spacing w:val="0"/>
          <w:sz w:val="24"/>
          <w:szCs w:val="24"/>
          <w:shd w:val="clear"/>
          <w:lang w:val="en-US" w:eastAsia="zh-CN"/>
        </w:rPr>
        <w:t>4、</w:t>
      </w:r>
      <w:r>
        <w:rPr>
          <w:rFonts w:hint="eastAsia" w:cs="Times New Roman" w:asciiTheme="minorEastAsia" w:hAnsiTheme="minorEastAsia" w:eastAsiaTheme="minorEastAsia"/>
          <w:b w:val="0"/>
          <w:i w:val="0"/>
          <w:caps w:val="0"/>
          <w:color w:val="auto"/>
          <w:spacing w:val="0"/>
          <w:sz w:val="24"/>
          <w:szCs w:val="24"/>
          <w:shd w:val="clear"/>
        </w:rPr>
        <w:t>投标人被列入“黑名单”的，采购组织单位将根据《浙江省政府采购供应商注册及诚信管理暂行办法》第四十六条之规定，在处罚有效期内，资格审查时不予通过。</w:t>
      </w:r>
    </w:p>
    <w:p>
      <w:pPr>
        <w:pStyle w:val="3"/>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lang w:val="en-US" w:eastAsia="zh-CN"/>
        </w:rPr>
        <w:t>5</w:t>
      </w:r>
      <w:r>
        <w:rPr>
          <w:rFonts w:hint="eastAsia" w:asciiTheme="minorEastAsia" w:hAnsiTheme="minorEastAsia" w:eastAsiaTheme="minorEastAsia"/>
          <w:b w:val="0"/>
          <w:bCs w:val="0"/>
          <w:sz w:val="24"/>
          <w:szCs w:val="24"/>
        </w:rPr>
        <w:t>、投标人不得相互串通投标报价，不得妨碍其他投标人的公平竞争，不得损害采购人或其他投标人的合法权益，投标人不得以向采购人、评标委员会成员行贿或者采取其他不正当手段谋取中标。</w:t>
      </w:r>
    </w:p>
    <w:p>
      <w:pPr>
        <w:pStyle w:val="3"/>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lang w:val="en-US" w:eastAsia="zh-CN"/>
        </w:rPr>
        <w:t>6</w:t>
      </w:r>
      <w:r>
        <w:rPr>
          <w:rFonts w:hint="eastAsia" w:asciiTheme="minorEastAsia" w:hAnsiTheme="minorEastAsia" w:eastAsiaTheme="minorEastAsia"/>
          <w:b w:val="0"/>
          <w:bCs w:val="0"/>
          <w:sz w:val="24"/>
          <w:szCs w:val="24"/>
        </w:rPr>
        <w:t>、为采购项目提供整体设计、规范编制或者项目管理、监理、检测等服务的供应商，不得再参加该采购项目的其他采购活动。</w:t>
      </w:r>
    </w:p>
    <w:p>
      <w:pPr>
        <w:pStyle w:val="3"/>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lang w:val="en-US" w:eastAsia="zh-CN"/>
        </w:rPr>
        <w:t>7</w:t>
      </w:r>
      <w:r>
        <w:rPr>
          <w:rFonts w:hint="eastAsia" w:asciiTheme="minorEastAsia" w:hAnsiTheme="minorEastAsia" w:eastAsiaTheme="minorEastAsia"/>
          <w:b w:val="0"/>
          <w:bCs w:val="0"/>
          <w:sz w:val="24"/>
          <w:szCs w:val="24"/>
        </w:rPr>
        <w:t>、投标文件格式中的表格式样可以根据项目差别做适当调整,但应当保持表格样式基本形态不变。</w:t>
      </w:r>
    </w:p>
    <w:p>
      <w:pPr>
        <w:pStyle w:val="3"/>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lang w:val="en-US" w:eastAsia="zh-CN"/>
        </w:rPr>
        <w:t>8</w:t>
      </w:r>
      <w:r>
        <w:rPr>
          <w:rFonts w:hint="eastAsia" w:asciiTheme="minorEastAsia" w:hAnsiTheme="minorEastAsia" w:eastAsiaTheme="minorEastAsia"/>
          <w:b w:val="0"/>
          <w:bCs w:val="0"/>
          <w:sz w:val="24"/>
          <w:szCs w:val="24"/>
        </w:rPr>
        <w:t>、单位负责人为同一人或者存在直接控股、管理关系的不同供应商，不得参加同一合同项下的政府采购活动。</w:t>
      </w:r>
    </w:p>
    <w:p>
      <w:pPr>
        <w:pStyle w:val="3"/>
        <w:keepNext w:val="0"/>
        <w:keepLines w:val="0"/>
        <w:tabs>
          <w:tab w:val="left" w:pos="851"/>
        </w:tabs>
        <w:autoSpaceDE w:val="0"/>
        <w:autoSpaceDN w:val="0"/>
        <w:adjustRightInd w:val="0"/>
        <w:snapToGrid w:val="0"/>
        <w:spacing w:before="0" w:after="0" w:line="360" w:lineRule="auto"/>
        <w:ind w:firstLine="480" w:firstLineChars="200"/>
        <w:rPr>
          <w:rFonts w:asciiTheme="minorEastAsia" w:hAnsiTheme="minorEastAsia" w:eastAsiaTheme="minorEastAsia"/>
          <w:b w:val="0"/>
          <w:bCs w:val="0"/>
          <w:sz w:val="24"/>
          <w:szCs w:val="24"/>
        </w:rPr>
      </w:pPr>
      <w:r>
        <w:rPr>
          <w:rFonts w:hint="eastAsia" w:asciiTheme="minorEastAsia" w:hAnsiTheme="minorEastAsia" w:eastAsiaTheme="minorEastAsia"/>
          <w:b w:val="0"/>
          <w:bCs w:val="0"/>
          <w:sz w:val="24"/>
          <w:szCs w:val="24"/>
          <w:lang w:val="en-US" w:eastAsia="zh-CN"/>
        </w:rPr>
        <w:t>9</w:t>
      </w:r>
      <w:r>
        <w:rPr>
          <w:rFonts w:hint="eastAsia" w:asciiTheme="minorEastAsia" w:hAnsiTheme="minorEastAsia" w:eastAsiaTheme="minorEastAsia"/>
          <w:b w:val="0"/>
          <w:bCs w:val="0"/>
          <w:sz w:val="24"/>
          <w:szCs w:val="24"/>
        </w:rPr>
        <w:t>、本项目不允许分包。（或者本项目允许部分分包，若分包如下：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二、招标文件</w:t>
      </w:r>
    </w:p>
    <w:p>
      <w:pPr>
        <w:autoSpaceDE w:val="0"/>
        <w:autoSpaceDN w:val="0"/>
        <w:adjustRightInd w:val="0"/>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 xml:space="preserve">   （一）招标文件由招标文件总目录所列内容组成。</w:t>
      </w:r>
    </w:p>
    <w:p>
      <w:pPr>
        <w:autoSpaceDE w:val="0"/>
        <w:autoSpaceDN w:val="0"/>
        <w:adjustRightInd w:val="0"/>
        <w:spacing w:line="360" w:lineRule="auto"/>
        <w:ind w:firstLine="360" w:firstLineChars="15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（二）招标文件的澄清或修改</w:t>
      </w:r>
    </w:p>
    <w:p>
      <w:pPr>
        <w:autoSpaceDE w:val="0"/>
        <w:autoSpaceDN w:val="0"/>
        <w:adjustRightInd w:val="0"/>
        <w:spacing w:line="360" w:lineRule="auto"/>
        <w:ind w:firstLine="420" w:firstLineChars="175"/>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w:t>
      </w:r>
      <w:r>
        <w:rPr>
          <w:rFonts w:hint="eastAsia" w:asciiTheme="minorEastAsia" w:hAnsiTheme="minorEastAsia" w:eastAsiaTheme="minorEastAsia"/>
          <w:kern w:val="0"/>
          <w:sz w:val="24"/>
          <w:szCs w:val="24"/>
          <w:lang w:eastAsia="zh-CN"/>
        </w:rPr>
        <w:t>采购组织机构</w:t>
      </w:r>
      <w:r>
        <w:rPr>
          <w:rFonts w:hint="eastAsia" w:asciiTheme="minorEastAsia" w:hAnsiTheme="minorEastAsia" w:eastAsiaTheme="minorEastAsia"/>
          <w:kern w:val="0"/>
          <w:sz w:val="24"/>
          <w:szCs w:val="24"/>
        </w:rPr>
        <w:t>可视采购具体情况对已发出的招标文件进行必要的澄清或者修改。澄清或者修改的内容可能影响投标文件编制的，采购人或者</w:t>
      </w:r>
      <w:r>
        <w:rPr>
          <w:rFonts w:hint="eastAsia" w:asciiTheme="minorEastAsia" w:hAnsiTheme="minorEastAsia" w:eastAsiaTheme="minorEastAsia"/>
          <w:kern w:val="0"/>
          <w:sz w:val="24"/>
          <w:szCs w:val="24"/>
          <w:lang w:eastAsia="zh-CN"/>
        </w:rPr>
        <w:t>采购组织机构</w:t>
      </w:r>
      <w:r>
        <w:rPr>
          <w:rFonts w:hint="eastAsia" w:asciiTheme="minorEastAsia" w:hAnsiTheme="minorEastAsia" w:eastAsiaTheme="minorEastAsia"/>
          <w:kern w:val="0"/>
          <w:sz w:val="24"/>
          <w:szCs w:val="24"/>
        </w:rPr>
        <w:t>应当在投标截止时间至少15日前，在原公告发布媒体上发布澄清公告，澄清或者修改的内容为招标文件的组成部分；不足15日的，采购人或者</w:t>
      </w:r>
      <w:r>
        <w:rPr>
          <w:rFonts w:hint="eastAsia" w:asciiTheme="minorEastAsia" w:hAnsiTheme="minorEastAsia" w:eastAsiaTheme="minorEastAsia"/>
          <w:kern w:val="0"/>
          <w:sz w:val="24"/>
          <w:szCs w:val="24"/>
          <w:lang w:eastAsia="zh-CN"/>
        </w:rPr>
        <w:t>采购组织机构</w:t>
      </w:r>
      <w:r>
        <w:rPr>
          <w:rFonts w:hint="eastAsia" w:asciiTheme="minorEastAsia" w:hAnsiTheme="minorEastAsia" w:eastAsiaTheme="minorEastAsia"/>
          <w:kern w:val="0"/>
          <w:sz w:val="24"/>
          <w:szCs w:val="24"/>
        </w:rPr>
        <w:t xml:space="preserve">应当顺延提交投标文件的截止时间。 </w:t>
      </w:r>
    </w:p>
    <w:p>
      <w:pPr>
        <w:autoSpaceDE w:val="0"/>
        <w:autoSpaceDN w:val="0"/>
        <w:adjustRightInd w:val="0"/>
        <w:spacing w:line="360" w:lineRule="auto"/>
        <w:ind w:firstLine="48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w:t>
      </w:r>
      <w:r>
        <w:rPr>
          <w:rFonts w:asciiTheme="minorEastAsia" w:hAnsiTheme="minorEastAsia" w:eastAsiaTheme="minorEastAsia"/>
          <w:kern w:val="0"/>
          <w:sz w:val="24"/>
          <w:szCs w:val="24"/>
        </w:rPr>
        <w:t>投标人在规定的时间内未对招标文件提出疑问、质疑或要求澄清的，将视其为无异议。对招标文件中描述有歧义或前后不一致的地方，评标委员会有权进行评判，但对同一条款的评判应适用于每个投标人</w:t>
      </w:r>
      <w:r>
        <w:rPr>
          <w:rFonts w:hint="eastAsia" w:asciiTheme="minorEastAsia" w:hAnsiTheme="minorEastAsia" w:eastAsiaTheme="minorEastAsia"/>
          <w:kern w:val="0"/>
          <w:sz w:val="24"/>
          <w:szCs w:val="24"/>
        </w:rPr>
        <w:t>。</w:t>
      </w:r>
    </w:p>
    <w:p>
      <w:pPr>
        <w:tabs>
          <w:tab w:val="left" w:pos="1418"/>
        </w:tabs>
        <w:autoSpaceDE w:val="0"/>
        <w:autoSpaceDN w:val="0"/>
        <w:adjustRightInd w:val="0"/>
        <w:spacing w:line="360" w:lineRule="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 xml:space="preserve"> 三、投标文件</w:t>
      </w:r>
    </w:p>
    <w:p>
      <w:pPr>
        <w:autoSpaceDE w:val="0"/>
        <w:autoSpaceDN w:val="0"/>
        <w:adjustRightInd w:val="0"/>
        <w:spacing w:line="360" w:lineRule="auto"/>
        <w:ind w:firstLine="482" w:firstLineChars="200"/>
        <w:rPr>
          <w:rFonts w:asciiTheme="minorEastAsia" w:hAnsiTheme="minorEastAsia" w:eastAsiaTheme="minorEastAsia"/>
          <w:b/>
          <w:bCs/>
          <w:kern w:val="0"/>
          <w:sz w:val="24"/>
          <w:szCs w:val="24"/>
        </w:rPr>
      </w:pPr>
      <w:r>
        <w:rPr>
          <w:rFonts w:hint="eastAsia" w:ascii="宋体"/>
          <w:b/>
          <w:color w:val="000000"/>
          <w:sz w:val="24"/>
          <w:szCs w:val="24"/>
          <w:lang w:val="zh-CN"/>
        </w:rPr>
        <w:t>（一）</w:t>
      </w:r>
      <w:r>
        <w:rPr>
          <w:rFonts w:hint="eastAsia" w:asciiTheme="minorEastAsia" w:hAnsiTheme="minorEastAsia" w:eastAsiaTheme="minorEastAsia"/>
          <w:b/>
          <w:bCs/>
          <w:kern w:val="0"/>
          <w:sz w:val="24"/>
          <w:szCs w:val="24"/>
        </w:rPr>
        <w:t>投标文件的组成</w:t>
      </w:r>
    </w:p>
    <w:p>
      <w:pPr>
        <w:snapToGrid w:val="0"/>
        <w:spacing w:line="360" w:lineRule="auto"/>
        <w:ind w:firstLine="480" w:firstLineChars="200"/>
        <w:rPr>
          <w:rFonts w:ascii="仿宋_GB2312" w:hAnsi="仿宋_GB2312" w:eastAsia="仿宋_GB2312" w:cs="仿宋_GB2312"/>
          <w:sz w:val="24"/>
          <w:szCs w:val="24"/>
          <w:lang w:val="zh-CN"/>
        </w:rPr>
      </w:pPr>
      <w:r>
        <w:rPr>
          <w:rFonts w:hint="eastAsia" w:asciiTheme="minorEastAsia" w:hAnsiTheme="minorEastAsia" w:eastAsiaTheme="minorEastAsia"/>
          <w:kern w:val="0"/>
          <w:sz w:val="24"/>
          <w:szCs w:val="24"/>
        </w:rPr>
        <w:t xml:space="preserve">  投标人接到招标文件后，按照</w:t>
      </w:r>
      <w:r>
        <w:rPr>
          <w:rFonts w:hint="eastAsia" w:asciiTheme="minorEastAsia" w:hAnsiTheme="minorEastAsia" w:eastAsiaTheme="minorEastAsia"/>
          <w:kern w:val="0"/>
          <w:sz w:val="24"/>
          <w:szCs w:val="24"/>
          <w:lang w:eastAsia="zh-CN"/>
        </w:rPr>
        <w:t>采购组织机构</w:t>
      </w:r>
      <w:r>
        <w:rPr>
          <w:rFonts w:hint="eastAsia" w:asciiTheme="minorEastAsia" w:hAnsiTheme="minorEastAsia" w:eastAsiaTheme="minorEastAsia"/>
          <w:kern w:val="0"/>
          <w:sz w:val="24"/>
          <w:szCs w:val="24"/>
        </w:rPr>
        <w:t>的要求提供：资格证明文件、商务与技术文件和报价文件。</w:t>
      </w:r>
      <w:r>
        <w:rPr>
          <w:rFonts w:hint="eastAsia" w:asciiTheme="minorEastAsia" w:hAnsiTheme="minorEastAsia" w:eastAsiaTheme="minorEastAsia"/>
          <w:kern w:val="0"/>
          <w:sz w:val="24"/>
          <w:szCs w:val="24"/>
          <w:lang w:val="zh-CN"/>
        </w:rPr>
        <w:t>【特别提示：如有要求提供资料原件的，原件另行包装，并与投标文件一起提交，投标截止时间后所有原件不予接收。资料原件也可以用与原件相符的公证原件替代】</w:t>
      </w:r>
    </w:p>
    <w:p>
      <w:pPr>
        <w:snapToGrid w:val="0"/>
        <w:spacing w:line="360" w:lineRule="auto"/>
        <w:ind w:firstLine="482" w:firstLineChars="200"/>
        <w:rPr>
          <w:rFonts w:asciiTheme="minorEastAsia" w:hAnsiTheme="minorEastAsia" w:eastAsiaTheme="minorEastAsia"/>
          <w:kern w:val="0"/>
          <w:sz w:val="24"/>
          <w:szCs w:val="24"/>
        </w:rPr>
      </w:pPr>
      <w:r>
        <w:rPr>
          <w:rFonts w:hint="eastAsia" w:ascii="宋体" w:hAnsi="宋体" w:cs="宋体"/>
          <w:b/>
          <w:sz w:val="24"/>
          <w:szCs w:val="24"/>
        </w:rPr>
        <w:t>▲</w:t>
      </w:r>
      <w:r>
        <w:rPr>
          <w:rFonts w:hint="eastAsia" w:asciiTheme="minorEastAsia" w:hAnsiTheme="minorEastAsia" w:eastAsiaTheme="minorEastAsia"/>
          <w:b/>
          <w:sz w:val="24"/>
          <w:szCs w:val="24"/>
        </w:rPr>
        <w:t>1、资格证明</w:t>
      </w:r>
      <w:r>
        <w:rPr>
          <w:rFonts w:asciiTheme="minorEastAsia" w:hAnsiTheme="minorEastAsia" w:eastAsiaTheme="minorEastAsia"/>
          <w:b/>
          <w:sz w:val="24"/>
          <w:szCs w:val="24"/>
        </w:rPr>
        <w:t>文件</w:t>
      </w:r>
      <w:r>
        <w:rPr>
          <w:rFonts w:hint="eastAsia" w:ascii="宋体" w:hAnsi="宋体"/>
          <w:b/>
          <w:color w:val="000000"/>
          <w:sz w:val="24"/>
          <w:szCs w:val="24"/>
        </w:rPr>
        <w:t>的组成：</w:t>
      </w:r>
    </w:p>
    <w:p>
      <w:pPr>
        <w:widowControl/>
        <w:numPr>
          <w:ilvl w:val="0"/>
          <w:numId w:val="4"/>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投标声明书；</w:t>
      </w:r>
    </w:p>
    <w:p>
      <w:pPr>
        <w:widowControl/>
        <w:numPr>
          <w:ilvl w:val="0"/>
          <w:numId w:val="4"/>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授权委托书（法定代表人亲自办理投标事宜的，则无需提交)；</w:t>
      </w:r>
    </w:p>
    <w:p>
      <w:pPr>
        <w:widowControl/>
        <w:numPr>
          <w:ilvl w:val="0"/>
          <w:numId w:val="4"/>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法人或者其他组织的营业执照等证明文件，自然人的身份证明；</w:t>
      </w:r>
    </w:p>
    <w:p>
      <w:pPr>
        <w:widowControl/>
        <w:numPr>
          <w:ilvl w:val="0"/>
          <w:numId w:val="4"/>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财务状况报告，依法缴纳税收和社会保障资金的相关材料；</w:t>
      </w:r>
    </w:p>
    <w:p>
      <w:pPr>
        <w:widowControl/>
        <w:numPr>
          <w:ilvl w:val="0"/>
          <w:numId w:val="4"/>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具备履行合同所必需的设备和专业技术能力的证明材料</w:t>
      </w:r>
      <w:r>
        <w:rPr>
          <w:rFonts w:hint="eastAsia" w:ascii="宋体" w:hAnsi="宋体" w:cs="宋体"/>
          <w:sz w:val="24"/>
          <w:szCs w:val="24"/>
          <w:lang w:val="en-US" w:eastAsia="zh-CN"/>
        </w:rPr>
        <w:t>(根据项目性质提供)</w:t>
      </w:r>
      <w:r>
        <w:rPr>
          <w:rFonts w:hint="eastAsia" w:ascii="宋体" w:hAnsi="宋体" w:cs="宋体"/>
          <w:sz w:val="24"/>
          <w:szCs w:val="24"/>
        </w:rPr>
        <w:t>；</w:t>
      </w:r>
    </w:p>
    <w:p>
      <w:pPr>
        <w:widowControl/>
        <w:numPr>
          <w:ilvl w:val="0"/>
          <w:numId w:val="4"/>
        </w:numPr>
        <w:spacing w:line="360" w:lineRule="auto"/>
        <w:ind w:right="60" w:firstLine="472" w:firstLineChars="197"/>
        <w:jc w:val="left"/>
        <w:outlineLvl w:val="0"/>
        <w:rPr>
          <w:rFonts w:ascii="宋体" w:hAnsi="宋体" w:cs="宋体"/>
          <w:sz w:val="24"/>
          <w:szCs w:val="24"/>
        </w:rPr>
      </w:pPr>
      <w:r>
        <w:rPr>
          <w:rFonts w:hint="eastAsia" w:ascii="宋体" w:hAnsi="宋体" w:cs="宋体"/>
          <w:sz w:val="24"/>
          <w:szCs w:val="24"/>
        </w:rPr>
        <w:t>提供采购公告中符合供应商特定条件的有效资质证书复印件（投标供应商特定条件中有要求的必须提供），以及需要说明的其他资料；</w:t>
      </w:r>
    </w:p>
    <w:p>
      <w:pPr>
        <w:snapToGrid w:val="0"/>
        <w:spacing w:line="360" w:lineRule="auto"/>
        <w:ind w:firstLine="482" w:firstLineChars="200"/>
        <w:rPr>
          <w:rFonts w:ascii="宋体" w:hAnsi="宋体" w:cs="宋体"/>
          <w:sz w:val="24"/>
          <w:szCs w:val="24"/>
          <w:u w:val="single"/>
        </w:rPr>
      </w:pPr>
      <w:r>
        <w:rPr>
          <w:rFonts w:hint="eastAsia" w:asciiTheme="minorEastAsia" w:hAnsiTheme="minorEastAsia" w:eastAsiaTheme="minorEastAsia"/>
          <w:b/>
          <w:sz w:val="24"/>
          <w:szCs w:val="24"/>
        </w:rPr>
        <w:t>2、</w:t>
      </w:r>
      <w:r>
        <w:rPr>
          <w:rFonts w:hint="eastAsia" w:ascii="宋体" w:hAnsi="宋体"/>
          <w:b/>
          <w:color w:val="000000"/>
          <w:sz w:val="24"/>
          <w:szCs w:val="24"/>
        </w:rPr>
        <w:t>商务与技术文件的组成：</w:t>
      </w:r>
    </w:p>
    <w:p>
      <w:pPr>
        <w:pStyle w:val="2"/>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（1）投标人情况介绍（人员与技术力量、企业规模、经营业绩等）。</w:t>
      </w:r>
    </w:p>
    <w:p>
      <w:pPr>
        <w:pStyle w:val="2"/>
        <w:widowControl/>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（2）投标方案描述：</w:t>
      </w:r>
    </w:p>
    <w:p>
      <w:pPr>
        <w:pStyle w:val="2"/>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pStyle w:val="2"/>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B.项目组织实施方案（包括项目工期、确保项目供货的措施或方案、项目实施进度安排、项目实施人员及项目负责人的资质、类似经验及社保证明等）。</w:t>
      </w:r>
    </w:p>
    <w:p>
      <w:pPr>
        <w:pStyle w:val="2"/>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w:t>
      </w:r>
      <w:r>
        <w:rPr>
          <w:rFonts w:asciiTheme="minorEastAsia" w:hAnsiTheme="minorEastAsia" w:eastAsiaTheme="minorEastAsia"/>
          <w:color w:val="000000" w:themeColor="text1"/>
          <w:kern w:val="0"/>
          <w:sz w:val="24"/>
          <w:szCs w:val="24"/>
          <w14:textFill>
            <w14:solidFill>
              <w14:schemeClr w14:val="tx1"/>
            </w14:solidFill>
          </w14:textFill>
        </w:rPr>
        <w:t>安装、调试及验收方案</w:t>
      </w:r>
      <w:r>
        <w:rPr>
          <w:rFonts w:hint="eastAsia" w:asciiTheme="minorEastAsia" w:hAnsiTheme="minorEastAsia" w:eastAsiaTheme="minorEastAsia"/>
          <w:color w:val="000000" w:themeColor="text1"/>
          <w:kern w:val="0"/>
          <w:sz w:val="24"/>
          <w:szCs w:val="24"/>
          <w14:textFill>
            <w14:solidFill>
              <w14:schemeClr w14:val="tx1"/>
            </w14:solidFill>
          </w14:textFill>
        </w:rPr>
        <w:t>（包括项目验收标准和验收方法等）</w:t>
      </w:r>
      <w:r>
        <w:rPr>
          <w:rFonts w:hint="eastAsia" w:asciiTheme="minorEastAsia" w:hAnsiTheme="minorEastAsia" w:eastAsiaTheme="minorEastAsia"/>
          <w:color w:val="000000" w:themeColor="text1"/>
          <w:sz w:val="24"/>
          <w:szCs w:val="24"/>
          <w14:textFill>
            <w14:solidFill>
              <w14:schemeClr w14:val="tx1"/>
            </w14:solidFill>
          </w14:textFill>
        </w:rPr>
        <w:t>和措施；</w:t>
      </w:r>
    </w:p>
    <w:p>
      <w:pPr>
        <w:pStyle w:val="2"/>
        <w:widowControl/>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（3）投标产品描述及相关资料：</w:t>
      </w:r>
    </w:p>
    <w:p>
      <w:pPr>
        <w:pStyle w:val="2"/>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w:t>
      </w:r>
      <w:r>
        <w:rPr>
          <w:rFonts w:asciiTheme="minorEastAsia" w:hAnsiTheme="minorEastAsia" w:eastAsiaTheme="minorEastAsia"/>
          <w:color w:val="000000" w:themeColor="text1"/>
          <w:sz w:val="24"/>
          <w:szCs w:val="24"/>
          <w14:textFill>
            <w14:solidFill>
              <w14:schemeClr w14:val="tx1"/>
            </w14:solidFill>
          </w14:textFill>
        </w:rPr>
        <w:t>设备配置清单（</w:t>
      </w:r>
      <w:r>
        <w:rPr>
          <w:rFonts w:hint="eastAsia" w:asciiTheme="minorEastAsia" w:hAnsiTheme="minorEastAsia" w:eastAsiaTheme="minorEastAsia"/>
          <w:color w:val="000000" w:themeColor="text1"/>
          <w:sz w:val="24"/>
          <w:szCs w:val="24"/>
          <w14:textFill>
            <w14:solidFill>
              <w14:schemeClr w14:val="tx1"/>
            </w14:solidFill>
          </w14:textFill>
        </w:rPr>
        <w:t>均</w:t>
      </w:r>
      <w:r>
        <w:rPr>
          <w:rFonts w:asciiTheme="minorEastAsia" w:hAnsiTheme="minorEastAsia" w:eastAsiaTheme="minorEastAsia"/>
          <w:color w:val="000000" w:themeColor="text1"/>
          <w:sz w:val="24"/>
          <w:szCs w:val="24"/>
          <w14:textFill>
            <w14:solidFill>
              <w14:schemeClr w14:val="tx1"/>
            </w14:solidFill>
          </w14:textFill>
        </w:rPr>
        <w:t>不含报价）</w:t>
      </w:r>
      <w:r>
        <w:rPr>
          <w:rFonts w:hint="eastAsia" w:asciiTheme="minorEastAsia" w:hAnsiTheme="minorEastAsia" w:eastAsiaTheme="minorEastAsia"/>
          <w:color w:val="000000" w:themeColor="text1"/>
          <w:sz w:val="24"/>
          <w:szCs w:val="24"/>
          <w14:textFill>
            <w14:solidFill>
              <w14:schemeClr w14:val="tx1"/>
            </w14:solidFill>
          </w14:textFill>
        </w:rPr>
        <w:t>。</w:t>
      </w:r>
    </w:p>
    <w:p>
      <w:pPr>
        <w:pStyle w:val="2"/>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B.产品品牌及型号、技术参数指标、性能特点、图片资料以及所遵循的技术规范、产品质保期、出厂标准、产品质量相关检测报告等内容。</w:t>
      </w:r>
    </w:p>
    <w:p>
      <w:pPr>
        <w:pStyle w:val="2"/>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w:t>
      </w:r>
      <w:r>
        <w:rPr>
          <w:rFonts w:hint="eastAsia" w:ascii="宋体" w:hAnsi="宋体" w:cs="宋体"/>
          <w:color w:val="000000"/>
          <w:sz w:val="24"/>
          <w:szCs w:val="24"/>
        </w:rPr>
        <w:t>.商务及技术响应表</w:t>
      </w:r>
      <w:r>
        <w:rPr>
          <w:rFonts w:hint="eastAsia" w:ascii="宋体" w:hAnsi="宋体" w:cs="宋体"/>
          <w:color w:val="000000" w:themeColor="text1"/>
          <w:sz w:val="24"/>
          <w:szCs w:val="24"/>
          <w14:textFill>
            <w14:solidFill>
              <w14:schemeClr w14:val="tx1"/>
            </w14:solidFill>
          </w14:textFill>
        </w:rPr>
        <w:t>。</w:t>
      </w:r>
    </w:p>
    <w:p>
      <w:pPr>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D.投标产品中有节能产品的，应列明投标产品中有列入最新一期财政部、发展改革委公布的“节能产品政府采购清单”明细（提供所投产品在清单中所处的页码、截图，并以明显标识标注）；投标产品中有环保产品的，应列明投标产品中有列入最新一期财政部、环境保护部公布的“环境标志产品政府采购清单”明细（提供所投产品在清单中所处的页码、截图，并以明显标识标注）。</w:t>
      </w:r>
    </w:p>
    <w:p>
      <w:pPr>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（4）</w:t>
      </w:r>
      <w:r>
        <w:rPr>
          <w:rFonts w:asciiTheme="minorEastAsia" w:hAnsiTheme="minorEastAsia" w:eastAsiaTheme="minorEastAsia"/>
          <w:color w:val="000000" w:themeColor="text1"/>
          <w:kern w:val="0"/>
          <w:sz w:val="24"/>
          <w:szCs w:val="24"/>
          <w14:textFill>
            <w14:solidFill>
              <w14:schemeClr w14:val="tx1"/>
            </w14:solidFill>
          </w14:textFill>
        </w:rPr>
        <w:t>投标人通过的</w:t>
      </w:r>
      <w:r>
        <w:rPr>
          <w:rFonts w:hint="eastAsia" w:asciiTheme="minorEastAsia" w:hAnsiTheme="minorEastAsia" w:eastAsiaTheme="minorEastAsia"/>
          <w:color w:val="000000" w:themeColor="text1"/>
          <w:kern w:val="0"/>
          <w:sz w:val="24"/>
          <w:szCs w:val="24"/>
          <w14:textFill>
            <w14:solidFill>
              <w14:schemeClr w14:val="tx1"/>
            </w14:solidFill>
          </w14:textFill>
        </w:rPr>
        <w:t>质量管理和</w:t>
      </w:r>
      <w:r>
        <w:rPr>
          <w:rFonts w:asciiTheme="minorEastAsia" w:hAnsiTheme="minorEastAsia" w:eastAsiaTheme="minorEastAsia"/>
          <w:color w:val="000000" w:themeColor="text1"/>
          <w:kern w:val="0"/>
          <w:sz w:val="24"/>
          <w:szCs w:val="24"/>
          <w14:textFill>
            <w14:solidFill>
              <w14:schemeClr w14:val="tx1"/>
            </w14:solidFill>
          </w14:textFill>
        </w:rPr>
        <w:t>质量</w:t>
      </w:r>
      <w:r>
        <w:rPr>
          <w:rFonts w:hint="eastAsia" w:asciiTheme="minorEastAsia" w:hAnsiTheme="minorEastAsia" w:eastAsiaTheme="minorEastAsia"/>
          <w:color w:val="000000" w:themeColor="text1"/>
          <w:kern w:val="0"/>
          <w:sz w:val="24"/>
          <w:szCs w:val="24"/>
          <w14:textFill>
            <w14:solidFill>
              <w14:schemeClr w14:val="tx1"/>
            </w14:solidFill>
          </w14:textFill>
        </w:rPr>
        <w:t>保证</w:t>
      </w:r>
      <w:r>
        <w:rPr>
          <w:rFonts w:asciiTheme="minorEastAsia" w:hAnsiTheme="minorEastAsia" w:eastAsiaTheme="minorEastAsia"/>
          <w:color w:val="000000" w:themeColor="text1"/>
          <w:kern w:val="0"/>
          <w:sz w:val="24"/>
          <w:szCs w:val="24"/>
          <w14:textFill>
            <w14:solidFill>
              <w14:schemeClr w14:val="tx1"/>
            </w14:solidFill>
          </w14:textFill>
        </w:rPr>
        <w:t>体系、环保体系、</w:t>
      </w:r>
      <w:r>
        <w:rPr>
          <w:rFonts w:hint="eastAsia" w:asciiTheme="minorEastAsia" w:hAnsiTheme="minorEastAsia" w:eastAsiaTheme="minorEastAsia"/>
          <w:color w:val="000000" w:themeColor="text1"/>
          <w:sz w:val="24"/>
          <w:szCs w:val="24"/>
          <w14:textFill>
            <w14:solidFill>
              <w14:schemeClr w14:val="tx1"/>
            </w14:solidFill>
          </w14:textFill>
        </w:rPr>
        <w:t>自主创新相关证书、软件著作权证等等与本项目相关</w:t>
      </w:r>
      <w:r>
        <w:rPr>
          <w:rFonts w:asciiTheme="minorEastAsia" w:hAnsiTheme="minorEastAsia" w:eastAsiaTheme="minorEastAsia"/>
          <w:color w:val="000000" w:themeColor="text1"/>
          <w:kern w:val="0"/>
          <w:sz w:val="24"/>
          <w:szCs w:val="24"/>
          <w14:textFill>
            <w14:solidFill>
              <w14:schemeClr w14:val="tx1"/>
            </w14:solidFill>
          </w14:textFill>
        </w:rPr>
        <w:t>的认证证书</w:t>
      </w:r>
      <w:r>
        <w:rPr>
          <w:rFonts w:hint="eastAsia" w:asciiTheme="minorEastAsia" w:hAnsiTheme="minorEastAsia" w:eastAsiaTheme="minorEastAsia"/>
          <w:color w:val="000000" w:themeColor="text1"/>
          <w:kern w:val="0"/>
          <w:sz w:val="24"/>
          <w:szCs w:val="24"/>
          <w14:textFill>
            <w14:solidFill>
              <w14:schemeClr w14:val="tx1"/>
            </w14:solidFill>
          </w14:textFill>
        </w:rPr>
        <w:t>或文件；</w:t>
      </w:r>
    </w:p>
    <w:p>
      <w:pPr>
        <w:pStyle w:val="2"/>
        <w:widowControl/>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（5）近三年来类似项目的成功案例（投标人类似项目实施情况一览表、合同复印件及其相应的发票、用户验收报告等；</w:t>
      </w:r>
    </w:p>
    <w:p>
      <w:pPr>
        <w:snapToGrid w:val="0"/>
        <w:spacing w:line="360" w:lineRule="auto"/>
        <w:ind w:firstLine="480" w:firstLineChars="200"/>
        <w:rPr>
          <w:rFonts w:ascii="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（6）投标人认为需要提供的其他资料（包括可能影响投标人商务与技术文件评分的各类证明材料）。</w:t>
      </w:r>
    </w:p>
    <w:p>
      <w:pPr>
        <w:pStyle w:val="2"/>
        <w:widowControl/>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（7）售后服务描述及承诺：</w:t>
      </w:r>
    </w:p>
    <w:p>
      <w:pPr>
        <w:pStyle w:val="2"/>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A.距采购人最近的服务网点详细介绍（包括地理位置、资质资格、技术力量、工作业绩、服务内容及联系电话等）。</w:t>
      </w:r>
    </w:p>
    <w:p>
      <w:pPr>
        <w:pStyle w:val="2"/>
        <w:widowControl/>
        <w:adjustRightInd w:val="0"/>
        <w:snapToGrid w:val="0"/>
        <w:spacing w:line="360" w:lineRule="auto"/>
        <w:ind w:left="218" w:leftChars="104" w:firstLine="619" w:firstLineChars="258"/>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B.针对本项目的售后服务措施及承诺（售后技术服务方案、人员配备、故障响应时间、技术培训方案等）。</w:t>
      </w:r>
    </w:p>
    <w:p>
      <w:pPr>
        <w:autoSpaceDE w:val="0"/>
        <w:autoSpaceDN w:val="0"/>
        <w:adjustRightInd w:val="0"/>
        <w:spacing w:line="360" w:lineRule="auto"/>
        <w:ind w:left="426" w:firstLine="65" w:firstLineChars="27"/>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3、报价文件的组成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（1）报价文件由开标一览表、报价明细表、小微企业等声明函、产品适用政府采购政策情况表，以及投标人认为其他需要说明的内容组成。</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（2）此报价为投标人一次性报出唯一的最终价格，包含其它一切所要涉及到的费用，有选择的报价将被拒绝。</w:t>
      </w:r>
    </w:p>
    <w:p>
      <w:pPr>
        <w:snapToGrid w:val="0"/>
        <w:spacing w:line="360" w:lineRule="auto"/>
        <w:ind w:firstLine="480" w:firstLineChars="200"/>
        <w:rPr>
          <w:rFonts w:asciiTheme="minorEastAsia" w:hAnsiTheme="minorEastAsia" w:eastAsia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olor w:val="000000" w:themeColor="text1"/>
          <w:kern w:val="0"/>
          <w:sz w:val="24"/>
          <w:szCs w:val="24"/>
          <w:lang w:val="zh-CN"/>
          <w14:textFill>
            <w14:solidFill>
              <w14:schemeClr w14:val="tx1"/>
            </w14:solidFill>
          </w14:textFill>
        </w:rPr>
        <w:t>（</w:t>
      </w:r>
      <w:r>
        <w:rPr>
          <w:rFonts w:hint="eastAsia" w:asciiTheme="minorEastAsia" w:hAnsiTheme="minorEastAsia" w:eastAsiaTheme="minorEastAsia"/>
          <w:color w:val="000000" w:themeColor="text1"/>
          <w:kern w:val="0"/>
          <w:sz w:val="24"/>
          <w:szCs w:val="24"/>
          <w14:textFill>
            <w14:solidFill>
              <w14:schemeClr w14:val="tx1"/>
            </w14:solidFill>
          </w14:textFill>
        </w:rPr>
        <w:t>3</w:t>
      </w:r>
      <w:r>
        <w:rPr>
          <w:rFonts w:hint="eastAsia" w:asciiTheme="minorEastAsia" w:hAnsiTheme="minorEastAsia" w:eastAsiaTheme="minorEastAsia"/>
          <w:color w:val="000000" w:themeColor="text1"/>
          <w:kern w:val="0"/>
          <w:sz w:val="24"/>
          <w:szCs w:val="24"/>
          <w:lang w:val="zh-CN"/>
          <w14:textFill>
            <w14:solidFill>
              <w14:schemeClr w14:val="tx1"/>
            </w14:solidFill>
          </w14:textFill>
        </w:rPr>
        <w:t>）投标报价是包括货款、标准附件、备品备件、专用工具、包装、运输、装卸、保险、税金、货到就位以及安装、调试、培训、保修、合同包含的所有风险责任等各项费用及不可预见费等所需的全部费用，全部费用已包含在开标一览表的投标总报价中。</w:t>
      </w:r>
    </w:p>
    <w:p>
      <w:pPr>
        <w:snapToGrid w:val="0"/>
        <w:spacing w:line="360" w:lineRule="auto"/>
        <w:ind w:firstLine="480" w:firstLineChars="200"/>
        <w:rPr>
          <w:rFonts w:asciiTheme="minorEastAsia" w:hAnsiTheme="minorEastAsia" w:eastAsiaTheme="minorEastAsia"/>
          <w:color w:val="000000" w:themeColor="text1"/>
          <w:kern w:val="0"/>
          <w:sz w:val="24"/>
          <w:szCs w:val="24"/>
          <w:lang w:val="zh-CN"/>
          <w14:textFill>
            <w14:solidFill>
              <w14:schemeClr w14:val="tx1"/>
            </w14:solidFill>
          </w14:textFill>
        </w:rPr>
      </w:pPr>
      <w:r>
        <w:rPr>
          <w:rFonts w:hint="eastAsia" w:asciiTheme="minorEastAsia" w:hAnsiTheme="minorEastAsia" w:eastAsiaTheme="minorEastAsia"/>
          <w:color w:val="000000" w:themeColor="text1"/>
          <w:kern w:val="0"/>
          <w:sz w:val="24"/>
          <w:szCs w:val="24"/>
          <w:lang w:val="zh-CN"/>
          <w14:textFill>
            <w14:solidFill>
              <w14:schemeClr w14:val="tx1"/>
            </w14:solidFill>
          </w14:textFill>
        </w:rPr>
        <w:t>（</w:t>
      </w:r>
      <w:r>
        <w:rPr>
          <w:rFonts w:hint="eastAsia" w:asciiTheme="minorEastAsia" w:hAnsiTheme="minorEastAsia" w:eastAsiaTheme="minorEastAsia"/>
          <w:color w:val="000000" w:themeColor="text1"/>
          <w:kern w:val="0"/>
          <w:sz w:val="24"/>
          <w:szCs w:val="24"/>
          <w14:textFill>
            <w14:solidFill>
              <w14:schemeClr w14:val="tx1"/>
            </w14:solidFill>
          </w14:textFill>
        </w:rPr>
        <w:t>4</w:t>
      </w:r>
      <w:r>
        <w:rPr>
          <w:rFonts w:hint="eastAsia" w:asciiTheme="minorEastAsia" w:hAnsiTheme="minorEastAsia" w:eastAsiaTheme="minorEastAsia"/>
          <w:color w:val="000000" w:themeColor="text1"/>
          <w:kern w:val="0"/>
          <w:sz w:val="24"/>
          <w:szCs w:val="24"/>
          <w:lang w:val="zh-CN"/>
          <w14:textFill>
            <w14:solidFill>
              <w14:schemeClr w14:val="tx1"/>
            </w14:solidFill>
          </w14:textFill>
        </w:rPr>
        <w:t>）</w:t>
      </w:r>
      <w:r>
        <w:rPr>
          <w:rFonts w:hint="eastAsia" w:asciiTheme="minorEastAsia" w:hAnsiTheme="minorEastAsia" w:eastAsiaTheme="minorEastAsia"/>
          <w:color w:val="000000" w:themeColor="text1"/>
          <w:kern w:val="0"/>
          <w:sz w:val="24"/>
          <w:szCs w:val="24"/>
          <w14:textFill>
            <w14:solidFill>
              <w14:schemeClr w14:val="tx1"/>
            </w14:solidFill>
          </w14:textFill>
        </w:rPr>
        <w:t>政府采购优惠政策相关资料、产品适用政府采购政策情况表（如有）。</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（5）相关报价单需打印或用不退色的墨水填写， 投标报价单不得涂改和增删，如有错漏必须修改，修改处须由同一签署人</w:t>
      </w:r>
      <w:r>
        <w:rPr>
          <w:rFonts w:hint="eastAsia" w:asciiTheme="minorEastAsia" w:hAnsiTheme="minorEastAsia" w:eastAsiaTheme="minorEastAsia"/>
          <w:color w:val="000000" w:themeColor="text1"/>
          <w:kern w:val="0"/>
          <w:sz w:val="24"/>
          <w:szCs w:val="24"/>
          <w:lang w:eastAsia="zh-CN"/>
          <w14:textFill>
            <w14:solidFill>
              <w14:schemeClr w14:val="tx1"/>
            </w14:solidFill>
          </w14:textFill>
        </w:rPr>
        <w:t>签字</w:t>
      </w:r>
      <w:r>
        <w:rPr>
          <w:rFonts w:hint="eastAsia" w:asciiTheme="minorEastAsia" w:hAnsiTheme="minorEastAsia" w:eastAsiaTheme="minorEastAsia"/>
          <w:color w:val="000000" w:themeColor="text1"/>
          <w:kern w:val="0"/>
          <w:sz w:val="24"/>
          <w:szCs w:val="24"/>
          <w14:textFill>
            <w14:solidFill>
              <w14:schemeClr w14:val="tx1"/>
            </w14:solidFill>
          </w14:textFill>
        </w:rPr>
        <w:t>或盖章。由于字迹模糊或表达不清引起的后果由投标人负责。</w:t>
      </w:r>
    </w:p>
    <w:p>
      <w:pPr>
        <w:autoSpaceDE w:val="0"/>
        <w:autoSpaceDN w:val="0"/>
        <w:adjustRightInd w:val="0"/>
        <w:ind w:firstLine="480" w:firstLineChars="20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w:t>
      </w:r>
      <w:r>
        <w:rPr>
          <w:rFonts w:hint="eastAsia" w:asciiTheme="minorEastAsia" w:hAnsiTheme="minorEastAsia" w:eastAsia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olor w:val="000000" w:themeColor="text1"/>
          <w:sz w:val="24"/>
          <w:szCs w:val="24"/>
          <w14:textFill>
            <w14:solidFill>
              <w14:schemeClr w14:val="tx1"/>
            </w14:solidFill>
          </w14:textFill>
        </w:rPr>
        <w:t>）</w:t>
      </w:r>
      <w:r>
        <w:rPr>
          <w:rFonts w:asciiTheme="minorEastAsia" w:hAnsiTheme="minorEastAsia" w:eastAsiaTheme="minorEastAsia"/>
          <w:color w:val="000000" w:themeColor="text1"/>
          <w:sz w:val="24"/>
          <w:szCs w:val="24"/>
          <w14:textFill>
            <w14:solidFill>
              <w14:schemeClr w14:val="tx1"/>
            </w14:solidFill>
          </w14:textFill>
        </w:rPr>
        <w:t>投标报价应按招标文件中相关附表格式填写。</w:t>
      </w:r>
    </w:p>
    <w:p>
      <w:pPr>
        <w:numPr>
          <w:ilvl w:val="0"/>
          <w:numId w:val="5"/>
        </w:numPr>
        <w:rPr>
          <w:rFonts w:asciiTheme="minorEastAsia" w:hAnsiTheme="minorEastAsia" w:eastAsiaTheme="minorEastAsia"/>
          <w:b/>
          <w:bCs/>
          <w:kern w:val="0"/>
          <w:sz w:val="24"/>
          <w:szCs w:val="24"/>
        </w:rPr>
      </w:pPr>
      <w:r>
        <w:rPr>
          <w:rFonts w:hint="eastAsia" w:asciiTheme="minorEastAsia" w:hAnsiTheme="minorEastAsia" w:eastAsiaTheme="minorEastAsia"/>
          <w:b/>
          <w:bCs/>
          <w:kern w:val="0"/>
          <w:sz w:val="24"/>
          <w:szCs w:val="24"/>
        </w:rPr>
        <w:t>投标文件的</w:t>
      </w:r>
      <w:r>
        <w:rPr>
          <w:rFonts w:hint="eastAsia" w:asciiTheme="minorEastAsia" w:hAnsiTheme="minorEastAsia"/>
          <w:b/>
          <w:bCs/>
          <w:kern w:val="0"/>
          <w:sz w:val="24"/>
          <w:szCs w:val="24"/>
        </w:rPr>
        <w:t>制作、封装及</w:t>
      </w:r>
      <w:r>
        <w:rPr>
          <w:rFonts w:hint="eastAsia" w:asciiTheme="minorEastAsia" w:hAnsiTheme="minorEastAsia" w:eastAsiaTheme="minorEastAsia"/>
          <w:b/>
          <w:bCs/>
          <w:kern w:val="0"/>
          <w:sz w:val="24"/>
          <w:szCs w:val="24"/>
        </w:rPr>
        <w:t>递交要求</w:t>
      </w:r>
    </w:p>
    <w:p>
      <w:pPr>
        <w:autoSpaceDE w:val="0"/>
        <w:autoSpaceDN w:val="0"/>
        <w:adjustRightInd w:val="0"/>
        <w:spacing w:line="360" w:lineRule="auto"/>
        <w:ind w:firstLine="480"/>
        <w:rPr>
          <w:rFonts w:asciiTheme="minorEastAsia" w:hAnsiTheme="minorEastAsia" w:eastAsia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1、投标文件的制作要求</w:t>
      </w:r>
    </w:p>
    <w:p>
      <w:pPr>
        <w:autoSpaceDE w:val="0"/>
        <w:autoSpaceDN w:val="0"/>
        <w:adjustRightInd w:val="0"/>
        <w:spacing w:line="360" w:lineRule="auto"/>
        <w:ind w:firstLine="480"/>
        <w:rPr>
          <w:rFonts w:asciiTheme="minorEastAsia" w:hAnsiTheme="minorEastAsia" w:eastAsiaTheme="minorEastAsia"/>
          <w:color w:val="000000" w:themeColor="text1"/>
          <w:kern w:val="0"/>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r>
        <w:rPr>
          <w:rFonts w:hint="eastAsia" w:asciiTheme="minorEastAsia" w:hAnsiTheme="minorEastAsia" w:eastAsiaTheme="minorEastAsia"/>
          <w:color w:val="000000" w:themeColor="text1"/>
          <w:sz w:val="24"/>
          <w:szCs w:val="24"/>
          <w14:textFill>
            <w14:solidFill>
              <w14:schemeClr w14:val="tx1"/>
            </w14:solidFill>
          </w14:textFill>
        </w:rPr>
        <w:t>投标人</w:t>
      </w:r>
      <w:r>
        <w:rPr>
          <w:rFonts w:hint="eastAsia" w:asciiTheme="minorEastAsia" w:hAnsiTheme="minorEastAsia"/>
          <w:color w:val="000000" w:themeColor="text1"/>
          <w:sz w:val="24"/>
          <w:szCs w:val="24"/>
          <w14:textFill>
            <w14:solidFill>
              <w14:schemeClr w14:val="tx1"/>
            </w14:solidFill>
          </w14:textFill>
        </w:rPr>
        <w:t>应</w:t>
      </w:r>
      <w:r>
        <w:rPr>
          <w:rFonts w:hint="eastAsia" w:asciiTheme="minorEastAsia" w:hAnsiTheme="minorEastAsia" w:eastAsiaTheme="minorEastAsia"/>
          <w:color w:val="000000" w:themeColor="text1"/>
          <w:sz w:val="24"/>
          <w:szCs w:val="24"/>
          <w14:textFill>
            <w14:solidFill>
              <w14:schemeClr w14:val="tx1"/>
            </w14:solidFill>
          </w14:textFill>
        </w:rPr>
        <w:t>按照</w:t>
      </w:r>
      <w:r>
        <w:rPr>
          <w:rFonts w:hint="eastAsia" w:asciiTheme="minorEastAsia" w:hAnsiTheme="minorEastAsia"/>
          <w:color w:val="000000" w:themeColor="text1"/>
          <w:sz w:val="24"/>
          <w:szCs w:val="24"/>
          <w14:textFill>
            <w14:solidFill>
              <w14:schemeClr w14:val="tx1"/>
            </w14:solidFill>
          </w14:textFill>
        </w:rPr>
        <w:t>投标文件组成内容</w:t>
      </w:r>
      <w:r>
        <w:rPr>
          <w:rFonts w:hint="eastAsia" w:asciiTheme="minorEastAsia" w:hAnsiTheme="minorEastAsia" w:eastAsiaTheme="minorEastAsia"/>
          <w:color w:val="000000" w:themeColor="text1"/>
          <w:sz w:val="24"/>
          <w:szCs w:val="24"/>
          <w14:textFill>
            <w14:solidFill>
              <w14:schemeClr w14:val="tx1"/>
            </w14:solidFill>
          </w14:textFill>
        </w:rPr>
        <w:t>及项目招标需求制作投标文件，</w:t>
      </w:r>
      <w:r>
        <w:rPr>
          <w:rFonts w:hint="eastAsia" w:asciiTheme="minorEastAsia" w:hAnsiTheme="minorEastAsia" w:eastAsiaTheme="minorEastAsia"/>
          <w:color w:val="000000" w:themeColor="text1"/>
          <w:kern w:val="0"/>
          <w:sz w:val="24"/>
          <w:szCs w:val="24"/>
          <w14:textFill>
            <w14:solidFill>
              <w14:schemeClr w14:val="tx1"/>
            </w14:solidFill>
          </w14:textFill>
        </w:rPr>
        <w:t>不按招标文件要求制作投标文件的将视情</w:t>
      </w:r>
      <w:r>
        <w:rPr>
          <w:rFonts w:hint="eastAsia" w:asciiTheme="minorEastAsia" w:hAnsiTheme="minorEastAsia"/>
          <w:color w:val="000000" w:themeColor="text1"/>
          <w:kern w:val="0"/>
          <w:sz w:val="24"/>
          <w:szCs w:val="24"/>
          <w14:textFill>
            <w14:solidFill>
              <w14:schemeClr w14:val="tx1"/>
            </w14:solidFill>
          </w14:textFill>
        </w:rPr>
        <w:t>处理（拒收、扣分等），由此产生的责任由投标人自行承担。</w:t>
      </w:r>
    </w:p>
    <w:p>
      <w:pPr>
        <w:autoSpaceDE w:val="0"/>
        <w:autoSpaceDN w:val="0"/>
        <w:adjustRightInd w:val="0"/>
        <w:spacing w:line="360" w:lineRule="auto"/>
        <w:ind w:firstLine="480" w:firstLineChars="200"/>
        <w:rPr>
          <w:rFonts w:asciiTheme="minorEastAsia" w:hAnsiTheme="minorEastAsia" w:eastAsiaTheme="minorEastAsia"/>
          <w:kern w:val="0"/>
          <w:sz w:val="24"/>
          <w:szCs w:val="24"/>
          <w:lang w:val="zh-CN"/>
        </w:rPr>
      </w:pPr>
      <w:r>
        <w:rPr>
          <w:rFonts w:hint="eastAsia" w:ascii="宋体" w:hAnsi="宋体"/>
          <w:color w:val="000000"/>
          <w:sz w:val="24"/>
          <w:szCs w:val="24"/>
        </w:rPr>
        <w:t>（2）投标人应对所提供的全部资料的真实性承担法律责任，</w:t>
      </w:r>
      <w:r>
        <w:rPr>
          <w:rFonts w:hint="eastAsia" w:asciiTheme="minorEastAsia" w:hAnsiTheme="minorEastAsia"/>
          <w:kern w:val="0"/>
          <w:sz w:val="24"/>
          <w:szCs w:val="24"/>
          <w:lang w:val="zh-CN"/>
        </w:rPr>
        <w:t>投标文件</w:t>
      </w:r>
      <w:r>
        <w:rPr>
          <w:rFonts w:hint="eastAsia" w:asciiTheme="minorEastAsia" w:hAnsiTheme="minorEastAsia" w:eastAsiaTheme="minorEastAsia"/>
          <w:kern w:val="0"/>
          <w:sz w:val="24"/>
          <w:szCs w:val="24"/>
          <w:lang w:val="zh-CN"/>
        </w:rPr>
        <w:t>内</w:t>
      </w:r>
      <w:r>
        <w:rPr>
          <w:rFonts w:hint="eastAsia" w:asciiTheme="minorEastAsia" w:hAnsiTheme="minorEastAsia"/>
          <w:kern w:val="0"/>
          <w:sz w:val="24"/>
          <w:szCs w:val="24"/>
          <w:lang w:val="zh-CN"/>
        </w:rPr>
        <w:t>容中</w:t>
      </w:r>
      <w:r>
        <w:rPr>
          <w:rFonts w:hint="eastAsia" w:asciiTheme="minorEastAsia" w:hAnsiTheme="minorEastAsia" w:eastAsiaTheme="minorEastAsia"/>
          <w:kern w:val="0"/>
          <w:sz w:val="24"/>
          <w:szCs w:val="24"/>
          <w:lang w:val="zh-CN"/>
        </w:rPr>
        <w:t>有要求盖章或签字的地方，必须加盖投标人的公章以及法定代表人或全权代表盖章或签字。</w:t>
      </w:r>
    </w:p>
    <w:p>
      <w:pPr>
        <w:snapToGrid w:val="0"/>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kern w:val="0"/>
          <w:sz w:val="24"/>
          <w:szCs w:val="24"/>
          <w:lang w:val="zh-CN"/>
        </w:rPr>
        <w:t>（</w:t>
      </w:r>
      <w:r>
        <w:rPr>
          <w:rFonts w:hint="eastAsia" w:asciiTheme="minorEastAsia" w:hAnsiTheme="minorEastAsia"/>
          <w:kern w:val="0"/>
          <w:sz w:val="24"/>
          <w:szCs w:val="24"/>
        </w:rPr>
        <w:t>3</w:t>
      </w:r>
      <w:r>
        <w:rPr>
          <w:rFonts w:hint="eastAsia" w:asciiTheme="minorEastAsia" w:hAnsiTheme="minorEastAsia"/>
          <w:kern w:val="0"/>
          <w:sz w:val="24"/>
          <w:szCs w:val="24"/>
          <w:lang w:val="zh-CN"/>
        </w:rPr>
        <w:t>）</w:t>
      </w:r>
      <w:r>
        <w:rPr>
          <w:rFonts w:asciiTheme="minorEastAsia" w:hAnsiTheme="minorEastAsia" w:eastAsiaTheme="minorEastAsia"/>
          <w:color w:val="000000"/>
          <w:sz w:val="24"/>
          <w:szCs w:val="24"/>
        </w:rPr>
        <w:t>投标文件以及投标人与</w:t>
      </w:r>
      <w:r>
        <w:rPr>
          <w:rFonts w:hint="eastAsia" w:asciiTheme="minorEastAsia" w:hAnsiTheme="minorEastAsia" w:eastAsiaTheme="minorEastAsia"/>
          <w:color w:val="000000"/>
          <w:sz w:val="24"/>
          <w:szCs w:val="24"/>
          <w:lang w:eastAsia="zh-CN"/>
        </w:rPr>
        <w:t>采购组织机构</w:t>
      </w:r>
      <w:r>
        <w:rPr>
          <w:rFonts w:asciiTheme="minorEastAsia" w:hAnsiTheme="minorEastAsia" w:eastAsiaTheme="minorEastAsia"/>
          <w:color w:val="000000"/>
          <w:sz w:val="24"/>
          <w:szCs w:val="24"/>
        </w:rPr>
        <w:t>就有关投标事宜的所有来往函电，均应以中文汉语书写。除</w:t>
      </w:r>
      <w:r>
        <w:rPr>
          <w:rFonts w:hint="eastAsia" w:asciiTheme="minorEastAsia" w:hAnsiTheme="minorEastAsia" w:eastAsiaTheme="minorEastAsia"/>
          <w:color w:val="000000"/>
          <w:sz w:val="24"/>
          <w:szCs w:val="24"/>
          <w:lang w:eastAsia="zh-CN"/>
        </w:rPr>
        <w:t>签字</w:t>
      </w:r>
      <w:r>
        <w:rPr>
          <w:rFonts w:asciiTheme="minorEastAsia" w:hAnsiTheme="minorEastAsia" w:eastAsiaTheme="minorEastAsia"/>
          <w:color w:val="000000"/>
          <w:sz w:val="24"/>
          <w:szCs w:val="24"/>
        </w:rPr>
        <w:t>、盖章、专用名称等特殊情形外，以中文汉语以外的文字表述的投标文件视同未提供。</w:t>
      </w:r>
    </w:p>
    <w:p>
      <w:pPr>
        <w:snapToGrid w:val="0"/>
        <w:spacing w:line="360" w:lineRule="auto"/>
        <w:ind w:firstLine="480" w:firstLineChars="200"/>
        <w:jc w:val="left"/>
        <w:rPr>
          <w:rFonts w:asciiTheme="minorEastAsia" w:hAnsiTheme="minorEastAsia" w:eastAsiaTheme="minorEastAsia"/>
          <w:color w:val="000000"/>
          <w:sz w:val="24"/>
          <w:szCs w:val="24"/>
        </w:rPr>
      </w:pPr>
      <w:r>
        <w:rPr>
          <w:rFonts w:hint="eastAsia" w:asciiTheme="minorEastAsia" w:hAnsiTheme="minorEastAsia"/>
          <w:color w:val="000000"/>
          <w:sz w:val="24"/>
          <w:szCs w:val="24"/>
        </w:rPr>
        <w:t>（4）</w:t>
      </w:r>
      <w:r>
        <w:rPr>
          <w:rFonts w:asciiTheme="minorEastAsia" w:hAnsiTheme="minorEastAsia" w:eastAsiaTheme="minorEastAsia"/>
          <w:color w:val="000000"/>
          <w:sz w:val="24"/>
          <w:szCs w:val="24"/>
        </w:rPr>
        <w:t>投标计量单位，招标文件已有明确规定的，使用招标文件规定的计量单位；招标文件没有规定的，应采用中华人民共和国法定计量单位（货币单位：人民币元）。</w:t>
      </w:r>
    </w:p>
    <w:p>
      <w:pPr>
        <w:autoSpaceDE w:val="0"/>
        <w:autoSpaceDN w:val="0"/>
        <w:adjustRightInd w:val="0"/>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w:t>
      </w:r>
      <w:r>
        <w:rPr>
          <w:rFonts w:asciiTheme="minorEastAsia" w:hAnsiTheme="minorEastAsia" w:eastAsiaTheme="minorEastAsia"/>
          <w:color w:val="000000" w:themeColor="text1"/>
          <w:sz w:val="24"/>
          <w:szCs w:val="24"/>
          <w14:textFill>
            <w14:solidFill>
              <w14:schemeClr w14:val="tx1"/>
            </w14:solidFill>
          </w14:textFill>
        </w:rPr>
        <w:t>若投标人不按</w:t>
      </w:r>
      <w:r>
        <w:rPr>
          <w:rFonts w:asciiTheme="minorEastAsia" w:hAnsiTheme="minorEastAsia" w:eastAsiaTheme="minorEastAsia"/>
          <w:color w:val="000000"/>
          <w:sz w:val="24"/>
          <w:szCs w:val="24"/>
        </w:rPr>
        <w:t>招标</w:t>
      </w:r>
      <w:r>
        <w:rPr>
          <w:rFonts w:asciiTheme="minorEastAsia" w:hAnsiTheme="minorEastAsia" w:eastAsiaTheme="minorEastAsia"/>
          <w:color w:val="000000" w:themeColor="text1"/>
          <w:sz w:val="24"/>
          <w:szCs w:val="24"/>
          <w14:textFill>
            <w14:solidFill>
              <w14:schemeClr w14:val="tx1"/>
            </w14:solidFill>
          </w14:textFill>
        </w:rPr>
        <w:t>文件的要求提供资格审查材料，其风险由投标人自行承担。</w:t>
      </w:r>
    </w:p>
    <w:p>
      <w:pPr>
        <w:autoSpaceDE w:val="0"/>
        <w:autoSpaceDN w:val="0"/>
        <w:adjustRightInd w:val="0"/>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color w:val="000000" w:themeColor="text1"/>
          <w:kern w:val="0"/>
          <w:sz w:val="24"/>
          <w:szCs w:val="24"/>
          <w14:textFill>
            <w14:solidFill>
              <w14:schemeClr w14:val="tx1"/>
            </w14:solidFill>
          </w14:textFill>
        </w:rPr>
        <w:t>（6）</w:t>
      </w:r>
      <w:r>
        <w:rPr>
          <w:rFonts w:hint="eastAsia" w:asciiTheme="minorEastAsia" w:hAnsiTheme="minorEastAsia" w:eastAsiaTheme="minorEastAsia"/>
          <w:color w:val="000000" w:themeColor="text1"/>
          <w:sz w:val="24"/>
          <w:szCs w:val="24"/>
          <w14:textFill>
            <w14:solidFill>
              <w14:schemeClr w14:val="tx1"/>
            </w14:solidFill>
          </w14:textFill>
        </w:rPr>
        <w:t>与本次投标无关的内容请不要制作在内，确保投标文件有针对性、简洁明了，同时节约纸张；投标文件建议以A4纸大小双面打印并装订。</w:t>
      </w:r>
    </w:p>
    <w:p>
      <w:pPr>
        <w:autoSpaceDE w:val="0"/>
        <w:autoSpaceDN w:val="0"/>
        <w:adjustRightInd w:val="0"/>
        <w:spacing w:line="360" w:lineRule="auto"/>
        <w:ind w:firstLine="480"/>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2、投标文件的封装要求</w:t>
      </w:r>
    </w:p>
    <w:p>
      <w:pPr>
        <w:autoSpaceDE w:val="0"/>
        <w:autoSpaceDN w:val="0"/>
        <w:adjustRightInd w:val="0"/>
        <w:spacing w:line="360" w:lineRule="auto"/>
        <w:ind w:firstLine="475" w:firstLineChars="198"/>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（1）投标文件份数：</w:t>
      </w:r>
      <w:r>
        <w:rPr>
          <w:rFonts w:hint="eastAsia" w:ascii="宋体" w:hAnsi="宋体"/>
          <w:bCs/>
          <w:sz w:val="24"/>
          <w:szCs w:val="24"/>
          <w:lang w:val="zh-CN"/>
        </w:rPr>
        <w:t>资格证明文件、商务与技术文件、报价文件必须分别编制并分开单独装订成册：</w:t>
      </w:r>
      <w:r>
        <w:rPr>
          <w:rFonts w:hint="eastAsia" w:ascii="宋体"/>
          <w:bCs/>
          <w:sz w:val="24"/>
          <w:szCs w:val="24"/>
          <w:lang w:val="zh-CN"/>
        </w:rPr>
        <w:t>资格证明文件</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1</w:t>
      </w:r>
      <w:r>
        <w:rPr>
          <w:rFonts w:hint="eastAsia" w:ascii="宋体" w:hAnsi="宋体"/>
          <w:bCs/>
          <w:color w:val="000000"/>
          <w:sz w:val="24"/>
          <w:szCs w:val="24"/>
          <w:u w:val="single"/>
          <w:lang w:val="zh-CN"/>
        </w:rPr>
        <w:t>份</w:t>
      </w:r>
      <w:r>
        <w:rPr>
          <w:rFonts w:hint="eastAsia" w:ascii="宋体" w:hAnsi="宋体"/>
          <w:bCs/>
          <w:color w:val="000000"/>
          <w:sz w:val="24"/>
          <w:szCs w:val="24"/>
          <w:u w:val="single"/>
          <w:lang w:val="en-US" w:eastAsia="zh-CN"/>
        </w:rPr>
        <w:t xml:space="preserve"> </w:t>
      </w:r>
      <w:r>
        <w:rPr>
          <w:rFonts w:hint="eastAsia" w:ascii="宋体"/>
          <w:bCs/>
          <w:sz w:val="24"/>
          <w:szCs w:val="24"/>
          <w:lang w:val="zh-CN"/>
        </w:rPr>
        <w:t>正本</w:t>
      </w:r>
      <w:r>
        <w:rPr>
          <w:rFonts w:hint="eastAsia" w:ascii="宋体"/>
          <w:bCs/>
          <w:sz w:val="24"/>
          <w:szCs w:val="24"/>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1</w:t>
      </w:r>
      <w:r>
        <w:rPr>
          <w:rFonts w:hint="eastAsia" w:asciiTheme="majorEastAsia" w:hAnsiTheme="majorEastAsia" w:eastAsiaTheme="majorEastAsia" w:cstheme="majorEastAsia"/>
          <w:color w:val="000000" w:themeColor="text1"/>
          <w:sz w:val="24"/>
          <w:u w:val="single"/>
          <w:lang w:eastAsia="zh-CN"/>
          <w14:textFill>
            <w14:solidFill>
              <w14:schemeClr w14:val="tx1"/>
            </w14:solidFill>
          </w14:textFill>
        </w:rPr>
        <w:t>张</w:t>
      </w:r>
      <w:r>
        <w:rPr>
          <w:rFonts w:hint="eastAsia" w:ascii="宋体" w:hAnsi="宋体"/>
          <w:bCs/>
          <w:color w:val="000000"/>
          <w:sz w:val="24"/>
          <w:szCs w:val="24"/>
          <w:u w:val="single"/>
          <w:lang w:val="zh-CN"/>
        </w:rPr>
        <w:t xml:space="preserve"> </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光盘</w:t>
      </w:r>
      <w:r>
        <w:rPr>
          <w:rFonts w:hint="eastAsia" w:ascii="宋体"/>
          <w:bCs/>
          <w:sz w:val="24"/>
          <w:szCs w:val="24"/>
          <w:lang w:val="zh-CN"/>
        </w:rPr>
        <w:t>，封装成一袋</w:t>
      </w:r>
      <w:r>
        <w:rPr>
          <w:rFonts w:hint="eastAsia" w:ascii="宋体" w:hAnsi="宋体"/>
          <w:bCs/>
          <w:sz w:val="24"/>
          <w:szCs w:val="24"/>
          <w:lang w:val="zh-CN"/>
        </w:rPr>
        <w:t>；商务与技术文件共</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1</w:t>
      </w:r>
      <w:r>
        <w:rPr>
          <w:rFonts w:hint="eastAsia" w:ascii="宋体" w:hAnsi="宋体"/>
          <w:bCs/>
          <w:color w:val="000000"/>
          <w:sz w:val="24"/>
          <w:szCs w:val="24"/>
          <w:u w:val="single"/>
          <w:lang w:val="zh-CN"/>
        </w:rPr>
        <w:t>份</w:t>
      </w:r>
      <w:r>
        <w:rPr>
          <w:rFonts w:hint="eastAsia" w:ascii="宋体" w:hAnsi="宋体"/>
          <w:bCs/>
          <w:color w:val="000000"/>
          <w:sz w:val="24"/>
          <w:szCs w:val="24"/>
          <w:u w:val="single"/>
          <w:lang w:val="en-US" w:eastAsia="zh-CN"/>
        </w:rPr>
        <w:t xml:space="preserve"> </w:t>
      </w:r>
      <w:r>
        <w:rPr>
          <w:rFonts w:hint="eastAsia" w:ascii="宋体"/>
          <w:bCs/>
          <w:sz w:val="24"/>
          <w:szCs w:val="24"/>
          <w:lang w:val="zh-CN"/>
        </w:rPr>
        <w:t>正本</w:t>
      </w:r>
      <w:r>
        <w:rPr>
          <w:rFonts w:hint="eastAsia" w:ascii="宋体"/>
          <w:bCs/>
          <w:sz w:val="24"/>
          <w:szCs w:val="24"/>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1</w:t>
      </w:r>
      <w:r>
        <w:rPr>
          <w:rFonts w:hint="eastAsia" w:asciiTheme="majorEastAsia" w:hAnsiTheme="majorEastAsia" w:eastAsiaTheme="majorEastAsia" w:cstheme="majorEastAsia"/>
          <w:color w:val="000000" w:themeColor="text1"/>
          <w:sz w:val="24"/>
          <w:u w:val="single"/>
          <w:lang w:eastAsia="zh-CN"/>
          <w14:textFill>
            <w14:solidFill>
              <w14:schemeClr w14:val="tx1"/>
            </w14:solidFill>
          </w14:textFill>
        </w:rPr>
        <w:t>张</w:t>
      </w:r>
      <w:r>
        <w:rPr>
          <w:rFonts w:hint="eastAsia" w:ascii="宋体" w:hAnsi="宋体"/>
          <w:bCs/>
          <w:color w:val="000000"/>
          <w:sz w:val="24"/>
          <w:szCs w:val="24"/>
          <w:u w:val="single"/>
          <w:lang w:val="zh-CN"/>
        </w:rPr>
        <w:t xml:space="preserve"> </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光盘</w:t>
      </w:r>
      <w:r>
        <w:rPr>
          <w:rFonts w:hint="eastAsia" w:ascii="宋体"/>
          <w:bCs/>
          <w:sz w:val="24"/>
          <w:szCs w:val="24"/>
          <w:lang w:val="zh-CN"/>
        </w:rPr>
        <w:t>，封装成一袋</w:t>
      </w:r>
      <w:r>
        <w:rPr>
          <w:rFonts w:hint="eastAsia" w:ascii="宋体" w:hAnsi="宋体"/>
          <w:bCs/>
          <w:sz w:val="24"/>
          <w:szCs w:val="24"/>
          <w:lang w:val="zh-CN"/>
        </w:rPr>
        <w:t>；报价文件</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1</w:t>
      </w:r>
      <w:r>
        <w:rPr>
          <w:rFonts w:hint="eastAsia" w:ascii="宋体" w:hAnsi="宋体"/>
          <w:bCs/>
          <w:color w:val="000000"/>
          <w:sz w:val="24"/>
          <w:szCs w:val="24"/>
          <w:u w:val="single"/>
          <w:lang w:val="zh-CN"/>
        </w:rPr>
        <w:t>份</w:t>
      </w:r>
      <w:r>
        <w:rPr>
          <w:rFonts w:hint="eastAsia" w:ascii="宋体" w:hAnsi="宋体"/>
          <w:bCs/>
          <w:color w:val="000000"/>
          <w:sz w:val="24"/>
          <w:szCs w:val="24"/>
          <w:u w:val="single"/>
          <w:lang w:val="en-US" w:eastAsia="zh-CN"/>
        </w:rPr>
        <w:t xml:space="preserve"> </w:t>
      </w:r>
      <w:r>
        <w:rPr>
          <w:rFonts w:hint="eastAsia" w:ascii="宋体"/>
          <w:bCs/>
          <w:sz w:val="24"/>
          <w:szCs w:val="24"/>
          <w:lang w:val="zh-CN"/>
        </w:rPr>
        <w:t>正本</w:t>
      </w:r>
      <w:r>
        <w:rPr>
          <w:rFonts w:hint="eastAsia" w:ascii="宋体"/>
          <w:bCs/>
          <w:sz w:val="24"/>
          <w:szCs w:val="24"/>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u w:val="single"/>
          <w:lang w:val="en-US" w:eastAsia="zh-CN"/>
        </w:rPr>
        <w:t>1</w:t>
      </w:r>
      <w:r>
        <w:rPr>
          <w:rFonts w:hint="eastAsia" w:asciiTheme="majorEastAsia" w:hAnsiTheme="majorEastAsia" w:eastAsiaTheme="majorEastAsia" w:cstheme="majorEastAsia"/>
          <w:color w:val="000000" w:themeColor="text1"/>
          <w:sz w:val="24"/>
          <w:u w:val="single"/>
          <w:lang w:eastAsia="zh-CN"/>
          <w14:textFill>
            <w14:solidFill>
              <w14:schemeClr w14:val="tx1"/>
            </w14:solidFill>
          </w14:textFill>
        </w:rPr>
        <w:t>张</w:t>
      </w:r>
      <w:r>
        <w:rPr>
          <w:rFonts w:hint="eastAsia" w:ascii="宋体" w:hAnsi="宋体"/>
          <w:bCs/>
          <w:color w:val="000000"/>
          <w:sz w:val="24"/>
          <w:szCs w:val="24"/>
          <w:u w:val="single"/>
          <w:lang w:val="zh-CN"/>
        </w:rPr>
        <w:t xml:space="preserve"> </w:t>
      </w:r>
      <w:r>
        <w:rPr>
          <w:rFonts w:hint="eastAsia" w:asciiTheme="majorEastAsia" w:hAnsiTheme="majorEastAsia" w:eastAsiaTheme="majorEastAsia" w:cstheme="majorEastAsia"/>
          <w:color w:val="000000" w:themeColor="text1"/>
          <w:sz w:val="24"/>
          <w:lang w:eastAsia="zh-CN"/>
          <w14:textFill>
            <w14:solidFill>
              <w14:schemeClr w14:val="tx1"/>
            </w14:solidFill>
          </w14:textFill>
        </w:rPr>
        <w:t>光盘</w:t>
      </w:r>
      <w:r>
        <w:rPr>
          <w:rFonts w:hint="eastAsia" w:ascii="宋体"/>
          <w:bCs/>
          <w:sz w:val="24"/>
          <w:szCs w:val="24"/>
          <w:lang w:val="zh-CN"/>
        </w:rPr>
        <w:t>，封装成一袋</w:t>
      </w:r>
      <w:r>
        <w:rPr>
          <w:rFonts w:hint="eastAsia" w:ascii="宋体" w:hAnsi="宋体"/>
          <w:bCs/>
          <w:sz w:val="24"/>
          <w:szCs w:val="24"/>
          <w:lang w:val="zh-CN"/>
        </w:rPr>
        <w:t>。投标文件的正本封面必须注明“正本”字样，光盘可以采用正本的扫描件。</w:t>
      </w:r>
      <w:r>
        <w:rPr>
          <w:rFonts w:hint="eastAsia" w:asciiTheme="minorEastAsia" w:hAnsiTheme="minorEastAsia" w:eastAsiaTheme="minorEastAsia"/>
          <w:sz w:val="24"/>
          <w:szCs w:val="24"/>
        </w:rPr>
        <w:t>除报价文件外其余一律不准出现数字报价。如有不同标段，请按标段号分别装订，密封要求同上。</w:t>
      </w:r>
    </w:p>
    <w:p>
      <w:pPr>
        <w:autoSpaceDE w:val="0"/>
        <w:autoSpaceDN w:val="0"/>
        <w:adjustRightIn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（2）所有投标资料按投标文件的组成所列内容及顺序装订成册，</w:t>
      </w:r>
      <w:r>
        <w:rPr>
          <w:rFonts w:hint="eastAsia" w:asciiTheme="minorEastAsia" w:hAnsiTheme="minorEastAsia" w:eastAsiaTheme="minorEastAsia"/>
          <w:sz w:val="24"/>
          <w:szCs w:val="24"/>
          <w:lang w:val="zh-CN"/>
        </w:rPr>
        <w:t>并逐页连续标注页码。因投标文件内容不完整、编排混乱导致投标文件被误读、漏读或者查找不到相关内容的责任由投标人自行承担。</w:t>
      </w:r>
    </w:p>
    <w:p>
      <w:p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（3）请在密封袋的封口处应有投标单位公章或投标全权代表</w:t>
      </w:r>
      <w:r>
        <w:rPr>
          <w:rFonts w:hint="eastAsia" w:asciiTheme="minorEastAsia" w:hAnsiTheme="minorEastAsia" w:eastAsiaTheme="minorEastAsia"/>
          <w:kern w:val="0"/>
          <w:sz w:val="24"/>
          <w:szCs w:val="24"/>
          <w:lang w:eastAsia="zh-CN"/>
        </w:rPr>
        <w:t>签字</w:t>
      </w:r>
      <w:r>
        <w:rPr>
          <w:rFonts w:hint="eastAsia" w:asciiTheme="minorEastAsia" w:hAnsiTheme="minorEastAsia" w:eastAsiaTheme="minorEastAsia"/>
          <w:kern w:val="0"/>
          <w:sz w:val="24"/>
          <w:szCs w:val="24"/>
        </w:rPr>
        <w:t>。封皮上写明项目编号、标段、招标项目名称、投标人名称，并注明“投标文件名称（资格证明文件、</w:t>
      </w:r>
      <w:r>
        <w:rPr>
          <w:rFonts w:hint="eastAsia" w:ascii="宋体" w:hAnsi="宋体"/>
          <w:bCs/>
          <w:sz w:val="24"/>
          <w:szCs w:val="24"/>
          <w:lang w:val="zh-CN"/>
        </w:rPr>
        <w:t>商务与技术文件</w:t>
      </w:r>
      <w:r>
        <w:rPr>
          <w:rFonts w:hint="eastAsia" w:asciiTheme="minorEastAsia" w:hAnsiTheme="minorEastAsia" w:eastAsiaTheme="minorEastAsia"/>
          <w:kern w:val="0"/>
          <w:sz w:val="24"/>
          <w:szCs w:val="24"/>
        </w:rPr>
        <w:t>和报价文件）”、“开标时启封”字样，未按上述要求密封及加写标记，</w:t>
      </w:r>
      <w:r>
        <w:rPr>
          <w:rFonts w:hint="eastAsia" w:asciiTheme="minorEastAsia" w:hAnsiTheme="minorEastAsia" w:eastAsiaTheme="minorEastAsia"/>
          <w:kern w:val="0"/>
          <w:sz w:val="24"/>
          <w:szCs w:val="24"/>
          <w:lang w:eastAsia="zh-CN"/>
        </w:rPr>
        <w:t>采购组织机构</w:t>
      </w:r>
      <w:r>
        <w:rPr>
          <w:rFonts w:hint="eastAsia" w:asciiTheme="minorEastAsia" w:hAnsiTheme="minorEastAsia" w:eastAsiaTheme="minorEastAsia"/>
          <w:kern w:val="0"/>
          <w:sz w:val="24"/>
          <w:szCs w:val="24"/>
        </w:rPr>
        <w:t>对投标文件的误投和提前启封不负责任。</w:t>
      </w:r>
    </w:p>
    <w:p>
      <w:pPr>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（4）项目如分标段，各标段投标文件必须分开编制，并按上述份数要求单独密封包装。</w:t>
      </w:r>
    </w:p>
    <w:p>
      <w:pPr>
        <w:autoSpaceDE w:val="0"/>
        <w:autoSpaceDN w:val="0"/>
        <w:adjustRightInd w:val="0"/>
        <w:spacing w:line="360" w:lineRule="auto"/>
        <w:ind w:firstLine="480" w:firstLineChars="200"/>
        <w:rPr>
          <w:rFonts w:asciiTheme="minorEastAsia" w:hAnsiTheme="minorEastAsia" w:eastAsiaTheme="minorEastAsia"/>
          <w:kern w:val="0"/>
          <w:sz w:val="24"/>
          <w:szCs w:val="24"/>
          <w:lang w:val="zh-CN"/>
        </w:rPr>
      </w:pPr>
      <w:r>
        <w:rPr>
          <w:rFonts w:hint="eastAsia" w:asciiTheme="minorEastAsia" w:hAnsiTheme="minorEastAsia" w:eastAsiaTheme="minorEastAsia"/>
          <w:kern w:val="0"/>
          <w:sz w:val="24"/>
          <w:szCs w:val="24"/>
        </w:rPr>
        <w:t>（5）</w:t>
      </w:r>
      <w:r>
        <w:rPr>
          <w:rFonts w:hint="eastAsia" w:asciiTheme="minorEastAsia" w:hAnsiTheme="minorEastAsia" w:eastAsiaTheme="minorEastAsia"/>
          <w:kern w:val="0"/>
          <w:sz w:val="24"/>
          <w:szCs w:val="24"/>
          <w:lang w:val="zh-CN"/>
        </w:rPr>
        <w:t>因密封不严、标记不明而造成失密、拒收、过早启封等情况，采购组织机构概不负责。</w:t>
      </w:r>
    </w:p>
    <w:p>
      <w:pPr>
        <w:autoSpaceDE w:val="0"/>
        <w:autoSpaceDN w:val="0"/>
        <w:adjustRightInd w:val="0"/>
        <w:spacing w:line="360" w:lineRule="auto"/>
        <w:ind w:firstLine="480"/>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3、</w:t>
      </w:r>
      <w:r>
        <w:rPr>
          <w:rFonts w:hint="eastAsia" w:asciiTheme="minorEastAsia" w:hAnsiTheme="minorEastAsia"/>
          <w:color w:val="000000" w:themeColor="text1"/>
          <w:sz w:val="24"/>
          <w:szCs w:val="24"/>
          <w14:textFill>
            <w14:solidFill>
              <w14:schemeClr w14:val="tx1"/>
            </w14:solidFill>
          </w14:textFill>
        </w:rPr>
        <w:t>投标文件的递交要求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（1）投标文件必须在规定时间前派人送达指定的投标地点。投标文件在截止时间后提交，</w:t>
      </w:r>
      <w:r>
        <w:rPr>
          <w:rFonts w:hint="eastAsia" w:asciiTheme="minorEastAsia" w:hAnsiTheme="minorEastAsia" w:eastAsiaTheme="minorEastAsia"/>
          <w:kern w:val="0"/>
          <w:sz w:val="24"/>
          <w:szCs w:val="24"/>
          <w:lang w:eastAsia="zh-CN"/>
        </w:rPr>
        <w:t>采购组织机构</w:t>
      </w:r>
      <w:r>
        <w:rPr>
          <w:rFonts w:hint="eastAsia" w:asciiTheme="minorEastAsia" w:hAnsiTheme="minorEastAsia" w:eastAsiaTheme="minorEastAsia"/>
          <w:kern w:val="0"/>
          <w:sz w:val="24"/>
          <w:szCs w:val="24"/>
        </w:rPr>
        <w:t>将拒</w:t>
      </w:r>
      <w:r>
        <w:rPr>
          <w:rFonts w:hint="eastAsia" w:asciiTheme="minorEastAsia" w:hAnsiTheme="minorEastAsia" w:eastAsiaTheme="minorEastAsia"/>
          <w:kern w:val="0"/>
          <w:sz w:val="24"/>
          <w:szCs w:val="24"/>
          <w:lang w:eastAsia="zh-CN"/>
        </w:rPr>
        <w:t>绝接收</w:t>
      </w:r>
      <w:r>
        <w:rPr>
          <w:rFonts w:hint="eastAsia" w:asciiTheme="minorEastAsia" w:hAnsiTheme="minorEastAsia" w:eastAsiaTheme="minorEastAsia"/>
          <w:kern w:val="0"/>
          <w:sz w:val="24"/>
          <w:szCs w:val="24"/>
        </w:rPr>
        <w:t>。</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（2）如有特殊情况，</w:t>
      </w:r>
      <w:r>
        <w:rPr>
          <w:rFonts w:hint="eastAsia" w:asciiTheme="minorEastAsia" w:hAnsiTheme="minorEastAsia" w:eastAsiaTheme="minorEastAsia"/>
          <w:kern w:val="0"/>
          <w:sz w:val="24"/>
          <w:szCs w:val="24"/>
          <w:lang w:eastAsia="zh-CN"/>
        </w:rPr>
        <w:t>采购组织机构</w:t>
      </w:r>
      <w:r>
        <w:rPr>
          <w:rFonts w:hint="eastAsia" w:asciiTheme="minorEastAsia" w:hAnsiTheme="minorEastAsia" w:eastAsiaTheme="minorEastAsia"/>
          <w:kern w:val="0"/>
          <w:sz w:val="24"/>
          <w:szCs w:val="24"/>
        </w:rPr>
        <w:t>延长截止时间和开标时间，</w:t>
      </w:r>
      <w:r>
        <w:rPr>
          <w:rFonts w:hint="eastAsia" w:asciiTheme="minorEastAsia" w:hAnsiTheme="minorEastAsia" w:eastAsiaTheme="minorEastAsia"/>
          <w:kern w:val="0"/>
          <w:sz w:val="24"/>
          <w:szCs w:val="24"/>
          <w:lang w:eastAsia="zh-CN"/>
        </w:rPr>
        <w:t>采购组织机构</w:t>
      </w:r>
      <w:r>
        <w:rPr>
          <w:rFonts w:hint="eastAsia" w:asciiTheme="minorEastAsia" w:hAnsiTheme="minorEastAsia" w:eastAsiaTheme="minorEastAsia"/>
          <w:kern w:val="0"/>
          <w:sz w:val="24"/>
          <w:szCs w:val="24"/>
        </w:rPr>
        <w:t>和投标人的权利和义务将受到新的截止时间和开标时间的约束。</w:t>
      </w:r>
    </w:p>
    <w:p>
      <w:pPr>
        <w:tabs>
          <w:tab w:val="left" w:pos="1898"/>
        </w:tabs>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4、投标文件的补充、修改和撤回。</w:t>
      </w:r>
    </w:p>
    <w:p>
      <w:pPr>
        <w:tabs>
          <w:tab w:val="left" w:pos="960"/>
          <w:tab w:val="left" w:pos="1418"/>
        </w:tabs>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（1）投标人如需对上交的投标文件进行补充、修改或撤回的，必须在投标</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jc w:val="left"/>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截止时间</w:t>
      </w:r>
      <w:r>
        <w:rPr>
          <w:rFonts w:hint="eastAsia" w:ascii="宋体"/>
          <w:color w:val="000000"/>
          <w:kern w:val="0"/>
          <w:sz w:val="24"/>
          <w:szCs w:val="24"/>
        </w:rPr>
        <w:t>以前将书面的修改文件或撤消通知送达</w:t>
      </w:r>
      <w:r>
        <w:rPr>
          <w:rFonts w:hint="eastAsia" w:ascii="宋体"/>
          <w:color w:val="000000"/>
          <w:kern w:val="0"/>
          <w:sz w:val="24"/>
          <w:szCs w:val="24"/>
          <w:lang w:eastAsia="zh-CN"/>
        </w:rPr>
        <w:t>采购组织</w:t>
      </w:r>
      <w:r>
        <w:rPr>
          <w:rFonts w:hint="eastAsia" w:ascii="宋体"/>
          <w:color w:val="000000"/>
          <w:kern w:val="0"/>
          <w:sz w:val="24"/>
          <w:szCs w:val="24"/>
        </w:rPr>
        <w:t>机构。</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（2）投标修改文件必须密封，在密封袋上写明项目编号、标段、招标项目名称、投标人名称、并注明“修改文件”、“开标时启封”字样，其作为投标文件的组成部份。</w:t>
      </w:r>
    </w:p>
    <w:p>
      <w:pPr>
        <w:tabs>
          <w:tab w:val="left" w:pos="1898"/>
        </w:tabs>
        <w:autoSpaceDE w:val="0"/>
        <w:autoSpaceDN w:val="0"/>
        <w:adjustRightInd w:val="0"/>
        <w:spacing w:line="360" w:lineRule="auto"/>
        <w:rPr>
          <w:rFonts w:asciiTheme="minorEastAsia" w:hAnsiTheme="minorEastAsia" w:eastAsiaTheme="minorEastAsia"/>
          <w:b/>
          <w:kern w:val="0"/>
          <w:sz w:val="24"/>
          <w:szCs w:val="24"/>
        </w:rPr>
      </w:pPr>
      <w:r>
        <w:rPr>
          <w:rFonts w:hint="eastAsia" w:asciiTheme="minorEastAsia" w:hAnsiTheme="minorEastAsia" w:eastAsiaTheme="minorEastAsia"/>
          <w:b/>
          <w:kern w:val="0"/>
          <w:sz w:val="24"/>
          <w:szCs w:val="24"/>
        </w:rPr>
        <w:t>（三）投标文件的有效期</w:t>
      </w:r>
    </w:p>
    <w:p>
      <w:pPr>
        <w:pStyle w:val="4"/>
        <w:tabs>
          <w:tab w:val="left" w:pos="454"/>
          <w:tab w:val="left" w:pos="720"/>
          <w:tab w:val="left" w:pos="1200"/>
        </w:tabs>
        <w:snapToGrid w:val="0"/>
        <w:spacing w:line="360" w:lineRule="auto"/>
        <w:ind w:left="0" w:firstLine="480" w:firstLineChars="200"/>
        <w:rPr>
          <w:rFonts w:ascii="仿宋_GB2312" w:hAnsi="仿宋_GB2312" w:eastAsia="仿宋_GB2312" w:cs="仿宋_GB2312"/>
          <w:color w:val="000000" w:themeColor="text1"/>
          <w:sz w:val="24"/>
          <w:lang w:val="en-GB"/>
          <w14:textFill>
            <w14:solidFill>
              <w14:schemeClr w14:val="tx1"/>
            </w14:solidFill>
          </w14:textFill>
        </w:rPr>
      </w:pPr>
      <w:r>
        <w:rPr>
          <w:rFonts w:hint="eastAsia" w:ascii="宋体" w:hAnsi="宋体"/>
          <w:color w:val="000000" w:themeColor="text1"/>
          <w:sz w:val="24"/>
          <w:lang w:val="en-GB"/>
          <w14:textFill>
            <w14:solidFill>
              <w14:schemeClr w14:val="tx1"/>
            </w14:solidFill>
          </w14:textFill>
        </w:rPr>
        <w:t>自投标截止日起90天投标文件应保持有效。有效期不足的投标文件将被拒绝。</w:t>
      </w:r>
    </w:p>
    <w:p>
      <w:pPr>
        <w:pStyle w:val="4"/>
        <w:tabs>
          <w:tab w:val="left" w:pos="454"/>
          <w:tab w:val="left" w:pos="720"/>
          <w:tab w:val="left" w:pos="1200"/>
        </w:tabs>
        <w:snapToGrid w:val="0"/>
        <w:spacing w:line="360" w:lineRule="auto"/>
        <w:ind w:left="0" w:firstLine="480" w:firstLineChars="200"/>
        <w:rPr>
          <w:rFonts w:ascii="宋体" w:hAnsi="宋体"/>
          <w:color w:val="000000" w:themeColor="text1"/>
          <w:sz w:val="24"/>
          <w:lang w:val="en-GB"/>
          <w14:textFill>
            <w14:solidFill>
              <w14:schemeClr w14:val="tx1"/>
            </w14:solidFill>
          </w14:textFill>
        </w:rPr>
      </w:pPr>
      <w:r>
        <w:rPr>
          <w:rFonts w:hint="eastAsia" w:ascii="宋体" w:hAnsi="宋体"/>
          <w:color w:val="000000" w:themeColor="text1"/>
          <w:sz w:val="24"/>
          <w:lang w:val="en-GB"/>
          <w14:textFill>
            <w14:solidFill>
              <w14:schemeClr w14:val="tx1"/>
            </w14:solidFill>
          </w14:textFill>
        </w:rPr>
        <w:t>在特殊情况下，采购人可与投标人协商延长投标文件的有效期，这种要求和答复均以书面形式进行。</w:t>
      </w:r>
    </w:p>
    <w:p>
      <w:pPr>
        <w:snapToGrid w:val="0"/>
        <w:spacing w:line="360" w:lineRule="auto"/>
        <w:ind w:firstLine="480" w:firstLineChars="200"/>
        <w:jc w:val="left"/>
        <w:outlineLvl w:val="0"/>
        <w:rPr>
          <w:rFonts w:asciiTheme="minorEastAsia" w:hAnsiTheme="minorEastAsia" w:eastAsiaTheme="minorEastAsia"/>
          <w:b/>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中标人的投标文件自开标之日起至合同履行完毕均应保持有效。</w:t>
      </w:r>
    </w:p>
    <w:p>
      <w:pPr>
        <w:snapToGrid w:val="0"/>
        <w:spacing w:line="360" w:lineRule="auto"/>
        <w:ind w:firstLine="472" w:firstLineChars="196"/>
        <w:rPr>
          <w:rFonts w:asciiTheme="minorEastAsia" w:hAnsiTheme="minorEastAsia" w:eastAsiaTheme="minorEastAsia"/>
          <w:b/>
          <w:kern w:val="0"/>
          <w:sz w:val="24"/>
          <w:szCs w:val="24"/>
          <w:shd w:val="clear" w:color="auto" w:fill="auto"/>
        </w:rPr>
      </w:pPr>
      <w:r>
        <w:rPr>
          <w:rFonts w:hint="eastAsia" w:asciiTheme="minorEastAsia" w:hAnsiTheme="minorEastAsia" w:eastAsiaTheme="minorEastAsia"/>
          <w:b/>
          <w:kern w:val="0"/>
          <w:sz w:val="24"/>
          <w:szCs w:val="24"/>
        </w:rPr>
        <w:t>四、</w:t>
      </w:r>
      <w:r>
        <w:rPr>
          <w:rFonts w:hint="eastAsia" w:asciiTheme="minorEastAsia" w:hAnsiTheme="minorEastAsia" w:eastAsiaTheme="minorEastAsia"/>
          <w:b/>
          <w:kern w:val="0"/>
          <w:sz w:val="24"/>
          <w:szCs w:val="24"/>
          <w:shd w:val="clear" w:color="auto" w:fill="auto"/>
        </w:rPr>
        <w:t>开标</w:t>
      </w:r>
    </w:p>
    <w:p>
      <w:pPr>
        <w:autoSpaceDE w:val="0"/>
        <w:autoSpaceDN w:val="0"/>
        <w:adjustRightInd w:val="0"/>
        <w:spacing w:line="360" w:lineRule="auto"/>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（一）开标事项</w:t>
      </w:r>
    </w:p>
    <w:p>
      <w:pPr>
        <w:autoSpaceDE w:val="0"/>
        <w:autoSpaceDN w:val="0"/>
        <w:adjustRightIn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采购组织机构在“招标公告”规定的时间和地点公开开标，投标人的法定代表人或其授权代表应参加开标会并签到。</w:t>
      </w:r>
      <w:r>
        <w:rPr>
          <w:rFonts w:asciiTheme="minorEastAsia" w:hAnsiTheme="minorEastAsia" w:eastAsiaTheme="minorEastAsia"/>
          <w:bCs/>
          <w:color w:val="000000" w:themeColor="text1"/>
          <w:sz w:val="24"/>
          <w14:textFill>
            <w14:solidFill>
              <w14:schemeClr w14:val="tx1"/>
            </w14:solidFill>
          </w14:textFill>
        </w:rPr>
        <w:t>投标人的法定代表人或其授权代表未按时签到的，视同放弃开标监督权利、认可开标结果。</w:t>
      </w:r>
      <w:r>
        <w:rPr>
          <w:rFonts w:hint="eastAsia" w:asciiTheme="minorEastAsia" w:hAnsiTheme="minorEastAsia" w:eastAsiaTheme="minorEastAsia"/>
          <w:bCs/>
          <w:color w:val="000000" w:themeColor="text1"/>
          <w:sz w:val="24"/>
          <w14:textFill>
            <w14:solidFill>
              <w14:schemeClr w14:val="tx1"/>
            </w14:solidFill>
          </w14:textFill>
        </w:rPr>
        <w:t>采购组织机构</w:t>
      </w:r>
      <w:r>
        <w:rPr>
          <w:rFonts w:asciiTheme="minorEastAsia" w:hAnsiTheme="minorEastAsia" w:eastAsiaTheme="minorEastAsia"/>
          <w:bCs/>
          <w:color w:val="000000" w:themeColor="text1"/>
          <w:sz w:val="24"/>
          <w14:textFill>
            <w14:solidFill>
              <w14:schemeClr w14:val="tx1"/>
            </w14:solidFill>
          </w14:textFill>
        </w:rPr>
        <w:t>工作人员接收投标文件并登记，并由供应商代表对递交记录情况进行</w:t>
      </w:r>
      <w:r>
        <w:rPr>
          <w:rFonts w:hint="eastAsia" w:asciiTheme="minorEastAsia" w:hAnsiTheme="minorEastAsia" w:eastAsiaTheme="minorEastAsia"/>
          <w:bCs/>
          <w:color w:val="000000" w:themeColor="text1"/>
          <w:sz w:val="24"/>
          <w14:textFill>
            <w14:solidFill>
              <w14:schemeClr w14:val="tx1"/>
            </w14:solidFill>
          </w14:textFill>
        </w:rPr>
        <w:t>签字</w:t>
      </w:r>
      <w:r>
        <w:rPr>
          <w:rFonts w:asciiTheme="minorEastAsia" w:hAnsiTheme="minorEastAsia" w:eastAsiaTheme="minorEastAsia"/>
          <w:bCs/>
          <w:color w:val="000000" w:themeColor="text1"/>
          <w:sz w:val="24"/>
          <w14:textFill>
            <w14:solidFill>
              <w14:schemeClr w14:val="tx1"/>
            </w14:solidFill>
          </w14:textFill>
        </w:rPr>
        <w:t>确认。</w:t>
      </w:r>
      <w:r>
        <w:rPr>
          <w:rFonts w:hint="eastAsia" w:asciiTheme="minorEastAsia" w:hAnsiTheme="minorEastAsia" w:eastAsiaTheme="minorEastAsia"/>
          <w:bCs/>
          <w:color w:val="000000" w:themeColor="text1"/>
          <w:sz w:val="24"/>
          <w14:textFill>
            <w14:solidFill>
              <w14:schemeClr w14:val="tx1"/>
            </w14:solidFill>
          </w14:textFill>
        </w:rPr>
        <w:t>评标委员会成员不得参加开标活动。</w:t>
      </w:r>
      <w:r>
        <w:rPr>
          <w:rFonts w:hint="eastAsia" w:asciiTheme="minorEastAsia" w:hAnsiTheme="minorEastAsia" w:eastAsiaTheme="minorEastAsia"/>
          <w:color w:val="000000" w:themeColor="text1"/>
          <w:kern w:val="0"/>
          <w:sz w:val="24"/>
          <w14:textFill>
            <w14:solidFill>
              <w14:schemeClr w14:val="tx1"/>
            </w14:solidFill>
          </w14:textFill>
        </w:rPr>
        <w:t>（本次招标</w:t>
      </w:r>
      <w:r>
        <w:rPr>
          <w:rFonts w:cs="Arial" w:asciiTheme="minorEastAsia" w:hAnsiTheme="minorEastAsia" w:eastAsiaTheme="minorEastAsia"/>
          <w:color w:val="000000" w:themeColor="text1"/>
          <w:sz w:val="24"/>
          <w14:textFill>
            <w14:solidFill>
              <w14:schemeClr w14:val="tx1"/>
            </w14:solidFill>
          </w14:textFill>
        </w:rPr>
        <w:t>采用先评审商务资格</w:t>
      </w:r>
      <w:r>
        <w:rPr>
          <w:rFonts w:hint="eastAsia" w:cs="Arial" w:asciiTheme="minorEastAsia" w:hAnsiTheme="minorEastAsia" w:eastAsiaTheme="minorEastAsia"/>
          <w:color w:val="000000" w:themeColor="text1"/>
          <w:sz w:val="24"/>
          <w14:textFill>
            <w14:solidFill>
              <w14:schemeClr w14:val="tx1"/>
            </w14:solidFill>
          </w14:textFill>
        </w:rPr>
        <w:t>和</w:t>
      </w:r>
      <w:r>
        <w:rPr>
          <w:rFonts w:cs="Arial" w:asciiTheme="minorEastAsia" w:hAnsiTheme="minorEastAsia" w:eastAsiaTheme="minorEastAsia"/>
          <w:color w:val="000000" w:themeColor="text1"/>
          <w:sz w:val="24"/>
          <w14:textFill>
            <w14:solidFill>
              <w14:schemeClr w14:val="tx1"/>
            </w14:solidFill>
          </w14:textFill>
        </w:rPr>
        <w:t>技术服务方案</w:t>
      </w:r>
      <w:r>
        <w:rPr>
          <w:rFonts w:hint="eastAsia" w:cs="Arial" w:asciiTheme="minorEastAsia" w:hAnsiTheme="minorEastAsia" w:eastAsiaTheme="minorEastAsia"/>
          <w:color w:val="000000" w:themeColor="text1"/>
          <w:sz w:val="24"/>
          <w14:textFill>
            <w14:solidFill>
              <w14:schemeClr w14:val="tx1"/>
            </w14:solidFill>
          </w14:textFill>
        </w:rPr>
        <w:t>，</w:t>
      </w:r>
      <w:r>
        <w:rPr>
          <w:rFonts w:cs="Arial" w:asciiTheme="minorEastAsia" w:hAnsiTheme="minorEastAsia" w:eastAsiaTheme="minorEastAsia"/>
          <w:color w:val="000000" w:themeColor="text1"/>
          <w:sz w:val="24"/>
          <w14:textFill>
            <w14:solidFill>
              <w14:schemeClr w14:val="tx1"/>
            </w14:solidFill>
          </w14:textFill>
        </w:rPr>
        <w:t>后公开并评审商务报价的办法</w:t>
      </w:r>
      <w:r>
        <w:rPr>
          <w:rFonts w:hint="eastAsia" w:asciiTheme="minorEastAsia" w:hAnsiTheme="minorEastAsia" w:eastAsiaTheme="minorEastAsia"/>
          <w:color w:val="000000" w:themeColor="text1"/>
          <w:kern w:val="0"/>
          <w:sz w:val="24"/>
          <w14:textFill>
            <w14:solidFill>
              <w14:schemeClr w14:val="tx1"/>
            </w14:solidFill>
          </w14:textFill>
        </w:rPr>
        <w:t>实施）。</w:t>
      </w:r>
    </w:p>
    <w:p>
      <w:pPr>
        <w:autoSpaceDE w:val="0"/>
        <w:autoSpaceDN w:val="0"/>
        <w:adjustRightInd w:val="0"/>
        <w:spacing w:line="360" w:lineRule="auto"/>
        <w:ind w:firstLine="480" w:firstLineChars="200"/>
        <w:rPr>
          <w:rFonts w:asciiTheme="minorEastAsia" w:hAnsiTheme="minorEastAsia" w:eastAsiaTheme="minorEastAsia"/>
          <w:bCs/>
          <w:sz w:val="24"/>
          <w:szCs w:val="24"/>
          <w:shd w:val="clear" w:color="auto" w:fill="auto"/>
        </w:rPr>
      </w:pPr>
    </w:p>
    <w:p>
      <w:pPr>
        <w:autoSpaceDE w:val="0"/>
        <w:autoSpaceDN w:val="0"/>
        <w:adjustRightInd w:val="0"/>
        <w:spacing w:line="360" w:lineRule="auto"/>
        <w:ind w:firstLine="480" w:firstLineChars="200"/>
        <w:rPr>
          <w:rFonts w:asciiTheme="minorEastAsia" w:hAnsiTheme="minorEastAsia" w:eastAsiaTheme="minorEastAsia"/>
          <w:bCs/>
          <w:color w:val="000000" w:themeColor="text1"/>
          <w:sz w:val="24"/>
          <w14:textFill>
            <w14:solidFill>
              <w14:schemeClr w14:val="tx1"/>
            </w14:solidFill>
          </w14:textFill>
        </w:rPr>
      </w:pPr>
      <w:r>
        <w:rPr>
          <w:rFonts w:asciiTheme="minorEastAsia" w:hAnsiTheme="minorEastAsia" w:eastAsiaTheme="minorEastAsia"/>
          <w:bCs/>
          <w:color w:val="000000" w:themeColor="text1"/>
          <w:sz w:val="24"/>
          <w14:textFill>
            <w14:solidFill>
              <w14:schemeClr w14:val="tx1"/>
            </w14:solidFill>
          </w14:textFill>
        </w:rPr>
        <w:t>（二） 开</w:t>
      </w:r>
      <w:r>
        <w:rPr>
          <w:rFonts w:hint="eastAsia" w:asciiTheme="minorEastAsia" w:hAnsiTheme="minorEastAsia" w:eastAsiaTheme="minorEastAsia"/>
          <w:bCs/>
          <w:color w:val="000000" w:themeColor="text1"/>
          <w:sz w:val="24"/>
          <w14:textFill>
            <w14:solidFill>
              <w14:schemeClr w14:val="tx1"/>
            </w14:solidFill>
          </w14:textFill>
        </w:rPr>
        <w:t>标</w:t>
      </w:r>
      <w:r>
        <w:rPr>
          <w:rFonts w:asciiTheme="minorEastAsia" w:hAnsiTheme="minorEastAsia" w:eastAsiaTheme="minorEastAsia"/>
          <w:bCs/>
          <w:color w:val="000000" w:themeColor="text1"/>
          <w:sz w:val="24"/>
          <w14:textFill>
            <w14:solidFill>
              <w14:schemeClr w14:val="tx1"/>
            </w14:solidFill>
          </w14:textFill>
        </w:rPr>
        <w:t>程序：</w:t>
      </w:r>
    </w:p>
    <w:p>
      <w:pPr>
        <w:pStyle w:val="9"/>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1、开标会由招标项目负责人主持，主持人宣布开标会议开始；</w:t>
      </w:r>
    </w:p>
    <w:p>
      <w:pPr>
        <w:pStyle w:val="9"/>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 xml:space="preserve">2、主持人介绍参加开标会的人员名单； </w:t>
      </w:r>
    </w:p>
    <w:p>
      <w:pPr>
        <w:pStyle w:val="9"/>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3、主持人宣布评标期间的有关事项，告知应当回避的情形,提请有关人员回避；</w:t>
      </w:r>
    </w:p>
    <w:p>
      <w:pPr>
        <w:pStyle w:val="9"/>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4、投标人或其当场推荐的代表，检查投标文件密封的完整性；</w:t>
      </w:r>
    </w:p>
    <w:p>
      <w:pPr>
        <w:pStyle w:val="9"/>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5、按投标文件递交的先后顺序当场拆封</w:t>
      </w:r>
      <w:r>
        <w:rPr>
          <w:rFonts w:hint="eastAsia" w:asciiTheme="minorEastAsia" w:hAnsiTheme="minorEastAsia" w:eastAsiaTheme="minorEastAsia"/>
          <w:color w:val="000000" w:themeColor="text1"/>
          <w:kern w:val="0"/>
          <w:sz w:val="24"/>
          <w14:textFill>
            <w14:solidFill>
              <w14:schemeClr w14:val="tx1"/>
            </w14:solidFill>
          </w14:textFill>
        </w:rPr>
        <w:t>资格证明文件、</w:t>
      </w:r>
      <w:r>
        <w:rPr>
          <w:rFonts w:hint="eastAsia" w:hAnsi="宋体"/>
          <w:bCs/>
          <w:color w:val="000000" w:themeColor="text1"/>
          <w:sz w:val="24"/>
          <w:lang w:val="zh-CN"/>
          <w14:textFill>
            <w14:solidFill>
              <w14:schemeClr w14:val="tx1"/>
            </w14:solidFill>
          </w14:textFill>
        </w:rPr>
        <w:t>商务与技术文件</w:t>
      </w:r>
      <w:r>
        <w:rPr>
          <w:rFonts w:hint="eastAsia" w:asciiTheme="minorEastAsia" w:hAnsiTheme="minorEastAsia" w:eastAsiaTheme="minorEastAsia"/>
          <w:color w:val="000000" w:themeColor="text1"/>
          <w:sz w:val="24"/>
          <w14:textFill>
            <w14:solidFill>
              <w14:schemeClr w14:val="tx1"/>
            </w14:solidFill>
          </w14:textFill>
        </w:rPr>
        <w:t>后，进入资格审查及符合性审查环节；</w:t>
      </w:r>
    </w:p>
    <w:p>
      <w:pPr>
        <w:pStyle w:val="9"/>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6、完成</w:t>
      </w:r>
      <w:r>
        <w:rPr>
          <w:rFonts w:ascii="Arial" w:hAnsi="Arial" w:cs="Arial"/>
          <w:color w:val="000000" w:themeColor="text1"/>
          <w:sz w:val="24"/>
          <w14:textFill>
            <w14:solidFill>
              <w14:schemeClr w14:val="tx1"/>
            </w14:solidFill>
          </w14:textFill>
        </w:rPr>
        <w:t>综合比较与评价</w:t>
      </w:r>
      <w:r>
        <w:rPr>
          <w:rFonts w:hint="eastAsia" w:ascii="Arial" w:hAnsi="Arial" w:cs="Arial"/>
          <w:color w:val="000000" w:themeColor="text1"/>
          <w:sz w:val="24"/>
          <w14:textFill>
            <w14:solidFill>
              <w14:schemeClr w14:val="tx1"/>
            </w14:solidFill>
          </w14:textFill>
        </w:rPr>
        <w:t>后，</w:t>
      </w:r>
      <w:r>
        <w:rPr>
          <w:rFonts w:hint="eastAsia" w:asciiTheme="minorEastAsia" w:hAnsiTheme="minorEastAsia" w:eastAsiaTheme="minorEastAsia"/>
          <w:color w:val="000000" w:themeColor="text1"/>
          <w:sz w:val="24"/>
          <w14:textFill>
            <w14:solidFill>
              <w14:schemeClr w14:val="tx1"/>
            </w14:solidFill>
          </w14:textFill>
        </w:rPr>
        <w:t>由主持人按投标文件的先后顺序当场拆封报价文件，并现场宣读《开标一览表》中的投标报价，以及采购组织机构认为有必要宣读的其他内容；</w:t>
      </w:r>
    </w:p>
    <w:p>
      <w:pPr>
        <w:pStyle w:val="9"/>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7、采购组织机构做开标记录, 投标人代表对开标记录进行当场校核及勘误，并签字确认。同时由记录人、监督人当场签字确认。投标人代表未到场签字确认或者拒绝签字确认的，不影响评标过程；</w:t>
      </w:r>
    </w:p>
    <w:p>
      <w:pPr>
        <w:snapToGrid w:val="0"/>
        <w:spacing w:line="360" w:lineRule="auto"/>
        <w:ind w:firstLine="480" w:firstLineChars="200"/>
        <w:rPr>
          <w:rFonts w:asciiTheme="minorEastAsia" w:hAnsiTheme="minorEastAsia" w:eastAsiaTheme="minorEastAsia"/>
          <w:sz w:val="24"/>
          <w:szCs w:val="24"/>
          <w:shd w:val="clear" w:color="auto" w:fill="auto"/>
        </w:rPr>
      </w:pPr>
      <w:r>
        <w:rPr>
          <w:rFonts w:hint="eastAsia" w:asciiTheme="minorEastAsia" w:hAnsiTheme="minorEastAsia" w:eastAsiaTheme="minorEastAsia"/>
          <w:color w:val="000000" w:themeColor="text1"/>
          <w:sz w:val="24"/>
          <w14:textFill>
            <w14:solidFill>
              <w14:schemeClr w14:val="tx1"/>
            </w14:solidFill>
          </w14:textFill>
        </w:rPr>
        <w:t>8、在完成评标后，宣布评标结果，开标会议结束。</w:t>
      </w:r>
    </w:p>
    <w:p>
      <w:pPr>
        <w:pStyle w:val="9"/>
        <w:snapToGrid w:val="0"/>
        <w:spacing w:line="360" w:lineRule="auto"/>
        <w:outlineLvl w:val="1"/>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五</w:t>
      </w:r>
      <w:r>
        <w:rPr>
          <w:rFonts w:hint="eastAsia" w:asciiTheme="minorEastAsia" w:hAnsiTheme="minorEastAsia" w:eastAsiaTheme="minorEastAsia"/>
          <w:b/>
          <w:color w:val="000000" w:themeColor="text1"/>
          <w:sz w:val="24"/>
          <w14:textFill>
            <w14:solidFill>
              <w14:schemeClr w14:val="tx1"/>
            </w14:solidFill>
          </w14:textFill>
        </w:rPr>
        <w:t>、评标</w:t>
      </w:r>
    </w:p>
    <w:p>
      <w:pPr>
        <w:pStyle w:val="9"/>
        <w:snapToGrid w:val="0"/>
        <w:spacing w:line="360" w:lineRule="auto"/>
        <w:ind w:left="720" w:leftChars="228" w:hanging="241" w:hangingChars="10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（一）组建评标委员会</w:t>
      </w:r>
    </w:p>
    <w:p>
      <w:pPr>
        <w:pStyle w:val="9"/>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本项目评标委员会由政府采购评审专家</w:t>
      </w:r>
      <w:r>
        <w:rPr>
          <w:rFonts w:hint="eastAsia" w:asciiTheme="minorEastAsia" w:hAnsiTheme="minorEastAsia" w:eastAsiaTheme="minorEastAsia"/>
          <w:color w:val="000000" w:themeColor="text1"/>
          <w:sz w:val="24"/>
          <w14:textFill>
            <w14:solidFill>
              <w14:schemeClr w14:val="tx1"/>
            </w14:solidFill>
          </w14:textFill>
        </w:rPr>
        <w:t>和采购单位评审代表</w:t>
      </w:r>
      <w:r>
        <w:rPr>
          <w:rFonts w:asciiTheme="minorEastAsia" w:hAnsiTheme="minorEastAsia" w:eastAsiaTheme="minorEastAsia"/>
          <w:color w:val="000000" w:themeColor="text1"/>
          <w:sz w:val="24"/>
          <w14:textFill>
            <w14:solidFill>
              <w14:schemeClr w14:val="tx1"/>
            </w14:solidFill>
          </w14:textFill>
        </w:rPr>
        <w:t>组成。</w:t>
      </w:r>
    </w:p>
    <w:p>
      <w:pPr>
        <w:pStyle w:val="9"/>
        <w:snapToGrid w:val="0"/>
        <w:spacing w:line="360" w:lineRule="auto"/>
        <w:ind w:left="720" w:leftChars="228" w:hanging="241" w:hangingChars="100"/>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二</w:t>
      </w:r>
      <w:r>
        <w:rPr>
          <w:rFonts w:asciiTheme="minorEastAsia" w:hAnsiTheme="minorEastAsia" w:eastAsiaTheme="minorEastAsia"/>
          <w:b/>
          <w:color w:val="000000" w:themeColor="text1"/>
          <w:sz w:val="24"/>
          <w14:textFill>
            <w14:solidFill>
              <w14:schemeClr w14:val="tx1"/>
            </w14:solidFill>
          </w14:textFill>
        </w:rPr>
        <w:t>）</w:t>
      </w:r>
      <w:r>
        <w:rPr>
          <w:rFonts w:asciiTheme="minorEastAsia" w:hAnsiTheme="minorEastAsia" w:eastAsiaTheme="minorEastAsia"/>
          <w:b/>
          <w:bCs/>
          <w:color w:val="000000" w:themeColor="text1"/>
          <w:sz w:val="24"/>
          <w14:textFill>
            <w14:solidFill>
              <w14:schemeClr w14:val="tx1"/>
            </w14:solidFill>
          </w14:textFill>
        </w:rPr>
        <w:t>评标程序</w:t>
      </w:r>
    </w:p>
    <w:p>
      <w:pPr>
        <w:snapToGrid w:val="0"/>
        <w:spacing w:line="360" w:lineRule="auto"/>
        <w:ind w:firstLine="472" w:firstLineChars="196"/>
        <w:rPr>
          <w:rFonts w:asciiTheme="minorEastAsia" w:hAnsiTheme="minorEastAsia" w:eastAsiaTheme="minorEastAsia"/>
          <w:b/>
          <w:bCs/>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1、资格</w:t>
      </w:r>
      <w:r>
        <w:rPr>
          <w:rFonts w:asciiTheme="minorEastAsia" w:hAnsiTheme="minorEastAsia" w:eastAsiaTheme="minorEastAsia"/>
          <w:b/>
          <w:bCs/>
          <w:color w:val="000000" w:themeColor="text1"/>
          <w:sz w:val="24"/>
          <w14:textFill>
            <w14:solidFill>
              <w14:schemeClr w14:val="tx1"/>
            </w14:solidFill>
          </w14:textFill>
        </w:rPr>
        <w:t>审查</w:t>
      </w:r>
    </w:p>
    <w:p>
      <w:pPr>
        <w:pStyle w:val="14"/>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公开招标采购项目开标结束后，采购人或者采购组织机构应当依法对投标人的资格进行审查，对审查发现无效的进行必要的询标，结束后公布无效投标的投标人名单、投标无效的原因。</w:t>
      </w:r>
    </w:p>
    <w:p>
      <w:pPr>
        <w:pStyle w:val="14"/>
        <w:spacing w:before="0" w:beforeAutospacing="0" w:after="0" w:afterAutospacing="0" w:line="360" w:lineRule="auto"/>
        <w:ind w:firstLine="472" w:firstLineChars="196"/>
        <w:jc w:val="both"/>
        <w:rPr>
          <w:rFonts w:hint="default"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2、符合性审查</w:t>
      </w:r>
    </w:p>
    <w:p>
      <w:pPr>
        <w:pStyle w:val="14"/>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14"/>
        <w:spacing w:before="0" w:beforeAutospacing="0" w:after="0" w:afterAutospacing="0" w:line="360" w:lineRule="auto"/>
        <w:ind w:firstLine="482"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3、</w:t>
      </w:r>
      <w:r>
        <w:rPr>
          <w:rFonts w:hint="default" w:ascii="Arial" w:hAnsi="Arial" w:cs="Arial"/>
          <w:b/>
          <w:bCs/>
          <w:color w:val="000000" w:themeColor="text1"/>
          <w14:textFill>
            <w14:solidFill>
              <w14:schemeClr w14:val="tx1"/>
            </w14:solidFill>
          </w14:textFill>
        </w:rPr>
        <w:t>综合比较与评价</w:t>
      </w:r>
    </w:p>
    <w:p>
      <w:pPr>
        <w:pStyle w:val="14"/>
        <w:spacing w:before="0" w:beforeAutospacing="0" w:after="0" w:afterAutospacing="0" w:line="360" w:lineRule="auto"/>
        <w:ind w:firstLine="360" w:firstLineChars="1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（1）对于投标文件中含义不明确、同类问题表述不一致或者有明显文字和计算错误的内容，评标委员会应当以书面形式要求投标人作出必要的澄清、说明或者补正。</w:t>
      </w:r>
    </w:p>
    <w:p>
      <w:pPr>
        <w:pStyle w:val="14"/>
        <w:spacing w:before="0" w:beforeAutospacing="0" w:after="0" w:afterAutospacing="0" w:line="360" w:lineRule="auto"/>
        <w:ind w:firstLine="360" w:firstLineChars="1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（2）评标委员会应当按照招标文件中规定的评标方法和标准，对符合性审查合格的投标文件进行商务和技术评估，综合比较与评价。</w:t>
      </w:r>
    </w:p>
    <w:p>
      <w:pPr>
        <w:snapToGrid w:val="0"/>
        <w:spacing w:line="360" w:lineRule="auto"/>
        <w:ind w:firstLine="360" w:firstLineChars="15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（3）评标时，评标委员会各成员应当独立对每个投标人的投标文件进行评价，并汇总每个投标人的得分。</w:t>
      </w:r>
    </w:p>
    <w:p>
      <w:pPr>
        <w:numPr>
          <w:ilvl w:val="255"/>
          <w:numId w:val="0"/>
        </w:numPr>
        <w:snapToGrid w:val="0"/>
        <w:spacing w:line="360" w:lineRule="auto"/>
        <w:ind w:firstLine="482" w:firstLineChars="200"/>
        <w:rPr>
          <w:rFonts w:ascii="Arial" w:hAnsi="Arial" w:cs="Arial"/>
          <w:b/>
          <w:bCs/>
          <w:color w:val="000000" w:themeColor="text1"/>
          <w:sz w:val="24"/>
          <w14:textFill>
            <w14:solidFill>
              <w14:schemeClr w14:val="tx1"/>
            </w14:solidFill>
          </w14:textFill>
        </w:rPr>
      </w:pPr>
      <w:r>
        <w:rPr>
          <w:rFonts w:hint="eastAsia" w:ascii="Arial" w:hAnsi="Arial" w:cs="Arial"/>
          <w:b/>
          <w:bCs/>
          <w:color w:val="000000" w:themeColor="text1"/>
          <w:sz w:val="24"/>
          <w14:textFill>
            <w14:solidFill>
              <w14:schemeClr w14:val="tx1"/>
            </w14:solidFill>
          </w14:textFill>
        </w:rPr>
        <w:t>4、得分确认及评审报告编写</w:t>
      </w:r>
    </w:p>
    <w:p>
      <w:pPr>
        <w:pStyle w:val="9"/>
        <w:snapToGrid w:val="0"/>
        <w:spacing w:line="360" w:lineRule="auto"/>
        <w:ind w:firstLine="420" w:firstLineChars="175"/>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1</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评标委员会对报价文件进行复核，对于系统计算出的价格分及总得分进行确认；</w:t>
      </w:r>
    </w:p>
    <w:p>
      <w:pPr>
        <w:pStyle w:val="14"/>
        <w:spacing w:before="0" w:beforeAutospacing="0" w:after="0" w:afterAutospacing="0" w:line="360" w:lineRule="auto"/>
        <w:ind w:firstLine="420" w:firstLineChars="175"/>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（2）评标委员会应当按照招标文件中规定的评标方法和标准，对符合性审查合格的投标文件进行商务和技术评估，综合比较与评价。</w:t>
      </w:r>
    </w:p>
    <w:p>
      <w:pPr>
        <w:snapToGrid w:val="0"/>
        <w:spacing w:line="360" w:lineRule="auto"/>
        <w:ind w:firstLine="480" w:firstLineChars="200"/>
        <w:rPr>
          <w:rFonts w:ascii="Arial" w:hAnsi="Arial" w:cs="Arial"/>
          <w:b/>
          <w:bCs/>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3</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评标委员会</w:t>
      </w:r>
      <w:r>
        <w:rPr>
          <w:rFonts w:asciiTheme="minorEastAsia" w:hAnsiTheme="minorEastAsia" w:eastAsiaTheme="minorEastAsia"/>
          <w:color w:val="000000" w:themeColor="text1"/>
          <w:sz w:val="24"/>
          <w14:textFill>
            <w14:solidFill>
              <w14:schemeClr w14:val="tx1"/>
            </w14:solidFill>
          </w14:textFill>
        </w:rPr>
        <w:t>按评标原则</w:t>
      </w:r>
      <w:r>
        <w:rPr>
          <w:rFonts w:hint="eastAsia" w:asciiTheme="minorEastAsia" w:hAnsiTheme="minorEastAsia" w:eastAsiaTheme="minorEastAsia"/>
          <w:color w:val="000000" w:themeColor="text1"/>
          <w:sz w:val="24"/>
          <w14:textFill>
            <w14:solidFill>
              <w14:schemeClr w14:val="tx1"/>
            </w14:solidFill>
          </w14:textFill>
        </w:rPr>
        <w:t>及得分情况编写评审报告。</w:t>
      </w:r>
    </w:p>
    <w:p>
      <w:pPr>
        <w:numPr>
          <w:ilvl w:val="255"/>
          <w:numId w:val="0"/>
        </w:numPr>
        <w:snapToGrid w:val="0"/>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5、评价</w:t>
      </w:r>
    </w:p>
    <w:p>
      <w:pPr>
        <w:snapToGrid w:val="0"/>
        <w:spacing w:line="360" w:lineRule="auto"/>
        <w:ind w:firstLine="480"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采购组织机构对评标委员会评审专家进行评价。</w:t>
      </w:r>
    </w:p>
    <w:p>
      <w:pPr>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b/>
          <w:color w:val="000000" w:themeColor="text1"/>
          <w:sz w:val="24"/>
          <w14:textFill>
            <w14:solidFill>
              <w14:schemeClr w14:val="tx1"/>
            </w14:solidFill>
          </w14:textFill>
        </w:rPr>
        <w:t>（三）澄清问题的形式</w:t>
      </w:r>
    </w:p>
    <w:p>
      <w:pPr>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color w:val="000000" w:themeColor="text1"/>
          <w:sz w:val="24"/>
          <w14:textFill>
            <w14:solidFill>
              <w14:schemeClr w14:val="tx1"/>
            </w14:solidFill>
          </w14:textFill>
        </w:rPr>
        <w:t>投标人的澄清、说明或者补正应当采用书面形式，并加盖公章，或者由法定代理人或其授权的代表签字，并不得超出投标文件的范围或者改变投标文件的实质性内容。</w:t>
      </w:r>
    </w:p>
    <w:p>
      <w:pPr>
        <w:pStyle w:val="9"/>
        <w:snapToGrid w:val="0"/>
        <w:spacing w:line="360" w:lineRule="auto"/>
        <w:ind w:left="720" w:leftChars="228" w:hanging="241" w:hangingChars="1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（四）错误修正</w:t>
      </w:r>
    </w:p>
    <w:p>
      <w:pPr>
        <w:pStyle w:val="14"/>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投标文件报价出现前后不一致的，除招标文件另有规定外，按照下列规定修正：</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1、投标文件中开标一览表（报价表）内容与投标文件中相应内容不一致的，以开标一览表（报价表）为准；</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2、大写金额和小写金额不一致的，以大写金额为准；</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3、单价金额小数点或者百分比有明显错位的，以开标一览表的总价为准，并修改单价；</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4、总价金额与按单价汇总金额不一致的，以单价金额计算结果为准。</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同时出现两种以上不一致的，按照前款规定的顺序修正。修正应当采用书面形式，并加盖公章，或者由法定代表人或其授权的代表签字。修正后的报价经投标人确认后产生约束力，投标人不确认的，其投标无效。</w:t>
      </w:r>
    </w:p>
    <w:p>
      <w:pPr>
        <w:pStyle w:val="14"/>
        <w:spacing w:before="0" w:beforeAutospacing="0" w:after="0" w:afterAutospacing="0" w:line="360" w:lineRule="auto"/>
        <w:ind w:firstLine="361" w:firstLineChars="150"/>
        <w:jc w:val="both"/>
        <w:rPr>
          <w:rFonts w:hint="default"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（五）</w:t>
      </w:r>
      <w:r>
        <w:rPr>
          <w:rFonts w:asciiTheme="minorEastAsia" w:hAnsiTheme="minorEastAsia" w:eastAsiaTheme="minorEastAsia"/>
          <w:b/>
          <w:color w:val="000000" w:themeColor="text1"/>
          <w14:textFill>
            <w14:solidFill>
              <w14:schemeClr w14:val="tx1"/>
            </w14:solidFill>
          </w14:textFill>
        </w:rPr>
        <w:t>投标人存在下列情况之一的，投标无效</w:t>
      </w:r>
    </w:p>
    <w:p>
      <w:pPr>
        <w:adjustRightInd w:val="0"/>
        <w:snapToGrid w:val="0"/>
        <w:spacing w:line="360" w:lineRule="auto"/>
        <w:ind w:firstLine="420" w:firstLineChars="200"/>
        <w:jc w:val="left"/>
        <w:rPr>
          <w:rFonts w:asciiTheme="minorEastAsia" w:hAnsiTheme="minorEastAsia" w:eastAsiaTheme="minorEastAsia"/>
          <w:b/>
          <w:bCs/>
          <w:color w:val="000000" w:themeColor="text1"/>
          <w:sz w:val="24"/>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rFonts w:hint="eastAsia" w:asciiTheme="minorEastAsia" w:hAnsiTheme="minorEastAsia" w:eastAsiaTheme="minorEastAsia"/>
          <w:color w:val="000000" w:themeColor="text1"/>
          <w:kern w:val="0"/>
          <w:sz w:val="24"/>
          <w14:textFill>
            <w14:solidFill>
              <w14:schemeClr w14:val="tx1"/>
            </w14:solidFill>
          </w14:textFill>
        </w:rPr>
        <w:t>资格证明文件或商务与技术文件跟报价文件出现混装或在资格证明文件或商务与技术文件中出现投标报价的，或者报价文件中报价的货物跟商务与技术文件中的投标货物出现重大偏差的；</w:t>
      </w:r>
    </w:p>
    <w:p>
      <w:pPr>
        <w:pStyle w:val="14"/>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14:textFill>
            <w14:solidFill>
              <w14:schemeClr w14:val="tx1"/>
            </w14:solidFill>
          </w14:textFill>
        </w:rPr>
        <w:t>、不具备招标文件中规定的资格要求的。</w:t>
      </w:r>
      <w:r>
        <w:rPr>
          <w:rFonts w:hint="default" w:asciiTheme="minorEastAsia" w:hAnsiTheme="minorEastAsia" w:eastAsiaTheme="minorEastAsia"/>
          <w:color w:val="000000" w:themeColor="text1"/>
          <w14:textFill>
            <w14:solidFill>
              <w14:schemeClr w14:val="tx1"/>
            </w14:solidFill>
          </w14:textFill>
        </w:rPr>
        <w:tab/>
      </w:r>
    </w:p>
    <w:p>
      <w:pPr>
        <w:pStyle w:val="14"/>
        <w:adjustRightInd w:val="0"/>
        <w:snapToGrid w:val="0"/>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xml:space="preserve">　  </w:t>
      </w:r>
      <w:r>
        <w:rPr>
          <w:rFonts w:hint="eastAsia" w:asciiTheme="minorEastAsia" w:hAnsiTheme="minorEastAsia" w:eastAsiaTheme="minorEastAsia"/>
          <w:color w:val="000000" w:themeColor="text1"/>
          <w:lang w:val="en-US" w:eastAsia="zh-CN"/>
          <w14:textFill>
            <w14:solidFill>
              <w14:schemeClr w14:val="tx1"/>
            </w14:solidFill>
          </w14:textFill>
        </w:rPr>
        <w:t>3</w:t>
      </w:r>
      <w:r>
        <w:rPr>
          <w:rFonts w:asciiTheme="minorEastAsia" w:hAnsiTheme="minorEastAsia" w:eastAsiaTheme="minorEastAsia"/>
          <w:color w:val="000000" w:themeColor="text1"/>
          <w14:textFill>
            <w14:solidFill>
              <w14:schemeClr w14:val="tx1"/>
            </w14:solidFill>
          </w14:textFill>
        </w:rPr>
        <w:t>、投标文件含有采购人不能接受的附加条件的。</w:t>
      </w:r>
    </w:p>
    <w:p>
      <w:pPr>
        <w:adjustRightInd w:val="0"/>
        <w:snapToGrid w:val="0"/>
        <w:spacing w:line="360" w:lineRule="auto"/>
        <w:ind w:firstLine="470" w:firstLineChars="196"/>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4</w:t>
      </w:r>
      <w:r>
        <w:rPr>
          <w:rFonts w:hint="eastAsia" w:asciiTheme="minorEastAsia" w:hAnsiTheme="minorEastAsia" w:eastAsiaTheme="minorEastAsia"/>
          <w:color w:val="000000" w:themeColor="text1"/>
          <w:sz w:val="24"/>
          <w14:textFill>
            <w14:solidFill>
              <w14:schemeClr w14:val="tx1"/>
            </w14:solidFill>
          </w14:textFill>
        </w:rPr>
        <w:t>、投标代表人未能出具身份证明或与法定代表人授权委托人身份不符的；</w:t>
      </w:r>
    </w:p>
    <w:p>
      <w:pPr>
        <w:pStyle w:val="14"/>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5</w:t>
      </w:r>
      <w:r>
        <w:rPr>
          <w:rFonts w:asciiTheme="minorEastAsia" w:hAnsiTheme="minorEastAsia" w:eastAsiaTheme="minorEastAsia"/>
          <w:color w:val="000000" w:themeColor="text1"/>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14"/>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6</w:t>
      </w:r>
      <w:r>
        <w:rPr>
          <w:rFonts w:asciiTheme="minorEastAsia" w:hAnsiTheme="minorEastAsia" w:eastAsiaTheme="minorEastAsia"/>
          <w:color w:val="000000" w:themeColor="text1"/>
          <w14:textFill>
            <w14:solidFill>
              <w14:schemeClr w14:val="tx1"/>
            </w14:solidFill>
          </w14:textFill>
        </w:rPr>
        <w:t xml:space="preserve">、报价超过招标文件中规定的预算金额/最高限价。 </w:t>
      </w:r>
    </w:p>
    <w:p>
      <w:pPr>
        <w:pStyle w:val="14"/>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lang w:val="en-US" w:eastAsia="zh-CN"/>
          <w14:textFill>
            <w14:solidFill>
              <w14:schemeClr w14:val="tx1"/>
            </w14:solidFill>
          </w14:textFill>
        </w:rPr>
        <w:t>7</w:t>
      </w:r>
      <w:r>
        <w:rPr>
          <w:rFonts w:asciiTheme="minorEastAsia" w:hAnsiTheme="minorEastAsia" w:eastAsiaTheme="minorEastAsia"/>
          <w:color w:val="000000" w:themeColor="text1"/>
          <w14:textFill>
            <w14:solidFill>
              <w14:schemeClr w14:val="tx1"/>
            </w14:solidFill>
          </w14:textFill>
        </w:rPr>
        <w:t>、主要性能参数指标负偏离</w:t>
      </w:r>
      <w:r>
        <w:rPr>
          <w:rFonts w:asciiTheme="minorEastAsia" w:hAnsiTheme="minorEastAsia" w:eastAsiaTheme="minorEastAsia"/>
          <w:color w:val="000000" w:themeColor="text1"/>
          <w:u w:val="single"/>
          <w14:textFill>
            <w14:solidFill>
              <w14:schemeClr w14:val="tx1"/>
            </w14:solidFill>
          </w14:textFill>
        </w:rPr>
        <w:t xml:space="preserve"> </w:t>
      </w:r>
      <w:r>
        <w:rPr>
          <w:rFonts w:hint="eastAsia" w:asciiTheme="minorEastAsia" w:hAnsiTheme="minorEastAsia" w:eastAsiaTheme="minorEastAsia"/>
          <w:color w:val="000000" w:themeColor="text1"/>
          <w:u w:val="single"/>
          <w:lang w:val="en-US" w:eastAsia="zh-CN"/>
          <w14:textFill>
            <w14:solidFill>
              <w14:schemeClr w14:val="tx1"/>
            </w14:solidFill>
          </w14:textFill>
        </w:rPr>
        <w:t>5</w:t>
      </w:r>
      <w:r>
        <w:rPr>
          <w:rFonts w:asciiTheme="minorEastAsia" w:hAnsiTheme="minorEastAsia" w:eastAsiaTheme="minorEastAsia"/>
          <w:color w:val="000000" w:themeColor="text1"/>
          <w:u w:val="single"/>
          <w14:textFill>
            <w14:solidFill>
              <w14:schemeClr w14:val="tx1"/>
            </w14:solidFill>
          </w14:textFill>
        </w:rPr>
        <w:t xml:space="preserve"> </w:t>
      </w:r>
      <w:r>
        <w:rPr>
          <w:rFonts w:asciiTheme="minorEastAsia" w:hAnsiTheme="minorEastAsia" w:eastAsiaTheme="minorEastAsia"/>
          <w:color w:val="000000" w:themeColor="text1"/>
          <w14:textFill>
            <w14:solidFill>
              <w14:schemeClr w14:val="tx1"/>
            </w14:solidFill>
          </w14:textFill>
        </w:rPr>
        <w:t>项（含）以上的。</w:t>
      </w:r>
    </w:p>
    <w:p>
      <w:pPr>
        <w:tabs>
          <w:tab w:val="left" w:pos="1898"/>
        </w:tabs>
        <w:autoSpaceDE w:val="0"/>
        <w:autoSpaceDN w:val="0"/>
        <w:adjustRightInd w:val="0"/>
        <w:snapToGrid w:val="0"/>
        <w:spacing w:line="360" w:lineRule="auto"/>
        <w:ind w:firstLine="48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lang w:val="en-US" w:eastAsia="zh-CN"/>
          <w14:textFill>
            <w14:solidFill>
              <w14:schemeClr w14:val="tx1"/>
            </w14:solidFill>
          </w14:textFill>
        </w:rPr>
        <w:t>8</w:t>
      </w:r>
      <w:r>
        <w:rPr>
          <w:rFonts w:hint="eastAsia" w:asciiTheme="minorEastAsia" w:hAnsiTheme="minorEastAsia" w:eastAsiaTheme="minorEastAsia"/>
          <w:color w:val="000000" w:themeColor="text1"/>
          <w:kern w:val="0"/>
          <w:sz w:val="24"/>
          <w14:textFill>
            <w14:solidFill>
              <w14:schemeClr w14:val="tx1"/>
            </w14:solidFill>
          </w14:textFill>
        </w:rPr>
        <w:t>、投标参数未如实填写，完全复制粘贴招标参数的。</w:t>
      </w:r>
    </w:p>
    <w:p>
      <w:pPr>
        <w:pStyle w:val="19"/>
        <w:spacing w:line="360" w:lineRule="auto"/>
        <w:ind w:firstLine="480" w:firstLineChars="200"/>
        <w:rPr>
          <w:rFonts w:hint="eastAsia"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t>9、商务需求不响应的。</w:t>
      </w:r>
    </w:p>
    <w:p>
      <w:pPr>
        <w:tabs>
          <w:tab w:val="left" w:pos="1898"/>
        </w:tabs>
        <w:autoSpaceDE w:val="0"/>
        <w:autoSpaceDN w:val="0"/>
        <w:adjustRightInd w:val="0"/>
        <w:snapToGrid w:val="0"/>
        <w:spacing w:line="360" w:lineRule="auto"/>
        <w:ind w:firstLine="480"/>
        <w:rPr>
          <w:rFonts w:hint="eastAsia"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pPr>
      <w:r>
        <w:rPr>
          <w:rFonts w:hint="eastAsia" w:cs="Times New Roman" w:asciiTheme="minorEastAsia" w:hAnsiTheme="minorEastAsia" w:eastAsiaTheme="minorEastAsia"/>
          <w:color w:val="000000" w:themeColor="text1"/>
          <w:kern w:val="0"/>
          <w:sz w:val="24"/>
          <w:szCs w:val="24"/>
          <w:lang w:val="en-US" w:eastAsia="zh-CN" w:bidi="ar-SA"/>
          <w14:textFill>
            <w14:solidFill>
              <w14:schemeClr w14:val="tx1"/>
            </w14:solidFill>
          </w14:textFill>
        </w:rPr>
        <w:t xml:space="preserve">10、投标文件提供虚假材料的。 </w:t>
      </w:r>
    </w:p>
    <w:p>
      <w:pPr>
        <w:tabs>
          <w:tab w:val="left" w:pos="1898"/>
        </w:tabs>
        <w:autoSpaceDE w:val="0"/>
        <w:autoSpaceDN w:val="0"/>
        <w:adjustRightInd w:val="0"/>
        <w:snapToGrid w:val="0"/>
        <w:spacing w:line="360" w:lineRule="auto"/>
        <w:ind w:firstLine="48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1</w:t>
      </w:r>
      <w:r>
        <w:rPr>
          <w:rFonts w:asciiTheme="minorEastAsia" w:hAnsiTheme="minorEastAsia" w:eastAsiaTheme="minorEastAsia"/>
          <w:color w:val="000000" w:themeColor="text1"/>
          <w:kern w:val="0"/>
          <w:sz w:val="24"/>
          <w14:textFill>
            <w14:solidFill>
              <w14:schemeClr w14:val="tx1"/>
            </w14:solidFill>
          </w14:textFill>
        </w:rPr>
        <w:t>、不符合中华人民共和国财政部令第87号《政府采购货物和服务招标投标管理办法》第三十七条情形之一的，视为投标人串通投标，其投标无效</w:t>
      </w:r>
      <w:r>
        <w:rPr>
          <w:rFonts w:hint="eastAsia" w:asciiTheme="minorEastAsia" w:hAnsiTheme="minorEastAsia" w:eastAsiaTheme="minorEastAsia"/>
          <w:color w:val="000000" w:themeColor="text1"/>
          <w:kern w:val="0"/>
          <w:sz w:val="24"/>
          <w14:textFill>
            <w14:solidFill>
              <w14:schemeClr w14:val="tx1"/>
            </w14:solidFill>
          </w14:textFill>
        </w:rPr>
        <w:t>，并移送采购监管部门</w:t>
      </w:r>
      <w:r>
        <w:rPr>
          <w:rFonts w:asciiTheme="minorEastAsia" w:hAnsiTheme="minorEastAsia" w:eastAsiaTheme="minorEastAsia"/>
          <w:color w:val="000000" w:themeColor="text1"/>
          <w:kern w:val="0"/>
          <w:sz w:val="24"/>
          <w14:textFill>
            <w14:solidFill>
              <w14:schemeClr w14:val="tx1"/>
            </w14:solidFill>
          </w14:textFill>
        </w:rPr>
        <w:t>：</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（1）不同投标人的投标文件由同一单位或者个人编制；</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（2）不同投标人委托同一单位或者个人办理投标事宜；</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（3）不同投标人的投标文件载明的项目管理成员或者联系人员为同一人；</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（4）不同投标人的投标文件异常一致或者投标报价呈规律性差异；</w:t>
      </w:r>
    </w:p>
    <w:p>
      <w:pPr>
        <w:pStyle w:val="14"/>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（5）不同投标人的投标文件相互混装；</w:t>
      </w:r>
    </w:p>
    <w:p>
      <w:pPr>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2</w:t>
      </w:r>
      <w:r>
        <w:rPr>
          <w:rFonts w:hint="eastAsia" w:asciiTheme="minorEastAsia" w:hAnsiTheme="minorEastAsia" w:eastAsiaTheme="minorEastAsia"/>
          <w:color w:val="000000" w:themeColor="text1"/>
          <w:kern w:val="0"/>
          <w:sz w:val="24"/>
          <w14:textFill>
            <w14:solidFill>
              <w14:schemeClr w14:val="tx1"/>
            </w14:solidFill>
          </w14:textFill>
        </w:rPr>
        <w:t>、不符合法律、法规和招标文件中规定的其他实质性要求的（招标文件</w:t>
      </w:r>
    </w:p>
    <w:p>
      <w:pPr>
        <w:tabs>
          <w:tab w:val="right" w:pos="8306"/>
        </w:tabs>
        <w:autoSpaceDE w:val="0"/>
        <w:autoSpaceDN w:val="0"/>
        <w:adjustRightInd w:val="0"/>
        <w:spacing w:line="360" w:lineRule="auto"/>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中打“▲”内容及被拒绝的条款）。</w:t>
      </w:r>
    </w:p>
    <w:p>
      <w:pPr>
        <w:autoSpaceDE w:val="0"/>
        <w:autoSpaceDN w:val="0"/>
        <w:adjustRightInd w:val="0"/>
        <w:spacing w:line="360" w:lineRule="auto"/>
        <w:ind w:left="48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（六）有下列情况之一的，本次招标作为废标处理</w:t>
      </w:r>
    </w:p>
    <w:p>
      <w:pPr>
        <w:pStyle w:val="14"/>
        <w:spacing w:before="0" w:beforeAutospacing="0" w:after="0" w:afterAutospacing="0" w:line="360" w:lineRule="auto"/>
        <w:ind w:firstLine="600" w:firstLineChars="2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1、出现影响采购公正的违法、违规行为的；</w:t>
      </w:r>
    </w:p>
    <w:p>
      <w:pPr>
        <w:pStyle w:val="14"/>
        <w:spacing w:before="0" w:beforeAutospacing="0" w:after="0" w:afterAutospacing="0" w:line="360" w:lineRule="auto"/>
        <w:ind w:firstLine="600" w:firstLineChars="250"/>
        <w:jc w:val="both"/>
        <w:rPr>
          <w:rFonts w:hint="default" w:asciiTheme="minorEastAsia" w:hAnsiTheme="minorEastAsia" w:eastAsiaTheme="minorEastAsia"/>
          <w:b/>
          <w:bCs/>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 xml:space="preserve">2、评标委员会发现招标文件存在歧义、重大缺陷导致评标工作无法进行，或者招标文件内容违反国家有关强制性规定的； </w:t>
      </w:r>
    </w:p>
    <w:p>
      <w:pPr>
        <w:pStyle w:val="14"/>
        <w:spacing w:before="0" w:beforeAutospacing="0" w:after="0" w:afterAutospacing="0" w:line="360" w:lineRule="auto"/>
        <w:ind w:firstLine="600" w:firstLineChars="2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3、因重大变故，采购任务取消的；</w:t>
      </w:r>
    </w:p>
    <w:p>
      <w:pPr>
        <w:pStyle w:val="14"/>
        <w:spacing w:before="0" w:beforeAutospacing="0" w:after="0" w:afterAutospacing="0" w:line="360" w:lineRule="auto"/>
        <w:ind w:firstLine="600" w:firstLineChars="25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4、法律、法规和招标文件规定的其他导致评标结果无效的。</w:t>
      </w:r>
    </w:p>
    <w:p>
      <w:pPr>
        <w:pStyle w:val="9"/>
        <w:tabs>
          <w:tab w:val="left" w:pos="630"/>
        </w:tabs>
        <w:snapToGrid w:val="0"/>
        <w:spacing w:line="360" w:lineRule="auto"/>
        <w:ind w:firstLine="472" w:firstLineChars="196"/>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七</w:t>
      </w:r>
      <w:r>
        <w:rPr>
          <w:rFonts w:asciiTheme="minorEastAsia" w:hAnsiTheme="minorEastAsia" w:eastAsiaTheme="minorEastAsia"/>
          <w:b/>
          <w:color w:val="000000" w:themeColor="text1"/>
          <w:sz w:val="24"/>
          <w14:textFill>
            <w14:solidFill>
              <w14:schemeClr w14:val="tx1"/>
            </w14:solidFill>
          </w14:textFill>
        </w:rPr>
        <w:t>）评标原则和评标办法</w:t>
      </w:r>
    </w:p>
    <w:p>
      <w:pPr>
        <w:pStyle w:val="9"/>
        <w:snapToGrid w:val="0"/>
        <w:spacing w:line="360" w:lineRule="auto"/>
        <w:ind w:firstLine="600" w:firstLineChars="25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1</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9"/>
        <w:snapToGrid w:val="0"/>
        <w:spacing w:line="360" w:lineRule="auto"/>
        <w:ind w:firstLine="600" w:firstLineChars="25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r>
        <w:rPr>
          <w:rFonts w:hint="eastAsia" w:asciiTheme="minorEastAsia" w:hAnsiTheme="minorEastAsia" w:eastAsiaTheme="minorEastAsia"/>
          <w:color w:val="000000" w:themeColor="text1"/>
          <w:sz w:val="24"/>
          <w14:textFill>
            <w14:solidFill>
              <w14:schemeClr w14:val="tx1"/>
            </w14:solidFill>
          </w14:textFill>
        </w:rPr>
        <w:t>、</w:t>
      </w:r>
      <w:r>
        <w:rPr>
          <w:rFonts w:asciiTheme="minorEastAsia" w:hAnsiTheme="minorEastAsia" w:eastAsiaTheme="minorEastAsia"/>
          <w:color w:val="000000" w:themeColor="text1"/>
          <w:sz w:val="24"/>
          <w14:textFill>
            <w14:solidFill>
              <w14:schemeClr w14:val="tx1"/>
            </w14:solidFill>
          </w14:textFill>
        </w:rPr>
        <w:t>评标办法。具体评标内容及评分标准等详见《第</w:t>
      </w:r>
      <w:r>
        <w:rPr>
          <w:rFonts w:hint="eastAsia" w:asciiTheme="minorEastAsia" w:hAnsiTheme="minorEastAsia" w:eastAsiaTheme="minorEastAsia"/>
          <w:color w:val="000000" w:themeColor="text1"/>
          <w:sz w:val="24"/>
          <w14:textFill>
            <w14:solidFill>
              <w14:schemeClr w14:val="tx1"/>
            </w14:solidFill>
          </w14:textFill>
        </w:rPr>
        <w:t>三章</w:t>
      </w:r>
      <w:r>
        <w:rPr>
          <w:rFonts w:asciiTheme="minorEastAsia" w:hAnsiTheme="minorEastAsia" w:eastAsiaTheme="minorEastAsia"/>
          <w:color w:val="000000" w:themeColor="text1"/>
          <w:sz w:val="24"/>
          <w14:textFill>
            <w14:solidFill>
              <w14:schemeClr w14:val="tx1"/>
            </w14:solidFill>
          </w14:textFill>
        </w:rPr>
        <w:t>：评标</w:t>
      </w:r>
      <w:r>
        <w:rPr>
          <w:rFonts w:hint="eastAsia" w:asciiTheme="minorEastAsia" w:hAnsiTheme="minorEastAsia" w:eastAsiaTheme="minorEastAsia"/>
          <w:color w:val="000000" w:themeColor="text1"/>
          <w:sz w:val="24"/>
          <w14:textFill>
            <w14:solidFill>
              <w14:schemeClr w14:val="tx1"/>
            </w14:solidFill>
          </w14:textFill>
        </w:rPr>
        <w:t>方</w:t>
      </w:r>
      <w:r>
        <w:rPr>
          <w:rFonts w:asciiTheme="minorEastAsia" w:hAnsiTheme="minorEastAsia" w:eastAsiaTheme="minorEastAsia"/>
          <w:color w:val="000000" w:themeColor="text1"/>
          <w:sz w:val="24"/>
          <w14:textFill>
            <w14:solidFill>
              <w14:schemeClr w14:val="tx1"/>
            </w14:solidFill>
          </w14:textFill>
        </w:rPr>
        <w:t>法及评分标准》。</w:t>
      </w:r>
    </w:p>
    <w:p>
      <w:pPr>
        <w:pStyle w:val="9"/>
        <w:snapToGrid w:val="0"/>
        <w:spacing w:line="360" w:lineRule="auto"/>
        <w:ind w:firstLine="472" w:firstLineChars="196"/>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八</w:t>
      </w:r>
      <w:r>
        <w:rPr>
          <w:rFonts w:asciiTheme="minorEastAsia" w:hAnsiTheme="minorEastAsia" w:eastAsiaTheme="minorEastAsia"/>
          <w:b/>
          <w:color w:val="000000" w:themeColor="text1"/>
          <w:sz w:val="24"/>
          <w14:textFill>
            <w14:solidFill>
              <w14:schemeClr w14:val="tx1"/>
            </w14:solidFill>
          </w14:textFill>
        </w:rPr>
        <w:t>）评标过程的监控</w:t>
      </w:r>
    </w:p>
    <w:p>
      <w:pPr>
        <w:pStyle w:val="14"/>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本项目评标过程实行全程录音、录像监控，政府采购监管部门视情进行现场监督，投标人在评标过程中所进行的试图影响评标结果的不公正活动，可能导致其投标被拒绝。</w:t>
      </w:r>
    </w:p>
    <w:p>
      <w:pPr>
        <w:pStyle w:val="14"/>
        <w:spacing w:before="0" w:beforeAutospacing="0" w:after="0" w:afterAutospacing="0" w:line="360" w:lineRule="auto"/>
        <w:ind w:firstLine="361" w:firstLineChars="150"/>
        <w:jc w:val="both"/>
        <w:rPr>
          <w:rFonts w:hint="default" w:asciiTheme="minorEastAsia" w:hAnsiTheme="minorEastAsia" w:eastAsia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lang w:eastAsia="zh-CN"/>
          <w14:textFill>
            <w14:solidFill>
              <w14:schemeClr w14:val="tx1"/>
            </w14:solidFill>
          </w14:textFill>
        </w:rPr>
        <w:t>六</w:t>
      </w:r>
      <w:r>
        <w:rPr>
          <w:rFonts w:asciiTheme="minorEastAsia" w:hAnsiTheme="minorEastAsia" w:eastAsiaTheme="minorEastAsia"/>
          <w:b/>
          <w:color w:val="000000" w:themeColor="text1"/>
          <w14:textFill>
            <w14:solidFill>
              <w14:schemeClr w14:val="tx1"/>
            </w14:solidFill>
          </w14:textFill>
        </w:rPr>
        <w:t>、定标</w:t>
      </w:r>
    </w:p>
    <w:p>
      <w:pPr>
        <w:pStyle w:val="14"/>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1、</w:t>
      </w:r>
      <w:r>
        <w:rPr>
          <w:color w:val="000000" w:themeColor="text1"/>
          <w14:textFill>
            <w14:solidFill>
              <w14:schemeClr w14:val="tx1"/>
            </w14:solidFill>
          </w14:textFill>
        </w:rPr>
        <w:t>确定中标供应商。</w:t>
      </w:r>
      <w:r>
        <w:rPr>
          <w:rFonts w:asciiTheme="minorEastAsia" w:hAnsiTheme="minorEastAsia" w:eastAsiaTheme="minorEastAsia"/>
          <w:color w:val="000000" w:themeColor="text1"/>
          <w14:textFill>
            <w14:solidFill>
              <w14:schemeClr w14:val="tx1"/>
            </w14:solidFill>
          </w14:textFill>
        </w:rPr>
        <w:t>评标委员会根据采购单位的</w:t>
      </w:r>
      <w:r>
        <w:rPr>
          <w:color w:val="000000" w:themeColor="text1"/>
          <w14:textFill>
            <w14:solidFill>
              <w14:schemeClr w14:val="tx1"/>
            </w14:solidFill>
          </w14:textFill>
        </w:rPr>
        <w:t>《授权意见确认书》</w:t>
      </w:r>
      <w:r>
        <w:rPr>
          <w:rFonts w:asciiTheme="minorEastAsia" w:hAnsiTheme="minorEastAsia" w:eastAsiaTheme="minorEastAsia"/>
          <w:color w:val="000000" w:themeColor="text1"/>
          <w14:textFill>
            <w14:solidFill>
              <w14:schemeClr w14:val="tx1"/>
            </w14:solidFill>
          </w14:textFill>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2、</w:t>
      </w:r>
      <w:r>
        <w:rPr>
          <w:rFonts w:hint="eastAsia" w:ascii="宋体" w:hAnsi="宋体"/>
          <w:color w:val="000000" w:themeColor="text1"/>
          <w:kern w:val="0"/>
          <w:sz w:val="24"/>
          <w14:textFill>
            <w14:solidFill>
              <w14:schemeClr w14:val="tx1"/>
            </w14:solidFill>
          </w14:textFill>
        </w:rPr>
        <w:t>发布</w:t>
      </w:r>
      <w:r>
        <w:rPr>
          <w:color w:val="000000" w:themeColor="text1"/>
          <w:sz w:val="24"/>
          <w14:textFill>
            <w14:solidFill>
              <w14:schemeClr w14:val="tx1"/>
            </w14:solidFill>
          </w14:textFill>
        </w:rPr>
        <w:t>中标</w:t>
      </w:r>
      <w:r>
        <w:rPr>
          <w:rFonts w:hint="eastAsia" w:ascii="宋体" w:hAnsi="宋体"/>
          <w:color w:val="000000" w:themeColor="text1"/>
          <w:kern w:val="0"/>
          <w:sz w:val="24"/>
          <w14:textFill>
            <w14:solidFill>
              <w14:schemeClr w14:val="tx1"/>
            </w14:solidFill>
          </w14:textFill>
        </w:rPr>
        <w:t>结果公告。采购组织机构应当自中标人</w:t>
      </w:r>
      <w:r>
        <w:rPr>
          <w:rFonts w:ascii="宋体" w:hAnsi="宋体"/>
          <w:color w:val="000000" w:themeColor="text1"/>
          <w:kern w:val="0"/>
          <w:sz w:val="24"/>
          <w14:textFill>
            <w14:solidFill>
              <w14:schemeClr w14:val="tx1"/>
            </w14:solidFill>
          </w14:textFill>
        </w:rPr>
        <w:t>确定</w:t>
      </w:r>
      <w:r>
        <w:rPr>
          <w:rFonts w:hint="eastAsia" w:ascii="宋体" w:hAnsi="宋体"/>
          <w:color w:val="000000" w:themeColor="text1"/>
          <w:kern w:val="0"/>
          <w:sz w:val="24"/>
          <w14:textFill>
            <w14:solidFill>
              <w14:schemeClr w14:val="tx1"/>
            </w14:solidFill>
          </w14:textFill>
        </w:rPr>
        <w:t>之日起</w:t>
      </w:r>
      <w:r>
        <w:rPr>
          <w:rFonts w:ascii="宋体" w:hAnsi="宋体"/>
          <w:color w:val="000000" w:themeColor="text1"/>
          <w:kern w:val="0"/>
          <w:sz w:val="24"/>
          <w14:textFill>
            <w14:solidFill>
              <w14:schemeClr w14:val="tx1"/>
            </w14:solidFill>
          </w14:textFill>
        </w:rPr>
        <w:t>2个工作日内</w:t>
      </w: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在省级以上财政部门指定的媒体及相关网站</w:t>
      </w:r>
      <w:r>
        <w:rPr>
          <w:rFonts w:hint="eastAsia" w:ascii="宋体" w:hAnsi="宋体"/>
          <w:color w:val="000000" w:themeColor="text1"/>
          <w:kern w:val="0"/>
          <w:sz w:val="24"/>
          <w14:textFill>
            <w14:solidFill>
              <w14:schemeClr w14:val="tx1"/>
            </w14:solidFill>
          </w14:textFill>
        </w:rPr>
        <w:t>上</w:t>
      </w:r>
      <w:r>
        <w:rPr>
          <w:rFonts w:ascii="宋体" w:hAnsi="宋体"/>
          <w:color w:val="000000" w:themeColor="text1"/>
          <w:kern w:val="0"/>
          <w:sz w:val="24"/>
          <w14:textFill>
            <w14:solidFill>
              <w14:schemeClr w14:val="tx1"/>
            </w14:solidFill>
          </w14:textFill>
        </w:rPr>
        <w:t>公告</w:t>
      </w:r>
      <w:r>
        <w:rPr>
          <w:rFonts w:hint="eastAsia" w:ascii="宋体" w:hAnsi="宋体"/>
          <w:color w:val="000000" w:themeColor="text1"/>
          <w:kern w:val="0"/>
          <w:sz w:val="24"/>
          <w14:textFill>
            <w14:solidFill>
              <w14:schemeClr w14:val="tx1"/>
            </w14:solidFill>
          </w14:textFill>
        </w:rPr>
        <w:t>中标结果，招标文件应当随中标结果同时公告。</w:t>
      </w:r>
    </w:p>
    <w:p>
      <w:p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3、发出中标通知书。采购组织机构在发布中标结果的同时，向中标人发出中标通知书。</w:t>
      </w:r>
    </w:p>
    <w:p>
      <w:pPr>
        <w:spacing w:line="360" w:lineRule="auto"/>
        <w:ind w:firstLine="482" w:firstLineChars="200"/>
        <w:rPr>
          <w:rFonts w:ascii="宋体" w:hAnsi="宋体"/>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lang w:eastAsia="zh-CN"/>
          <w14:textFill>
            <w14:solidFill>
              <w14:schemeClr w14:val="tx1"/>
            </w14:solidFill>
          </w14:textFill>
        </w:rPr>
        <w:t>七</w:t>
      </w:r>
      <w:r>
        <w:rPr>
          <w:rFonts w:asciiTheme="minorEastAsia" w:hAnsiTheme="minorEastAsia" w:eastAsiaTheme="minorEastAsia"/>
          <w:b/>
          <w:color w:val="000000" w:themeColor="text1"/>
          <w:sz w:val="24"/>
          <w14:textFill>
            <w14:solidFill>
              <w14:schemeClr w14:val="tx1"/>
            </w14:solidFill>
          </w14:textFill>
        </w:rPr>
        <w:t>、</w:t>
      </w:r>
      <w:r>
        <w:rPr>
          <w:rFonts w:hint="eastAsia" w:ascii="宋体" w:hAnsi="宋体"/>
          <w:b/>
          <w:color w:val="000000" w:themeColor="text1"/>
          <w:kern w:val="0"/>
          <w:sz w:val="24"/>
          <w14:textFill>
            <w14:solidFill>
              <w14:schemeClr w14:val="tx1"/>
            </w14:solidFill>
          </w14:textFill>
        </w:rPr>
        <w:t>合同签订及公告</w:t>
      </w:r>
    </w:p>
    <w:p>
      <w:pPr>
        <w:spacing w:line="360" w:lineRule="auto"/>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（一）签订合同</w:t>
      </w:r>
    </w:p>
    <w:p>
      <w:pPr>
        <w:pStyle w:val="14"/>
        <w:spacing w:before="0" w:beforeAutospacing="0" w:after="0" w:afterAutospacing="0" w:line="360" w:lineRule="auto"/>
        <w:ind w:firstLine="600" w:firstLineChars="25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1、采购人应当自中标通知书发出之日起10个工作日内，按照招标文件和中标人投标文件的规定，与中标人签订书面合同。所签订的合同不得对招标文件确定的事项和中标人投标文件作实质性修改。</w:t>
      </w:r>
    </w:p>
    <w:p>
      <w:pPr>
        <w:pStyle w:val="14"/>
        <w:spacing w:before="0" w:beforeAutospacing="0" w:after="0" w:afterAutospacing="0" w:line="360" w:lineRule="auto"/>
        <w:ind w:firstLine="600" w:firstLineChars="25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2、采购人不得向中标人提出任何不合理的要求作为签订合同的条件。</w:t>
      </w:r>
    </w:p>
    <w:p>
      <w:pPr>
        <w:pStyle w:val="14"/>
        <w:spacing w:before="0" w:beforeAutospacing="0" w:after="0" w:afterAutospacing="0" w:line="360" w:lineRule="auto"/>
        <w:ind w:firstLine="600" w:firstLineChars="25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3、中标供应商无故拖延、拒签合同的,将取消中标资格。</w:t>
      </w:r>
    </w:p>
    <w:p>
      <w:pPr>
        <w:pStyle w:val="14"/>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14"/>
        <w:spacing w:line="360" w:lineRule="auto"/>
        <w:ind w:firstLine="480" w:firstLineChars="200"/>
        <w:rPr>
          <w:rFonts w:hint="default" w:cs="仿宋_GB2312"/>
          <w:color w:val="000000" w:themeColor="text1"/>
          <w14:textFill>
            <w14:solidFill>
              <w14:schemeClr w14:val="tx1"/>
            </w14:solidFill>
          </w14:textFill>
        </w:rPr>
      </w:pPr>
      <w:r>
        <w:rPr>
          <w:color w:val="000000" w:themeColor="text1"/>
          <w14:textFill>
            <w14:solidFill>
              <w14:schemeClr w14:val="tx1"/>
            </w14:solidFill>
          </w14:textFill>
        </w:rPr>
        <w:t>5、询问或者质疑事项可能影响中标结果的，采购人应当暂停签订合同，已经签订合同的，应当中止履行合同（中标结果的质疑期为中标结果公告期限届满之日起七个工作日）。</w:t>
      </w:r>
    </w:p>
    <w:p>
      <w:pPr>
        <w:pStyle w:val="14"/>
        <w:spacing w:line="360" w:lineRule="auto"/>
        <w:ind w:firstLine="424" w:firstLineChars="176"/>
        <w:rPr>
          <w:rFonts w:hint="default" w:cs="仿宋_GB2312"/>
          <w:b/>
          <w:color w:val="000000" w:themeColor="text1"/>
          <w14:textFill>
            <w14:solidFill>
              <w14:schemeClr w14:val="tx1"/>
            </w14:solidFill>
          </w14:textFill>
        </w:rPr>
      </w:pPr>
      <w:r>
        <w:rPr>
          <w:b/>
          <w:color w:val="000000" w:themeColor="text1"/>
          <w14:textFill>
            <w14:solidFill>
              <w14:schemeClr w14:val="tx1"/>
            </w14:solidFill>
          </w14:textFill>
        </w:rPr>
        <w:t>（二）合同公告及备案</w:t>
      </w:r>
    </w:p>
    <w:p>
      <w:pPr>
        <w:pStyle w:val="8"/>
        <w:spacing w:line="360" w:lineRule="auto"/>
        <w:ind w:left="0" w:leftChars="0"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1、采购人应当自政府采购合同签订之日起2个工作日内，</w:t>
      </w:r>
      <w:r>
        <w:rPr>
          <w:rFonts w:ascii="宋体" w:hAnsi="宋体"/>
          <w:color w:val="000000" w:themeColor="text1"/>
          <w:kern w:val="0"/>
          <w:sz w:val="24"/>
          <w14:textFill>
            <w14:solidFill>
              <w14:schemeClr w14:val="tx1"/>
            </w14:solidFill>
          </w14:textFill>
        </w:rPr>
        <w:t>在省级以上财政部门指定的</w:t>
      </w:r>
      <w:r>
        <w:rPr>
          <w:rFonts w:hint="eastAsia" w:ascii="宋体" w:hAnsi="宋体"/>
          <w:color w:val="000000" w:themeColor="text1"/>
          <w:kern w:val="0"/>
          <w:sz w:val="24"/>
          <w14:textFill>
            <w14:solidFill>
              <w14:schemeClr w14:val="tx1"/>
            </w14:solidFill>
          </w14:textFill>
        </w:rPr>
        <w:t>政府采购信息发布</w:t>
      </w:r>
      <w:r>
        <w:rPr>
          <w:rFonts w:ascii="宋体" w:hAnsi="宋体"/>
          <w:color w:val="000000" w:themeColor="text1"/>
          <w:kern w:val="0"/>
          <w:sz w:val="24"/>
          <w14:textFill>
            <w14:solidFill>
              <w14:schemeClr w14:val="tx1"/>
            </w14:solidFill>
          </w14:textFill>
        </w:rPr>
        <w:t>媒体及相关网站</w:t>
      </w:r>
      <w:r>
        <w:rPr>
          <w:rFonts w:hint="eastAsia" w:ascii="宋体" w:hAnsi="宋体"/>
          <w:color w:val="000000" w:themeColor="text1"/>
          <w:kern w:val="0"/>
          <w:sz w:val="24"/>
          <w14:textFill>
            <w14:solidFill>
              <w14:schemeClr w14:val="tx1"/>
            </w14:solidFill>
          </w14:textFill>
        </w:rPr>
        <w:t>上</w:t>
      </w:r>
      <w:r>
        <w:rPr>
          <w:rFonts w:ascii="宋体" w:hAnsi="宋体"/>
          <w:color w:val="000000" w:themeColor="text1"/>
          <w:kern w:val="0"/>
          <w:sz w:val="24"/>
          <w14:textFill>
            <w14:solidFill>
              <w14:schemeClr w14:val="tx1"/>
            </w14:solidFill>
          </w14:textFill>
        </w:rPr>
        <w:t>公告</w:t>
      </w:r>
      <w:r>
        <w:rPr>
          <w:rFonts w:hint="eastAsia" w:ascii="宋体" w:hAnsi="宋体"/>
          <w:color w:val="000000" w:themeColor="text1"/>
          <w:sz w:val="24"/>
          <w14:textFill>
            <w14:solidFill>
              <w14:schemeClr w14:val="tx1"/>
            </w14:solidFill>
          </w14:textFill>
        </w:rPr>
        <w:t>。</w:t>
      </w:r>
    </w:p>
    <w:p>
      <w:pPr>
        <w:pStyle w:val="8"/>
        <w:spacing w:line="360" w:lineRule="auto"/>
        <w:ind w:left="0" w:leftChars="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2、采购人应当自政府采购合同签订之日起7个工作日内，将政府采购合同副本报同级人民政府财政部门备案以及采购组织机构存档。</w:t>
      </w: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pStyle w:val="19"/>
        <w:rPr>
          <w:rFonts w:asciiTheme="minorEastAsia" w:hAnsiTheme="minorEastAsia" w:eastAsiaTheme="minorEastAsia"/>
          <w:b/>
          <w:color w:val="000000" w:themeColor="text1"/>
          <w:sz w:val="28"/>
          <w:szCs w:val="28"/>
          <w14:textFill>
            <w14:solidFill>
              <w14:schemeClr w14:val="tx1"/>
            </w14:solidFill>
          </w14:textFill>
        </w:rPr>
      </w:pPr>
    </w:p>
    <w:p>
      <w:pPr>
        <w:numPr>
          <w:ilvl w:val="0"/>
          <w:numId w:val="3"/>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评标办法及评分标准</w:t>
      </w:r>
    </w:p>
    <w:p>
      <w:pPr>
        <w:autoSpaceDE w:val="0"/>
        <w:autoSpaceDN w:val="0"/>
        <w:spacing w:line="360" w:lineRule="auto"/>
        <w:ind w:firstLine="480" w:firstLineChars="200"/>
        <w:rPr>
          <w:rFonts w:asciiTheme="minorEastAsia" w:hAnsiTheme="minorEastAsia" w:eastAsiaTheme="minorEastAsia"/>
          <w:b/>
          <w:i/>
          <w:kern w:val="0"/>
          <w:sz w:val="24"/>
        </w:rPr>
      </w:pPr>
      <w:r>
        <w:rPr>
          <w:rFonts w:hint="eastAsia" w:asciiTheme="minorEastAsia" w:hAnsiTheme="minorEastAsia" w:eastAsiaTheme="minorEastAsia"/>
          <w:kern w:val="0"/>
          <w:sz w:val="24"/>
        </w:rPr>
        <w:t>一、采购组织机构将组织评标委员会，对投标人提供的电子投标文件进行综合评审。</w:t>
      </w:r>
    </w:p>
    <w:p>
      <w:pPr>
        <w:autoSpaceDE w:val="0"/>
        <w:autoSpaceDN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二、本次招标项目的评标方法为综合评分法，总计100分。评标标准按以下6项内容及分值进行评审。</w:t>
      </w:r>
    </w:p>
    <w:tbl>
      <w:tblPr>
        <w:tblStyle w:val="16"/>
        <w:tblW w:w="7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1377"/>
        <w:gridCol w:w="1596"/>
        <w:gridCol w:w="1582"/>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768" w:type="dxa"/>
            <w:tcBorders>
              <w:tl2br w:val="single" w:color="auto" w:sz="4" w:space="0"/>
            </w:tcBorders>
          </w:tcPr>
          <w:p>
            <w:pPr>
              <w:autoSpaceDE w:val="0"/>
              <w:autoSpaceDN w:val="0"/>
              <w:adjustRightInd w:val="0"/>
              <w:jc w:val="left"/>
              <w:rPr>
                <w:rFonts w:ascii="宋体" w:hAnsi="宋体" w:cs="Arial"/>
                <w:sz w:val="24"/>
              </w:rPr>
            </w:pPr>
            <w:r>
              <w:rPr>
                <w:rFonts w:hint="eastAsia" w:ascii="宋体" w:hAnsi="宋体" w:cs="Arial"/>
                <w:sz w:val="24"/>
              </w:rPr>
              <w:t xml:space="preserve">     标段</w:t>
            </w:r>
          </w:p>
          <w:p>
            <w:pPr>
              <w:autoSpaceDE w:val="0"/>
              <w:autoSpaceDN w:val="0"/>
              <w:adjustRightInd w:val="0"/>
              <w:jc w:val="left"/>
              <w:rPr>
                <w:rFonts w:ascii="宋体" w:hAnsi="宋体" w:cs="Arial"/>
                <w:sz w:val="24"/>
              </w:rPr>
            </w:pPr>
            <w:r>
              <w:rPr>
                <w:rFonts w:hint="eastAsia" w:ascii="宋体" w:hAnsi="宋体" w:cs="Arial"/>
                <w:sz w:val="24"/>
              </w:rPr>
              <w:t>类别</w:t>
            </w:r>
          </w:p>
        </w:tc>
        <w:tc>
          <w:tcPr>
            <w:tcW w:w="1377" w:type="dxa"/>
            <w:vAlign w:val="center"/>
          </w:tcPr>
          <w:p>
            <w:pPr>
              <w:autoSpaceDE w:val="0"/>
              <w:autoSpaceDN w:val="0"/>
              <w:adjustRightInd w:val="0"/>
              <w:spacing w:line="480" w:lineRule="auto"/>
              <w:jc w:val="center"/>
              <w:rPr>
                <w:rFonts w:ascii="宋体" w:hAnsi="宋体" w:cs="Arial"/>
                <w:sz w:val="24"/>
              </w:rPr>
            </w:pPr>
            <w:r>
              <w:rPr>
                <w:rFonts w:hint="eastAsia" w:ascii="宋体" w:hAnsi="宋体" w:cs="Arial"/>
                <w:sz w:val="24"/>
              </w:rPr>
              <w:t>一</w:t>
            </w:r>
          </w:p>
        </w:tc>
        <w:tc>
          <w:tcPr>
            <w:tcW w:w="1596" w:type="dxa"/>
            <w:vAlign w:val="center"/>
          </w:tcPr>
          <w:p>
            <w:pPr>
              <w:autoSpaceDE w:val="0"/>
              <w:autoSpaceDN w:val="0"/>
              <w:adjustRightInd w:val="0"/>
              <w:spacing w:line="480" w:lineRule="auto"/>
              <w:jc w:val="center"/>
              <w:rPr>
                <w:rFonts w:hint="eastAsia" w:ascii="宋体" w:hAnsi="宋体" w:eastAsia="宋体" w:cs="Arial"/>
                <w:sz w:val="24"/>
                <w:lang w:eastAsia="zh-CN"/>
              </w:rPr>
            </w:pPr>
            <w:r>
              <w:rPr>
                <w:rFonts w:hint="eastAsia" w:ascii="宋体" w:hAnsi="宋体" w:cs="Arial"/>
                <w:sz w:val="24"/>
                <w:lang w:eastAsia="zh-CN"/>
              </w:rPr>
              <w:t>二</w:t>
            </w:r>
          </w:p>
        </w:tc>
        <w:tc>
          <w:tcPr>
            <w:tcW w:w="1582" w:type="dxa"/>
            <w:vAlign w:val="center"/>
          </w:tcPr>
          <w:p>
            <w:pPr>
              <w:autoSpaceDE w:val="0"/>
              <w:autoSpaceDN w:val="0"/>
              <w:adjustRightInd w:val="0"/>
              <w:spacing w:line="480" w:lineRule="auto"/>
              <w:jc w:val="center"/>
              <w:rPr>
                <w:rFonts w:hint="eastAsia" w:ascii="宋体" w:hAnsi="宋体" w:eastAsia="宋体" w:cs="Arial"/>
                <w:sz w:val="24"/>
                <w:lang w:eastAsia="zh-CN"/>
              </w:rPr>
            </w:pPr>
            <w:r>
              <w:rPr>
                <w:rFonts w:hint="eastAsia" w:ascii="宋体" w:hAnsi="宋体" w:cs="Arial"/>
                <w:sz w:val="24"/>
                <w:lang w:eastAsia="zh-CN"/>
              </w:rPr>
              <w:t>三</w:t>
            </w:r>
          </w:p>
        </w:tc>
        <w:tc>
          <w:tcPr>
            <w:tcW w:w="1597" w:type="dxa"/>
            <w:vAlign w:val="center"/>
          </w:tcPr>
          <w:p>
            <w:pPr>
              <w:autoSpaceDE w:val="0"/>
              <w:autoSpaceDN w:val="0"/>
              <w:adjustRightInd w:val="0"/>
              <w:spacing w:line="480" w:lineRule="auto"/>
              <w:jc w:val="center"/>
              <w:rPr>
                <w:rFonts w:hint="eastAsia" w:ascii="宋体" w:hAnsi="宋体" w:eastAsia="宋体" w:cs="Arial"/>
                <w:sz w:val="24"/>
                <w:lang w:eastAsia="zh-CN"/>
              </w:rPr>
            </w:pPr>
            <w:r>
              <w:rPr>
                <w:rFonts w:hint="eastAsia" w:ascii="宋体" w:hAnsi="宋体" w:cs="Arial"/>
                <w:sz w:val="24"/>
                <w:lang w:eastAsia="zh-CN"/>
              </w:rPr>
              <w:t>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1768" w:type="dxa"/>
            <w:vAlign w:val="center"/>
          </w:tcPr>
          <w:p>
            <w:pPr>
              <w:autoSpaceDE w:val="0"/>
              <w:autoSpaceDN w:val="0"/>
              <w:adjustRightInd w:val="0"/>
              <w:jc w:val="center"/>
              <w:rPr>
                <w:rFonts w:hint="eastAsia" w:ascii="宋体" w:hAnsi="宋体" w:cs="Arial"/>
                <w:sz w:val="24"/>
              </w:rPr>
            </w:pPr>
            <w:r>
              <w:rPr>
                <w:rFonts w:hint="eastAsia" w:ascii="宋体" w:hAnsi="宋体" w:cs="Arial"/>
                <w:sz w:val="24"/>
                <w:lang w:val="en-US" w:eastAsia="zh-CN"/>
              </w:rPr>
              <w:t>技术性能</w:t>
            </w:r>
          </w:p>
        </w:tc>
        <w:tc>
          <w:tcPr>
            <w:tcW w:w="1377" w:type="dxa"/>
            <w:vAlign w:val="center"/>
          </w:tcPr>
          <w:p>
            <w:pPr>
              <w:autoSpaceDE w:val="0"/>
              <w:autoSpaceDN w:val="0"/>
              <w:adjustRightInd w:val="0"/>
              <w:jc w:val="center"/>
              <w:rPr>
                <w:rFonts w:hint="default" w:ascii="宋体" w:hAnsi="宋体" w:cs="Arial"/>
                <w:sz w:val="24"/>
                <w:lang w:val="en-US" w:eastAsia="zh-CN"/>
              </w:rPr>
            </w:pPr>
            <w:r>
              <w:rPr>
                <w:rFonts w:hint="eastAsia" w:ascii="宋体" w:hAnsi="宋体" w:cs="Arial"/>
                <w:sz w:val="24"/>
                <w:lang w:val="en-US" w:eastAsia="zh-CN"/>
              </w:rPr>
              <w:t>40</w:t>
            </w:r>
          </w:p>
        </w:tc>
        <w:tc>
          <w:tcPr>
            <w:tcW w:w="1596"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40</w:t>
            </w:r>
          </w:p>
        </w:tc>
        <w:tc>
          <w:tcPr>
            <w:tcW w:w="1582"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40</w:t>
            </w:r>
          </w:p>
        </w:tc>
        <w:tc>
          <w:tcPr>
            <w:tcW w:w="1597"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768" w:type="dxa"/>
            <w:vAlign w:val="center"/>
          </w:tcPr>
          <w:p>
            <w:pPr>
              <w:autoSpaceDE w:val="0"/>
              <w:autoSpaceDN w:val="0"/>
              <w:adjustRightInd w:val="0"/>
              <w:jc w:val="both"/>
              <w:rPr>
                <w:rFonts w:hint="eastAsia" w:ascii="宋体" w:hAnsi="宋体" w:cs="Arial"/>
                <w:sz w:val="24"/>
              </w:rPr>
            </w:pPr>
            <w:r>
              <w:rPr>
                <w:rFonts w:hint="eastAsia" w:ascii="宋体" w:hAnsi="宋体" w:cs="Arial"/>
                <w:sz w:val="24"/>
                <w:lang w:val="en-US" w:eastAsia="zh-CN"/>
              </w:rPr>
              <w:t>售后服务承诺</w:t>
            </w:r>
          </w:p>
        </w:tc>
        <w:tc>
          <w:tcPr>
            <w:tcW w:w="1377" w:type="dxa"/>
            <w:vAlign w:val="center"/>
          </w:tcPr>
          <w:p>
            <w:pPr>
              <w:autoSpaceDE w:val="0"/>
              <w:autoSpaceDN w:val="0"/>
              <w:adjustRightInd w:val="0"/>
              <w:jc w:val="center"/>
              <w:rPr>
                <w:rFonts w:hint="default" w:ascii="宋体" w:hAnsi="宋体" w:cs="Arial"/>
                <w:sz w:val="24"/>
                <w:lang w:val="en-US" w:eastAsia="zh-CN"/>
              </w:rPr>
            </w:pPr>
            <w:r>
              <w:rPr>
                <w:rFonts w:hint="eastAsia" w:ascii="宋体" w:hAnsi="宋体" w:cs="Arial"/>
                <w:sz w:val="24"/>
                <w:lang w:val="en-US" w:eastAsia="zh-CN"/>
              </w:rPr>
              <w:t>19</w:t>
            </w:r>
          </w:p>
        </w:tc>
        <w:tc>
          <w:tcPr>
            <w:tcW w:w="1596"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19</w:t>
            </w:r>
          </w:p>
        </w:tc>
        <w:tc>
          <w:tcPr>
            <w:tcW w:w="1582"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19</w:t>
            </w:r>
          </w:p>
        </w:tc>
        <w:tc>
          <w:tcPr>
            <w:tcW w:w="1597"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1768" w:type="dxa"/>
            <w:vAlign w:val="center"/>
          </w:tcPr>
          <w:p>
            <w:pPr>
              <w:autoSpaceDE w:val="0"/>
              <w:autoSpaceDN w:val="0"/>
              <w:adjustRightInd w:val="0"/>
              <w:jc w:val="center"/>
              <w:rPr>
                <w:rFonts w:hint="eastAsia" w:ascii="宋体" w:hAnsi="宋体" w:cs="Arial"/>
                <w:sz w:val="24"/>
              </w:rPr>
            </w:pPr>
            <w:r>
              <w:rPr>
                <w:rFonts w:hint="eastAsia" w:ascii="宋体" w:hAnsi="宋体" w:cs="Arial"/>
                <w:sz w:val="24"/>
                <w:lang w:val="en-US" w:eastAsia="zh-CN"/>
              </w:rPr>
              <w:t>对采购文件响应程度</w:t>
            </w:r>
          </w:p>
        </w:tc>
        <w:tc>
          <w:tcPr>
            <w:tcW w:w="1377" w:type="dxa"/>
            <w:vAlign w:val="center"/>
          </w:tcPr>
          <w:p>
            <w:pPr>
              <w:autoSpaceDE w:val="0"/>
              <w:autoSpaceDN w:val="0"/>
              <w:adjustRightInd w:val="0"/>
              <w:jc w:val="center"/>
              <w:rPr>
                <w:rFonts w:hint="default" w:ascii="宋体" w:hAnsi="宋体" w:cs="Arial"/>
                <w:sz w:val="24"/>
                <w:lang w:val="en-US" w:eastAsia="zh-CN"/>
              </w:rPr>
            </w:pPr>
            <w:r>
              <w:rPr>
                <w:rFonts w:hint="eastAsia" w:ascii="宋体" w:hAnsi="宋体" w:cs="Arial"/>
                <w:sz w:val="24"/>
                <w:lang w:val="en-US" w:eastAsia="zh-CN"/>
              </w:rPr>
              <w:t>1</w:t>
            </w:r>
          </w:p>
        </w:tc>
        <w:tc>
          <w:tcPr>
            <w:tcW w:w="1596"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1</w:t>
            </w:r>
          </w:p>
        </w:tc>
        <w:tc>
          <w:tcPr>
            <w:tcW w:w="1582"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1</w:t>
            </w:r>
          </w:p>
        </w:tc>
        <w:tc>
          <w:tcPr>
            <w:tcW w:w="1597"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68" w:type="dxa"/>
            <w:vAlign w:val="center"/>
          </w:tcPr>
          <w:p>
            <w:pPr>
              <w:autoSpaceDE w:val="0"/>
              <w:autoSpaceDN w:val="0"/>
              <w:adjustRightInd w:val="0"/>
              <w:jc w:val="center"/>
              <w:rPr>
                <w:rFonts w:hint="eastAsia" w:ascii="宋体" w:hAnsi="宋体" w:cs="Arial"/>
                <w:sz w:val="24"/>
              </w:rPr>
            </w:pPr>
            <w:r>
              <w:rPr>
                <w:rFonts w:hint="eastAsia" w:ascii="宋体" w:hAnsi="宋体" w:cs="Arial"/>
                <w:sz w:val="24"/>
                <w:lang w:val="en-US" w:eastAsia="zh-CN"/>
              </w:rPr>
              <w:t>产品价格</w:t>
            </w:r>
          </w:p>
        </w:tc>
        <w:tc>
          <w:tcPr>
            <w:tcW w:w="1377" w:type="dxa"/>
            <w:vAlign w:val="center"/>
          </w:tcPr>
          <w:p>
            <w:pPr>
              <w:autoSpaceDE w:val="0"/>
              <w:autoSpaceDN w:val="0"/>
              <w:adjustRightInd w:val="0"/>
              <w:jc w:val="center"/>
              <w:rPr>
                <w:rFonts w:hint="eastAsia" w:ascii="宋体" w:hAnsi="宋体" w:cs="Arial"/>
                <w:sz w:val="24"/>
              </w:rPr>
            </w:pPr>
            <w:r>
              <w:rPr>
                <w:rFonts w:hint="eastAsia" w:ascii="宋体" w:hAnsi="宋体" w:cs="Arial"/>
                <w:sz w:val="24"/>
                <w:lang w:val="en-US" w:eastAsia="zh-CN"/>
              </w:rPr>
              <w:t>40</w:t>
            </w:r>
          </w:p>
        </w:tc>
        <w:tc>
          <w:tcPr>
            <w:tcW w:w="1596"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40</w:t>
            </w:r>
          </w:p>
        </w:tc>
        <w:tc>
          <w:tcPr>
            <w:tcW w:w="1582"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40</w:t>
            </w:r>
          </w:p>
        </w:tc>
        <w:tc>
          <w:tcPr>
            <w:tcW w:w="1597" w:type="dxa"/>
            <w:vAlign w:val="center"/>
          </w:tcPr>
          <w:p>
            <w:pPr>
              <w:autoSpaceDE w:val="0"/>
              <w:autoSpaceDN w:val="0"/>
              <w:adjustRightInd w:val="0"/>
              <w:jc w:val="center"/>
              <w:rPr>
                <w:rFonts w:hint="eastAsia" w:ascii="宋体" w:hAnsi="宋体" w:cs="Arial"/>
                <w:sz w:val="24"/>
                <w:lang w:val="en-US" w:eastAsia="zh-CN"/>
              </w:rPr>
            </w:pPr>
            <w:r>
              <w:rPr>
                <w:rFonts w:hint="eastAsia" w:ascii="宋体" w:hAnsi="宋体" w:cs="Arial"/>
                <w:sz w:val="24"/>
                <w:lang w:val="en-US" w:eastAsia="zh-CN"/>
              </w:rPr>
              <w:t>40</w:t>
            </w:r>
          </w:p>
        </w:tc>
      </w:tr>
    </w:tbl>
    <w:p>
      <w:pPr>
        <w:autoSpaceDE w:val="0"/>
        <w:autoSpaceDN w:val="0"/>
        <w:adjustRightInd w:val="0"/>
        <w:spacing w:line="360" w:lineRule="auto"/>
        <w:ind w:right="84" w:firstLine="472"/>
        <w:rPr>
          <w:rFonts w:ascii="宋体"/>
          <w:bCs/>
          <w:sz w:val="24"/>
          <w:lang w:val="zh-CN"/>
        </w:rPr>
      </w:pPr>
      <w:r>
        <w:rPr>
          <w:rFonts w:hint="eastAsia" w:ascii="宋体"/>
          <w:bCs/>
          <w:sz w:val="24"/>
          <w:lang w:val="zh-CN"/>
        </w:rPr>
        <w:t>（一）商务与技术文件中的客观分由评标委员会讨论后统一打分；其余在规定的分值内单独评定打分。</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bCs/>
          <w:sz w:val="24"/>
          <w:lang w:val="zh-CN"/>
        </w:rPr>
        <w:t>（二）各投标人商务与技术文件</w:t>
      </w:r>
      <w:r>
        <w:rPr>
          <w:rFonts w:hint="eastAsia" w:ascii="宋体"/>
          <w:kern w:val="0"/>
          <w:sz w:val="24"/>
          <w:lang w:val="zh-CN"/>
        </w:rPr>
        <w:t>得分按照评标委员会成</w:t>
      </w:r>
      <w:r>
        <w:rPr>
          <w:rFonts w:hint="eastAsia" w:ascii="宋体"/>
          <w:bCs/>
          <w:sz w:val="24"/>
          <w:lang w:val="zh-CN"/>
        </w:rPr>
        <w:t>员的独立评分结果汇总后的算术平均分计算，计算公式为：</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hAnsi="宋体"/>
          <w:sz w:val="24"/>
        </w:rPr>
        <w:t>商务与技术文件得分</w:t>
      </w:r>
      <w:r>
        <w:rPr>
          <w:rFonts w:hint="eastAsia" w:ascii="宋体"/>
          <w:bCs/>
          <w:sz w:val="24"/>
          <w:lang w:val="zh-CN"/>
        </w:rPr>
        <w:t>=评标委员会所有成员评分合计数/评标委员会组成人员数。</w:t>
      </w:r>
    </w:p>
    <w:p>
      <w:pPr>
        <w:autoSpaceDE w:val="0"/>
        <w:autoSpaceDN w:val="0"/>
        <w:adjustRightInd w:val="0"/>
        <w:spacing w:line="360" w:lineRule="auto"/>
        <w:ind w:right="85" w:firstLine="480" w:firstLineChars="200"/>
        <w:rPr>
          <w:rFonts w:ascii="宋体"/>
          <w:sz w:val="24"/>
          <w:lang w:val="zh-CN"/>
        </w:rPr>
      </w:pPr>
      <w:r>
        <w:rPr>
          <w:rFonts w:hint="eastAsia" w:ascii="宋体"/>
          <w:bCs/>
          <w:sz w:val="24"/>
          <w:lang w:val="zh-CN"/>
        </w:rPr>
        <w:t>（三）</w:t>
      </w:r>
      <w:r>
        <w:rPr>
          <w:rFonts w:hint="eastAsia" w:ascii="宋体"/>
          <w:sz w:val="24"/>
          <w:lang w:val="zh-CN"/>
        </w:rPr>
        <w:t>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right="85" w:firstLine="480" w:firstLineChars="200"/>
        <w:rPr>
          <w:rFonts w:hint="eastAsia" w:ascii="宋体" w:hAnsi="宋体" w:eastAsia="宋体" w:cs="宋体"/>
          <w:sz w:val="24"/>
          <w:szCs w:val="24"/>
          <w:u w:val="single"/>
        </w:rPr>
      </w:pPr>
      <w:r>
        <w:rPr>
          <w:rFonts w:hint="eastAsia" w:ascii="宋体" w:hAnsi="宋体" w:eastAsia="宋体" w:cs="宋体"/>
          <w:sz w:val="24"/>
          <w:szCs w:val="24"/>
          <w:u w:val="single"/>
        </w:rPr>
        <w:t>投标报价得分=(评标基准价／投标报价)×</w:t>
      </w:r>
      <w:r>
        <w:rPr>
          <w:rFonts w:hint="eastAsia" w:ascii="宋体" w:hAnsi="宋体" w:cs="宋体"/>
          <w:sz w:val="24"/>
          <w:szCs w:val="24"/>
          <w:u w:val="single"/>
          <w:lang w:val="en-US" w:eastAsia="zh-CN"/>
        </w:rPr>
        <w:t>4</w:t>
      </w:r>
      <w:r>
        <w:rPr>
          <w:rFonts w:hint="eastAsia" w:ascii="宋体" w:hAnsi="宋体" w:eastAsia="宋体" w:cs="宋体"/>
          <w:sz w:val="24"/>
          <w:szCs w:val="24"/>
          <w:u w:val="single"/>
        </w:rPr>
        <w:t>0%×100 。</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如投标人提供小微企业制造的货物，应同时提供制造商的《中小企业声明函》，</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rPr>
        <w:t>相应的</w:t>
      </w:r>
      <w:r>
        <w:rPr>
          <w:rFonts w:hint="eastAsia" w:ascii="宋体"/>
          <w:sz w:val="24"/>
        </w:rPr>
        <w:t>小微企业优惠政策。</w:t>
      </w:r>
      <w:r>
        <w:rPr>
          <w:rFonts w:hint="eastAsia" w:ascii="宋体"/>
          <w:sz w:val="24"/>
          <w:lang w:val="zh-CN"/>
        </w:rPr>
        <w:t>（2）监狱企业参加政府采购活动时，应当提供由省级以上监狱管理局、戒毒管理局（含新疆生产建设兵团）出具的属于监狱企业的证明文件，视同小型、微型企业，享受小微企业政府采购优惠政策；（3）残疾人福利性单位在参加政府采购活动时，应提供《残疾人福利性单位声明函》（见附件），视同小型、微型企业，享受小微企业政府采购优惠政策。</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具体优惠：对于小型微型企业产品的价格给予</w:t>
      </w:r>
      <w:r>
        <w:rPr>
          <w:rFonts w:hint="eastAsia" w:ascii="宋体"/>
          <w:sz w:val="24"/>
          <w:u w:val="single"/>
          <w:lang w:val="zh-CN"/>
        </w:rPr>
        <w:t xml:space="preserve"> </w:t>
      </w:r>
      <w:r>
        <w:rPr>
          <w:rFonts w:hint="eastAsia" w:ascii="宋体"/>
          <w:sz w:val="24"/>
          <w:u w:val="single"/>
        </w:rPr>
        <w:t>6</w:t>
      </w:r>
      <w:r>
        <w:rPr>
          <w:rFonts w:hint="eastAsia" w:ascii="宋体"/>
          <w:sz w:val="24"/>
          <w:u w:val="single"/>
          <w:lang w:val="zh-CN"/>
        </w:rPr>
        <w:t xml:space="preserve">  </w:t>
      </w:r>
      <w:r>
        <w:rPr>
          <w:rFonts w:hint="eastAsia" w:ascii="宋体"/>
          <w:sz w:val="24"/>
          <w:lang w:val="zh-CN"/>
        </w:rPr>
        <w:t>%的扣除，用扣除后的价格计算评标基准价和投标报价。同一投标人（包括联合体），小微企业、监狱企业、残疾人福利性单位价格扣除优惠只享受一次，不得重复享受。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right="84" w:firstLine="472"/>
        <w:rPr>
          <w:rFonts w:ascii="宋体"/>
          <w:bCs/>
          <w:sz w:val="24"/>
          <w:shd w:val="clear" w:color="FFFFFF" w:fill="D9D9D9"/>
          <w:lang w:val="zh-CN"/>
        </w:rPr>
      </w:pPr>
      <w:r>
        <w:rPr>
          <w:rFonts w:hint="eastAsia" w:ascii="宋体"/>
          <w:sz w:val="24"/>
          <w:lang w:val="zh-CN"/>
        </w:rPr>
        <w:t>注：得分以系统计算为准，保留2位小数。</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四、如综合得分相同，投标报价低者为先；如综合得分且投标报价相同的，货物类采购项目以技术性能得分较高者为先，服务类采购项目以实力信誉及业绩得分较高者为先。</w:t>
      </w:r>
    </w:p>
    <w:p>
      <w:pPr>
        <w:autoSpaceDE w:val="0"/>
        <w:autoSpaceDN w:val="0"/>
        <w:adjustRightInd w:val="0"/>
        <w:spacing w:line="360" w:lineRule="auto"/>
        <w:ind w:right="85" w:firstLine="480" w:firstLineChars="200"/>
        <w:rPr>
          <w:rFonts w:ascii="宋体"/>
          <w:sz w:val="24"/>
          <w:lang w:val="zh-CN"/>
        </w:rPr>
      </w:pPr>
      <w:r>
        <w:rPr>
          <w:rFonts w:hint="eastAsia" w:ascii="宋体"/>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19"/>
        <w:ind w:firstLine="480" w:firstLineChars="200"/>
        <w:rPr>
          <w:rFonts w:ascii="宋体"/>
          <w:b/>
          <w:bCs/>
          <w:sz w:val="24"/>
        </w:rPr>
      </w:pPr>
      <w:r>
        <w:rPr>
          <w:rFonts w:hint="eastAsia" w:asciiTheme="minorEastAsia" w:hAnsiTheme="minorEastAsia" w:eastAsiaTheme="minorEastAsia"/>
          <w:sz w:val="24"/>
          <w:szCs w:val="24"/>
        </w:rPr>
        <w:t>六、本次评分具体分值细化条款如下表：</w:t>
      </w:r>
    </w:p>
    <w:p>
      <w:pPr>
        <w:tabs>
          <w:tab w:val="left" w:pos="8280"/>
        </w:tabs>
        <w:autoSpaceDE w:val="0"/>
        <w:autoSpaceDN w:val="0"/>
        <w:adjustRightInd w:val="0"/>
        <w:spacing w:line="360" w:lineRule="auto"/>
        <w:ind w:right="25"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（一）第一标段评分：</w:t>
      </w:r>
    </w:p>
    <w:p>
      <w:pPr>
        <w:tabs>
          <w:tab w:val="left" w:pos="8280"/>
        </w:tabs>
        <w:autoSpaceDE w:val="0"/>
        <w:autoSpaceDN w:val="0"/>
        <w:adjustRightInd w:val="0"/>
        <w:spacing w:line="360" w:lineRule="auto"/>
        <w:ind w:right="25" w:firstLine="562" w:firstLineChars="200"/>
        <w:rPr>
          <w:rFonts w:hint="eastAsia" w:ascii="仿宋" w:hAnsi="仿宋" w:eastAsia="仿宋" w:cs="仿宋"/>
          <w:b/>
          <w:bCs/>
          <w:color w:val="FF0000"/>
          <w:sz w:val="28"/>
          <w:szCs w:val="28"/>
          <w:lang w:val="en-US" w:eastAsia="zh-CN"/>
        </w:rPr>
      </w:pPr>
      <w:r>
        <w:rPr>
          <w:rFonts w:hint="eastAsia" w:ascii="仿宋" w:hAnsi="仿宋" w:eastAsia="仿宋" w:cs="仿宋"/>
          <w:b/>
          <w:bCs/>
          <w:sz w:val="28"/>
          <w:szCs w:val="28"/>
          <w:lang w:val="en-US" w:eastAsia="zh-CN"/>
        </w:rPr>
        <w:t>5.9米级纯电动城市公共客车评分标准</w:t>
      </w:r>
      <w:r>
        <w:rPr>
          <w:rFonts w:hint="eastAsia" w:ascii="仿宋" w:hAnsi="仿宋" w:eastAsia="仿宋" w:cs="仿宋"/>
          <w:b/>
          <w:bCs/>
          <w:color w:val="000000" w:themeColor="text1"/>
          <w:sz w:val="28"/>
          <w:szCs w:val="28"/>
          <w:lang w:val="en-US" w:eastAsia="zh-CN"/>
          <w14:textFill>
            <w14:solidFill>
              <w14:schemeClr w14:val="tx1"/>
            </w14:solidFill>
          </w14:textFill>
        </w:rPr>
        <w:t>（带电量≥90kwh）</w:t>
      </w:r>
    </w:p>
    <w:tbl>
      <w:tblPr>
        <w:tblStyle w:val="16"/>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115"/>
        <w:gridCol w:w="490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1229" w:type="dxa"/>
            <w:noWrap/>
            <w:vAlign w:val="center"/>
          </w:tcPr>
          <w:p>
            <w:pPr>
              <w:widowControl/>
              <w:jc w:val="center"/>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打分项目</w:t>
            </w:r>
          </w:p>
        </w:tc>
        <w:tc>
          <w:tcPr>
            <w:tcW w:w="6020" w:type="dxa"/>
            <w:gridSpan w:val="2"/>
            <w:noWrap/>
            <w:vAlign w:val="center"/>
          </w:tcPr>
          <w:p>
            <w:pPr>
              <w:widowControl/>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评分细则</w:t>
            </w:r>
          </w:p>
        </w:tc>
        <w:tc>
          <w:tcPr>
            <w:tcW w:w="1522" w:type="dxa"/>
            <w:noWrap/>
            <w:vAlign w:val="center"/>
          </w:tcPr>
          <w:p>
            <w:pPr>
              <w:widowControl/>
              <w:jc w:val="center"/>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229" w:type="dxa"/>
            <w:vMerge w:val="restart"/>
            <w:noWrap/>
            <w:vAlign w:val="center"/>
          </w:tcPr>
          <w:p>
            <w:pPr>
              <w:widowControl/>
              <w:ind w:left="240" w:hanging="240" w:hangingChars="1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技术性能</w:t>
            </w:r>
            <w:r>
              <w:rPr>
                <w:rFonts w:hint="eastAsia" w:ascii="仿宋_GB2312" w:hAnsi="仿宋_GB2312" w:eastAsia="仿宋_GB2312" w:cs="仿宋_GB2312"/>
                <w:color w:val="auto"/>
                <w:sz w:val="24"/>
                <w:szCs w:val="24"/>
                <w:lang w:val="en-US" w:eastAsia="zh-CN"/>
              </w:rPr>
              <w:t>40分</w:t>
            </w:r>
          </w:p>
        </w:tc>
        <w:tc>
          <w:tcPr>
            <w:tcW w:w="1115" w:type="dxa"/>
            <w:noWrap/>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各项技术要求的响应程度</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投标文件中所投产品主要技术要求全部符合招标文件采购需求中产品各项技术要求的得20分。每有一项负偏离的扣4分，偏离项达到5项及以上的视为无效标。</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标▲项为实质性响应项，不满足则投标无效。</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restart"/>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主要技术参数评议</w:t>
            </w: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投标产品整车车身采用阴极电泳工艺或铝合金车身得2分；采取机器人喷涂、激光切割工艺的得1分；机器人焊接工艺的得1分；其他不得分。（须提供阴极电泳、机器人、激光切割设备采购合同复印件并加盖投标人公章，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trike w:val="0"/>
                <w:dstrike w:val="0"/>
                <w:sz w:val="24"/>
                <w:szCs w:val="24"/>
                <w:lang w:val="en-US" w:eastAsia="zh-CN"/>
              </w:rPr>
              <w:t>4</w:t>
            </w:r>
            <w:r>
              <w:rPr>
                <w:rFonts w:hint="eastAsia" w:ascii="仿宋_GB2312" w:hAnsi="仿宋_GB2312" w:eastAsia="仿宋_GB2312" w:cs="仿宋_GB2312"/>
                <w:strike w:val="0"/>
                <w:dstrike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sz w:val="24"/>
                <w:szCs w:val="24"/>
                <w:highlight w:val="yellow"/>
              </w:rPr>
            </w:pPr>
            <w:r>
              <w:rPr>
                <w:rFonts w:hint="eastAsia" w:ascii="仿宋_GB2312" w:hAnsi="仿宋_GB2312" w:eastAsia="仿宋_GB2312" w:cs="仿宋_GB2312"/>
                <w:kern w:val="2"/>
                <w:sz w:val="24"/>
                <w:szCs w:val="24"/>
                <w:lang w:val="en-US" w:eastAsia="zh-CN" w:bidi="ar-SA"/>
              </w:rPr>
              <w:t>考虑到车辆质量对车辆续驶里程的影响，要求投标车型</w:t>
            </w:r>
            <w:r>
              <w:rPr>
                <w:rFonts w:hint="eastAsia" w:ascii="仿宋_GB2312" w:hAnsi="仿宋_GB2312" w:eastAsia="仿宋_GB2312" w:cs="仿宋_GB2312"/>
                <w:color w:val="auto"/>
                <w:kern w:val="2"/>
                <w:sz w:val="24"/>
                <w:szCs w:val="24"/>
                <w:lang w:val="en-US" w:eastAsia="zh-CN" w:bidi="ar-SA"/>
              </w:rPr>
              <w:t>采用轻量化技术，尽可能减少车辆自重。根据投标车型公告页的技术参数（以最小总质量进行评选），根据车型轻量化打分，车型总质量</w:t>
            </w:r>
            <w:r>
              <w:rPr>
                <w:rFonts w:hint="eastAsia"/>
                <w:color w:val="auto"/>
                <w:highlight w:val="none"/>
                <w:lang w:eastAsia="zh-CN"/>
              </w:rPr>
              <w:t>不</w:t>
            </w:r>
            <w:r>
              <w:rPr>
                <w:rFonts w:hint="eastAsia" w:ascii="仿宋_GB2312" w:hAnsi="仿宋_GB2312" w:eastAsia="仿宋_GB2312" w:cs="仿宋_GB2312"/>
                <w:color w:val="auto"/>
                <w:kern w:val="2"/>
                <w:sz w:val="24"/>
                <w:szCs w:val="24"/>
                <w:highlight w:val="none"/>
                <w:lang w:val="en-US" w:eastAsia="zh-CN" w:bidi="ar-SA"/>
              </w:rPr>
              <w:t>大于</w:t>
            </w:r>
            <w:r>
              <w:rPr>
                <w:rFonts w:hint="eastAsia" w:ascii="仿宋_GB2312" w:hAnsi="仿宋_GB2312" w:eastAsia="仿宋_GB2312" w:cs="仿宋_GB2312"/>
                <w:color w:val="auto"/>
                <w:sz w:val="24"/>
                <w:szCs w:val="24"/>
                <w:highlight w:val="none"/>
                <w:lang w:val="en-US" w:eastAsia="zh-CN"/>
              </w:rPr>
              <w:t>9</w:t>
            </w:r>
            <w:r>
              <w:rPr>
                <w:rFonts w:hint="eastAsia" w:ascii="仿宋_GB2312" w:hAnsi="仿宋_GB2312" w:eastAsia="仿宋_GB2312" w:cs="仿宋_GB2312"/>
                <w:color w:val="auto"/>
                <w:sz w:val="24"/>
                <w:szCs w:val="24"/>
                <w:lang w:val="en-US" w:eastAsia="zh-CN"/>
              </w:rPr>
              <w:t>300kg的得0.5分，在9300kg的基础上每减少100kg加0.5分，最高得2分。</w:t>
            </w:r>
            <w:r>
              <w:rPr>
                <w:rFonts w:hint="eastAsia" w:ascii="仿宋_GB2312" w:hAnsi="仿宋_GB2312" w:eastAsia="仿宋_GB2312" w:cs="仿宋_GB2312"/>
                <w:color w:val="auto"/>
                <w:kern w:val="2"/>
                <w:sz w:val="24"/>
                <w:szCs w:val="24"/>
                <w:lang w:val="en-US" w:eastAsia="zh-CN" w:bidi="ar-SA"/>
              </w:rPr>
              <w:t xml:space="preserve"> (投标人须提供中华人民共和国工业和信息化部网站上的公告产品主要技术参数</w:t>
            </w:r>
            <w:r>
              <w:rPr>
                <w:rFonts w:hint="eastAsia" w:ascii="仿宋_GB2312" w:hAnsi="仿宋_GB2312" w:eastAsia="仿宋_GB2312" w:cs="仿宋_GB2312"/>
                <w:kern w:val="2"/>
                <w:sz w:val="24"/>
                <w:szCs w:val="24"/>
                <w:lang w:val="en-US" w:eastAsia="zh-CN" w:bidi="ar-SA"/>
              </w:rPr>
              <w:t>复印件，不提供不得分）</w:t>
            </w:r>
          </w:p>
        </w:tc>
        <w:tc>
          <w:tcPr>
            <w:tcW w:w="1522" w:type="dxa"/>
            <w:noWrap/>
            <w:vAlign w:val="center"/>
          </w:tcPr>
          <w:p>
            <w:pPr>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电池密度</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达到</w:t>
            </w:r>
            <w:r>
              <w:rPr>
                <w:rFonts w:hint="eastAsia" w:ascii="仿宋_GB2312" w:hAnsi="仿宋_GB2312" w:eastAsia="仿宋_GB2312" w:cs="仿宋_GB2312"/>
                <w:kern w:val="2"/>
                <w:sz w:val="24"/>
                <w:szCs w:val="24"/>
                <w:lang w:val="en-US" w:eastAsia="zh-CN" w:bidi="ar-SA"/>
              </w:rPr>
              <w:t>150wh/kg的得1分,</w:t>
            </w:r>
            <w:r>
              <w:rPr>
                <w:rFonts w:hint="eastAsia" w:ascii="仿宋_GB2312" w:hAnsi="仿宋_GB2312" w:eastAsia="仿宋_GB2312" w:cs="仿宋_GB2312"/>
                <w:color w:val="auto"/>
                <w:sz w:val="24"/>
                <w:szCs w:val="24"/>
                <w:lang w:val="en-US" w:eastAsia="zh-CN"/>
              </w:rPr>
              <w:t>在此基础上</w:t>
            </w:r>
            <w:r>
              <w:rPr>
                <w:rFonts w:hint="eastAsia" w:ascii="仿宋_GB2312" w:hAnsi="仿宋_GB2312" w:eastAsia="仿宋_GB2312" w:cs="仿宋_GB2312"/>
                <w:kern w:val="2"/>
                <w:sz w:val="24"/>
                <w:szCs w:val="24"/>
                <w:lang w:val="en-US" w:eastAsia="zh-CN" w:bidi="ar-SA"/>
              </w:rPr>
              <w:t>每增加1wh/kg得0.2分，满分2分。EKG≤0.15Wh/km·kg的得2分。（投标人须提供中华人民共和国工业和信息化部《新能源汽车推广应用推荐车型目录》复印件，不提供不得分。）</w:t>
            </w:r>
          </w:p>
        </w:tc>
        <w:tc>
          <w:tcPr>
            <w:tcW w:w="1522"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电池总容量达到90kwh的得1.5分，在此基础上每增加10kwh得0.7分，满分5分。电池容量达不到90kwh的不得分。</w:t>
            </w:r>
          </w:p>
        </w:tc>
        <w:tc>
          <w:tcPr>
            <w:tcW w:w="1522"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整车控制器、电池箱体、电机防护等级均达到IP67及以上的得2分，任何一项未达到要求的不得分。（投标人须提供国家或第三方检测报告原件，不提供的不得分）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样车</w:t>
            </w: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1.投标人提供的评审样车公告与投标响应车型公告一致的得1分，不一致的不得分。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2.专家根据投标人所投车型，外观时尚前卫、美观大方，适应现代城市，内饰安全舒适，人性化设计布局等方面进行综合打分（0-2分）。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9" w:type="dxa"/>
            <w:vMerge w:val="restart"/>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售后服务</w:t>
            </w:r>
            <w:r>
              <w:rPr>
                <w:rFonts w:hint="eastAsia" w:ascii="仿宋_GB2312" w:hAnsi="仿宋_GB2312" w:eastAsia="仿宋_GB2312" w:cs="仿宋_GB2312"/>
                <w:sz w:val="24"/>
                <w:szCs w:val="24"/>
                <w:lang w:eastAsia="zh-CN"/>
              </w:rPr>
              <w:t>承诺</w:t>
            </w:r>
          </w:p>
          <w:p>
            <w:pPr>
              <w:widowControl/>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19分</w:t>
            </w:r>
          </w:p>
        </w:tc>
        <w:tc>
          <w:tcPr>
            <w:tcW w:w="1115" w:type="dxa"/>
            <w:noWrap/>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售后服务站</w:t>
            </w: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投标人承诺在中标后一个月内，</w:t>
            </w:r>
            <w:r>
              <w:rPr>
                <w:rFonts w:hint="eastAsia" w:ascii="仿宋_GB2312" w:hAnsi="仿宋_GB2312" w:eastAsia="仿宋_GB2312" w:cs="仿宋_GB2312"/>
                <w:strike w:val="0"/>
                <w:dstrike w:val="0"/>
                <w:color w:val="auto"/>
                <w:kern w:val="2"/>
                <w:sz w:val="24"/>
                <w:szCs w:val="24"/>
                <w:u w:val="none"/>
                <w:lang w:val="en-US" w:eastAsia="zh-CN" w:bidi="ar-SA"/>
              </w:rPr>
              <w:t>在采购方修理厂</w:t>
            </w:r>
            <w:r>
              <w:rPr>
                <w:rFonts w:hint="eastAsia" w:ascii="仿宋_GB2312" w:hAnsi="仿宋_GB2312" w:eastAsia="仿宋_GB2312" w:cs="仿宋_GB2312"/>
                <w:color w:val="auto"/>
                <w:kern w:val="2"/>
                <w:sz w:val="24"/>
                <w:szCs w:val="24"/>
                <w:lang w:val="en-US" w:eastAsia="zh-CN" w:bidi="ar-SA"/>
              </w:rPr>
              <w:t>设立厂方驻点维修或特约维修服务站的，得1分；其他不得分。（投标人须提供承诺书原件，不提供的不得分）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restart"/>
            <w:noWrap/>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质保服务</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highlight w:val="none"/>
                <w:lang w:val="en-US" w:eastAsia="zh-CN" w:bidi="ar-SA"/>
              </w:rPr>
              <w:t>整车质保包括骨架、大梁、蒙皮，增加转向系统、传动系统、制动系统、前桥、后桥等包含易损件的质保承诺的，每增加一项得2分，满分10分，不承诺的不得分。</w:t>
            </w:r>
            <w:r>
              <w:rPr>
                <w:rFonts w:hint="eastAsia" w:ascii="仿宋_GB2312" w:hAnsi="仿宋_GB2312" w:eastAsia="仿宋_GB2312" w:cs="仿宋_GB2312"/>
                <w:color w:val="auto"/>
                <w:kern w:val="2"/>
                <w:sz w:val="24"/>
                <w:szCs w:val="24"/>
                <w:lang w:val="en-US" w:eastAsia="zh-CN" w:bidi="ar-SA"/>
              </w:rPr>
              <w:t>（投标人须在投标文件中做出承诺，承诺书格式自拟，不提供的不得分）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color w:val="auto"/>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要求整车质保期4年，在此基础上承诺</w:t>
            </w:r>
            <w:r>
              <w:rPr>
                <w:rFonts w:hint="eastAsia" w:ascii="仿宋_GB2312" w:hAnsi="仿宋_GB2312" w:eastAsia="仿宋_GB2312" w:cs="仿宋_GB2312"/>
                <w:strike w:val="0"/>
                <w:dstrike w:val="0"/>
                <w:color w:val="auto"/>
                <w:kern w:val="2"/>
                <w:sz w:val="24"/>
                <w:szCs w:val="24"/>
                <w:lang w:val="en-US" w:eastAsia="zh-CN" w:bidi="ar-SA"/>
              </w:rPr>
              <w:t>全部质保的增加</w:t>
            </w:r>
            <w:r>
              <w:rPr>
                <w:rFonts w:hint="eastAsia" w:ascii="仿宋_GB2312" w:hAnsi="仿宋_GB2312" w:eastAsia="仿宋_GB2312" w:cs="仿宋_GB2312"/>
                <w:color w:val="auto"/>
                <w:kern w:val="2"/>
                <w:sz w:val="24"/>
                <w:szCs w:val="24"/>
                <w:lang w:val="en-US" w:eastAsia="zh-CN" w:bidi="ar-SA"/>
              </w:rPr>
              <w:t>质保期1年加0.5分，增加质保期2年的加1分，增加质保期3年的加2.5分，增加质保期4年的加4分，每减少一项质保项相应质保期加分少加0.2分，不承诺的不得分，本项最高得4分。（投标人须在投标文件中做出承诺，承诺书格式自拟，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noWrap/>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配件供应</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投标人承诺授予台州市公交巴士有限公司配件经销商资质的得2分；配件价格不高于投标人销售给其在浙江省中心库或最高级别经销代理商价格的得2分。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229" w:type="dxa"/>
            <w:noWrap/>
            <w:vAlign w:val="center"/>
          </w:tcPr>
          <w:p>
            <w:pPr>
              <w:widowControl/>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对采购文件响应程度1分</w:t>
            </w:r>
          </w:p>
        </w:tc>
        <w:tc>
          <w:tcPr>
            <w:tcW w:w="6020" w:type="dxa"/>
            <w:gridSpan w:val="2"/>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投标文件内容完整无缺漏、无重复，文字及图片清晰得 1分；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投标文件内容存在缺漏、重复，文字及图片不清晰，以上情况存在≤5处得 0.5分；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投标文件内容存在缺漏、重复、文字及图片不清晰，以上情况存在＞5处不得分。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229" w:type="dxa"/>
            <w:noWrap/>
            <w:vAlign w:val="center"/>
          </w:tcPr>
          <w:p>
            <w:pPr>
              <w:widowControl/>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价格40分</w:t>
            </w:r>
          </w:p>
        </w:tc>
        <w:tc>
          <w:tcPr>
            <w:tcW w:w="6020" w:type="dxa"/>
            <w:gridSpan w:val="2"/>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kern w:val="2"/>
                <w:sz w:val="24"/>
                <w:szCs w:val="24"/>
                <w:lang w:val="en-US" w:eastAsia="zh-CN" w:bidi="ar-SA"/>
              </w:rPr>
            </w:pPr>
            <w:r>
              <w:rPr>
                <w:rFonts w:hint="eastAsia"/>
              </w:rPr>
              <w:t>取投标合格供应商的投标最终报价最低价为基准价。基准价为</w:t>
            </w:r>
            <w:r>
              <w:rPr>
                <w:rFonts w:hint="eastAsia"/>
                <w:lang w:val="en-US" w:eastAsia="zh-CN"/>
              </w:rPr>
              <w:t>4</w:t>
            </w:r>
            <w:r>
              <w:rPr>
                <w:rFonts w:hint="eastAsia"/>
              </w:rPr>
              <w:t>0分。投标报价得分＝（评标基准价/最终投标报价）×</w:t>
            </w:r>
            <w:r>
              <w:rPr>
                <w:rFonts w:hint="eastAsia"/>
                <w:lang w:val="en-US" w:eastAsia="zh-CN"/>
              </w:rPr>
              <w:t>4</w:t>
            </w:r>
            <w:r>
              <w:rPr>
                <w:rFonts w:hint="eastAsia"/>
              </w:rPr>
              <w:t>0 %×100（小数点后保留2位小数）。（注：对于符合政府采购政策及优惠的企业产品给予6%的扣除，用扣除后的价格参与评审。具体执行依据见本章第二点的第四条“政府采购政策及优惠”内的规定）</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40分</w:t>
            </w:r>
          </w:p>
        </w:tc>
      </w:tr>
    </w:tbl>
    <w:p>
      <w:pPr>
        <w:pStyle w:val="6"/>
        <w:ind w:firstLine="562" w:firstLineChars="200"/>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（二）第二标段评分：</w:t>
      </w:r>
    </w:p>
    <w:p>
      <w:pPr>
        <w:pStyle w:val="6"/>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8米级纯电动城市公共客车评分标准（带电量≥160kwh）</w:t>
      </w:r>
    </w:p>
    <w:tbl>
      <w:tblPr>
        <w:tblStyle w:val="16"/>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115"/>
        <w:gridCol w:w="490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229" w:type="dxa"/>
            <w:vMerge w:val="restart"/>
            <w:noWrap/>
            <w:vAlign w:val="center"/>
          </w:tcPr>
          <w:p>
            <w:pPr>
              <w:widowControl/>
              <w:ind w:left="240" w:hanging="240" w:hangingChars="100"/>
              <w:jc w:val="both"/>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技术性能</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40分</w:t>
            </w:r>
          </w:p>
          <w:p>
            <w:pPr>
              <w:widowControl/>
              <w:jc w:val="both"/>
              <w:rPr>
                <w:rFonts w:hint="default" w:ascii="仿宋_GB2312" w:hAnsi="仿宋_GB2312" w:eastAsia="仿宋_GB2312" w:cs="仿宋_GB2312"/>
                <w:sz w:val="24"/>
                <w:szCs w:val="24"/>
                <w:lang w:val="en-US" w:eastAsia="zh-CN"/>
              </w:rPr>
            </w:pPr>
          </w:p>
        </w:tc>
        <w:tc>
          <w:tcPr>
            <w:tcW w:w="1115" w:type="dxa"/>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各项技术要求的响应程度</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投标文件中所投产品主要技术要求与描述全部符合招标文件采购需求中产品各项技术要求的得20分。每有一项负偏离的扣4分，偏离项达到5项及以上的视为无效标。</w:t>
            </w:r>
          </w:p>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标▲项为实质性响应项，不满足则投标无效。</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restart"/>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主要技术参数评议</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投标产品整车车身采用阴极电泳工艺或铝合金车身得2分；采取机器人喷涂、激光切割工艺的得1分；机器人焊接工艺的得1分；其他不得分。（须提供阴极电泳、机器人、激光切割设备采购合同复印件并加盖投标人公章，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trike w:val="0"/>
                <w:dstrike w:val="0"/>
                <w:sz w:val="24"/>
                <w:szCs w:val="24"/>
                <w:lang w:val="en-US" w:eastAsia="zh-CN"/>
              </w:rPr>
              <w:t>4</w:t>
            </w:r>
            <w:r>
              <w:rPr>
                <w:rFonts w:hint="eastAsia" w:ascii="仿宋_GB2312" w:hAnsi="仿宋_GB2312" w:eastAsia="仿宋_GB2312" w:cs="仿宋_GB2312"/>
                <w:strike w:val="0"/>
                <w:dstrike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考虑到车辆质量对车辆续驶里程的影响，要求投标车型采用轻量化技术，尽可能减少车辆自重。根据投标车型公告页的技术参数（以最小总质量进行评选），根据车型轻量化对比打分，车型总质量</w:t>
            </w:r>
            <w:r>
              <w:rPr>
                <w:rFonts w:hint="eastAsia" w:ascii="仿宋_GB2312" w:hAnsi="仿宋_GB2312" w:eastAsia="仿宋_GB2312" w:cs="仿宋_GB2312"/>
                <w:color w:val="auto"/>
                <w:kern w:val="2"/>
                <w:sz w:val="24"/>
                <w:szCs w:val="24"/>
                <w:highlight w:val="none"/>
                <w:lang w:val="en-US" w:eastAsia="zh-CN" w:bidi="ar-SA"/>
              </w:rPr>
              <w:t>不大于</w:t>
            </w:r>
            <w:r>
              <w:rPr>
                <w:rFonts w:hint="eastAsia" w:ascii="仿宋_GB2312" w:hAnsi="仿宋_GB2312" w:eastAsia="仿宋_GB2312" w:cs="仿宋_GB2312"/>
                <w:color w:val="auto"/>
                <w:sz w:val="24"/>
                <w:szCs w:val="24"/>
                <w:highlight w:val="none"/>
                <w:lang w:val="en-US" w:eastAsia="zh-CN"/>
              </w:rPr>
              <w:t>14300kg的得0.5分，在14300kg的基础</w:t>
            </w:r>
            <w:r>
              <w:rPr>
                <w:rFonts w:hint="eastAsia" w:ascii="仿宋_GB2312" w:hAnsi="仿宋_GB2312" w:eastAsia="仿宋_GB2312" w:cs="仿宋_GB2312"/>
                <w:color w:val="auto"/>
                <w:sz w:val="24"/>
                <w:szCs w:val="24"/>
                <w:lang w:val="en-US" w:eastAsia="zh-CN"/>
              </w:rPr>
              <w:t>上每减少100kg加0.5分，最高得2分。</w:t>
            </w:r>
            <w:r>
              <w:rPr>
                <w:rFonts w:hint="eastAsia" w:ascii="仿宋_GB2312" w:hAnsi="仿宋_GB2312" w:eastAsia="仿宋_GB2312" w:cs="仿宋_GB2312"/>
                <w:color w:val="auto"/>
                <w:kern w:val="2"/>
                <w:sz w:val="24"/>
                <w:szCs w:val="24"/>
                <w:lang w:val="en-US" w:eastAsia="zh-CN" w:bidi="ar-SA"/>
              </w:rPr>
              <w:t xml:space="preserve"> ((投标人须提供中华人民共和国工业和信息化部网站上的公告产品主要技术参数复印件，不提供不得分）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trike w:val="0"/>
                <w:dstrike w:val="0"/>
                <w:sz w:val="24"/>
                <w:szCs w:val="24"/>
                <w:lang w:val="en-US" w:eastAsia="zh-CN"/>
              </w:rPr>
              <w:t>2</w:t>
            </w:r>
            <w:r>
              <w:rPr>
                <w:rFonts w:hint="eastAsia" w:ascii="仿宋_GB2312" w:hAnsi="仿宋_GB2312" w:eastAsia="仿宋_GB2312" w:cs="仿宋_GB2312"/>
                <w:strike w:val="0"/>
                <w:dstrike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电池密度达到150wh/kg的得1分,在此基础上每增加1wh/kg得0.2分，满分2分。EKG≤0.15Wh/km·kg的得2分。（投标人须提供中华人民共和国工业和信息化部《新能源汽车推广应用推荐车型目录》复印件，不提供不得分。）</w:t>
            </w:r>
          </w:p>
        </w:tc>
        <w:tc>
          <w:tcPr>
            <w:tcW w:w="1522"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电池总容量达到160kwh的得1.5分，在此基础上每增加10kwh得0.7分，满分5分。电池总达不到160kwh的不得分。</w:t>
            </w:r>
          </w:p>
        </w:tc>
        <w:tc>
          <w:tcPr>
            <w:tcW w:w="1522"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trike w:val="0"/>
                <w:color w:val="000000" w:themeColor="text1"/>
                <w:sz w:val="24"/>
                <w:szCs w:val="24"/>
                <w:highlight w:val="no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整车控制器、电池箱体、电机防护等级均达到IP67及以上的得2分，任何一项未达到要求的不得分。（投标人须提供国家或第三方检测报告原件，不提供的不得分）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样车</w:t>
            </w: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1.投标人提供的评审样车公告与投标响应车型公告一致的得1分，不一致的不得分。</w:t>
            </w:r>
          </w:p>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2.专家根据投标人所投车型，外观时尚前卫、美观大方，适应现代城市，内饰安全舒适，人性化设计布局等方面进行综合打分（0-2分）。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9" w:type="dxa"/>
            <w:vMerge w:val="restart"/>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售后服务</w:t>
            </w:r>
            <w:r>
              <w:rPr>
                <w:rFonts w:hint="eastAsia" w:ascii="仿宋_GB2312" w:hAnsi="仿宋_GB2312" w:eastAsia="仿宋_GB2312" w:cs="仿宋_GB2312"/>
                <w:sz w:val="24"/>
                <w:szCs w:val="24"/>
                <w:lang w:eastAsia="zh-CN"/>
              </w:rPr>
              <w:t>承诺</w:t>
            </w:r>
          </w:p>
          <w:p>
            <w:pPr>
              <w:widowControl/>
              <w:jc w:val="cente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19分</w:t>
            </w:r>
          </w:p>
          <w:p>
            <w:pPr>
              <w:widowControl/>
              <w:jc w:val="center"/>
              <w:rPr>
                <w:rFonts w:hint="default" w:ascii="仿宋_GB2312" w:hAnsi="仿宋_GB2312" w:eastAsia="仿宋_GB2312" w:cs="仿宋_GB2312"/>
                <w:sz w:val="24"/>
                <w:szCs w:val="24"/>
                <w:lang w:val="en-US" w:eastAsia="zh-CN"/>
              </w:rPr>
            </w:pPr>
          </w:p>
        </w:tc>
        <w:tc>
          <w:tcPr>
            <w:tcW w:w="1115" w:type="dxa"/>
            <w:noWrap/>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售后服务站</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投标人承诺在中标后一个月内，</w:t>
            </w:r>
            <w:r>
              <w:rPr>
                <w:rFonts w:hint="eastAsia" w:ascii="仿宋_GB2312" w:hAnsi="仿宋_GB2312" w:eastAsia="仿宋_GB2312" w:cs="仿宋_GB2312"/>
                <w:strike w:val="0"/>
                <w:dstrike w:val="0"/>
                <w:color w:val="auto"/>
                <w:kern w:val="2"/>
                <w:sz w:val="24"/>
                <w:szCs w:val="24"/>
                <w:u w:val="none"/>
                <w:lang w:val="en-US" w:eastAsia="zh-CN" w:bidi="ar-SA"/>
              </w:rPr>
              <w:t>在采购方修理厂</w:t>
            </w:r>
            <w:r>
              <w:rPr>
                <w:rFonts w:hint="eastAsia" w:ascii="仿宋_GB2312" w:hAnsi="仿宋_GB2312" w:eastAsia="仿宋_GB2312" w:cs="仿宋_GB2312"/>
                <w:color w:val="auto"/>
                <w:kern w:val="2"/>
                <w:sz w:val="24"/>
                <w:szCs w:val="24"/>
                <w:lang w:val="en-US" w:eastAsia="zh-CN" w:bidi="ar-SA"/>
              </w:rPr>
              <w:t>设立厂方驻点维修或特约维修服务站的，得1分；其他不得分。（投标人须提供承诺书原件，不提供的不得分）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restart"/>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质保服务</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整车质保包括骨架、大梁、蒙皮，增加转向系统、传动系统、制动系统、前桥、后桥等含易损件的质保承诺的，每增加一项得2分，满分10分，不承诺的不得分。（投标人须在投标文件中做出承诺，承诺书格式自拟，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要求整车质保期4年，在此基础上承诺全部质保的增加质保期1年加0.5分，增加质保期2年的加1分，增加质保期3年的加2.5分，增加质保期4年的加4分，每减少一项质保项相应质保期加分少加0.2分，（投标人须在投标文件中做出承诺，承诺书格式自拟，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noWrap/>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配件供应</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厂家承诺授予台州市公交巴士有限公司配件经销商资质的得2分；配件价格不高于投标人销售给其在浙江省中心库或最高级别经销代理商价格的得2分。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229" w:type="dxa"/>
            <w:noWrap/>
            <w:vAlign w:val="center"/>
          </w:tcPr>
          <w:p>
            <w:pPr>
              <w:widowControl/>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对采购文件响应程度1分</w:t>
            </w:r>
          </w:p>
        </w:tc>
        <w:tc>
          <w:tcPr>
            <w:tcW w:w="6020" w:type="dxa"/>
            <w:gridSpan w:val="2"/>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投标文件内容完整无缺漏、无重复，文字及图片清晰得 1分；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投标文件内容存在缺漏、重复，文字及图片不清晰，以上情况存在≤5处得 0.5分；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投标文件内容存在缺漏、重复、文字及图片不清晰，以上情况存在＞5处不得分。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229" w:type="dxa"/>
            <w:noWrap/>
            <w:vAlign w:val="center"/>
          </w:tcPr>
          <w:p>
            <w:pPr>
              <w:widowControl/>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价格40分</w:t>
            </w:r>
          </w:p>
        </w:tc>
        <w:tc>
          <w:tcPr>
            <w:tcW w:w="6020" w:type="dxa"/>
            <w:gridSpan w:val="2"/>
            <w:noWrap/>
            <w:vAlign w:val="center"/>
          </w:tcPr>
          <w:p>
            <w:pPr>
              <w:pStyle w:val="21"/>
              <w:numPr>
                <w:ilvl w:val="0"/>
                <w:numId w:val="0"/>
              </w:numPr>
              <w:tabs>
                <w:tab w:val="left" w:pos="1080"/>
              </w:tabs>
              <w:spacing w:line="360" w:lineRule="exact"/>
              <w:ind w:left="0" w:leftChars="0" w:firstLine="0" w:firstLineChars="0"/>
              <w:jc w:val="left"/>
              <w:rPr>
                <w:rFonts w:hint="default" w:ascii="仿宋_GB2312" w:hAnsi="仿宋_GB2312" w:eastAsia="仿宋_GB2312" w:cs="仿宋_GB2312"/>
                <w:color w:val="auto"/>
                <w:kern w:val="2"/>
                <w:sz w:val="24"/>
                <w:szCs w:val="24"/>
                <w:lang w:val="en-US" w:eastAsia="zh-CN" w:bidi="ar-SA"/>
              </w:rPr>
            </w:pPr>
            <w:r>
              <w:rPr>
                <w:rFonts w:hint="eastAsia"/>
                <w:color w:val="auto"/>
              </w:rPr>
              <w:t>取投标合格供应商的投标最终报价最低价为基准价。基准价为</w:t>
            </w:r>
            <w:r>
              <w:rPr>
                <w:rFonts w:hint="eastAsia"/>
                <w:color w:val="auto"/>
                <w:lang w:val="en-US" w:eastAsia="zh-CN"/>
              </w:rPr>
              <w:t>4</w:t>
            </w:r>
            <w:r>
              <w:rPr>
                <w:rFonts w:hint="eastAsia"/>
                <w:color w:val="auto"/>
              </w:rPr>
              <w:t>0分。投标报价得分＝（评标基准价/最终投标报价）×</w:t>
            </w:r>
            <w:r>
              <w:rPr>
                <w:rFonts w:hint="eastAsia"/>
                <w:color w:val="auto"/>
                <w:lang w:val="en-US" w:eastAsia="zh-CN"/>
              </w:rPr>
              <w:t>4</w:t>
            </w:r>
            <w:r>
              <w:rPr>
                <w:rFonts w:hint="eastAsia"/>
                <w:color w:val="auto"/>
              </w:rPr>
              <w:t>0 %×100（小数点后保留2位小数）。（注：对于符合政府采购政策及优惠的企业产品给予6%的扣除，用扣除后的价格参与评审。具体执行依据见本章第二点的第四条“政府采购政策及优惠”内的规定）</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40分</w:t>
            </w:r>
          </w:p>
        </w:tc>
      </w:tr>
    </w:tbl>
    <w:p>
      <w:pPr>
        <w:pStyle w:val="6"/>
        <w:ind w:firstLine="560" w:firstLineChars="200"/>
        <w:rPr>
          <w:rFonts w:hint="default" w:ascii="仿宋" w:hAnsi="仿宋" w:eastAsia="仿宋" w:cs="仿宋"/>
          <w:b w:val="0"/>
          <w:color w:val="auto"/>
          <w:kern w:val="2"/>
          <w:sz w:val="28"/>
          <w:szCs w:val="28"/>
          <w:lang w:val="en-US" w:eastAsia="zh-CN" w:bidi="ar-SA"/>
        </w:rPr>
      </w:pPr>
    </w:p>
    <w:p>
      <w:pPr>
        <w:pStyle w:val="6"/>
        <w:ind w:firstLine="562" w:firstLineChars="200"/>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（三）第三标段评分：</w:t>
      </w:r>
    </w:p>
    <w:p>
      <w:pPr>
        <w:pStyle w:val="6"/>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8.5米级纯电动城市公共客车评分标准（带电量≥180kwh）</w:t>
      </w:r>
    </w:p>
    <w:tbl>
      <w:tblPr>
        <w:tblStyle w:val="16"/>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115"/>
        <w:gridCol w:w="490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229" w:type="dxa"/>
            <w:vMerge w:val="restart"/>
            <w:noWrap/>
            <w:vAlign w:val="center"/>
          </w:tcPr>
          <w:p>
            <w:pPr>
              <w:widowControl/>
              <w:ind w:left="240" w:hanging="240" w:hangingChars="100"/>
              <w:jc w:val="both"/>
              <w:rPr>
                <w:rFonts w:hint="default"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sz w:val="24"/>
                <w:szCs w:val="24"/>
                <w:lang w:val="en-US" w:eastAsia="zh-CN"/>
              </w:rPr>
              <w:t>技术性能</w:t>
            </w:r>
            <w:r>
              <w:rPr>
                <w:rFonts w:hint="eastAsia" w:ascii="仿宋_GB2312" w:hAnsi="仿宋_GB2312" w:eastAsia="仿宋_GB2312" w:cs="仿宋_GB2312"/>
                <w:color w:val="auto"/>
                <w:sz w:val="24"/>
                <w:szCs w:val="24"/>
                <w:lang w:val="en-US" w:eastAsia="zh-CN"/>
              </w:rPr>
              <w:t>40分</w:t>
            </w:r>
          </w:p>
          <w:p>
            <w:pPr>
              <w:widowControl/>
              <w:jc w:val="both"/>
              <w:rPr>
                <w:rFonts w:hint="default" w:ascii="仿宋_GB2312" w:hAnsi="仿宋_GB2312" w:eastAsia="仿宋_GB2312" w:cs="仿宋_GB2312"/>
                <w:sz w:val="24"/>
                <w:szCs w:val="24"/>
                <w:lang w:val="en-US" w:eastAsia="zh-CN"/>
              </w:rPr>
            </w:pPr>
          </w:p>
        </w:tc>
        <w:tc>
          <w:tcPr>
            <w:tcW w:w="1115" w:type="dxa"/>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各项技术要求的响应程度</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投标文件中所投产品主要技术要求与描述全部符合招标文件采购需求中产品各项技术要求的得20分。每有一项负偏离的扣4分，偏离项达到5项及以上的视为无效标。</w:t>
            </w:r>
          </w:p>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标▲项为实质性响应项，不满足则投标无效。</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20</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restart"/>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主要技术参数评议</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投标产品整车车身采用阴极电泳工艺或铝合金车身得2分；采取机器人喷涂、激光切割工艺的得1分；机器人焊接工艺的得1分；其他不得分。（须提供阴极电泳、机器人、激光切割设备采购合同复印件并加盖投标人公章，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trike w:val="0"/>
                <w:dstrike w:val="0"/>
                <w:sz w:val="24"/>
                <w:szCs w:val="24"/>
                <w:lang w:val="en-US" w:eastAsia="zh-CN"/>
              </w:rPr>
              <w:t>4</w:t>
            </w:r>
            <w:r>
              <w:rPr>
                <w:rFonts w:hint="eastAsia" w:ascii="仿宋_GB2312" w:hAnsi="仿宋_GB2312" w:eastAsia="仿宋_GB2312" w:cs="仿宋_GB2312"/>
                <w:strike w:val="0"/>
                <w:dstrike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kern w:val="2"/>
                <w:sz w:val="24"/>
                <w:szCs w:val="24"/>
                <w:highlight w:val="none"/>
                <w:lang w:val="en-US" w:eastAsia="zh-CN" w:bidi="ar-SA"/>
              </w:rPr>
            </w:pPr>
            <w:r>
              <w:rPr>
                <w:rFonts w:hint="eastAsia" w:ascii="仿宋_GB2312" w:hAnsi="仿宋_GB2312" w:eastAsia="仿宋_GB2312" w:cs="仿宋_GB2312"/>
                <w:color w:val="auto"/>
                <w:kern w:val="2"/>
                <w:sz w:val="24"/>
                <w:szCs w:val="24"/>
                <w:highlight w:val="none"/>
                <w:lang w:val="en-US" w:eastAsia="zh-CN" w:bidi="ar-SA"/>
              </w:rPr>
              <w:t>考虑到车辆质量对车辆续驶里程的影响，要求投标车型采用轻量化技术，尽可能减少车辆自重。根据投标车型公告页的技术参数（以最小总质量进行评选），根据车型轻量化对比打分，车型总质量不大于</w:t>
            </w:r>
            <w:r>
              <w:rPr>
                <w:rFonts w:hint="eastAsia" w:ascii="仿宋_GB2312" w:hAnsi="仿宋_GB2312" w:eastAsia="仿宋_GB2312" w:cs="仿宋_GB2312"/>
                <w:color w:val="auto"/>
                <w:sz w:val="24"/>
                <w:szCs w:val="24"/>
                <w:highlight w:val="none"/>
                <w:lang w:val="en-US" w:eastAsia="zh-CN"/>
              </w:rPr>
              <w:t>14300kg的得0.5分，在14300kg的基础上每减少100kg加0.5分，最高得2分。</w:t>
            </w:r>
            <w:r>
              <w:rPr>
                <w:rFonts w:hint="eastAsia" w:ascii="仿宋_GB2312" w:hAnsi="仿宋_GB2312" w:eastAsia="仿宋_GB2312" w:cs="仿宋_GB2312"/>
                <w:color w:val="auto"/>
                <w:kern w:val="2"/>
                <w:sz w:val="24"/>
                <w:szCs w:val="24"/>
                <w:highlight w:val="none"/>
                <w:lang w:val="en-US" w:eastAsia="zh-CN" w:bidi="ar-SA"/>
              </w:rPr>
              <w:t xml:space="preserve"> ((投标人须提供中华人民共和国工业和信息化部网站上的公告产品主要技术参数复印件，不提供不得分。）</w:t>
            </w:r>
          </w:p>
        </w:tc>
        <w:tc>
          <w:tcPr>
            <w:tcW w:w="1522" w:type="dxa"/>
            <w:noWrap/>
            <w:vAlign w:val="center"/>
          </w:tcPr>
          <w:p>
            <w:pPr>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电池密度达到150wh/kg的得1分,在此基础上每增加1wh/kg得0.2分，满分2分。EKG≤0.15Wh/km·kg的得2分。（投标人须提供中华人民共和国工业和信息化部《新能源汽车推广应用推荐车型目录》复印件，不提供不得分。）</w:t>
            </w:r>
          </w:p>
        </w:tc>
        <w:tc>
          <w:tcPr>
            <w:tcW w:w="1522" w:type="dxa"/>
            <w:noWrap/>
            <w:vAlign w:val="center"/>
          </w:tcPr>
          <w:p>
            <w:pPr>
              <w:widowControl/>
              <w:jc w:val="center"/>
              <w:rPr>
                <w:rFonts w:hint="eastAsia" w:ascii="仿宋_GB2312" w:hAnsi="仿宋_GB2312" w:eastAsia="仿宋_GB2312" w:cs="仿宋_GB2312"/>
                <w:strike/>
                <w:dstrike w:val="0"/>
                <w:sz w:val="24"/>
                <w:szCs w:val="24"/>
                <w:lang w:val="en-US" w:eastAsia="zh-CN"/>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电池总容量达到180kwh的得1.5分，在此基础上每增加11kwh得0.7分，满分5分。电池总容量达不到180kwh的不得分。</w:t>
            </w:r>
          </w:p>
        </w:tc>
        <w:tc>
          <w:tcPr>
            <w:tcW w:w="1522"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trike w:val="0"/>
                <w:dstrike w:val="0"/>
                <w:sz w:val="24"/>
                <w:szCs w:val="24"/>
                <w:lang w:val="en-US" w:eastAsia="zh-CN"/>
              </w:rPr>
              <w:t>5</w:t>
            </w:r>
            <w:r>
              <w:rPr>
                <w:rFonts w:hint="eastAsia" w:ascii="仿宋_GB2312" w:hAnsi="仿宋_GB2312" w:eastAsia="仿宋_GB2312" w:cs="仿宋_GB2312"/>
                <w:sz w:val="24"/>
                <w:szCs w:val="24"/>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整车控制器、电池箱体、电机防护等级均达到IP67及以上的得2分，任何一项未达到要求的不得分。（投标人须提供国家或第三方检测报告原件，不提供的不得分）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样车</w:t>
            </w: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1.投标人提供的评审样车公告与投标响应车型公告一致的得1分，不一致的不得分。</w:t>
            </w:r>
          </w:p>
          <w:p>
            <w:pPr>
              <w:pStyle w:val="21"/>
              <w:numPr>
                <w:ilvl w:val="0"/>
                <w:numId w:val="0"/>
              </w:numPr>
              <w:tabs>
                <w:tab w:val="left" w:pos="1080"/>
              </w:tabs>
              <w:spacing w:line="360" w:lineRule="exact"/>
              <w:ind w:left="0" w:leftChars="0" w:firstLine="0" w:firstLine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2.专家根据投标人所投车型，外观时尚前卫、美观大方，适应现代城市，内饰安全舒适，人性化设计布局等方面进行综合打分（0-2分）。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9" w:type="dxa"/>
            <w:vMerge w:val="restart"/>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售后服务</w:t>
            </w:r>
            <w:r>
              <w:rPr>
                <w:rFonts w:hint="eastAsia" w:ascii="仿宋_GB2312" w:hAnsi="仿宋_GB2312" w:eastAsia="仿宋_GB2312" w:cs="仿宋_GB2312"/>
                <w:sz w:val="24"/>
                <w:szCs w:val="24"/>
                <w:lang w:eastAsia="zh-CN"/>
              </w:rPr>
              <w:t>承诺</w:t>
            </w:r>
          </w:p>
          <w:p>
            <w:pPr>
              <w:widowControl/>
              <w:jc w:val="center"/>
              <w:rPr>
                <w:rFonts w:hint="default" w:ascii="仿宋_GB2312" w:hAnsi="仿宋_GB2312" w:eastAsia="仿宋_GB2312" w:cs="仿宋_GB2312"/>
                <w:color w:val="000000" w:themeColor="text1"/>
                <w:kern w:val="2"/>
                <w:sz w:val="24"/>
                <w:szCs w:val="24"/>
                <w:lang w:val="en-US" w:eastAsia="zh-CN" w:bidi="ar-SA"/>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19分</w:t>
            </w:r>
          </w:p>
          <w:p>
            <w:pPr>
              <w:widowControl/>
              <w:jc w:val="center"/>
              <w:rPr>
                <w:rFonts w:hint="default" w:ascii="仿宋_GB2312" w:hAnsi="仿宋_GB2312" w:eastAsia="仿宋_GB2312" w:cs="仿宋_GB2312"/>
                <w:sz w:val="24"/>
                <w:szCs w:val="24"/>
                <w:lang w:val="en-US" w:eastAsia="zh-CN"/>
              </w:rPr>
            </w:pPr>
          </w:p>
        </w:tc>
        <w:tc>
          <w:tcPr>
            <w:tcW w:w="1115" w:type="dxa"/>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售后服务站</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投标人承诺在中标后一个月内，</w:t>
            </w:r>
            <w:r>
              <w:rPr>
                <w:rFonts w:hint="eastAsia" w:ascii="仿宋_GB2312" w:hAnsi="仿宋_GB2312" w:eastAsia="仿宋_GB2312" w:cs="仿宋_GB2312"/>
                <w:strike w:val="0"/>
                <w:dstrike w:val="0"/>
                <w:color w:val="auto"/>
                <w:kern w:val="2"/>
                <w:sz w:val="24"/>
                <w:szCs w:val="24"/>
                <w:u w:val="none"/>
                <w:lang w:val="en-US" w:eastAsia="zh-CN" w:bidi="ar-SA"/>
              </w:rPr>
              <w:t>在采购方修理厂</w:t>
            </w:r>
            <w:r>
              <w:rPr>
                <w:rFonts w:hint="eastAsia" w:ascii="仿宋_GB2312" w:hAnsi="仿宋_GB2312" w:eastAsia="仿宋_GB2312" w:cs="仿宋_GB2312"/>
                <w:color w:val="auto"/>
                <w:kern w:val="2"/>
                <w:sz w:val="24"/>
                <w:szCs w:val="24"/>
                <w:lang w:val="en-US" w:eastAsia="zh-CN" w:bidi="ar-SA"/>
              </w:rPr>
              <w:t>设立厂方驻点维修或特约维修服务站的，得1分；其他不得分。（投</w:t>
            </w:r>
            <w:r>
              <w:rPr>
                <w:rFonts w:hint="eastAsia" w:ascii="仿宋_GB2312" w:hAnsi="仿宋_GB2312" w:eastAsia="仿宋_GB2312" w:cs="仿宋_GB2312"/>
                <w:kern w:val="2"/>
                <w:sz w:val="24"/>
                <w:szCs w:val="24"/>
                <w:lang w:val="en-US" w:eastAsia="zh-CN" w:bidi="ar-SA"/>
              </w:rPr>
              <w:t>标人须提供承诺书原件，不提供的不得分）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restart"/>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质保服务</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整车质保包括骨架、大梁、蒙皮，增加转向系统、传动系统、制动系统、前桥、后桥等含易损件的质保承诺的，每增加一项得2分，满分10分，不承诺的不得分。（投标人须在投标文件中做出承诺，承诺书格式自拟，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bidi="ar-SA"/>
              </w:rPr>
              <w:t>要求整车质保期4年，在此基础上承诺全部质保的增加质保期1年加0.5分，增加质保期2年的加1分，增加质保期3年的加2.5分，增加质保期4年的加4分，每减少一项质保项相应质保期加分少加0.2分，（投标人须在投标文件中做出承诺，承诺书格式自拟，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配件供应</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eastAsia="zh-CN"/>
              </w:rPr>
              <w:t>厂家承诺授予台州</w:t>
            </w:r>
            <w:r>
              <w:rPr>
                <w:rFonts w:hint="eastAsia" w:ascii="仿宋_GB2312" w:hAnsi="仿宋_GB2312" w:eastAsia="仿宋_GB2312" w:cs="仿宋_GB2312"/>
                <w:sz w:val="24"/>
                <w:szCs w:val="24"/>
              </w:rPr>
              <w:t>市</w:t>
            </w:r>
            <w:r>
              <w:rPr>
                <w:rFonts w:hint="eastAsia" w:ascii="仿宋_GB2312" w:hAnsi="仿宋_GB2312" w:eastAsia="仿宋_GB2312" w:cs="仿宋_GB2312"/>
                <w:sz w:val="24"/>
                <w:szCs w:val="24"/>
                <w:lang w:eastAsia="zh-CN"/>
              </w:rPr>
              <w:t>公交巴士</w:t>
            </w:r>
            <w:r>
              <w:rPr>
                <w:rFonts w:hint="eastAsia" w:ascii="仿宋_GB2312" w:hAnsi="仿宋_GB2312" w:eastAsia="仿宋_GB2312" w:cs="仿宋_GB2312"/>
                <w:sz w:val="24"/>
                <w:szCs w:val="24"/>
              </w:rPr>
              <w:t>有限公司</w:t>
            </w:r>
            <w:r>
              <w:rPr>
                <w:rFonts w:hint="eastAsia" w:ascii="仿宋_GB2312" w:hAnsi="仿宋_GB2312" w:eastAsia="仿宋_GB2312" w:cs="仿宋_GB2312"/>
                <w:sz w:val="24"/>
                <w:szCs w:val="24"/>
                <w:lang w:eastAsia="zh-CN"/>
              </w:rPr>
              <w:t>配件经销商资质的</w:t>
            </w:r>
            <w:r>
              <w:rPr>
                <w:rFonts w:hint="eastAsia" w:ascii="仿宋_GB2312" w:hAnsi="仿宋_GB2312" w:eastAsia="仿宋_GB2312" w:cs="仿宋_GB2312"/>
                <w:sz w:val="24"/>
                <w:szCs w:val="24"/>
              </w:rPr>
              <w:t>得</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分；</w:t>
            </w:r>
            <w:r>
              <w:rPr>
                <w:rFonts w:hint="eastAsia" w:ascii="仿宋_GB2312" w:hAnsi="仿宋_GB2312" w:eastAsia="仿宋_GB2312" w:cs="仿宋_GB2312"/>
                <w:sz w:val="24"/>
                <w:szCs w:val="24"/>
                <w:lang w:eastAsia="zh-CN"/>
              </w:rPr>
              <w:t>配件价格不高于投标人销售给其在浙江省中心库或最高级别经销代理商价格的得</w:t>
            </w:r>
            <w:r>
              <w:rPr>
                <w:rFonts w:hint="eastAsia" w:ascii="仿宋_GB2312" w:hAnsi="仿宋_GB2312" w:eastAsia="仿宋_GB2312" w:cs="仿宋_GB2312"/>
                <w:sz w:val="24"/>
                <w:szCs w:val="24"/>
                <w:lang w:val="en-US" w:eastAsia="zh-CN"/>
              </w:rPr>
              <w:t>2分。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229" w:type="dxa"/>
            <w:noWrap/>
            <w:vAlign w:val="center"/>
          </w:tcPr>
          <w:p>
            <w:pPr>
              <w:widowControl/>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对采购文件响应程度1分</w:t>
            </w:r>
          </w:p>
        </w:tc>
        <w:tc>
          <w:tcPr>
            <w:tcW w:w="6020" w:type="dxa"/>
            <w:gridSpan w:val="2"/>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投标文件</w:t>
            </w:r>
            <w:r>
              <w:rPr>
                <w:rFonts w:hint="eastAsia" w:ascii="仿宋_GB2312" w:hAnsi="仿宋_GB2312" w:eastAsia="仿宋_GB2312" w:cs="仿宋_GB2312"/>
                <w:color w:val="auto"/>
                <w:kern w:val="2"/>
                <w:sz w:val="24"/>
                <w:szCs w:val="24"/>
                <w:lang w:val="en-US" w:eastAsia="zh-CN" w:bidi="ar-SA"/>
              </w:rPr>
              <w:t>内容</w:t>
            </w:r>
            <w:r>
              <w:rPr>
                <w:rFonts w:hint="eastAsia" w:ascii="仿宋_GB2312" w:hAnsi="仿宋_GB2312" w:eastAsia="仿宋_GB2312" w:cs="仿宋_GB2312"/>
                <w:color w:val="auto"/>
                <w:sz w:val="24"/>
                <w:szCs w:val="24"/>
                <w:lang w:eastAsia="zh-CN"/>
              </w:rPr>
              <w:t xml:space="preserve">完整无缺漏、无重复，文字及图片清晰得 </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lang w:eastAsia="zh-CN"/>
              </w:rPr>
              <w:t>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投标文件</w:t>
            </w:r>
            <w:r>
              <w:rPr>
                <w:rFonts w:hint="eastAsia" w:ascii="仿宋_GB2312" w:hAnsi="仿宋_GB2312" w:eastAsia="仿宋_GB2312" w:cs="仿宋_GB2312"/>
                <w:color w:val="auto"/>
                <w:kern w:val="2"/>
                <w:sz w:val="24"/>
                <w:szCs w:val="24"/>
                <w:lang w:val="en-US" w:eastAsia="zh-CN" w:bidi="ar-SA"/>
              </w:rPr>
              <w:t>内容</w:t>
            </w:r>
            <w:r>
              <w:rPr>
                <w:rFonts w:hint="eastAsia" w:ascii="仿宋_GB2312" w:hAnsi="仿宋_GB2312" w:eastAsia="仿宋_GB2312" w:cs="仿宋_GB2312"/>
                <w:color w:val="auto"/>
                <w:sz w:val="24"/>
                <w:szCs w:val="24"/>
                <w:lang w:eastAsia="zh-CN"/>
              </w:rPr>
              <w:t>存在缺漏、重复，文字及图片不清晰，以上情况存在≤</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 xml:space="preserve">处得 </w:t>
            </w:r>
            <w:r>
              <w:rPr>
                <w:rFonts w:hint="eastAsia" w:ascii="仿宋_GB2312" w:hAnsi="仿宋_GB2312" w:eastAsia="仿宋_GB2312" w:cs="仿宋_GB2312"/>
                <w:color w:val="auto"/>
                <w:sz w:val="24"/>
                <w:szCs w:val="24"/>
                <w:lang w:val="en-US" w:eastAsia="zh-CN"/>
              </w:rPr>
              <w:t>0.5</w:t>
            </w:r>
            <w:r>
              <w:rPr>
                <w:rFonts w:hint="eastAsia" w:ascii="仿宋_GB2312" w:hAnsi="仿宋_GB2312" w:eastAsia="仿宋_GB2312" w:cs="仿宋_GB2312"/>
                <w:color w:val="auto"/>
                <w:sz w:val="24"/>
                <w:szCs w:val="24"/>
                <w:lang w:eastAsia="zh-CN"/>
              </w:rPr>
              <w:t>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投标文件</w:t>
            </w:r>
            <w:r>
              <w:rPr>
                <w:rFonts w:hint="eastAsia" w:ascii="仿宋_GB2312" w:hAnsi="仿宋_GB2312" w:eastAsia="仿宋_GB2312" w:cs="仿宋_GB2312"/>
                <w:color w:val="auto"/>
                <w:kern w:val="2"/>
                <w:sz w:val="24"/>
                <w:szCs w:val="24"/>
                <w:lang w:val="en-US" w:eastAsia="zh-CN" w:bidi="ar-SA"/>
              </w:rPr>
              <w:t>内容</w:t>
            </w:r>
            <w:r>
              <w:rPr>
                <w:rFonts w:hint="eastAsia" w:ascii="仿宋_GB2312" w:hAnsi="仿宋_GB2312" w:eastAsia="仿宋_GB2312" w:cs="仿宋_GB2312"/>
                <w:color w:val="auto"/>
                <w:sz w:val="24"/>
                <w:szCs w:val="24"/>
                <w:lang w:eastAsia="zh-CN"/>
              </w:rPr>
              <w:t>存在缺漏、重复、文字及图片不清晰，以上情况存在＞</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lang w:eastAsia="zh-CN"/>
              </w:rPr>
              <w:t>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229" w:type="dxa"/>
            <w:noWrap/>
            <w:vAlign w:val="center"/>
          </w:tcPr>
          <w:p>
            <w:pPr>
              <w:widowControl/>
              <w:jc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价格40分</w:t>
            </w:r>
          </w:p>
        </w:tc>
        <w:tc>
          <w:tcPr>
            <w:tcW w:w="6020" w:type="dxa"/>
            <w:gridSpan w:val="2"/>
            <w:noWrap/>
            <w:vAlign w:val="center"/>
          </w:tcPr>
          <w:p>
            <w:pPr>
              <w:pStyle w:val="21"/>
              <w:numPr>
                <w:ilvl w:val="0"/>
                <w:numId w:val="0"/>
              </w:numPr>
              <w:tabs>
                <w:tab w:val="left" w:pos="1080"/>
              </w:tabs>
              <w:spacing w:line="360" w:lineRule="exact"/>
              <w:ind w:left="0" w:leftChars="0" w:firstLine="0" w:firstLineChars="0"/>
              <w:jc w:val="left"/>
              <w:rPr>
                <w:rFonts w:hint="default" w:ascii="仿宋_GB2312" w:hAnsi="仿宋_GB2312" w:eastAsia="仿宋_GB2312" w:cs="仿宋_GB2312"/>
                <w:color w:val="auto"/>
                <w:sz w:val="24"/>
                <w:szCs w:val="24"/>
                <w:lang w:val="en-US" w:eastAsia="zh-CN"/>
              </w:rPr>
            </w:pPr>
            <w:r>
              <w:rPr>
                <w:rFonts w:hint="eastAsia"/>
                <w:color w:val="auto"/>
              </w:rPr>
              <w:t>取投标合格供应商的投标最终报价最低价为基准价。基准价为</w:t>
            </w:r>
            <w:r>
              <w:rPr>
                <w:rFonts w:hint="eastAsia"/>
                <w:color w:val="auto"/>
                <w:lang w:val="en-US" w:eastAsia="zh-CN"/>
              </w:rPr>
              <w:t>4</w:t>
            </w:r>
            <w:r>
              <w:rPr>
                <w:rFonts w:hint="eastAsia"/>
                <w:color w:val="auto"/>
              </w:rPr>
              <w:t>0分。投标报价得分＝（评标基准价/最终投标报价）×</w:t>
            </w:r>
            <w:r>
              <w:rPr>
                <w:rFonts w:hint="eastAsia"/>
                <w:color w:val="auto"/>
                <w:lang w:val="en-US" w:eastAsia="zh-CN"/>
              </w:rPr>
              <w:t>4</w:t>
            </w:r>
            <w:r>
              <w:rPr>
                <w:rFonts w:hint="eastAsia"/>
                <w:color w:val="auto"/>
              </w:rPr>
              <w:t>0 %×100（小数点后保留2位小数）。（注：对于符合政府采购政策及优惠的企业产品给予6%的扣除，用扣除后的价格参与评审。具体执行依据见本章第二点的第四条“政府采购政策及优惠”内的规定）</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40分</w:t>
            </w:r>
          </w:p>
        </w:tc>
      </w:tr>
    </w:tbl>
    <w:p>
      <w:pPr>
        <w:pStyle w:val="6"/>
        <w:ind w:firstLine="560" w:firstLineChars="200"/>
        <w:rPr>
          <w:rFonts w:hint="eastAsia" w:ascii="仿宋" w:hAnsi="仿宋" w:eastAsia="仿宋" w:cs="仿宋"/>
          <w:b w:val="0"/>
          <w:color w:val="auto"/>
          <w:kern w:val="2"/>
          <w:sz w:val="28"/>
          <w:szCs w:val="28"/>
          <w:lang w:val="en-US" w:eastAsia="zh-CN" w:bidi="ar-SA"/>
        </w:rPr>
      </w:pPr>
    </w:p>
    <w:p>
      <w:pPr>
        <w:pStyle w:val="6"/>
        <w:ind w:firstLine="562" w:firstLineChars="200"/>
        <w:rPr>
          <w:rFonts w:hint="eastAsia" w:ascii="仿宋" w:hAnsi="仿宋" w:eastAsia="仿宋" w:cs="仿宋"/>
          <w:b/>
          <w:bCs/>
          <w:color w:val="auto"/>
          <w:kern w:val="2"/>
          <w:sz w:val="28"/>
          <w:szCs w:val="28"/>
          <w:lang w:val="en-US" w:eastAsia="zh-CN" w:bidi="ar-SA"/>
        </w:rPr>
      </w:pPr>
      <w:r>
        <w:rPr>
          <w:rFonts w:hint="eastAsia" w:ascii="仿宋" w:hAnsi="仿宋" w:eastAsia="仿宋" w:cs="仿宋"/>
          <w:b/>
          <w:bCs/>
          <w:color w:val="auto"/>
          <w:kern w:val="2"/>
          <w:sz w:val="28"/>
          <w:szCs w:val="28"/>
          <w:lang w:val="en-US" w:eastAsia="zh-CN" w:bidi="ar-SA"/>
        </w:rPr>
        <w:t>（四）第四标段评分：</w:t>
      </w:r>
    </w:p>
    <w:p>
      <w:pPr>
        <w:pStyle w:val="6"/>
        <w:ind w:firstLine="560" w:firstLineChars="200"/>
        <w:rPr>
          <w:rFonts w:hint="eastAsia" w:ascii="仿宋" w:hAnsi="仿宋" w:eastAsia="仿宋" w:cs="仿宋"/>
          <w:b w:val="0"/>
          <w:color w:val="auto"/>
          <w:kern w:val="2"/>
          <w:sz w:val="28"/>
          <w:szCs w:val="28"/>
          <w:lang w:val="en-US" w:eastAsia="zh-CN" w:bidi="ar-SA"/>
        </w:rPr>
      </w:pPr>
      <w:r>
        <w:rPr>
          <w:rFonts w:hint="eastAsia" w:ascii="仿宋" w:hAnsi="仿宋" w:eastAsia="仿宋" w:cs="仿宋"/>
          <w:b w:val="0"/>
          <w:color w:val="auto"/>
          <w:kern w:val="2"/>
          <w:sz w:val="28"/>
          <w:szCs w:val="28"/>
          <w:lang w:val="en-US" w:eastAsia="zh-CN" w:bidi="ar-SA"/>
        </w:rPr>
        <w:t>8.5米级纯电动轮边驱动城市公共客车评分标准（带电量≥180kwh）</w:t>
      </w:r>
    </w:p>
    <w:tbl>
      <w:tblPr>
        <w:tblStyle w:val="16"/>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1115"/>
        <w:gridCol w:w="4905"/>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jc w:val="center"/>
        </w:trPr>
        <w:tc>
          <w:tcPr>
            <w:tcW w:w="1229" w:type="dxa"/>
            <w:vMerge w:val="restart"/>
            <w:noWrap/>
            <w:vAlign w:val="center"/>
          </w:tcPr>
          <w:p>
            <w:pPr>
              <w:widowControl/>
              <w:ind w:left="240" w:hanging="240" w:hangingChars="100"/>
              <w:jc w:val="both"/>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技术性能40</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分</w:t>
            </w:r>
          </w:p>
        </w:tc>
        <w:tc>
          <w:tcPr>
            <w:tcW w:w="1115" w:type="dxa"/>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各项技术要求的响应程度</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投标文件中所投产品主要技术要求与描述全部符合招标文件采购需求中产品各项技术要求的得15分。每有一项负偏离的扣4分，偏离项达到4项及以上的视为无效标。</w:t>
            </w:r>
          </w:p>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2"/>
                <w:sz w:val="24"/>
                <w:szCs w:val="24"/>
                <w:lang w:val="en-US" w:eastAsia="zh-CN" w:bidi="ar-SA"/>
              </w:rPr>
              <w:t>标▲项为实质性响应项，不满足则投标无效。</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15</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restart"/>
            <w:noWrap/>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主要技术参数评议</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2"/>
                <w:sz w:val="24"/>
                <w:szCs w:val="24"/>
                <w:lang w:val="en-US" w:eastAsia="zh-CN" w:bidi="ar-SA"/>
              </w:rPr>
              <w:t>投标产品整车车身采用阴极电泳工艺或铝合金车身得2分；采取机器人喷涂、激光切割工艺的得1分；机器人焊接工艺的得1分，其他不得分。（须提供阴极电泳、机器人、激光切割设备采购合同复印件并加盖投标人公章，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trike w:val="0"/>
                <w:dstrike w:val="0"/>
                <w:sz w:val="24"/>
                <w:szCs w:val="24"/>
                <w:lang w:val="en-US" w:eastAsia="zh-CN"/>
              </w:rPr>
              <w:t>4</w:t>
            </w:r>
            <w:r>
              <w:rPr>
                <w:rFonts w:hint="eastAsia" w:ascii="仿宋_GB2312" w:hAnsi="仿宋_GB2312" w:eastAsia="仿宋_GB2312" w:cs="仿宋_GB2312"/>
                <w:strike w:val="0"/>
                <w:dstrike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考虑到车辆质量对车辆续驶里程的影响，要求投标车型采用轻量化技术，尽可能减少车辆自重。根据投标</w:t>
            </w:r>
            <w:r>
              <w:rPr>
                <w:rFonts w:hint="eastAsia" w:ascii="仿宋_GB2312" w:hAnsi="仿宋_GB2312" w:eastAsia="仿宋_GB2312" w:cs="仿宋_GB2312"/>
                <w:color w:val="auto"/>
                <w:sz w:val="24"/>
                <w:szCs w:val="24"/>
                <w:highlight w:val="none"/>
                <w:lang w:val="en-US" w:eastAsia="zh-CN"/>
              </w:rPr>
              <w:t xml:space="preserve">车型公告页的技术参数（以最小总质量进行评选），根据车型轻量化对比打分， </w:t>
            </w:r>
            <w:r>
              <w:rPr>
                <w:rFonts w:hint="eastAsia" w:ascii="仿宋_GB2312" w:hAnsi="仿宋_GB2312" w:eastAsia="仿宋_GB2312" w:cs="仿宋_GB2312"/>
                <w:color w:val="auto"/>
                <w:kern w:val="2"/>
                <w:sz w:val="24"/>
                <w:szCs w:val="24"/>
                <w:highlight w:val="none"/>
                <w:lang w:val="en-US" w:eastAsia="zh-CN" w:bidi="ar-SA"/>
              </w:rPr>
              <w:t>车型总质量不大于</w:t>
            </w:r>
            <w:r>
              <w:rPr>
                <w:rFonts w:hint="eastAsia" w:ascii="仿宋_GB2312" w:hAnsi="仿宋_GB2312" w:eastAsia="仿宋_GB2312" w:cs="仿宋_GB2312"/>
                <w:color w:val="auto"/>
                <w:sz w:val="24"/>
                <w:szCs w:val="24"/>
                <w:highlight w:val="none"/>
                <w:lang w:val="en-US" w:eastAsia="zh-CN"/>
              </w:rPr>
              <w:t>13300kg的得0.5分，在13300kg的基础上每减少100kg加0.5分，最高得2分。(</w:t>
            </w:r>
            <w:r>
              <w:rPr>
                <w:rFonts w:hint="eastAsia" w:ascii="仿宋_GB2312" w:hAnsi="仿宋_GB2312" w:eastAsia="仿宋_GB2312" w:cs="仿宋_GB2312"/>
                <w:color w:val="auto"/>
                <w:kern w:val="2"/>
                <w:sz w:val="24"/>
                <w:szCs w:val="24"/>
                <w:highlight w:val="none"/>
                <w:lang w:val="en-US" w:eastAsia="zh-CN" w:bidi="ar-SA"/>
              </w:rPr>
              <w:t>投标人须提供中华人民共和国工业和信息化部网站上的公告产品主要技术参数复印件，不提供不得分</w:t>
            </w:r>
            <w:r>
              <w:rPr>
                <w:rFonts w:hint="eastAsia" w:ascii="仿宋_GB2312" w:hAnsi="仿宋_GB2312" w:eastAsia="仿宋_GB2312" w:cs="仿宋_GB2312"/>
                <w:kern w:val="2"/>
                <w:sz w:val="24"/>
                <w:szCs w:val="24"/>
                <w:lang w:val="en-US" w:eastAsia="zh-CN" w:bidi="ar-SA"/>
              </w:rPr>
              <w:t>。</w:t>
            </w:r>
            <w:r>
              <w:rPr>
                <w:rFonts w:hint="eastAsia" w:ascii="仿宋_GB2312" w:hAnsi="仿宋_GB2312" w:eastAsia="仿宋_GB2312" w:cs="仿宋_GB2312"/>
                <w:sz w:val="24"/>
                <w:szCs w:val="24"/>
                <w:lang w:val="en-US" w:eastAsia="zh-CN"/>
              </w:rPr>
              <w:t>）</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trike w:val="0"/>
                <w:dstrike w:val="0"/>
                <w:sz w:val="24"/>
                <w:szCs w:val="24"/>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lang w:val="en-US" w:eastAsia="zh-CN" w:bidi="ar-SA"/>
              </w:rPr>
              <w:t>电池密度≥150wh/kg的得1分,</w:t>
            </w:r>
            <w:r>
              <w:rPr>
                <w:rFonts w:hint="eastAsia" w:ascii="仿宋_GB2312" w:hAnsi="仿宋_GB2312" w:eastAsia="仿宋_GB2312" w:cs="仿宋_GB2312"/>
                <w:sz w:val="24"/>
                <w:szCs w:val="24"/>
                <w:lang w:val="en-US" w:eastAsia="zh-CN"/>
              </w:rPr>
              <w:t>在此基础上</w:t>
            </w:r>
            <w:r>
              <w:rPr>
                <w:rFonts w:hint="eastAsia" w:ascii="仿宋_GB2312" w:hAnsi="仿宋_GB2312" w:eastAsia="仿宋_GB2312" w:cs="仿宋_GB2312"/>
                <w:kern w:val="2"/>
                <w:sz w:val="24"/>
                <w:szCs w:val="24"/>
                <w:lang w:val="en-US" w:eastAsia="zh-CN" w:bidi="ar-SA"/>
              </w:rPr>
              <w:t>每增加1wh/kg得0.2分，满分2分。EKG≤0.15Wh/km·kg的得2分。（投标人须提供中华人民共和国工业和信息化部《新能源汽车推广应用推荐车型目录》复印件，不提供不得分。）</w:t>
            </w:r>
          </w:p>
        </w:tc>
        <w:tc>
          <w:tcPr>
            <w:tcW w:w="1522"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电池总容量达到170kwh的得1.5分，在此基础上每增加10kwh得0.7分，满分5分。电池总容量达不到170kwh的不得分。</w:t>
            </w:r>
          </w:p>
        </w:tc>
        <w:tc>
          <w:tcPr>
            <w:tcW w:w="1522"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整车控制器、电池箱体、电机防护等级均达到IP67及以上的得2分，任何一项未达到要求的不得分。（投标人须提供国家或第三方检测报告原件，不提供的不得分）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整车高压控制系统包括转向助力、高压配电柜、打气泵、DC-DC、两个轮边驱动电机均采用优质品牌，其中四项集成并提供检测报告的得1分；五项集成并提供检测报告的得3分；六项集成并提供检测报告的得5分。</w:t>
            </w:r>
          </w:p>
        </w:tc>
        <w:tc>
          <w:tcPr>
            <w:tcW w:w="1522" w:type="dxa"/>
            <w:noWrap/>
            <w:vAlign w:val="center"/>
          </w:tcPr>
          <w:p>
            <w:pPr>
              <w:jc w:val="center"/>
              <w:rPr>
                <w:rFonts w:hint="default" w:ascii="仿宋_GB2312" w:hAnsi="仿宋_GB2312" w:eastAsia="仿宋_GB2312" w:cs="仿宋_GB2312"/>
                <w:color w:val="000000" w:themeColor="text1"/>
                <w:sz w:val="24"/>
                <w:szCs w:val="24"/>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noWrap/>
            <w:vAlign w:val="center"/>
          </w:tcPr>
          <w:p>
            <w:pPr>
              <w:widowControl/>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样车</w:t>
            </w:r>
          </w:p>
        </w:tc>
        <w:tc>
          <w:tcPr>
            <w:tcW w:w="4905" w:type="dxa"/>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1.投标人提供的评审样车公告与投标响应车型公告一致的得1分，不一致的不得分。</w:t>
            </w:r>
          </w:p>
          <w:p>
            <w:pPr>
              <w:pStyle w:val="21"/>
              <w:numPr>
                <w:ilvl w:val="0"/>
                <w:numId w:val="0"/>
              </w:numPr>
              <w:tabs>
                <w:tab w:val="left" w:pos="1080"/>
              </w:tabs>
              <w:spacing w:line="360" w:lineRule="exact"/>
              <w:ind w:left="0" w:leftChars="0" w:firstLine="0" w:firstLineChars="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lang w:val="en-US" w:eastAsia="zh-CN" w:bidi="ar-SA"/>
              </w:rPr>
              <w:t>2.专家根据投标人所投车型，外观时尚前卫、美观大方，适应现代城市，内饰安全舒适，人性化设计布局等方面进行综合打分（0-2分）。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29" w:type="dxa"/>
            <w:vMerge w:val="restart"/>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售后服务</w:t>
            </w:r>
            <w:r>
              <w:rPr>
                <w:rFonts w:hint="eastAsia" w:ascii="仿宋_GB2312" w:hAnsi="仿宋_GB2312" w:eastAsia="仿宋_GB2312" w:cs="仿宋_GB2312"/>
                <w:sz w:val="24"/>
                <w:szCs w:val="24"/>
                <w:lang w:eastAsia="zh-CN"/>
              </w:rPr>
              <w:t>承诺</w:t>
            </w:r>
          </w:p>
          <w:p>
            <w:pPr>
              <w:widowControl/>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color w:val="auto"/>
                <w:sz w:val="24"/>
                <w:szCs w:val="24"/>
                <w:highlight w:val="none"/>
                <w:lang w:val="en-US" w:eastAsia="zh-CN"/>
              </w:rPr>
              <w:t>19分</w:t>
            </w:r>
          </w:p>
        </w:tc>
        <w:tc>
          <w:tcPr>
            <w:tcW w:w="1115" w:type="dxa"/>
            <w:noWrap/>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售后服务站</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kern w:val="2"/>
                <w:sz w:val="24"/>
                <w:szCs w:val="24"/>
                <w:lang w:val="en-US" w:eastAsia="zh-CN" w:bidi="ar-SA"/>
              </w:rPr>
              <w:t>投标人承诺在中标后一个月内，</w:t>
            </w:r>
            <w:r>
              <w:rPr>
                <w:rFonts w:hint="eastAsia" w:ascii="仿宋_GB2312" w:hAnsi="仿宋_GB2312" w:eastAsia="仿宋_GB2312" w:cs="仿宋_GB2312"/>
                <w:strike w:val="0"/>
                <w:dstrike w:val="0"/>
                <w:color w:val="auto"/>
                <w:kern w:val="2"/>
                <w:sz w:val="24"/>
                <w:szCs w:val="24"/>
                <w:u w:val="none"/>
                <w:lang w:val="en-US" w:eastAsia="zh-CN" w:bidi="ar-SA"/>
              </w:rPr>
              <w:t>在采购方修理厂</w:t>
            </w:r>
            <w:r>
              <w:rPr>
                <w:rFonts w:hint="eastAsia" w:ascii="仿宋_GB2312" w:hAnsi="仿宋_GB2312" w:eastAsia="仿宋_GB2312" w:cs="仿宋_GB2312"/>
                <w:color w:val="auto"/>
                <w:kern w:val="2"/>
                <w:sz w:val="24"/>
                <w:szCs w:val="24"/>
                <w:lang w:val="en-US" w:eastAsia="zh-CN" w:bidi="ar-SA"/>
              </w:rPr>
              <w:t>设立厂方驻点维修或特约维修服务站的，得1分；其他不得分。（投标人须提供承诺书原件，不提供的不得分）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restart"/>
            <w:noWrap/>
            <w:vAlign w:val="center"/>
          </w:tcPr>
          <w:p>
            <w:pPr>
              <w:widowControl/>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质保服务</w:t>
            </w: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kern w:val="2"/>
                <w:sz w:val="24"/>
                <w:szCs w:val="24"/>
                <w:lang w:val="en-US" w:eastAsia="zh-CN" w:bidi="ar-SA"/>
              </w:rPr>
              <w:t>整车质保包括骨架、大梁、蒙皮，增加转向系统、传动系统、制动系统、前桥、后桥等含易损件的质保承诺的，每增加一项得2分，满分10分，不承诺的不得分。（投标人须在投标文件中做出承诺，承诺书格式自拟，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themeColor="text1"/>
                <w:sz w:val="24"/>
                <w:szCs w:val="24"/>
                <w:highlight w:val="none"/>
                <w:lang w:val="en-US" w:eastAsia="zh-CN"/>
                <w14:textFill>
                  <w14:solidFill>
                    <w14:schemeClr w14:val="tx1"/>
                  </w14:solidFill>
                </w14:textFill>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vMerge w:val="continue"/>
            <w:noWrap/>
            <w:vAlign w:val="center"/>
          </w:tcPr>
          <w:p>
            <w:pPr>
              <w:widowControl/>
              <w:jc w:val="center"/>
              <w:rPr>
                <w:rFonts w:hint="eastAsia" w:ascii="仿宋_GB2312" w:hAnsi="仿宋_GB2312" w:eastAsia="仿宋_GB2312" w:cs="仿宋_GB2312"/>
                <w:sz w:val="24"/>
                <w:szCs w:val="24"/>
              </w:rPr>
            </w:pPr>
          </w:p>
        </w:tc>
        <w:tc>
          <w:tcPr>
            <w:tcW w:w="4905" w:type="dxa"/>
            <w:noWrap/>
            <w:vAlign w:val="center"/>
          </w:tcPr>
          <w:p>
            <w:pPr>
              <w:pStyle w:val="21"/>
              <w:numPr>
                <w:ilvl w:val="0"/>
                <w:numId w:val="0"/>
              </w:numPr>
              <w:tabs>
                <w:tab w:val="left" w:pos="1080"/>
              </w:tabs>
              <w:spacing w:line="360" w:lineRule="exact"/>
              <w:ind w:left="0" w:leftChars="0" w:firstLine="0" w:firstLineChars="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要求整车质保期4年，在此基础上承诺全部质保的增加质保期1年加0.5分，增加质保期2年的加1分，增加质保期3年的加2.5分，增加质保期4年的加4分，每减少一项质保项相应质保期加分少加0.2分，（投标人须在投标文件中做出承诺，承诺书格式自拟，不提供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29" w:type="dxa"/>
            <w:vMerge w:val="continue"/>
            <w:noWrap/>
            <w:vAlign w:val="center"/>
          </w:tcPr>
          <w:p>
            <w:pPr>
              <w:widowControl/>
              <w:jc w:val="center"/>
              <w:rPr>
                <w:rFonts w:hint="eastAsia" w:ascii="仿宋_GB2312" w:hAnsi="仿宋_GB2312" w:eastAsia="仿宋_GB2312" w:cs="仿宋_GB2312"/>
                <w:sz w:val="24"/>
                <w:szCs w:val="24"/>
              </w:rPr>
            </w:pPr>
          </w:p>
        </w:tc>
        <w:tc>
          <w:tcPr>
            <w:tcW w:w="1115" w:type="dxa"/>
            <w:noWrap/>
            <w:vAlign w:val="center"/>
          </w:tcPr>
          <w:p>
            <w:pPr>
              <w:widowControl/>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配件供应</w:t>
            </w:r>
          </w:p>
        </w:tc>
        <w:tc>
          <w:tcPr>
            <w:tcW w:w="4905" w:type="dxa"/>
            <w:noWrap/>
            <w:vAlign w:val="center"/>
          </w:tcPr>
          <w:p>
            <w:pPr>
              <w:pStyle w:val="21"/>
              <w:numPr>
                <w:ilvl w:val="0"/>
                <w:numId w:val="0"/>
              </w:numPr>
              <w:tabs>
                <w:tab w:val="left" w:pos="1080"/>
              </w:tabs>
              <w:spacing w:line="360" w:lineRule="exact"/>
              <w:ind w:leftChars="0"/>
              <w:jc w:val="left"/>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厂家承诺授予台州市公交巴士有限公司配件经销商资质的得2分；配件价格不高于投标人销售给其在浙江省中心库或最高级别经销代理商价格的得2分。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229" w:type="dxa"/>
            <w:noWrap/>
            <w:vAlign w:val="center"/>
          </w:tcPr>
          <w:p>
            <w:pPr>
              <w:widowControl/>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对采购文件响应程度1分</w:t>
            </w:r>
          </w:p>
        </w:tc>
        <w:tc>
          <w:tcPr>
            <w:tcW w:w="6020" w:type="dxa"/>
            <w:gridSpan w:val="2"/>
            <w:noWrap/>
            <w:vAlign w:val="center"/>
          </w:tcPr>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投标文件</w:t>
            </w:r>
            <w:r>
              <w:rPr>
                <w:rFonts w:hint="eastAsia" w:ascii="仿宋_GB2312" w:hAnsi="仿宋_GB2312" w:eastAsia="仿宋_GB2312" w:cs="仿宋_GB2312"/>
                <w:color w:val="auto"/>
                <w:kern w:val="2"/>
                <w:sz w:val="24"/>
                <w:szCs w:val="24"/>
                <w:lang w:val="en-US" w:eastAsia="zh-CN" w:bidi="ar-SA"/>
              </w:rPr>
              <w:t>内容</w:t>
            </w:r>
            <w:r>
              <w:rPr>
                <w:rFonts w:hint="eastAsia" w:ascii="仿宋_GB2312" w:hAnsi="仿宋_GB2312" w:eastAsia="仿宋_GB2312" w:cs="仿宋_GB2312"/>
                <w:color w:val="auto"/>
                <w:sz w:val="24"/>
                <w:szCs w:val="24"/>
                <w:lang w:val="en-US" w:eastAsia="zh-CN"/>
              </w:rPr>
              <w:t>完整无缺漏、无重复，文字及图片清晰得 1分；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投标文件</w:t>
            </w:r>
            <w:r>
              <w:rPr>
                <w:rFonts w:hint="eastAsia" w:ascii="仿宋_GB2312" w:hAnsi="仿宋_GB2312" w:eastAsia="仿宋_GB2312" w:cs="仿宋_GB2312"/>
                <w:color w:val="auto"/>
                <w:kern w:val="2"/>
                <w:sz w:val="24"/>
                <w:szCs w:val="24"/>
                <w:lang w:val="en-US" w:eastAsia="zh-CN" w:bidi="ar-SA"/>
              </w:rPr>
              <w:t>内容</w:t>
            </w:r>
            <w:r>
              <w:rPr>
                <w:rFonts w:hint="eastAsia" w:ascii="仿宋_GB2312" w:hAnsi="仿宋_GB2312" w:eastAsia="仿宋_GB2312" w:cs="仿宋_GB2312"/>
                <w:color w:val="auto"/>
                <w:sz w:val="24"/>
                <w:szCs w:val="24"/>
                <w:lang w:val="en-US" w:eastAsia="zh-CN"/>
              </w:rPr>
              <w:t>存在缺漏、重复，文字及图片不清晰，以上情况存在≤5处得 0.5分；</w:t>
            </w:r>
          </w:p>
          <w:p>
            <w:pPr>
              <w:pStyle w:val="21"/>
              <w:numPr>
                <w:ilvl w:val="0"/>
                <w:numId w:val="0"/>
              </w:numPr>
              <w:tabs>
                <w:tab w:val="left" w:pos="1080"/>
              </w:tabs>
              <w:spacing w:line="360" w:lineRule="exact"/>
              <w:ind w:leftChars="0"/>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投标文件</w:t>
            </w:r>
            <w:r>
              <w:rPr>
                <w:rFonts w:hint="eastAsia" w:ascii="仿宋_GB2312" w:hAnsi="仿宋_GB2312" w:eastAsia="仿宋_GB2312" w:cs="仿宋_GB2312"/>
                <w:color w:val="auto"/>
                <w:kern w:val="2"/>
                <w:sz w:val="24"/>
                <w:szCs w:val="24"/>
                <w:lang w:val="en-US" w:eastAsia="zh-CN" w:bidi="ar-SA"/>
              </w:rPr>
              <w:t>内容</w:t>
            </w:r>
            <w:r>
              <w:rPr>
                <w:rFonts w:hint="eastAsia" w:ascii="仿宋_GB2312" w:hAnsi="仿宋_GB2312" w:eastAsia="仿宋_GB2312" w:cs="仿宋_GB2312"/>
                <w:color w:val="auto"/>
                <w:sz w:val="24"/>
                <w:szCs w:val="24"/>
                <w:lang w:val="en-US" w:eastAsia="zh-CN"/>
              </w:rPr>
              <w:t>存在缺漏、重复、文字及图片不清晰，以上情况存在＞5处不得分。</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229" w:type="dxa"/>
            <w:noWrap/>
            <w:vAlign w:val="center"/>
          </w:tcPr>
          <w:p>
            <w:pPr>
              <w:widowControl/>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价格40分</w:t>
            </w:r>
          </w:p>
        </w:tc>
        <w:tc>
          <w:tcPr>
            <w:tcW w:w="6020" w:type="dxa"/>
            <w:gridSpan w:val="2"/>
            <w:noWrap/>
            <w:vAlign w:val="center"/>
          </w:tcPr>
          <w:p>
            <w:pPr>
              <w:pStyle w:val="21"/>
              <w:numPr>
                <w:ilvl w:val="0"/>
                <w:numId w:val="0"/>
              </w:numPr>
              <w:tabs>
                <w:tab w:val="left" w:pos="1080"/>
              </w:tabs>
              <w:spacing w:line="360" w:lineRule="exact"/>
              <w:ind w:left="0" w:leftChars="0" w:firstLine="0" w:firstLineChars="0"/>
              <w:jc w:val="left"/>
              <w:rPr>
                <w:rFonts w:hint="default" w:ascii="仿宋_GB2312" w:hAnsi="仿宋_GB2312" w:eastAsia="仿宋_GB2312" w:cs="仿宋_GB2312"/>
                <w:sz w:val="21"/>
                <w:szCs w:val="21"/>
                <w:lang w:val="en-US" w:eastAsia="zh-CN"/>
              </w:rPr>
            </w:pPr>
            <w:r>
              <w:rPr>
                <w:rFonts w:hint="eastAsia"/>
              </w:rPr>
              <w:t>取投标合格供应商的投标最终报价最低价为基准价。基准价为</w:t>
            </w:r>
            <w:r>
              <w:rPr>
                <w:rFonts w:hint="eastAsia"/>
                <w:lang w:val="en-US" w:eastAsia="zh-CN"/>
              </w:rPr>
              <w:t>4</w:t>
            </w:r>
            <w:r>
              <w:rPr>
                <w:rFonts w:hint="eastAsia"/>
              </w:rPr>
              <w:t>0分。投标报价得分＝（评标基准价/最终投标报价）×</w:t>
            </w:r>
            <w:r>
              <w:rPr>
                <w:rFonts w:hint="eastAsia"/>
                <w:lang w:val="en-US" w:eastAsia="zh-CN"/>
              </w:rPr>
              <w:t>4</w:t>
            </w:r>
            <w:r>
              <w:rPr>
                <w:rFonts w:hint="eastAsia"/>
              </w:rPr>
              <w:t>0 %×100（小数点后保留2位小数）。（注：对于符合政府采购政策及优惠的企业产品给予6%的扣除，用扣除后的价格参与评审。具体执行依据见本章第二点的第四条“政府采购政策及优惠”内的规定）</w:t>
            </w:r>
          </w:p>
        </w:tc>
        <w:tc>
          <w:tcPr>
            <w:tcW w:w="1522" w:type="dxa"/>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40分</w:t>
            </w:r>
          </w:p>
        </w:tc>
      </w:tr>
    </w:tbl>
    <w:p>
      <w:pPr>
        <w:rPr>
          <w:rFonts w:asciiTheme="minorEastAsia" w:hAnsiTheme="minorEastAsia" w:eastAsiaTheme="minorEastAsia"/>
          <w:b/>
          <w:sz w:val="36"/>
          <w:szCs w:val="36"/>
        </w:rPr>
      </w:pPr>
    </w:p>
    <w:p>
      <w:pPr>
        <w:pStyle w:val="2"/>
        <w:rPr>
          <w:rFonts w:asciiTheme="minorEastAsia" w:hAnsiTheme="minorEastAsia" w:eastAsiaTheme="minorEastAsia"/>
          <w:b/>
          <w:sz w:val="36"/>
          <w:szCs w:val="36"/>
        </w:rPr>
      </w:pPr>
    </w:p>
    <w:p>
      <w:pPr>
        <w:rPr>
          <w:rFonts w:asciiTheme="minorEastAsia" w:hAnsiTheme="minorEastAsia" w:eastAsiaTheme="minorEastAsia"/>
          <w:b/>
          <w:sz w:val="36"/>
          <w:szCs w:val="36"/>
        </w:rPr>
      </w:pPr>
    </w:p>
    <w:p>
      <w:pPr>
        <w:pStyle w:val="2"/>
        <w:ind w:left="0" w:leftChars="0" w:firstLine="0" w:firstLineChars="0"/>
        <w:rPr>
          <w:rFonts w:asciiTheme="minorEastAsia" w:hAnsiTheme="minorEastAsia" w:eastAsiaTheme="minorEastAsia"/>
          <w:b/>
          <w:sz w:val="36"/>
          <w:szCs w:val="36"/>
        </w:rPr>
      </w:pPr>
    </w:p>
    <w:p/>
    <w:p>
      <w:pPr>
        <w:numPr>
          <w:ilvl w:val="0"/>
          <w:numId w:val="3"/>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公开招标需求</w:t>
      </w:r>
    </w:p>
    <w:p>
      <w:pPr>
        <w:tabs>
          <w:tab w:val="left" w:pos="8280"/>
        </w:tabs>
        <w:autoSpaceDE w:val="0"/>
        <w:autoSpaceDN w:val="0"/>
        <w:adjustRightInd w:val="0"/>
        <w:spacing w:line="360" w:lineRule="auto"/>
        <w:ind w:right="25"/>
        <w:rPr>
          <w:rFonts w:asciiTheme="minorEastAsia" w:hAnsiTheme="minorEastAsia" w:eastAsiaTheme="minorEastAsia"/>
          <w:sz w:val="24"/>
          <w:szCs w:val="24"/>
        </w:rPr>
      </w:pPr>
      <w:r>
        <w:rPr>
          <w:rFonts w:hint="eastAsia" w:asciiTheme="minorEastAsia" w:hAnsiTheme="minorEastAsia" w:eastAsiaTheme="minorEastAsia"/>
          <w:b/>
          <w:sz w:val="24"/>
          <w:szCs w:val="24"/>
        </w:rPr>
        <w:t>一、招标项目一览表</w:t>
      </w:r>
    </w:p>
    <w:p>
      <w:pPr>
        <w:tabs>
          <w:tab w:val="left" w:pos="8280"/>
        </w:tabs>
        <w:autoSpaceDE w:val="0"/>
        <w:autoSpaceDN w:val="0"/>
        <w:adjustRightInd w:val="0"/>
        <w:spacing w:line="360" w:lineRule="auto"/>
        <w:ind w:right="25" w:firstLine="280"/>
        <w:rPr>
          <w:rFonts w:asciiTheme="minorEastAsia" w:hAnsiTheme="minorEastAsia" w:eastAsiaTheme="minorEastAsia"/>
          <w:color w:val="33CCCC"/>
          <w:sz w:val="24"/>
          <w:szCs w:val="24"/>
        </w:rPr>
      </w:pPr>
      <w:r>
        <w:rPr>
          <w:rFonts w:hint="eastAsia" w:asciiTheme="minorEastAsia" w:hAnsiTheme="minorEastAsia" w:eastAsiaTheme="minorEastAsia"/>
          <w:sz w:val="24"/>
          <w:szCs w:val="24"/>
        </w:rPr>
        <w:t>本次招标共</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color w:val="auto"/>
          <w:sz w:val="24"/>
          <w:szCs w:val="24"/>
          <w:u w:val="single"/>
          <w:lang w:val="en-US" w:eastAsia="zh-CN"/>
        </w:rPr>
        <w:t>4</w:t>
      </w:r>
      <w:r>
        <w:rPr>
          <w:rFonts w:hint="eastAsia" w:asciiTheme="minorEastAsia" w:hAnsiTheme="minorEastAsia" w:eastAsiaTheme="minorEastAsia"/>
          <w:color w:val="auto"/>
          <w:sz w:val="24"/>
          <w:szCs w:val="24"/>
          <w:u w:val="single"/>
        </w:rPr>
        <w:t xml:space="preserve">  </w:t>
      </w:r>
      <w:r>
        <w:rPr>
          <w:rFonts w:hint="eastAsia" w:asciiTheme="minorEastAsia" w:hAnsiTheme="minorEastAsia" w:eastAsiaTheme="minorEastAsia"/>
          <w:sz w:val="24"/>
          <w:szCs w:val="24"/>
        </w:rPr>
        <w:t>个标段，具体内容如下表：</w:t>
      </w:r>
    </w:p>
    <w:tbl>
      <w:tblPr>
        <w:tblStyle w:val="16"/>
        <w:tblW w:w="90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1596"/>
        <w:gridCol w:w="1473"/>
        <w:gridCol w:w="745"/>
        <w:gridCol w:w="649"/>
        <w:gridCol w:w="1131"/>
        <w:gridCol w:w="123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5" w:hRule="atLeast"/>
          <w:jc w:val="center"/>
        </w:trPr>
        <w:tc>
          <w:tcPr>
            <w:tcW w:w="696"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标段号</w:t>
            </w:r>
          </w:p>
        </w:tc>
        <w:tc>
          <w:tcPr>
            <w:tcW w:w="1596" w:type="dxa"/>
            <w:vAlign w:val="center"/>
          </w:tcPr>
          <w:p>
            <w:pPr>
              <w:tabs>
                <w:tab w:val="left" w:pos="8280"/>
              </w:tabs>
              <w:autoSpaceDE w:val="0"/>
              <w:autoSpaceDN w:val="0"/>
              <w:adjustRightInd w:val="0"/>
              <w:spacing w:line="360" w:lineRule="auto"/>
              <w:ind w:right="25" w:firstLine="120" w:firstLineChars="50"/>
              <w:jc w:val="center"/>
              <w:rPr>
                <w:rFonts w:ascii="宋体"/>
                <w:b/>
                <w:sz w:val="24"/>
              </w:rPr>
            </w:pPr>
            <w:r>
              <w:rPr>
                <w:rFonts w:hint="eastAsia" w:asciiTheme="minorEastAsia" w:hAnsiTheme="minorEastAsia" w:eastAsiaTheme="minorEastAsia"/>
                <w:b/>
                <w:sz w:val="24"/>
              </w:rPr>
              <w:t>项目名称</w:t>
            </w:r>
          </w:p>
        </w:tc>
        <w:tc>
          <w:tcPr>
            <w:tcW w:w="1473" w:type="dxa"/>
            <w:vAlign w:val="center"/>
          </w:tcPr>
          <w:p>
            <w:pPr>
              <w:tabs>
                <w:tab w:val="left" w:pos="8280"/>
              </w:tabs>
              <w:autoSpaceDE w:val="0"/>
              <w:autoSpaceDN w:val="0"/>
              <w:adjustRightInd w:val="0"/>
              <w:spacing w:line="360" w:lineRule="auto"/>
              <w:ind w:right="25"/>
              <w:rPr>
                <w:rFonts w:ascii="宋体"/>
                <w:b/>
                <w:sz w:val="24"/>
              </w:rPr>
            </w:pPr>
            <w:r>
              <w:rPr>
                <w:rFonts w:hint="eastAsia" w:asciiTheme="minorEastAsia" w:hAnsiTheme="minorEastAsia" w:eastAsiaTheme="minorEastAsia"/>
                <w:b/>
                <w:sz w:val="24"/>
              </w:rPr>
              <w:t>规格型号</w:t>
            </w:r>
          </w:p>
        </w:tc>
        <w:tc>
          <w:tcPr>
            <w:tcW w:w="745"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数量</w:t>
            </w:r>
          </w:p>
        </w:tc>
        <w:tc>
          <w:tcPr>
            <w:tcW w:w="649"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单位</w:t>
            </w:r>
          </w:p>
        </w:tc>
        <w:tc>
          <w:tcPr>
            <w:tcW w:w="1131" w:type="dxa"/>
            <w:vAlign w:val="center"/>
          </w:tcPr>
          <w:p>
            <w:pPr>
              <w:tabs>
                <w:tab w:val="left" w:pos="8280"/>
              </w:tabs>
              <w:autoSpaceDE w:val="0"/>
              <w:autoSpaceDN w:val="0"/>
              <w:adjustRightInd w:val="0"/>
              <w:spacing w:line="360" w:lineRule="auto"/>
              <w:ind w:right="25"/>
              <w:jc w:val="center"/>
              <w:rPr>
                <w:rFonts w:ascii="宋体"/>
                <w:b/>
                <w:sz w:val="24"/>
              </w:rPr>
            </w:pPr>
            <w:r>
              <w:rPr>
                <w:rFonts w:hint="eastAsia" w:asciiTheme="minorEastAsia" w:hAnsiTheme="minorEastAsia" w:eastAsiaTheme="minorEastAsia"/>
                <w:b/>
                <w:sz w:val="24"/>
              </w:rPr>
              <w:t>预算（万元）</w:t>
            </w:r>
          </w:p>
        </w:tc>
        <w:tc>
          <w:tcPr>
            <w:tcW w:w="123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b/>
                <w:sz w:val="24"/>
              </w:rPr>
            </w:pPr>
            <w:r>
              <w:rPr>
                <w:rFonts w:hint="eastAsia" w:asciiTheme="minorEastAsia" w:hAnsiTheme="minorEastAsia" w:eastAsiaTheme="minorEastAsia"/>
                <w:b/>
                <w:sz w:val="24"/>
              </w:rPr>
              <w:t>交货期</w:t>
            </w:r>
          </w:p>
          <w:p>
            <w:pPr>
              <w:tabs>
                <w:tab w:val="left" w:pos="8280"/>
              </w:tabs>
              <w:autoSpaceDE w:val="0"/>
              <w:autoSpaceDN w:val="0"/>
              <w:adjustRightInd w:val="0"/>
              <w:spacing w:line="360" w:lineRule="auto"/>
              <w:ind w:right="25"/>
              <w:jc w:val="center"/>
              <w:rPr>
                <w:rFonts w:hint="eastAsia" w:asciiTheme="minorEastAsia" w:hAnsiTheme="minorEastAsia" w:eastAsiaTheme="minorEastAsia"/>
                <w:b/>
                <w:sz w:val="24"/>
                <w:lang w:eastAsia="zh-CN"/>
              </w:rPr>
            </w:pPr>
            <w:r>
              <w:rPr>
                <w:rFonts w:hint="eastAsia" w:asciiTheme="minorEastAsia" w:hAnsiTheme="minorEastAsia" w:eastAsiaTheme="minorEastAsia"/>
                <w:b/>
                <w:sz w:val="24"/>
              </w:rPr>
              <w:t>（合同签订后几天内）</w:t>
            </w:r>
          </w:p>
        </w:tc>
        <w:tc>
          <w:tcPr>
            <w:tcW w:w="1530" w:type="dxa"/>
            <w:vAlign w:val="center"/>
          </w:tcPr>
          <w:p>
            <w:pPr>
              <w:tabs>
                <w:tab w:val="left" w:pos="8280"/>
              </w:tabs>
              <w:autoSpaceDE w:val="0"/>
              <w:autoSpaceDN w:val="0"/>
              <w:adjustRightInd w:val="0"/>
              <w:spacing w:line="360" w:lineRule="auto"/>
              <w:ind w:right="25"/>
              <w:jc w:val="center"/>
              <w:rPr>
                <w:rFonts w:hint="eastAsia" w:asciiTheme="minorEastAsia" w:hAnsiTheme="minorEastAsia" w:eastAsiaTheme="minorEastAsia"/>
                <w:b/>
                <w:sz w:val="24"/>
              </w:rPr>
            </w:pPr>
            <w:r>
              <w:rPr>
                <w:rFonts w:hint="eastAsia" w:asciiTheme="minorEastAsia" w:hAnsiTheme="minorEastAsia" w:eastAsiaTheme="minorEastAsia"/>
                <w:b/>
                <w:sz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696" w:type="dxa"/>
            <w:vAlign w:val="center"/>
          </w:tcPr>
          <w:p>
            <w:pPr>
              <w:tabs>
                <w:tab w:val="left" w:pos="8280"/>
              </w:tabs>
              <w:autoSpaceDE w:val="0"/>
              <w:autoSpaceDN w:val="0"/>
              <w:adjustRightInd w:val="0"/>
              <w:jc w:val="center"/>
              <w:rPr>
                <w:rFonts w:ascii="宋体" w:hAnsi="宋体"/>
                <w:b/>
                <w:sz w:val="24"/>
              </w:rPr>
            </w:pPr>
            <w:r>
              <w:rPr>
                <w:rFonts w:hint="eastAsia" w:asciiTheme="minorEastAsia" w:hAnsiTheme="minorEastAsia" w:eastAsiaTheme="minorEastAsia"/>
                <w:sz w:val="24"/>
              </w:rPr>
              <w:t>1</w:t>
            </w:r>
          </w:p>
        </w:tc>
        <w:tc>
          <w:tcPr>
            <w:tcW w:w="1596" w:type="dxa"/>
            <w:vAlign w:val="center"/>
          </w:tcPr>
          <w:p>
            <w:pPr>
              <w:tabs>
                <w:tab w:val="left" w:pos="8280"/>
              </w:tabs>
              <w:autoSpaceDE w:val="0"/>
              <w:autoSpaceDN w:val="0"/>
              <w:adjustRightInd w:val="0"/>
              <w:ind w:right="25" w:rightChars="0"/>
              <w:jc w:val="center"/>
              <w:rPr>
                <w:rFonts w:ascii="宋体" w:hAnsi="宋体"/>
                <w:b/>
                <w:sz w:val="24"/>
                <w:szCs w:val="24"/>
              </w:rPr>
            </w:pPr>
            <w:r>
              <w:rPr>
                <w:rFonts w:hint="eastAsia" w:ascii="仿宋" w:hAnsi="仿宋" w:eastAsia="仿宋" w:cs="仿宋"/>
                <w:color w:val="000000" w:themeColor="text1"/>
                <w:kern w:val="0"/>
                <w:sz w:val="24"/>
                <w:szCs w:val="24"/>
                <w:lang w:val="en-US" w:eastAsia="zh-CN"/>
                <w14:textFill>
                  <w14:solidFill>
                    <w14:schemeClr w14:val="tx1"/>
                  </w14:solidFill>
                </w14:textFill>
              </w:rPr>
              <w:t>5.9米级</w:t>
            </w:r>
            <w:r>
              <w:rPr>
                <w:rFonts w:hint="eastAsia" w:ascii="仿宋" w:hAnsi="仿宋" w:eastAsia="仿宋" w:cs="仿宋"/>
                <w:color w:val="000000" w:themeColor="text1"/>
                <w:kern w:val="0"/>
                <w:sz w:val="24"/>
                <w:szCs w:val="24"/>
                <w14:textFill>
                  <w14:solidFill>
                    <w14:schemeClr w14:val="tx1"/>
                  </w14:solidFill>
                </w14:textFill>
              </w:rPr>
              <w:t>城市公交客车</w:t>
            </w:r>
          </w:p>
        </w:tc>
        <w:tc>
          <w:tcPr>
            <w:tcW w:w="1473" w:type="dxa"/>
            <w:vAlign w:val="center"/>
          </w:tcPr>
          <w:p>
            <w:pPr>
              <w:tabs>
                <w:tab w:val="left" w:pos="8280"/>
              </w:tabs>
              <w:autoSpaceDE w:val="0"/>
              <w:autoSpaceDN w:val="0"/>
              <w:adjustRightInd w:val="0"/>
              <w:ind w:right="25" w:rightChars="0"/>
              <w:jc w:val="center"/>
              <w:rPr>
                <w:rFonts w:ascii="宋体" w:hAnsi="宋体"/>
                <w:b/>
                <w:sz w:val="24"/>
                <w:szCs w:val="24"/>
              </w:rPr>
            </w:pPr>
            <w:r>
              <w:rPr>
                <w:rFonts w:hint="eastAsia" w:ascii="仿宋" w:hAnsi="仿宋" w:eastAsia="仿宋" w:cs="仿宋"/>
                <w:color w:val="000000" w:themeColor="text1"/>
                <w:sz w:val="24"/>
                <w:szCs w:val="24"/>
                <w:lang w:eastAsia="zh-CN"/>
                <w14:textFill>
                  <w14:solidFill>
                    <w14:schemeClr w14:val="tx1"/>
                  </w14:solidFill>
                </w14:textFill>
              </w:rPr>
              <w:t>详见技术需求</w:t>
            </w:r>
          </w:p>
        </w:tc>
        <w:tc>
          <w:tcPr>
            <w:tcW w:w="745" w:type="dxa"/>
            <w:vAlign w:val="center"/>
          </w:tcPr>
          <w:p>
            <w:pPr>
              <w:tabs>
                <w:tab w:val="left" w:pos="8280"/>
              </w:tabs>
              <w:autoSpaceDE w:val="0"/>
              <w:autoSpaceDN w:val="0"/>
              <w:adjustRightInd w:val="0"/>
              <w:ind w:right="25" w:rightChars="0"/>
              <w:jc w:val="center"/>
              <w:rPr>
                <w:rFonts w:hint="eastAsia" w:ascii="宋体" w:hAnsi="宋体" w:eastAsia="宋体"/>
                <w:b/>
                <w:sz w:val="24"/>
                <w:szCs w:val="24"/>
                <w:lang w:val="en-US" w:eastAsia="zh-CN"/>
              </w:rPr>
            </w:pPr>
            <w:r>
              <w:rPr>
                <w:rFonts w:hint="eastAsia" w:ascii="仿宋" w:hAnsi="仿宋" w:eastAsia="仿宋" w:cs="仿宋"/>
                <w:color w:val="auto"/>
                <w:sz w:val="24"/>
                <w:szCs w:val="24"/>
                <w:highlight w:val="none"/>
                <w:lang w:val="en-US" w:eastAsia="zh-CN"/>
              </w:rPr>
              <w:t>9</w:t>
            </w:r>
          </w:p>
        </w:tc>
        <w:tc>
          <w:tcPr>
            <w:tcW w:w="649" w:type="dxa"/>
            <w:vAlign w:val="center"/>
          </w:tcPr>
          <w:p>
            <w:pPr>
              <w:tabs>
                <w:tab w:val="left" w:pos="8280"/>
              </w:tabs>
              <w:autoSpaceDE w:val="0"/>
              <w:autoSpaceDN w:val="0"/>
              <w:adjustRightInd w:val="0"/>
              <w:ind w:right="25" w:rightChars="0"/>
              <w:jc w:val="center"/>
              <w:rPr>
                <w:rFonts w:hint="eastAsia" w:ascii="宋体" w:hAnsi="宋体" w:eastAsia="宋体"/>
                <w:b/>
                <w:sz w:val="24"/>
                <w:szCs w:val="24"/>
                <w:lang w:eastAsia="zh-CN"/>
              </w:rPr>
            </w:pPr>
            <w:r>
              <w:rPr>
                <w:rFonts w:hint="eastAsia" w:ascii="仿宋" w:hAnsi="仿宋" w:eastAsia="仿宋" w:cs="仿宋"/>
                <w:color w:val="auto"/>
                <w:sz w:val="24"/>
                <w:szCs w:val="24"/>
                <w:highlight w:val="none"/>
                <w:lang w:eastAsia="zh-CN"/>
              </w:rPr>
              <w:t>辆</w:t>
            </w:r>
          </w:p>
        </w:tc>
        <w:tc>
          <w:tcPr>
            <w:tcW w:w="1131" w:type="dxa"/>
            <w:vAlign w:val="center"/>
          </w:tcPr>
          <w:p>
            <w:pPr>
              <w:tabs>
                <w:tab w:val="left" w:pos="8280"/>
              </w:tabs>
              <w:autoSpaceDE w:val="0"/>
              <w:autoSpaceDN w:val="0"/>
              <w:adjustRightInd w:val="0"/>
              <w:ind w:right="25" w:rightChars="0"/>
              <w:jc w:val="center"/>
              <w:rPr>
                <w:rFonts w:hint="default" w:ascii="宋体" w:hAnsi="宋体" w:eastAsia="宋体"/>
                <w:b/>
                <w:sz w:val="24"/>
                <w:szCs w:val="24"/>
                <w:lang w:val="en-US" w:eastAsia="zh-CN"/>
              </w:rPr>
            </w:pPr>
            <w:r>
              <w:rPr>
                <w:rFonts w:hint="eastAsia" w:ascii="仿宋" w:hAnsi="仿宋" w:eastAsia="仿宋" w:cs="仿宋"/>
                <w:color w:val="auto"/>
                <w:kern w:val="2"/>
                <w:sz w:val="24"/>
                <w:szCs w:val="24"/>
                <w:highlight w:val="none"/>
                <w:lang w:val="en-US" w:eastAsia="zh-CN" w:bidi="ar-SA"/>
              </w:rPr>
              <w:t>549</w:t>
            </w:r>
          </w:p>
        </w:tc>
        <w:tc>
          <w:tcPr>
            <w:tcW w:w="1230" w:type="dxa"/>
            <w:vAlign w:val="center"/>
          </w:tcPr>
          <w:p>
            <w:pPr>
              <w:widowControl/>
              <w:jc w:val="center"/>
              <w:rPr>
                <w:rFonts w:ascii="宋体" w:hAnsi="宋体"/>
                <w:b/>
                <w:sz w:val="24"/>
                <w:szCs w:val="24"/>
              </w:rPr>
            </w:pPr>
            <w:r>
              <w:rPr>
                <w:rFonts w:hint="eastAsia" w:ascii="仿宋" w:hAnsi="仿宋" w:eastAsia="仿宋" w:cs="仿宋"/>
                <w:color w:val="auto"/>
                <w:sz w:val="24"/>
                <w:szCs w:val="24"/>
                <w:highlight w:val="none"/>
                <w:lang w:val="en-US" w:eastAsia="zh-CN"/>
              </w:rPr>
              <w:t>40天</w:t>
            </w:r>
          </w:p>
        </w:tc>
        <w:tc>
          <w:tcPr>
            <w:tcW w:w="1530" w:type="dxa"/>
            <w:vMerge w:val="restart"/>
            <w:vAlign w:val="center"/>
          </w:tcPr>
          <w:p>
            <w:pPr>
              <w:tabs>
                <w:tab w:val="left" w:pos="8280"/>
              </w:tabs>
              <w:autoSpaceDE w:val="0"/>
              <w:autoSpaceDN w:val="0"/>
              <w:adjustRightInd w:val="0"/>
              <w:jc w:val="center"/>
              <w:rPr>
                <w:rFonts w:ascii="宋体" w:hAnsi="宋体"/>
                <w:b/>
                <w:sz w:val="24"/>
                <w:szCs w:val="24"/>
              </w:rPr>
            </w:pPr>
            <w:r>
              <w:rPr>
                <w:rFonts w:hint="eastAsia" w:ascii="仿宋" w:hAnsi="仿宋" w:eastAsia="仿宋" w:cs="仿宋"/>
                <w:color w:val="000000" w:themeColor="text1"/>
                <w:sz w:val="24"/>
                <w:szCs w:val="24"/>
                <w:lang w:eastAsia="zh-CN"/>
                <w14:textFill>
                  <w14:solidFill>
                    <w14:schemeClr w14:val="tx1"/>
                  </w14:solidFill>
                </w14:textFill>
              </w:rPr>
              <w:t>台州市公交巴士有限公司指定地点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696" w:type="dxa"/>
            <w:vAlign w:val="center"/>
          </w:tcPr>
          <w:p>
            <w:pPr>
              <w:tabs>
                <w:tab w:val="left" w:pos="8280"/>
              </w:tabs>
              <w:autoSpaceDE w:val="0"/>
              <w:autoSpaceDN w:val="0"/>
              <w:adjustRightIn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2</w:t>
            </w:r>
          </w:p>
        </w:tc>
        <w:tc>
          <w:tcPr>
            <w:tcW w:w="1596"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kern w:val="0"/>
                <w:sz w:val="24"/>
                <w:szCs w:val="24"/>
              </w:rPr>
            </w:pPr>
            <w:r>
              <w:rPr>
                <w:rFonts w:hint="eastAsia" w:ascii="仿宋" w:hAnsi="仿宋" w:eastAsia="仿宋" w:cs="仿宋"/>
                <w:color w:val="000000" w:themeColor="text1"/>
                <w:kern w:val="0"/>
                <w:sz w:val="24"/>
                <w:szCs w:val="24"/>
                <w:lang w:val="en-US" w:eastAsia="zh-CN"/>
                <w14:textFill>
                  <w14:solidFill>
                    <w14:schemeClr w14:val="tx1"/>
                  </w14:solidFill>
                </w14:textFill>
              </w:rPr>
              <w:t>8米级</w:t>
            </w:r>
            <w:r>
              <w:rPr>
                <w:rFonts w:hint="eastAsia" w:ascii="仿宋" w:hAnsi="仿宋" w:eastAsia="仿宋" w:cs="仿宋"/>
                <w:color w:val="000000" w:themeColor="text1"/>
                <w:kern w:val="0"/>
                <w:sz w:val="24"/>
                <w:szCs w:val="24"/>
                <w14:textFill>
                  <w14:solidFill>
                    <w14:schemeClr w14:val="tx1"/>
                  </w14:solidFill>
                </w14:textFill>
              </w:rPr>
              <w:t>城市公交客车</w:t>
            </w:r>
          </w:p>
        </w:tc>
        <w:tc>
          <w:tcPr>
            <w:tcW w:w="1473" w:type="dxa"/>
            <w:vAlign w:val="center"/>
          </w:tcPr>
          <w:p>
            <w:pPr>
              <w:tabs>
                <w:tab w:val="left" w:pos="8280"/>
              </w:tabs>
              <w:autoSpaceDE w:val="0"/>
              <w:autoSpaceDN w:val="0"/>
              <w:adjustRightInd w:val="0"/>
              <w:ind w:right="25" w:rightChars="0"/>
              <w:jc w:val="center"/>
              <w:rPr>
                <w:rFonts w:hint="eastAsia" w:ascii="宋体" w:hAnsi="宋体" w:cs="宋体"/>
                <w:kern w:val="0"/>
                <w:sz w:val="24"/>
                <w:szCs w:val="24"/>
              </w:rPr>
            </w:pPr>
            <w:r>
              <w:rPr>
                <w:rFonts w:hint="eastAsia" w:ascii="仿宋" w:hAnsi="仿宋" w:eastAsia="仿宋" w:cs="仿宋"/>
                <w:color w:val="000000" w:themeColor="text1"/>
                <w:sz w:val="24"/>
                <w:szCs w:val="24"/>
                <w:lang w:eastAsia="zh-CN"/>
                <w14:textFill>
                  <w14:solidFill>
                    <w14:schemeClr w14:val="tx1"/>
                  </w14:solidFill>
                </w14:textFill>
              </w:rPr>
              <w:t>详见技术需求</w:t>
            </w:r>
          </w:p>
        </w:tc>
        <w:tc>
          <w:tcPr>
            <w:tcW w:w="745"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11</w:t>
            </w:r>
          </w:p>
        </w:tc>
        <w:tc>
          <w:tcPr>
            <w:tcW w:w="649"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辆</w:t>
            </w:r>
          </w:p>
        </w:tc>
        <w:tc>
          <w:tcPr>
            <w:tcW w:w="1131" w:type="dxa"/>
            <w:vAlign w:val="center"/>
          </w:tcPr>
          <w:p>
            <w:pPr>
              <w:tabs>
                <w:tab w:val="left" w:pos="8280"/>
              </w:tabs>
              <w:autoSpaceDE w:val="0"/>
              <w:autoSpaceDN w:val="0"/>
              <w:adjustRightInd w:val="0"/>
              <w:ind w:right="25" w:rightChars="0"/>
              <w:jc w:val="center"/>
              <w:rPr>
                <w:rFonts w:hint="default"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781</w:t>
            </w:r>
          </w:p>
        </w:tc>
        <w:tc>
          <w:tcPr>
            <w:tcW w:w="1230"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val="en-US" w:eastAsia="zh-CN"/>
              </w:rPr>
              <w:t>40天</w:t>
            </w:r>
          </w:p>
        </w:tc>
        <w:tc>
          <w:tcPr>
            <w:tcW w:w="1530" w:type="dxa"/>
            <w:vMerge w:val="continue"/>
            <w:vAlign w:val="center"/>
          </w:tcPr>
          <w:p>
            <w:pPr>
              <w:tabs>
                <w:tab w:val="left" w:pos="8280"/>
              </w:tabs>
              <w:autoSpaceDE w:val="0"/>
              <w:autoSpaceDN w:val="0"/>
              <w:adjustRightInd w:val="0"/>
              <w:jc w:val="center"/>
              <w:rPr>
                <w:rFonts w:hint="eastAsia"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696" w:type="dxa"/>
            <w:vAlign w:val="center"/>
          </w:tcPr>
          <w:p>
            <w:pPr>
              <w:tabs>
                <w:tab w:val="left" w:pos="8280"/>
              </w:tabs>
              <w:autoSpaceDE w:val="0"/>
              <w:autoSpaceDN w:val="0"/>
              <w:adjustRightIn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3</w:t>
            </w:r>
          </w:p>
        </w:tc>
        <w:tc>
          <w:tcPr>
            <w:tcW w:w="1596"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kern w:val="0"/>
                <w:sz w:val="24"/>
                <w:szCs w:val="24"/>
              </w:rPr>
            </w:pPr>
            <w:r>
              <w:rPr>
                <w:rFonts w:hint="eastAsia" w:ascii="仿宋" w:hAnsi="仿宋" w:eastAsia="仿宋" w:cs="仿宋"/>
                <w:color w:val="000000" w:themeColor="text1"/>
                <w:kern w:val="0"/>
                <w:sz w:val="24"/>
                <w:szCs w:val="24"/>
                <w:lang w:val="en-US" w:eastAsia="zh-CN"/>
                <w14:textFill>
                  <w14:solidFill>
                    <w14:schemeClr w14:val="tx1"/>
                  </w14:solidFill>
                </w14:textFill>
              </w:rPr>
              <w:t>8.5米级</w:t>
            </w:r>
            <w:r>
              <w:rPr>
                <w:rFonts w:hint="eastAsia" w:ascii="仿宋" w:hAnsi="仿宋" w:eastAsia="仿宋" w:cs="仿宋"/>
                <w:color w:val="000000" w:themeColor="text1"/>
                <w:kern w:val="0"/>
                <w:sz w:val="24"/>
                <w:szCs w:val="24"/>
                <w14:textFill>
                  <w14:solidFill>
                    <w14:schemeClr w14:val="tx1"/>
                  </w14:solidFill>
                </w14:textFill>
              </w:rPr>
              <w:t>城市公交客车</w:t>
            </w:r>
          </w:p>
        </w:tc>
        <w:tc>
          <w:tcPr>
            <w:tcW w:w="1473" w:type="dxa"/>
            <w:vAlign w:val="center"/>
          </w:tcPr>
          <w:p>
            <w:pPr>
              <w:tabs>
                <w:tab w:val="left" w:pos="8280"/>
              </w:tabs>
              <w:autoSpaceDE w:val="0"/>
              <w:autoSpaceDN w:val="0"/>
              <w:adjustRightInd w:val="0"/>
              <w:ind w:right="25" w:rightChars="0"/>
              <w:jc w:val="center"/>
              <w:rPr>
                <w:rFonts w:hint="eastAsia" w:ascii="宋体" w:hAnsi="宋体" w:cs="宋体"/>
                <w:kern w:val="0"/>
                <w:sz w:val="24"/>
                <w:szCs w:val="24"/>
              </w:rPr>
            </w:pPr>
            <w:r>
              <w:rPr>
                <w:rFonts w:hint="eastAsia" w:ascii="仿宋" w:hAnsi="仿宋" w:eastAsia="仿宋" w:cs="仿宋"/>
                <w:color w:val="000000" w:themeColor="text1"/>
                <w:sz w:val="24"/>
                <w:szCs w:val="24"/>
                <w:lang w:eastAsia="zh-CN"/>
                <w14:textFill>
                  <w14:solidFill>
                    <w14:schemeClr w14:val="tx1"/>
                  </w14:solidFill>
                </w14:textFill>
              </w:rPr>
              <w:t>详见技术需求</w:t>
            </w:r>
          </w:p>
        </w:tc>
        <w:tc>
          <w:tcPr>
            <w:tcW w:w="745"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10</w:t>
            </w:r>
          </w:p>
        </w:tc>
        <w:tc>
          <w:tcPr>
            <w:tcW w:w="649"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eastAsia="zh-CN"/>
              </w:rPr>
              <w:t>辆</w:t>
            </w:r>
          </w:p>
        </w:tc>
        <w:tc>
          <w:tcPr>
            <w:tcW w:w="1131" w:type="dxa"/>
            <w:vAlign w:val="center"/>
          </w:tcPr>
          <w:p>
            <w:pPr>
              <w:tabs>
                <w:tab w:val="left" w:pos="8280"/>
              </w:tabs>
              <w:autoSpaceDE w:val="0"/>
              <w:autoSpaceDN w:val="0"/>
              <w:adjustRightInd w:val="0"/>
              <w:ind w:right="25" w:rightChars="0"/>
              <w:jc w:val="center"/>
              <w:rPr>
                <w:rFonts w:hint="default"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800</w:t>
            </w:r>
          </w:p>
        </w:tc>
        <w:tc>
          <w:tcPr>
            <w:tcW w:w="1230"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val="en-US" w:eastAsia="zh-CN"/>
              </w:rPr>
              <w:t>40天</w:t>
            </w:r>
          </w:p>
        </w:tc>
        <w:tc>
          <w:tcPr>
            <w:tcW w:w="1530" w:type="dxa"/>
            <w:vMerge w:val="continue"/>
            <w:vAlign w:val="center"/>
          </w:tcPr>
          <w:p>
            <w:pPr>
              <w:tabs>
                <w:tab w:val="left" w:pos="8280"/>
              </w:tabs>
              <w:autoSpaceDE w:val="0"/>
              <w:autoSpaceDN w:val="0"/>
              <w:adjustRightInd w:val="0"/>
              <w:jc w:val="center"/>
              <w:rPr>
                <w:rFonts w:hint="eastAsia" w:asciiTheme="minorEastAsia" w:hAnsiTheme="minorEastAsia" w:eastAsia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696" w:type="dxa"/>
            <w:vAlign w:val="center"/>
          </w:tcPr>
          <w:p>
            <w:pPr>
              <w:tabs>
                <w:tab w:val="left" w:pos="8280"/>
              </w:tabs>
              <w:autoSpaceDE w:val="0"/>
              <w:autoSpaceDN w:val="0"/>
              <w:adjustRightInd w:val="0"/>
              <w:jc w:val="center"/>
              <w:rPr>
                <w:rFonts w:hint="eastAsia" w:asciiTheme="minorEastAsia" w:hAnsiTheme="minorEastAsia" w:eastAsiaTheme="minorEastAsia"/>
                <w:sz w:val="24"/>
                <w:lang w:val="en-US" w:eastAsia="zh-CN"/>
              </w:rPr>
            </w:pPr>
            <w:r>
              <w:rPr>
                <w:rFonts w:hint="eastAsia" w:asciiTheme="minorEastAsia" w:hAnsiTheme="minorEastAsia" w:eastAsiaTheme="minorEastAsia"/>
                <w:sz w:val="24"/>
                <w:lang w:val="en-US" w:eastAsia="zh-CN"/>
              </w:rPr>
              <w:t>4</w:t>
            </w:r>
          </w:p>
        </w:tc>
        <w:tc>
          <w:tcPr>
            <w:tcW w:w="1596"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kern w:val="0"/>
                <w:sz w:val="24"/>
                <w:szCs w:val="24"/>
              </w:rPr>
            </w:pPr>
            <w:r>
              <w:rPr>
                <w:rFonts w:hint="eastAsia" w:ascii="仿宋" w:hAnsi="仿宋" w:eastAsia="仿宋" w:cs="仿宋"/>
                <w:color w:val="000000" w:themeColor="text1"/>
                <w:kern w:val="0"/>
                <w:sz w:val="24"/>
                <w:szCs w:val="24"/>
                <w:lang w:val="en-US" w:eastAsia="zh-CN"/>
                <w14:textFill>
                  <w14:solidFill>
                    <w14:schemeClr w14:val="tx1"/>
                  </w14:solidFill>
                </w14:textFill>
              </w:rPr>
              <w:t>8.5米级</w:t>
            </w:r>
            <w:r>
              <w:rPr>
                <w:rFonts w:hint="eastAsia" w:ascii="仿宋" w:hAnsi="仿宋" w:eastAsia="仿宋" w:cs="仿宋"/>
                <w:color w:val="000000" w:themeColor="text1"/>
                <w:kern w:val="0"/>
                <w:sz w:val="24"/>
                <w:szCs w:val="24"/>
                <w14:textFill>
                  <w14:solidFill>
                    <w14:schemeClr w14:val="tx1"/>
                  </w14:solidFill>
                </w14:textFill>
              </w:rPr>
              <w:t>城市公交客车</w:t>
            </w:r>
            <w:r>
              <w:rPr>
                <w:rFonts w:hint="eastAsia" w:ascii="仿宋" w:hAnsi="仿宋" w:eastAsia="仿宋" w:cs="仿宋"/>
                <w:color w:val="000000" w:themeColor="text1"/>
                <w:kern w:val="0"/>
                <w:sz w:val="24"/>
                <w:szCs w:val="24"/>
                <w:lang w:eastAsia="zh-CN"/>
                <w14:textFill>
                  <w14:solidFill>
                    <w14:schemeClr w14:val="tx1"/>
                  </w14:solidFill>
                </w14:textFill>
              </w:rPr>
              <w:t>（轮边驱动）</w:t>
            </w:r>
          </w:p>
        </w:tc>
        <w:tc>
          <w:tcPr>
            <w:tcW w:w="1473" w:type="dxa"/>
            <w:vAlign w:val="center"/>
          </w:tcPr>
          <w:p>
            <w:pPr>
              <w:tabs>
                <w:tab w:val="left" w:pos="8280"/>
              </w:tabs>
              <w:autoSpaceDE w:val="0"/>
              <w:autoSpaceDN w:val="0"/>
              <w:adjustRightInd w:val="0"/>
              <w:ind w:right="25" w:rightChars="0"/>
              <w:jc w:val="center"/>
              <w:rPr>
                <w:rFonts w:hint="eastAsia" w:ascii="宋体" w:hAnsi="宋体" w:cs="宋体"/>
                <w:kern w:val="0"/>
                <w:sz w:val="24"/>
                <w:szCs w:val="24"/>
              </w:rPr>
            </w:pPr>
            <w:r>
              <w:rPr>
                <w:rFonts w:hint="eastAsia" w:ascii="仿宋" w:hAnsi="仿宋" w:eastAsia="仿宋" w:cs="仿宋"/>
                <w:color w:val="000000" w:themeColor="text1"/>
                <w:sz w:val="24"/>
                <w:szCs w:val="24"/>
                <w:lang w:eastAsia="zh-CN"/>
                <w14:textFill>
                  <w14:solidFill>
                    <w14:schemeClr w14:val="tx1"/>
                  </w14:solidFill>
                </w14:textFill>
              </w:rPr>
              <w:t>详见技术需求</w:t>
            </w:r>
          </w:p>
        </w:tc>
        <w:tc>
          <w:tcPr>
            <w:tcW w:w="745"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kern w:val="2"/>
                <w:sz w:val="24"/>
                <w:szCs w:val="24"/>
                <w:highlight w:val="none"/>
                <w:lang w:val="en-US" w:eastAsia="zh-CN" w:bidi="ar-SA"/>
              </w:rPr>
              <w:t>8</w:t>
            </w:r>
          </w:p>
        </w:tc>
        <w:tc>
          <w:tcPr>
            <w:tcW w:w="649"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eastAsia="zh-CN"/>
              </w:rPr>
              <w:t>辆</w:t>
            </w:r>
          </w:p>
        </w:tc>
        <w:tc>
          <w:tcPr>
            <w:tcW w:w="1131" w:type="dxa"/>
            <w:vAlign w:val="center"/>
          </w:tcPr>
          <w:p>
            <w:pPr>
              <w:tabs>
                <w:tab w:val="left" w:pos="8280"/>
              </w:tabs>
              <w:autoSpaceDE w:val="0"/>
              <w:autoSpaceDN w:val="0"/>
              <w:adjustRightInd w:val="0"/>
              <w:ind w:right="25" w:rightChars="0"/>
              <w:jc w:val="center"/>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lang w:val="en-US" w:eastAsia="zh-CN"/>
              </w:rPr>
              <w:t>720</w:t>
            </w:r>
          </w:p>
        </w:tc>
        <w:tc>
          <w:tcPr>
            <w:tcW w:w="1230" w:type="dxa"/>
            <w:vAlign w:val="center"/>
          </w:tcPr>
          <w:p>
            <w:pPr>
              <w:tabs>
                <w:tab w:val="left" w:pos="8280"/>
              </w:tabs>
              <w:autoSpaceDE w:val="0"/>
              <w:autoSpaceDN w:val="0"/>
              <w:adjustRightInd w:val="0"/>
              <w:ind w:right="25" w:rightChars="0"/>
              <w:jc w:val="center"/>
              <w:rPr>
                <w:rFonts w:hint="eastAsia" w:asciiTheme="minorEastAsia" w:hAnsiTheme="minorEastAsia" w:eastAsiaTheme="minorEastAsia"/>
                <w:sz w:val="24"/>
                <w:szCs w:val="24"/>
                <w:lang w:val="en-US" w:eastAsia="zh-CN"/>
              </w:rPr>
            </w:pPr>
            <w:r>
              <w:rPr>
                <w:rFonts w:hint="eastAsia" w:ascii="仿宋" w:hAnsi="仿宋" w:eastAsia="仿宋" w:cs="仿宋"/>
                <w:color w:val="auto"/>
                <w:sz w:val="24"/>
                <w:szCs w:val="24"/>
                <w:highlight w:val="none"/>
                <w:lang w:val="en-US" w:eastAsia="zh-CN"/>
              </w:rPr>
              <w:t>40天</w:t>
            </w:r>
          </w:p>
        </w:tc>
        <w:tc>
          <w:tcPr>
            <w:tcW w:w="1530" w:type="dxa"/>
            <w:vMerge w:val="continue"/>
            <w:vAlign w:val="center"/>
          </w:tcPr>
          <w:p>
            <w:pPr>
              <w:tabs>
                <w:tab w:val="left" w:pos="8280"/>
              </w:tabs>
              <w:autoSpaceDE w:val="0"/>
              <w:autoSpaceDN w:val="0"/>
              <w:adjustRightInd w:val="0"/>
              <w:jc w:val="center"/>
              <w:rPr>
                <w:rFonts w:hint="eastAsia" w:asciiTheme="minorEastAsia" w:hAnsiTheme="minorEastAsia" w:eastAsiaTheme="minorEastAsia"/>
                <w:kern w:val="0"/>
                <w:sz w:val="24"/>
                <w:szCs w:val="24"/>
              </w:rPr>
            </w:pPr>
          </w:p>
        </w:tc>
      </w:tr>
    </w:tbl>
    <w:p>
      <w:pPr>
        <w:tabs>
          <w:tab w:val="left" w:pos="8280"/>
        </w:tabs>
        <w:autoSpaceDE w:val="0"/>
        <w:autoSpaceDN w:val="0"/>
        <w:adjustRightInd w:val="0"/>
        <w:spacing w:line="360" w:lineRule="auto"/>
        <w:ind w:right="25"/>
        <w:rPr>
          <w:rFonts w:asciiTheme="minorEastAsia" w:hAnsiTheme="minorEastAsia" w:eastAsiaTheme="minorEastAsia"/>
          <w:b/>
          <w:sz w:val="24"/>
          <w:szCs w:val="24"/>
        </w:rPr>
      </w:pPr>
      <w:r>
        <w:rPr>
          <w:rFonts w:hint="eastAsia" w:asciiTheme="minorEastAsia" w:hAnsiTheme="minorEastAsia" w:eastAsiaTheme="minorEastAsia"/>
          <w:b/>
          <w:sz w:val="24"/>
          <w:szCs w:val="24"/>
        </w:rPr>
        <w:t>二、技术需求</w:t>
      </w:r>
    </w:p>
    <w:p>
      <w:pPr>
        <w:spacing w:line="360" w:lineRule="auto"/>
        <w:ind w:firstLine="562" w:firstLineChars="200"/>
        <w:rPr>
          <w:rFonts w:hint="eastAsia" w:ascii="仿宋" w:hAnsi="仿宋" w:eastAsia="仿宋" w:cs="仿宋"/>
          <w:b/>
          <w:bCs/>
          <w:color w:val="auto"/>
          <w:sz w:val="28"/>
          <w:szCs w:val="28"/>
          <w:highlight w:val="none"/>
          <w:u w:val="none"/>
        </w:rPr>
      </w:pPr>
      <w:r>
        <w:rPr>
          <w:rFonts w:hint="eastAsia" w:ascii="仿宋" w:hAnsi="仿宋" w:eastAsia="仿宋" w:cs="仿宋"/>
          <w:b/>
          <w:bCs/>
          <w:color w:val="auto"/>
          <w:sz w:val="28"/>
          <w:szCs w:val="28"/>
          <w:highlight w:val="none"/>
          <w:u w:val="none"/>
        </w:rPr>
        <w:t>（一）项目概况</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eastAsia="zh-CN"/>
        </w:rPr>
        <w:t>本次</w:t>
      </w:r>
      <w:r>
        <w:rPr>
          <w:rFonts w:hint="eastAsia" w:ascii="仿宋" w:hAnsi="仿宋" w:eastAsia="仿宋" w:cs="仿宋"/>
          <w:color w:val="auto"/>
          <w:sz w:val="28"/>
          <w:szCs w:val="28"/>
          <w:highlight w:val="none"/>
          <w:u w:val="none"/>
        </w:rPr>
        <w:t>台州市公交巴士有限公司车辆招标共需招标采购</w:t>
      </w:r>
      <w:r>
        <w:rPr>
          <w:rFonts w:hint="eastAsia" w:ascii="仿宋" w:hAnsi="仿宋" w:eastAsia="仿宋" w:cs="仿宋"/>
          <w:color w:val="auto"/>
          <w:sz w:val="28"/>
          <w:szCs w:val="28"/>
          <w:highlight w:val="none"/>
          <w:u w:val="none"/>
          <w:lang w:val="en-US" w:eastAsia="zh-CN"/>
        </w:rPr>
        <w:t>38辆，其中9</w:t>
      </w:r>
      <w:r>
        <w:rPr>
          <w:rFonts w:hint="eastAsia" w:ascii="仿宋" w:hAnsi="仿宋" w:eastAsia="仿宋" w:cs="仿宋"/>
          <w:color w:val="auto"/>
          <w:sz w:val="28"/>
          <w:szCs w:val="28"/>
          <w:highlight w:val="none"/>
          <w:u w:val="none"/>
        </w:rPr>
        <w:t>辆</w:t>
      </w:r>
      <w:r>
        <w:rPr>
          <w:rFonts w:hint="eastAsia" w:ascii="仿宋" w:hAnsi="仿宋" w:eastAsia="仿宋" w:cs="仿宋"/>
          <w:color w:val="auto"/>
          <w:sz w:val="28"/>
          <w:szCs w:val="28"/>
          <w:highlight w:val="none"/>
          <w:u w:val="none"/>
          <w:lang w:val="en-US" w:eastAsia="zh-CN"/>
        </w:rPr>
        <w:t>5.9米</w:t>
      </w:r>
      <w:r>
        <w:rPr>
          <w:rFonts w:hint="eastAsia" w:ascii="仿宋" w:hAnsi="仿宋" w:eastAsia="仿宋" w:cs="仿宋"/>
          <w:color w:val="auto"/>
          <w:sz w:val="28"/>
          <w:szCs w:val="28"/>
          <w:highlight w:val="none"/>
          <w:u w:val="none"/>
        </w:rPr>
        <w:t>级纯电动城市客车（电池电量≥</w:t>
      </w:r>
      <w:r>
        <w:rPr>
          <w:rFonts w:hint="eastAsia" w:ascii="仿宋" w:hAnsi="仿宋" w:eastAsia="仿宋" w:cs="仿宋"/>
          <w:b w:val="0"/>
          <w:bCs w:val="0"/>
          <w:color w:val="auto"/>
          <w:sz w:val="28"/>
          <w:szCs w:val="28"/>
          <w:highlight w:val="none"/>
          <w:u w:val="none"/>
          <w:lang w:val="en-US" w:eastAsia="zh-CN"/>
        </w:rPr>
        <w:t>9</w:t>
      </w:r>
      <w:r>
        <w:rPr>
          <w:rFonts w:hint="eastAsia" w:ascii="仿宋" w:hAnsi="仿宋" w:eastAsia="仿宋" w:cs="仿宋"/>
          <w:b w:val="0"/>
          <w:bCs w:val="0"/>
          <w:color w:val="auto"/>
          <w:sz w:val="28"/>
          <w:szCs w:val="28"/>
          <w:highlight w:val="none"/>
          <w:u w:val="none"/>
        </w:rPr>
        <w:t>0</w:t>
      </w:r>
      <w:r>
        <w:rPr>
          <w:rFonts w:hint="eastAsia" w:ascii="仿宋" w:hAnsi="仿宋" w:eastAsia="仿宋" w:cs="仿宋"/>
          <w:color w:val="auto"/>
          <w:sz w:val="28"/>
          <w:szCs w:val="28"/>
          <w:highlight w:val="none"/>
          <w:u w:val="none"/>
        </w:rPr>
        <w:t>kwh）</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11</w:t>
      </w:r>
      <w:r>
        <w:rPr>
          <w:rFonts w:hint="eastAsia" w:ascii="仿宋" w:hAnsi="仿宋" w:eastAsia="仿宋" w:cs="仿宋"/>
          <w:color w:val="auto"/>
          <w:sz w:val="28"/>
          <w:szCs w:val="28"/>
          <w:highlight w:val="none"/>
          <w:u w:val="none"/>
        </w:rPr>
        <w:t>辆</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米级纯电动城市客车（电池电量≥1</w:t>
      </w: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0kwh）</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辆</w:t>
      </w:r>
      <w:r>
        <w:rPr>
          <w:rFonts w:hint="eastAsia" w:ascii="仿宋" w:hAnsi="仿宋" w:eastAsia="仿宋" w:cs="仿宋"/>
          <w:color w:val="auto"/>
          <w:sz w:val="28"/>
          <w:szCs w:val="28"/>
          <w:highlight w:val="none"/>
          <w:u w:val="none"/>
          <w:lang w:val="en-US" w:eastAsia="zh-CN"/>
        </w:rPr>
        <w:t>8.5</w:t>
      </w:r>
      <w:r>
        <w:rPr>
          <w:rFonts w:hint="eastAsia" w:ascii="仿宋" w:hAnsi="仿宋" w:eastAsia="仿宋" w:cs="仿宋"/>
          <w:color w:val="auto"/>
          <w:sz w:val="28"/>
          <w:szCs w:val="28"/>
          <w:highlight w:val="none"/>
          <w:u w:val="none"/>
        </w:rPr>
        <w:t>米级纯电动城市客车（电池电量≥</w:t>
      </w:r>
      <w:r>
        <w:rPr>
          <w:rFonts w:hint="eastAsia" w:ascii="仿宋" w:hAnsi="仿宋" w:eastAsia="仿宋" w:cs="仿宋"/>
          <w:color w:val="auto"/>
          <w:sz w:val="28"/>
          <w:szCs w:val="28"/>
          <w:highlight w:val="none"/>
          <w:u w:val="none"/>
          <w:lang w:val="en-US" w:eastAsia="zh-CN"/>
        </w:rPr>
        <w:t>18</w:t>
      </w:r>
      <w:r>
        <w:rPr>
          <w:rFonts w:hint="eastAsia" w:ascii="仿宋" w:hAnsi="仿宋" w:eastAsia="仿宋" w:cs="仿宋"/>
          <w:color w:val="auto"/>
          <w:sz w:val="28"/>
          <w:szCs w:val="28"/>
          <w:highlight w:val="none"/>
          <w:u w:val="none"/>
        </w:rPr>
        <w:t>0kwh）</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辆</w:t>
      </w:r>
      <w:r>
        <w:rPr>
          <w:rFonts w:hint="eastAsia" w:ascii="仿宋" w:hAnsi="仿宋" w:eastAsia="仿宋" w:cs="仿宋"/>
          <w:color w:val="auto"/>
          <w:sz w:val="28"/>
          <w:szCs w:val="28"/>
          <w:highlight w:val="none"/>
          <w:u w:val="none"/>
          <w:lang w:val="en-US" w:eastAsia="zh-CN"/>
        </w:rPr>
        <w:t>8.5米</w:t>
      </w:r>
      <w:r>
        <w:rPr>
          <w:rFonts w:hint="eastAsia" w:ascii="仿宋" w:hAnsi="仿宋" w:eastAsia="仿宋" w:cs="仿宋"/>
          <w:color w:val="auto"/>
          <w:sz w:val="28"/>
          <w:szCs w:val="28"/>
          <w:highlight w:val="none"/>
          <w:u w:val="none"/>
        </w:rPr>
        <w:t>级纯电动</w:t>
      </w:r>
      <w:r>
        <w:rPr>
          <w:rFonts w:hint="eastAsia" w:ascii="仿宋" w:hAnsi="仿宋" w:eastAsia="仿宋" w:cs="仿宋"/>
          <w:color w:val="auto"/>
          <w:sz w:val="28"/>
          <w:szCs w:val="28"/>
          <w:highlight w:val="none"/>
          <w:u w:val="none"/>
          <w:lang w:eastAsia="zh-CN"/>
        </w:rPr>
        <w:t>轮边驱动</w:t>
      </w:r>
      <w:r>
        <w:rPr>
          <w:rFonts w:hint="eastAsia" w:ascii="仿宋" w:hAnsi="仿宋" w:eastAsia="仿宋" w:cs="仿宋"/>
          <w:color w:val="auto"/>
          <w:sz w:val="28"/>
          <w:szCs w:val="28"/>
          <w:highlight w:val="none"/>
          <w:u w:val="none"/>
        </w:rPr>
        <w:t>城市客车（电池电量≥1</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0kwh）。</w:t>
      </w:r>
    </w:p>
    <w:p>
      <w:pPr>
        <w:autoSpaceDE w:val="0"/>
        <w:autoSpaceDN w:val="0"/>
        <w:adjustRightInd w:val="0"/>
        <w:spacing w:line="360" w:lineRule="auto"/>
        <w:ind w:firstLine="562" w:firstLineChars="200"/>
        <w:rPr>
          <w:rFonts w:hint="eastAsia" w:ascii="仿宋" w:hAnsi="仿宋" w:eastAsia="仿宋" w:cs="仿宋"/>
          <w:color w:val="auto"/>
          <w:spacing w:val="8"/>
          <w:sz w:val="28"/>
          <w:szCs w:val="28"/>
          <w:highlight w:val="none"/>
          <w:u w:val="none"/>
        </w:rPr>
      </w:pPr>
      <w:r>
        <w:rPr>
          <w:rFonts w:hint="eastAsia" w:ascii="仿宋" w:hAnsi="仿宋" w:eastAsia="仿宋" w:cs="仿宋"/>
          <w:b/>
          <w:color w:val="auto"/>
          <w:sz w:val="28"/>
          <w:szCs w:val="28"/>
          <w:highlight w:val="none"/>
          <w:u w:val="none"/>
          <w:lang w:eastAsia="zh-CN"/>
        </w:rPr>
        <w:t>（二）</w:t>
      </w:r>
      <w:r>
        <w:rPr>
          <w:rFonts w:hint="eastAsia" w:ascii="仿宋" w:hAnsi="仿宋" w:eastAsia="仿宋" w:cs="仿宋"/>
          <w:b/>
          <w:color w:val="auto"/>
          <w:sz w:val="28"/>
          <w:szCs w:val="28"/>
          <w:highlight w:val="none"/>
          <w:u w:val="none"/>
        </w:rPr>
        <w:t>项目总体要求</w:t>
      </w:r>
    </w:p>
    <w:p>
      <w:pPr>
        <w:autoSpaceDE w:val="0"/>
        <w:autoSpaceDN w:val="0"/>
        <w:adjustRightInd w:val="0"/>
        <w:spacing w:line="360" w:lineRule="auto"/>
        <w:ind w:firstLine="592" w:firstLineChars="200"/>
        <w:rPr>
          <w:rFonts w:hint="eastAsia" w:ascii="仿宋" w:hAnsi="仿宋" w:eastAsia="仿宋" w:cs="仿宋"/>
          <w:b/>
          <w:color w:val="auto"/>
          <w:kern w:val="0"/>
          <w:sz w:val="28"/>
          <w:szCs w:val="28"/>
          <w:highlight w:val="none"/>
          <w:u w:val="none"/>
        </w:rPr>
      </w:pPr>
      <w:r>
        <w:rPr>
          <w:rFonts w:hint="eastAsia" w:ascii="仿宋" w:hAnsi="仿宋" w:eastAsia="仿宋" w:cs="仿宋"/>
          <w:color w:val="auto"/>
          <w:spacing w:val="8"/>
          <w:sz w:val="28"/>
          <w:szCs w:val="28"/>
          <w:highlight w:val="none"/>
          <w:u w:val="none"/>
        </w:rPr>
        <w:t>1、整车设计车辆性能安全可靠，节能环保，外形美观大方。力求在技术性能、结构和外观上达到国内一流、接近国际先进水平，并充分考虑台州公交线路运营的特点。</w:t>
      </w:r>
    </w:p>
    <w:p>
      <w:pPr>
        <w:autoSpaceDE w:val="0"/>
        <w:autoSpaceDN w:val="0"/>
        <w:adjustRightInd w:val="0"/>
        <w:spacing w:line="360" w:lineRule="auto"/>
        <w:ind w:firstLine="592" w:firstLineChars="200"/>
        <w:rPr>
          <w:rFonts w:hint="eastAsia" w:ascii="仿宋" w:hAnsi="仿宋" w:eastAsia="仿宋" w:cs="仿宋"/>
          <w:b/>
          <w:color w:val="auto"/>
          <w:kern w:val="0"/>
          <w:sz w:val="28"/>
          <w:szCs w:val="28"/>
          <w:highlight w:val="none"/>
          <w:u w:val="none"/>
        </w:rPr>
      </w:pPr>
      <w:r>
        <w:rPr>
          <w:rFonts w:hint="eastAsia" w:ascii="仿宋" w:hAnsi="仿宋" w:eastAsia="仿宋" w:cs="仿宋"/>
          <w:color w:val="auto"/>
          <w:spacing w:val="8"/>
          <w:sz w:val="28"/>
          <w:szCs w:val="28"/>
          <w:highlight w:val="none"/>
          <w:u w:val="none"/>
        </w:rPr>
        <w:t>2、车辆必须具有国家汽车产品公告的要求，符合台州环保要求。</w:t>
      </w:r>
    </w:p>
    <w:p>
      <w:pPr>
        <w:pStyle w:val="9"/>
        <w:snapToGrid w:val="0"/>
        <w:spacing w:line="360" w:lineRule="auto"/>
        <w:ind w:firstLine="580" w:firstLineChars="196"/>
        <w:outlineLvl w:val="0"/>
        <w:rPr>
          <w:rFonts w:hint="eastAsia" w:ascii="仿宋" w:hAnsi="仿宋" w:eastAsia="仿宋" w:cs="仿宋"/>
          <w:color w:val="auto"/>
          <w:spacing w:val="8"/>
          <w:sz w:val="28"/>
          <w:szCs w:val="28"/>
          <w:highlight w:val="none"/>
          <w:u w:val="none"/>
        </w:rPr>
      </w:pPr>
      <w:r>
        <w:rPr>
          <w:rFonts w:hint="eastAsia" w:ascii="仿宋" w:hAnsi="仿宋" w:eastAsia="仿宋" w:cs="仿宋"/>
          <w:color w:val="auto"/>
          <w:spacing w:val="8"/>
          <w:sz w:val="28"/>
          <w:szCs w:val="28"/>
          <w:highlight w:val="none"/>
          <w:u w:val="none"/>
        </w:rPr>
        <w:t>3、整车设计全过程应严格执行</w:t>
      </w:r>
      <w:r>
        <w:rPr>
          <w:rFonts w:hint="eastAsia" w:ascii="仿宋" w:hAnsi="仿宋" w:eastAsia="仿宋" w:cs="仿宋"/>
          <w:color w:val="auto"/>
          <w:spacing w:val="8"/>
          <w:sz w:val="28"/>
          <w:szCs w:val="28"/>
          <w:highlight w:val="none"/>
          <w:u w:val="none"/>
          <w:lang w:eastAsia="zh-CN"/>
        </w:rPr>
        <w:t>现行</w:t>
      </w:r>
      <w:r>
        <w:rPr>
          <w:rFonts w:hint="eastAsia" w:ascii="仿宋" w:hAnsi="仿宋" w:eastAsia="仿宋" w:cs="仿宋"/>
          <w:color w:val="auto"/>
          <w:spacing w:val="8"/>
          <w:sz w:val="28"/>
          <w:szCs w:val="28"/>
          <w:highlight w:val="none"/>
          <w:u w:val="none"/>
        </w:rPr>
        <w:t>《机动车运行安全技术条件》及相关国家标准及行业标准和要求。</w:t>
      </w:r>
    </w:p>
    <w:p>
      <w:pPr>
        <w:pStyle w:val="9"/>
        <w:snapToGrid w:val="0"/>
        <w:spacing w:line="360" w:lineRule="auto"/>
        <w:ind w:firstLine="480"/>
        <w:outlineLvl w:val="0"/>
        <w:rPr>
          <w:rFonts w:hint="eastAsia" w:ascii="仿宋" w:hAnsi="仿宋" w:eastAsia="仿宋" w:cs="仿宋"/>
          <w:b/>
          <w:color w:val="auto"/>
          <w:sz w:val="28"/>
          <w:szCs w:val="28"/>
          <w:highlight w:val="none"/>
          <w:u w:val="none"/>
        </w:rPr>
      </w:pPr>
      <w:r>
        <w:rPr>
          <w:rFonts w:hint="eastAsia" w:ascii="仿宋" w:hAnsi="仿宋" w:eastAsia="仿宋" w:cs="仿宋"/>
          <w:color w:val="auto"/>
          <w:sz w:val="28"/>
          <w:szCs w:val="28"/>
          <w:highlight w:val="none"/>
          <w:u w:val="none"/>
        </w:rPr>
        <w:t>4、投标样车需提供车厢内平面和彩色立体图、座位数、投币箱、驾驶隔离带、乘客扶手等资料，中标后供应的客车颜色及图案（色彩）由台州市公交巴士有限公司确定，中标单位不能增加任何费用。</w:t>
      </w:r>
    </w:p>
    <w:p>
      <w:pPr>
        <w:spacing w:line="360" w:lineRule="auto"/>
        <w:ind w:firstLine="560" w:firstLineChars="200"/>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rPr>
        <w:t>5、投标客车的总成等重要部件，投标文件中须注明产地，并满足《客车配置要求》</w:t>
      </w: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rPr>
        <w:t>所有客车应带助力方向装置。</w:t>
      </w:r>
    </w:p>
    <w:p>
      <w:pPr>
        <w:spacing w:line="360" w:lineRule="auto"/>
        <w:ind w:firstLine="560" w:firstLineChars="200"/>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rPr>
        <w:t>6、投标人需按技术规格书的要求完成产品的设计、制造及质量管理，并负责交付车辆的运输、装卸、</w:t>
      </w:r>
      <w:r>
        <w:rPr>
          <w:rFonts w:hint="eastAsia" w:ascii="仿宋" w:hAnsi="仿宋" w:eastAsia="仿宋" w:cs="仿宋"/>
          <w:color w:val="auto"/>
          <w:sz w:val="28"/>
          <w:szCs w:val="28"/>
          <w:highlight w:val="none"/>
          <w:u w:val="none"/>
        </w:rPr>
        <w:t>现场</w:t>
      </w:r>
      <w:r>
        <w:rPr>
          <w:rFonts w:hint="eastAsia" w:ascii="仿宋" w:hAnsi="仿宋" w:eastAsia="仿宋" w:cs="仿宋"/>
          <w:bCs/>
          <w:color w:val="auto"/>
          <w:sz w:val="28"/>
          <w:szCs w:val="28"/>
          <w:highlight w:val="none"/>
          <w:u w:val="none"/>
        </w:rPr>
        <w:t>试驾、上牌服务等，积极配合有关行业专管部门对车辆的验收，做好培训及售后服务。</w:t>
      </w:r>
    </w:p>
    <w:p>
      <w:pPr>
        <w:spacing w:line="360" w:lineRule="auto"/>
        <w:ind w:firstLine="560" w:firstLineChars="200"/>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7、所有车型的城市客车和公路型客车的基本参数、技术性能、发动机类型、排放标准必须满足该车型的采购要求，并符合国家和行业的有关标准，与</w:t>
      </w:r>
      <w:r>
        <w:rPr>
          <w:rFonts w:hint="eastAsia" w:ascii="仿宋" w:hAnsi="仿宋" w:eastAsia="仿宋" w:cs="仿宋"/>
          <w:color w:val="auto"/>
          <w:sz w:val="28"/>
          <w:szCs w:val="28"/>
          <w:highlight w:val="none"/>
          <w:u w:val="none"/>
          <w:lang w:eastAsia="zh-CN"/>
        </w:rPr>
        <w:t>中华人民共和国工业和信息化部的汽车</w:t>
      </w:r>
      <w:r>
        <w:rPr>
          <w:rFonts w:hint="eastAsia" w:ascii="仿宋" w:hAnsi="仿宋" w:eastAsia="仿宋" w:cs="仿宋"/>
          <w:color w:val="auto"/>
          <w:sz w:val="28"/>
          <w:szCs w:val="28"/>
          <w:highlight w:val="none"/>
          <w:u w:val="none"/>
        </w:rPr>
        <w:t>公告</w:t>
      </w:r>
      <w:r>
        <w:rPr>
          <w:rFonts w:hint="eastAsia" w:ascii="仿宋" w:hAnsi="仿宋" w:eastAsia="仿宋" w:cs="仿宋"/>
          <w:color w:val="auto"/>
          <w:sz w:val="28"/>
          <w:szCs w:val="28"/>
          <w:highlight w:val="none"/>
          <w:u w:val="none"/>
          <w:lang w:eastAsia="zh-CN"/>
        </w:rPr>
        <w:t>参数</w:t>
      </w:r>
      <w:r>
        <w:rPr>
          <w:rFonts w:hint="eastAsia" w:ascii="仿宋" w:hAnsi="仿宋" w:eastAsia="仿宋" w:cs="仿宋"/>
          <w:color w:val="auto"/>
          <w:sz w:val="28"/>
          <w:szCs w:val="28"/>
          <w:highlight w:val="none"/>
          <w:u w:val="none"/>
        </w:rPr>
        <w:t>一致。</w:t>
      </w:r>
    </w:p>
    <w:p>
      <w:pPr>
        <w:pStyle w:val="9"/>
        <w:snapToGrid w:val="0"/>
        <w:spacing w:line="360" w:lineRule="auto"/>
        <w:ind w:firstLine="592" w:firstLineChars="200"/>
        <w:outlineLvl w:val="0"/>
        <w:rPr>
          <w:rFonts w:hint="eastAsia" w:ascii="仿宋" w:hAnsi="仿宋" w:eastAsia="仿宋" w:cs="仿宋"/>
          <w:color w:val="auto"/>
          <w:spacing w:val="8"/>
          <w:sz w:val="28"/>
          <w:szCs w:val="28"/>
          <w:highlight w:val="none"/>
          <w:u w:val="none"/>
        </w:rPr>
      </w:pPr>
      <w:r>
        <w:rPr>
          <w:rFonts w:hint="eastAsia" w:ascii="仿宋" w:hAnsi="仿宋" w:eastAsia="仿宋" w:cs="仿宋"/>
          <w:color w:val="auto"/>
          <w:spacing w:val="8"/>
          <w:sz w:val="28"/>
          <w:szCs w:val="28"/>
          <w:highlight w:val="none"/>
          <w:u w:val="none"/>
        </w:rPr>
        <w:t>8、新能源汽车投标：</w:t>
      </w:r>
    </w:p>
    <w:p>
      <w:pPr>
        <w:numPr>
          <w:ilvl w:val="-1"/>
          <w:numId w:val="0"/>
        </w:numPr>
        <w:spacing w:line="360" w:lineRule="auto"/>
        <w:ind w:firstLine="560" w:firstLineChars="200"/>
        <w:rPr>
          <w:rFonts w:hint="eastAsia" w:ascii="仿宋" w:hAnsi="仿宋" w:eastAsia="仿宋" w:cs="仿宋"/>
          <w:bCs/>
          <w:color w:val="auto"/>
          <w:sz w:val="28"/>
          <w:szCs w:val="28"/>
          <w:highlight w:val="none"/>
          <w:u w:val="none"/>
          <w:lang w:eastAsia="zh-CN"/>
        </w:rPr>
      </w:pPr>
      <w:r>
        <w:rPr>
          <w:rFonts w:hint="eastAsia" w:ascii="仿宋" w:hAnsi="仿宋" w:eastAsia="仿宋" w:cs="仿宋"/>
          <w:bCs/>
          <w:color w:val="auto"/>
          <w:sz w:val="28"/>
          <w:szCs w:val="28"/>
          <w:highlight w:val="none"/>
          <w:u w:val="none"/>
        </w:rPr>
        <w:t>▲</w:t>
      </w: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1</w:t>
      </w:r>
      <w:r>
        <w:rPr>
          <w:rFonts w:hint="eastAsia" w:ascii="仿宋" w:hAnsi="仿宋" w:eastAsia="仿宋" w:cs="仿宋"/>
          <w:bCs/>
          <w:color w:val="auto"/>
          <w:sz w:val="28"/>
          <w:szCs w:val="28"/>
          <w:highlight w:val="none"/>
          <w:u w:val="none"/>
          <w:lang w:eastAsia="zh-CN"/>
        </w:rPr>
        <w:t>）投标人所投的车型列入《道路机动车辆生产企业及产品公告》、《新能源汽车示范推广应用工程推荐车型目录》、《免征车辆购置税的新能源汽车车型目录》、《汽车动力蓄电池行业规范条件》。</w:t>
      </w:r>
    </w:p>
    <w:p>
      <w:pPr>
        <w:numPr>
          <w:ilvl w:val="-1"/>
          <w:numId w:val="0"/>
        </w:numPr>
        <w:spacing w:line="360" w:lineRule="auto"/>
        <w:ind w:left="0" w:leftChars="0" w:firstLine="560" w:firstLineChars="200"/>
        <w:rPr>
          <w:rFonts w:hint="eastAsia" w:ascii="仿宋" w:hAnsi="仿宋" w:eastAsia="仿宋" w:cs="仿宋"/>
          <w:bCs/>
          <w:color w:val="auto"/>
          <w:sz w:val="28"/>
          <w:szCs w:val="28"/>
          <w:highlight w:val="none"/>
          <w:u w:val="none"/>
          <w:lang w:eastAsia="zh-CN"/>
        </w:rPr>
      </w:pPr>
      <w:r>
        <w:rPr>
          <w:rFonts w:hint="eastAsia" w:ascii="仿宋" w:hAnsi="仿宋" w:eastAsia="仿宋" w:cs="仿宋"/>
          <w:bCs/>
          <w:color w:val="auto"/>
          <w:sz w:val="28"/>
          <w:szCs w:val="28"/>
          <w:highlight w:val="none"/>
          <w:u w:val="none"/>
        </w:rPr>
        <w:t>▲</w:t>
      </w: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2）</w:t>
      </w:r>
      <w:r>
        <w:rPr>
          <w:rFonts w:hint="eastAsia" w:ascii="仿宋" w:hAnsi="仿宋" w:eastAsia="仿宋" w:cs="仿宋"/>
          <w:bCs/>
          <w:color w:val="auto"/>
          <w:sz w:val="28"/>
          <w:szCs w:val="28"/>
          <w:highlight w:val="none"/>
          <w:u w:val="none"/>
          <w:lang w:eastAsia="zh-CN"/>
        </w:rPr>
        <w:t>纯电动车辆实行车、电分离模式，车辆“三电部分”（包括但不仅限于电池系统、驱动电机系统、控制系统、充电系统及相关的易损件）质保期八年（在标书内提供书面承诺）。“三电部分”日常维护由中标方负责。</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lang w:eastAsia="zh-CN"/>
        </w:rPr>
      </w:pP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3）</w:t>
      </w:r>
      <w:r>
        <w:rPr>
          <w:rFonts w:hint="eastAsia" w:ascii="仿宋" w:hAnsi="仿宋" w:eastAsia="仿宋" w:cs="仿宋"/>
          <w:bCs/>
          <w:color w:val="auto"/>
          <w:sz w:val="28"/>
          <w:szCs w:val="28"/>
          <w:highlight w:val="none"/>
          <w:u w:val="none"/>
          <w:lang w:eastAsia="zh-CN"/>
        </w:rPr>
        <w:t>纯电动车辆“三电部分”与车身其它部份，分别报价。</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lang w:eastAsia="zh-CN"/>
        </w:rPr>
      </w:pPr>
      <w:r>
        <w:rPr>
          <w:rFonts w:hint="eastAsia" w:ascii="仿宋" w:hAnsi="仿宋" w:eastAsia="仿宋" w:cs="仿宋"/>
          <w:bCs/>
          <w:color w:val="auto"/>
          <w:sz w:val="28"/>
          <w:szCs w:val="28"/>
          <w:highlight w:val="none"/>
          <w:u w:val="none"/>
        </w:rPr>
        <w:t>▲</w:t>
      </w: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4）</w:t>
      </w:r>
      <w:r>
        <w:rPr>
          <w:rFonts w:hint="eastAsia" w:ascii="仿宋" w:hAnsi="仿宋" w:eastAsia="仿宋" w:cs="仿宋"/>
          <w:bCs/>
          <w:color w:val="auto"/>
          <w:sz w:val="28"/>
          <w:szCs w:val="28"/>
          <w:highlight w:val="none"/>
          <w:u w:val="none"/>
          <w:lang w:eastAsia="zh-CN"/>
        </w:rPr>
        <w:t>电池最大衰减量5年内≤</w:t>
      </w:r>
      <w:r>
        <w:rPr>
          <w:rFonts w:hint="eastAsia" w:ascii="仿宋" w:hAnsi="仿宋" w:eastAsia="仿宋" w:cs="仿宋"/>
          <w:bCs/>
          <w:color w:val="auto"/>
          <w:sz w:val="28"/>
          <w:szCs w:val="28"/>
          <w:highlight w:val="none"/>
          <w:u w:val="none"/>
          <w:lang w:val="en-US" w:eastAsia="zh-CN"/>
        </w:rPr>
        <w:t>15</w:t>
      </w:r>
      <w:r>
        <w:rPr>
          <w:rFonts w:hint="eastAsia" w:ascii="仿宋" w:hAnsi="仿宋" w:eastAsia="仿宋" w:cs="仿宋"/>
          <w:bCs/>
          <w:color w:val="auto"/>
          <w:sz w:val="28"/>
          <w:szCs w:val="28"/>
          <w:highlight w:val="none"/>
          <w:u w:val="none"/>
          <w:lang w:eastAsia="zh-CN"/>
        </w:rPr>
        <w:t>%，8年内≤</w:t>
      </w:r>
      <w:r>
        <w:rPr>
          <w:rFonts w:hint="eastAsia" w:ascii="仿宋" w:hAnsi="仿宋" w:eastAsia="仿宋" w:cs="仿宋"/>
          <w:bCs/>
          <w:color w:val="auto"/>
          <w:sz w:val="28"/>
          <w:szCs w:val="28"/>
          <w:highlight w:val="none"/>
          <w:u w:val="none"/>
          <w:lang w:val="en-US" w:eastAsia="zh-CN"/>
        </w:rPr>
        <w:t>2</w:t>
      </w:r>
      <w:r>
        <w:rPr>
          <w:rFonts w:hint="eastAsia" w:ascii="仿宋" w:hAnsi="仿宋" w:eastAsia="仿宋" w:cs="仿宋"/>
          <w:bCs/>
          <w:color w:val="auto"/>
          <w:sz w:val="28"/>
          <w:szCs w:val="28"/>
          <w:highlight w:val="none"/>
          <w:u w:val="none"/>
          <w:lang w:eastAsia="zh-CN"/>
        </w:rPr>
        <w:t>0%在达到上述规定年限后，由厂方委托专业机构检测并出具检测证明，当在规定年限内衰减量经检测超出上述要求时，由厂家予以免费更换。（由配套产品厂家和车辆制造厂家在标书内共同书面承诺）</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lang w:eastAsia="zh-CN"/>
        </w:rPr>
      </w:pP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5）</w:t>
      </w:r>
      <w:r>
        <w:rPr>
          <w:rFonts w:hint="eastAsia" w:ascii="仿宋" w:hAnsi="仿宋" w:eastAsia="仿宋" w:cs="仿宋"/>
          <w:b w:val="0"/>
          <w:bCs w:val="0"/>
          <w:color w:val="auto"/>
          <w:sz w:val="28"/>
          <w:szCs w:val="28"/>
          <w:highlight w:val="none"/>
          <w:shd w:val="clear" w:color="auto" w:fill="auto"/>
          <w:lang w:eastAsia="zh-CN"/>
        </w:rPr>
        <w:t>第一标段纯电动车辆电池容量≥</w:t>
      </w:r>
      <w:r>
        <w:rPr>
          <w:rFonts w:hint="eastAsia" w:ascii="仿宋" w:hAnsi="仿宋" w:eastAsia="仿宋" w:cs="仿宋"/>
          <w:b w:val="0"/>
          <w:bCs w:val="0"/>
          <w:color w:val="auto"/>
          <w:sz w:val="28"/>
          <w:szCs w:val="28"/>
          <w:highlight w:val="none"/>
          <w:shd w:val="clear" w:color="auto" w:fill="auto"/>
          <w:lang w:val="en-US" w:eastAsia="zh-CN"/>
        </w:rPr>
        <w:t>90</w:t>
      </w:r>
      <w:r>
        <w:rPr>
          <w:rFonts w:hint="eastAsia" w:ascii="仿宋" w:hAnsi="仿宋" w:eastAsia="仿宋" w:cs="仿宋"/>
          <w:b w:val="0"/>
          <w:bCs w:val="0"/>
          <w:color w:val="auto"/>
          <w:sz w:val="28"/>
          <w:szCs w:val="28"/>
          <w:highlight w:val="none"/>
          <w:shd w:val="clear" w:color="auto" w:fill="auto"/>
          <w:lang w:eastAsia="zh-CN"/>
        </w:rPr>
        <w:t>kwh，（</w:t>
      </w:r>
      <w:r>
        <w:rPr>
          <w:rFonts w:hint="eastAsia" w:ascii="仿宋" w:hAnsi="仿宋" w:eastAsia="仿宋" w:cs="仿宋"/>
          <w:bCs/>
          <w:color w:val="auto"/>
          <w:sz w:val="28"/>
          <w:szCs w:val="28"/>
          <w:highlight w:val="none"/>
          <w:u w:val="none"/>
          <w:lang w:eastAsia="zh-CN"/>
        </w:rPr>
        <w:t>磷酸铁锂电池，能量密度≥</w:t>
      </w:r>
      <w:r>
        <w:rPr>
          <w:rFonts w:hint="eastAsia" w:ascii="仿宋" w:hAnsi="仿宋" w:eastAsia="仿宋" w:cs="仿宋"/>
          <w:bCs/>
          <w:color w:val="auto"/>
          <w:sz w:val="28"/>
          <w:szCs w:val="28"/>
          <w:highlight w:val="none"/>
          <w:u w:val="none"/>
          <w:lang w:val="en-US" w:eastAsia="zh-CN"/>
        </w:rPr>
        <w:t>150wh</w:t>
      </w:r>
      <w:r>
        <w:rPr>
          <w:rFonts w:hint="eastAsia" w:ascii="仿宋" w:hAnsi="仿宋" w:eastAsia="仿宋" w:cs="仿宋"/>
          <w:bCs/>
          <w:color w:val="auto"/>
          <w:sz w:val="28"/>
          <w:szCs w:val="28"/>
          <w:highlight w:val="none"/>
          <w:u w:val="none"/>
          <w:lang w:eastAsia="zh-CN"/>
        </w:rPr>
        <w:t>/kg，具备不小于1C持续充电至80%SOC能力）。</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lang w:eastAsia="zh-CN"/>
        </w:rPr>
      </w:pP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6）</w:t>
      </w:r>
      <w:r>
        <w:rPr>
          <w:rFonts w:hint="eastAsia" w:ascii="仿宋" w:hAnsi="仿宋" w:eastAsia="仿宋" w:cs="仿宋"/>
          <w:b w:val="0"/>
          <w:bCs w:val="0"/>
          <w:color w:val="auto"/>
          <w:sz w:val="28"/>
          <w:szCs w:val="28"/>
          <w:highlight w:val="none"/>
          <w:shd w:val="clear" w:color="auto" w:fill="auto"/>
          <w:lang w:eastAsia="zh-CN"/>
        </w:rPr>
        <w:t>第二标段纯电动车辆电池容量≥</w:t>
      </w:r>
      <w:r>
        <w:rPr>
          <w:rFonts w:hint="eastAsia" w:ascii="仿宋" w:hAnsi="仿宋" w:eastAsia="仿宋" w:cs="仿宋"/>
          <w:b w:val="0"/>
          <w:bCs w:val="0"/>
          <w:color w:val="auto"/>
          <w:sz w:val="28"/>
          <w:szCs w:val="28"/>
          <w:highlight w:val="none"/>
          <w:shd w:val="clear" w:color="auto" w:fill="auto"/>
          <w:lang w:val="en-US" w:eastAsia="zh-CN"/>
        </w:rPr>
        <w:t>160</w:t>
      </w:r>
      <w:r>
        <w:rPr>
          <w:rFonts w:hint="eastAsia" w:ascii="仿宋" w:hAnsi="仿宋" w:eastAsia="仿宋" w:cs="仿宋"/>
          <w:b w:val="0"/>
          <w:bCs w:val="0"/>
          <w:color w:val="auto"/>
          <w:sz w:val="28"/>
          <w:szCs w:val="28"/>
          <w:highlight w:val="none"/>
          <w:shd w:val="clear" w:color="auto" w:fill="auto"/>
          <w:lang w:eastAsia="zh-CN"/>
        </w:rPr>
        <w:t>kwh，（</w:t>
      </w:r>
      <w:r>
        <w:rPr>
          <w:rFonts w:hint="eastAsia" w:ascii="仿宋" w:hAnsi="仿宋" w:eastAsia="仿宋" w:cs="仿宋"/>
          <w:bCs/>
          <w:color w:val="auto"/>
          <w:sz w:val="28"/>
          <w:szCs w:val="28"/>
          <w:highlight w:val="none"/>
          <w:u w:val="none"/>
          <w:lang w:eastAsia="zh-CN"/>
        </w:rPr>
        <w:t>磷酸铁锂电池，能量密度≥</w:t>
      </w:r>
      <w:r>
        <w:rPr>
          <w:rFonts w:hint="eastAsia" w:ascii="仿宋" w:hAnsi="仿宋" w:eastAsia="仿宋" w:cs="仿宋"/>
          <w:bCs/>
          <w:color w:val="auto"/>
          <w:sz w:val="28"/>
          <w:szCs w:val="28"/>
          <w:highlight w:val="none"/>
          <w:u w:val="none"/>
          <w:lang w:val="en-US" w:eastAsia="zh-CN"/>
        </w:rPr>
        <w:t>150wh</w:t>
      </w:r>
      <w:r>
        <w:rPr>
          <w:rFonts w:hint="eastAsia" w:ascii="仿宋" w:hAnsi="仿宋" w:eastAsia="仿宋" w:cs="仿宋"/>
          <w:bCs/>
          <w:color w:val="auto"/>
          <w:sz w:val="28"/>
          <w:szCs w:val="28"/>
          <w:highlight w:val="none"/>
          <w:u w:val="none"/>
          <w:lang w:eastAsia="zh-CN"/>
        </w:rPr>
        <w:t>/kg，具备不小于1C持续充电至80%SOC能力）。</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 w:val="0"/>
          <w:bCs w:val="0"/>
          <w:color w:val="auto"/>
          <w:sz w:val="28"/>
          <w:szCs w:val="28"/>
          <w:highlight w:val="none"/>
          <w:shd w:val="clear" w:color="auto" w:fill="auto"/>
          <w:lang w:eastAsia="zh-CN"/>
        </w:rPr>
      </w:pPr>
      <w:r>
        <w:rPr>
          <w:rFonts w:hint="eastAsia" w:ascii="仿宋" w:hAnsi="仿宋" w:eastAsia="仿宋" w:cs="仿宋"/>
          <w:b w:val="0"/>
          <w:bCs w:val="0"/>
          <w:color w:val="auto"/>
          <w:sz w:val="28"/>
          <w:szCs w:val="28"/>
          <w:highlight w:val="none"/>
          <w:shd w:val="clear" w:color="auto" w:fill="auto"/>
          <w:lang w:eastAsia="zh-CN"/>
        </w:rPr>
        <w:t>（</w:t>
      </w:r>
      <w:r>
        <w:rPr>
          <w:rFonts w:hint="eastAsia" w:ascii="仿宋" w:hAnsi="仿宋" w:eastAsia="仿宋" w:cs="仿宋"/>
          <w:b w:val="0"/>
          <w:bCs w:val="0"/>
          <w:color w:val="auto"/>
          <w:sz w:val="28"/>
          <w:szCs w:val="28"/>
          <w:highlight w:val="none"/>
          <w:shd w:val="clear" w:color="auto" w:fill="auto"/>
          <w:lang w:val="en-US" w:eastAsia="zh-CN"/>
        </w:rPr>
        <w:t>7）</w:t>
      </w:r>
      <w:r>
        <w:rPr>
          <w:rFonts w:hint="eastAsia" w:ascii="仿宋" w:hAnsi="仿宋" w:eastAsia="仿宋" w:cs="仿宋"/>
          <w:b w:val="0"/>
          <w:bCs w:val="0"/>
          <w:color w:val="auto"/>
          <w:sz w:val="28"/>
          <w:szCs w:val="28"/>
          <w:highlight w:val="none"/>
          <w:shd w:val="clear" w:color="auto" w:fill="auto"/>
          <w:lang w:eastAsia="zh-CN"/>
        </w:rPr>
        <w:t>第三标段纯电动车辆电池容量≥</w:t>
      </w:r>
      <w:r>
        <w:rPr>
          <w:rFonts w:hint="eastAsia" w:ascii="仿宋" w:hAnsi="仿宋" w:eastAsia="仿宋" w:cs="仿宋"/>
          <w:b w:val="0"/>
          <w:bCs w:val="0"/>
          <w:color w:val="auto"/>
          <w:sz w:val="28"/>
          <w:szCs w:val="28"/>
          <w:highlight w:val="none"/>
          <w:shd w:val="clear" w:color="auto" w:fill="auto"/>
          <w:lang w:val="en-US" w:eastAsia="zh-CN"/>
        </w:rPr>
        <w:t>180</w:t>
      </w:r>
      <w:r>
        <w:rPr>
          <w:rFonts w:hint="eastAsia" w:ascii="仿宋" w:hAnsi="仿宋" w:eastAsia="仿宋" w:cs="仿宋"/>
          <w:b w:val="0"/>
          <w:bCs w:val="0"/>
          <w:color w:val="auto"/>
          <w:sz w:val="28"/>
          <w:szCs w:val="28"/>
          <w:highlight w:val="none"/>
          <w:shd w:val="clear" w:color="auto" w:fill="auto"/>
          <w:lang w:eastAsia="zh-CN"/>
        </w:rPr>
        <w:t>kwh，（磷酸铁锂电池，能量密度≥</w:t>
      </w:r>
      <w:r>
        <w:rPr>
          <w:rFonts w:hint="eastAsia" w:ascii="仿宋" w:hAnsi="仿宋" w:eastAsia="仿宋" w:cs="仿宋"/>
          <w:b w:val="0"/>
          <w:bCs w:val="0"/>
          <w:color w:val="auto"/>
          <w:sz w:val="28"/>
          <w:szCs w:val="28"/>
          <w:highlight w:val="none"/>
          <w:shd w:val="clear" w:color="auto" w:fill="auto"/>
          <w:lang w:val="en-US" w:eastAsia="zh-CN"/>
        </w:rPr>
        <w:t>150wh</w:t>
      </w:r>
      <w:r>
        <w:rPr>
          <w:rFonts w:hint="eastAsia" w:ascii="仿宋" w:hAnsi="仿宋" w:eastAsia="仿宋" w:cs="仿宋"/>
          <w:b w:val="0"/>
          <w:bCs w:val="0"/>
          <w:color w:val="auto"/>
          <w:sz w:val="28"/>
          <w:szCs w:val="28"/>
          <w:highlight w:val="none"/>
          <w:shd w:val="clear" w:color="auto" w:fill="auto"/>
          <w:lang w:eastAsia="zh-CN"/>
        </w:rPr>
        <w:t>/kg，具备不小于1C持续充电至80%SOC能力）。</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 w:val="0"/>
          <w:bCs w:val="0"/>
          <w:color w:val="auto"/>
          <w:sz w:val="28"/>
          <w:szCs w:val="28"/>
          <w:highlight w:val="none"/>
          <w:shd w:val="clear" w:color="auto" w:fill="auto"/>
          <w:lang w:val="en-US" w:eastAsia="zh-CN"/>
        </w:rPr>
      </w:pPr>
      <w:r>
        <w:rPr>
          <w:rFonts w:hint="eastAsia" w:ascii="仿宋" w:hAnsi="仿宋" w:eastAsia="仿宋" w:cs="仿宋"/>
          <w:b w:val="0"/>
          <w:bCs w:val="0"/>
          <w:color w:val="auto"/>
          <w:sz w:val="28"/>
          <w:szCs w:val="28"/>
          <w:highlight w:val="none"/>
          <w:shd w:val="clear" w:color="auto" w:fill="auto"/>
          <w:lang w:eastAsia="zh-CN"/>
        </w:rPr>
        <w:t>（</w:t>
      </w:r>
      <w:r>
        <w:rPr>
          <w:rFonts w:hint="eastAsia" w:ascii="仿宋" w:hAnsi="仿宋" w:eastAsia="仿宋" w:cs="仿宋"/>
          <w:b w:val="0"/>
          <w:bCs w:val="0"/>
          <w:color w:val="auto"/>
          <w:sz w:val="28"/>
          <w:szCs w:val="28"/>
          <w:highlight w:val="none"/>
          <w:shd w:val="clear" w:color="auto" w:fill="auto"/>
          <w:lang w:val="en-US" w:eastAsia="zh-CN"/>
        </w:rPr>
        <w:t>8）</w:t>
      </w:r>
      <w:r>
        <w:rPr>
          <w:rFonts w:hint="eastAsia" w:ascii="仿宋" w:hAnsi="仿宋" w:eastAsia="仿宋" w:cs="仿宋"/>
          <w:b w:val="0"/>
          <w:bCs w:val="0"/>
          <w:color w:val="auto"/>
          <w:sz w:val="28"/>
          <w:szCs w:val="28"/>
          <w:highlight w:val="none"/>
          <w:shd w:val="clear" w:color="auto" w:fill="auto"/>
          <w:lang w:eastAsia="zh-CN"/>
        </w:rPr>
        <w:t>第四标段纯电动车辆电池容量≥</w:t>
      </w:r>
      <w:r>
        <w:rPr>
          <w:rFonts w:hint="eastAsia" w:ascii="仿宋" w:hAnsi="仿宋" w:eastAsia="仿宋" w:cs="仿宋"/>
          <w:b w:val="0"/>
          <w:bCs w:val="0"/>
          <w:color w:val="auto"/>
          <w:sz w:val="28"/>
          <w:szCs w:val="28"/>
          <w:highlight w:val="none"/>
          <w:shd w:val="clear" w:color="auto" w:fill="auto"/>
          <w:lang w:val="en-US" w:eastAsia="zh-CN"/>
        </w:rPr>
        <w:t>180</w:t>
      </w:r>
      <w:r>
        <w:rPr>
          <w:rFonts w:hint="eastAsia" w:ascii="仿宋" w:hAnsi="仿宋" w:eastAsia="仿宋" w:cs="仿宋"/>
          <w:b w:val="0"/>
          <w:bCs w:val="0"/>
          <w:color w:val="auto"/>
          <w:sz w:val="28"/>
          <w:szCs w:val="28"/>
          <w:highlight w:val="none"/>
          <w:shd w:val="clear" w:color="auto" w:fill="auto"/>
          <w:lang w:eastAsia="zh-CN"/>
        </w:rPr>
        <w:t>kwh，（磷酸铁锂电池，能量密度≥</w:t>
      </w:r>
      <w:r>
        <w:rPr>
          <w:rFonts w:hint="eastAsia" w:ascii="仿宋" w:hAnsi="仿宋" w:eastAsia="仿宋" w:cs="仿宋"/>
          <w:b w:val="0"/>
          <w:bCs w:val="0"/>
          <w:color w:val="auto"/>
          <w:sz w:val="28"/>
          <w:szCs w:val="28"/>
          <w:highlight w:val="none"/>
          <w:shd w:val="clear" w:color="auto" w:fill="auto"/>
          <w:lang w:val="en-US" w:eastAsia="zh-CN"/>
        </w:rPr>
        <w:t>150wh</w:t>
      </w:r>
      <w:r>
        <w:rPr>
          <w:rFonts w:hint="eastAsia" w:ascii="仿宋" w:hAnsi="仿宋" w:eastAsia="仿宋" w:cs="仿宋"/>
          <w:b w:val="0"/>
          <w:bCs w:val="0"/>
          <w:color w:val="auto"/>
          <w:sz w:val="28"/>
          <w:szCs w:val="28"/>
          <w:highlight w:val="none"/>
          <w:shd w:val="clear" w:color="auto" w:fill="auto"/>
          <w:lang w:eastAsia="zh-CN"/>
        </w:rPr>
        <w:t>/kg，具备不小于1C持续充电至80%SOC能力）。</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rPr>
      </w:pPr>
      <w:r>
        <w:rPr>
          <w:rFonts w:hint="eastAsia" w:ascii="仿宋" w:hAnsi="仿宋" w:eastAsia="仿宋" w:cs="仿宋"/>
          <w:b w:val="0"/>
          <w:bCs w:val="0"/>
          <w:color w:val="auto"/>
          <w:sz w:val="28"/>
          <w:szCs w:val="28"/>
          <w:highlight w:val="none"/>
          <w:shd w:val="clear" w:color="auto" w:fill="auto"/>
          <w:lang w:eastAsia="zh-CN"/>
        </w:rPr>
        <w:t>（</w:t>
      </w:r>
      <w:r>
        <w:rPr>
          <w:rFonts w:hint="eastAsia" w:ascii="仿宋" w:hAnsi="仿宋" w:eastAsia="仿宋" w:cs="仿宋"/>
          <w:b w:val="0"/>
          <w:bCs w:val="0"/>
          <w:color w:val="auto"/>
          <w:sz w:val="28"/>
          <w:szCs w:val="28"/>
          <w:highlight w:val="none"/>
          <w:shd w:val="clear" w:color="auto" w:fill="auto"/>
          <w:lang w:val="en-US" w:eastAsia="zh-CN"/>
        </w:rPr>
        <w:t>9）</w:t>
      </w:r>
      <w:r>
        <w:rPr>
          <w:rFonts w:hint="eastAsia" w:ascii="仿宋" w:hAnsi="仿宋" w:eastAsia="仿宋" w:cs="仿宋"/>
          <w:b w:val="0"/>
          <w:bCs w:val="0"/>
          <w:color w:val="auto"/>
          <w:sz w:val="28"/>
          <w:szCs w:val="28"/>
          <w:highlight w:val="none"/>
          <w:shd w:val="clear" w:color="auto" w:fill="auto"/>
          <w:lang w:eastAsia="zh-CN"/>
        </w:rPr>
        <w:t>电池箱和电池仓均安装具有高温预警及自动灭火功能的专用自动灭火装置，能够自动监测箱内锂电池及仓内早期火灾并自动报</w:t>
      </w:r>
      <w:r>
        <w:rPr>
          <w:rFonts w:hint="eastAsia" w:ascii="仿宋" w:hAnsi="仿宋" w:eastAsia="仿宋" w:cs="仿宋"/>
          <w:bCs/>
          <w:color w:val="auto"/>
          <w:sz w:val="28"/>
          <w:szCs w:val="28"/>
          <w:highlight w:val="none"/>
          <w:u w:val="none"/>
          <w:lang w:eastAsia="zh-CN"/>
        </w:rPr>
        <w:t>警，实现自动灭火并持续抑制复燃，具有自动巡检诊断故障及报警功能，产品应符合国家消防产品准入制度要求（强制认证或技术鉴定）。免费质保8年。电池箱及电池仓</w:t>
      </w:r>
      <w:r>
        <w:rPr>
          <w:rFonts w:hint="eastAsia" w:ascii="仿宋" w:hAnsi="仿宋" w:eastAsia="仿宋" w:cs="仿宋"/>
          <w:bCs/>
          <w:color w:val="auto"/>
          <w:sz w:val="28"/>
          <w:szCs w:val="28"/>
          <w:highlight w:val="none"/>
          <w:u w:val="none"/>
        </w:rPr>
        <w:t>自动灭火装置需有8年商业保险</w:t>
      </w:r>
      <w:r>
        <w:rPr>
          <w:rFonts w:hint="eastAsia" w:ascii="仿宋" w:hAnsi="仿宋" w:eastAsia="仿宋" w:cs="仿宋"/>
          <w:bCs/>
          <w:color w:val="auto"/>
          <w:sz w:val="28"/>
          <w:szCs w:val="28"/>
          <w:highlight w:val="none"/>
          <w:u w:val="none"/>
          <w:lang w:eastAsia="zh-CN"/>
        </w:rPr>
        <w:t>，电池箱单次事故保额不小于</w:t>
      </w:r>
      <w:r>
        <w:rPr>
          <w:rFonts w:hint="eastAsia" w:ascii="仿宋" w:hAnsi="仿宋" w:eastAsia="仿宋" w:cs="仿宋"/>
          <w:bCs/>
          <w:color w:val="auto"/>
          <w:sz w:val="28"/>
          <w:szCs w:val="28"/>
          <w:highlight w:val="none"/>
          <w:u w:val="none"/>
          <w:lang w:val="en-US" w:eastAsia="zh-CN"/>
        </w:rPr>
        <w:t>200万</w:t>
      </w:r>
      <w:r>
        <w:rPr>
          <w:rFonts w:hint="eastAsia" w:ascii="仿宋" w:hAnsi="仿宋" w:eastAsia="仿宋" w:cs="仿宋"/>
          <w:bCs/>
          <w:color w:val="auto"/>
          <w:sz w:val="28"/>
          <w:szCs w:val="28"/>
          <w:highlight w:val="none"/>
          <w:u w:val="none"/>
        </w:rPr>
        <w:t>，</w:t>
      </w:r>
      <w:r>
        <w:rPr>
          <w:rFonts w:hint="eastAsia" w:ascii="仿宋" w:hAnsi="仿宋" w:eastAsia="仿宋" w:cs="仿宋"/>
          <w:bCs/>
          <w:color w:val="auto"/>
          <w:sz w:val="28"/>
          <w:szCs w:val="28"/>
          <w:highlight w:val="none"/>
          <w:u w:val="none"/>
          <w:lang w:eastAsia="zh-CN"/>
        </w:rPr>
        <w:t>电池仓单次事故保额不小于</w:t>
      </w:r>
      <w:r>
        <w:rPr>
          <w:rFonts w:hint="eastAsia" w:ascii="仿宋" w:hAnsi="仿宋" w:eastAsia="仿宋" w:cs="仿宋"/>
          <w:bCs/>
          <w:color w:val="auto"/>
          <w:sz w:val="28"/>
          <w:szCs w:val="28"/>
          <w:highlight w:val="none"/>
          <w:u w:val="none"/>
          <w:lang w:val="en-US" w:eastAsia="zh-CN"/>
        </w:rPr>
        <w:t>100万</w:t>
      </w:r>
      <w:r>
        <w:rPr>
          <w:rFonts w:hint="eastAsia" w:ascii="仿宋" w:hAnsi="仿宋" w:eastAsia="仿宋" w:cs="仿宋"/>
          <w:bCs/>
          <w:color w:val="auto"/>
          <w:sz w:val="28"/>
          <w:szCs w:val="28"/>
          <w:highlight w:val="none"/>
          <w:u w:val="none"/>
        </w:rPr>
        <w:t>，承诺非人为损坏和失效的免费更换。如因装用不合格的电池箱</w:t>
      </w:r>
      <w:r>
        <w:rPr>
          <w:rFonts w:hint="eastAsia" w:ascii="仿宋" w:hAnsi="仿宋" w:eastAsia="仿宋" w:cs="仿宋"/>
          <w:bCs/>
          <w:color w:val="auto"/>
          <w:sz w:val="28"/>
          <w:szCs w:val="28"/>
          <w:highlight w:val="none"/>
          <w:u w:val="none"/>
          <w:lang w:eastAsia="zh-CN"/>
        </w:rPr>
        <w:t>或电池仓</w:t>
      </w:r>
      <w:r>
        <w:rPr>
          <w:rFonts w:hint="eastAsia" w:ascii="仿宋" w:hAnsi="仿宋" w:eastAsia="仿宋" w:cs="仿宋"/>
          <w:bCs/>
          <w:color w:val="auto"/>
          <w:sz w:val="28"/>
          <w:szCs w:val="28"/>
          <w:highlight w:val="none"/>
          <w:u w:val="none"/>
        </w:rPr>
        <w:t>灭火装置引起的各种损失及责任，由</w:t>
      </w:r>
      <w:r>
        <w:rPr>
          <w:rFonts w:hint="eastAsia" w:ascii="仿宋" w:hAnsi="仿宋" w:eastAsia="仿宋" w:cs="仿宋"/>
          <w:bCs/>
          <w:color w:val="auto"/>
          <w:sz w:val="28"/>
          <w:szCs w:val="28"/>
          <w:highlight w:val="none"/>
          <w:u w:val="none"/>
          <w:lang w:eastAsia="zh-CN"/>
        </w:rPr>
        <w:t>中标人</w:t>
      </w:r>
      <w:r>
        <w:rPr>
          <w:rFonts w:hint="eastAsia" w:ascii="仿宋" w:hAnsi="仿宋" w:eastAsia="仿宋" w:cs="仿宋"/>
          <w:bCs/>
          <w:color w:val="auto"/>
          <w:sz w:val="28"/>
          <w:szCs w:val="28"/>
          <w:highlight w:val="none"/>
          <w:u w:val="none"/>
        </w:rPr>
        <w:t>承担。投标人须在中标后10天内提交保单和质保期承诺书，质保期承诺须由配套产品厂家和车辆制造厂家共同承诺。</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10）</w:t>
      </w:r>
      <w:r>
        <w:rPr>
          <w:rFonts w:hint="eastAsia" w:ascii="仿宋" w:hAnsi="仿宋" w:eastAsia="仿宋" w:cs="仿宋"/>
          <w:bCs/>
          <w:color w:val="auto"/>
          <w:sz w:val="28"/>
          <w:szCs w:val="28"/>
          <w:highlight w:val="none"/>
          <w:u w:val="none"/>
          <w:lang w:eastAsia="zh-CN"/>
        </w:rPr>
        <w:t>车辆首次保养由中标商承担、负责。</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11）</w:t>
      </w:r>
      <w:r>
        <w:rPr>
          <w:rFonts w:hint="eastAsia" w:ascii="仿宋" w:hAnsi="仿宋" w:eastAsia="仿宋" w:cs="仿宋"/>
          <w:bCs/>
          <w:color w:val="auto"/>
          <w:sz w:val="28"/>
          <w:szCs w:val="28"/>
          <w:highlight w:val="none"/>
          <w:u w:val="none"/>
        </w:rPr>
        <w:t>车辆后台技术数据免费向</w:t>
      </w:r>
      <w:r>
        <w:rPr>
          <w:rFonts w:hint="eastAsia" w:ascii="仿宋" w:hAnsi="仿宋" w:eastAsia="仿宋" w:cs="仿宋"/>
          <w:bCs/>
          <w:color w:val="auto"/>
          <w:sz w:val="28"/>
          <w:szCs w:val="28"/>
          <w:highlight w:val="none"/>
          <w:u w:val="none"/>
          <w:lang w:eastAsia="zh-CN"/>
        </w:rPr>
        <w:t>采购人无条件</w:t>
      </w:r>
      <w:r>
        <w:rPr>
          <w:rFonts w:hint="eastAsia" w:ascii="仿宋" w:hAnsi="仿宋" w:eastAsia="仿宋" w:cs="仿宋"/>
          <w:bCs/>
          <w:color w:val="auto"/>
          <w:sz w:val="28"/>
          <w:szCs w:val="28"/>
          <w:highlight w:val="none"/>
          <w:u w:val="none"/>
        </w:rPr>
        <w:t>开放(</w:t>
      </w:r>
      <w:r>
        <w:rPr>
          <w:rFonts w:hint="eastAsia" w:ascii="仿宋" w:hAnsi="仿宋" w:eastAsia="仿宋" w:cs="仿宋"/>
          <w:bCs/>
          <w:color w:val="auto"/>
          <w:sz w:val="28"/>
          <w:szCs w:val="28"/>
          <w:highlight w:val="none"/>
          <w:u w:val="none"/>
          <w:lang w:eastAsia="zh-CN"/>
        </w:rPr>
        <w:t>在</w:t>
      </w:r>
      <w:r>
        <w:rPr>
          <w:rFonts w:hint="eastAsia" w:ascii="仿宋" w:hAnsi="仿宋" w:eastAsia="仿宋" w:cs="仿宋"/>
          <w:bCs/>
          <w:color w:val="auto"/>
          <w:sz w:val="28"/>
          <w:szCs w:val="28"/>
          <w:highlight w:val="none"/>
          <w:u w:val="none"/>
        </w:rPr>
        <w:t>标书内提供书面承诺)</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pacing w:val="8"/>
          <w:sz w:val="28"/>
          <w:szCs w:val="28"/>
          <w:highlight w:val="none"/>
          <w:u w:val="none"/>
        </w:rPr>
        <w:t>9、</w:t>
      </w:r>
      <w:r>
        <w:rPr>
          <w:rFonts w:hint="eastAsia" w:ascii="仿宋" w:hAnsi="仿宋" w:eastAsia="仿宋" w:cs="仿宋"/>
          <w:bCs/>
          <w:color w:val="auto"/>
          <w:sz w:val="28"/>
          <w:szCs w:val="28"/>
          <w:highlight w:val="none"/>
          <w:u w:val="none"/>
        </w:rPr>
        <w:t>因车辆质量问题造成采购方车辆停运的每天赔偿1000元</w:t>
      </w: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rPr>
        <w:t>售后</w:t>
      </w:r>
      <w:r>
        <w:rPr>
          <w:rFonts w:hint="eastAsia" w:ascii="仿宋" w:hAnsi="仿宋" w:eastAsia="仿宋" w:cs="仿宋"/>
          <w:bCs/>
          <w:color w:val="auto"/>
          <w:sz w:val="28"/>
          <w:szCs w:val="28"/>
          <w:highlight w:val="none"/>
          <w:u w:val="none"/>
          <w:lang w:eastAsia="zh-CN"/>
        </w:rPr>
        <w:t>维修</w:t>
      </w:r>
      <w:r>
        <w:rPr>
          <w:rFonts w:hint="eastAsia" w:ascii="仿宋" w:hAnsi="仿宋" w:eastAsia="仿宋" w:cs="仿宋"/>
          <w:bCs/>
          <w:color w:val="auto"/>
          <w:sz w:val="28"/>
          <w:szCs w:val="28"/>
          <w:highlight w:val="none"/>
          <w:u w:val="none"/>
        </w:rPr>
        <w:t>服务</w:t>
      </w:r>
      <w:r>
        <w:rPr>
          <w:rFonts w:hint="eastAsia" w:ascii="仿宋" w:hAnsi="仿宋" w:eastAsia="仿宋" w:cs="仿宋"/>
          <w:bCs/>
          <w:color w:val="auto"/>
          <w:sz w:val="28"/>
          <w:szCs w:val="28"/>
          <w:highlight w:val="none"/>
          <w:u w:val="none"/>
          <w:lang w:eastAsia="zh-CN"/>
        </w:rPr>
        <w:t>要求</w:t>
      </w:r>
      <w:r>
        <w:rPr>
          <w:rFonts w:hint="eastAsia" w:ascii="仿宋" w:hAnsi="仿宋" w:eastAsia="仿宋" w:cs="仿宋"/>
          <w:bCs/>
          <w:color w:val="auto"/>
          <w:sz w:val="28"/>
          <w:szCs w:val="28"/>
          <w:highlight w:val="none"/>
          <w:u w:val="none"/>
          <w:lang w:val="en-US" w:eastAsia="zh-CN"/>
        </w:rPr>
        <w:t>24小时内</w:t>
      </w:r>
      <w:r>
        <w:rPr>
          <w:rFonts w:hint="eastAsia" w:ascii="仿宋" w:hAnsi="仿宋" w:eastAsia="仿宋" w:cs="仿宋"/>
          <w:bCs/>
          <w:color w:val="auto"/>
          <w:sz w:val="28"/>
          <w:szCs w:val="28"/>
          <w:highlight w:val="none"/>
          <w:u w:val="none"/>
        </w:rPr>
        <w:t>响应</w:t>
      </w: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72小时内派人到现场，一星期内修复，未按时间修复的，</w:t>
      </w:r>
      <w:r>
        <w:rPr>
          <w:rFonts w:hint="eastAsia" w:ascii="仿宋" w:hAnsi="仿宋" w:eastAsia="仿宋" w:cs="仿宋"/>
          <w:bCs/>
          <w:color w:val="auto"/>
          <w:sz w:val="28"/>
          <w:szCs w:val="28"/>
          <w:highlight w:val="none"/>
          <w:u w:val="none"/>
        </w:rPr>
        <w:t>每天赔偿500元。（</w:t>
      </w:r>
      <w:r>
        <w:rPr>
          <w:rFonts w:hint="eastAsia" w:ascii="仿宋" w:hAnsi="仿宋" w:eastAsia="仿宋" w:cs="仿宋"/>
          <w:bCs/>
          <w:color w:val="auto"/>
          <w:sz w:val="28"/>
          <w:szCs w:val="28"/>
          <w:highlight w:val="none"/>
          <w:u w:val="none"/>
          <w:lang w:eastAsia="zh-CN"/>
        </w:rPr>
        <w:t>在</w:t>
      </w:r>
      <w:r>
        <w:rPr>
          <w:rFonts w:hint="eastAsia" w:ascii="仿宋" w:hAnsi="仿宋" w:eastAsia="仿宋" w:cs="仿宋"/>
          <w:bCs/>
          <w:color w:val="auto"/>
          <w:sz w:val="28"/>
          <w:szCs w:val="28"/>
          <w:highlight w:val="none"/>
          <w:u w:val="none"/>
        </w:rPr>
        <w:t>标书内提供</w:t>
      </w:r>
      <w:r>
        <w:rPr>
          <w:rFonts w:hint="eastAsia" w:ascii="仿宋" w:hAnsi="仿宋" w:eastAsia="仿宋" w:cs="仿宋"/>
          <w:bCs/>
          <w:color w:val="auto"/>
          <w:sz w:val="28"/>
          <w:szCs w:val="28"/>
          <w:highlight w:val="none"/>
          <w:u w:val="none"/>
          <w:lang w:eastAsia="zh-CN"/>
        </w:rPr>
        <w:t>书面承诺</w:t>
      </w:r>
      <w:r>
        <w:rPr>
          <w:rFonts w:hint="eastAsia" w:ascii="仿宋" w:hAnsi="仿宋" w:eastAsia="仿宋" w:cs="仿宋"/>
          <w:bCs/>
          <w:color w:val="auto"/>
          <w:sz w:val="28"/>
          <w:szCs w:val="28"/>
          <w:highlight w:val="none"/>
          <w:u w:val="none"/>
        </w:rPr>
        <w:t>）</w:t>
      </w:r>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left="0" w:leftChars="0" w:firstLine="560" w:firstLineChars="200"/>
        <w:textAlignment w:val="auto"/>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rPr>
        <w:t>▲10、纯电动车辆“三电部分”故障一个月内不能修复的，车辆车身及其它部分的价格按8年平均分摊由中标方回购。（</w:t>
      </w:r>
      <w:r>
        <w:rPr>
          <w:rFonts w:hint="eastAsia" w:ascii="仿宋" w:hAnsi="仿宋" w:eastAsia="仿宋" w:cs="仿宋"/>
          <w:bCs/>
          <w:color w:val="auto"/>
          <w:sz w:val="28"/>
          <w:szCs w:val="28"/>
          <w:highlight w:val="none"/>
          <w:u w:val="none"/>
          <w:lang w:eastAsia="zh-CN"/>
        </w:rPr>
        <w:t>在</w:t>
      </w:r>
      <w:r>
        <w:rPr>
          <w:rFonts w:hint="eastAsia" w:ascii="仿宋" w:hAnsi="仿宋" w:eastAsia="仿宋" w:cs="仿宋"/>
          <w:bCs/>
          <w:color w:val="auto"/>
          <w:sz w:val="28"/>
          <w:szCs w:val="28"/>
          <w:highlight w:val="none"/>
          <w:u w:val="none"/>
        </w:rPr>
        <w:t>标书内提供</w:t>
      </w:r>
      <w:r>
        <w:rPr>
          <w:rFonts w:hint="eastAsia" w:ascii="仿宋" w:hAnsi="仿宋" w:eastAsia="仿宋" w:cs="仿宋"/>
          <w:bCs/>
          <w:color w:val="auto"/>
          <w:sz w:val="28"/>
          <w:szCs w:val="28"/>
          <w:highlight w:val="none"/>
          <w:u w:val="none"/>
          <w:lang w:eastAsia="zh-CN"/>
        </w:rPr>
        <w:t>书面承诺</w:t>
      </w:r>
      <w:r>
        <w:rPr>
          <w:rFonts w:hint="eastAsia" w:ascii="仿宋" w:hAnsi="仿宋" w:eastAsia="仿宋" w:cs="仿宋"/>
          <w:bCs/>
          <w:color w:val="auto"/>
          <w:sz w:val="28"/>
          <w:szCs w:val="28"/>
          <w:highlight w:val="none"/>
          <w:u w:val="none"/>
        </w:rPr>
        <w:t>）</w:t>
      </w:r>
    </w:p>
    <w:p>
      <w:pPr>
        <w:spacing w:line="360" w:lineRule="auto"/>
        <w:ind w:firstLine="420" w:firstLineChars="150"/>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rPr>
        <w:t>11、车辆空调要求：</w:t>
      </w:r>
    </w:p>
    <w:p>
      <w:pPr>
        <w:spacing w:line="360" w:lineRule="auto"/>
        <w:ind w:firstLine="280" w:firstLineChars="100"/>
        <w:rPr>
          <w:rFonts w:hint="eastAsia" w:ascii="仿宋" w:hAnsi="仿宋" w:eastAsia="仿宋" w:cs="仿宋"/>
          <w:bCs/>
          <w:color w:val="auto"/>
          <w:sz w:val="28"/>
          <w:szCs w:val="28"/>
          <w:highlight w:val="none"/>
          <w:u w:val="none"/>
          <w:lang w:eastAsia="zh-CN"/>
        </w:rPr>
      </w:pPr>
      <w:r>
        <w:rPr>
          <w:rFonts w:hint="eastAsia" w:ascii="仿宋" w:hAnsi="仿宋" w:eastAsia="仿宋" w:cs="仿宋"/>
          <w:bCs/>
          <w:color w:val="auto"/>
          <w:sz w:val="28"/>
          <w:szCs w:val="28"/>
          <w:highlight w:val="none"/>
          <w:u w:val="none"/>
        </w:rPr>
        <w:t>（1）所有车辆均采用非独立式顶置制冷空调，制冷降温速率高、制冷效果显著。</w:t>
      </w:r>
    </w:p>
    <w:p>
      <w:pPr>
        <w:spacing w:line="360" w:lineRule="auto"/>
        <w:ind w:firstLine="280" w:firstLineChars="100"/>
        <w:rPr>
          <w:rFonts w:hint="eastAsia" w:ascii="仿宋" w:hAnsi="仿宋" w:eastAsia="仿宋" w:cs="仿宋"/>
          <w:bCs/>
          <w:color w:val="auto"/>
          <w:sz w:val="28"/>
          <w:szCs w:val="28"/>
          <w:highlight w:val="none"/>
          <w:shd w:val="clear" w:color="auto" w:fill="auto"/>
        </w:rPr>
      </w:pPr>
      <w:r>
        <w:rPr>
          <w:rFonts w:hint="eastAsia" w:ascii="仿宋" w:hAnsi="仿宋" w:eastAsia="仿宋" w:cs="仿宋"/>
          <w:bCs/>
          <w:color w:val="auto"/>
          <w:sz w:val="28"/>
          <w:szCs w:val="28"/>
          <w:highlight w:val="none"/>
          <w:u w:val="none"/>
        </w:rPr>
        <w:t>（2）采用按钮式</w:t>
      </w:r>
      <w:r>
        <w:rPr>
          <w:rFonts w:hint="eastAsia" w:ascii="仿宋" w:hAnsi="仿宋" w:eastAsia="仿宋" w:cs="仿宋"/>
          <w:bCs/>
          <w:color w:val="auto"/>
          <w:sz w:val="28"/>
          <w:szCs w:val="28"/>
          <w:highlight w:val="none"/>
          <w:u w:val="none"/>
          <w:lang w:eastAsia="zh-CN"/>
        </w:rPr>
        <w:t>或旋钮式</w:t>
      </w:r>
      <w:r>
        <w:rPr>
          <w:rFonts w:hint="eastAsia" w:ascii="仿宋" w:hAnsi="仿宋" w:eastAsia="仿宋" w:cs="仿宋"/>
          <w:bCs/>
          <w:color w:val="auto"/>
          <w:sz w:val="28"/>
          <w:szCs w:val="28"/>
          <w:highlight w:val="none"/>
          <w:u w:val="none"/>
        </w:rPr>
        <w:t>操纵器，液晶显示屏。</w:t>
      </w:r>
      <w:r>
        <w:rPr>
          <w:rFonts w:hint="eastAsia" w:ascii="仿宋" w:hAnsi="仿宋" w:eastAsia="仿宋" w:cs="仿宋"/>
          <w:bCs/>
          <w:color w:val="auto"/>
          <w:sz w:val="28"/>
          <w:szCs w:val="28"/>
          <w:highlight w:val="none"/>
          <w:shd w:val="clear" w:color="auto" w:fill="auto"/>
        </w:rPr>
        <w:t>且低、中、高、自动四个速度可以迅速转换。</w:t>
      </w:r>
    </w:p>
    <w:p>
      <w:pPr>
        <w:numPr>
          <w:ilvl w:val="0"/>
          <w:numId w:val="0"/>
        </w:numPr>
        <w:spacing w:line="360" w:lineRule="auto"/>
        <w:ind w:firstLine="280" w:firstLineChars="100"/>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lang w:val="en-US" w:eastAsia="zh-CN"/>
        </w:rPr>
        <w:t>3</w:t>
      </w:r>
      <w:r>
        <w:rPr>
          <w:rFonts w:hint="eastAsia" w:ascii="仿宋" w:hAnsi="仿宋" w:eastAsia="仿宋" w:cs="仿宋"/>
          <w:bCs/>
          <w:color w:val="auto"/>
          <w:sz w:val="28"/>
          <w:szCs w:val="28"/>
          <w:highlight w:val="none"/>
          <w:u w:val="none"/>
          <w:lang w:eastAsia="zh-CN"/>
        </w:rPr>
        <w:t>）</w:t>
      </w:r>
      <w:r>
        <w:rPr>
          <w:rFonts w:hint="eastAsia" w:ascii="仿宋" w:hAnsi="仿宋" w:eastAsia="仿宋" w:cs="仿宋"/>
          <w:bCs/>
          <w:color w:val="auto"/>
          <w:sz w:val="28"/>
          <w:szCs w:val="28"/>
          <w:highlight w:val="none"/>
          <w:u w:val="none"/>
        </w:rPr>
        <w:t>空调机组品牌选用国产优质品牌，要求八年保修</w:t>
      </w:r>
      <w:r>
        <w:rPr>
          <w:rFonts w:hint="eastAsia" w:ascii="仿宋" w:hAnsi="仿宋" w:eastAsia="仿宋" w:cs="仿宋"/>
          <w:bCs/>
          <w:color w:val="auto"/>
          <w:sz w:val="28"/>
          <w:szCs w:val="28"/>
          <w:highlight w:val="none"/>
          <w:u w:val="none"/>
          <w:lang w:eastAsia="zh-CN"/>
        </w:rPr>
        <w:t>，包含但不仅限于工时费、材料费、变频器、</w:t>
      </w:r>
      <w:r>
        <w:rPr>
          <w:rFonts w:hint="eastAsia" w:ascii="仿宋" w:hAnsi="仿宋" w:eastAsia="仿宋" w:cs="仿宋"/>
          <w:bCs/>
          <w:color w:val="auto"/>
          <w:sz w:val="28"/>
          <w:szCs w:val="28"/>
          <w:highlight w:val="none"/>
          <w:u w:val="none"/>
          <w:lang w:val="en-US" w:eastAsia="zh-CN"/>
        </w:rPr>
        <w:t>DC/DC电源、压缩机</w:t>
      </w:r>
      <w:r>
        <w:rPr>
          <w:rFonts w:hint="eastAsia" w:ascii="仿宋" w:hAnsi="仿宋" w:eastAsia="仿宋" w:cs="仿宋"/>
          <w:bCs/>
          <w:color w:val="auto"/>
          <w:sz w:val="28"/>
          <w:szCs w:val="28"/>
          <w:highlight w:val="none"/>
          <w:u w:val="none"/>
          <w:lang w:eastAsia="zh-CN"/>
        </w:rPr>
        <w:t>及其他易损件。</w:t>
      </w:r>
      <w:r>
        <w:rPr>
          <w:rFonts w:hint="eastAsia" w:ascii="仿宋" w:hAnsi="仿宋" w:eastAsia="仿宋" w:cs="仿宋"/>
          <w:color w:val="auto"/>
          <w:spacing w:val="6"/>
          <w:sz w:val="28"/>
          <w:szCs w:val="28"/>
          <w:highlight w:val="none"/>
          <w:u w:val="none"/>
        </w:rPr>
        <w:t>（</w:t>
      </w:r>
      <w:r>
        <w:rPr>
          <w:rFonts w:hint="eastAsia" w:ascii="仿宋" w:hAnsi="仿宋" w:eastAsia="仿宋" w:cs="仿宋"/>
          <w:color w:val="auto"/>
          <w:spacing w:val="6"/>
          <w:sz w:val="28"/>
          <w:szCs w:val="28"/>
          <w:highlight w:val="none"/>
          <w:u w:val="none"/>
          <w:lang w:eastAsia="zh-CN"/>
        </w:rPr>
        <w:t>由空调生产厂家和车辆制造厂家在</w:t>
      </w:r>
      <w:r>
        <w:rPr>
          <w:rFonts w:hint="eastAsia" w:ascii="仿宋" w:hAnsi="仿宋" w:eastAsia="仿宋" w:cs="仿宋"/>
          <w:color w:val="auto"/>
          <w:spacing w:val="6"/>
          <w:sz w:val="28"/>
          <w:szCs w:val="28"/>
          <w:highlight w:val="none"/>
          <w:u w:val="none"/>
        </w:rPr>
        <w:t>标书内</w:t>
      </w:r>
      <w:r>
        <w:rPr>
          <w:rFonts w:hint="eastAsia" w:ascii="仿宋" w:hAnsi="仿宋" w:eastAsia="仿宋" w:cs="仿宋"/>
          <w:color w:val="auto"/>
          <w:spacing w:val="6"/>
          <w:sz w:val="28"/>
          <w:szCs w:val="28"/>
          <w:highlight w:val="none"/>
          <w:u w:val="none"/>
          <w:lang w:eastAsia="zh-CN"/>
        </w:rPr>
        <w:t>共同书面承诺</w:t>
      </w:r>
      <w:r>
        <w:rPr>
          <w:rFonts w:hint="eastAsia" w:ascii="仿宋" w:hAnsi="仿宋" w:eastAsia="仿宋" w:cs="仿宋"/>
          <w:color w:val="auto"/>
          <w:spacing w:val="6"/>
          <w:sz w:val="28"/>
          <w:szCs w:val="28"/>
          <w:highlight w:val="none"/>
          <w:u w:val="none"/>
        </w:rPr>
        <w:t>）</w:t>
      </w:r>
      <w:r>
        <w:rPr>
          <w:rFonts w:hint="eastAsia" w:ascii="仿宋" w:hAnsi="仿宋" w:eastAsia="仿宋" w:cs="仿宋"/>
          <w:color w:val="auto"/>
          <w:spacing w:val="6"/>
          <w:sz w:val="28"/>
          <w:szCs w:val="28"/>
          <w:highlight w:val="none"/>
          <w:u w:val="none"/>
          <w:lang w:eastAsia="zh-CN"/>
        </w:rPr>
        <w:t>。</w:t>
      </w:r>
    </w:p>
    <w:p>
      <w:pPr>
        <w:spacing w:line="360" w:lineRule="auto"/>
        <w:ind w:firstLine="560" w:firstLineChars="200"/>
        <w:rPr>
          <w:rFonts w:hint="eastAsia" w:ascii="仿宋" w:hAnsi="仿宋" w:eastAsia="仿宋" w:cs="仿宋"/>
          <w:bCs/>
          <w:color w:val="auto"/>
          <w:sz w:val="28"/>
          <w:szCs w:val="28"/>
          <w:highlight w:val="none"/>
          <w:u w:val="none"/>
        </w:rPr>
      </w:pPr>
      <w:r>
        <w:rPr>
          <w:rFonts w:hint="eastAsia" w:ascii="仿宋" w:hAnsi="仿宋" w:eastAsia="仿宋" w:cs="仿宋"/>
          <w:bCs/>
          <w:color w:val="auto"/>
          <w:sz w:val="28"/>
          <w:szCs w:val="28"/>
          <w:highlight w:val="none"/>
          <w:u w:val="none"/>
        </w:rPr>
        <w:t>12、车长要求：</w:t>
      </w:r>
    </w:p>
    <w:p>
      <w:pPr>
        <w:spacing w:line="360" w:lineRule="auto"/>
        <w:ind w:firstLine="420" w:firstLineChars="150"/>
        <w:rPr>
          <w:rFonts w:hint="eastAsia" w:ascii="仿宋" w:hAnsi="仿宋" w:eastAsia="仿宋" w:cs="仿宋"/>
          <w:bCs/>
          <w:color w:val="auto"/>
          <w:sz w:val="28"/>
          <w:szCs w:val="28"/>
          <w:highlight w:val="none"/>
          <w:shd w:val="clear" w:color="auto" w:fill="auto"/>
          <w:lang w:eastAsia="zh-CN"/>
        </w:rPr>
      </w:pPr>
      <w:r>
        <w:rPr>
          <w:rFonts w:hint="eastAsia" w:ascii="仿宋" w:hAnsi="仿宋" w:eastAsia="仿宋" w:cs="仿宋"/>
          <w:bCs/>
          <w:color w:val="auto"/>
          <w:sz w:val="28"/>
          <w:szCs w:val="28"/>
          <w:highlight w:val="none"/>
          <w:shd w:val="clear" w:color="auto" w:fill="auto"/>
        </w:rPr>
        <w:t>（</w:t>
      </w:r>
      <w:r>
        <w:rPr>
          <w:rFonts w:hint="eastAsia" w:ascii="仿宋" w:hAnsi="仿宋" w:eastAsia="仿宋" w:cs="仿宋"/>
          <w:bCs/>
          <w:color w:val="auto"/>
          <w:sz w:val="28"/>
          <w:szCs w:val="28"/>
          <w:highlight w:val="none"/>
          <w:shd w:val="clear" w:color="auto" w:fill="auto"/>
          <w:lang w:val="en-US" w:eastAsia="zh-CN"/>
        </w:rPr>
        <w:t>1</w:t>
      </w:r>
      <w:r>
        <w:rPr>
          <w:rFonts w:hint="eastAsia" w:ascii="仿宋" w:hAnsi="仿宋" w:eastAsia="仿宋" w:cs="仿宋"/>
          <w:bCs/>
          <w:color w:val="auto"/>
          <w:sz w:val="28"/>
          <w:szCs w:val="28"/>
          <w:highlight w:val="none"/>
          <w:shd w:val="clear" w:color="auto" w:fill="auto"/>
        </w:rPr>
        <w:t>）</w:t>
      </w:r>
      <w:r>
        <w:rPr>
          <w:rFonts w:hint="eastAsia" w:ascii="仿宋" w:hAnsi="仿宋" w:eastAsia="仿宋" w:cs="仿宋"/>
          <w:bCs/>
          <w:color w:val="auto"/>
          <w:sz w:val="28"/>
          <w:szCs w:val="28"/>
          <w:highlight w:val="none"/>
          <w:shd w:val="clear" w:color="auto" w:fill="auto"/>
          <w:lang w:eastAsia="zh-CN"/>
        </w:rPr>
        <w:t>第一标段车辆总长：</w:t>
      </w:r>
      <w:r>
        <w:rPr>
          <w:rFonts w:hint="eastAsia" w:ascii="仿宋" w:hAnsi="仿宋" w:eastAsia="仿宋" w:cs="仿宋"/>
          <w:bCs/>
          <w:color w:val="auto"/>
          <w:sz w:val="28"/>
          <w:szCs w:val="28"/>
          <w:highlight w:val="none"/>
          <w:shd w:val="clear" w:color="auto" w:fill="auto"/>
          <w:lang w:val="en-US" w:eastAsia="zh-CN"/>
        </w:rPr>
        <w:t>5800mm（含本数）--5999mm（含本数）</w:t>
      </w:r>
      <w:r>
        <w:rPr>
          <w:rFonts w:hint="eastAsia" w:ascii="仿宋" w:hAnsi="仿宋" w:eastAsia="仿宋" w:cs="仿宋"/>
          <w:bCs/>
          <w:color w:val="auto"/>
          <w:sz w:val="28"/>
          <w:szCs w:val="28"/>
          <w:highlight w:val="none"/>
          <w:shd w:val="clear" w:color="auto" w:fill="auto"/>
          <w:lang w:eastAsia="zh-CN"/>
        </w:rPr>
        <w:t>；</w:t>
      </w:r>
    </w:p>
    <w:p>
      <w:pPr>
        <w:spacing w:line="360" w:lineRule="auto"/>
        <w:ind w:firstLine="420" w:firstLineChars="150"/>
        <w:rPr>
          <w:rFonts w:hint="eastAsia" w:ascii="仿宋" w:hAnsi="仿宋" w:eastAsia="仿宋" w:cs="仿宋"/>
          <w:bCs/>
          <w:color w:val="auto"/>
          <w:sz w:val="28"/>
          <w:szCs w:val="28"/>
          <w:highlight w:val="none"/>
          <w:shd w:val="clear" w:color="auto" w:fill="auto"/>
          <w:lang w:val="en-US" w:eastAsia="zh-CN"/>
        </w:rPr>
      </w:pPr>
      <w:r>
        <w:rPr>
          <w:rFonts w:hint="eastAsia" w:ascii="仿宋" w:hAnsi="仿宋" w:eastAsia="仿宋" w:cs="仿宋"/>
          <w:bCs/>
          <w:color w:val="auto"/>
          <w:sz w:val="28"/>
          <w:szCs w:val="28"/>
          <w:highlight w:val="none"/>
          <w:shd w:val="clear" w:color="auto" w:fill="auto"/>
          <w:lang w:eastAsia="zh-CN"/>
        </w:rPr>
        <w:t>（</w:t>
      </w:r>
      <w:r>
        <w:rPr>
          <w:rFonts w:hint="eastAsia" w:ascii="仿宋" w:hAnsi="仿宋" w:eastAsia="仿宋" w:cs="仿宋"/>
          <w:bCs/>
          <w:color w:val="auto"/>
          <w:sz w:val="28"/>
          <w:szCs w:val="28"/>
          <w:highlight w:val="none"/>
          <w:shd w:val="clear" w:color="auto" w:fill="auto"/>
          <w:lang w:val="en-US" w:eastAsia="zh-CN"/>
        </w:rPr>
        <w:t>2</w:t>
      </w:r>
      <w:r>
        <w:rPr>
          <w:rFonts w:hint="eastAsia" w:ascii="仿宋" w:hAnsi="仿宋" w:eastAsia="仿宋" w:cs="仿宋"/>
          <w:bCs/>
          <w:color w:val="auto"/>
          <w:sz w:val="28"/>
          <w:szCs w:val="28"/>
          <w:highlight w:val="none"/>
          <w:shd w:val="clear" w:color="auto" w:fill="auto"/>
          <w:lang w:eastAsia="zh-CN"/>
        </w:rPr>
        <w:t>）第二标段车辆总长：</w:t>
      </w:r>
      <w:r>
        <w:rPr>
          <w:rFonts w:hint="eastAsia" w:ascii="仿宋" w:hAnsi="仿宋" w:eastAsia="仿宋" w:cs="仿宋"/>
          <w:bCs/>
          <w:color w:val="auto"/>
          <w:sz w:val="28"/>
          <w:szCs w:val="28"/>
          <w:highlight w:val="none"/>
          <w:shd w:val="clear" w:color="auto" w:fill="auto"/>
          <w:lang w:val="en-US" w:eastAsia="zh-CN"/>
        </w:rPr>
        <w:t>8000mm（含本数）--8200mm（含本数）</w:t>
      </w:r>
      <w:r>
        <w:rPr>
          <w:rFonts w:hint="eastAsia" w:ascii="仿宋" w:hAnsi="仿宋" w:eastAsia="仿宋" w:cs="仿宋"/>
          <w:bCs/>
          <w:color w:val="auto"/>
          <w:sz w:val="28"/>
          <w:szCs w:val="28"/>
          <w:highlight w:val="none"/>
          <w:shd w:val="clear" w:color="auto" w:fill="auto"/>
          <w:lang w:eastAsia="zh-CN"/>
        </w:rPr>
        <w:t>；</w:t>
      </w:r>
    </w:p>
    <w:p>
      <w:pPr>
        <w:spacing w:line="360" w:lineRule="auto"/>
        <w:ind w:firstLine="420" w:firstLineChars="150"/>
        <w:rPr>
          <w:rFonts w:hint="eastAsia" w:ascii="仿宋" w:hAnsi="仿宋" w:eastAsia="仿宋" w:cs="仿宋"/>
          <w:color w:val="auto"/>
          <w:sz w:val="28"/>
          <w:szCs w:val="28"/>
          <w:highlight w:val="none"/>
          <w:lang w:val="en-US" w:eastAsia="zh-CN"/>
        </w:rPr>
      </w:pPr>
      <w:r>
        <w:rPr>
          <w:rFonts w:hint="eastAsia" w:ascii="仿宋" w:hAnsi="仿宋" w:eastAsia="仿宋" w:cs="仿宋"/>
          <w:bCs/>
          <w:color w:val="auto"/>
          <w:sz w:val="28"/>
          <w:szCs w:val="28"/>
          <w:highlight w:val="none"/>
          <w:shd w:val="clear" w:color="auto" w:fill="auto"/>
          <w:lang w:eastAsia="zh-CN"/>
        </w:rPr>
        <w:t>（</w:t>
      </w:r>
      <w:r>
        <w:rPr>
          <w:rFonts w:hint="eastAsia" w:ascii="仿宋" w:hAnsi="仿宋" w:eastAsia="仿宋" w:cs="仿宋"/>
          <w:bCs/>
          <w:color w:val="auto"/>
          <w:sz w:val="28"/>
          <w:szCs w:val="28"/>
          <w:highlight w:val="none"/>
          <w:shd w:val="clear" w:color="auto" w:fill="auto"/>
          <w:lang w:val="en-US" w:eastAsia="zh-CN"/>
        </w:rPr>
        <w:t>3</w:t>
      </w:r>
      <w:r>
        <w:rPr>
          <w:rFonts w:hint="eastAsia" w:ascii="仿宋" w:hAnsi="仿宋" w:eastAsia="仿宋" w:cs="仿宋"/>
          <w:bCs/>
          <w:color w:val="auto"/>
          <w:sz w:val="28"/>
          <w:szCs w:val="28"/>
          <w:highlight w:val="none"/>
          <w:shd w:val="clear" w:color="auto" w:fill="auto"/>
          <w:lang w:eastAsia="zh-CN"/>
        </w:rPr>
        <w:t>）第三标段车辆总长：</w:t>
      </w:r>
      <w:r>
        <w:rPr>
          <w:rFonts w:hint="eastAsia" w:ascii="仿宋" w:hAnsi="仿宋" w:eastAsia="仿宋" w:cs="仿宋"/>
          <w:bCs/>
          <w:color w:val="auto"/>
          <w:sz w:val="28"/>
          <w:szCs w:val="28"/>
          <w:highlight w:val="none"/>
          <w:shd w:val="clear" w:color="auto" w:fill="auto"/>
          <w:lang w:val="en-US" w:eastAsia="zh-CN"/>
        </w:rPr>
        <w:t>8500mm（含本数）--8700mm（含本数）</w:t>
      </w:r>
      <w:r>
        <w:rPr>
          <w:rFonts w:hint="eastAsia" w:ascii="仿宋" w:hAnsi="仿宋" w:eastAsia="仿宋" w:cs="仿宋"/>
          <w:bCs/>
          <w:color w:val="auto"/>
          <w:sz w:val="28"/>
          <w:szCs w:val="28"/>
          <w:highlight w:val="none"/>
          <w:shd w:val="clear" w:color="auto" w:fill="auto"/>
          <w:lang w:eastAsia="zh-CN"/>
        </w:rPr>
        <w:t>；</w:t>
      </w:r>
    </w:p>
    <w:p>
      <w:pPr>
        <w:spacing w:line="360" w:lineRule="auto"/>
        <w:ind w:firstLine="420" w:firstLineChars="150"/>
        <w:rPr>
          <w:rFonts w:hint="eastAsia"/>
          <w:color w:val="auto"/>
          <w:sz w:val="28"/>
          <w:szCs w:val="28"/>
          <w:highlight w:val="none"/>
        </w:rPr>
      </w:pPr>
      <w:r>
        <w:rPr>
          <w:rFonts w:hint="eastAsia" w:ascii="仿宋" w:hAnsi="仿宋" w:eastAsia="仿宋" w:cs="仿宋"/>
          <w:bCs/>
          <w:color w:val="auto"/>
          <w:sz w:val="28"/>
          <w:szCs w:val="28"/>
          <w:highlight w:val="none"/>
          <w:shd w:val="clear" w:color="auto" w:fill="auto"/>
          <w:lang w:val="en-US" w:eastAsia="zh-CN"/>
        </w:rPr>
        <w:t>（4）第四标</w:t>
      </w:r>
      <w:r>
        <w:rPr>
          <w:rFonts w:hint="eastAsia" w:ascii="仿宋" w:hAnsi="仿宋" w:eastAsia="仿宋" w:cs="仿宋"/>
          <w:bCs/>
          <w:color w:val="auto"/>
          <w:sz w:val="28"/>
          <w:szCs w:val="28"/>
          <w:highlight w:val="none"/>
          <w:shd w:val="clear" w:color="auto" w:fill="auto"/>
          <w:lang w:eastAsia="zh-CN"/>
        </w:rPr>
        <w:t>段车辆总长：</w:t>
      </w:r>
      <w:r>
        <w:rPr>
          <w:rFonts w:hint="eastAsia" w:ascii="仿宋" w:hAnsi="仿宋" w:eastAsia="仿宋" w:cs="仿宋"/>
          <w:bCs/>
          <w:color w:val="auto"/>
          <w:sz w:val="28"/>
          <w:szCs w:val="28"/>
          <w:highlight w:val="none"/>
          <w:shd w:val="clear" w:color="auto" w:fill="auto"/>
          <w:lang w:val="en-US" w:eastAsia="zh-CN"/>
        </w:rPr>
        <w:t>8500mm（含本数）--8990mm（含本数）。</w:t>
      </w:r>
    </w:p>
    <w:p>
      <w:pPr>
        <w:pStyle w:val="9"/>
        <w:numPr>
          <w:ilvl w:val="0"/>
          <w:numId w:val="6"/>
        </w:numPr>
        <w:snapToGrid w:val="0"/>
        <w:spacing w:line="360" w:lineRule="auto"/>
        <w:outlineLvl w:val="0"/>
        <w:rPr>
          <w:rFonts w:hint="eastAsia" w:ascii="仿宋" w:hAnsi="仿宋" w:eastAsia="仿宋" w:cs="仿宋"/>
          <w:color w:val="auto"/>
          <w:sz w:val="28"/>
          <w:szCs w:val="28"/>
          <w:highlight w:val="none"/>
          <w:u w:val="none"/>
        </w:rPr>
      </w:pPr>
      <w:r>
        <w:rPr>
          <w:rFonts w:hint="eastAsia" w:ascii="仿宋" w:hAnsi="仿宋" w:eastAsia="仿宋" w:cs="仿宋"/>
          <w:b/>
          <w:color w:val="auto"/>
          <w:sz w:val="28"/>
          <w:szCs w:val="28"/>
          <w:highlight w:val="none"/>
          <w:u w:val="none"/>
        </w:rPr>
        <w:t>项目具体技术需求</w:t>
      </w:r>
    </w:p>
    <w:p>
      <w:pPr>
        <w:pStyle w:val="9"/>
        <w:snapToGrid w:val="0"/>
        <w:spacing w:line="360" w:lineRule="auto"/>
        <w:outlineLvl w:val="0"/>
        <w:rPr>
          <w:rFonts w:hint="eastAsia" w:ascii="仿宋" w:hAnsi="仿宋" w:eastAsia="仿宋" w:cs="仿宋"/>
          <w:b/>
          <w:color w:val="auto"/>
          <w:sz w:val="28"/>
          <w:szCs w:val="28"/>
          <w:highlight w:val="none"/>
          <w:u w:val="none"/>
          <w:lang w:val="en-US" w:eastAsia="zh-CN"/>
        </w:rPr>
      </w:pPr>
      <w:r>
        <w:rPr>
          <w:rFonts w:hint="eastAsia" w:ascii="仿宋" w:hAnsi="仿宋" w:eastAsia="仿宋" w:cs="仿宋"/>
          <w:b/>
          <w:color w:val="auto"/>
          <w:sz w:val="28"/>
          <w:szCs w:val="28"/>
          <w:highlight w:val="none"/>
          <w:shd w:val="clear" w:color="auto" w:fill="auto"/>
          <w:lang w:eastAsia="zh-CN"/>
        </w:rPr>
        <w:t>第一标段配置</w:t>
      </w:r>
      <w:r>
        <w:rPr>
          <w:rFonts w:hint="eastAsia" w:ascii="仿宋" w:hAnsi="仿宋" w:eastAsia="仿宋" w:cs="仿宋"/>
          <w:b/>
          <w:color w:val="auto"/>
          <w:sz w:val="28"/>
          <w:szCs w:val="28"/>
          <w:highlight w:val="none"/>
          <w:u w:val="none"/>
        </w:rPr>
        <w:t>：</w:t>
      </w:r>
      <w:r>
        <w:rPr>
          <w:rFonts w:hint="eastAsia" w:ascii="仿宋" w:hAnsi="仿宋" w:eastAsia="仿宋" w:cs="仿宋"/>
          <w:b/>
          <w:color w:val="auto"/>
          <w:sz w:val="28"/>
          <w:szCs w:val="28"/>
          <w:highlight w:val="none"/>
          <w:u w:val="none"/>
          <w:lang w:val="en-US" w:eastAsia="zh-CN"/>
        </w:rPr>
        <w:t>5</w:t>
      </w:r>
      <w:r>
        <w:rPr>
          <w:rFonts w:hint="eastAsia" w:ascii="仿宋" w:hAnsi="仿宋" w:eastAsia="仿宋" w:cs="仿宋"/>
          <w:b/>
          <w:color w:val="auto"/>
          <w:sz w:val="28"/>
          <w:szCs w:val="28"/>
          <w:highlight w:val="none"/>
          <w:u w:val="none"/>
        </w:rPr>
        <w:t>米</w:t>
      </w:r>
      <w:r>
        <w:rPr>
          <w:rFonts w:hint="eastAsia" w:ascii="仿宋" w:hAnsi="仿宋" w:eastAsia="仿宋" w:cs="仿宋"/>
          <w:b/>
          <w:color w:val="auto"/>
          <w:sz w:val="28"/>
          <w:szCs w:val="28"/>
          <w:highlight w:val="none"/>
          <w:u w:val="none"/>
          <w:lang w:val="en-US" w:eastAsia="zh-CN"/>
        </w:rPr>
        <w:t>9</w:t>
      </w:r>
      <w:r>
        <w:rPr>
          <w:rFonts w:hint="eastAsia" w:ascii="仿宋" w:hAnsi="仿宋" w:eastAsia="仿宋" w:cs="仿宋"/>
          <w:b/>
          <w:color w:val="auto"/>
          <w:sz w:val="28"/>
          <w:szCs w:val="28"/>
          <w:highlight w:val="none"/>
          <w:u w:val="none"/>
        </w:rPr>
        <w:t>级纯电动城市客车</w:t>
      </w:r>
      <w:r>
        <w:rPr>
          <w:rFonts w:hint="eastAsia" w:ascii="仿宋" w:hAnsi="仿宋" w:eastAsia="仿宋" w:cs="仿宋"/>
          <w:b/>
          <w:color w:val="auto"/>
          <w:sz w:val="28"/>
          <w:szCs w:val="28"/>
          <w:highlight w:val="none"/>
          <w:u w:val="none"/>
          <w:lang w:val="en-US" w:eastAsia="zh-CN"/>
        </w:rPr>
        <w:t>9</w:t>
      </w:r>
      <w:r>
        <w:rPr>
          <w:rFonts w:hint="eastAsia" w:ascii="仿宋" w:hAnsi="仿宋" w:eastAsia="仿宋" w:cs="仿宋"/>
          <w:b/>
          <w:color w:val="auto"/>
          <w:sz w:val="28"/>
          <w:szCs w:val="28"/>
          <w:highlight w:val="none"/>
          <w:u w:val="none"/>
        </w:rPr>
        <w:t>台，具体技术参数及需求配置如下表</w:t>
      </w:r>
      <w:r>
        <w:rPr>
          <w:rFonts w:hint="eastAsia" w:ascii="仿宋" w:hAnsi="仿宋" w:eastAsia="仿宋" w:cs="仿宋"/>
          <w:b/>
          <w:color w:val="auto"/>
          <w:sz w:val="28"/>
          <w:szCs w:val="28"/>
          <w:highlight w:val="none"/>
          <w:u w:val="none"/>
          <w:lang w:val="en-US" w:eastAsia="zh-CN"/>
        </w:rPr>
        <w:t>:</w:t>
      </w:r>
    </w:p>
    <w:tbl>
      <w:tblPr>
        <w:tblStyle w:val="16"/>
        <w:tblW w:w="9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261" w:type="dxa"/>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8"/>
                <w:szCs w:val="28"/>
                <w:highlight w:val="none"/>
                <w:u w:val="none"/>
                <w:shd w:val="clear" w:color="auto" w:fill="auto"/>
              </w:rPr>
            </w:pPr>
            <w:r>
              <w:rPr>
                <w:rFonts w:hint="eastAsia" w:ascii="仿宋" w:hAnsi="仿宋" w:eastAsia="仿宋" w:cs="仿宋"/>
                <w:b/>
                <w:color w:val="auto"/>
                <w:sz w:val="28"/>
                <w:szCs w:val="28"/>
                <w:highlight w:val="none"/>
                <w:u w:val="none"/>
                <w:shd w:val="clear" w:color="auto" w:fill="auto"/>
              </w:rPr>
              <w:t xml:space="preserve">       车      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color w:val="auto"/>
                <w:sz w:val="28"/>
                <w:szCs w:val="28"/>
                <w:highlight w:val="none"/>
                <w:u w:val="none"/>
                <w:shd w:val="clear" w:color="auto" w:fill="auto"/>
              </w:rPr>
            </w:pPr>
            <w:r>
              <w:rPr>
                <w:rFonts w:hint="eastAsia" w:ascii="仿宋" w:hAnsi="仿宋" w:eastAsia="仿宋" w:cs="仿宋"/>
                <w:b/>
                <w:color w:val="auto"/>
                <w:sz w:val="28"/>
                <w:szCs w:val="28"/>
                <w:highlight w:val="none"/>
                <w:u w:val="none"/>
                <w:shd w:val="clear" w:color="auto" w:fill="auto"/>
              </w:rPr>
              <w:t>项      目</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
                <w:bCs w:val="0"/>
                <w:color w:val="auto"/>
                <w:sz w:val="28"/>
                <w:szCs w:val="28"/>
                <w:lang w:val="en-US" w:eastAsia="zh-CN"/>
              </w:rPr>
              <w:t>5米9</w:t>
            </w:r>
            <w:r>
              <w:rPr>
                <w:rFonts w:hint="eastAsia" w:ascii="仿宋" w:hAnsi="仿宋" w:eastAsia="仿宋" w:cs="仿宋"/>
                <w:b/>
                <w:bCs w:val="0"/>
                <w:color w:val="auto"/>
                <w:sz w:val="28"/>
                <w:szCs w:val="28"/>
                <w:lang w:eastAsia="zh-CN"/>
              </w:rPr>
              <w:t>级纯电动城市客车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8"/>
                <w:szCs w:val="28"/>
                <w:highlight w:val="none"/>
                <w:u w:val="none"/>
                <w:shd w:val="clear" w:color="auto" w:fill="auto"/>
              </w:rPr>
            </w:pPr>
            <w:r>
              <w:rPr>
                <w:rFonts w:hint="eastAsia" w:ascii="仿宋" w:hAnsi="仿宋" w:eastAsia="仿宋" w:cs="仿宋"/>
                <w:b/>
                <w:color w:val="auto"/>
                <w:sz w:val="28"/>
                <w:szCs w:val="28"/>
                <w:highlight w:val="none"/>
                <w:u w:val="none"/>
                <w:shd w:val="clear" w:color="auto" w:fill="auto"/>
              </w:rPr>
              <w:t>特      征</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8"/>
                <w:szCs w:val="28"/>
                <w:highlight w:val="none"/>
                <w:u w:val="none"/>
                <w:shd w:val="clear" w:color="auto" w:fill="auto"/>
                <w:lang w:eastAsia="zh-CN"/>
              </w:rPr>
            </w:pPr>
            <w:r>
              <w:rPr>
                <w:rFonts w:hint="eastAsia" w:ascii="仿宋" w:hAnsi="仿宋" w:eastAsia="仿宋" w:cs="仿宋"/>
                <w:b w:val="0"/>
                <w:bCs/>
                <w:color w:val="auto"/>
                <w:sz w:val="28"/>
                <w:szCs w:val="28"/>
                <w:highlight w:val="none"/>
                <w:u w:val="none"/>
                <w:shd w:val="clear" w:color="auto" w:fill="auto"/>
                <w:lang w:eastAsia="zh-CN"/>
              </w:rPr>
              <w:t>纯电动</w:t>
            </w:r>
            <w:r>
              <w:rPr>
                <w:rFonts w:hint="eastAsia" w:ascii="仿宋" w:hAnsi="仿宋" w:eastAsia="仿宋" w:cs="仿宋"/>
                <w:b w:val="0"/>
                <w:bCs/>
                <w:color w:val="auto"/>
                <w:spacing w:val="-8"/>
                <w:sz w:val="28"/>
                <w:szCs w:val="28"/>
                <w:highlight w:val="none"/>
                <w:u w:val="none"/>
                <w:shd w:val="clear" w:color="auto" w:fill="auto"/>
              </w:rPr>
              <w:t>、</w:t>
            </w:r>
            <w:r>
              <w:rPr>
                <w:rFonts w:hint="eastAsia" w:ascii="仿宋" w:hAnsi="仿宋" w:eastAsia="仿宋" w:cs="仿宋"/>
                <w:b w:val="0"/>
                <w:bCs/>
                <w:color w:val="auto"/>
                <w:sz w:val="28"/>
                <w:szCs w:val="28"/>
                <w:highlight w:val="none"/>
                <w:u w:val="none"/>
                <w:shd w:val="clear" w:color="auto" w:fill="auto"/>
                <w:lang w:eastAsia="zh-CN"/>
              </w:rPr>
              <w:t>电动空调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
                <w:bCs/>
                <w:color w:val="auto"/>
                <w:sz w:val="28"/>
                <w:szCs w:val="28"/>
                <w:highlight w:val="none"/>
                <w:u w:val="none"/>
                <w:shd w:val="clear" w:color="auto" w:fill="auto"/>
              </w:rPr>
              <w:t xml:space="preserve">一．主要技术参数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
                <w:bCs/>
                <w:color w:val="auto"/>
                <w:sz w:val="28"/>
                <w:szCs w:val="28"/>
                <w:highlight w:val="none"/>
                <w:u w:val="none"/>
                <w:shd w:val="clear" w:color="auto" w:fill="auto"/>
              </w:rPr>
              <w:t>1．尺寸参数</w:t>
            </w:r>
            <w:r>
              <w:rPr>
                <w:rFonts w:hint="eastAsia" w:ascii="仿宋" w:hAnsi="仿宋" w:eastAsia="仿宋" w:cs="仿宋"/>
                <w:b/>
                <w:bCs/>
                <w:color w:val="auto"/>
                <w:sz w:val="28"/>
                <w:szCs w:val="28"/>
                <w:highlight w:val="none"/>
                <w:u w:val="none"/>
                <w:shd w:val="clear" w:color="auto" w:fill="auto"/>
                <w:lang w:eastAsia="zh-CN"/>
              </w:rPr>
              <w:t>（</w:t>
            </w:r>
            <w:r>
              <w:rPr>
                <w:rFonts w:hint="eastAsia" w:ascii="仿宋" w:hAnsi="仿宋" w:eastAsia="仿宋" w:cs="仿宋"/>
                <w:b/>
                <w:bCs/>
                <w:color w:val="auto"/>
                <w:sz w:val="28"/>
                <w:szCs w:val="28"/>
                <w:highlight w:val="none"/>
                <w:u w:val="none"/>
                <w:shd w:val="clear" w:color="auto" w:fill="auto"/>
              </w:rPr>
              <w:t>mm</w:t>
            </w:r>
            <w:r>
              <w:rPr>
                <w:rFonts w:hint="eastAsia" w:ascii="仿宋" w:hAnsi="仿宋" w:eastAsia="仿宋" w:cs="仿宋"/>
                <w:b/>
                <w:bCs/>
                <w:color w:val="auto"/>
                <w:sz w:val="28"/>
                <w:szCs w:val="28"/>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总    长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center"/>
              <w:textAlignment w:val="auto"/>
              <w:outlineLvl w:val="9"/>
              <w:rPr>
                <w:rFonts w:hint="eastAsia" w:ascii="仿宋" w:hAnsi="仿宋" w:eastAsia="仿宋" w:cs="仿宋"/>
                <w:bCs/>
                <w:color w:val="auto"/>
                <w:sz w:val="28"/>
                <w:szCs w:val="28"/>
                <w:highlight w:val="none"/>
                <w:shd w:val="clear" w:color="auto" w:fill="auto"/>
                <w:lang w:eastAsia="zh-CN"/>
              </w:rPr>
            </w:pPr>
            <w:r>
              <w:rPr>
                <w:rFonts w:hint="eastAsia" w:ascii="仿宋" w:hAnsi="仿宋" w:eastAsia="仿宋" w:cs="仿宋"/>
                <w:bCs/>
                <w:color w:val="auto"/>
                <w:sz w:val="28"/>
                <w:szCs w:val="28"/>
                <w:highlight w:val="none"/>
                <w:shd w:val="clear" w:color="auto" w:fill="auto"/>
                <w:lang w:val="en-US" w:eastAsia="zh-CN"/>
              </w:rPr>
              <w:t>5800mm（含本数）--5999mm（含本数）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总    宽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 xml:space="preserve"> ≥</w:t>
            </w:r>
            <w:r>
              <w:rPr>
                <w:rFonts w:hint="eastAsia" w:ascii="仿宋" w:hAnsi="仿宋" w:eastAsia="仿宋" w:cs="仿宋"/>
                <w:color w:val="auto"/>
                <w:sz w:val="28"/>
                <w:szCs w:val="28"/>
                <w:highlight w:val="none"/>
                <w:shd w:val="clear" w:color="auto" w:fill="auto"/>
                <w:lang w:val="en-US" w:eastAsia="zh-CN"/>
              </w:rPr>
              <w:t>2100</w:t>
            </w:r>
            <w:r>
              <w:rPr>
                <w:rFonts w:hint="eastAsia" w:ascii="仿宋" w:hAnsi="仿宋" w:eastAsia="仿宋" w:cs="仿宋"/>
                <w:bCs/>
                <w:color w:val="auto"/>
                <w:sz w:val="28"/>
                <w:szCs w:val="28"/>
                <w:highlight w:val="none"/>
                <w:shd w:val="clear" w:color="auto" w:fil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总    高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shd w:val="clear" w:color="auto" w:fill="auto"/>
                <w:lang w:val="en-US" w:eastAsia="zh-CN"/>
              </w:rPr>
              <w:t>2800</w:t>
            </w:r>
            <w:r>
              <w:rPr>
                <w:rFonts w:hint="eastAsia" w:ascii="仿宋" w:hAnsi="仿宋" w:eastAsia="仿宋" w:cs="仿宋"/>
                <w:bCs/>
                <w:color w:val="auto"/>
                <w:sz w:val="28"/>
                <w:szCs w:val="28"/>
                <w:highlight w:val="none"/>
                <w:shd w:val="clear" w:color="auto" w:fil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left"/>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
                <w:bCs/>
                <w:color w:val="auto"/>
                <w:sz w:val="28"/>
                <w:szCs w:val="28"/>
                <w:highlight w:val="none"/>
                <w:u w:val="none"/>
                <w:shd w:val="clear" w:color="auto" w:fill="auto"/>
              </w:rPr>
              <w:t>2．载客数人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最大载客数</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19人</w:t>
            </w:r>
            <w:r>
              <w:rPr>
                <w:rFonts w:hint="eastAsia" w:ascii="仿宋" w:hAnsi="仿宋" w:eastAsia="仿宋" w:cs="仿宋"/>
                <w:color w:val="auto"/>
                <w:sz w:val="24"/>
                <w:szCs w:val="24"/>
                <w:highlight w:val="none"/>
                <w:u w:val="none"/>
                <w:shd w:val="clear" w:color="auto" w:fill="auto"/>
                <w:lang w:val="en-US" w:eastAsia="zh-CN"/>
              </w:rPr>
              <w:t>（以投标车型工信部公告目录为准）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560" w:firstLineChars="20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最大座位数</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4"/>
                <w:szCs w:val="24"/>
                <w:highlight w:val="none"/>
                <w:u w:val="none"/>
                <w:shd w:val="clear" w:color="auto" w:fill="auto"/>
                <w:lang w:val="en-US" w:eastAsia="zh-CN"/>
              </w:rPr>
              <w:t>按投标车型工信部公告目录为准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
                <w:bCs/>
                <w:color w:val="auto"/>
                <w:sz w:val="28"/>
                <w:szCs w:val="28"/>
                <w:highlight w:val="none"/>
                <w:u w:val="none"/>
                <w:shd w:val="clear" w:color="auto" w:fill="auto"/>
              </w:rPr>
              <w:t>3．性  能  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最高车速    km/h</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w:t>
            </w:r>
            <w:r>
              <w:rPr>
                <w:rFonts w:hint="eastAsia" w:ascii="仿宋" w:hAnsi="仿宋" w:eastAsia="仿宋" w:cs="仿宋"/>
                <w:color w:val="auto"/>
                <w:sz w:val="28"/>
                <w:szCs w:val="28"/>
                <w:highlight w:val="none"/>
                <w:u w:val="none"/>
                <w:shd w:val="clear" w:color="auto" w:fill="auto"/>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280" w:firstLineChars="10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 xml:space="preserve">最大爬度    </w:t>
            </w:r>
          </w:p>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840" w:firstLineChars="30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8"/>
                <w:szCs w:val="28"/>
                <w:highlight w:val="none"/>
                <w:u w:val="none"/>
                <w:shd w:val="clear" w:color="auto" w:fill="auto"/>
                <w:lang w:val="en-US"/>
              </w:rPr>
            </w:pPr>
            <w:r>
              <w:rPr>
                <w:rFonts w:hint="eastAsia" w:ascii="仿宋" w:hAnsi="仿宋" w:eastAsia="仿宋" w:cs="仿宋"/>
                <w:color w:val="auto"/>
                <w:sz w:val="28"/>
                <w:szCs w:val="28"/>
                <w:highlight w:val="none"/>
                <w:u w:val="none"/>
                <w:shd w:val="clear" w:color="auto" w:fill="auto"/>
              </w:rPr>
              <w:t>≥</w:t>
            </w:r>
            <w:r>
              <w:rPr>
                <w:rFonts w:hint="eastAsia" w:ascii="仿宋" w:hAnsi="仿宋" w:eastAsia="仿宋" w:cs="仿宋"/>
                <w:color w:val="auto"/>
                <w:sz w:val="28"/>
                <w:szCs w:val="28"/>
                <w:highlight w:val="none"/>
                <w:u w:val="none"/>
                <w:shd w:val="clear" w:color="auto" w:fil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最大制动距离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（满载30km/h初速） 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驻坡能力</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整车应可靠地在</w:t>
            </w:r>
            <w:r>
              <w:rPr>
                <w:rFonts w:hint="eastAsia" w:ascii="仿宋" w:hAnsi="仿宋" w:eastAsia="仿宋" w:cs="仿宋"/>
                <w:color w:val="auto"/>
                <w:sz w:val="28"/>
                <w:szCs w:val="28"/>
                <w:highlight w:val="none"/>
                <w:u w:val="none"/>
              </w:rPr>
              <w:t>1</w:t>
            </w: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shd w:val="clear" w:color="auto" w:fill="auto"/>
              </w:rPr>
              <w:t>坡道上停稳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2261" w:type="dxa"/>
            <w:noWrap w:val="0"/>
            <w:vAlign w:val="center"/>
          </w:tcPr>
          <w:p>
            <w:pPr>
              <w:jc w:val="left"/>
              <w:rPr>
                <w:rFonts w:hint="eastAsia" w:ascii="仿宋" w:hAnsi="仿宋" w:eastAsia="仿宋" w:cs="仿宋"/>
                <w:kern w:val="2"/>
                <w:sz w:val="28"/>
                <w:szCs w:val="28"/>
                <w:lang w:val="en-US" w:eastAsia="zh-CN" w:bidi="ar-SA"/>
              </w:rPr>
            </w:pPr>
            <w:r>
              <w:rPr>
                <w:rFonts w:hint="eastAsia" w:ascii="仿宋" w:hAnsi="仿宋" w:eastAsia="仿宋" w:cs="仿宋"/>
                <w:sz w:val="28"/>
                <w:szCs w:val="28"/>
              </w:rPr>
              <w:t>一级踏步离地高度(mm)</w:t>
            </w:r>
          </w:p>
        </w:tc>
        <w:tc>
          <w:tcPr>
            <w:tcW w:w="7135" w:type="dxa"/>
            <w:noWrap w:val="0"/>
            <w:vAlign w:val="center"/>
          </w:tcPr>
          <w:p>
            <w:pPr>
              <w:ind w:firstLine="105"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jc w:val="left"/>
              <w:rPr>
                <w:rFonts w:hint="eastAsia" w:ascii="仿宋" w:hAnsi="仿宋" w:eastAsia="仿宋" w:cs="仿宋"/>
                <w:kern w:val="2"/>
                <w:sz w:val="28"/>
                <w:szCs w:val="28"/>
                <w:lang w:val="en-US" w:eastAsia="zh-CN" w:bidi="ar-SA"/>
              </w:rPr>
            </w:pPr>
            <w:r>
              <w:rPr>
                <w:rFonts w:hint="eastAsia" w:ascii="仿宋" w:hAnsi="仿宋" w:eastAsia="仿宋" w:cs="仿宋"/>
                <w:sz w:val="28"/>
                <w:szCs w:val="28"/>
              </w:rPr>
              <w:t>整车安全涉水深度（mm)</w:t>
            </w:r>
          </w:p>
        </w:tc>
        <w:tc>
          <w:tcPr>
            <w:tcW w:w="7135" w:type="dxa"/>
            <w:noWrap w:val="0"/>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
                <w:bCs/>
                <w:color w:val="auto"/>
                <w:sz w:val="28"/>
                <w:szCs w:val="28"/>
                <w:highlight w:val="none"/>
                <w:u w:val="none"/>
                <w:shd w:val="clear" w:color="auto" w:fill="auto"/>
              </w:rPr>
              <w:t>二、主要总成和系统的结构特征与参数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b/>
                <w:bCs w:val="0"/>
                <w:color w:val="auto"/>
                <w:sz w:val="28"/>
                <w:szCs w:val="28"/>
                <w:highlight w:val="none"/>
                <w:u w:val="none"/>
                <w:lang w:val="en-US" w:eastAsia="zh-CN"/>
              </w:rPr>
              <w:t>1.三电系统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lang w:eastAsia="zh-CN"/>
              </w:rPr>
              <w:t>动力电池</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1.提供投标车型的电池容量。以投标车型《新能源汽车推广应用推荐车型目录》技术参数数据和中国汽车网查询为准。</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2.采用直流充电模式，符合国家相关规定，与采购人现有充电桩对接，充电自动识别车辆功能。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3.符合国家安全性，并在投标文件中提供试验检测合格报告、相关标准和规范。</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4.整个电池系统及每组电池箱安装快断器，并设有故障报警装置。安装防撞保护装置，保护电池不因挤压发变形影响安全。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5.电池具备持续充电≥1C能力动力电池温度特性好，动力电池箱设置有效的散热机制（独立水冷），满足温度在-20℃～60℃之间及雨水多的天气使用环境要求。</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6.采用新型电池系统均衡供电回路，不依赖于整车24V供电，由电芯自身供电，依托电池系统自动唤醒功能，实现上电状态和停车下状态均可进行均衡，通过智能均衡实现12个月均衡一次，每次均衡时间12小时。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电池总容量及续航里程</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整车电池总容量≥90kwh，满足招标方公交线路运行需求，在预留20%的电池安全电量后，质保期内续航里程＞160km。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b/>
                <w:bCs/>
                <w:kern w:val="2"/>
                <w:sz w:val="28"/>
                <w:szCs w:val="28"/>
                <w:lang w:val="en-US" w:eastAsia="zh-CN" w:bidi="ar-SA"/>
              </w:rPr>
            </w:pPr>
            <w:r>
              <w:rPr>
                <w:rFonts w:hint="eastAsia" w:ascii="仿宋" w:hAnsi="仿宋" w:eastAsia="仿宋" w:cs="仿宋"/>
                <w:color w:val="auto"/>
                <w:sz w:val="28"/>
                <w:szCs w:val="28"/>
              </w:rPr>
              <w:t>电池品牌</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1.采用液冷模式及磷酸铁锂电极材料的行业知名品牌。</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2.动力电池电芯和电池PACK为同一品牌产品。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rPr>
              <w:t>电池布置形式</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电池合理布置，做好车辆重量重心的均衡分布；与整车隔离，绝缘、防火隔热设计，多重熔断保护，整车高压分级预警系统，高压快断装置。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rPr>
              <w:t>电池系统能量密度</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投标车型的电池系统能量密度＞150wh/kg（投标方以投标车型《新能源汽车推广应用推荐车型目录》技术参数数据为准，并提供目录复印件）。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能量衰减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在质保期内投标人应委托电池原厂执行专业规范的电池定期维保服务，安全检查及性能检测、电池均衡保养等，并对有问题的电池进行临时检测，在质保期内电池组衰减超过15%，免费予以技术处理，8年或60万公里内电池容量衰减超过20%，则须无条件免费更换原品牌新电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2.电池、充放电系统和充电插座总成等免费质保8年（含工时、易损、易耗件），投标人须中标后10天内与配套产品厂家共同提交质保承诺书。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3.如果使用周期内配套电池厂不能继续履行相应服务，客车厂需提供落实电池改造替代方案并承担改造一切费用和损失。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Cs/>
                <w:color w:val="auto"/>
                <w:sz w:val="28"/>
                <w:szCs w:val="28"/>
              </w:rPr>
              <w:t>动力电池回收模式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1.投标人和动力电池厂家必须根据国家相关政策和环保法规对维修更换和车辆报废动力电池（含维修等所有费用）进行免费环保回收处理（如车辆报废时有专门要求的除外）。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2.采购人保留动力电池的最终处理权，采购人根据车辆使用报废情况通知投标人，投标人应当在接到通知30日内回收处理并提供环保处理证明。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lang w:eastAsia="zh-CN"/>
              </w:rPr>
            </w:pPr>
            <w:r>
              <w:rPr>
                <w:rFonts w:hint="eastAsia" w:ascii="仿宋" w:hAnsi="仿宋" w:eastAsia="仿宋" w:cs="仿宋"/>
                <w:bCs/>
                <w:color w:val="auto"/>
                <w:sz w:val="28"/>
                <w:szCs w:val="28"/>
                <w:lang w:eastAsia="zh-CN"/>
              </w:rPr>
              <w:t>控制系统</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高压电控系统（包括但不限于高压配电柜、DC/DC、电动助力转向控制器、驱动电机控制器、空压机控制器）均采用优质控制器，质保8年（含工时、易损、易耗件），投标人须中标后10天内与配套产品厂家共同提交质保承诺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提供投标车型的控制系统详细资料。电池管理系统（BMS）可以监控每个单体的电压、电流，并有采用均衡技术，满足各种极端工况要求。采用五合一及以上集成式控制器。（转向助力、高压配电柜、打气泵、DC-DC、驱动电机）</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lang w:eastAsia="zh-CN"/>
              </w:rPr>
              <w:t>高压配电箱采用集中配电方式，具有多路保护电路，内置高压接触器、高压熔断器、绝缘检测板等；须匹配MSD开关，保证维护安全；须具有高压互锁功能，保证端子松动时，能够断开高压；须内置预充电路；须内置绝缘检测电路，具有漏电保护功能；须具有充电保护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整车电气安全性</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防护等级≥IP6</w:t>
            </w:r>
            <w:r>
              <w:rPr>
                <w:rFonts w:hint="eastAsia" w:ascii="仿宋" w:hAnsi="仿宋" w:eastAsia="仿宋" w:cs="仿宋"/>
                <w:color w:val="auto"/>
                <w:sz w:val="28"/>
                <w:szCs w:val="28"/>
                <w:highlight w:val="none"/>
                <w:u w:val="none"/>
                <w:shd w:val="clear" w:color="auto" w:fill="auto"/>
                <w:lang w:val="en-US" w:eastAsia="zh-CN"/>
              </w:rPr>
              <w:t>7</w:t>
            </w:r>
            <w:r>
              <w:rPr>
                <w:rFonts w:hint="eastAsia" w:ascii="仿宋" w:hAnsi="仿宋" w:eastAsia="仿宋" w:cs="仿宋"/>
                <w:color w:val="auto"/>
                <w:sz w:val="28"/>
                <w:szCs w:val="28"/>
                <w:highlight w:val="none"/>
                <w:u w:val="none"/>
                <w:shd w:val="clear" w:color="auto" w:fill="auto"/>
              </w:rPr>
              <w:t>以上</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高压电缆，采用耐高温的辐照阻燃且耐高压电动车辆专用电缆，具有屏蔽层</w:t>
            </w:r>
            <w:r>
              <w:rPr>
                <w:rFonts w:hint="eastAsia" w:ascii="仿宋" w:hAnsi="仿宋" w:eastAsia="仿宋" w:cs="仿宋"/>
                <w:color w:val="auto"/>
                <w:sz w:val="28"/>
                <w:szCs w:val="28"/>
                <w:highlight w:val="none"/>
                <w:u w:val="none"/>
                <w:shd w:val="clear" w:color="auto" w:fill="auto"/>
                <w:lang w:eastAsia="zh-CN"/>
              </w:rPr>
              <w:t>，</w:t>
            </w:r>
            <w:r>
              <w:rPr>
                <w:rFonts w:hint="eastAsia" w:ascii="仿宋" w:hAnsi="仿宋" w:eastAsia="仿宋" w:cs="仿宋"/>
                <w:color w:val="auto"/>
                <w:sz w:val="28"/>
                <w:szCs w:val="28"/>
                <w:highlight w:val="none"/>
                <w:u w:val="none"/>
                <w:shd w:val="clear" w:color="auto" w:fill="auto"/>
              </w:rPr>
              <w:t>耐压≥700V</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涉水深度（m）≥0.30。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驱动电机</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1.采用水冷永磁同步电机，额定功率≥</w:t>
            </w:r>
            <w:r>
              <w:rPr>
                <w:rFonts w:hint="eastAsia" w:ascii="仿宋" w:hAnsi="仿宋" w:eastAsia="仿宋" w:cs="仿宋"/>
                <w:sz w:val="28"/>
                <w:szCs w:val="28"/>
                <w:lang w:val="en-US" w:eastAsia="zh-CN"/>
              </w:rPr>
              <w:t>6</w:t>
            </w:r>
            <w:r>
              <w:rPr>
                <w:rFonts w:hint="eastAsia" w:ascii="仿宋" w:hAnsi="仿宋" w:eastAsia="仿宋" w:cs="仿宋"/>
                <w:sz w:val="28"/>
                <w:szCs w:val="28"/>
              </w:rPr>
              <w:t>0KW，峰值功率≥</w:t>
            </w:r>
            <w:r>
              <w:rPr>
                <w:rFonts w:hint="eastAsia" w:ascii="仿宋" w:hAnsi="仿宋" w:eastAsia="仿宋" w:cs="仿宋"/>
                <w:sz w:val="28"/>
                <w:szCs w:val="28"/>
                <w:lang w:val="en-US" w:eastAsia="zh-CN"/>
              </w:rPr>
              <w:t>1</w:t>
            </w:r>
            <w:r>
              <w:rPr>
                <w:rFonts w:hint="eastAsia" w:ascii="仿宋" w:hAnsi="仿宋" w:eastAsia="仿宋" w:cs="仿宋"/>
                <w:sz w:val="28"/>
                <w:szCs w:val="28"/>
              </w:rPr>
              <w:t>20KW；（投标厂家提供车辆公告页和整车定型报告证明）；</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xml:space="preserve">2. </w:t>
            </w:r>
            <w:r>
              <w:rPr>
                <w:rFonts w:hint="eastAsia" w:ascii="仿宋" w:hAnsi="仿宋" w:eastAsia="仿宋" w:cs="仿宋"/>
                <w:sz w:val="28"/>
                <w:szCs w:val="28"/>
              </w:rPr>
              <w:t>电机直驱，无级变速，驱动电机具备缓速功能，同时具有能量回收功能；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3.电机防护等级：IP6</w:t>
            </w:r>
            <w:r>
              <w:rPr>
                <w:rFonts w:hint="eastAsia" w:ascii="仿宋" w:hAnsi="仿宋" w:eastAsia="仿宋" w:cs="仿宋"/>
                <w:sz w:val="28"/>
                <w:szCs w:val="28"/>
                <w:lang w:val="en-US" w:eastAsia="zh-CN"/>
              </w:rPr>
              <w:t>7</w:t>
            </w:r>
            <w:r>
              <w:rPr>
                <w:rFonts w:hint="eastAsia" w:ascii="仿宋" w:hAnsi="仿宋" w:eastAsia="仿宋" w:cs="仿宋"/>
                <w:sz w:val="28"/>
                <w:szCs w:val="28"/>
              </w:rPr>
              <w:t>或以上防护等级；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4.电机冷却系统采用电子智能冷却控制系统。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bCs w:val="0"/>
                <w:color w:val="auto"/>
                <w:sz w:val="28"/>
                <w:szCs w:val="28"/>
                <w:highlight w:val="none"/>
                <w:u w:val="none"/>
                <w:lang w:val="en-US" w:eastAsia="zh-CN"/>
              </w:rPr>
              <w:t>2.小三电系统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冷却系统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1.配纯电动专用ATS智能冷却系统，采用进口无刷电机、风扇，</w:t>
            </w:r>
            <w:r>
              <w:rPr>
                <w:rFonts w:hint="eastAsia" w:ascii="仿宋" w:hAnsi="仿宋" w:eastAsia="仿宋" w:cs="仿宋"/>
                <w:sz w:val="28"/>
                <w:szCs w:val="28"/>
                <w:highlight w:val="none"/>
                <w:lang w:val="en-US" w:eastAsia="zh-CN"/>
              </w:rPr>
              <w:t>CAN总线读取ECU等相关车辆信息</w:t>
            </w:r>
            <w:r>
              <w:rPr>
                <w:rFonts w:hint="eastAsia" w:ascii="仿宋" w:hAnsi="仿宋" w:eastAsia="仿宋" w:cs="仿宋"/>
                <w:sz w:val="28"/>
                <w:szCs w:val="28"/>
                <w:lang w:val="en-US" w:eastAsia="zh-CN"/>
              </w:rPr>
              <w:t>，带系统应急启动插头，铜质或铝制散热器。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sz w:val="28"/>
                <w:szCs w:val="28"/>
                <w:lang w:val="en-US" w:eastAsia="zh-CN"/>
              </w:rPr>
              <w:t>2.免费质保8年（含工时及易损、易耗件），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电子水泵</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1.采用变频电子水泵，功率适用车辆使用。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lang w:val="en-US" w:eastAsia="zh-CN" w:bidi="ar-SA"/>
              </w:rPr>
            </w:pPr>
            <w:r>
              <w:rPr>
                <w:rFonts w:hint="eastAsia" w:ascii="仿宋" w:hAnsi="仿宋" w:eastAsia="仿宋" w:cs="仿宋"/>
                <w:sz w:val="28"/>
                <w:szCs w:val="28"/>
                <w:lang w:val="en-US" w:eastAsia="zh-CN"/>
              </w:rPr>
              <w:t>2.免费质保8年（含工时及易损、易耗件），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bCs/>
                <w:color w:val="auto"/>
                <w:sz w:val="28"/>
                <w:szCs w:val="28"/>
                <w:lang w:val="en-US" w:eastAsia="zh-CN"/>
              </w:rPr>
              <w:t>电驱空气压缩机</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1.无油活塞式空压机、轻量、环保静音。</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2.额定功率大于2千瓦，风扇内置型（风扇与电机同轴）。</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3.IP67防护等级认证， EMC电磁干扰认证。</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4.免费质保8年（含保养及维修工时、易损、易耗件、空气滤芯），投标人须中标后10天内与配套产品厂家共同提交质保承诺书。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应急保障</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1.确保动力电池发生突发故障时，铅酸蓄电池能够应急供电不小于30秒，具备CAN诊断故障功能（包括电动转向电机、液压油泵、控制器）。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2.车辆操作时杜绝系统发生与操作不符导致车辆失控情况，突发高压掉断电时仍可确保转向操作轻便，同时提供紧急报警及应急操作提示，不得出现突发断电致使方向失控或锁死现象。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bCs w:val="0"/>
                <w:color w:val="auto"/>
                <w:sz w:val="28"/>
                <w:szCs w:val="28"/>
                <w:highlight w:val="none"/>
                <w:u w:val="none"/>
                <w:lang w:val="en-US" w:eastAsia="zh-CN"/>
              </w:rPr>
            </w:pPr>
            <w:r>
              <w:rPr>
                <w:rFonts w:hint="eastAsia" w:ascii="仿宋" w:hAnsi="仿宋" w:eastAsia="仿宋" w:cs="仿宋"/>
                <w:b/>
                <w:bCs w:val="0"/>
                <w:color w:val="auto"/>
                <w:sz w:val="28"/>
                <w:szCs w:val="28"/>
                <w:highlight w:val="none"/>
                <w:u w:val="none"/>
                <w:lang w:val="en-US" w:eastAsia="zh-CN"/>
              </w:rPr>
              <w:t>3.底盘系统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Cs/>
                <w:color w:val="auto"/>
                <w:sz w:val="28"/>
                <w:szCs w:val="28"/>
                <w:lang w:eastAsia="zh-CN"/>
              </w:rPr>
              <w:t>转向系统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采用</w:t>
            </w:r>
            <w:r>
              <w:rPr>
                <w:rFonts w:hint="eastAsia" w:ascii="仿宋" w:hAnsi="仿宋" w:eastAsia="仿宋" w:cs="仿宋"/>
                <w:color w:val="auto"/>
                <w:sz w:val="28"/>
                <w:szCs w:val="28"/>
                <w:highlight w:val="none"/>
                <w:u w:val="none"/>
                <w:shd w:val="clear" w:color="auto" w:fill="auto"/>
                <w:lang w:eastAsia="zh-CN"/>
              </w:rPr>
              <w:t>双源</w:t>
            </w:r>
            <w:r>
              <w:rPr>
                <w:rFonts w:hint="eastAsia" w:ascii="仿宋" w:hAnsi="仿宋" w:eastAsia="仿宋" w:cs="仿宋"/>
                <w:color w:val="auto"/>
                <w:sz w:val="28"/>
                <w:szCs w:val="28"/>
                <w:highlight w:val="none"/>
                <w:u w:val="none"/>
                <w:shd w:val="clear" w:color="auto" w:fill="auto"/>
              </w:rPr>
              <w:t>电动液压助力转向系统</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bCs/>
                <w:color w:val="auto"/>
                <w:kern w:val="2"/>
                <w:sz w:val="28"/>
                <w:szCs w:val="28"/>
                <w:highlight w:val="none"/>
                <w:u w:val="none"/>
                <w:shd w:val="clear" w:color="auto" w:fill="auto"/>
                <w:lang w:val="en-US" w:eastAsia="zh-CN" w:bidi="ar-SA"/>
              </w:rPr>
            </w:pPr>
            <w:r>
              <w:rPr>
                <w:rFonts w:hint="eastAsia" w:ascii="仿宋" w:hAnsi="仿宋" w:eastAsia="仿宋" w:cs="仿宋"/>
                <w:snapToGrid w:val="0"/>
                <w:kern w:val="0"/>
                <w:sz w:val="28"/>
                <w:szCs w:val="28"/>
                <w:lang w:val="en-US" w:eastAsia="zh-CN"/>
              </w:rPr>
              <w:t>2.</w:t>
            </w:r>
            <w:r>
              <w:rPr>
                <w:rFonts w:hint="eastAsia" w:ascii="仿宋" w:hAnsi="仿宋" w:eastAsia="仿宋" w:cs="仿宋"/>
                <w:color w:val="auto"/>
                <w:sz w:val="28"/>
                <w:szCs w:val="28"/>
                <w:highlight w:val="none"/>
                <w:u w:val="none"/>
                <w:shd w:val="clear" w:color="auto" w:fill="auto"/>
                <w:lang w:eastAsia="zh-CN"/>
              </w:rPr>
              <w:t>双源</w:t>
            </w:r>
            <w:r>
              <w:rPr>
                <w:rFonts w:hint="eastAsia" w:ascii="仿宋" w:hAnsi="仿宋" w:eastAsia="仿宋" w:cs="仿宋"/>
                <w:color w:val="auto"/>
                <w:sz w:val="28"/>
                <w:szCs w:val="28"/>
                <w:highlight w:val="none"/>
                <w:u w:val="none"/>
                <w:shd w:val="clear" w:color="auto" w:fill="auto"/>
              </w:rPr>
              <w:t>电动液压</w:t>
            </w:r>
            <w:r>
              <w:rPr>
                <w:rFonts w:hint="eastAsia" w:ascii="仿宋" w:hAnsi="仿宋" w:eastAsia="仿宋" w:cs="仿宋"/>
                <w:color w:val="auto"/>
                <w:sz w:val="28"/>
                <w:szCs w:val="28"/>
                <w:highlight w:val="none"/>
                <w:u w:val="none"/>
                <w:shd w:val="clear" w:color="auto" w:fill="auto"/>
                <w:lang w:eastAsia="zh-CN"/>
              </w:rPr>
              <w:t>转向</w:t>
            </w:r>
            <w:r>
              <w:rPr>
                <w:rFonts w:hint="eastAsia" w:ascii="仿宋" w:hAnsi="仿宋" w:eastAsia="仿宋" w:cs="仿宋"/>
                <w:color w:val="auto"/>
                <w:sz w:val="28"/>
                <w:szCs w:val="28"/>
                <w:highlight w:val="none"/>
                <w:u w:val="none"/>
                <w:shd w:val="clear" w:color="auto" w:fill="auto"/>
              </w:rPr>
              <w:t>助力</w:t>
            </w:r>
            <w:r>
              <w:rPr>
                <w:rFonts w:hint="eastAsia" w:ascii="仿宋" w:hAnsi="仿宋" w:eastAsia="仿宋" w:cs="仿宋"/>
                <w:color w:val="auto"/>
                <w:sz w:val="28"/>
                <w:szCs w:val="28"/>
                <w:highlight w:val="none"/>
                <w:u w:val="none"/>
                <w:shd w:val="clear" w:color="auto" w:fill="auto"/>
                <w:lang w:eastAsia="zh-CN"/>
              </w:rPr>
              <w:t>泵</w:t>
            </w:r>
            <w:r>
              <w:rPr>
                <w:rFonts w:hint="eastAsia" w:ascii="仿宋" w:hAnsi="仿宋" w:eastAsia="仿宋" w:cs="仿宋"/>
                <w:snapToGrid w:val="0"/>
                <w:kern w:val="0"/>
                <w:sz w:val="28"/>
                <w:szCs w:val="28"/>
              </w:rPr>
              <w:t>质保</w:t>
            </w:r>
            <w:r>
              <w:rPr>
                <w:rFonts w:hint="eastAsia" w:ascii="仿宋" w:hAnsi="仿宋" w:eastAsia="仿宋" w:cs="仿宋"/>
                <w:snapToGrid w:val="0"/>
                <w:kern w:val="0"/>
                <w:sz w:val="28"/>
                <w:szCs w:val="28"/>
                <w:lang w:val="en-US" w:eastAsia="zh-CN"/>
              </w:rPr>
              <w:t>8</w:t>
            </w:r>
            <w:r>
              <w:rPr>
                <w:rFonts w:hint="eastAsia" w:ascii="仿宋" w:hAnsi="仿宋" w:eastAsia="仿宋" w:cs="仿宋"/>
                <w:snapToGrid w:val="0"/>
                <w:kern w:val="0"/>
                <w:sz w:val="28"/>
                <w:szCs w:val="28"/>
              </w:rPr>
              <w:t>年</w:t>
            </w:r>
            <w:r>
              <w:rPr>
                <w:rFonts w:hint="eastAsia" w:ascii="仿宋" w:hAnsi="仿宋" w:eastAsia="仿宋" w:cs="仿宋"/>
                <w:snapToGrid w:val="0"/>
                <w:kern w:val="0"/>
                <w:sz w:val="28"/>
                <w:szCs w:val="28"/>
                <w:lang w:eastAsia="zh-CN"/>
              </w:rPr>
              <w:t>（含工时及易损、易耗件），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adjustRightInd w:val="0"/>
              <w:snapToGrid w:val="0"/>
              <w:jc w:val="center"/>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车桥</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前桥额定载荷≥3T；盘式制动器；免维护专用车桥，车桥必须与免维护轮毂总成相匹配，便于制动盘、制动蹄铁总成的拆卸和安装。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2.方向机、</w:t>
            </w:r>
            <w:r>
              <w:rPr>
                <w:rFonts w:hint="eastAsia" w:ascii="仿宋" w:hAnsi="仿宋" w:eastAsia="仿宋" w:cs="仿宋"/>
                <w:color w:val="auto"/>
                <w:sz w:val="28"/>
                <w:szCs w:val="28"/>
                <w:highlight w:val="none"/>
                <w:u w:val="none"/>
                <w:shd w:val="clear" w:color="auto" w:fill="auto"/>
              </w:rPr>
              <w:t>前轴、转向臂、转向节、直臂、免维护轮毂总成免费质保8年并附承诺书原件，主销、拉杆、接头免费质保5年并附承诺书原件。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lang w:val="en-US" w:eastAsia="zh-CN"/>
              </w:rPr>
              <w:t>3.后桥额定载荷≥5T；新能源专用主减，盘式制动器，免维</w:t>
            </w:r>
            <w:r>
              <w:rPr>
                <w:rFonts w:hint="eastAsia" w:ascii="仿宋" w:hAnsi="仿宋" w:eastAsia="仿宋" w:cs="仿宋"/>
                <w:b w:val="0"/>
                <w:color w:val="auto"/>
                <w:kern w:val="2"/>
                <w:sz w:val="28"/>
                <w:szCs w:val="28"/>
                <w:highlight w:val="none"/>
                <w:u w:val="none"/>
                <w:shd w:val="clear" w:color="auto" w:fill="auto"/>
                <w:lang w:val="en-US" w:eastAsia="zh-CN" w:bidi="ar-SA"/>
              </w:rPr>
              <w:t>护专用车桥，车桥必须与免维护轮毂总成相匹配，便于制动盘、制动蹄铁总成的拆卸和安装。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color w:val="auto"/>
                <w:kern w:val="2"/>
                <w:sz w:val="28"/>
                <w:szCs w:val="28"/>
                <w:highlight w:val="none"/>
                <w:u w:val="none"/>
                <w:shd w:val="clear" w:color="auto" w:fill="auto"/>
                <w:lang w:val="en-US" w:eastAsia="zh-CN" w:bidi="ar-SA"/>
              </w:rPr>
            </w:pPr>
            <w:r>
              <w:rPr>
                <w:rFonts w:hint="eastAsia" w:ascii="仿宋" w:hAnsi="仿宋" w:eastAsia="仿宋" w:cs="仿宋"/>
                <w:b w:val="0"/>
                <w:color w:val="auto"/>
                <w:kern w:val="2"/>
                <w:sz w:val="28"/>
                <w:szCs w:val="28"/>
                <w:highlight w:val="none"/>
                <w:u w:val="none"/>
                <w:shd w:val="clear" w:color="auto" w:fill="auto"/>
                <w:lang w:val="en-US" w:eastAsia="zh-CN" w:bidi="ar-SA"/>
              </w:rPr>
              <w:t>4.前盘后盘制动器；进口ABS或EBS。</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val="0"/>
                <w:color w:val="auto"/>
                <w:kern w:val="2"/>
                <w:sz w:val="28"/>
                <w:szCs w:val="28"/>
                <w:highlight w:val="none"/>
                <w:u w:val="none"/>
                <w:shd w:val="clear" w:color="auto" w:fill="auto"/>
                <w:lang w:val="en-US" w:eastAsia="zh-CN" w:bidi="ar-SA"/>
              </w:rPr>
              <w:t>5.主减器、半轴、桥壳、免维护轮毂总成免费质保8年（含易损件），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制动系统</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1.采用双管路气制动，应有干燥冷却功能，并能自动排气净化油水；制动总阀的制动灯应安装继电器保护开关；要求总泵安装位置拆卸方便。</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2.各类阀类采用国内优质品牌，制动管路采用优质钢管或尼龙管。</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3.带ABS或EBS防抱死制动系统。</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4.制动器采用前后盘式制动。</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5.空气干燥罐、储气罐安装整车CAN总线控制的自动化的排水阀，安装CAN总线控制的大排量冷凝器（质保8年，含易损件）。</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集中润滑系统质保八年</w:t>
            </w:r>
            <w:r>
              <w:rPr>
                <w:rFonts w:hint="eastAsia" w:ascii="仿宋" w:hAnsi="仿宋" w:eastAsia="仿宋" w:cs="仿宋"/>
                <w:color w:val="auto"/>
                <w:sz w:val="28"/>
                <w:szCs w:val="28"/>
                <w:highlight w:val="none"/>
                <w:u w:val="none"/>
                <w:lang w:eastAsia="zh-CN"/>
              </w:rPr>
              <w:t>（含易损件）</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lang w:val="en-US" w:eastAsia="zh-CN"/>
              </w:rPr>
              <w:t>投标人须中标后10天内提交质保承诺书，质保期承诺须</w:t>
            </w:r>
            <w:r>
              <w:rPr>
                <w:rFonts w:hint="eastAsia" w:ascii="仿宋" w:hAnsi="仿宋" w:eastAsia="仿宋" w:cs="仿宋"/>
                <w:color w:val="auto"/>
                <w:sz w:val="28"/>
                <w:szCs w:val="28"/>
                <w:highlight w:val="none"/>
                <w:u w:val="none"/>
              </w:rPr>
              <w:t>由配套产品厂家和车辆制造厂家共同书面承诺。</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.采用弹簧储能制动，手控操纵。</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.车辆应有解除储能制动的外接气源快速接口，在车辆无气抛锚时，能方便接进气源，解除储能制动。</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9</w:t>
            </w:r>
            <w:r>
              <w:rPr>
                <w:rFonts w:hint="eastAsia" w:ascii="仿宋" w:hAnsi="仿宋" w:eastAsia="仿宋" w:cs="仿宋"/>
                <w:color w:val="auto"/>
                <w:sz w:val="28"/>
                <w:szCs w:val="28"/>
                <w:highlight w:val="none"/>
                <w:u w:val="none"/>
              </w:rPr>
              <w:t>.管路系统应进行保压试验，达到国家标准要求。</w:t>
            </w:r>
          </w:p>
          <w:p>
            <w:pPr>
              <w:adjustRightInd w:val="0"/>
              <w:snapToGrid w:val="0"/>
              <w:spacing w:line="320" w:lineRule="exact"/>
              <w:jc w:val="left"/>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.制动系低压报警灯、蜂鸣器集成于仪表，具备声光报警。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2261"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最大总质量、装备质量、载客量</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投标车辆的最大总质量、整备质量、额定载客数等数据应与工业与信息化部发布的道路机动车辆生产企业及产品公告一致。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拖 车 钩</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rPr>
              <w:t>拖车钩应坚固，保证拖车转弯时不碰擦外蒙皮，拖车钩的位置应满足在拖车时保持车辆左右平衡，方便托举和拖动。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Cs/>
                <w:color w:val="auto"/>
                <w:sz w:val="28"/>
                <w:szCs w:val="28"/>
                <w:highlight w:val="none"/>
                <w:lang w:eastAsia="zh-CN"/>
              </w:rPr>
              <w:t>悬</w:t>
            </w:r>
            <w:r>
              <w:rPr>
                <w:rFonts w:hint="eastAsia" w:ascii="仿宋" w:hAnsi="仿宋" w:eastAsia="仿宋" w:cs="仿宋"/>
                <w:bCs/>
                <w:color w:val="auto"/>
                <w:sz w:val="28"/>
                <w:szCs w:val="28"/>
                <w:highlight w:val="none"/>
                <w:lang w:val="en-US" w:eastAsia="zh-CN"/>
              </w:rPr>
              <w:t xml:space="preserve"> </w:t>
            </w:r>
            <w:r>
              <w:rPr>
                <w:rFonts w:hint="eastAsia" w:ascii="仿宋" w:hAnsi="仿宋" w:eastAsia="仿宋" w:cs="仿宋"/>
                <w:bCs/>
                <w:color w:val="auto"/>
                <w:sz w:val="28"/>
                <w:szCs w:val="28"/>
                <w:highlight w:val="none"/>
                <w:lang w:eastAsia="zh-CN"/>
              </w:rPr>
              <w:t>架</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采用</w:t>
            </w:r>
            <w:r>
              <w:rPr>
                <w:rFonts w:hint="eastAsia" w:ascii="仿宋" w:hAnsi="仿宋" w:eastAsia="仿宋" w:cs="仿宋"/>
                <w:color w:val="auto"/>
                <w:sz w:val="28"/>
                <w:szCs w:val="28"/>
                <w:highlight w:val="none"/>
                <w:u w:val="none"/>
                <w:lang w:eastAsia="zh-CN"/>
              </w:rPr>
              <w:t>空气悬架系统；</w:t>
            </w:r>
            <w:r>
              <w:rPr>
                <w:rFonts w:hint="eastAsia" w:ascii="仿宋" w:hAnsi="仿宋" w:eastAsia="仿宋" w:cs="仿宋"/>
                <w:color w:val="auto"/>
                <w:sz w:val="28"/>
                <w:szCs w:val="28"/>
                <w:highlight w:val="none"/>
                <w:u w:val="none"/>
                <w:lang w:val="en-US" w:eastAsia="zh-CN"/>
              </w:rPr>
              <w:t>气囊、减震器、高度阀采用进口配件</w:t>
            </w:r>
            <w:r>
              <w:rPr>
                <w:rFonts w:hint="eastAsia" w:ascii="仿宋" w:hAnsi="仿宋" w:eastAsia="仿宋" w:cs="仿宋"/>
                <w:color w:val="auto"/>
                <w:sz w:val="28"/>
                <w:szCs w:val="28"/>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悬架系统质保</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年</w:t>
            </w:r>
            <w:r>
              <w:rPr>
                <w:rFonts w:hint="eastAsia" w:ascii="仿宋" w:hAnsi="仿宋" w:eastAsia="仿宋" w:cs="仿宋"/>
                <w:color w:val="auto"/>
                <w:sz w:val="28"/>
                <w:szCs w:val="28"/>
                <w:highlight w:val="none"/>
                <w:u w:val="none"/>
                <w:lang w:eastAsia="zh-CN"/>
              </w:rPr>
              <w:t>（含工时及易损、易耗件）</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lang w:val="en-US" w:eastAsia="zh-CN"/>
              </w:rPr>
              <w:t>投标人须中标后10天内提交质保承诺书，质保期承诺须</w:t>
            </w:r>
            <w:r>
              <w:rPr>
                <w:rFonts w:hint="eastAsia" w:ascii="仿宋" w:hAnsi="仿宋" w:eastAsia="仿宋" w:cs="仿宋"/>
                <w:color w:val="auto"/>
                <w:sz w:val="28"/>
                <w:szCs w:val="28"/>
                <w:highlight w:val="none"/>
                <w:u w:val="none"/>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轮胎、车轮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公交专用子午线</w:t>
            </w:r>
            <w:r>
              <w:rPr>
                <w:rFonts w:hint="eastAsia" w:ascii="仿宋" w:hAnsi="仿宋" w:eastAsia="仿宋" w:cs="仿宋"/>
                <w:color w:val="auto"/>
                <w:sz w:val="28"/>
                <w:szCs w:val="28"/>
                <w:highlight w:val="none"/>
                <w:u w:val="none"/>
                <w:lang w:eastAsia="zh-CN"/>
              </w:rPr>
              <w:t>全钢</w:t>
            </w:r>
            <w:r>
              <w:rPr>
                <w:rFonts w:hint="eastAsia" w:ascii="仿宋" w:hAnsi="仿宋" w:eastAsia="仿宋" w:cs="仿宋"/>
                <w:color w:val="auto"/>
                <w:sz w:val="28"/>
                <w:szCs w:val="28"/>
                <w:highlight w:val="none"/>
                <w:u w:val="none"/>
              </w:rPr>
              <w:t>真空胎</w:t>
            </w:r>
            <w:r>
              <w:rPr>
                <w:rFonts w:hint="eastAsia" w:ascii="仿宋" w:hAnsi="仿宋" w:eastAsia="仿宋" w:cs="仿宋"/>
                <w:color w:val="auto"/>
                <w:sz w:val="28"/>
                <w:szCs w:val="28"/>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default"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2.要求后四轮。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lang w:eastAsia="zh-CN"/>
              </w:rPr>
              <w:t>铝合金轮辋（质保</w:t>
            </w:r>
            <w:r>
              <w:rPr>
                <w:rFonts w:hint="eastAsia" w:ascii="仿宋" w:hAnsi="仿宋" w:eastAsia="仿宋" w:cs="仿宋"/>
                <w:color w:val="auto"/>
                <w:sz w:val="28"/>
                <w:szCs w:val="28"/>
                <w:highlight w:val="none"/>
                <w:u w:val="none"/>
                <w:lang w:val="en-US" w:eastAsia="zh-CN"/>
              </w:rPr>
              <w:t>8年</w:t>
            </w:r>
            <w:r>
              <w:rPr>
                <w:rFonts w:hint="eastAsia" w:ascii="仿宋" w:hAnsi="仿宋" w:eastAsia="仿宋" w:cs="仿宋"/>
                <w:color w:val="auto"/>
                <w:sz w:val="28"/>
                <w:szCs w:val="28"/>
                <w:highlight w:val="none"/>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highlight w:val="yellow"/>
                <w:lang w:val="en-US" w:eastAsia="zh-CN" w:bidi="ar-SA"/>
              </w:rPr>
            </w:pPr>
            <w:r>
              <w:rPr>
                <w:rFonts w:hint="eastAsia" w:ascii="仿宋" w:hAnsi="仿宋" w:eastAsia="仿宋" w:cs="仿宋"/>
                <w:sz w:val="28"/>
                <w:szCs w:val="28"/>
                <w:highlight w:val="none"/>
              </w:rPr>
              <w:t>主动安全系统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要求具备驱动防滑功能，通过调节驱动车轮的牵引力实现对驱动车轮滑转的控制，保持最佳的驱动力。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要求具备油门防误踩功能，通过判断油门踏板异常的速度和幅度，有效控制驱动力输出，提升行车安全性。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
                <w:bCs w:val="0"/>
                <w:color w:val="auto"/>
                <w:sz w:val="28"/>
                <w:szCs w:val="28"/>
                <w:highlight w:val="none"/>
                <w:u w:val="none"/>
                <w:lang w:val="en-US" w:eastAsia="zh-CN"/>
              </w:rPr>
              <w:t>4.电气系统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电气线路设计安装要求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rPr>
              <w:t>整</w:t>
            </w:r>
            <w:r>
              <w:rPr>
                <w:rFonts w:hint="eastAsia" w:ascii="仿宋" w:hAnsi="仿宋" w:eastAsia="仿宋" w:cs="仿宋"/>
                <w:color w:val="auto"/>
                <w:sz w:val="28"/>
                <w:szCs w:val="28"/>
                <w:highlight w:val="none"/>
                <w:u w:val="none"/>
                <w:shd w:val="clear" w:color="auto" w:fill="auto"/>
                <w:lang w:eastAsia="zh-CN"/>
              </w:rPr>
              <w:t>车</w:t>
            </w:r>
            <w:r>
              <w:rPr>
                <w:rFonts w:hint="eastAsia" w:ascii="仿宋" w:hAnsi="仿宋" w:eastAsia="仿宋" w:cs="仿宋"/>
                <w:color w:val="auto"/>
                <w:sz w:val="28"/>
                <w:szCs w:val="28"/>
                <w:highlight w:val="none"/>
                <w:u w:val="none"/>
                <w:shd w:val="clear" w:color="auto" w:fill="auto"/>
              </w:rPr>
              <w:t>电路设计符合车辆安全技术要求，所有电路应设置独立保护装置，空调线束和接插件必须使用进口</w:t>
            </w:r>
            <w:r>
              <w:rPr>
                <w:rFonts w:hint="eastAsia" w:ascii="仿宋" w:hAnsi="仿宋" w:eastAsia="仿宋" w:cs="仿宋"/>
                <w:color w:val="auto"/>
                <w:sz w:val="28"/>
                <w:szCs w:val="28"/>
                <w:highlight w:val="none"/>
                <w:u w:val="none"/>
                <w:shd w:val="clear" w:color="auto" w:fill="auto"/>
                <w:lang w:eastAsia="zh-CN"/>
              </w:rPr>
              <w:t>优质</w:t>
            </w:r>
            <w:r>
              <w:rPr>
                <w:rFonts w:hint="eastAsia" w:ascii="仿宋" w:hAnsi="仿宋" w:eastAsia="仿宋" w:cs="仿宋"/>
                <w:color w:val="auto"/>
                <w:sz w:val="28"/>
                <w:szCs w:val="28"/>
                <w:highlight w:val="none"/>
                <w:u w:val="none"/>
                <w:shd w:val="clear" w:color="auto" w:fill="auto"/>
              </w:rPr>
              <w:t>线束及防水接插件，各连接线接头安装应确保防水阻燃性能达到国标A-OMM/Min</w:t>
            </w:r>
            <w:r>
              <w:rPr>
                <w:rFonts w:hint="eastAsia" w:ascii="仿宋" w:hAnsi="仿宋" w:eastAsia="仿宋" w:cs="仿宋"/>
                <w:color w:val="auto"/>
                <w:sz w:val="28"/>
                <w:szCs w:val="28"/>
                <w:highlight w:val="none"/>
                <w:u w:val="none"/>
                <w:shd w:val="clear" w:color="auto" w:fill="auto"/>
                <w:lang w:eastAsia="zh-CN"/>
              </w:rPr>
              <w:t>，具体要求如下：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采用耐高温辐照阻燃电线（1</w:t>
            </w:r>
            <w:r>
              <w:rPr>
                <w:rFonts w:hint="eastAsia" w:ascii="仿宋" w:hAnsi="仿宋" w:eastAsia="仿宋" w:cs="仿宋"/>
                <w:color w:val="auto"/>
                <w:sz w:val="28"/>
                <w:szCs w:val="28"/>
                <w:highlight w:val="none"/>
                <w:u w:val="none"/>
                <w:shd w:val="clear" w:color="auto" w:fill="auto"/>
                <w:lang w:val="en-US" w:eastAsia="zh-CN"/>
              </w:rPr>
              <w:t>05</w:t>
            </w:r>
            <w:r>
              <w:rPr>
                <w:rFonts w:hint="eastAsia" w:ascii="仿宋" w:hAnsi="仿宋" w:eastAsia="仿宋" w:cs="仿宋"/>
                <w:color w:val="auto"/>
                <w:sz w:val="28"/>
                <w:szCs w:val="28"/>
                <w:highlight w:val="none"/>
                <w:u w:val="none"/>
                <w:shd w:val="clear" w:color="auto" w:fill="auto"/>
                <w:vertAlign w:val="superscript"/>
              </w:rPr>
              <w:t>O</w:t>
            </w:r>
            <w:r>
              <w:rPr>
                <w:rFonts w:hint="eastAsia" w:ascii="仿宋" w:hAnsi="仿宋" w:eastAsia="仿宋" w:cs="仿宋"/>
                <w:color w:val="auto"/>
                <w:sz w:val="28"/>
                <w:szCs w:val="28"/>
                <w:highlight w:val="none"/>
                <w:u w:val="none"/>
                <w:shd w:val="clear" w:color="auto" w:fill="auto"/>
              </w:rPr>
              <w:t>C</w:t>
            </w:r>
            <w:r>
              <w:rPr>
                <w:rFonts w:hint="eastAsia" w:ascii="仿宋" w:hAnsi="仿宋" w:eastAsia="仿宋" w:cs="仿宋"/>
                <w:color w:val="auto"/>
                <w:sz w:val="28"/>
                <w:szCs w:val="28"/>
                <w:highlight w:val="none"/>
                <w:u w:val="none"/>
                <w:shd w:val="clear" w:color="auto" w:fill="auto"/>
                <w:lang w:eastAsia="zh-CN"/>
              </w:rPr>
              <w:t>以上</w:t>
            </w:r>
            <w:r>
              <w:rPr>
                <w:rFonts w:hint="eastAsia" w:ascii="仿宋" w:hAnsi="仿宋" w:eastAsia="仿宋" w:cs="仿宋"/>
                <w:color w:val="auto"/>
                <w:sz w:val="28"/>
                <w:szCs w:val="28"/>
                <w:highlight w:val="none"/>
                <w:u w:val="none"/>
                <w:shd w:val="clear" w:color="auto" w:fill="auto"/>
              </w:rPr>
              <w:t>）。导线允许的最大电流，要在根据用电设备计算出的最大电流基础上留有</w:t>
            </w:r>
            <w:r>
              <w:rPr>
                <w:rFonts w:hint="eastAsia" w:ascii="仿宋" w:hAnsi="仿宋" w:eastAsia="仿宋" w:cs="仿宋"/>
                <w:color w:val="auto"/>
                <w:sz w:val="28"/>
                <w:szCs w:val="28"/>
                <w:highlight w:val="none"/>
                <w:u w:val="none"/>
                <w:shd w:val="clear" w:color="auto" w:fill="auto"/>
                <w:lang w:eastAsia="zh-CN"/>
              </w:rPr>
              <w:t>足够</w:t>
            </w:r>
            <w:r>
              <w:rPr>
                <w:rFonts w:hint="eastAsia" w:ascii="仿宋" w:hAnsi="仿宋" w:eastAsia="仿宋" w:cs="仿宋"/>
                <w:color w:val="auto"/>
                <w:sz w:val="28"/>
                <w:szCs w:val="28"/>
                <w:highlight w:val="none"/>
                <w:u w:val="none"/>
                <w:shd w:val="clear" w:color="auto" w:fill="auto"/>
              </w:rPr>
              <w:t>的安全系数。</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 xml:space="preserve">2. </w:t>
            </w:r>
            <w:r>
              <w:rPr>
                <w:rFonts w:hint="eastAsia" w:ascii="仿宋" w:hAnsi="仿宋" w:eastAsia="仿宋" w:cs="仿宋"/>
                <w:color w:val="auto"/>
                <w:sz w:val="28"/>
                <w:szCs w:val="28"/>
                <w:highlight w:val="none"/>
                <w:u w:val="none"/>
                <w:shd w:val="clear" w:color="auto" w:fill="auto"/>
              </w:rPr>
              <w:t>各用电器线路设有相应的保险保护系统电气线路走向合理。导线应分色，有线号。线束要捆扎牢靠并有绝缘防护套，打有套号。</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线束通过梁、板孔时，应有绝缘防护圈，与其它物体固定时要用尼龙扎带，不允许线束与油、气、水管捆扎在一起。</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采用优质防水型电器插接件，插接件连接可靠，要有防插错措施。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保险、开关、继电器、灯泡工作可靠，耐用，开关等表面件还应美观。</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6.</w:t>
            </w:r>
            <w:r>
              <w:rPr>
                <w:rFonts w:hint="eastAsia" w:ascii="仿宋" w:hAnsi="仿宋" w:eastAsia="仿宋" w:cs="仿宋"/>
                <w:color w:val="auto"/>
                <w:sz w:val="28"/>
                <w:szCs w:val="28"/>
                <w:highlight w:val="none"/>
                <w:u w:val="none"/>
                <w:shd w:val="clear" w:color="auto" w:fill="auto"/>
              </w:rPr>
              <w:t>中控器应防尘防水，安装在车厢内。</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7.</w:t>
            </w:r>
            <w:r>
              <w:rPr>
                <w:rFonts w:hint="eastAsia" w:ascii="仿宋" w:hAnsi="仿宋" w:eastAsia="仿宋" w:cs="仿宋"/>
                <w:color w:val="auto"/>
                <w:sz w:val="28"/>
                <w:szCs w:val="28"/>
                <w:highlight w:val="none"/>
                <w:u w:val="none"/>
                <w:shd w:val="clear" w:color="auto" w:fill="auto"/>
              </w:rPr>
              <w:t>靠近电瓶处安装便于驾驶员操作的总电源机械</w:t>
            </w:r>
            <w:r>
              <w:rPr>
                <w:rFonts w:hint="eastAsia" w:ascii="仿宋" w:hAnsi="仿宋" w:eastAsia="仿宋" w:cs="仿宋"/>
                <w:color w:val="auto"/>
                <w:sz w:val="28"/>
                <w:szCs w:val="28"/>
                <w:highlight w:val="none"/>
                <w:u w:val="none"/>
                <w:shd w:val="clear" w:color="auto" w:fill="auto"/>
                <w:lang w:eastAsia="zh-CN"/>
              </w:rPr>
              <w:t>开关</w:t>
            </w:r>
            <w:r>
              <w:rPr>
                <w:rFonts w:hint="eastAsia" w:ascii="仿宋" w:hAnsi="仿宋" w:eastAsia="仿宋" w:cs="仿宋"/>
                <w:color w:val="auto"/>
                <w:sz w:val="28"/>
                <w:szCs w:val="28"/>
                <w:highlight w:val="none"/>
                <w:u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8.</w:t>
            </w:r>
            <w:r>
              <w:rPr>
                <w:rFonts w:hint="eastAsia" w:ascii="仿宋" w:hAnsi="仿宋" w:eastAsia="仿宋" w:cs="仿宋"/>
                <w:color w:val="auto"/>
                <w:sz w:val="28"/>
                <w:szCs w:val="28"/>
                <w:highlight w:val="none"/>
                <w:u w:val="none"/>
                <w:shd w:val="clear" w:color="auto" w:fill="auto"/>
              </w:rPr>
              <w:t>全车线束及中央电器控制盒、电瓶线，线芯、阻燃性能符合国家标准。</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9.</w:t>
            </w:r>
            <w:r>
              <w:rPr>
                <w:rFonts w:hint="eastAsia" w:ascii="仿宋" w:hAnsi="仿宋" w:eastAsia="仿宋" w:cs="仿宋"/>
                <w:color w:val="auto"/>
                <w:sz w:val="28"/>
                <w:szCs w:val="28"/>
                <w:highlight w:val="none"/>
                <w:u w:val="none"/>
                <w:shd w:val="clear" w:color="auto" w:fill="auto"/>
              </w:rPr>
              <w:t>按汽车公告目录要求配置蓄电池。</w:t>
            </w:r>
            <w:r>
              <w:rPr>
                <w:rFonts w:hint="eastAsia" w:ascii="仿宋" w:hAnsi="仿宋" w:eastAsia="仿宋" w:cs="仿宋"/>
                <w:color w:val="auto"/>
                <w:sz w:val="28"/>
                <w:szCs w:val="28"/>
                <w:highlight w:val="none"/>
                <w:u w:val="none"/>
              </w:rPr>
              <w:t>采用</w:t>
            </w:r>
            <w:r>
              <w:rPr>
                <w:rFonts w:hint="eastAsia" w:ascii="仿宋" w:hAnsi="仿宋" w:eastAsia="仿宋" w:cs="仿宋"/>
                <w:color w:val="auto"/>
                <w:sz w:val="28"/>
                <w:szCs w:val="28"/>
                <w:highlight w:val="none"/>
                <w:u w:val="none"/>
                <w:shd w:val="clear" w:color="auto" w:fill="auto"/>
              </w:rPr>
              <w:t>免维护蓄电池，加装大容量熔断器；蓄电池能方便更换，锁止可靠，安装合理。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前后大小灯</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美观大方，便于维护。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转向指示灯开关</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除在方向盘下的组合开关外，在仪表台上再设一套翘板开关，两套应能并用。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前风窗玻璃刮水器</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两速雨刮电机</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刮臂和刮片长短与前风挡高度匹配良好，工作稳定可靠。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yellow"/>
                <w:u w:val="none"/>
                <w:shd w:val="clear" w:color="auto" w:fill="auto"/>
              </w:rPr>
            </w:pPr>
            <w:r>
              <w:rPr>
                <w:rFonts w:hint="eastAsia" w:ascii="仿宋" w:hAnsi="仿宋" w:eastAsia="仿宋" w:cs="仿宋"/>
                <w:b/>
                <w:bCs w:val="0"/>
                <w:color w:val="auto"/>
                <w:sz w:val="28"/>
                <w:szCs w:val="28"/>
                <w:highlight w:val="none"/>
                <w:u w:val="none"/>
                <w:lang w:val="en-US" w:eastAsia="zh-CN"/>
              </w:rPr>
              <w:t>5.车身系统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承载要求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全承载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防腐要求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整车蒙皮、骨架与地板等接合缝处采用聚氨酯密封胶进行密封防水防锈处理</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整车防腐效果达到8年及以上，并附承诺书原件。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rPr>
              <w:t>车身舱门、前后轮拱</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车身左右侧边门采用翻开式，机械锁和气压支撑杆检修门结构，并装有胶垫防震、检修门铰链。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舱门美观牢固，开启方便，锁止可靠，门与车身蒙皮缝隙均匀，液压撑杆支撑力要满足支撑检修门要求，确保安全稳定，在侧围检修门和客车骨架之间增装保险绳（挂钩或钢丝绳或链）。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为方便雨刷器等部件的检修与拆装，在客车前围处设置有专用检修门，凡需检修的部位都应开设工作门或检修窗。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前后轮拱区域应有密封防腐处理，保证骨架不外露、不藏水，轮罩和挡泥板均喷阻尼胶。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车身色彩图案</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中标后由</w:t>
            </w:r>
            <w:r>
              <w:rPr>
                <w:rFonts w:hint="eastAsia" w:ascii="仿宋" w:hAnsi="仿宋" w:eastAsia="仿宋" w:cs="仿宋"/>
                <w:color w:val="auto"/>
                <w:sz w:val="28"/>
                <w:szCs w:val="28"/>
                <w:highlight w:val="none"/>
                <w:u w:val="none"/>
                <w:shd w:val="clear" w:color="auto" w:fill="auto"/>
                <w:lang w:eastAsia="zh-CN"/>
              </w:rPr>
              <w:t>采购人</w:t>
            </w:r>
            <w:r>
              <w:rPr>
                <w:rFonts w:hint="eastAsia" w:ascii="仿宋" w:hAnsi="仿宋" w:eastAsia="仿宋" w:cs="仿宋"/>
                <w:color w:val="auto"/>
                <w:sz w:val="28"/>
                <w:szCs w:val="28"/>
                <w:highlight w:val="none"/>
                <w:u w:val="none"/>
                <w:shd w:val="clear" w:color="auto" w:fill="auto"/>
              </w:rPr>
              <w:t>确定。</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采用优质漆。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bCs/>
                <w:color w:val="auto"/>
                <w:sz w:val="28"/>
                <w:szCs w:val="28"/>
                <w:lang w:eastAsia="zh-CN"/>
              </w:rPr>
              <w:t>前围部分</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玻璃钢或薄钢板冲压成型。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车前部安装电蜗牛喇叭</w:t>
            </w:r>
            <w:r>
              <w:rPr>
                <w:rFonts w:hint="eastAsia" w:ascii="仿宋" w:hAnsi="仿宋" w:eastAsia="仿宋" w:cs="仿宋"/>
                <w:sz w:val="28"/>
                <w:szCs w:val="28"/>
                <w:lang w:eastAsia="zh-CN"/>
              </w:rPr>
              <w:t>及外音播报喇叭。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前风窗采用双曲面全景夹胶安全玻璃，透光率70%以上</w:t>
            </w:r>
            <w:r>
              <w:rPr>
                <w:rFonts w:hint="eastAsia" w:ascii="仿宋" w:hAnsi="仿宋" w:eastAsia="仿宋" w:cs="仿宋"/>
                <w:sz w:val="28"/>
                <w:szCs w:val="28"/>
                <w:lang w:eastAsia="zh-CN"/>
              </w:rPr>
              <w:t>，</w:t>
            </w:r>
            <w:r>
              <w:rPr>
                <w:rFonts w:hint="eastAsia" w:ascii="仿宋" w:hAnsi="仿宋" w:eastAsia="仿宋" w:cs="仿宋"/>
                <w:sz w:val="28"/>
                <w:szCs w:val="28"/>
              </w:rPr>
              <w:t>直接粘贴在风窗框上，接缝处粘贴平顺美观。驾驶员侧、前装上下拉遮阳帘。</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.侧窗采用粘贴式内嵌推拉窗，下固定，上推拉。侧窗不配窗帘布，使用有色玻璃，颜色由采购方商定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前档遮阳帘</w:t>
            </w:r>
            <w:r>
              <w:rPr>
                <w:rFonts w:hint="eastAsia" w:ascii="仿宋" w:hAnsi="仿宋" w:eastAsia="仿宋" w:cs="仿宋"/>
                <w:sz w:val="28"/>
                <w:szCs w:val="28"/>
                <w:lang w:eastAsia="zh-CN"/>
              </w:rPr>
              <w:t>：</w:t>
            </w:r>
            <w:r>
              <w:rPr>
                <w:rFonts w:hint="eastAsia" w:ascii="仿宋" w:hAnsi="仿宋" w:eastAsia="仿宋" w:cs="仿宋"/>
                <w:sz w:val="28"/>
                <w:szCs w:val="28"/>
              </w:rPr>
              <w:t>手动单幅下拉自锁式。</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司机遮阳帘</w:t>
            </w:r>
            <w:r>
              <w:rPr>
                <w:rFonts w:hint="eastAsia" w:ascii="仿宋" w:hAnsi="仿宋" w:eastAsia="仿宋" w:cs="仿宋"/>
                <w:sz w:val="28"/>
                <w:szCs w:val="28"/>
                <w:lang w:eastAsia="zh-CN"/>
              </w:rPr>
              <w:t>：</w:t>
            </w:r>
            <w:r>
              <w:rPr>
                <w:rFonts w:hint="eastAsia" w:ascii="仿宋" w:hAnsi="仿宋" w:eastAsia="仿宋" w:cs="仿宋"/>
                <w:sz w:val="28"/>
                <w:szCs w:val="28"/>
              </w:rPr>
              <w:t>下拉自锁式司机遮阳帘。</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车头喷“台州公交”字样、车身侧面喷单位全称、logo及投诉举报电话，标准规范由</w:t>
            </w:r>
            <w:r>
              <w:rPr>
                <w:rFonts w:hint="eastAsia" w:ascii="仿宋" w:hAnsi="仿宋" w:eastAsia="仿宋" w:cs="仿宋"/>
                <w:sz w:val="28"/>
                <w:szCs w:val="28"/>
                <w:lang w:eastAsia="zh-CN"/>
              </w:rPr>
              <w:t>采购人</w:t>
            </w:r>
            <w:r>
              <w:rPr>
                <w:rFonts w:hint="eastAsia" w:ascii="仿宋" w:hAnsi="仿宋" w:eastAsia="仿宋" w:cs="仿宋"/>
                <w:sz w:val="28"/>
                <w:szCs w:val="28"/>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后围部分</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玻璃钢或薄钢板冲压成型。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后挡风玻璃</w:t>
            </w:r>
            <w:r>
              <w:rPr>
                <w:rFonts w:hint="eastAsia" w:ascii="仿宋" w:hAnsi="仿宋" w:eastAsia="仿宋" w:cs="仿宋"/>
                <w:color w:val="auto"/>
                <w:sz w:val="28"/>
                <w:szCs w:val="28"/>
                <w:highlight w:val="none"/>
                <w:u w:val="none"/>
                <w:shd w:val="clear" w:color="auto" w:fill="auto"/>
                <w:lang w:eastAsia="zh-CN"/>
              </w:rPr>
              <w:t>采用钢化玻璃</w:t>
            </w:r>
            <w:r>
              <w:rPr>
                <w:rFonts w:hint="eastAsia" w:ascii="仿宋" w:hAnsi="仿宋" w:eastAsia="仿宋" w:cs="仿宋"/>
                <w:color w:val="auto"/>
                <w:sz w:val="28"/>
                <w:szCs w:val="28"/>
                <w:highlight w:val="none"/>
                <w:u w:val="none"/>
                <w:shd w:val="clear" w:color="auto" w:fill="auto"/>
              </w:rPr>
              <w:t>，</w:t>
            </w:r>
            <w:r>
              <w:rPr>
                <w:rFonts w:hint="eastAsia" w:ascii="仿宋" w:hAnsi="仿宋" w:eastAsia="仿宋" w:cs="仿宋"/>
                <w:color w:val="auto"/>
                <w:sz w:val="28"/>
                <w:szCs w:val="28"/>
                <w:highlight w:val="none"/>
                <w:u w:val="none"/>
                <w:shd w:val="clear" w:color="auto" w:fill="auto"/>
                <w:lang w:eastAsia="zh-CN"/>
              </w:rPr>
              <w:t>应按照采购人后广告</w:t>
            </w:r>
            <w:r>
              <w:rPr>
                <w:rFonts w:hint="eastAsia" w:ascii="仿宋" w:hAnsi="仿宋" w:eastAsia="仿宋" w:cs="仿宋"/>
                <w:color w:val="auto"/>
                <w:sz w:val="28"/>
                <w:szCs w:val="28"/>
                <w:highlight w:val="none"/>
                <w:u w:val="none"/>
                <w:shd w:val="clear" w:color="auto" w:fill="auto"/>
                <w:lang w:val="en-US" w:eastAsia="zh-CN"/>
              </w:rPr>
              <w:t>LED显示屏尺寸配置，</w:t>
            </w:r>
            <w:r>
              <w:rPr>
                <w:rFonts w:hint="eastAsia" w:ascii="仿宋" w:hAnsi="仿宋" w:eastAsia="仿宋" w:cs="仿宋"/>
                <w:color w:val="auto"/>
                <w:sz w:val="28"/>
                <w:szCs w:val="28"/>
                <w:highlight w:val="none"/>
                <w:u w:val="none"/>
                <w:shd w:val="clear" w:color="auto" w:fill="auto"/>
              </w:rPr>
              <w:t>直接粘贴在风窗框上。后风挡上不加贴或喷涂任何说明。</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上围风窗框内应考虑后路牌架，使后路牌安装后与后风窗玻璃紧贴配合良好。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小膨胀水箱在机</w:t>
            </w:r>
            <w:r>
              <w:rPr>
                <w:rFonts w:hint="eastAsia" w:ascii="仿宋" w:hAnsi="仿宋" w:eastAsia="仿宋" w:cs="仿宋"/>
                <w:color w:val="auto"/>
                <w:sz w:val="28"/>
                <w:szCs w:val="28"/>
                <w:highlight w:val="none"/>
                <w:u w:val="none"/>
                <w:shd w:val="clear" w:color="auto" w:fill="auto"/>
                <w:lang w:eastAsia="zh-CN"/>
              </w:rPr>
              <w:t>仓</w:t>
            </w:r>
            <w:r>
              <w:rPr>
                <w:rFonts w:hint="eastAsia" w:ascii="仿宋" w:hAnsi="仿宋" w:eastAsia="仿宋" w:cs="仿宋"/>
                <w:color w:val="auto"/>
                <w:sz w:val="28"/>
                <w:szCs w:val="28"/>
                <w:highlight w:val="none"/>
                <w:u w:val="none"/>
                <w:shd w:val="clear" w:color="auto" w:fill="auto"/>
              </w:rPr>
              <w:t>内布置应方便加注。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右后下方配车长牌，具体尺寸由采购方提供</w:t>
            </w:r>
            <w:r>
              <w:rPr>
                <w:rFonts w:hint="eastAsia" w:ascii="仿宋" w:hAnsi="仿宋" w:eastAsia="仿宋" w:cs="仿宋"/>
                <w:color w:val="auto"/>
                <w:sz w:val="28"/>
                <w:szCs w:val="28"/>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侧围外蒙皮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预应力涨拉蒙皮，蒙皮应做防腐、防锈蚀处理，蒙皮内侧应有隔热减振措施。蒙皮厚度不小于1mm。</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各种型材应采用国内优质产品</w:t>
            </w:r>
            <w:r>
              <w:rPr>
                <w:rFonts w:hint="eastAsia" w:ascii="仿宋" w:hAnsi="仿宋" w:eastAsia="仿宋" w:cs="仿宋"/>
                <w:color w:val="auto"/>
                <w:sz w:val="28"/>
                <w:szCs w:val="28"/>
                <w:highlight w:val="none"/>
                <w:u w:val="none"/>
                <w:shd w:val="clear" w:color="auto" w:fill="auto"/>
                <w:lang w:eastAsia="zh-CN"/>
              </w:rPr>
              <w:t>并</w:t>
            </w:r>
            <w:r>
              <w:rPr>
                <w:rFonts w:hint="eastAsia" w:ascii="仿宋" w:hAnsi="仿宋" w:eastAsia="仿宋" w:cs="仿宋"/>
                <w:color w:val="auto"/>
                <w:sz w:val="28"/>
                <w:szCs w:val="28"/>
                <w:highlight w:val="none"/>
                <w:u w:val="none"/>
                <w:shd w:val="clear" w:color="auto" w:fill="auto"/>
              </w:rPr>
              <w:t>提供</w:t>
            </w:r>
            <w:r>
              <w:rPr>
                <w:rFonts w:hint="eastAsia" w:ascii="仿宋" w:hAnsi="仿宋" w:eastAsia="仿宋" w:cs="仿宋"/>
                <w:color w:val="auto"/>
                <w:sz w:val="28"/>
                <w:szCs w:val="28"/>
                <w:highlight w:val="none"/>
                <w:u w:val="none"/>
                <w:shd w:val="clear" w:color="auto" w:fill="auto"/>
                <w:lang w:eastAsia="zh-CN"/>
              </w:rPr>
              <w:t>供货清单</w:t>
            </w:r>
            <w:r>
              <w:rPr>
                <w:rFonts w:hint="eastAsia" w:ascii="仿宋" w:hAnsi="仿宋" w:eastAsia="仿宋" w:cs="仿宋"/>
                <w:color w:val="auto"/>
                <w:sz w:val="28"/>
                <w:szCs w:val="28"/>
                <w:highlight w:val="none"/>
                <w:u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骨架</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1.骨架质保</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年（含蒙皮），</w:t>
            </w:r>
            <w:r>
              <w:rPr>
                <w:rFonts w:hint="eastAsia" w:ascii="仿宋" w:hAnsi="仿宋" w:eastAsia="仿宋" w:cs="仿宋"/>
                <w:color w:val="auto"/>
                <w:sz w:val="28"/>
                <w:szCs w:val="28"/>
                <w:highlight w:val="none"/>
                <w:u w:val="none"/>
                <w:lang w:val="en-US" w:eastAsia="zh-CN"/>
              </w:rPr>
              <w:t>投标人须在标书内提供</w:t>
            </w:r>
            <w:r>
              <w:rPr>
                <w:rFonts w:hint="eastAsia" w:ascii="仿宋" w:hAnsi="仿宋" w:eastAsia="仿宋" w:cs="仿宋"/>
                <w:color w:val="auto"/>
                <w:sz w:val="28"/>
                <w:szCs w:val="28"/>
                <w:highlight w:val="none"/>
                <w:u w:val="none"/>
              </w:rPr>
              <w:t>书面承诺。</w:t>
            </w:r>
          </w:p>
          <w:p>
            <w:pPr>
              <w:adjustRightInd w:val="0"/>
              <w:snapToGrid w:val="0"/>
              <w:spacing w:line="320" w:lineRule="exact"/>
              <w:rPr>
                <w:rFonts w:hint="eastAsia" w:ascii="仿宋" w:hAnsi="仿宋" w:eastAsia="仿宋" w:cs="仿宋"/>
                <w:strike/>
                <w:color w:val="auto"/>
                <w:sz w:val="28"/>
                <w:szCs w:val="28"/>
                <w:highlight w:val="none"/>
                <w:u w:val="none"/>
              </w:rPr>
            </w:pPr>
            <w:r>
              <w:rPr>
                <w:rFonts w:hint="eastAsia" w:ascii="仿宋" w:hAnsi="仿宋" w:eastAsia="仿宋" w:cs="仿宋"/>
                <w:color w:val="auto"/>
                <w:sz w:val="28"/>
                <w:szCs w:val="28"/>
                <w:highlight w:val="none"/>
                <w:u w:val="none"/>
                <w:lang w:eastAsia="zh-CN"/>
              </w:rPr>
              <w:t>2.</w:t>
            </w:r>
            <w:r>
              <w:rPr>
                <w:rFonts w:hint="eastAsia" w:ascii="仿宋" w:hAnsi="仿宋" w:eastAsia="仿宋" w:cs="仿宋"/>
                <w:color w:val="auto"/>
                <w:sz w:val="28"/>
                <w:szCs w:val="28"/>
                <w:highlight w:val="none"/>
                <w:u w:val="none"/>
              </w:rPr>
              <w:t>足够的强度和刚度，焊接可靠，提高整车骨架的防腐、防锈蚀性能。各种型材应采用优质产品。</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rPr>
              <w:t>3.左右侧围骨架、顶盖骨架之间充填</w:t>
            </w:r>
            <w:r>
              <w:rPr>
                <w:rFonts w:hint="eastAsia" w:ascii="仿宋" w:hAnsi="仿宋" w:eastAsia="仿宋" w:cs="仿宋"/>
                <w:color w:val="auto"/>
                <w:sz w:val="28"/>
                <w:szCs w:val="28"/>
                <w:highlight w:val="none"/>
                <w:u w:val="none"/>
                <w:lang w:val="en-US" w:eastAsia="zh-CN"/>
              </w:rPr>
              <w:t>A0级</w:t>
            </w:r>
            <w:r>
              <w:rPr>
                <w:rFonts w:hint="eastAsia" w:ascii="仿宋" w:hAnsi="仿宋" w:eastAsia="仿宋" w:cs="仿宋"/>
                <w:color w:val="auto"/>
                <w:sz w:val="28"/>
                <w:szCs w:val="28"/>
                <w:highlight w:val="none"/>
                <w:u w:val="none"/>
              </w:rPr>
              <w:t>阻燃型隔热材料，发泡层均匀厚度不得小于35mm，以保证客车的隔热性能。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安全天窗</w:t>
            </w:r>
          </w:p>
        </w:tc>
        <w:tc>
          <w:tcPr>
            <w:tcW w:w="7135" w:type="dxa"/>
            <w:noWrap w:val="0"/>
            <w:vAlign w:val="center"/>
          </w:tcPr>
          <w:p>
            <w:pP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带换气扇安全出口1只。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地板</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整车采用大平面环保阻燃PVC地板，厚度不小于18MM，符合JT/T1095等最新标准，安装工艺必须符合地板安装相关技术要求，具有无毒、防水防潮，完全阻燃性达到AO级获得国家3C强制认证。</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地板与客车底架采用胶水及专用螺栓连接，铺设区客车底架横梁加密、地板及座椅固定螺栓要求连接在横梁或替板上、紧固可靠（8年内不发生地板拱起，螺栓松脱开现象），地板各连接缝、地板与车身的接缝处应涂密封胶。</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车顶棚骨架等使用防火保温隔热材料，充分考虑当地气候特点，考虑内饰阻燃特性；产品要求防潮、抗菌、防霉、节能环保材料。技术性能必须达到 GB38262-2019《汽车内饰材料燃烧特性》，防火等级A0级。需提供国家认可机构报告。</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客舱、轮毂使用降噪材料和气凝胶防火材料，电池仓和电机仓、客舱等部分合理铺设使用气凝胶防火材料，符合GB 8624标准“燃烧性能等级，A级不燃”要求；符合JT/T 1095内饰件阻燃特性要求。</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整车采用耐磨防滑石英沙城市客车专用地板革，符合JT/T1095-2016标准，地板与地板革采用进口高强度防水专用地板革胶粘接，做到不脱胶、不起泡、不开裂。地板革与地板是采用焊接拼接，接缝处剔割平整。</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前后乘客门踏步区域采用黄色踏步专用地板革，并标明“禁止站立”字样。</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地板应设有检修孔和盖板，检修盖板拉手隐性结构</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地板上的检修舱口盖压边框为整体式铝型材，采用双层密封结构。。</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车厢内各阴阳角拼缝处采用铝合金型材拼压或地板革焊接工艺，直角拼缝处采用磨光45°对接，圆弧拼缝处则可采用成型或锯齿状弯曲拼压，确保拼压平整贴服，地板革折边高于地板水平面10CM以上；车身围板下沿采用15cm不锈钢板围裙踢脚。</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9.</w:t>
            </w:r>
            <w:r>
              <w:rPr>
                <w:rFonts w:hint="eastAsia" w:ascii="仿宋" w:hAnsi="仿宋" w:eastAsia="仿宋" w:cs="仿宋"/>
                <w:color w:val="auto"/>
                <w:sz w:val="28"/>
                <w:szCs w:val="28"/>
                <w:highlight w:val="none"/>
                <w:u w:val="none"/>
              </w:rPr>
              <w:t>地板革颜色应与整车内饰协调。</w:t>
            </w:r>
          </w:p>
          <w:p>
            <w:pPr>
              <w:adjustRightInd w:val="0"/>
              <w:snapToGrid w:val="0"/>
              <w:spacing w:line="320" w:lineRule="exac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地板、地板革质保8年，并附承诺书原件。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车门</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内摆式乘客门</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加强型铝合金门板，门玻璃为钢化玻璃，乘客门下带防夹脚设置。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乘客门关闭时应装有</w:t>
            </w:r>
            <w:r>
              <w:rPr>
                <w:rFonts w:hint="eastAsia" w:ascii="仿宋" w:hAnsi="仿宋" w:eastAsia="仿宋" w:cs="仿宋"/>
                <w:strike w:val="0"/>
                <w:dstrike w:val="0"/>
                <w:color w:val="auto"/>
                <w:sz w:val="28"/>
                <w:szCs w:val="28"/>
                <w:highlight w:val="none"/>
                <w:u w:val="none"/>
              </w:rPr>
              <w:t>气嚢</w:t>
            </w:r>
            <w:r>
              <w:rPr>
                <w:rFonts w:hint="eastAsia" w:ascii="仿宋" w:hAnsi="仿宋" w:eastAsia="仿宋" w:cs="仿宋"/>
                <w:color w:val="auto"/>
                <w:sz w:val="28"/>
                <w:szCs w:val="28"/>
                <w:highlight w:val="none"/>
                <w:u w:val="none"/>
              </w:rPr>
              <w:t>防夹装置。后门防夹提示需采用铝片，并用铆钉固定，要求字迹清晰。乘客门在开启状况时，门外缘距车身外缘不大于100 mm，前门后、后前后门立柱装防护装置</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全车应有门锁装置。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门泵驱动系统采用电控气动方式，采用进口电磁阀、继电器和气缸，在仪表台适当位置设置乘客门应急打开气动控制阀开关，并在每个乘客门内外处和车外必须装紧急开关，以备紧急使用；门泵带自动气水分离装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.车辆停稳前不允许开门，车辆门没关闭不允许起步，车速达到5码以上不能打开车门。</w:t>
            </w:r>
          </w:p>
          <w:p>
            <w:pPr>
              <w:adjustRightInd w:val="0"/>
              <w:snapToGrid w:val="0"/>
              <w:spacing w:line="320" w:lineRule="exac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乘客门</w:t>
            </w:r>
            <w:r>
              <w:rPr>
                <w:rFonts w:hint="eastAsia" w:ascii="仿宋" w:hAnsi="仿宋" w:eastAsia="仿宋" w:cs="仿宋"/>
                <w:color w:val="auto"/>
                <w:sz w:val="28"/>
                <w:szCs w:val="28"/>
                <w:highlight w:val="none"/>
                <w:u w:val="none"/>
                <w:lang w:eastAsia="zh-CN"/>
              </w:rPr>
              <w:t>系统</w:t>
            </w:r>
            <w:r>
              <w:rPr>
                <w:rFonts w:hint="eastAsia" w:ascii="仿宋" w:hAnsi="仿宋" w:eastAsia="仿宋" w:cs="仿宋"/>
                <w:color w:val="auto"/>
                <w:sz w:val="28"/>
                <w:szCs w:val="28"/>
                <w:highlight w:val="none"/>
                <w:u w:val="none"/>
              </w:rPr>
              <w:t>免费质保8年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lang w:eastAsia="zh-CN"/>
              </w:rPr>
              <w:t>车内设置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公交标识</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lang w:eastAsia="zh-CN"/>
              </w:rPr>
            </w:pPr>
            <w:r>
              <w:rPr>
                <w:rFonts w:hint="eastAsia" w:ascii="仿宋" w:hAnsi="仿宋" w:eastAsia="仿宋" w:cs="仿宋"/>
                <w:sz w:val="28"/>
                <w:szCs w:val="28"/>
                <w:lang w:val="en-US" w:eastAsia="zh-CN"/>
              </w:rPr>
              <w:t>1.</w:t>
            </w:r>
            <w:r>
              <w:rPr>
                <w:rFonts w:hint="eastAsia" w:ascii="仿宋" w:hAnsi="仿宋" w:eastAsia="仿宋" w:cs="仿宋"/>
                <w:color w:val="auto"/>
                <w:sz w:val="28"/>
                <w:szCs w:val="28"/>
                <w:highlight w:val="none"/>
                <w:u w:val="none"/>
              </w:rPr>
              <w:t>上客门、下客门、爱心专座等标识按</w:t>
            </w:r>
            <w:r>
              <w:rPr>
                <w:rFonts w:hint="eastAsia" w:ascii="仿宋" w:hAnsi="仿宋" w:eastAsia="仿宋" w:cs="仿宋"/>
                <w:color w:val="auto"/>
                <w:sz w:val="28"/>
                <w:szCs w:val="28"/>
                <w:highlight w:val="none"/>
                <w:u w:val="none"/>
                <w:lang w:eastAsia="zh-CN"/>
              </w:rPr>
              <w:t>最</w:t>
            </w:r>
            <w:r>
              <w:rPr>
                <w:rFonts w:hint="eastAsia" w:ascii="仿宋" w:hAnsi="仿宋" w:eastAsia="仿宋" w:cs="仿宋"/>
                <w:color w:val="auto"/>
                <w:sz w:val="28"/>
                <w:szCs w:val="28"/>
                <w:highlight w:val="none"/>
                <w:u w:val="none"/>
              </w:rPr>
              <w:t>新版《城市公共交通标志》标准制作</w:t>
            </w:r>
            <w:r>
              <w:rPr>
                <w:rFonts w:hint="eastAsia" w:ascii="仿宋" w:hAnsi="仿宋" w:eastAsia="仿宋" w:cs="仿宋"/>
                <w:color w:val="auto"/>
                <w:sz w:val="28"/>
                <w:szCs w:val="28"/>
                <w:highlight w:val="none"/>
                <w:u w:val="none"/>
                <w:lang w:eastAsia="zh-CN"/>
              </w:rPr>
              <w:t>。</w:t>
            </w:r>
          </w:p>
          <w:p>
            <w:pPr>
              <w:adjustRightInd w:val="0"/>
              <w:snapToGrid w:val="0"/>
              <w:spacing w:line="320" w:lineRule="exact"/>
              <w:rPr>
                <w:rFonts w:hint="eastAsia" w:ascii="仿宋" w:hAnsi="仿宋" w:eastAsia="仿宋" w:cs="仿宋"/>
                <w:kern w:val="2"/>
                <w:sz w:val="28"/>
                <w:szCs w:val="28"/>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前门处扶手杆上制作1.</w:t>
            </w: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米儿童免票标志。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车内外后视镜</w:t>
            </w:r>
          </w:p>
        </w:tc>
        <w:tc>
          <w:tcPr>
            <w:tcW w:w="7135" w:type="dxa"/>
            <w:noWrap w:val="0"/>
            <w:vAlign w:val="center"/>
          </w:tcPr>
          <w:p>
            <w:pP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普通杆式无盲区左短右长后视镜。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Cs/>
                <w:color w:val="auto"/>
                <w:sz w:val="28"/>
                <w:szCs w:val="28"/>
                <w:lang w:eastAsia="zh-CN"/>
              </w:rPr>
              <w:t>扶手杠和吊环拉手</w:t>
            </w:r>
          </w:p>
        </w:tc>
        <w:tc>
          <w:tcPr>
            <w:tcW w:w="7135"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扶手采用铝合金材质。</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内两边玻璃框上装防护栏杆，前</w:t>
            </w:r>
            <w:r>
              <w:rPr>
                <w:rFonts w:hint="eastAsia" w:ascii="仿宋" w:hAnsi="仿宋" w:eastAsia="仿宋" w:cs="仿宋"/>
                <w:sz w:val="28"/>
                <w:szCs w:val="28"/>
                <w:lang w:eastAsia="zh-CN"/>
              </w:rPr>
              <w:t>操作台</w:t>
            </w:r>
            <w:r>
              <w:rPr>
                <w:rFonts w:hint="eastAsia" w:ascii="仿宋" w:hAnsi="仿宋" w:eastAsia="仿宋" w:cs="仿宋"/>
                <w:sz w:val="28"/>
                <w:szCs w:val="28"/>
              </w:rPr>
              <w:t>处安装安全防范扶手</w:t>
            </w:r>
            <w:r>
              <w:rPr>
                <w:rFonts w:hint="eastAsia" w:ascii="仿宋" w:hAnsi="仿宋" w:eastAsia="仿宋" w:cs="仿宋"/>
                <w:sz w:val="28"/>
                <w:szCs w:val="28"/>
                <w:lang w:eastAsia="zh-CN"/>
              </w:rPr>
              <w:t>，上下客门处安装上下车扶手。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w:t>
            </w:r>
            <w:r>
              <w:rPr>
                <w:rFonts w:hint="eastAsia" w:ascii="仿宋" w:hAnsi="仿宋" w:eastAsia="仿宋" w:cs="仿宋"/>
                <w:sz w:val="28"/>
                <w:szCs w:val="28"/>
              </w:rPr>
              <w:t>吊环拉手安装分布均匀、合理，只数与载客数相符</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top"/>
          </w:tcPr>
          <w:p>
            <w:pPr>
              <w:jc w:val="center"/>
              <w:rPr>
                <w:rFonts w:hint="eastAsia" w:ascii="仿宋" w:hAnsi="仿宋" w:eastAsia="仿宋" w:cs="仿宋"/>
                <w:kern w:val="0"/>
                <w:sz w:val="28"/>
                <w:szCs w:val="28"/>
                <w:lang w:val="en-US" w:eastAsia="zh-CN" w:bidi="ar-SA"/>
              </w:rPr>
            </w:pPr>
            <w:r>
              <w:rPr>
                <w:rFonts w:hint="eastAsia" w:ascii="仿宋" w:hAnsi="仿宋" w:eastAsia="仿宋" w:cs="仿宋"/>
                <w:bCs/>
                <w:color w:val="auto"/>
                <w:sz w:val="28"/>
                <w:szCs w:val="28"/>
                <w:lang w:eastAsia="zh-CN"/>
              </w:rPr>
              <w:t>下车提示按铃</w:t>
            </w:r>
          </w:p>
        </w:tc>
        <w:tc>
          <w:tcPr>
            <w:tcW w:w="7135" w:type="dxa"/>
            <w:noWrap w:val="0"/>
            <w:vAlign w:val="top"/>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配下车门停车门铃</w:t>
            </w:r>
            <w:r>
              <w:rPr>
                <w:rFonts w:hint="eastAsia" w:ascii="仿宋" w:hAnsi="仿宋" w:eastAsia="仿宋" w:cs="仿宋"/>
                <w:sz w:val="28"/>
                <w:szCs w:val="28"/>
                <w:lang w:val="en-US" w:eastAsia="zh-CN"/>
              </w:rPr>
              <w:t>2</w:t>
            </w:r>
            <w:r>
              <w:rPr>
                <w:rFonts w:hint="eastAsia" w:ascii="仿宋" w:hAnsi="仿宋" w:eastAsia="仿宋" w:cs="仿宋"/>
                <w:sz w:val="28"/>
                <w:szCs w:val="28"/>
              </w:rPr>
              <w:t>只按钮（无线门铃），语音提示</w:t>
            </w:r>
            <w:r>
              <w:rPr>
                <w:rFonts w:hint="eastAsia" w:ascii="仿宋" w:hAnsi="仿宋" w:eastAsia="仿宋" w:cs="仿宋"/>
                <w:sz w:val="28"/>
                <w:szCs w:val="28"/>
                <w:lang w:eastAsia="zh-CN"/>
              </w:rPr>
              <w:t>：您好，请开门，在车厢立柱合适位置</w:t>
            </w:r>
            <w:r>
              <w:rPr>
                <w:rFonts w:hint="eastAsia" w:ascii="仿宋" w:hAnsi="仿宋" w:eastAsia="仿宋" w:cs="仿宋"/>
                <w:sz w:val="28"/>
                <w:szCs w:val="28"/>
              </w:rPr>
              <w:t>，门铃按钮以上位置粘贴 “下车请按铃”标识</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公交座椅</w:t>
            </w:r>
          </w:p>
        </w:tc>
        <w:tc>
          <w:tcPr>
            <w:tcW w:w="7135"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座椅合理布置，采用国内优质产品</w:t>
            </w:r>
            <w:r>
              <w:rPr>
                <w:rFonts w:hint="eastAsia" w:ascii="仿宋" w:hAnsi="仿宋" w:eastAsia="仿宋" w:cs="仿宋"/>
                <w:sz w:val="28"/>
                <w:szCs w:val="28"/>
                <w:lang w:eastAsia="zh-CN"/>
              </w:rPr>
              <w:t>，</w:t>
            </w:r>
            <w:r>
              <w:rPr>
                <w:rFonts w:hint="eastAsia" w:ascii="仿宋" w:hAnsi="仿宋" w:eastAsia="仿宋" w:cs="仿宋"/>
                <w:sz w:val="28"/>
                <w:szCs w:val="28"/>
              </w:rPr>
              <w:t>配用尼龙注塑座椅，配</w:t>
            </w:r>
            <w:r>
              <w:rPr>
                <w:rFonts w:hint="eastAsia" w:ascii="仿宋" w:hAnsi="仿宋" w:eastAsia="仿宋" w:cs="仿宋"/>
                <w:sz w:val="28"/>
                <w:szCs w:val="28"/>
                <w:lang w:val="en-US" w:eastAsia="zh-CN"/>
              </w:rPr>
              <w:t>4个</w:t>
            </w:r>
            <w:r>
              <w:rPr>
                <w:rFonts w:hint="eastAsia" w:ascii="仿宋" w:hAnsi="仿宋" w:eastAsia="仿宋" w:cs="仿宋"/>
                <w:sz w:val="28"/>
                <w:szCs w:val="28"/>
              </w:rPr>
              <w:t>爱心座椅及标志，颜色和内饰协调，座椅支架固定可靠证</w:t>
            </w:r>
            <w:r>
              <w:rPr>
                <w:rFonts w:hint="eastAsia" w:ascii="仿宋" w:hAnsi="仿宋" w:eastAsia="仿宋" w:cs="仿宋"/>
                <w:sz w:val="28"/>
                <w:szCs w:val="28"/>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爱心座椅设于车厢内方便上下乘坐的位置，每车布置4个，座椅喷“爱心座椅”字样，位于车厢后门的前端，方向为面朝前进方向。</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bCs/>
                <w:color w:val="auto"/>
                <w:kern w:val="2"/>
                <w:sz w:val="28"/>
                <w:szCs w:val="28"/>
                <w:lang w:val="en-US" w:eastAsia="zh-CN" w:bidi="ar-SA"/>
              </w:rPr>
              <w:t>驾驶室</w:t>
            </w:r>
          </w:p>
        </w:tc>
        <w:tc>
          <w:tcPr>
            <w:tcW w:w="7135" w:type="dxa"/>
            <w:noWrap w:val="0"/>
            <w:vAlign w:val="center"/>
          </w:tcPr>
          <w:p>
            <w:pPr>
              <w:keepNext w:val="0"/>
              <w:keepLines w:val="0"/>
              <w:pageBreakBefore w:val="0"/>
              <w:widowControl w:val="0"/>
              <w:numPr>
                <w:ilvl w:val="0"/>
                <w:numId w:val="7"/>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仪表台</w:t>
            </w:r>
            <w:r>
              <w:rPr>
                <w:rFonts w:hint="eastAsia" w:ascii="仿宋" w:hAnsi="仿宋" w:eastAsia="仿宋" w:cs="仿宋"/>
                <w:sz w:val="28"/>
                <w:szCs w:val="28"/>
              </w:rPr>
              <w:t>精美、平整、软化处理；仪表台可靠耐用，与整车内饰协调</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仪表区域应充分考虑满足配装电脑报站器、电子路牌、客门监视器、GPS 车载机、IC卡POS机、投币机、空调、换气扇开关、数字电视等布置一体化要求</w:t>
            </w:r>
            <w:r>
              <w:rPr>
                <w:rFonts w:hint="eastAsia" w:ascii="仿宋" w:hAnsi="仿宋" w:eastAsia="仿宋" w:cs="仿宋"/>
                <w:sz w:val="28"/>
                <w:szCs w:val="28"/>
                <w:lang w:eastAsia="zh-CN"/>
              </w:rPr>
              <w:t>；</w:t>
            </w:r>
            <w:r>
              <w:rPr>
                <w:rFonts w:hint="eastAsia" w:ascii="仿宋" w:hAnsi="仿宋" w:eastAsia="仿宋" w:cs="仿宋"/>
                <w:sz w:val="28"/>
                <w:szCs w:val="28"/>
              </w:rPr>
              <w:t>仪表台上安装驾驶员喊话器及插口；前后门未关时仪表台有报警灯显示</w:t>
            </w:r>
            <w:r>
              <w:rPr>
                <w:rFonts w:hint="eastAsia" w:ascii="仿宋" w:hAnsi="仿宋" w:eastAsia="仿宋" w:cs="仿宋"/>
                <w:sz w:val="28"/>
                <w:szCs w:val="28"/>
                <w:lang w:eastAsia="zh-CN"/>
              </w:rPr>
              <w:t>；</w:t>
            </w:r>
            <w:r>
              <w:rPr>
                <w:rFonts w:hint="eastAsia" w:ascii="仿宋" w:hAnsi="仿宋" w:eastAsia="仿宋" w:cs="仿宋"/>
                <w:sz w:val="28"/>
                <w:szCs w:val="28"/>
              </w:rPr>
              <w:t>顶灯，车厢灯，电子路牌单独安装开关</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采用转向柱安装豪华组合式开关，包括大小灯、转向灯、雨括器、点火开关控制开关。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驾驶员座位左上方侧安装小电扇，配置茶杯架</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5.安装驾驶员荣誉榜铝合金框，</w:t>
            </w:r>
            <w:r>
              <w:rPr>
                <w:rFonts w:hint="eastAsia" w:ascii="仿宋" w:hAnsi="仿宋" w:eastAsia="仿宋" w:cs="仿宋"/>
                <w:color w:val="auto"/>
                <w:sz w:val="28"/>
                <w:szCs w:val="28"/>
              </w:rPr>
              <w:t>标准规范由</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rPr>
              <w:t>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前后车门内“紧急开门应急阀”装在驾驶区，前后车门内外各1只“紧急开门应急阀”应设明显使用标识</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bCs/>
                <w:sz w:val="28"/>
                <w:szCs w:val="28"/>
                <w:lang w:val="en-US" w:eastAsia="zh-CN"/>
              </w:rPr>
              <w:t>7.</w:t>
            </w:r>
            <w:r>
              <w:rPr>
                <w:rFonts w:hint="eastAsia" w:ascii="仿宋" w:hAnsi="仿宋" w:eastAsia="仿宋" w:cs="仿宋"/>
                <w:bCs/>
                <w:sz w:val="28"/>
                <w:szCs w:val="28"/>
              </w:rPr>
              <w:t>驾驶室布置驾驶员手机袋。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261" w:type="dxa"/>
            <w:noWrap w:val="0"/>
            <w:vAlign w:val="center"/>
          </w:tcPr>
          <w:p>
            <w:pPr>
              <w:adjustRightInd w:val="0"/>
              <w:snapToGrid w:val="0"/>
              <w:spacing w:line="320" w:lineRule="exact"/>
              <w:jc w:val="center"/>
              <w:rPr>
                <w:rFonts w:hint="eastAsia" w:ascii="仿宋" w:hAnsi="仿宋" w:eastAsia="仿宋" w:cs="仿宋"/>
                <w:sz w:val="28"/>
                <w:szCs w:val="28"/>
                <w:lang w:val="en-US" w:eastAsia="zh-CN"/>
              </w:rPr>
            </w:pPr>
            <w:r>
              <w:rPr>
                <w:rFonts w:hint="eastAsia" w:ascii="仿宋" w:hAnsi="仿宋" w:eastAsia="仿宋" w:cs="仿宋"/>
                <w:bCs/>
                <w:color w:val="auto"/>
                <w:kern w:val="2"/>
                <w:sz w:val="28"/>
                <w:szCs w:val="28"/>
                <w:lang w:val="en-US" w:eastAsia="zh-CN" w:bidi="ar-SA"/>
              </w:rPr>
              <w:t>司机包围</w:t>
            </w:r>
          </w:p>
        </w:tc>
        <w:tc>
          <w:tcPr>
            <w:tcW w:w="7135" w:type="dxa"/>
            <w:noWrap w:val="0"/>
            <w:vAlign w:val="center"/>
          </w:tcPr>
          <w:p>
            <w:pPr>
              <w:numPr>
                <w:ilvl w:val="0"/>
                <w:numId w:val="8"/>
              </w:numPr>
              <w:adjustRightInd w:val="0"/>
              <w:snapToGrid w:val="0"/>
              <w:spacing w:line="320" w:lineRule="exact"/>
              <w:rPr>
                <w:rFonts w:hint="eastAsia" w:ascii="仿宋" w:hAnsi="仿宋" w:eastAsia="仿宋" w:cs="仿宋"/>
                <w:bCs/>
                <w:sz w:val="28"/>
                <w:szCs w:val="28"/>
              </w:rPr>
            </w:pPr>
            <w:r>
              <w:rPr>
                <w:rFonts w:hint="eastAsia" w:ascii="仿宋" w:hAnsi="仿宋" w:eastAsia="仿宋" w:cs="仿宋"/>
                <w:color w:val="auto"/>
                <w:sz w:val="28"/>
                <w:szCs w:val="28"/>
                <w:lang w:val="en-US" w:eastAsia="zh-CN"/>
              </w:rPr>
              <w:t>安装驾驶区域安全防护隔离设施，</w:t>
            </w:r>
            <w:r>
              <w:rPr>
                <w:rFonts w:hint="eastAsia" w:ascii="仿宋" w:hAnsi="仿宋" w:eastAsia="仿宋" w:cs="仿宋"/>
                <w:bCs/>
                <w:sz w:val="28"/>
                <w:szCs w:val="28"/>
              </w:rPr>
              <w:t>铝合金全包整体式，司机屏风、司机转门采用铝合金或钢化玻璃，不影响驾驶员对前门上车乘客监管视线，符合T/T1240-2019标准，隔离设施采用的玻璃应避免驾驶员受阳光、炫光和车内外灯光的影响，侧围上沿最低点距乘客区通道地板高度不小于160厘米(款式跟</w:t>
            </w:r>
            <w:r>
              <w:rPr>
                <w:rFonts w:hint="eastAsia" w:ascii="仿宋" w:hAnsi="仿宋" w:eastAsia="仿宋" w:cs="仿宋"/>
                <w:bCs/>
                <w:sz w:val="28"/>
                <w:szCs w:val="28"/>
                <w:lang w:eastAsia="zh-CN"/>
              </w:rPr>
              <w:t>采购</w:t>
            </w:r>
            <w:r>
              <w:rPr>
                <w:rFonts w:hint="eastAsia" w:ascii="仿宋" w:hAnsi="仿宋" w:eastAsia="仿宋" w:cs="仿宋"/>
                <w:bCs/>
                <w:sz w:val="28"/>
                <w:szCs w:val="28"/>
              </w:rPr>
              <w:t>人对接)，司机座后围上部为透明有机玻璃空隙高度不大于30厘米、下部为封闭式围板，司机</w:t>
            </w:r>
            <w:r>
              <w:rPr>
                <w:rFonts w:hint="eastAsia" w:ascii="仿宋" w:hAnsi="仿宋" w:eastAsia="仿宋" w:cs="仿宋"/>
                <w:bCs/>
                <w:sz w:val="28"/>
                <w:szCs w:val="28"/>
                <w:lang w:eastAsia="zh-CN"/>
              </w:rPr>
              <w:t>包</w:t>
            </w:r>
            <w:r>
              <w:rPr>
                <w:rFonts w:hint="eastAsia" w:ascii="仿宋" w:hAnsi="仿宋" w:eastAsia="仿宋" w:cs="仿宋"/>
                <w:bCs/>
                <w:sz w:val="28"/>
                <w:szCs w:val="28"/>
              </w:rPr>
              <w:t>围门窗玻璃、门锁、铝合金材质必须符合国家新标要求</w:t>
            </w:r>
            <w:r>
              <w:rPr>
                <w:rFonts w:hint="eastAsia" w:ascii="仿宋" w:hAnsi="仿宋" w:eastAsia="仿宋" w:cs="仿宋"/>
                <w:bCs/>
                <w:sz w:val="28"/>
                <w:szCs w:val="28"/>
                <w:lang w:eastAsia="zh-CN"/>
              </w:rPr>
              <w:t>。</w:t>
            </w:r>
          </w:p>
          <w:p>
            <w:pPr>
              <w:numPr>
                <w:ilvl w:val="0"/>
                <w:numId w:val="8"/>
              </w:numPr>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质保8年，投标人须中标后10天内提交质保承诺书，质保期承诺须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2261" w:type="dxa"/>
            <w:noWrap w:val="0"/>
            <w:vAlign w:val="center"/>
          </w:tcPr>
          <w:p>
            <w:pPr>
              <w:adjustRightInd w:val="0"/>
              <w:snapToGrid w:val="0"/>
              <w:spacing w:line="3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驾驶员座椅</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驾驶员座椅为6方向可调高靠背航空气垫式座椅</w:t>
            </w:r>
            <w:r>
              <w:rPr>
                <w:rFonts w:hint="eastAsia" w:ascii="仿宋" w:hAnsi="仿宋" w:eastAsia="仿宋" w:cs="仿宋"/>
                <w:sz w:val="28"/>
                <w:szCs w:val="28"/>
                <w:lang w:val="en-US" w:eastAsia="zh-CN"/>
              </w:rPr>
              <w:t>，配</w:t>
            </w:r>
            <w:r>
              <w:rPr>
                <w:rFonts w:hint="eastAsia" w:ascii="仿宋" w:hAnsi="仿宋" w:eastAsia="仿宋" w:cs="仿宋"/>
                <w:sz w:val="28"/>
                <w:szCs w:val="28"/>
              </w:rPr>
              <w:t>三点式安全带</w:t>
            </w:r>
            <w:r>
              <w:rPr>
                <w:rFonts w:hint="eastAsia" w:ascii="仿宋" w:hAnsi="仿宋" w:eastAsia="仿宋" w:cs="仿宋"/>
                <w:sz w:val="28"/>
                <w:szCs w:val="28"/>
                <w:lang w:eastAsia="zh-CN"/>
              </w:rPr>
              <w:t>，</w:t>
            </w:r>
            <w:r>
              <w:rPr>
                <w:rFonts w:hint="eastAsia" w:ascii="仿宋" w:hAnsi="仿宋" w:eastAsia="仿宋" w:cs="仿宋"/>
                <w:sz w:val="28"/>
                <w:szCs w:val="28"/>
              </w:rPr>
              <w:t>调节幅度大于20CM,右端固定在地板上，伸缩自如可上下调节</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质保</w:t>
            </w:r>
            <w:r>
              <w:rPr>
                <w:rFonts w:hint="eastAsia" w:ascii="仿宋" w:hAnsi="仿宋" w:eastAsia="仿宋" w:cs="仿宋"/>
                <w:sz w:val="28"/>
                <w:szCs w:val="28"/>
                <w:lang w:val="en-US" w:eastAsia="zh-CN"/>
              </w:rPr>
              <w:t>8年（含易损、易耗件）。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后 视 镜</w:t>
            </w:r>
          </w:p>
        </w:tc>
        <w:tc>
          <w:tcPr>
            <w:tcW w:w="7135" w:type="dxa"/>
            <w:noWrap w:val="0"/>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sz w:val="28"/>
                <w:szCs w:val="28"/>
              </w:rPr>
              <w:t>车厢正前方中间和右上方配置驾驶员后视镜二只</w:t>
            </w:r>
            <w:r>
              <w:rPr>
                <w:rFonts w:hint="eastAsia" w:ascii="仿宋" w:hAnsi="仿宋" w:eastAsia="仿宋" w:cs="仿宋"/>
                <w:sz w:val="28"/>
                <w:szCs w:val="28"/>
                <w:lang w:eastAsia="zh-CN"/>
              </w:rPr>
              <w:t>，</w:t>
            </w:r>
            <w:r>
              <w:rPr>
                <w:rFonts w:hint="eastAsia" w:ascii="仿宋" w:hAnsi="仿宋" w:eastAsia="仿宋" w:cs="仿宋"/>
                <w:color w:val="auto"/>
                <w:sz w:val="28"/>
                <w:szCs w:val="28"/>
                <w:highlight w:val="none"/>
                <w:u w:val="none"/>
                <w:lang w:eastAsia="zh-CN"/>
              </w:rPr>
              <w:t>图像</w:t>
            </w:r>
            <w:r>
              <w:rPr>
                <w:rFonts w:hint="eastAsia" w:ascii="仿宋" w:hAnsi="仿宋" w:eastAsia="仿宋" w:cs="仿宋"/>
                <w:color w:val="auto"/>
                <w:sz w:val="28"/>
                <w:szCs w:val="28"/>
                <w:highlight w:val="none"/>
                <w:u w:val="none"/>
              </w:rPr>
              <w:t>清晰，易更换。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中门安装上下客摄像头。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内饰、空调风道、车内照明</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侧墙板采用防水易清洁PVC覆膜板。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顶板采用冲孔铝塑板。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车厢前方右角配置时间、温度显示器</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全景</w:t>
            </w:r>
            <w:r>
              <w:rPr>
                <w:rFonts w:hint="eastAsia" w:ascii="仿宋" w:hAnsi="仿宋" w:eastAsia="仿宋" w:cs="仿宋"/>
                <w:sz w:val="28"/>
                <w:szCs w:val="28"/>
                <w:lang w:eastAsia="zh-CN"/>
              </w:rPr>
              <w:t>铝合金</w:t>
            </w:r>
            <w:r>
              <w:rPr>
                <w:rFonts w:hint="eastAsia" w:ascii="仿宋" w:hAnsi="仿宋" w:eastAsia="仿宋" w:cs="仿宋"/>
                <w:sz w:val="28"/>
                <w:szCs w:val="28"/>
              </w:rPr>
              <w:t>风道。风道两侧设置广告位。具体尺寸、数量由</w:t>
            </w:r>
            <w:r>
              <w:rPr>
                <w:rFonts w:hint="eastAsia" w:ascii="仿宋" w:hAnsi="仿宋" w:eastAsia="仿宋" w:cs="仿宋"/>
                <w:sz w:val="28"/>
                <w:szCs w:val="28"/>
                <w:lang w:eastAsia="zh-CN"/>
              </w:rPr>
              <w:t>采购人</w:t>
            </w:r>
            <w:r>
              <w:rPr>
                <w:rFonts w:hint="eastAsia" w:ascii="仿宋" w:hAnsi="仿宋" w:eastAsia="仿宋" w:cs="仿宋"/>
                <w:sz w:val="28"/>
                <w:szCs w:val="28"/>
              </w:rPr>
              <w:t>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LED照明灯:应满足夜间行驶车厢内亮化要求。LED双条顶灯</w:t>
            </w:r>
            <w:r>
              <w:rPr>
                <w:rFonts w:hint="eastAsia" w:ascii="仿宋" w:hAnsi="仿宋" w:eastAsia="仿宋" w:cs="仿宋"/>
                <w:sz w:val="28"/>
                <w:szCs w:val="28"/>
                <w:lang w:eastAsia="zh-CN"/>
              </w:rPr>
              <w:t>，</w:t>
            </w:r>
            <w:r>
              <w:rPr>
                <w:rFonts w:hint="eastAsia" w:ascii="仿宋" w:hAnsi="仿宋" w:eastAsia="仿宋" w:cs="仿宋"/>
                <w:sz w:val="28"/>
                <w:szCs w:val="28"/>
              </w:rPr>
              <w:t>厢灯控制为三挡，驾驶区一挡，车厢区二挡，开灯时，前档玻璃不能产生眩目光，影响驾驶安全。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6. </w:t>
            </w:r>
            <w:r>
              <w:rPr>
                <w:rFonts w:hint="eastAsia" w:ascii="仿宋" w:hAnsi="仿宋" w:eastAsia="仿宋" w:cs="仿宋"/>
                <w:sz w:val="28"/>
                <w:szCs w:val="28"/>
              </w:rPr>
              <w:t>驾驶室区空调出风口必须安装可调式开关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冷风道不得与前、后路牌窗和发动机机舱贯通，锁止方便可靠，表面平整圆顺，固定安装可靠。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b/>
                <w:bCs/>
                <w:color w:val="auto"/>
                <w:sz w:val="28"/>
                <w:szCs w:val="28"/>
                <w:highlight w:val="none"/>
                <w:u w:val="none"/>
              </w:rPr>
            </w:pPr>
            <w:r>
              <w:rPr>
                <w:rFonts w:hint="eastAsia" w:ascii="仿宋" w:hAnsi="仿宋" w:eastAsia="仿宋" w:cs="仿宋"/>
                <w:b/>
                <w:bCs/>
                <w:color w:val="auto"/>
                <w:sz w:val="28"/>
                <w:szCs w:val="28"/>
                <w:highlight w:val="none"/>
                <w:u w:val="none"/>
                <w:lang w:val="en-US" w:eastAsia="zh-CN"/>
              </w:rPr>
              <w:t>7.空调系统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空调</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采用非独立式顶置制冷空调，制冷降温速率高、制冷效果显著。制冷量≥</w:t>
            </w:r>
            <w:r>
              <w:rPr>
                <w:rFonts w:hint="eastAsia" w:ascii="仿宋" w:hAnsi="仿宋" w:eastAsia="仿宋" w:cs="仿宋"/>
                <w:sz w:val="28"/>
                <w:szCs w:val="28"/>
                <w:lang w:val="en-US" w:eastAsia="zh-CN"/>
              </w:rPr>
              <w:t>14</w:t>
            </w:r>
            <w:r>
              <w:rPr>
                <w:rFonts w:hint="eastAsia" w:ascii="仿宋" w:hAnsi="仿宋" w:eastAsia="仿宋" w:cs="仿宋"/>
                <w:sz w:val="28"/>
                <w:szCs w:val="28"/>
              </w:rPr>
              <w:t>000大卡。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冷凝风机采用</w:t>
            </w:r>
            <w:r>
              <w:rPr>
                <w:rFonts w:hint="eastAsia" w:ascii="仿宋" w:hAnsi="仿宋" w:eastAsia="仿宋" w:cs="仿宋"/>
                <w:sz w:val="28"/>
                <w:szCs w:val="28"/>
                <w:lang w:eastAsia="zh-CN"/>
              </w:rPr>
              <w:t>优质</w:t>
            </w:r>
            <w:r>
              <w:rPr>
                <w:rFonts w:hint="eastAsia" w:ascii="仿宋" w:hAnsi="仿宋" w:eastAsia="仿宋" w:cs="仿宋"/>
                <w:sz w:val="28"/>
                <w:szCs w:val="28"/>
              </w:rPr>
              <w:t>直流无碳刷风机。冷凝器盘管为内螺纹铜管亲水铝箔高效换热器。蒸发器盘管为内螺纹铜管亲水铝箔高效换热器。蒸发风机采用直流无碳刷风机。膨胀阀、止逆阀、视液镜采用进口配置，转换器为DC-DC转换器，配</w:t>
            </w:r>
            <w:r>
              <w:rPr>
                <w:rFonts w:hint="eastAsia" w:ascii="仿宋" w:hAnsi="仿宋" w:eastAsia="仿宋" w:cs="仿宋"/>
                <w:sz w:val="28"/>
                <w:szCs w:val="28"/>
                <w:lang w:eastAsia="zh-CN"/>
              </w:rPr>
              <w:t>国产</w:t>
            </w:r>
            <w:r>
              <w:rPr>
                <w:rFonts w:hint="eastAsia" w:ascii="仿宋" w:hAnsi="仿宋" w:eastAsia="仿宋" w:cs="仿宋"/>
                <w:sz w:val="28"/>
                <w:szCs w:val="28"/>
              </w:rPr>
              <w:t>优质品牌，安全可靠耐震动、抗干扰。变频器需配</w:t>
            </w:r>
            <w:r>
              <w:rPr>
                <w:rFonts w:hint="eastAsia" w:ascii="仿宋" w:hAnsi="仿宋" w:eastAsia="仿宋" w:cs="仿宋"/>
                <w:sz w:val="28"/>
                <w:szCs w:val="28"/>
                <w:lang w:eastAsia="zh-CN"/>
              </w:rPr>
              <w:t>国产</w:t>
            </w:r>
            <w:r>
              <w:rPr>
                <w:rFonts w:hint="eastAsia" w:ascii="仿宋" w:hAnsi="仿宋" w:eastAsia="仿宋" w:cs="仿宋"/>
                <w:sz w:val="28"/>
                <w:szCs w:val="28"/>
              </w:rPr>
              <w:t>优质品牌，安全可靠耐震动、抗干扰。压缩机采用进口或合资品牌压缩机。</w:t>
            </w:r>
            <w:r>
              <w:rPr>
                <w:rFonts w:hint="eastAsia" w:ascii="仿宋" w:hAnsi="仿宋" w:eastAsia="仿宋" w:cs="仿宋"/>
                <w:sz w:val="28"/>
                <w:szCs w:val="28"/>
                <w:lang w:eastAsia="zh-CN"/>
              </w:rPr>
              <w:t>配备新风装置。</w:t>
            </w:r>
            <w:r>
              <w:rPr>
                <w:rFonts w:hint="eastAsia" w:ascii="仿宋" w:hAnsi="仿宋" w:eastAsia="仿宋" w:cs="仿宋"/>
                <w:sz w:val="28"/>
                <w:szCs w:val="28"/>
              </w:rPr>
              <w:t>风速要求达到国家标准。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空调整机免费质保8年（含</w:t>
            </w:r>
            <w:r>
              <w:rPr>
                <w:rFonts w:hint="eastAsia" w:ascii="仿宋" w:hAnsi="仿宋" w:eastAsia="仿宋" w:cs="仿宋"/>
                <w:sz w:val="28"/>
                <w:szCs w:val="28"/>
                <w:lang w:eastAsia="zh-CN"/>
              </w:rPr>
              <w:t>工时费、</w:t>
            </w:r>
            <w:r>
              <w:rPr>
                <w:rFonts w:hint="eastAsia" w:ascii="仿宋" w:hAnsi="仿宋" w:eastAsia="仿宋" w:cs="仿宋"/>
                <w:sz w:val="28"/>
                <w:szCs w:val="28"/>
              </w:rPr>
              <w:t>易损、易耗件），并附</w:t>
            </w:r>
            <w:r>
              <w:rPr>
                <w:rFonts w:hint="eastAsia" w:ascii="仿宋" w:hAnsi="仿宋" w:eastAsia="仿宋" w:cs="仿宋"/>
                <w:sz w:val="28"/>
                <w:szCs w:val="28"/>
                <w:lang w:eastAsia="zh-CN"/>
              </w:rPr>
              <w:t>客车厂及配套厂</w:t>
            </w:r>
            <w:r>
              <w:rPr>
                <w:rFonts w:hint="eastAsia" w:ascii="仿宋" w:hAnsi="仿宋" w:eastAsia="仿宋" w:cs="仿宋"/>
                <w:sz w:val="28"/>
                <w:szCs w:val="28"/>
              </w:rPr>
              <w:t>承诺书原件</w:t>
            </w:r>
            <w:r>
              <w:rPr>
                <w:rFonts w:hint="eastAsia" w:ascii="仿宋" w:hAnsi="仿宋" w:eastAsia="仿宋" w:cs="仿宋"/>
                <w:color w:val="auto"/>
                <w:sz w:val="28"/>
                <w:szCs w:val="2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bCs/>
                <w:color w:val="auto"/>
                <w:sz w:val="28"/>
                <w:szCs w:val="28"/>
                <w:lang w:eastAsia="zh-CN"/>
              </w:rPr>
              <w:t>暖风</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lang w:eastAsia="zh-CN"/>
              </w:rPr>
              <w:t>前挡风玻璃安装高压</w:t>
            </w:r>
            <w:r>
              <w:rPr>
                <w:rFonts w:hint="eastAsia" w:ascii="仿宋" w:hAnsi="仿宋" w:eastAsia="仿宋" w:cs="仿宋"/>
                <w:color w:val="auto"/>
                <w:sz w:val="28"/>
                <w:szCs w:val="28"/>
                <w:highlight w:val="none"/>
                <w:u w:val="none"/>
              </w:rPr>
              <w:t>除霜</w:t>
            </w:r>
            <w:r>
              <w:rPr>
                <w:rFonts w:hint="eastAsia" w:ascii="仿宋" w:hAnsi="仿宋" w:eastAsia="仿宋" w:cs="仿宋"/>
                <w:color w:val="auto"/>
                <w:sz w:val="28"/>
                <w:szCs w:val="28"/>
                <w:highlight w:val="none"/>
                <w:u w:val="none"/>
                <w:lang w:eastAsia="zh-CN"/>
              </w:rPr>
              <w:t>机</w:t>
            </w:r>
            <w:r>
              <w:rPr>
                <w:rFonts w:hint="eastAsia" w:ascii="仿宋" w:hAnsi="仿宋" w:eastAsia="仿宋" w:cs="仿宋"/>
                <w:color w:val="auto"/>
                <w:sz w:val="28"/>
                <w:szCs w:val="28"/>
                <w:highlight w:val="none"/>
                <w:u w:val="none"/>
                <w:lang w:val="en-US" w:eastAsia="zh-CN"/>
              </w:rPr>
              <w:t>,司机处增设一个出风口（便于司机脚部取暖）</w:t>
            </w:r>
            <w:r>
              <w:rPr>
                <w:rFonts w:hint="eastAsia" w:ascii="仿宋" w:hAnsi="仿宋" w:eastAsia="仿宋" w:cs="仿宋"/>
                <w:color w:val="auto"/>
                <w:sz w:val="28"/>
                <w:szCs w:val="28"/>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2.免费质保8年（含工时费、</w:t>
            </w:r>
            <w:r>
              <w:rPr>
                <w:rFonts w:hint="eastAsia" w:ascii="仿宋" w:hAnsi="仿宋" w:eastAsia="仿宋" w:cs="仿宋"/>
                <w:color w:val="auto"/>
                <w:sz w:val="28"/>
                <w:szCs w:val="28"/>
                <w:highlight w:val="none"/>
                <w:u w:val="none"/>
              </w:rPr>
              <w:t>易损、易耗件</w:t>
            </w:r>
            <w:r>
              <w:rPr>
                <w:rFonts w:hint="eastAsia" w:ascii="仿宋" w:hAnsi="仿宋" w:eastAsia="仿宋" w:cs="仿宋"/>
                <w:color w:val="auto"/>
                <w:sz w:val="28"/>
                <w:szCs w:val="2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.消防设备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kern w:val="2"/>
                <w:sz w:val="28"/>
                <w:szCs w:val="28"/>
                <w:lang w:val="en-US" w:eastAsia="zh-CN" w:bidi="ar-SA"/>
              </w:rPr>
              <w:t>电池箱灭火装置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1.具有温度传感器、气体分解传感器、烟雾传感器并实现报警功能。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 能实现电解液漏液自动检测报警和火灾自动探测报警功能。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3.具有灭火装置和启动开关，并能实现自动启动和手动启动功能。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4.具有权威消防研究中心对该产品的试验报告。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5.探测装置、灭火装置等要求质保8年。要求采用全氟己酮灭火剂，大于等于6Kg，提供相关检测报告及消防产品技术鉴定证书，并提供配套供应商质保承诺函。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6、电池箱火灾防控装置需有8年商业保险承诺，承诺非人为损坏和失效的免费更换。如因装用不合格的磷酸铁锂电池箱灭火装置引起的各种损失及责任，由成交供应商承担。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7.电池箱防护等级在IP67以上（提供国家或第三方机构检验报告等证明材料）。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5"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eastAsia="zh-CN"/>
              </w:rPr>
              <w:t>车辆消防设备</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车厢内配置2只4公斤以上干粉灭火器，灭火器应符合国家标准规定，并取得公安部认证。灭火器架采用圆柱形直立式支架，易于提取。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高压</w:t>
            </w:r>
            <w:r>
              <w:rPr>
                <w:rFonts w:hint="eastAsia" w:ascii="仿宋" w:hAnsi="仿宋" w:eastAsia="仿宋" w:cs="仿宋"/>
                <w:sz w:val="28"/>
                <w:szCs w:val="28"/>
                <w:lang w:eastAsia="zh-CN"/>
              </w:rPr>
              <w:t>仓</w:t>
            </w:r>
            <w:r>
              <w:rPr>
                <w:rFonts w:hint="eastAsia" w:ascii="仿宋" w:hAnsi="仿宋" w:eastAsia="仿宋" w:cs="仿宋"/>
                <w:sz w:val="28"/>
                <w:szCs w:val="28"/>
              </w:rPr>
              <w:t>、电池</w:t>
            </w:r>
            <w:r>
              <w:rPr>
                <w:rFonts w:hint="eastAsia" w:ascii="仿宋" w:hAnsi="仿宋" w:eastAsia="仿宋" w:cs="仿宋"/>
                <w:sz w:val="28"/>
                <w:szCs w:val="28"/>
                <w:lang w:eastAsia="zh-CN"/>
              </w:rPr>
              <w:t>仓</w:t>
            </w:r>
            <w:r>
              <w:rPr>
                <w:rFonts w:hint="eastAsia" w:ascii="仿宋" w:hAnsi="仿宋" w:eastAsia="仿宋" w:cs="仿宋"/>
                <w:sz w:val="28"/>
                <w:szCs w:val="28"/>
              </w:rPr>
              <w:t>配备</w:t>
            </w:r>
            <w:r>
              <w:rPr>
                <w:rFonts w:hint="eastAsia" w:ascii="仿宋" w:hAnsi="仿宋" w:eastAsia="仿宋" w:cs="仿宋"/>
                <w:sz w:val="28"/>
                <w:szCs w:val="28"/>
                <w:lang w:val="en-US" w:eastAsia="zh-CN"/>
              </w:rPr>
              <w:t>总质量4KG</w:t>
            </w:r>
            <w:r>
              <w:rPr>
                <w:rFonts w:hint="eastAsia" w:ascii="仿宋" w:hAnsi="仿宋" w:eastAsia="仿宋" w:cs="仿宋"/>
                <w:sz w:val="28"/>
                <w:szCs w:val="28"/>
              </w:rPr>
              <w:t>管网式干粉灭火装置，具备声光报警及手动操作功能</w:t>
            </w:r>
            <w:r>
              <w:rPr>
                <w:rFonts w:hint="eastAsia" w:ascii="仿宋" w:hAnsi="仿宋" w:eastAsia="仿宋" w:cs="仿宋"/>
                <w:sz w:val="28"/>
                <w:szCs w:val="28"/>
                <w:lang w:eastAsia="zh-CN"/>
              </w:rPr>
              <w:t>，方便更换。</w:t>
            </w:r>
            <w:r>
              <w:rPr>
                <w:rFonts w:hint="eastAsia" w:ascii="仿宋" w:hAnsi="仿宋" w:eastAsia="仿宋" w:cs="仿宋"/>
                <w:sz w:val="28"/>
                <w:szCs w:val="28"/>
                <w:lang w:val="en-US" w:eastAsia="zh-CN"/>
              </w:rPr>
              <w:t>质保8年，含易损易耗件。投标人须中标后10天内提交质保承诺书，质保期承诺须</w:t>
            </w:r>
            <w:r>
              <w:rPr>
                <w:rFonts w:hint="eastAsia" w:ascii="仿宋" w:hAnsi="仿宋" w:eastAsia="仿宋" w:cs="仿宋"/>
                <w:sz w:val="28"/>
                <w:szCs w:val="28"/>
              </w:rPr>
              <w:t>由配套产品厂家和车辆制造厂家共同书面承诺。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安装客车车门应急控制系统，前后门泵总控制开关安装在副仪表台位置。前车门外、中门内和驾驶室各安装断气应急开关。应急开关应设有明显的警示使用标识。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配7只（带防盗自动报警型）安全锤，其中司机旁安装1只，符合GB7258-2017《机动车运行安全技术条件》要求。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整车侧窗左右两侧安装手自一体破窗器，带翻盖报警功能，每车安装四处，布置相关说明，每个窗户配置安全标识-逃生出口</w:t>
            </w:r>
            <w:r>
              <w:rPr>
                <w:rFonts w:hint="eastAsia" w:ascii="仿宋" w:hAnsi="仿宋" w:eastAsia="仿宋" w:cs="仿宋"/>
                <w:sz w:val="28"/>
                <w:szCs w:val="28"/>
                <w:lang w:eastAsia="zh-CN"/>
              </w:rPr>
              <w:t>。</w:t>
            </w:r>
            <w:r>
              <w:rPr>
                <w:rFonts w:hint="eastAsia" w:ascii="仿宋" w:hAnsi="仿宋" w:eastAsia="仿宋" w:cs="仿宋"/>
                <w:sz w:val="28"/>
                <w:szCs w:val="28"/>
              </w:rPr>
              <w:t>破窗器免费质保8年，并附承诺书原件。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b/>
                <w:bCs/>
                <w:color w:val="auto"/>
                <w:sz w:val="28"/>
                <w:szCs w:val="28"/>
                <w:highlight w:val="none"/>
                <w:u w:val="none"/>
                <w:shd w:val="clear" w:color="auto" w:fill="auto"/>
                <w:lang w:val="en-US" w:eastAsia="zh-CN"/>
              </w:rPr>
            </w:pPr>
            <w:r>
              <w:rPr>
                <w:rFonts w:hint="eastAsia" w:ascii="仿宋" w:hAnsi="仿宋" w:eastAsia="仿宋" w:cs="仿宋"/>
                <w:b/>
                <w:bCs/>
                <w:color w:val="auto"/>
                <w:sz w:val="28"/>
                <w:szCs w:val="28"/>
                <w:highlight w:val="none"/>
                <w:u w:val="none"/>
                <w:shd w:val="clear" w:color="auto" w:fill="auto"/>
                <w:lang w:val="en-US" w:eastAsia="zh-CN"/>
              </w:rPr>
              <w:t>9</w:t>
            </w:r>
            <w:r>
              <w:rPr>
                <w:rFonts w:hint="eastAsia" w:ascii="仿宋" w:hAnsi="仿宋" w:eastAsia="仿宋" w:cs="仿宋"/>
                <w:b/>
                <w:bCs/>
                <w:color w:val="auto"/>
                <w:sz w:val="28"/>
                <w:szCs w:val="28"/>
                <w:highlight w:val="none"/>
                <w:u w:val="none"/>
                <w:shd w:val="clear" w:color="auto" w:fill="auto"/>
              </w:rPr>
              <w:t>.电子信息设施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rPr>
              <w:t>CAN总线</w:t>
            </w:r>
          </w:p>
        </w:tc>
        <w:tc>
          <w:tcPr>
            <w:tcW w:w="7135" w:type="dxa"/>
            <w:noWrap w:val="0"/>
            <w:vAlign w:val="center"/>
          </w:tcPr>
          <w:p>
            <w:pPr>
              <w:numPr>
                <w:ilvl w:val="0"/>
                <w:numId w:val="0"/>
              </w:numPr>
              <w:tabs>
                <w:tab w:val="left" w:pos="360"/>
              </w:tabs>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全车线路控制采用阻燃整车三级</w:t>
            </w:r>
            <w:r>
              <w:rPr>
                <w:rFonts w:hint="eastAsia" w:ascii="仿宋" w:hAnsi="仿宋" w:eastAsia="仿宋" w:cs="仿宋"/>
                <w:sz w:val="28"/>
                <w:szCs w:val="28"/>
                <w:lang w:eastAsia="zh-CN"/>
              </w:rPr>
              <w:t>（三路）</w:t>
            </w:r>
            <w:r>
              <w:rPr>
                <w:rFonts w:hint="eastAsia" w:ascii="仿宋" w:hAnsi="仿宋" w:eastAsia="仿宋" w:cs="仿宋"/>
                <w:sz w:val="28"/>
                <w:szCs w:val="28"/>
              </w:rPr>
              <w:t>CAN总线系统。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全车CAN智能控制系统，包括1个彩屏仪表+总线控制器(驱动控制模块可互换）+云总线系统。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彩屏总线仪表带7英寸彩色液晶显示屏，集成倒车和中门监控，集成各电机管理信息、电池管理信息、整车控制器、胎温胎压等运行实时状态和故障显示。</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系统应自带互联网大数据处理平台，平台具备与其他信息处理系统如智能调度系统、安服系统等进行数据交互并按照公交实际管理需求自动完成数据挖掘数据应用能力以及手机APP应用功能。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系统具备釆集、记录、关联计算、处理、上传全车数据的能力，包括新能源系统、车身CAN总线等各ECU节点数据，系统自动识别车辆严重/一般/警告故障，并提供远程仪表、底盘、“三电”等实时动态监控。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系统可通过数据识别驾驶员节能驾驶能力以及车辆节能表现，对驾驶员、车队、公司进行能耗（安全）统计、对比、分析，并生成多样化多维度报表分析。</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具备前方碰撞预警、车距检测和警告、车道偏离报警功能。</w:t>
            </w:r>
          </w:p>
          <w:p>
            <w:p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CAN通讯口，质保期</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智能调度、监控系统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1.安装智能调度系统、监控系统（具体项目内容见表1）技术要求与采购人对接。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2.质保期8年，含易损易耗件。投标人须中标后10天内提交质保承诺书，质保期承诺须由配套产品厂家和车辆制造厂家共同书面承诺。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车内影像系统</w:t>
            </w:r>
          </w:p>
        </w:tc>
        <w:tc>
          <w:tcPr>
            <w:tcW w:w="7135" w:type="dxa"/>
            <w:noWrap w:val="0"/>
            <w:vAlign w:val="center"/>
          </w:tcPr>
          <w:p>
            <w:pPr>
              <w:numPr>
                <w:ilvl w:val="0"/>
                <w:numId w:val="0"/>
              </w:numPr>
              <w:adjustRightInd w:val="0"/>
              <w:snapToGrid w:val="0"/>
              <w:spacing w:line="320" w:lineRule="exac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安装车内影像系统</w:t>
            </w:r>
            <w:r>
              <w:rPr>
                <w:rFonts w:hint="eastAsia" w:ascii="仿宋" w:hAnsi="仿宋" w:eastAsia="仿宋" w:cs="仿宋"/>
                <w:sz w:val="28"/>
                <w:szCs w:val="28"/>
                <w:lang w:val="en-US" w:eastAsia="zh-CN"/>
              </w:rPr>
              <w:t>1</w:t>
            </w:r>
            <w:r>
              <w:rPr>
                <w:rFonts w:hint="eastAsia" w:ascii="仿宋" w:hAnsi="仿宋" w:eastAsia="仿宋" w:cs="仿宋"/>
                <w:sz w:val="28"/>
                <w:szCs w:val="28"/>
              </w:rPr>
              <w:t>个显示屏</w:t>
            </w:r>
            <w:r>
              <w:rPr>
                <w:rFonts w:hint="eastAsia" w:ascii="仿宋" w:hAnsi="仿宋" w:eastAsia="仿宋" w:cs="仿宋"/>
                <w:sz w:val="28"/>
                <w:szCs w:val="28"/>
                <w:lang w:eastAsia="zh-CN"/>
              </w:rPr>
              <w:t>和</w:t>
            </w:r>
            <w:r>
              <w:rPr>
                <w:rFonts w:hint="eastAsia" w:ascii="仿宋" w:hAnsi="仿宋" w:eastAsia="仿宋" w:cs="仿宋"/>
                <w:sz w:val="28"/>
                <w:szCs w:val="28"/>
              </w:rPr>
              <w:t>1个车载无线播放器，车载无线播放器安装在电器箱内（具体设施项目要求见表</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numPr>
                <w:ilvl w:val="0"/>
                <w:numId w:val="0"/>
              </w:numPr>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质保</w:t>
            </w:r>
            <w:r>
              <w:rPr>
                <w:rFonts w:hint="eastAsia" w:ascii="仿宋" w:hAnsi="仿宋" w:eastAsia="仿宋" w:cs="仿宋"/>
                <w:sz w:val="28"/>
                <w:szCs w:val="28"/>
                <w:lang w:val="en-US" w:eastAsia="zh-CN"/>
              </w:rPr>
              <w:t>8年，含易损易耗件。投标人须中标后10天内提交质保承诺书，质保期承诺须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6"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highlight w:val="none"/>
                <w:lang w:val="en-US" w:eastAsia="zh-CN"/>
              </w:rPr>
              <w:t>全彩电子路牌</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电子路牌为前、后、侧牌采用全彩型显示电子路牌</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前路牌（24点阵），字数为</w:t>
            </w:r>
            <w:r>
              <w:rPr>
                <w:rFonts w:hint="eastAsia" w:ascii="仿宋" w:hAnsi="仿宋" w:eastAsia="仿宋" w:cs="仿宋"/>
                <w:sz w:val="28"/>
                <w:szCs w:val="28"/>
                <w:lang w:val="en-US" w:eastAsia="zh-CN"/>
              </w:rPr>
              <w:t>9</w:t>
            </w:r>
            <w:r>
              <w:rPr>
                <w:rFonts w:hint="eastAsia" w:ascii="仿宋" w:hAnsi="仿宋" w:eastAsia="仿宋" w:cs="仿宋"/>
                <w:sz w:val="28"/>
                <w:szCs w:val="28"/>
              </w:rPr>
              <w:t>个汉字及以上，点间距≤8.2mm；后牌（24点阵），字数为</w:t>
            </w:r>
            <w:r>
              <w:rPr>
                <w:rFonts w:hint="eastAsia" w:ascii="仿宋" w:hAnsi="仿宋" w:eastAsia="仿宋" w:cs="仿宋"/>
                <w:sz w:val="28"/>
                <w:szCs w:val="28"/>
                <w:lang w:val="en-US" w:eastAsia="zh-CN"/>
              </w:rPr>
              <w:t>9</w:t>
            </w:r>
            <w:r>
              <w:rPr>
                <w:rFonts w:hint="eastAsia" w:ascii="仿宋" w:hAnsi="仿宋" w:eastAsia="仿宋" w:cs="仿宋"/>
                <w:sz w:val="28"/>
                <w:szCs w:val="28"/>
              </w:rPr>
              <w:t>个汉字及以上，点间距≤8.2mm，后牌显示车辆转弯、刹车等车辆实时信息；车内滚动屏（16点阵）LED汉字路牌，字数为</w:t>
            </w:r>
            <w:r>
              <w:rPr>
                <w:rFonts w:hint="eastAsia" w:ascii="仿宋" w:hAnsi="仿宋" w:eastAsia="仿宋" w:cs="仿宋"/>
                <w:sz w:val="28"/>
                <w:szCs w:val="28"/>
                <w:lang w:val="en-US" w:eastAsia="zh-CN"/>
              </w:rPr>
              <w:t>8</w:t>
            </w:r>
            <w:r>
              <w:rPr>
                <w:rFonts w:hint="eastAsia" w:ascii="仿宋" w:hAnsi="仿宋" w:eastAsia="仿宋" w:cs="仿宋"/>
                <w:sz w:val="28"/>
                <w:szCs w:val="28"/>
              </w:rPr>
              <w:t>个汉字及以上；侧牌（24点阵），字数为8个汉字及以上，点间距≤8.2mm。与采购方现有系统对接，路牌设有光感探头，可随外界亮度变化自动调节亮度，内容可以静止、滚动等多种方式显。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免费质保8年+配备日常更换零件，附承诺书原件。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导乘屏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车内安装1块LCD导乘屏显示实时到站信息。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2.免费质保8年，含易损易耗件，要求本地维修。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客流分析仪</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主机要求水平安装在风道内，并在风道上开检修门以方便检修；体感摄像头安装在前门/后门正上方，镜头要求与车身平行安装，摄像头正面朝下并无遮挡物遮挡；前中门信号线要求开门时提供持续高电平，关闭时提供低电平，门开时提供持续高电平（24V），门关时提供低电平（0V或悬空），且要求放置在主机位置处。</w:t>
            </w:r>
          </w:p>
          <w:p>
            <w:pPr>
              <w:numPr>
                <w:ilvl w:val="0"/>
                <w:numId w:val="0"/>
              </w:num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质保期</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驾驶员主动防御系统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通过云总线对驾驶员行为进行分析，具备开机自检、过流、过压、过温保护功能，能判断轻载、过载、短路、开路等故障状态；CAN模块可通用、互换、具备较强的抗电磁干扰和静电冲击能力，使用通过ISO电磁兼容认证的产品；云总线系统具备大数据管理技术，CAN数据采集，实时信息处理、动力系统及车身底盘等相关电气负载信息显示及故障报警的能力，实现车辆运行状态实时监控，能耗统计、驾驶员技能行为分析、驾驶员安全行为分析、线路驾驶规范、事故疑点数据采集与分析等功能并实现与DSM设备交互实现人脸识别、语音播报等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2.车辆智能视频监控报警装置（含DSM和ADAS），具备驾驶员不安全驾驶行为监控和车辆前方行驶碰撞预警功能：符合《交通运输部办公厅关于推广应用智能视频监控报警技术的通知》（交办运〔2018〕115 号）附件“道路运输车辆智能视频监控报警装置技术规范（暂行）”及符合浙江省道路运输协会发布的《道路运输车辆智能视频监控报警系统终端技术规范》（T/ZJRTA 01—2018）要求。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3.与采购人云总线系统信息传输全面对接匹配。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4.系统要求质保期8年，投标人须中标后10天内提交质保承诺书，质保期承诺须由配套产品厂家和车辆制造厂家共同书面承诺。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车载智慧云模块</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1.安装车载智慧云模块，CAN总线通过车载智慧云模块有效对接公交现有管理系统，云模块兼容采购方现有标准协议；云模块支持多策略上传数据，要求能够有效对接现有功能，与系统实现有效对接。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2.免费质保8年+配备日常更换零件，附承诺书原件。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电子设备箱</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color w:val="D61BE1"/>
                <w:kern w:val="2"/>
                <w:sz w:val="28"/>
                <w:szCs w:val="28"/>
                <w:highlight w:val="none"/>
                <w:u w:val="none"/>
                <w:shd w:val="clear" w:color="auto" w:fill="auto"/>
                <w:lang w:val="en-US" w:eastAsia="zh-CN" w:bidi="ar-SA"/>
              </w:rPr>
            </w:pPr>
            <w:r>
              <w:rPr>
                <w:rFonts w:hint="eastAsia" w:ascii="仿宋" w:hAnsi="仿宋" w:eastAsia="仿宋" w:cs="仿宋"/>
                <w:sz w:val="28"/>
                <w:szCs w:val="28"/>
              </w:rPr>
              <w:t>在适当位置安装电子设备箱，内部可抽拉式、多方位开启，设置5层以上，每层间隔不得低于13公分，箱体四角为圆角，采用不锈钢材质。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360全景及电子后视镜系统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1.高清显示，两块12.3英寸高清车规级显示屏（1920x720P），左屏分区显示，2/3后视显示，1/3显示360环视，车速大于20KM/H切换为全屏显示，右屏后视全屏显示。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2.支持2路1080P高清分辨率摄像头（1920x1080），其中两路后视摄像头，支持4路360环视摄像头，摄像头为标清摄像头。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3.自动画面，支持CAN传输通用协议，并可根据车速和左右转弯信号进行左边12.3寸屏画面的自动切换。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4.自动光感，屏幕亮度自适应调节，适应白天和晚上各种应用场景，自适应防眩护目。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5.预留TF卡插卡卡槽，支持扩展视频录制，最大支持128G TF卡存储, 具备模拟视频输出能力。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6.系统可以提供车辆四周360度全景鸟瞰图，司机在驾驶位可看到车辆四周的状况，无盲区。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7.系统采用红外超广角摄像头，能够适应不同的光源。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8.多种视图模式切换，分别是前视行车图，倒车后视视图，左侧行车视图，右侧行车视图，倒车视图可以替代传统的倒车监控。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9.质保8年，含易损易耗件，要求本地维护，投标人须中标后10天内提交质保承诺书，质保期承诺须由配套产品厂家和车辆制造厂家共同书面承诺。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投币箱</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投币机机头为透明机头，纸币硬币共口投入（不带真假币识别），带票夹，标配内胆</w:t>
            </w:r>
            <w:r>
              <w:rPr>
                <w:rFonts w:hint="eastAsia" w:ascii="仿宋" w:hAnsi="仿宋" w:eastAsia="仿宋" w:cs="仿宋"/>
                <w:sz w:val="28"/>
                <w:szCs w:val="28"/>
                <w:lang w:val="en-US" w:eastAsia="zh-CN"/>
              </w:rPr>
              <w:t>4</w:t>
            </w:r>
            <w:r>
              <w:rPr>
                <w:rFonts w:hint="eastAsia" w:ascii="仿宋" w:hAnsi="仿宋" w:eastAsia="仿宋" w:cs="仿宋"/>
                <w:sz w:val="28"/>
                <w:szCs w:val="28"/>
              </w:rPr>
              <w:t>只。投币机内设置翻板，并实现前门开关打开前门时，内置翻板自动翻板。</w:t>
            </w:r>
          </w:p>
          <w:p>
            <w:pPr>
              <w:numPr>
                <w:ilvl w:val="0"/>
                <w:numId w:val="0"/>
              </w:numPr>
              <w:adjustRightInd w:val="0"/>
              <w:snapToGrid w:val="0"/>
              <w:spacing w:line="320" w:lineRule="exact"/>
              <w:jc w:val="left"/>
              <w:rPr>
                <w:rFonts w:hint="eastAsia" w:ascii="仿宋" w:hAnsi="仿宋" w:eastAsia="仿宋" w:cs="仿宋"/>
                <w:b w:val="0"/>
                <w:color w:val="auto"/>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质保8年</w:t>
            </w:r>
            <w:r>
              <w:rPr>
                <w:rFonts w:hint="eastAsia" w:ascii="仿宋" w:hAnsi="仿宋" w:eastAsia="仿宋" w:cs="仿宋"/>
                <w:sz w:val="28"/>
                <w:szCs w:val="28"/>
                <w:lang w:eastAsia="zh-CN"/>
              </w:rPr>
              <w:t>含易损件</w:t>
            </w:r>
            <w:r>
              <w:rPr>
                <w:rFonts w:hint="eastAsia" w:ascii="仿宋" w:hAnsi="仿宋" w:eastAsia="仿宋" w:cs="仿宋"/>
                <w:sz w:val="28"/>
                <w:szCs w:val="28"/>
              </w:rPr>
              <w:t>+日常维修配件，并附承诺书原件。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其他</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车内车载电视，车后广告显示屏，车内</w:t>
            </w:r>
            <w:r>
              <w:rPr>
                <w:rFonts w:hint="eastAsia" w:ascii="仿宋" w:hAnsi="仿宋" w:eastAsia="仿宋" w:cs="仿宋"/>
                <w:sz w:val="28"/>
                <w:szCs w:val="28"/>
                <w:lang w:val="en-US" w:eastAsia="zh-CN"/>
              </w:rPr>
              <w:t>LCD等大功率电器</w:t>
            </w:r>
            <w:r>
              <w:rPr>
                <w:rFonts w:hint="eastAsia" w:ascii="仿宋" w:hAnsi="仿宋" w:eastAsia="仿宋" w:cs="仿宋"/>
                <w:sz w:val="28"/>
                <w:szCs w:val="28"/>
                <w:lang w:eastAsia="zh-CN"/>
              </w:rPr>
              <w:t>通过动力电池供电。</w:t>
            </w:r>
          </w:p>
          <w:p>
            <w:pPr>
              <w:numPr>
                <w:ilvl w:val="0"/>
                <w:numId w:val="0"/>
              </w:num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2.预留一组24V的DCDC电源备用。</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预留前门的IC卡POS机线束。</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.预留车载WIFI设备线束。</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.安装可打印式行车记录仪。</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6.采购方其他采购的设备，由中标方负责安装</w:t>
            </w:r>
            <w:r>
              <w:rPr>
                <w:rFonts w:hint="eastAsia" w:ascii="仿宋" w:hAnsi="仿宋" w:eastAsia="仿宋" w:cs="仿宋"/>
                <w:sz w:val="28"/>
                <w:szCs w:val="28"/>
                <w:lang w:eastAsia="zh-CN"/>
              </w:rPr>
              <w:t>。</w:t>
            </w:r>
          </w:p>
          <w:p>
            <w:pPr>
              <w:adjustRightInd w:val="0"/>
              <w:snapToGrid w:val="0"/>
              <w:spacing w:line="320" w:lineRule="exact"/>
              <w:jc w:val="left"/>
              <w:rPr>
                <w:rFonts w:hint="default"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7.全车低压供电24V。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b/>
                <w:bCs/>
                <w:color w:val="auto"/>
                <w:sz w:val="28"/>
                <w:szCs w:val="28"/>
                <w:highlight w:val="none"/>
                <w:u w:val="none"/>
                <w:shd w:val="clear" w:color="auto" w:fill="auto"/>
                <w:lang w:val="en-US" w:eastAsia="zh-CN"/>
              </w:rPr>
            </w:pPr>
            <w:r>
              <w:rPr>
                <w:rFonts w:hint="eastAsia" w:ascii="仿宋" w:hAnsi="仿宋" w:eastAsia="仿宋" w:cs="仿宋"/>
                <w:b/>
                <w:bCs/>
                <w:color w:val="auto"/>
                <w:sz w:val="28"/>
                <w:szCs w:val="28"/>
                <w:highlight w:val="none"/>
                <w:u w:val="none"/>
                <w:shd w:val="clear" w:color="auto" w:fill="auto"/>
                <w:lang w:val="en-US" w:eastAsia="zh-CN"/>
              </w:rPr>
              <w:t>10</w:t>
            </w:r>
            <w:r>
              <w:rPr>
                <w:rFonts w:hint="eastAsia" w:ascii="仿宋" w:hAnsi="仿宋" w:eastAsia="仿宋" w:cs="仿宋"/>
                <w:b/>
                <w:bCs/>
                <w:color w:val="auto"/>
                <w:sz w:val="28"/>
                <w:szCs w:val="28"/>
                <w:highlight w:val="none"/>
                <w:u w:val="none"/>
                <w:shd w:val="clear" w:color="auto" w:fill="auto"/>
              </w:rPr>
              <w:t>.随车</w:t>
            </w:r>
            <w:r>
              <w:rPr>
                <w:rFonts w:hint="eastAsia" w:ascii="仿宋" w:hAnsi="仿宋" w:eastAsia="仿宋" w:cs="仿宋"/>
                <w:b/>
                <w:bCs/>
                <w:color w:val="auto"/>
                <w:sz w:val="28"/>
                <w:szCs w:val="28"/>
                <w:highlight w:val="none"/>
                <w:u w:val="none"/>
                <w:shd w:val="clear" w:color="auto" w:fill="auto"/>
                <w:lang w:eastAsia="zh-CN"/>
              </w:rPr>
              <w:t>及其他</w:t>
            </w:r>
            <w:r>
              <w:rPr>
                <w:rFonts w:hint="eastAsia" w:ascii="仿宋" w:hAnsi="仿宋" w:eastAsia="仿宋" w:cs="仿宋"/>
                <w:b/>
                <w:bCs/>
                <w:color w:val="auto"/>
                <w:sz w:val="28"/>
                <w:szCs w:val="28"/>
                <w:highlight w:val="none"/>
                <w:u w:val="none"/>
                <w:shd w:val="clear" w:color="auto" w:fill="auto"/>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sz w:val="28"/>
                <w:szCs w:val="28"/>
                <w:lang w:val="en-US" w:eastAsia="zh-CN"/>
              </w:rPr>
              <w:t>1.</w:t>
            </w:r>
            <w:r>
              <w:rPr>
                <w:rFonts w:hint="eastAsia" w:ascii="仿宋" w:hAnsi="仿宋" w:eastAsia="仿宋" w:cs="仿宋"/>
                <w:color w:val="auto"/>
                <w:sz w:val="28"/>
                <w:szCs w:val="28"/>
                <w:highlight w:val="none"/>
                <w:u w:val="none"/>
                <w:shd w:val="clear" w:color="auto" w:fill="auto"/>
                <w:lang w:eastAsia="zh-CN"/>
              </w:rPr>
              <w:t>车厢内安装一个不锈钢置物箱，置物箱式样及安装位置与采购方对接后确认。</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提供一台车辆故障检测仪。</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lang w:eastAsia="zh-CN"/>
              </w:rPr>
              <w:t>每辆车配一个备胎、</w:t>
            </w:r>
            <w:r>
              <w:rPr>
                <w:rFonts w:hint="eastAsia" w:ascii="仿宋" w:hAnsi="仿宋" w:eastAsia="仿宋" w:cs="仿宋"/>
                <w:color w:val="auto"/>
                <w:sz w:val="28"/>
                <w:szCs w:val="28"/>
                <w:highlight w:val="none"/>
                <w:u w:val="none"/>
                <w:shd w:val="clear" w:color="auto" w:fill="auto"/>
              </w:rPr>
              <w:t>随车工具一套（含发动机备件箱一套）。三角警示牌1个、</w:t>
            </w:r>
            <w:r>
              <w:rPr>
                <w:rFonts w:hint="eastAsia" w:ascii="仿宋" w:hAnsi="仿宋" w:eastAsia="仿宋" w:cs="仿宋"/>
                <w:color w:val="auto"/>
                <w:sz w:val="28"/>
                <w:szCs w:val="28"/>
                <w:highlight w:val="none"/>
                <w:u w:val="none"/>
                <w:shd w:val="clear" w:color="auto" w:fill="auto"/>
                <w:lang w:eastAsia="zh-CN"/>
              </w:rPr>
              <w:t>止推器</w:t>
            </w: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个、反光背心</w:t>
            </w:r>
            <w:r>
              <w:rPr>
                <w:rFonts w:hint="eastAsia" w:ascii="仿宋" w:hAnsi="仿宋" w:eastAsia="仿宋" w:cs="仿宋"/>
                <w:color w:val="auto"/>
                <w:sz w:val="28"/>
                <w:szCs w:val="28"/>
                <w:highlight w:val="none"/>
                <w:u w:val="none"/>
                <w:shd w:val="clear" w:color="auto" w:fill="auto"/>
                <w:lang w:val="en-US" w:eastAsia="zh-CN"/>
              </w:rPr>
              <w:t>1件，</w:t>
            </w:r>
            <w:r>
              <w:rPr>
                <w:rFonts w:hint="eastAsia" w:ascii="仿宋" w:hAnsi="仿宋" w:eastAsia="仿宋" w:cs="仿宋"/>
                <w:color w:val="auto"/>
                <w:sz w:val="28"/>
                <w:szCs w:val="28"/>
                <w:highlight w:val="none"/>
                <w:u w:val="none"/>
                <w:shd w:val="clear" w:color="auto" w:fill="auto"/>
              </w:rPr>
              <w:t>内外喊话器（内外扬声器）。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前后门轴上设置禁止攀扶标志。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D61BE1"/>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安装</w:t>
            </w:r>
            <w:r>
              <w:rPr>
                <w:rFonts w:hint="eastAsia" w:ascii="仿宋" w:hAnsi="仿宋" w:eastAsia="仿宋" w:cs="仿宋"/>
                <w:color w:val="auto"/>
                <w:sz w:val="28"/>
                <w:szCs w:val="28"/>
                <w:highlight w:val="none"/>
                <w:u w:val="none"/>
                <w:shd w:val="clear" w:color="auto" w:fill="auto"/>
                <w:lang w:eastAsia="zh-CN"/>
              </w:rPr>
              <w:t>垃圾分类专用垃圾桶，尺寸、外观等由采购方提供</w:t>
            </w:r>
            <w:r>
              <w:rPr>
                <w:rFonts w:hint="eastAsia" w:ascii="仿宋" w:hAnsi="仿宋" w:eastAsia="仿宋" w:cs="仿宋"/>
                <w:color w:val="auto"/>
                <w:sz w:val="28"/>
                <w:szCs w:val="28"/>
                <w:highlight w:val="none"/>
                <w:u w:val="none"/>
                <w:shd w:val="clear" w:color="auto" w:fill="auto"/>
              </w:rPr>
              <w:t>。在驾驶室前区域合理放置便民服务箱。安装意见箱，尺寸由采购方提供。</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车辆前挡序号与车钢印相符表格一份;配整车电路图十份;主要配件生产型号或图号及生产厂家十份。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sz w:val="28"/>
                <w:szCs w:val="28"/>
                <w:lang w:val="en-US" w:eastAsia="zh-CN" w:bidi="ar-SA"/>
              </w:rPr>
              <w:t>6.</w:t>
            </w:r>
            <w:r>
              <w:rPr>
                <w:rFonts w:hint="eastAsia" w:ascii="仿宋" w:hAnsi="仿宋" w:eastAsia="仿宋" w:cs="仿宋"/>
                <w:sz w:val="28"/>
                <w:szCs w:val="28"/>
                <w:lang w:val="en-US" w:bidi="ar-SA"/>
              </w:rPr>
              <w:t>零配件供应体系方案应完整（提供资料、型号、价格清单）</w:t>
            </w:r>
            <w:r>
              <w:rPr>
                <w:rFonts w:hint="eastAsia" w:ascii="仿宋" w:hAnsi="仿宋" w:eastAsia="仿宋" w:cs="仿宋"/>
                <w:color w:val="auto"/>
                <w:sz w:val="28"/>
                <w:szCs w:val="28"/>
                <w:highlight w:val="none"/>
                <w:u w:val="none"/>
                <w:shd w:val="clear" w:color="auto" w:fill="auto"/>
              </w:rPr>
              <w:t xml:space="preserve"> </w:t>
            </w:r>
          </w:p>
        </w:tc>
      </w:tr>
    </w:tbl>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p>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p>
    <w:p>
      <w:pPr>
        <w:pStyle w:val="6"/>
        <w:rPr>
          <w:rFonts w:hint="eastAsia" w:ascii="仿宋" w:hAnsi="仿宋" w:eastAsia="仿宋" w:cs="仿宋"/>
          <w:b/>
          <w:color w:val="auto"/>
          <w:spacing w:val="-8"/>
          <w:szCs w:val="21"/>
          <w:highlight w:val="none"/>
          <w:u w:val="none"/>
        </w:rPr>
      </w:pPr>
    </w:p>
    <w:p>
      <w:pPr>
        <w:pStyle w:val="6"/>
        <w:rPr>
          <w:rFonts w:hint="eastAsia" w:ascii="仿宋" w:hAnsi="仿宋" w:eastAsia="仿宋" w:cs="仿宋"/>
          <w:b/>
          <w:color w:val="auto"/>
          <w:spacing w:val="-8"/>
          <w:szCs w:val="21"/>
          <w:highlight w:val="none"/>
          <w:u w:val="none"/>
        </w:rPr>
      </w:pPr>
    </w:p>
    <w:p>
      <w:pPr>
        <w:pStyle w:val="6"/>
        <w:rPr>
          <w:rFonts w:hint="eastAsia" w:ascii="仿宋" w:hAnsi="仿宋" w:eastAsia="仿宋" w:cs="仿宋"/>
          <w:b/>
          <w:color w:val="auto"/>
          <w:spacing w:val="-8"/>
          <w:szCs w:val="21"/>
          <w:highlight w:val="none"/>
          <w:u w:val="none"/>
        </w:rPr>
      </w:pPr>
    </w:p>
    <w:p>
      <w:pPr>
        <w:pStyle w:val="6"/>
        <w:rPr>
          <w:rFonts w:hint="eastAsia" w:ascii="仿宋" w:hAnsi="仿宋" w:eastAsia="仿宋" w:cs="仿宋"/>
          <w:b/>
          <w:color w:val="auto"/>
          <w:spacing w:val="-8"/>
          <w:szCs w:val="21"/>
          <w:highlight w:val="none"/>
          <w:u w:val="none"/>
        </w:rPr>
      </w:pPr>
    </w:p>
    <w:p>
      <w:pPr>
        <w:pStyle w:val="6"/>
        <w:rPr>
          <w:rFonts w:hint="eastAsia" w:ascii="仿宋" w:hAnsi="仿宋" w:eastAsia="仿宋" w:cs="仿宋"/>
          <w:b/>
          <w:color w:val="auto"/>
          <w:spacing w:val="-8"/>
          <w:szCs w:val="21"/>
          <w:highlight w:val="none"/>
          <w:u w:val="none"/>
        </w:rPr>
      </w:pPr>
    </w:p>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p>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p>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p>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p>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r>
        <w:rPr>
          <w:rFonts w:hint="eastAsia" w:ascii="仿宋" w:hAnsi="仿宋" w:eastAsia="仿宋" w:cs="仿宋"/>
          <w:b/>
          <w:color w:val="auto"/>
          <w:spacing w:val="-8"/>
          <w:szCs w:val="21"/>
          <w:highlight w:val="none"/>
          <w:u w:val="none"/>
        </w:rPr>
        <w:t>表</w:t>
      </w:r>
      <w:r>
        <w:rPr>
          <w:rFonts w:hint="eastAsia" w:ascii="仿宋" w:hAnsi="仿宋" w:eastAsia="仿宋" w:cs="仿宋"/>
          <w:b/>
          <w:color w:val="auto"/>
          <w:spacing w:val="-8"/>
          <w:szCs w:val="21"/>
          <w:highlight w:val="none"/>
          <w:u w:val="none"/>
          <w:lang w:val="en-US" w:eastAsia="zh-CN"/>
        </w:rPr>
        <w:t>1</w:t>
      </w:r>
      <w:r>
        <w:rPr>
          <w:rFonts w:hint="eastAsia" w:ascii="仿宋" w:hAnsi="仿宋" w:eastAsia="仿宋" w:cs="仿宋"/>
          <w:b/>
          <w:color w:val="auto"/>
          <w:spacing w:val="-8"/>
          <w:szCs w:val="21"/>
          <w:highlight w:val="none"/>
          <w:u w:val="none"/>
        </w:rPr>
        <w:t>：设备安装要求</w:t>
      </w:r>
    </w:p>
    <w:tbl>
      <w:tblPr>
        <w:tblStyle w:val="16"/>
        <w:tblW w:w="89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4282"/>
        <w:gridCol w:w="739"/>
        <w:gridCol w:w="850"/>
        <w:gridCol w:w="1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9" w:hRule="atLeast"/>
          <w:jc w:val="center"/>
        </w:trPr>
        <w:tc>
          <w:tcPr>
            <w:tcW w:w="8920" w:type="dxa"/>
            <w:gridSpan w:val="5"/>
            <w:noWrap w:val="0"/>
            <w:vAlign w:val="top"/>
          </w:tcPr>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1、</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安装一体机；支持电信4G</w:t>
            </w:r>
            <w:r>
              <w:rPr>
                <w:rFonts w:hint="eastAsia" w:ascii="仿宋" w:hAnsi="仿宋" w:eastAsia="仿宋" w:cs="仿宋"/>
                <w:color w:val="auto"/>
                <w:szCs w:val="21"/>
                <w:highlight w:val="none"/>
                <w:u w:val="none"/>
                <w:lang w:eastAsia="zh-CN"/>
              </w:rPr>
              <w:t>或</w:t>
            </w:r>
            <w:r>
              <w:rPr>
                <w:rFonts w:hint="eastAsia" w:ascii="仿宋" w:hAnsi="仿宋" w:eastAsia="仿宋" w:cs="仿宋"/>
                <w:color w:val="auto"/>
                <w:szCs w:val="21"/>
                <w:highlight w:val="none"/>
                <w:u w:val="none"/>
                <w:lang w:val="en-US" w:eastAsia="zh-CN"/>
              </w:rPr>
              <w:t>4G</w:t>
            </w:r>
            <w:r>
              <w:rPr>
                <w:rFonts w:hint="eastAsia" w:ascii="仿宋" w:hAnsi="仿宋" w:eastAsia="仿宋" w:cs="仿宋"/>
                <w:color w:val="auto"/>
                <w:szCs w:val="21"/>
                <w:highlight w:val="none"/>
                <w:u w:val="none"/>
                <w:lang w:eastAsia="zh-CN"/>
              </w:rPr>
              <w:t>以上</w:t>
            </w:r>
            <w:r>
              <w:rPr>
                <w:rFonts w:hint="eastAsia" w:ascii="仿宋" w:hAnsi="仿宋" w:eastAsia="仿宋" w:cs="仿宋"/>
                <w:color w:val="auto"/>
                <w:szCs w:val="21"/>
                <w:highlight w:val="none"/>
                <w:u w:val="none"/>
              </w:rPr>
              <w:t>网络制式；支持GPS定位；配备500G</w:t>
            </w:r>
            <w:r>
              <w:rPr>
                <w:rFonts w:hint="eastAsia" w:ascii="仿宋" w:hAnsi="仿宋" w:eastAsia="仿宋" w:cs="仿宋"/>
                <w:color w:val="auto"/>
                <w:szCs w:val="21"/>
                <w:highlight w:val="none"/>
                <w:u w:val="none"/>
                <w:lang w:eastAsia="zh-CN"/>
              </w:rPr>
              <w:t>固态硬盘</w:t>
            </w:r>
            <w:r>
              <w:rPr>
                <w:rFonts w:hint="eastAsia" w:ascii="仿宋" w:hAnsi="仿宋" w:eastAsia="仿宋" w:cs="仿宋"/>
                <w:color w:val="auto"/>
                <w:szCs w:val="21"/>
                <w:highlight w:val="none"/>
                <w:u w:val="none"/>
              </w:rPr>
              <w:t>的车载硬盘；要求车辆配备分层可抽拉的设备箱；</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2、</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安装信息终端，要求内嵌式安装在司机位置仪表台右侧，配备遮阳罩；</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3、</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鹅颈麦克安装在司机位置仪表台左上角；</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4、</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安装GPS定位天线到车外顶部；</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5、</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在驾驶员附近安装用于和调度中心通话的喇叭；</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6、</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6路摄像头监控区域：①照车前；②从前往后照车箱；③照前门、投币机；④照司机；⑤照中门；⑥照倒车；其中照车前的摄像头要求安装在仪表台上；</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7、</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安装协议转换器，可以采集车辆CAN总线的各种数据并通过GPS车载机发送到智能调度中心；</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8、安装协议转换器，可以将IC卡数据通过GPS车载机发送到智能调度中心；同时实现与相应厂家路牌的通讯。</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9、安装客流分析仪，主机要求水平安装在风道内，并在风道上开检修门以方便检修；摄像头安装在前门/后门正上方，镜头要求与车身平行安装，摄像头正面朝下并无遮挡物遮挡；门打开或关闭时提供脉冲电平（24V），且要求放置在主机位置处。</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10、驾驶员安全行车分析仪，主机设备安装必须便于使用U盘拷贝更新新程序和更换SM卡，便于配件的维护及设备的更换，要求主机的两侧需流出足够的操作空间。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0" w:hRule="atLeast"/>
          <w:jc w:val="center"/>
        </w:trPr>
        <w:tc>
          <w:tcPr>
            <w:tcW w:w="5563" w:type="dxa"/>
            <w:gridSpan w:val="2"/>
            <w:tcBorders>
              <w:top w:val="nil"/>
              <w:left w:val="nil"/>
              <w:bottom w:val="nil"/>
              <w:right w:val="nil"/>
            </w:tcBorders>
            <w:noWrap w:val="0"/>
            <w:vAlign w:val="center"/>
          </w:tcPr>
          <w:p>
            <w:pPr>
              <w:widowControl/>
              <w:adjustRightInd w:val="0"/>
              <w:snapToGrid w:val="0"/>
              <w:spacing w:line="320" w:lineRule="exact"/>
              <w:rPr>
                <w:rFonts w:hint="eastAsia" w:ascii="仿宋" w:hAnsi="仿宋" w:eastAsia="仿宋" w:cs="仿宋"/>
                <w:b/>
                <w:bCs/>
                <w:color w:val="auto"/>
                <w:kern w:val="0"/>
                <w:szCs w:val="21"/>
                <w:highlight w:val="none"/>
                <w:u w:val="none"/>
              </w:rPr>
            </w:pPr>
          </w:p>
          <w:p>
            <w:pPr>
              <w:widowControl/>
              <w:adjustRightInd w:val="0"/>
              <w:snapToGrid w:val="0"/>
              <w:spacing w:line="320" w:lineRule="exact"/>
              <w:rPr>
                <w:rFonts w:hint="eastAsia" w:ascii="仿宋" w:hAnsi="仿宋" w:eastAsia="仿宋" w:cs="仿宋"/>
                <w:b/>
                <w:bCs/>
                <w:color w:val="auto"/>
                <w:kern w:val="0"/>
                <w:szCs w:val="21"/>
                <w:highlight w:val="none"/>
                <w:u w:val="none"/>
              </w:rPr>
            </w:pPr>
            <w:r>
              <w:rPr>
                <w:rFonts w:hint="eastAsia" w:ascii="仿宋" w:hAnsi="仿宋" w:eastAsia="仿宋" w:cs="仿宋"/>
                <w:b/>
                <w:bCs/>
                <w:color w:val="auto"/>
                <w:kern w:val="0"/>
                <w:szCs w:val="21"/>
                <w:highlight w:val="none"/>
                <w:u w:val="none"/>
              </w:rPr>
              <w:t>表</w:t>
            </w:r>
            <w:r>
              <w:rPr>
                <w:rFonts w:hint="eastAsia" w:ascii="仿宋" w:hAnsi="仿宋" w:eastAsia="仿宋" w:cs="仿宋"/>
                <w:b/>
                <w:bCs/>
                <w:color w:val="auto"/>
                <w:kern w:val="0"/>
                <w:szCs w:val="21"/>
                <w:highlight w:val="none"/>
                <w:u w:val="none"/>
                <w:lang w:val="en-US" w:eastAsia="zh-CN"/>
              </w:rPr>
              <w:t>2</w:t>
            </w:r>
            <w:r>
              <w:rPr>
                <w:rFonts w:hint="eastAsia" w:ascii="仿宋" w:hAnsi="仿宋" w:eastAsia="仿宋" w:cs="仿宋"/>
                <w:b/>
                <w:bCs/>
                <w:color w:val="auto"/>
                <w:kern w:val="0"/>
                <w:szCs w:val="21"/>
                <w:highlight w:val="none"/>
                <w:u w:val="none"/>
              </w:rPr>
              <w:t>：车载移动电视目录</w:t>
            </w:r>
          </w:p>
        </w:tc>
        <w:tc>
          <w:tcPr>
            <w:tcW w:w="739"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850"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1768"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0" w:hRule="atLeast"/>
          <w:jc w:val="center"/>
        </w:trPr>
        <w:tc>
          <w:tcPr>
            <w:tcW w:w="128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名称</w:t>
            </w:r>
          </w:p>
        </w:tc>
        <w:tc>
          <w:tcPr>
            <w:tcW w:w="4282"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功能</w:t>
            </w:r>
          </w:p>
        </w:tc>
        <w:tc>
          <w:tcPr>
            <w:tcW w:w="739"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单位</w:t>
            </w:r>
          </w:p>
        </w:tc>
        <w:tc>
          <w:tcPr>
            <w:tcW w:w="850"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数量</w:t>
            </w:r>
          </w:p>
        </w:tc>
        <w:tc>
          <w:tcPr>
            <w:tcW w:w="1768"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0" w:hRule="atLeast"/>
          <w:jc w:val="center"/>
        </w:trPr>
        <w:tc>
          <w:tcPr>
            <w:tcW w:w="128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4282"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739"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1768"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24" w:hRule="atLeast"/>
          <w:jc w:val="center"/>
        </w:trPr>
        <w:tc>
          <w:tcPr>
            <w:tcW w:w="12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车载播放器</w:t>
            </w:r>
          </w:p>
        </w:tc>
        <w:tc>
          <w:tcPr>
            <w:tcW w:w="4282" w:type="dxa"/>
            <w:tcBorders>
              <w:top w:val="nil"/>
              <w:left w:val="nil"/>
              <w:bottom w:val="single" w:color="000000"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用于视频接收播放功能</w:t>
            </w:r>
          </w:p>
        </w:tc>
        <w:tc>
          <w:tcPr>
            <w:tcW w:w="739"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台</w:t>
            </w:r>
          </w:p>
        </w:tc>
        <w:tc>
          <w:tcPr>
            <w:tcW w:w="850"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1</w:t>
            </w:r>
          </w:p>
        </w:tc>
        <w:tc>
          <w:tcPr>
            <w:tcW w:w="1768"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Wifi模块</w:t>
            </w:r>
          </w:p>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安全电池</w:t>
            </w:r>
          </w:p>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8G存储卡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0" w:hRule="atLeast"/>
          <w:jc w:val="center"/>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LED显示器</w:t>
            </w:r>
          </w:p>
        </w:tc>
        <w:tc>
          <w:tcPr>
            <w:tcW w:w="4282"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 xml:space="preserve"> LED车用液晶显示屏</w:t>
            </w:r>
          </w:p>
        </w:tc>
        <w:tc>
          <w:tcPr>
            <w:tcW w:w="739"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台</w:t>
            </w:r>
          </w:p>
        </w:tc>
        <w:tc>
          <w:tcPr>
            <w:tcW w:w="850"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lang w:eastAsia="zh-CN"/>
              </w:rPr>
            </w:pPr>
            <w:r>
              <w:rPr>
                <w:rFonts w:hint="eastAsia" w:ascii="仿宋" w:hAnsi="仿宋" w:eastAsia="仿宋" w:cs="仿宋"/>
                <w:color w:val="auto"/>
                <w:kern w:val="0"/>
                <w:szCs w:val="21"/>
                <w:highlight w:val="none"/>
                <w:u w:val="none"/>
                <w:lang w:val="en-US" w:eastAsia="zh-CN"/>
              </w:rPr>
              <w:t>1</w:t>
            </w:r>
          </w:p>
        </w:tc>
        <w:tc>
          <w:tcPr>
            <w:tcW w:w="1768"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18.5寸　</w:t>
            </w:r>
          </w:p>
        </w:tc>
      </w:tr>
    </w:tbl>
    <w:p>
      <w:pPr>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t>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1.</w:t>
      </w:r>
      <w:r>
        <w:rPr>
          <w:rFonts w:hint="eastAsia" w:ascii="仿宋" w:hAnsi="仿宋" w:eastAsia="仿宋" w:cs="仿宋"/>
          <w:color w:val="auto"/>
          <w:sz w:val="24"/>
          <w:highlight w:val="none"/>
          <w:u w:val="none"/>
        </w:rPr>
        <w:t>在车辆检查或使用中发现响应配置与实际配置不相符的，</w:t>
      </w:r>
      <w:r>
        <w:rPr>
          <w:rFonts w:hint="eastAsia" w:ascii="仿宋" w:hAnsi="仿宋" w:eastAsia="仿宋" w:cs="仿宋"/>
          <w:color w:val="FF0000"/>
          <w:sz w:val="24"/>
          <w:highlight w:val="none"/>
          <w:u w:val="none"/>
        </w:rPr>
        <w:t>按虚假应标处理，上报财政，</w:t>
      </w:r>
      <w:r>
        <w:rPr>
          <w:rFonts w:hint="eastAsia" w:ascii="仿宋" w:hAnsi="仿宋" w:eastAsia="仿宋" w:cs="仿宋"/>
          <w:color w:val="auto"/>
          <w:sz w:val="24"/>
          <w:highlight w:val="none"/>
          <w:u w:val="none"/>
        </w:rPr>
        <w:t>追究差额及相关损失，并处以一定的罚款，由</w:t>
      </w:r>
      <w:r>
        <w:rPr>
          <w:rFonts w:hint="eastAsia" w:ascii="仿宋" w:hAnsi="仿宋" w:eastAsia="仿宋" w:cs="仿宋"/>
          <w:color w:val="auto"/>
          <w:sz w:val="24"/>
          <w:highlight w:val="none"/>
          <w:u w:val="none"/>
          <w:lang w:eastAsia="zh-CN"/>
        </w:rPr>
        <w:t>采购人</w:t>
      </w:r>
      <w:r>
        <w:rPr>
          <w:rFonts w:hint="eastAsia" w:ascii="仿宋" w:hAnsi="仿宋" w:eastAsia="仿宋" w:cs="仿宋"/>
          <w:color w:val="auto"/>
          <w:sz w:val="24"/>
          <w:highlight w:val="none"/>
          <w:u w:val="none"/>
        </w:rPr>
        <w:t>直接在应付款（包括中标厂家其他批次的应付款）中扣除。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中标车辆必须符合</w:t>
      </w:r>
      <w:r>
        <w:rPr>
          <w:rFonts w:hint="eastAsia" w:ascii="仿宋" w:hAnsi="仿宋" w:eastAsia="仿宋" w:cs="仿宋"/>
          <w:color w:val="auto"/>
          <w:sz w:val="24"/>
          <w:highlight w:val="none"/>
          <w:u w:val="none"/>
          <w:lang w:eastAsia="zh-CN"/>
        </w:rPr>
        <w:t>台州</w:t>
      </w:r>
      <w:r>
        <w:rPr>
          <w:rFonts w:hint="eastAsia" w:ascii="仿宋" w:hAnsi="仿宋" w:eastAsia="仿宋" w:cs="仿宋"/>
          <w:color w:val="auto"/>
          <w:sz w:val="24"/>
          <w:highlight w:val="none"/>
          <w:u w:val="none"/>
        </w:rPr>
        <w:t>地区上牌要求，由中标厂家完成车辆上牌工作，其正常检测上牌费用凭发票由</w:t>
      </w:r>
      <w:r>
        <w:rPr>
          <w:rFonts w:hint="eastAsia" w:ascii="仿宋" w:hAnsi="仿宋" w:eastAsia="仿宋" w:cs="仿宋"/>
          <w:color w:val="auto"/>
          <w:sz w:val="24"/>
          <w:highlight w:val="none"/>
          <w:u w:val="none"/>
          <w:lang w:eastAsia="zh-CN"/>
        </w:rPr>
        <w:t>采购</w:t>
      </w:r>
      <w:r>
        <w:rPr>
          <w:rFonts w:hint="eastAsia" w:ascii="仿宋" w:hAnsi="仿宋" w:eastAsia="仿宋" w:cs="仿宋"/>
          <w:color w:val="auto"/>
          <w:sz w:val="24"/>
          <w:highlight w:val="none"/>
          <w:u w:val="none"/>
        </w:rPr>
        <w:t>支付。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3.</w:t>
      </w:r>
      <w:r>
        <w:rPr>
          <w:rFonts w:hint="eastAsia" w:ascii="仿宋" w:hAnsi="仿宋" w:eastAsia="仿宋" w:cs="仿宋"/>
          <w:color w:val="auto"/>
          <w:sz w:val="24"/>
          <w:highlight w:val="none"/>
          <w:u w:val="none"/>
        </w:rPr>
        <w:t>所有的终端设备产品，必须在中标厂家安装完毕后方可出厂。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中标厂家必须履行质保承诺，在约定时间未作出响应而造成损失的，</w:t>
      </w:r>
      <w:r>
        <w:rPr>
          <w:rFonts w:hint="eastAsia" w:ascii="仿宋" w:hAnsi="仿宋" w:eastAsia="仿宋" w:cs="仿宋"/>
          <w:color w:val="auto"/>
          <w:sz w:val="24"/>
          <w:highlight w:val="none"/>
          <w:u w:val="none"/>
          <w:lang w:eastAsia="zh-CN"/>
        </w:rPr>
        <w:t>采购人</w:t>
      </w:r>
      <w:r>
        <w:rPr>
          <w:rFonts w:hint="eastAsia" w:ascii="仿宋" w:hAnsi="仿宋" w:eastAsia="仿宋" w:cs="仿宋"/>
          <w:color w:val="auto"/>
          <w:sz w:val="24"/>
          <w:highlight w:val="none"/>
          <w:u w:val="none"/>
        </w:rPr>
        <w:t>有权自行联系维修，所产生的直接费用与损失由中标厂家承担，</w:t>
      </w:r>
      <w:r>
        <w:rPr>
          <w:rFonts w:hint="eastAsia" w:ascii="仿宋" w:hAnsi="仿宋" w:eastAsia="仿宋" w:cs="仿宋"/>
          <w:color w:val="auto"/>
          <w:sz w:val="24"/>
          <w:highlight w:val="none"/>
          <w:u w:val="none"/>
          <w:lang w:eastAsia="zh-CN"/>
        </w:rPr>
        <w:t>采购人</w:t>
      </w:r>
      <w:r>
        <w:rPr>
          <w:rFonts w:hint="eastAsia" w:ascii="仿宋" w:hAnsi="仿宋" w:eastAsia="仿宋" w:cs="仿宋"/>
          <w:color w:val="auto"/>
          <w:sz w:val="24"/>
          <w:highlight w:val="none"/>
          <w:u w:val="none"/>
        </w:rPr>
        <w:t>有权直接在应付款（包括中标厂家其他批次的应付款）中扣除，造成严重后果的，将通过法律途径维权。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5.</w:t>
      </w:r>
      <w:r>
        <w:rPr>
          <w:rFonts w:hint="eastAsia" w:ascii="仿宋" w:hAnsi="仿宋" w:eastAsia="仿宋" w:cs="仿宋"/>
          <w:color w:val="auto"/>
          <w:sz w:val="24"/>
          <w:highlight w:val="none"/>
          <w:u w:val="none"/>
        </w:rPr>
        <w:t>整车运行安全技术条件必须符合中华人民共和国国家标准或相关行业标准，同时依据国家有关产品质量法规和制造标准、技术要求等邀约进行验收。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6.</w:t>
      </w:r>
      <w:r>
        <w:rPr>
          <w:rFonts w:hint="eastAsia" w:ascii="仿宋" w:hAnsi="仿宋" w:eastAsia="仿宋" w:cs="仿宋"/>
          <w:color w:val="auto"/>
          <w:sz w:val="24"/>
          <w:highlight w:val="none"/>
          <w:u w:val="none"/>
        </w:rPr>
        <w:t>投标厂家需认真阅读并完全理解本技术配置要求，投标人无权擅自改动或降低相关标准与要求。。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FF0000"/>
          <w:sz w:val="24"/>
          <w:highlight w:val="none"/>
          <w:u w:val="none"/>
        </w:rPr>
      </w:pPr>
      <w:r>
        <w:rPr>
          <w:rFonts w:hint="eastAsia" w:ascii="仿宋" w:hAnsi="仿宋" w:eastAsia="仿宋" w:cs="仿宋"/>
          <w:color w:val="auto"/>
          <w:sz w:val="24"/>
          <w:highlight w:val="none"/>
          <w:u w:val="none"/>
          <w:lang w:val="en-US" w:eastAsia="zh-CN"/>
        </w:rPr>
        <w:t>7.</w:t>
      </w: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4"/>
          <w:highlight w:val="none"/>
          <w:u w:val="none"/>
        </w:rPr>
        <w:t>动力电池须在质保期内做好定期保养维护，由投标人提供维护方案。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4"/>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4"/>
          <w:highlight w:val="none"/>
          <w:u w:val="none"/>
        </w:rPr>
      </w:pPr>
      <w:r>
        <w:rPr>
          <w:rFonts w:hint="eastAsia" w:ascii="仿宋" w:hAnsi="仿宋" w:eastAsia="仿宋" w:cs="仿宋"/>
          <w:b/>
          <w:bCs/>
          <w:color w:val="auto"/>
          <w:sz w:val="24"/>
          <w:highlight w:val="none"/>
          <w:u w:val="none"/>
        </w:rPr>
        <w:t>各部件保修期要求</w:t>
      </w:r>
    </w:p>
    <w:tbl>
      <w:tblPr>
        <w:tblStyle w:val="16"/>
        <w:tblW w:w="993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134"/>
        <w:gridCol w:w="4900"/>
        <w:gridCol w:w="16"/>
        <w:gridCol w:w="1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134"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部件名称</w:t>
            </w:r>
          </w:p>
        </w:tc>
        <w:tc>
          <w:tcPr>
            <w:tcW w:w="4916" w:type="dxa"/>
            <w:gridSpan w:val="2"/>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保修范围</w:t>
            </w:r>
          </w:p>
        </w:tc>
        <w:tc>
          <w:tcPr>
            <w:tcW w:w="115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保修期限</w:t>
            </w:r>
          </w:p>
        </w:tc>
        <w:tc>
          <w:tcPr>
            <w:tcW w:w="215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trPr>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储能电池</w:t>
            </w:r>
          </w:p>
        </w:tc>
        <w:tc>
          <w:tcPr>
            <w:tcW w:w="4916"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在质保期内无偿每年定期质量检测，并对有问题的电池进行临时检测，质保期内电池组容量衰减不得超过20%，否则须无条件免费更换新电池</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驱动电机</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空调系统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电子水泵</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电驱空气压缩机</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电驱转向油泵</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前转向桥后驱动桥</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免维护专用车桥</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制动系统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暖风系统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免维护轮毂总成</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免维护轮毂总成质保（含易损、易耗件）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集中润滑</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车身防腐</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全车采用优质防腐蚀技术，骨架与蒙皮、骨架与地板等接合缝处采用聚氨酯密封胶进行密封防水防锈处理</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8年以上</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铝合金整体式风道</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乘客座椅</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PVC地板</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地板革</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乘客门</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门泵</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投币机</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电子后视镜360</w:t>
            </w:r>
            <w:r>
              <w:rPr>
                <w:rFonts w:hint="eastAsia" w:ascii="仿宋" w:hAnsi="仿宋" w:eastAsia="仿宋" w:cs="仿宋"/>
                <w:sz w:val="24"/>
                <w:szCs w:val="24"/>
                <w:lang w:eastAsia="zh-CN"/>
              </w:rPr>
              <w:t>及</w:t>
            </w:r>
            <w:r>
              <w:rPr>
                <w:rFonts w:hint="eastAsia" w:ascii="仿宋" w:hAnsi="仿宋" w:eastAsia="仿宋" w:cs="仿宋"/>
                <w:sz w:val="24"/>
                <w:szCs w:val="24"/>
              </w:rPr>
              <w:t>全景环视系统</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整车玻璃</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113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控制仓、高压仓、自动灭火弹</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1134"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电池箱灭火装置</w:t>
            </w:r>
          </w:p>
        </w:tc>
        <w:tc>
          <w:tcPr>
            <w:tcW w:w="490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车载智慧云模块</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免费质保（配备日常更换零件）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三级CAN总线</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调度终端设备</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视频监控</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主动安全终端</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bl>
    <w:p>
      <w:pPr>
        <w:rPr>
          <w:rFonts w:hint="eastAsia" w:ascii="仿宋" w:hAnsi="仿宋" w:eastAsia="仿宋" w:cs="仿宋"/>
        </w:rPr>
      </w:pPr>
    </w:p>
    <w:p>
      <w:pPr>
        <w:pStyle w:val="6"/>
        <w:rPr>
          <w:rFonts w:hint="eastAsia" w:ascii="仿宋" w:hAnsi="仿宋" w:eastAsia="仿宋" w:cs="仿宋"/>
        </w:rPr>
      </w:pPr>
    </w:p>
    <w:p>
      <w:pPr>
        <w:pStyle w:val="6"/>
        <w:rPr>
          <w:rFonts w:hint="eastAsia" w:ascii="仿宋" w:hAnsi="仿宋" w:eastAsia="仿宋" w:cs="仿宋"/>
        </w:rPr>
      </w:pPr>
    </w:p>
    <w:p>
      <w:pPr>
        <w:pStyle w:val="9"/>
        <w:snapToGrid w:val="0"/>
        <w:spacing w:line="360" w:lineRule="auto"/>
        <w:outlineLvl w:val="0"/>
        <w:rPr>
          <w:rFonts w:hint="eastAsia" w:ascii="仿宋" w:hAnsi="仿宋" w:eastAsia="仿宋" w:cs="仿宋"/>
          <w:b/>
          <w:color w:val="auto"/>
          <w:sz w:val="24"/>
          <w:szCs w:val="24"/>
          <w:highlight w:val="none"/>
          <w:shd w:val="clear" w:color="auto" w:fill="auto"/>
          <w:lang w:eastAsia="zh-CN"/>
        </w:rPr>
      </w:pPr>
    </w:p>
    <w:p>
      <w:pPr>
        <w:pStyle w:val="9"/>
        <w:snapToGrid w:val="0"/>
        <w:spacing w:line="360" w:lineRule="auto"/>
        <w:outlineLvl w:val="0"/>
        <w:rPr>
          <w:rFonts w:hint="eastAsia" w:ascii="仿宋" w:hAnsi="仿宋" w:eastAsia="仿宋" w:cs="仿宋"/>
          <w:b/>
          <w:color w:val="auto"/>
          <w:sz w:val="24"/>
          <w:highlight w:val="none"/>
          <w:u w:val="none"/>
          <w:lang w:val="en-US" w:eastAsia="zh-CN"/>
        </w:rPr>
      </w:pPr>
      <w:r>
        <w:rPr>
          <w:rFonts w:hint="eastAsia" w:ascii="仿宋" w:hAnsi="仿宋" w:eastAsia="仿宋" w:cs="仿宋"/>
          <w:b/>
          <w:color w:val="auto"/>
          <w:sz w:val="28"/>
          <w:szCs w:val="28"/>
          <w:highlight w:val="none"/>
          <w:shd w:val="clear" w:color="auto" w:fill="auto"/>
          <w:lang w:eastAsia="zh-CN"/>
        </w:rPr>
        <w:t>第二标段配置</w:t>
      </w:r>
      <w:r>
        <w:rPr>
          <w:rFonts w:hint="eastAsia" w:ascii="仿宋" w:hAnsi="仿宋" w:eastAsia="仿宋" w:cs="仿宋"/>
          <w:b/>
          <w:color w:val="auto"/>
          <w:sz w:val="24"/>
          <w:highlight w:val="none"/>
          <w:u w:val="none"/>
        </w:rPr>
        <w:t>：</w:t>
      </w:r>
      <w:r>
        <w:rPr>
          <w:rFonts w:hint="eastAsia" w:ascii="仿宋" w:hAnsi="仿宋" w:eastAsia="仿宋" w:cs="仿宋"/>
          <w:b/>
          <w:color w:val="auto"/>
          <w:sz w:val="24"/>
          <w:highlight w:val="none"/>
          <w:u w:val="none"/>
          <w:lang w:val="en-US" w:eastAsia="zh-CN"/>
        </w:rPr>
        <w:t>8</w:t>
      </w:r>
      <w:r>
        <w:rPr>
          <w:rFonts w:hint="eastAsia" w:ascii="仿宋" w:hAnsi="仿宋" w:eastAsia="仿宋" w:cs="仿宋"/>
          <w:b/>
          <w:color w:val="auto"/>
          <w:sz w:val="24"/>
          <w:highlight w:val="none"/>
          <w:u w:val="none"/>
        </w:rPr>
        <w:t>米级纯电动城市客车</w:t>
      </w:r>
      <w:r>
        <w:rPr>
          <w:rFonts w:hint="eastAsia" w:ascii="仿宋" w:hAnsi="仿宋" w:eastAsia="仿宋" w:cs="仿宋"/>
          <w:b/>
          <w:color w:val="auto"/>
          <w:sz w:val="24"/>
          <w:highlight w:val="none"/>
          <w:u w:val="none"/>
          <w:lang w:val="en-US" w:eastAsia="zh-CN"/>
        </w:rPr>
        <w:t>11</w:t>
      </w:r>
      <w:r>
        <w:rPr>
          <w:rFonts w:hint="eastAsia" w:ascii="仿宋" w:hAnsi="仿宋" w:eastAsia="仿宋" w:cs="仿宋"/>
          <w:b/>
          <w:color w:val="auto"/>
          <w:sz w:val="24"/>
          <w:highlight w:val="none"/>
          <w:u w:val="none"/>
        </w:rPr>
        <w:t>台，具体技术参数及需求配置如下表</w:t>
      </w:r>
      <w:r>
        <w:rPr>
          <w:rFonts w:hint="eastAsia" w:ascii="仿宋" w:hAnsi="仿宋" w:eastAsia="仿宋" w:cs="仿宋"/>
          <w:b/>
          <w:color w:val="auto"/>
          <w:sz w:val="24"/>
          <w:highlight w:val="none"/>
          <w:u w:val="none"/>
          <w:lang w:val="en-US" w:eastAsia="zh-CN"/>
        </w:rPr>
        <w:t>:</w:t>
      </w:r>
    </w:p>
    <w:tbl>
      <w:tblPr>
        <w:tblStyle w:val="16"/>
        <w:tblW w:w="9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261" w:type="dxa"/>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 xml:space="preserve">       车      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项      目</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
                <w:bCs w:val="0"/>
                <w:color w:val="auto"/>
                <w:sz w:val="28"/>
                <w:szCs w:val="28"/>
                <w:lang w:val="en-US" w:eastAsia="zh-CN"/>
              </w:rPr>
              <w:t>8米</w:t>
            </w:r>
            <w:r>
              <w:rPr>
                <w:rFonts w:hint="eastAsia" w:ascii="仿宋" w:hAnsi="仿宋" w:eastAsia="仿宋" w:cs="仿宋"/>
                <w:b/>
                <w:bCs w:val="0"/>
                <w:color w:val="auto"/>
                <w:sz w:val="28"/>
                <w:szCs w:val="28"/>
                <w:lang w:eastAsia="zh-CN"/>
              </w:rPr>
              <w:t>级纯电动城市客车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特      征</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4"/>
                <w:szCs w:val="24"/>
                <w:highlight w:val="none"/>
                <w:u w:val="none"/>
                <w:shd w:val="clear" w:color="auto" w:fill="auto"/>
                <w:lang w:eastAsia="zh-CN"/>
              </w:rPr>
            </w:pPr>
            <w:r>
              <w:rPr>
                <w:rFonts w:hint="eastAsia" w:ascii="仿宋" w:hAnsi="仿宋" w:eastAsia="仿宋" w:cs="仿宋"/>
                <w:b w:val="0"/>
                <w:bCs/>
                <w:color w:val="auto"/>
                <w:sz w:val="24"/>
                <w:szCs w:val="24"/>
                <w:highlight w:val="none"/>
                <w:u w:val="none"/>
                <w:shd w:val="clear" w:color="auto" w:fill="auto"/>
                <w:lang w:eastAsia="zh-CN"/>
              </w:rPr>
              <w:t>纯电动</w:t>
            </w:r>
            <w:r>
              <w:rPr>
                <w:rFonts w:hint="eastAsia" w:ascii="仿宋" w:hAnsi="仿宋" w:eastAsia="仿宋" w:cs="仿宋"/>
                <w:b w:val="0"/>
                <w:bCs/>
                <w:color w:val="auto"/>
                <w:spacing w:val="-8"/>
                <w:sz w:val="24"/>
                <w:szCs w:val="24"/>
                <w:highlight w:val="none"/>
                <w:u w:val="none"/>
                <w:shd w:val="clear" w:color="auto" w:fill="auto"/>
              </w:rPr>
              <w:t>、</w:t>
            </w:r>
            <w:r>
              <w:rPr>
                <w:rFonts w:hint="eastAsia" w:ascii="仿宋" w:hAnsi="仿宋" w:eastAsia="仿宋" w:cs="仿宋"/>
                <w:b w:val="0"/>
                <w:bCs/>
                <w:color w:val="auto"/>
                <w:sz w:val="24"/>
                <w:szCs w:val="24"/>
                <w:highlight w:val="none"/>
                <w:u w:val="none"/>
                <w:shd w:val="clear" w:color="auto" w:fill="auto"/>
                <w:lang w:eastAsia="zh-CN"/>
              </w:rPr>
              <w:t>电动空调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 xml:space="preserve">一．主要技术参数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1．尺寸参数</w:t>
            </w:r>
            <w:r>
              <w:rPr>
                <w:rFonts w:hint="eastAsia" w:ascii="仿宋" w:hAnsi="仿宋" w:eastAsia="仿宋" w:cs="仿宋"/>
                <w:b/>
                <w:bCs/>
                <w:color w:val="auto"/>
                <w:sz w:val="21"/>
                <w:szCs w:val="21"/>
                <w:highlight w:val="none"/>
                <w:u w:val="none"/>
                <w:shd w:val="clear" w:color="auto" w:fill="auto"/>
                <w:lang w:eastAsia="zh-CN"/>
              </w:rPr>
              <w:t>（</w:t>
            </w:r>
            <w:r>
              <w:rPr>
                <w:rFonts w:hint="eastAsia" w:ascii="仿宋" w:hAnsi="仿宋" w:eastAsia="仿宋" w:cs="仿宋"/>
                <w:b/>
                <w:bCs/>
                <w:color w:val="auto"/>
                <w:sz w:val="21"/>
                <w:szCs w:val="21"/>
                <w:highlight w:val="none"/>
                <w:u w:val="none"/>
                <w:shd w:val="clear" w:color="auto" w:fill="auto"/>
              </w:rPr>
              <w:t>mm</w:t>
            </w:r>
            <w:r>
              <w:rPr>
                <w:rFonts w:hint="eastAsia" w:ascii="仿宋" w:hAnsi="仿宋" w:eastAsia="仿宋" w:cs="仿宋"/>
                <w:b/>
                <w:bCs/>
                <w:color w:val="auto"/>
                <w:sz w:val="21"/>
                <w:szCs w:val="21"/>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长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520" w:firstLineChars="900"/>
              <w:jc w:val="both"/>
              <w:textAlignment w:val="auto"/>
              <w:outlineLvl w:val="9"/>
              <w:rPr>
                <w:rFonts w:hint="eastAsia" w:ascii="仿宋" w:hAnsi="仿宋" w:eastAsia="仿宋" w:cs="仿宋"/>
                <w:bCs/>
                <w:color w:val="auto"/>
                <w:sz w:val="24"/>
                <w:szCs w:val="24"/>
                <w:highlight w:val="none"/>
                <w:shd w:val="clear" w:color="auto" w:fill="auto"/>
                <w:lang w:eastAsia="zh-CN"/>
              </w:rPr>
            </w:pPr>
            <w:r>
              <w:rPr>
                <w:rFonts w:hint="eastAsia" w:ascii="仿宋" w:hAnsi="仿宋" w:eastAsia="仿宋" w:cs="仿宋"/>
                <w:bCs/>
                <w:color w:val="auto"/>
                <w:sz w:val="28"/>
                <w:szCs w:val="28"/>
                <w:highlight w:val="none"/>
                <w:shd w:val="clear" w:color="auto" w:fill="auto"/>
                <w:lang w:val="en-US" w:eastAsia="zh-CN"/>
              </w:rPr>
              <w:t>8000mm（含本数）--8200mm（含本数）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宽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 xml:space="preserve"> ≥</w:t>
            </w:r>
            <w:r>
              <w:rPr>
                <w:rFonts w:hint="eastAsia" w:ascii="仿宋" w:hAnsi="仿宋" w:eastAsia="仿宋" w:cs="仿宋"/>
                <w:color w:val="auto"/>
                <w:sz w:val="21"/>
                <w:szCs w:val="21"/>
                <w:highlight w:val="none"/>
                <w:shd w:val="clear" w:color="auto" w:fill="auto"/>
                <w:lang w:val="en-US" w:eastAsia="zh-CN"/>
              </w:rPr>
              <w:t>2400</w:t>
            </w:r>
            <w:r>
              <w:rPr>
                <w:rFonts w:hint="eastAsia" w:ascii="仿宋" w:hAnsi="仿宋" w:eastAsia="仿宋" w:cs="仿宋"/>
                <w:bCs/>
                <w:color w:val="auto"/>
                <w:sz w:val="24"/>
                <w:szCs w:val="24"/>
                <w:highlight w:val="none"/>
                <w:shd w:val="clear" w:color="auto" w:fil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高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shd w:val="clear" w:color="auto" w:fill="auto"/>
                <w:lang w:val="en-US" w:eastAsia="zh-CN"/>
              </w:rPr>
              <w:t>3100</w:t>
            </w:r>
            <w:r>
              <w:rPr>
                <w:rFonts w:hint="eastAsia" w:ascii="仿宋" w:hAnsi="仿宋" w:eastAsia="仿宋" w:cs="仿宋"/>
                <w:bCs/>
                <w:color w:val="auto"/>
                <w:sz w:val="24"/>
                <w:szCs w:val="24"/>
                <w:highlight w:val="none"/>
                <w:shd w:val="clear" w:color="auto" w:fil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left"/>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2．载客数人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最大载客数</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color w:val="auto"/>
                <w:sz w:val="24"/>
                <w:szCs w:val="24"/>
                <w:highlight w:val="none"/>
                <w:u w:val="none"/>
                <w:shd w:val="clear" w:color="auto" w:fill="auto"/>
                <w:lang w:eastAsia="zh-CN"/>
              </w:rPr>
              <w:t>≥</w:t>
            </w:r>
            <w:r>
              <w:rPr>
                <w:rFonts w:hint="eastAsia" w:ascii="仿宋" w:hAnsi="仿宋" w:eastAsia="仿宋" w:cs="仿宋"/>
                <w:color w:val="auto"/>
                <w:sz w:val="24"/>
                <w:szCs w:val="24"/>
                <w:highlight w:val="none"/>
                <w:u w:val="none"/>
                <w:shd w:val="clear" w:color="auto" w:fill="auto"/>
                <w:lang w:val="en-US" w:eastAsia="zh-CN"/>
              </w:rPr>
              <w:t>70人（以投标车型工信部公告目录为准）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最大座位数</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color w:val="auto"/>
                <w:sz w:val="24"/>
                <w:szCs w:val="24"/>
                <w:highlight w:val="none"/>
                <w:u w:val="none"/>
                <w:shd w:val="clear" w:color="auto" w:fill="auto"/>
                <w:lang w:val="en-US" w:eastAsia="zh-CN"/>
              </w:rPr>
              <w:t>按投标车型工信部公告目录配置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3．性  能  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最高车速    km/h</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yellow"/>
                <w:shd w:val="clear" w:color="auto" w:fill="auto"/>
              </w:rPr>
            </w:pP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u w:val="none"/>
                <w:shd w:val="clear" w:color="auto" w:fill="auto"/>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10" w:firstLineChars="1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最大爬度    ％</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rPr>
            </w:pPr>
            <w:r>
              <w:rPr>
                <w:rFonts w:hint="eastAsia" w:ascii="仿宋" w:hAnsi="仿宋" w:eastAsia="仿宋" w:cs="仿宋"/>
                <w:color w:val="auto"/>
                <w:sz w:val="21"/>
                <w:szCs w:val="21"/>
                <w:highlight w:val="none"/>
                <w:u w:val="none"/>
                <w:shd w:val="clear" w:color="auto" w:fill="auto"/>
              </w:rPr>
              <w:t>≥</w:t>
            </w:r>
            <w:r>
              <w:rPr>
                <w:rFonts w:hint="eastAsia" w:ascii="仿宋" w:hAnsi="仿宋" w:eastAsia="仿宋" w:cs="仿宋"/>
                <w:color w:val="auto"/>
                <w:sz w:val="21"/>
                <w:szCs w:val="21"/>
                <w:highlight w:val="none"/>
                <w:u w:val="none"/>
                <w:shd w:val="clear" w:color="auto" w:fil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最大制动距离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（满载30km/h初速） 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驻坡能力</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整车应可靠地在</w:t>
            </w:r>
            <w:r>
              <w:rPr>
                <w:rFonts w:hint="eastAsia" w:ascii="仿宋" w:hAnsi="仿宋" w:eastAsia="仿宋" w:cs="仿宋"/>
                <w:color w:val="auto"/>
                <w:szCs w:val="21"/>
                <w:highlight w:val="none"/>
                <w:u w:val="none"/>
              </w:rPr>
              <w:t>1</w:t>
            </w:r>
            <w:r>
              <w:rPr>
                <w:rFonts w:hint="eastAsia" w:ascii="仿宋" w:hAnsi="仿宋" w:eastAsia="仿宋" w:cs="仿宋"/>
                <w:color w:val="auto"/>
                <w:szCs w:val="21"/>
                <w:highlight w:val="none"/>
                <w:u w:val="none"/>
                <w:lang w:val="en-US" w:eastAsia="zh-CN"/>
              </w:rPr>
              <w:t>5</w:t>
            </w:r>
            <w:r>
              <w:rPr>
                <w:rFonts w:hint="eastAsia" w:ascii="仿宋" w:hAnsi="仿宋" w:eastAsia="仿宋" w:cs="仿宋"/>
                <w:color w:val="auto"/>
                <w:szCs w:val="21"/>
                <w:highlight w:val="none"/>
                <w:u w:val="none"/>
              </w:rPr>
              <w:t>%</w:t>
            </w:r>
            <w:r>
              <w:rPr>
                <w:rFonts w:hint="eastAsia" w:ascii="仿宋" w:hAnsi="仿宋" w:eastAsia="仿宋" w:cs="仿宋"/>
                <w:color w:val="auto"/>
                <w:sz w:val="21"/>
                <w:szCs w:val="21"/>
                <w:highlight w:val="none"/>
                <w:u w:val="none"/>
                <w:shd w:val="clear" w:color="auto" w:fill="auto"/>
              </w:rPr>
              <w:t>坡道上停稳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一级踏步离地高度(mm)</w:t>
            </w:r>
          </w:p>
        </w:tc>
        <w:tc>
          <w:tcPr>
            <w:tcW w:w="7135" w:type="dxa"/>
            <w:noWrap w:val="0"/>
            <w:vAlign w:val="center"/>
          </w:tcPr>
          <w:p>
            <w:pPr>
              <w:ind w:firstLine="105" w:firstLineChars="0"/>
              <w:jc w:val="center"/>
              <w:rPr>
                <w:rFonts w:hint="eastAsia" w:ascii="仿宋" w:hAnsi="仿宋" w:eastAsia="仿宋" w:cs="仿宋"/>
                <w:color w:val="auto"/>
                <w:szCs w:val="21"/>
              </w:rPr>
            </w:pPr>
            <w:r>
              <w:rPr>
                <w:rFonts w:hint="eastAsia" w:ascii="仿宋" w:hAnsi="仿宋" w:eastAsia="仿宋" w:cs="仿宋"/>
                <w:color w:val="auto"/>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整车安全涉水深度（mm)</w:t>
            </w:r>
          </w:p>
        </w:tc>
        <w:tc>
          <w:tcPr>
            <w:tcW w:w="713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二、主要总成和系统的结构特征与参数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b/>
                <w:bCs w:val="0"/>
                <w:color w:val="auto"/>
                <w:sz w:val="28"/>
                <w:szCs w:val="28"/>
                <w:highlight w:val="none"/>
                <w:u w:val="none"/>
                <w:lang w:val="en-US" w:eastAsia="zh-CN"/>
              </w:rPr>
              <w:t>1.三电系统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lang w:eastAsia="zh-CN"/>
              </w:rPr>
              <w:t>动力电池</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1.提供投标车型的电池容量。以投标车型《新能源汽车推广应用推荐车型目录》技术参数数据和中国汽车网查询为准。</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2.采用直流充电模式，符合国家相关规定，与采购人现有充电桩对接，充电自动识别车辆功能。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3.符合国家安全性，并在投标文件中提供试验检测合格报告、相关标准和规范。</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4.整个电池系统及每组电池箱安装快断器，并设有故障报警装置。安装防撞保护装置，保护电池不因挤压发变形影响安全。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5.电池具备持续充电≥1C能力动力电池温度特性好，动力电池箱设置有效的散热机制（独立水冷），满足温度在-20℃～60℃之间及雨水多的天气使用环境要求。</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6.采用新型电池系统均衡供电回路，不依赖于整车24V供电，由电芯自身供电，依托电池系统自动唤醒功能，实现上电状态和停车下状态均可进行均衡，通过智能均衡实现12个月均衡一次，每次均衡时间12小时。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电池总容量及续航里程</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整车电池总容量≥160kwh，满足招标方公交线路运行需求，在预留20%的电池安全电量后，质保期内续航里程＞200km。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b/>
                <w:bCs/>
                <w:kern w:val="2"/>
                <w:sz w:val="28"/>
                <w:szCs w:val="28"/>
                <w:lang w:val="en-US" w:eastAsia="zh-CN" w:bidi="ar-SA"/>
              </w:rPr>
            </w:pPr>
            <w:r>
              <w:rPr>
                <w:rFonts w:hint="eastAsia" w:ascii="仿宋" w:hAnsi="仿宋" w:eastAsia="仿宋" w:cs="仿宋"/>
                <w:color w:val="auto"/>
                <w:sz w:val="28"/>
                <w:szCs w:val="28"/>
              </w:rPr>
              <w:t>电池品牌</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1.采用液冷模式及磷酸铁锂电极材料的行业知名品牌。</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2.动力电池电芯和电池PACK为同一品牌。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rPr>
              <w:t>电池布置形式</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电池合理布置，做好车辆重量重心的均衡分布；与整车隔离，绝缘、防火隔热设计，多重熔断保护，整车高压分级预警系统，高压快断装置；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rPr>
              <w:t>电池系统能量密度</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投标车型的电池系统能量密度＞150Wh/kg。（投标方以投标车型《新能源汽车推广应用推荐车型目录》技术参数数据为准，并提供目录复印件或证明）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能量衰减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在质保期内投标人应委托电池原厂执行专业规范的电池定期维保服务，安全检查及性能检测、电池均衡保养等，并对有问题的电池进行临时检测，在质保期内电池组衰减超过15%，免费予以技术处理，8年或60万公里内电池容量衰减超过20%，则须无条件免费更换原品牌新电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2.电池、充放电系统和充电插座总成等免费质保8年（含工时、易损、易耗件），投标人须中标后10天内与配套产品厂家共同提交质保承诺书。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3.如果使用周期内配套电池厂不能继续履行相应服务，客车厂需提供落实电池改造替代方案并承担改造一切费用和损失。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Cs/>
                <w:color w:val="auto"/>
                <w:sz w:val="28"/>
                <w:szCs w:val="28"/>
              </w:rPr>
              <w:t>动力电池回收模式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1.投标人和动力电池厂家必须根据国家相关政策和环保法规对维修更换和车辆报废动力电池（含维修等所有费用）进行免费环保回收处理（如车辆报废时有专门要求的除外）。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2.采购人保留动力电池的最终处理权，采购人根据车辆使用报废情况通知投标人，投标人应当在接到通知30日内回收处理并提供环保处理证明。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lang w:eastAsia="zh-CN"/>
              </w:rPr>
            </w:pPr>
            <w:r>
              <w:rPr>
                <w:rFonts w:hint="eastAsia" w:ascii="仿宋" w:hAnsi="仿宋" w:eastAsia="仿宋" w:cs="仿宋"/>
                <w:bCs/>
                <w:color w:val="auto"/>
                <w:sz w:val="28"/>
                <w:szCs w:val="28"/>
                <w:lang w:eastAsia="zh-CN"/>
              </w:rPr>
              <w:t>控制系统</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高压电控系统（包括但不限于高压配电柜、DC/DC、电动助力转向控制器、驱动电机控制器、空压机控制器）均采用优质控制器，质保8年（含工时、易损、易耗件），投标人须中标后10天内与配套产品厂家共同提交质保承诺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提供投标车型的控制系统详细资料。电池管理系统（BMS）可以监控每个单体的电压、电流，并有采用均衡技术，满足各种极端工况要求。采用五合一及以上集成式控制器。（转向助力、高压配电柜、打气泵、DC-DC、驱动电机）</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lang w:eastAsia="zh-CN"/>
              </w:rPr>
              <w:t>高压配电箱采用集中配电方式，具有多路保护电路，内置高压接触器、高压熔断器、绝缘检测板等；须匹配MSD开关，保证维护安全；须具有高压互锁功能，保证端子松动时，能够断开高压；须内置预充电路；须内置绝缘检测电路，具有漏电保护功能；须具有充电保护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整车电气安全性</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防护等级≥IP6</w:t>
            </w:r>
            <w:r>
              <w:rPr>
                <w:rFonts w:hint="eastAsia" w:ascii="仿宋" w:hAnsi="仿宋" w:eastAsia="仿宋" w:cs="仿宋"/>
                <w:color w:val="auto"/>
                <w:sz w:val="28"/>
                <w:szCs w:val="28"/>
                <w:highlight w:val="none"/>
                <w:u w:val="none"/>
                <w:shd w:val="clear" w:color="auto" w:fill="auto"/>
                <w:lang w:val="en-US" w:eastAsia="zh-CN"/>
              </w:rPr>
              <w:t>7</w:t>
            </w:r>
            <w:r>
              <w:rPr>
                <w:rFonts w:hint="eastAsia" w:ascii="仿宋" w:hAnsi="仿宋" w:eastAsia="仿宋" w:cs="仿宋"/>
                <w:color w:val="auto"/>
                <w:sz w:val="28"/>
                <w:szCs w:val="28"/>
                <w:highlight w:val="none"/>
                <w:u w:val="none"/>
                <w:shd w:val="clear" w:color="auto" w:fill="auto"/>
              </w:rPr>
              <w:t>以上</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高压电缆，采用耐高温的辐照阻燃且耐高压电动车辆专用电缆，具有屏蔽层</w:t>
            </w:r>
            <w:r>
              <w:rPr>
                <w:rFonts w:hint="eastAsia" w:ascii="仿宋" w:hAnsi="仿宋" w:eastAsia="仿宋" w:cs="仿宋"/>
                <w:color w:val="auto"/>
                <w:sz w:val="28"/>
                <w:szCs w:val="28"/>
                <w:highlight w:val="none"/>
                <w:u w:val="none"/>
                <w:shd w:val="clear" w:color="auto" w:fill="auto"/>
                <w:lang w:eastAsia="zh-CN"/>
              </w:rPr>
              <w:t>，</w:t>
            </w:r>
            <w:r>
              <w:rPr>
                <w:rFonts w:hint="eastAsia" w:ascii="仿宋" w:hAnsi="仿宋" w:eastAsia="仿宋" w:cs="仿宋"/>
                <w:color w:val="auto"/>
                <w:sz w:val="28"/>
                <w:szCs w:val="28"/>
                <w:highlight w:val="none"/>
                <w:u w:val="none"/>
                <w:shd w:val="clear" w:color="auto" w:fill="auto"/>
              </w:rPr>
              <w:t>耐压≥700V</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涉水深度（m）≥0.30。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驱动电机</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rPr>
            </w:pPr>
            <w:r>
              <w:rPr>
                <w:rFonts w:hint="eastAsia" w:ascii="仿宋" w:hAnsi="仿宋" w:eastAsia="仿宋" w:cs="仿宋"/>
                <w:sz w:val="28"/>
                <w:szCs w:val="28"/>
              </w:rPr>
              <w:t>1.采用</w:t>
            </w:r>
            <w:r>
              <w:rPr>
                <w:rFonts w:hint="eastAsia" w:ascii="仿宋" w:hAnsi="仿宋" w:eastAsia="仿宋" w:cs="仿宋"/>
                <w:color w:val="auto"/>
                <w:sz w:val="28"/>
                <w:szCs w:val="28"/>
              </w:rPr>
              <w:t>水冷永磁同步电机，额定功率≥</w:t>
            </w:r>
            <w:r>
              <w:rPr>
                <w:rFonts w:hint="eastAsia" w:ascii="仿宋" w:hAnsi="仿宋" w:eastAsia="仿宋" w:cs="仿宋"/>
                <w:color w:val="auto"/>
                <w:sz w:val="28"/>
                <w:szCs w:val="28"/>
                <w:lang w:val="en-US" w:eastAsia="zh-CN"/>
              </w:rPr>
              <w:t>70</w:t>
            </w:r>
            <w:r>
              <w:rPr>
                <w:rFonts w:hint="eastAsia" w:ascii="仿宋" w:hAnsi="仿宋" w:eastAsia="仿宋" w:cs="仿宋"/>
                <w:color w:val="auto"/>
                <w:sz w:val="28"/>
                <w:szCs w:val="28"/>
              </w:rPr>
              <w:t>KW，峰值功率≥</w:t>
            </w:r>
            <w:r>
              <w:rPr>
                <w:rFonts w:hint="eastAsia" w:ascii="仿宋" w:hAnsi="仿宋" w:eastAsia="仿宋" w:cs="仿宋"/>
                <w:color w:val="auto"/>
                <w:sz w:val="28"/>
                <w:szCs w:val="28"/>
                <w:lang w:val="en-US" w:eastAsia="zh-CN"/>
              </w:rPr>
              <w:t>140K</w:t>
            </w:r>
            <w:r>
              <w:rPr>
                <w:rFonts w:hint="eastAsia" w:ascii="仿宋" w:hAnsi="仿宋" w:eastAsia="仿宋" w:cs="仿宋"/>
                <w:color w:val="auto"/>
                <w:sz w:val="28"/>
                <w:szCs w:val="28"/>
              </w:rPr>
              <w:t>W；（投标厂家提供车辆公告页和整车定型报告证明）；</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eastAsia="zh-CN"/>
              </w:rPr>
              <w:t xml:space="preserve">2. </w:t>
            </w:r>
            <w:r>
              <w:rPr>
                <w:rFonts w:hint="eastAsia" w:ascii="仿宋" w:hAnsi="仿宋" w:eastAsia="仿宋" w:cs="仿宋"/>
                <w:color w:val="auto"/>
                <w:sz w:val="28"/>
                <w:szCs w:val="28"/>
              </w:rPr>
              <w:t>电机直驱，无级变速，驱动电机具备缓速功能，同时具有能量回收功能；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3.电机防护等级：IP6</w:t>
            </w:r>
            <w:r>
              <w:rPr>
                <w:rFonts w:hint="eastAsia" w:ascii="仿宋" w:hAnsi="仿宋" w:eastAsia="仿宋" w:cs="仿宋"/>
                <w:sz w:val="28"/>
                <w:szCs w:val="28"/>
                <w:lang w:val="en-US" w:eastAsia="zh-CN"/>
              </w:rPr>
              <w:t>7及</w:t>
            </w:r>
            <w:r>
              <w:rPr>
                <w:rFonts w:hint="eastAsia" w:ascii="仿宋" w:hAnsi="仿宋" w:eastAsia="仿宋" w:cs="仿宋"/>
                <w:sz w:val="28"/>
                <w:szCs w:val="28"/>
              </w:rPr>
              <w:t>以上防护等级；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4.电机冷却系统采用</w:t>
            </w:r>
            <w:r>
              <w:rPr>
                <w:rFonts w:hint="eastAsia" w:ascii="仿宋" w:hAnsi="仿宋" w:eastAsia="仿宋" w:cs="仿宋"/>
                <w:sz w:val="28"/>
                <w:szCs w:val="28"/>
                <w:lang w:eastAsia="zh-CN"/>
              </w:rPr>
              <w:t>变频</w:t>
            </w:r>
            <w:r>
              <w:rPr>
                <w:rFonts w:hint="eastAsia" w:ascii="仿宋" w:hAnsi="仿宋" w:eastAsia="仿宋" w:cs="仿宋"/>
                <w:sz w:val="28"/>
                <w:szCs w:val="28"/>
              </w:rPr>
              <w:t>电子智能冷却控制系统。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bCs w:val="0"/>
                <w:color w:val="auto"/>
                <w:sz w:val="28"/>
                <w:szCs w:val="28"/>
                <w:highlight w:val="none"/>
                <w:u w:val="none"/>
                <w:lang w:val="en-US" w:eastAsia="zh-CN"/>
              </w:rPr>
              <w:t>2.小三电系统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冷却系统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1.配</w:t>
            </w:r>
            <w:r>
              <w:rPr>
                <w:rFonts w:hint="eastAsia" w:ascii="仿宋" w:hAnsi="仿宋" w:eastAsia="仿宋" w:cs="仿宋"/>
                <w:color w:val="auto"/>
                <w:sz w:val="28"/>
                <w:szCs w:val="28"/>
                <w:highlight w:val="none"/>
                <w:lang w:val="en-US" w:eastAsia="zh-CN"/>
              </w:rPr>
              <w:t>纯电动专用ATS智能冷却系统，采用进口无刷电机、风扇，CAN总线读取ECU等相关车辆信息，</w:t>
            </w:r>
            <w:r>
              <w:rPr>
                <w:rFonts w:hint="eastAsia" w:ascii="仿宋" w:hAnsi="仿宋" w:eastAsia="仿宋" w:cs="仿宋"/>
                <w:sz w:val="28"/>
                <w:szCs w:val="28"/>
                <w:lang w:val="en-US" w:eastAsia="zh-CN"/>
              </w:rPr>
              <w:t>带系统应急启动插头，铜质或铝制散热器。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sz w:val="28"/>
                <w:szCs w:val="28"/>
                <w:lang w:val="en-US" w:eastAsia="zh-CN"/>
              </w:rPr>
              <w:t>2.免费质保8年（含工时及易损、易耗件），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电子水泵</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1.采用变频电子水泵，功率适用车型使用。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lang w:val="en-US" w:eastAsia="zh-CN" w:bidi="ar-SA"/>
              </w:rPr>
            </w:pPr>
            <w:r>
              <w:rPr>
                <w:rFonts w:hint="eastAsia" w:ascii="仿宋" w:hAnsi="仿宋" w:eastAsia="仿宋" w:cs="仿宋"/>
                <w:sz w:val="28"/>
                <w:szCs w:val="28"/>
                <w:lang w:val="en-US" w:eastAsia="zh-CN"/>
              </w:rPr>
              <w:t>2.免费质保8年（含工时及易损、易耗件），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bCs/>
                <w:color w:val="auto"/>
                <w:sz w:val="28"/>
                <w:szCs w:val="28"/>
                <w:lang w:val="en-US" w:eastAsia="zh-CN"/>
              </w:rPr>
              <w:t>电驱空气压缩机</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1.无油活塞式空压机、轻量、环保静音。</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2.额定功率大于</w:t>
            </w:r>
            <w:r>
              <w:rPr>
                <w:rFonts w:hint="eastAsia" w:ascii="仿宋" w:hAnsi="仿宋" w:eastAsia="仿宋" w:cs="仿宋"/>
                <w:color w:val="auto"/>
                <w:sz w:val="28"/>
                <w:szCs w:val="28"/>
                <w:lang w:val="en-US" w:eastAsia="zh-CN"/>
              </w:rPr>
              <w:t>3</w:t>
            </w:r>
            <w:r>
              <w:rPr>
                <w:rFonts w:hint="eastAsia" w:ascii="仿宋" w:hAnsi="仿宋" w:eastAsia="仿宋" w:cs="仿宋"/>
                <w:sz w:val="28"/>
                <w:szCs w:val="28"/>
                <w:lang w:val="en-US" w:eastAsia="zh-CN"/>
              </w:rPr>
              <w:t>千瓦，风扇内置型（风扇与电机同轴）。</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3.IP67防护等级认证， EMC电磁干扰认证。</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4.免费质保8年（含保养及维修工时、易损、易耗件、空气滤芯），投标人须中标后10天内与配套产品厂家共同提交质保承诺书。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应急保障</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1.确保动力电池发生突发故障时，铅酸蓄电池能够应急供电不小于30秒，具备CAN诊断故障功能（包括电动转向电机、液压油泵、控制器）。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2.车辆操作时杜绝系统发生与操作不符导致车辆失控情况，突发高压掉断电时仍可确保转向操作轻便，同时提供紧急报警及应急操作提示，不得出现突发断电致使方向失控或锁死现象。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bCs w:val="0"/>
                <w:color w:val="auto"/>
                <w:sz w:val="28"/>
                <w:szCs w:val="28"/>
                <w:highlight w:val="none"/>
                <w:u w:val="none"/>
                <w:lang w:val="en-US" w:eastAsia="zh-CN"/>
              </w:rPr>
            </w:pPr>
            <w:r>
              <w:rPr>
                <w:rFonts w:hint="eastAsia" w:ascii="仿宋" w:hAnsi="仿宋" w:eastAsia="仿宋" w:cs="仿宋"/>
                <w:b/>
                <w:bCs w:val="0"/>
                <w:color w:val="auto"/>
                <w:sz w:val="28"/>
                <w:szCs w:val="28"/>
                <w:highlight w:val="none"/>
                <w:u w:val="none"/>
                <w:lang w:val="en-US" w:eastAsia="zh-CN"/>
              </w:rPr>
              <w:t>3.底盘系统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Cs/>
                <w:color w:val="auto"/>
                <w:sz w:val="28"/>
                <w:szCs w:val="28"/>
                <w:lang w:eastAsia="zh-CN"/>
              </w:rPr>
              <w:t>转向系统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采用</w:t>
            </w:r>
            <w:r>
              <w:rPr>
                <w:rFonts w:hint="eastAsia" w:ascii="仿宋" w:hAnsi="仿宋" w:eastAsia="仿宋" w:cs="仿宋"/>
                <w:color w:val="auto"/>
                <w:sz w:val="28"/>
                <w:szCs w:val="28"/>
                <w:highlight w:val="none"/>
                <w:u w:val="none"/>
                <w:shd w:val="clear" w:color="auto" w:fill="auto"/>
                <w:lang w:eastAsia="zh-CN"/>
              </w:rPr>
              <w:t>双源</w:t>
            </w:r>
            <w:r>
              <w:rPr>
                <w:rFonts w:hint="eastAsia" w:ascii="仿宋" w:hAnsi="仿宋" w:eastAsia="仿宋" w:cs="仿宋"/>
                <w:color w:val="auto"/>
                <w:sz w:val="28"/>
                <w:szCs w:val="28"/>
                <w:highlight w:val="none"/>
                <w:u w:val="none"/>
                <w:shd w:val="clear" w:color="auto" w:fill="auto"/>
              </w:rPr>
              <w:t>电动液压助力转向系统</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bCs/>
                <w:color w:val="auto"/>
                <w:kern w:val="2"/>
                <w:sz w:val="28"/>
                <w:szCs w:val="28"/>
                <w:highlight w:val="none"/>
                <w:u w:val="none"/>
                <w:shd w:val="clear" w:color="auto" w:fill="auto"/>
                <w:lang w:val="en-US" w:eastAsia="zh-CN" w:bidi="ar-SA"/>
              </w:rPr>
            </w:pPr>
            <w:r>
              <w:rPr>
                <w:rFonts w:hint="eastAsia" w:ascii="仿宋" w:hAnsi="仿宋" w:eastAsia="仿宋" w:cs="仿宋"/>
                <w:snapToGrid w:val="0"/>
                <w:kern w:val="0"/>
                <w:sz w:val="28"/>
                <w:szCs w:val="28"/>
                <w:lang w:val="en-US" w:eastAsia="zh-CN"/>
              </w:rPr>
              <w:t>2.</w:t>
            </w:r>
            <w:r>
              <w:rPr>
                <w:rFonts w:hint="eastAsia" w:ascii="仿宋" w:hAnsi="仿宋" w:eastAsia="仿宋" w:cs="仿宋"/>
                <w:color w:val="auto"/>
                <w:sz w:val="28"/>
                <w:szCs w:val="28"/>
                <w:highlight w:val="none"/>
                <w:u w:val="none"/>
                <w:shd w:val="clear" w:color="auto" w:fill="auto"/>
                <w:lang w:eastAsia="zh-CN"/>
              </w:rPr>
              <w:t>双源</w:t>
            </w:r>
            <w:r>
              <w:rPr>
                <w:rFonts w:hint="eastAsia" w:ascii="仿宋" w:hAnsi="仿宋" w:eastAsia="仿宋" w:cs="仿宋"/>
                <w:color w:val="auto"/>
                <w:sz w:val="28"/>
                <w:szCs w:val="28"/>
                <w:highlight w:val="none"/>
                <w:u w:val="none"/>
                <w:shd w:val="clear" w:color="auto" w:fill="auto"/>
              </w:rPr>
              <w:t>电动液压</w:t>
            </w:r>
            <w:r>
              <w:rPr>
                <w:rFonts w:hint="eastAsia" w:ascii="仿宋" w:hAnsi="仿宋" w:eastAsia="仿宋" w:cs="仿宋"/>
                <w:color w:val="auto"/>
                <w:sz w:val="28"/>
                <w:szCs w:val="28"/>
                <w:highlight w:val="none"/>
                <w:u w:val="none"/>
                <w:shd w:val="clear" w:color="auto" w:fill="auto"/>
                <w:lang w:eastAsia="zh-CN"/>
              </w:rPr>
              <w:t>转向</w:t>
            </w:r>
            <w:r>
              <w:rPr>
                <w:rFonts w:hint="eastAsia" w:ascii="仿宋" w:hAnsi="仿宋" w:eastAsia="仿宋" w:cs="仿宋"/>
                <w:color w:val="auto"/>
                <w:sz w:val="28"/>
                <w:szCs w:val="28"/>
                <w:highlight w:val="none"/>
                <w:u w:val="none"/>
                <w:shd w:val="clear" w:color="auto" w:fill="auto"/>
              </w:rPr>
              <w:t>助力</w:t>
            </w:r>
            <w:r>
              <w:rPr>
                <w:rFonts w:hint="eastAsia" w:ascii="仿宋" w:hAnsi="仿宋" w:eastAsia="仿宋" w:cs="仿宋"/>
                <w:color w:val="auto"/>
                <w:sz w:val="28"/>
                <w:szCs w:val="28"/>
                <w:highlight w:val="none"/>
                <w:u w:val="none"/>
                <w:shd w:val="clear" w:color="auto" w:fill="auto"/>
                <w:lang w:eastAsia="zh-CN"/>
              </w:rPr>
              <w:t>泵</w:t>
            </w:r>
            <w:r>
              <w:rPr>
                <w:rFonts w:hint="eastAsia" w:ascii="仿宋" w:hAnsi="仿宋" w:eastAsia="仿宋" w:cs="仿宋"/>
                <w:snapToGrid w:val="0"/>
                <w:kern w:val="0"/>
                <w:sz w:val="28"/>
                <w:szCs w:val="28"/>
              </w:rPr>
              <w:t>质保</w:t>
            </w:r>
            <w:r>
              <w:rPr>
                <w:rFonts w:hint="eastAsia" w:ascii="仿宋" w:hAnsi="仿宋" w:eastAsia="仿宋" w:cs="仿宋"/>
                <w:snapToGrid w:val="0"/>
                <w:kern w:val="0"/>
                <w:sz w:val="28"/>
                <w:szCs w:val="28"/>
                <w:lang w:val="en-US" w:eastAsia="zh-CN"/>
              </w:rPr>
              <w:t>8</w:t>
            </w:r>
            <w:r>
              <w:rPr>
                <w:rFonts w:hint="eastAsia" w:ascii="仿宋" w:hAnsi="仿宋" w:eastAsia="仿宋" w:cs="仿宋"/>
                <w:snapToGrid w:val="0"/>
                <w:kern w:val="0"/>
                <w:sz w:val="28"/>
                <w:szCs w:val="28"/>
              </w:rPr>
              <w:t>年</w:t>
            </w:r>
            <w:r>
              <w:rPr>
                <w:rFonts w:hint="eastAsia" w:ascii="仿宋" w:hAnsi="仿宋" w:eastAsia="仿宋" w:cs="仿宋"/>
                <w:snapToGrid w:val="0"/>
                <w:kern w:val="0"/>
                <w:sz w:val="28"/>
                <w:szCs w:val="28"/>
                <w:lang w:eastAsia="zh-CN"/>
              </w:rPr>
              <w:t>（含工时及易损、易耗件），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adjustRightInd w:val="0"/>
              <w:snapToGrid w:val="0"/>
              <w:jc w:val="center"/>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车桥</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前桥额定载荷≥</w:t>
            </w:r>
            <w:r>
              <w:rPr>
                <w:rFonts w:hint="eastAsia" w:ascii="仿宋" w:hAnsi="仿宋" w:eastAsia="仿宋" w:cs="仿宋"/>
                <w:color w:val="auto"/>
                <w:sz w:val="28"/>
                <w:szCs w:val="28"/>
                <w:highlight w:val="none"/>
                <w:u w:val="none"/>
                <w:shd w:val="clear" w:color="auto" w:fill="auto"/>
                <w:lang w:val="en-US" w:eastAsia="zh-CN"/>
              </w:rPr>
              <w:t>4.2</w:t>
            </w:r>
            <w:r>
              <w:rPr>
                <w:rFonts w:hint="eastAsia" w:ascii="仿宋" w:hAnsi="仿宋" w:eastAsia="仿宋" w:cs="仿宋"/>
                <w:color w:val="auto"/>
                <w:sz w:val="28"/>
                <w:szCs w:val="28"/>
                <w:highlight w:val="none"/>
                <w:u w:val="none"/>
                <w:shd w:val="clear" w:color="auto" w:fill="auto"/>
              </w:rPr>
              <w:t>T；盘式制动器；免维护专用车桥，车桥必须与免维护轮毂总成相匹配，便于制动盘、制动蹄铁总成的拆卸和安装。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2.方向机、</w:t>
            </w:r>
            <w:r>
              <w:rPr>
                <w:rFonts w:hint="eastAsia" w:ascii="仿宋" w:hAnsi="仿宋" w:eastAsia="仿宋" w:cs="仿宋"/>
                <w:color w:val="auto"/>
                <w:sz w:val="28"/>
                <w:szCs w:val="28"/>
                <w:highlight w:val="none"/>
                <w:u w:val="none"/>
                <w:shd w:val="clear" w:color="auto" w:fill="auto"/>
              </w:rPr>
              <w:t>前轴、转向臂、转向节、直臂、免维护轮毂总成免费质保8年并附承诺书原件，主销、拉杆、接头免费质保5年并附承诺书原件。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lang w:val="en-US" w:eastAsia="zh-CN"/>
              </w:rPr>
              <w:t>3.后桥额定载荷≥7.5T；新能源专用主减，盘式制动器，免维</w:t>
            </w:r>
            <w:r>
              <w:rPr>
                <w:rFonts w:hint="eastAsia" w:ascii="仿宋" w:hAnsi="仿宋" w:eastAsia="仿宋" w:cs="仿宋"/>
                <w:b w:val="0"/>
                <w:color w:val="auto"/>
                <w:kern w:val="2"/>
                <w:sz w:val="28"/>
                <w:szCs w:val="28"/>
                <w:highlight w:val="none"/>
                <w:u w:val="none"/>
                <w:shd w:val="clear" w:color="auto" w:fill="auto"/>
                <w:lang w:val="en-US" w:eastAsia="zh-CN" w:bidi="ar-SA"/>
              </w:rPr>
              <w:t>护专用车桥，车桥必须与免维护轮毂总成相匹配，便于制动盘、制动蹄铁总成的拆卸和安装。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color w:val="auto"/>
                <w:kern w:val="2"/>
                <w:sz w:val="28"/>
                <w:szCs w:val="28"/>
                <w:highlight w:val="none"/>
                <w:u w:val="none"/>
                <w:shd w:val="clear" w:color="auto" w:fill="auto"/>
                <w:lang w:val="en-US" w:eastAsia="zh-CN" w:bidi="ar-SA"/>
              </w:rPr>
            </w:pPr>
            <w:r>
              <w:rPr>
                <w:rFonts w:hint="eastAsia" w:ascii="仿宋" w:hAnsi="仿宋" w:eastAsia="仿宋" w:cs="仿宋"/>
                <w:b w:val="0"/>
                <w:color w:val="auto"/>
                <w:kern w:val="2"/>
                <w:sz w:val="28"/>
                <w:szCs w:val="28"/>
                <w:highlight w:val="none"/>
                <w:u w:val="none"/>
                <w:shd w:val="clear" w:color="auto" w:fill="auto"/>
                <w:lang w:val="en-US" w:eastAsia="zh-CN" w:bidi="ar-SA"/>
              </w:rPr>
              <w:t>4.前盘后盘制动器；进口ABS或EBS 。</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val="0"/>
                <w:color w:val="auto"/>
                <w:kern w:val="2"/>
                <w:sz w:val="28"/>
                <w:szCs w:val="28"/>
                <w:highlight w:val="none"/>
                <w:u w:val="none"/>
                <w:shd w:val="clear" w:color="auto" w:fill="auto"/>
                <w:lang w:val="en-US" w:eastAsia="zh-CN" w:bidi="ar-SA"/>
              </w:rPr>
              <w:t>5.主减器、半轴、桥壳、免维护轮毂总成免费质保8年（含易损件），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制动系统</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1.采用双管路气制动，应有干燥冷却功能，并能自动排气净化油水；制动总阀的制动灯应安装继电器保护开关；要求总泵安装位置拆卸方便。</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2.各类阀类采用国内优质品牌，制动管路采用优质钢管或尼龙管。</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3.带ABS或EBS防抱死制动系统。</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4.制动器采用前后盘式制动。</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5.空气干燥罐、储气罐安装整车CAN总线控制的自动化的排水阀，安装CAN总线控制的大排量冷凝器（质保8年，含易损易耗件）。</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集中润滑系统质保八年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lang w:val="en-US" w:eastAsia="zh-CN"/>
              </w:rPr>
              <w:t>投标人须中标后10天内提交质保承诺书，质保期承诺须</w:t>
            </w:r>
            <w:r>
              <w:rPr>
                <w:rFonts w:hint="eastAsia" w:ascii="仿宋" w:hAnsi="仿宋" w:eastAsia="仿宋" w:cs="仿宋"/>
                <w:color w:val="auto"/>
                <w:sz w:val="28"/>
                <w:szCs w:val="28"/>
                <w:highlight w:val="none"/>
                <w:u w:val="none"/>
              </w:rPr>
              <w:t>由配套产品厂家和车辆制造厂家共同书面承诺。</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.采用弹簧储能制动，手控操纵。</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.车辆应有解除储能制动的外接气源快速接口，在车辆无气抛锚时，能方便接进气源，解除储能制动。</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9</w:t>
            </w:r>
            <w:r>
              <w:rPr>
                <w:rFonts w:hint="eastAsia" w:ascii="仿宋" w:hAnsi="仿宋" w:eastAsia="仿宋" w:cs="仿宋"/>
                <w:color w:val="auto"/>
                <w:sz w:val="28"/>
                <w:szCs w:val="28"/>
                <w:highlight w:val="none"/>
                <w:u w:val="none"/>
              </w:rPr>
              <w:t>.管路系统应进行保压试验，达到国家标准要求。</w:t>
            </w:r>
          </w:p>
          <w:p>
            <w:pPr>
              <w:adjustRightInd w:val="0"/>
              <w:snapToGrid w:val="0"/>
              <w:spacing w:line="320" w:lineRule="exact"/>
              <w:jc w:val="left"/>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.制动系低压报警灯、蜂鸣器集成于仪表，具备声光报警。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2261"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最大总质量、装备质量、载客量</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投标车辆的最大总质量、整备质量、额定载客数等数据应与工业与信息化部发布的道路机动车辆生产企业及产品公告一致。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拖 车 钩</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rPr>
              <w:t>拖车钩应坚固，保证拖车转弯时不碰擦外蒙皮，拖车钩的位置应满足在拖车时保持车辆左右平衡，方便托举和拖动。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Cs/>
                <w:color w:val="auto"/>
                <w:sz w:val="28"/>
                <w:szCs w:val="28"/>
                <w:highlight w:val="none"/>
                <w:lang w:eastAsia="zh-CN"/>
              </w:rPr>
              <w:t>悬</w:t>
            </w:r>
            <w:r>
              <w:rPr>
                <w:rFonts w:hint="eastAsia" w:ascii="仿宋" w:hAnsi="仿宋" w:eastAsia="仿宋" w:cs="仿宋"/>
                <w:bCs/>
                <w:color w:val="auto"/>
                <w:sz w:val="28"/>
                <w:szCs w:val="28"/>
                <w:highlight w:val="none"/>
                <w:lang w:val="en-US" w:eastAsia="zh-CN"/>
              </w:rPr>
              <w:t xml:space="preserve"> </w:t>
            </w:r>
            <w:r>
              <w:rPr>
                <w:rFonts w:hint="eastAsia" w:ascii="仿宋" w:hAnsi="仿宋" w:eastAsia="仿宋" w:cs="仿宋"/>
                <w:bCs/>
                <w:color w:val="auto"/>
                <w:sz w:val="28"/>
                <w:szCs w:val="28"/>
                <w:highlight w:val="none"/>
                <w:lang w:eastAsia="zh-CN"/>
              </w:rPr>
              <w:t>架</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1.采用板簧悬架或空气悬架。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悬架系统质保</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lang w:val="en-US" w:eastAsia="zh-CN"/>
              </w:rPr>
              <w:t>投标人须中标后10天内提交质保承诺书，质保期承诺须</w:t>
            </w:r>
            <w:r>
              <w:rPr>
                <w:rFonts w:hint="eastAsia" w:ascii="仿宋" w:hAnsi="仿宋" w:eastAsia="仿宋" w:cs="仿宋"/>
                <w:color w:val="auto"/>
                <w:sz w:val="28"/>
                <w:szCs w:val="28"/>
                <w:highlight w:val="none"/>
                <w:u w:val="none"/>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轮胎、车轮</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公交专用子午线</w:t>
            </w:r>
            <w:r>
              <w:rPr>
                <w:rFonts w:hint="eastAsia" w:ascii="仿宋" w:hAnsi="仿宋" w:eastAsia="仿宋" w:cs="仿宋"/>
                <w:color w:val="auto"/>
                <w:sz w:val="28"/>
                <w:szCs w:val="28"/>
                <w:highlight w:val="none"/>
                <w:u w:val="none"/>
                <w:shd w:val="clear" w:color="auto" w:fill="auto"/>
                <w:lang w:eastAsia="zh-CN"/>
              </w:rPr>
              <w:t>全钢</w:t>
            </w:r>
            <w:r>
              <w:rPr>
                <w:rFonts w:hint="eastAsia" w:ascii="仿宋" w:hAnsi="仿宋" w:eastAsia="仿宋" w:cs="仿宋"/>
                <w:color w:val="auto"/>
                <w:sz w:val="28"/>
                <w:szCs w:val="28"/>
                <w:highlight w:val="none"/>
                <w:u w:val="none"/>
                <w:shd w:val="clear" w:color="auto" w:fill="auto"/>
              </w:rPr>
              <w:t>真空胎</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铝合金轮辋（质保</w:t>
            </w:r>
            <w:r>
              <w:rPr>
                <w:rFonts w:hint="eastAsia" w:ascii="仿宋" w:hAnsi="仿宋" w:eastAsia="仿宋" w:cs="仿宋"/>
                <w:color w:val="auto"/>
                <w:sz w:val="28"/>
                <w:szCs w:val="28"/>
                <w:highlight w:val="none"/>
                <w:u w:val="none"/>
                <w:shd w:val="clear" w:color="auto" w:fill="auto"/>
                <w:lang w:val="en-US" w:eastAsia="zh-CN"/>
              </w:rPr>
              <w:t>8年</w:t>
            </w:r>
            <w:r>
              <w:rPr>
                <w:rFonts w:hint="eastAsia" w:ascii="仿宋" w:hAnsi="仿宋" w:eastAsia="仿宋" w:cs="仿宋"/>
                <w:color w:val="auto"/>
                <w:sz w:val="28"/>
                <w:szCs w:val="28"/>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highlight w:val="yellow"/>
                <w:lang w:val="en-US" w:eastAsia="zh-CN" w:bidi="ar-SA"/>
              </w:rPr>
            </w:pPr>
            <w:r>
              <w:rPr>
                <w:rFonts w:hint="eastAsia" w:ascii="仿宋" w:hAnsi="仿宋" w:eastAsia="仿宋" w:cs="仿宋"/>
                <w:sz w:val="28"/>
                <w:szCs w:val="28"/>
                <w:highlight w:val="none"/>
              </w:rPr>
              <w:t>主动安全系统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要求具备驱动防滑功能，通过调节驱动车轮的牵引力实现对驱动车轮滑转的控制，保持最佳的驱动力。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要求具备油门防误踩功能，通过判断油门踏板异常的速度和幅度，有效控制驱动力输出，提升行车安全性。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
                <w:bCs w:val="0"/>
                <w:color w:val="auto"/>
                <w:sz w:val="28"/>
                <w:szCs w:val="28"/>
                <w:highlight w:val="none"/>
                <w:u w:val="none"/>
                <w:lang w:val="en-US" w:eastAsia="zh-CN"/>
              </w:rPr>
              <w:t>4.电气系统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电气线路设计安装要求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rPr>
              <w:t>整</w:t>
            </w:r>
            <w:r>
              <w:rPr>
                <w:rFonts w:hint="eastAsia" w:ascii="仿宋" w:hAnsi="仿宋" w:eastAsia="仿宋" w:cs="仿宋"/>
                <w:color w:val="auto"/>
                <w:sz w:val="28"/>
                <w:szCs w:val="28"/>
                <w:highlight w:val="none"/>
                <w:u w:val="none"/>
                <w:shd w:val="clear" w:color="auto" w:fill="auto"/>
                <w:lang w:eastAsia="zh-CN"/>
              </w:rPr>
              <w:t>车</w:t>
            </w:r>
            <w:r>
              <w:rPr>
                <w:rFonts w:hint="eastAsia" w:ascii="仿宋" w:hAnsi="仿宋" w:eastAsia="仿宋" w:cs="仿宋"/>
                <w:color w:val="auto"/>
                <w:sz w:val="28"/>
                <w:szCs w:val="28"/>
                <w:highlight w:val="none"/>
                <w:u w:val="none"/>
                <w:shd w:val="clear" w:color="auto" w:fill="auto"/>
              </w:rPr>
              <w:t>电路设计符合车辆安全技术要求，所有电路应设置独立保护装置，空调线束和接插件必须使用进口</w:t>
            </w:r>
            <w:r>
              <w:rPr>
                <w:rFonts w:hint="eastAsia" w:ascii="仿宋" w:hAnsi="仿宋" w:eastAsia="仿宋" w:cs="仿宋"/>
                <w:color w:val="auto"/>
                <w:sz w:val="28"/>
                <w:szCs w:val="28"/>
                <w:highlight w:val="none"/>
                <w:u w:val="none"/>
                <w:shd w:val="clear" w:color="auto" w:fill="auto"/>
                <w:lang w:eastAsia="zh-CN"/>
              </w:rPr>
              <w:t>优质</w:t>
            </w:r>
            <w:r>
              <w:rPr>
                <w:rFonts w:hint="eastAsia" w:ascii="仿宋" w:hAnsi="仿宋" w:eastAsia="仿宋" w:cs="仿宋"/>
                <w:color w:val="auto"/>
                <w:sz w:val="28"/>
                <w:szCs w:val="28"/>
                <w:highlight w:val="none"/>
                <w:u w:val="none"/>
                <w:shd w:val="clear" w:color="auto" w:fill="auto"/>
              </w:rPr>
              <w:t>线束及防水接插件，各连接线接头安装应确保防水阻燃性能达到国标A-OMM/Min</w:t>
            </w:r>
            <w:r>
              <w:rPr>
                <w:rFonts w:hint="eastAsia" w:ascii="仿宋" w:hAnsi="仿宋" w:eastAsia="仿宋" w:cs="仿宋"/>
                <w:color w:val="auto"/>
                <w:sz w:val="28"/>
                <w:szCs w:val="28"/>
                <w:highlight w:val="none"/>
                <w:u w:val="none"/>
                <w:shd w:val="clear" w:color="auto" w:fill="auto"/>
                <w:lang w:eastAsia="zh-CN"/>
              </w:rPr>
              <w:t>，具体要求如下：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采用耐高温辐照阻燃电线（1</w:t>
            </w:r>
            <w:r>
              <w:rPr>
                <w:rFonts w:hint="eastAsia" w:ascii="仿宋" w:hAnsi="仿宋" w:eastAsia="仿宋" w:cs="仿宋"/>
                <w:color w:val="auto"/>
                <w:sz w:val="28"/>
                <w:szCs w:val="28"/>
                <w:highlight w:val="none"/>
                <w:u w:val="none"/>
                <w:shd w:val="clear" w:color="auto" w:fill="auto"/>
                <w:lang w:val="en-US" w:eastAsia="zh-CN"/>
              </w:rPr>
              <w:t>0</w:t>
            </w:r>
            <w:r>
              <w:rPr>
                <w:rFonts w:hint="eastAsia" w:ascii="仿宋" w:hAnsi="仿宋" w:eastAsia="仿宋" w:cs="仿宋"/>
                <w:color w:val="auto"/>
                <w:sz w:val="28"/>
                <w:szCs w:val="28"/>
                <w:highlight w:val="none"/>
                <w:u w:val="none"/>
                <w:shd w:val="clear" w:color="auto" w:fill="auto"/>
              </w:rPr>
              <w:t>5</w:t>
            </w:r>
            <w:r>
              <w:rPr>
                <w:rFonts w:hint="eastAsia" w:ascii="仿宋" w:hAnsi="仿宋" w:eastAsia="仿宋" w:cs="仿宋"/>
                <w:color w:val="auto"/>
                <w:sz w:val="28"/>
                <w:szCs w:val="28"/>
                <w:highlight w:val="none"/>
                <w:u w:val="none"/>
                <w:shd w:val="clear" w:color="auto" w:fill="auto"/>
                <w:vertAlign w:val="superscript"/>
              </w:rPr>
              <w:t>O</w:t>
            </w:r>
            <w:r>
              <w:rPr>
                <w:rFonts w:hint="eastAsia" w:ascii="仿宋" w:hAnsi="仿宋" w:eastAsia="仿宋" w:cs="仿宋"/>
                <w:color w:val="auto"/>
                <w:sz w:val="28"/>
                <w:szCs w:val="28"/>
                <w:highlight w:val="none"/>
                <w:u w:val="none"/>
                <w:shd w:val="clear" w:color="auto" w:fill="auto"/>
              </w:rPr>
              <w:t>C</w:t>
            </w:r>
            <w:r>
              <w:rPr>
                <w:rFonts w:hint="eastAsia" w:ascii="仿宋" w:hAnsi="仿宋" w:eastAsia="仿宋" w:cs="仿宋"/>
                <w:color w:val="auto"/>
                <w:sz w:val="28"/>
                <w:szCs w:val="28"/>
                <w:highlight w:val="none"/>
                <w:u w:val="none"/>
                <w:shd w:val="clear" w:color="auto" w:fill="auto"/>
                <w:lang w:eastAsia="zh-CN"/>
              </w:rPr>
              <w:t>以上</w:t>
            </w:r>
            <w:r>
              <w:rPr>
                <w:rFonts w:hint="eastAsia" w:ascii="仿宋" w:hAnsi="仿宋" w:eastAsia="仿宋" w:cs="仿宋"/>
                <w:color w:val="auto"/>
                <w:sz w:val="28"/>
                <w:szCs w:val="28"/>
                <w:highlight w:val="none"/>
                <w:u w:val="none"/>
                <w:shd w:val="clear" w:color="auto" w:fill="auto"/>
              </w:rPr>
              <w:t>）。导线允许的最大电流，要在根据用电设备计算出的最大电流基础上留有</w:t>
            </w:r>
            <w:r>
              <w:rPr>
                <w:rFonts w:hint="eastAsia" w:ascii="仿宋" w:hAnsi="仿宋" w:eastAsia="仿宋" w:cs="仿宋"/>
                <w:color w:val="auto"/>
                <w:sz w:val="28"/>
                <w:szCs w:val="28"/>
                <w:highlight w:val="none"/>
                <w:u w:val="none"/>
                <w:shd w:val="clear" w:color="auto" w:fill="auto"/>
                <w:lang w:eastAsia="zh-CN"/>
              </w:rPr>
              <w:t>足够</w:t>
            </w:r>
            <w:r>
              <w:rPr>
                <w:rFonts w:hint="eastAsia" w:ascii="仿宋" w:hAnsi="仿宋" w:eastAsia="仿宋" w:cs="仿宋"/>
                <w:color w:val="auto"/>
                <w:sz w:val="28"/>
                <w:szCs w:val="28"/>
                <w:highlight w:val="none"/>
                <w:u w:val="none"/>
                <w:shd w:val="clear" w:color="auto" w:fill="auto"/>
              </w:rPr>
              <w:t>的安全系数。</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各用电器线路设有相应的保险保护系统电气线路走向合理。导线应分色，有线号。线束要捆扎牢靠并有绝缘防护套，打有套号。</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线束通过梁、板孔时，应有绝缘防护圈，与其它物体固定时要用尼龙扎带，不允许线束与油、气、水管捆扎在一起。</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采用优质防水型电器插接件，插接件连接可靠，要有防插错措施。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保险、开关、继电器、灯泡工作可靠，耐用，开关等表面件还应美观。</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6.</w:t>
            </w:r>
            <w:r>
              <w:rPr>
                <w:rFonts w:hint="eastAsia" w:ascii="仿宋" w:hAnsi="仿宋" w:eastAsia="仿宋" w:cs="仿宋"/>
                <w:color w:val="auto"/>
                <w:sz w:val="28"/>
                <w:szCs w:val="28"/>
                <w:highlight w:val="none"/>
                <w:u w:val="none"/>
                <w:shd w:val="clear" w:color="auto" w:fill="auto"/>
              </w:rPr>
              <w:t>中控器应防尘防水，安装在车厢内。</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7.</w:t>
            </w:r>
            <w:r>
              <w:rPr>
                <w:rFonts w:hint="eastAsia" w:ascii="仿宋" w:hAnsi="仿宋" w:eastAsia="仿宋" w:cs="仿宋"/>
                <w:color w:val="auto"/>
                <w:sz w:val="28"/>
                <w:szCs w:val="28"/>
                <w:highlight w:val="none"/>
                <w:u w:val="none"/>
                <w:shd w:val="clear" w:color="auto" w:fill="auto"/>
              </w:rPr>
              <w:t>靠近电瓶处安装便于驾驶员操作的总电源机械</w:t>
            </w:r>
            <w:r>
              <w:rPr>
                <w:rFonts w:hint="eastAsia" w:ascii="仿宋" w:hAnsi="仿宋" w:eastAsia="仿宋" w:cs="仿宋"/>
                <w:color w:val="auto"/>
                <w:sz w:val="28"/>
                <w:szCs w:val="28"/>
                <w:highlight w:val="none"/>
                <w:u w:val="none"/>
                <w:shd w:val="clear" w:color="auto" w:fill="auto"/>
                <w:lang w:eastAsia="zh-CN"/>
              </w:rPr>
              <w:t>开关</w:t>
            </w:r>
            <w:r>
              <w:rPr>
                <w:rFonts w:hint="eastAsia" w:ascii="仿宋" w:hAnsi="仿宋" w:eastAsia="仿宋" w:cs="仿宋"/>
                <w:color w:val="auto"/>
                <w:sz w:val="28"/>
                <w:szCs w:val="28"/>
                <w:highlight w:val="none"/>
                <w:u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8.</w:t>
            </w:r>
            <w:r>
              <w:rPr>
                <w:rFonts w:hint="eastAsia" w:ascii="仿宋" w:hAnsi="仿宋" w:eastAsia="仿宋" w:cs="仿宋"/>
                <w:color w:val="auto"/>
                <w:sz w:val="28"/>
                <w:szCs w:val="28"/>
                <w:highlight w:val="none"/>
                <w:u w:val="none"/>
                <w:shd w:val="clear" w:color="auto" w:fill="auto"/>
              </w:rPr>
              <w:t>全车线束及中央电器控制盒、电瓶线，线芯、阻燃性能符合国家标准。</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9.</w:t>
            </w:r>
            <w:r>
              <w:rPr>
                <w:rFonts w:hint="eastAsia" w:ascii="仿宋" w:hAnsi="仿宋" w:eastAsia="仿宋" w:cs="仿宋"/>
                <w:color w:val="auto"/>
                <w:sz w:val="28"/>
                <w:szCs w:val="28"/>
                <w:highlight w:val="none"/>
                <w:u w:val="none"/>
                <w:shd w:val="clear" w:color="auto" w:fill="auto"/>
              </w:rPr>
              <w:t>按汽车公告目录要求配置蓄电池。</w:t>
            </w:r>
            <w:r>
              <w:rPr>
                <w:rFonts w:hint="eastAsia" w:ascii="仿宋" w:hAnsi="仿宋" w:eastAsia="仿宋" w:cs="仿宋"/>
                <w:color w:val="auto"/>
                <w:sz w:val="28"/>
                <w:szCs w:val="28"/>
                <w:highlight w:val="none"/>
                <w:u w:val="none"/>
              </w:rPr>
              <w:t>采用</w:t>
            </w:r>
            <w:r>
              <w:rPr>
                <w:rFonts w:hint="eastAsia" w:ascii="仿宋" w:hAnsi="仿宋" w:eastAsia="仿宋" w:cs="仿宋"/>
                <w:color w:val="auto"/>
                <w:sz w:val="28"/>
                <w:szCs w:val="28"/>
                <w:highlight w:val="none"/>
                <w:u w:val="none"/>
                <w:shd w:val="clear" w:color="auto" w:fill="auto"/>
              </w:rPr>
              <w:t>免维护蓄电池，加装大容量熔断器；蓄电池能方便更换，锁止可靠，安装合理。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前后大小灯</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美观大方，便于维护。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转向指示灯开关</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除在方向盘下的组合开关外，在仪表台上再设一套翘板开关，两套应能并用。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前风窗玻璃刮水器</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两速雨刮电机</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刮臂和刮片长短与前风挡高度匹配良好，工作稳定可靠。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yellow"/>
                <w:u w:val="none"/>
                <w:shd w:val="clear" w:color="auto" w:fill="auto"/>
              </w:rPr>
            </w:pPr>
            <w:r>
              <w:rPr>
                <w:rFonts w:hint="eastAsia" w:ascii="仿宋" w:hAnsi="仿宋" w:eastAsia="仿宋" w:cs="仿宋"/>
                <w:b/>
                <w:bCs w:val="0"/>
                <w:color w:val="auto"/>
                <w:sz w:val="28"/>
                <w:szCs w:val="28"/>
                <w:highlight w:val="none"/>
                <w:u w:val="none"/>
                <w:lang w:val="en-US" w:eastAsia="zh-CN"/>
              </w:rPr>
              <w:t>5.车身系统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承载要求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全承载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防腐要求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整车骨架与蒙皮、骨架与地板等接合缝处采用聚氨酯密封胶进行密封防水防锈处理</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整车防腐效果达到8年及以上，并附承诺书原件。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rPr>
              <w:t>车身舱门、前后轮拱</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车身左右侧边门采用翻开式，机械锁和气压支撑杆检修门结构，并装有胶垫防震、检修门铰链。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舱门美观牢固，开启方便，锁止可靠，门与车身蒙皮缝隙均匀，液压撑杆支撑力要满足支撑检修门要求，确保安全稳定，在侧围检修门和客车骨架之间增装保险绳（挂钩或钢丝绳或链）。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为方便雨刷器等部件的检修与拆装，在客车前围处设置有专用检修门，凡需检修的部位都应开设工作门或检修窗。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前后轮拱区域应有密封防腐处理，保证骨架不外露、不藏水，轮罩和挡泥板均喷阻尼胶。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车身色彩图案</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中标后由</w:t>
            </w:r>
            <w:r>
              <w:rPr>
                <w:rFonts w:hint="eastAsia" w:ascii="仿宋" w:hAnsi="仿宋" w:eastAsia="仿宋" w:cs="仿宋"/>
                <w:color w:val="auto"/>
                <w:sz w:val="28"/>
                <w:szCs w:val="28"/>
                <w:highlight w:val="none"/>
                <w:u w:val="none"/>
                <w:shd w:val="clear" w:color="auto" w:fill="auto"/>
                <w:lang w:eastAsia="zh-CN"/>
              </w:rPr>
              <w:t>采购人</w:t>
            </w:r>
            <w:r>
              <w:rPr>
                <w:rFonts w:hint="eastAsia" w:ascii="仿宋" w:hAnsi="仿宋" w:eastAsia="仿宋" w:cs="仿宋"/>
                <w:color w:val="auto"/>
                <w:sz w:val="28"/>
                <w:szCs w:val="28"/>
                <w:highlight w:val="none"/>
                <w:u w:val="none"/>
                <w:shd w:val="clear" w:color="auto" w:fill="auto"/>
              </w:rPr>
              <w:t>确定。</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采用优质漆。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bCs/>
                <w:color w:val="auto"/>
                <w:sz w:val="28"/>
                <w:szCs w:val="28"/>
                <w:lang w:eastAsia="zh-CN"/>
              </w:rPr>
              <w:t>前围部分</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玻璃钢或薄钢板冲压成型。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车前部安装电蜗牛喇叭</w:t>
            </w:r>
            <w:r>
              <w:rPr>
                <w:rFonts w:hint="eastAsia" w:ascii="仿宋" w:hAnsi="仿宋" w:eastAsia="仿宋" w:cs="仿宋"/>
                <w:sz w:val="28"/>
                <w:szCs w:val="28"/>
                <w:lang w:eastAsia="zh-CN"/>
              </w:rPr>
              <w:t>及外音播报喇叭。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前风窗采用双曲面全景夹胶安全玻璃，透光率70%以上</w:t>
            </w:r>
            <w:r>
              <w:rPr>
                <w:rFonts w:hint="eastAsia" w:ascii="仿宋" w:hAnsi="仿宋" w:eastAsia="仿宋" w:cs="仿宋"/>
                <w:sz w:val="28"/>
                <w:szCs w:val="28"/>
                <w:lang w:eastAsia="zh-CN"/>
              </w:rPr>
              <w:t>，</w:t>
            </w:r>
            <w:r>
              <w:rPr>
                <w:rFonts w:hint="eastAsia" w:ascii="仿宋" w:hAnsi="仿宋" w:eastAsia="仿宋" w:cs="仿宋"/>
                <w:sz w:val="28"/>
                <w:szCs w:val="28"/>
              </w:rPr>
              <w:t>直接粘贴在风窗框上，接缝处粘贴平顺美观。驾驶员侧、前装上下拉遮阳帘。</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.侧窗采用粘贴式内嵌推拉窗，下固定，上推拉。侧窗不配窗帘布，使用有色玻璃，颜色由采购方商定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前档遮阳帘</w:t>
            </w:r>
            <w:r>
              <w:rPr>
                <w:rFonts w:hint="eastAsia" w:ascii="仿宋" w:hAnsi="仿宋" w:eastAsia="仿宋" w:cs="仿宋"/>
                <w:sz w:val="28"/>
                <w:szCs w:val="28"/>
                <w:lang w:eastAsia="zh-CN"/>
              </w:rPr>
              <w:t>：</w:t>
            </w:r>
            <w:r>
              <w:rPr>
                <w:rFonts w:hint="eastAsia" w:ascii="仿宋" w:hAnsi="仿宋" w:eastAsia="仿宋" w:cs="仿宋"/>
                <w:sz w:val="28"/>
                <w:szCs w:val="28"/>
              </w:rPr>
              <w:t>手动单幅下拉自锁式。</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司机遮阳帘</w:t>
            </w:r>
            <w:r>
              <w:rPr>
                <w:rFonts w:hint="eastAsia" w:ascii="仿宋" w:hAnsi="仿宋" w:eastAsia="仿宋" w:cs="仿宋"/>
                <w:sz w:val="28"/>
                <w:szCs w:val="28"/>
                <w:lang w:eastAsia="zh-CN"/>
              </w:rPr>
              <w:t>：</w:t>
            </w:r>
            <w:r>
              <w:rPr>
                <w:rFonts w:hint="eastAsia" w:ascii="仿宋" w:hAnsi="仿宋" w:eastAsia="仿宋" w:cs="仿宋"/>
                <w:sz w:val="28"/>
                <w:szCs w:val="28"/>
              </w:rPr>
              <w:t>下拉自锁式司机遮阳帘。</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车头喷“台州公交”字样、车身侧面喷单位全称、logo及投诉举报电话，标准规范由</w:t>
            </w:r>
            <w:r>
              <w:rPr>
                <w:rFonts w:hint="eastAsia" w:ascii="仿宋" w:hAnsi="仿宋" w:eastAsia="仿宋" w:cs="仿宋"/>
                <w:sz w:val="28"/>
                <w:szCs w:val="28"/>
                <w:lang w:eastAsia="zh-CN"/>
              </w:rPr>
              <w:t>采购人</w:t>
            </w:r>
            <w:r>
              <w:rPr>
                <w:rFonts w:hint="eastAsia" w:ascii="仿宋" w:hAnsi="仿宋" w:eastAsia="仿宋" w:cs="仿宋"/>
                <w:sz w:val="28"/>
                <w:szCs w:val="28"/>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后围部分</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玻璃钢或薄钢板冲压成型。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后挡风玻璃</w:t>
            </w:r>
            <w:r>
              <w:rPr>
                <w:rFonts w:hint="eastAsia" w:ascii="仿宋" w:hAnsi="仿宋" w:eastAsia="仿宋" w:cs="仿宋"/>
                <w:color w:val="auto"/>
                <w:sz w:val="28"/>
                <w:szCs w:val="28"/>
                <w:highlight w:val="none"/>
                <w:u w:val="none"/>
                <w:shd w:val="clear" w:color="auto" w:fill="auto"/>
                <w:lang w:eastAsia="zh-CN"/>
              </w:rPr>
              <w:t>采用钢化玻璃</w:t>
            </w:r>
            <w:r>
              <w:rPr>
                <w:rFonts w:hint="eastAsia" w:ascii="仿宋" w:hAnsi="仿宋" w:eastAsia="仿宋" w:cs="仿宋"/>
                <w:color w:val="auto"/>
                <w:sz w:val="28"/>
                <w:szCs w:val="28"/>
                <w:highlight w:val="none"/>
                <w:u w:val="none"/>
                <w:shd w:val="clear" w:color="auto" w:fill="auto"/>
              </w:rPr>
              <w:t>，</w:t>
            </w:r>
            <w:r>
              <w:rPr>
                <w:rFonts w:hint="eastAsia" w:ascii="仿宋" w:hAnsi="仿宋" w:eastAsia="仿宋" w:cs="仿宋"/>
                <w:color w:val="auto"/>
                <w:sz w:val="28"/>
                <w:szCs w:val="28"/>
                <w:highlight w:val="none"/>
                <w:u w:val="none"/>
                <w:shd w:val="clear" w:color="auto" w:fill="auto"/>
                <w:lang w:eastAsia="zh-CN"/>
              </w:rPr>
              <w:t>应按照采购人后广告</w:t>
            </w:r>
            <w:r>
              <w:rPr>
                <w:rFonts w:hint="eastAsia" w:ascii="仿宋" w:hAnsi="仿宋" w:eastAsia="仿宋" w:cs="仿宋"/>
                <w:color w:val="auto"/>
                <w:sz w:val="28"/>
                <w:szCs w:val="28"/>
                <w:highlight w:val="none"/>
                <w:u w:val="none"/>
                <w:shd w:val="clear" w:color="auto" w:fill="auto"/>
                <w:lang w:val="en-US" w:eastAsia="zh-CN"/>
              </w:rPr>
              <w:t>LED显示屏尺寸配置，</w:t>
            </w:r>
            <w:r>
              <w:rPr>
                <w:rFonts w:hint="eastAsia" w:ascii="仿宋" w:hAnsi="仿宋" w:eastAsia="仿宋" w:cs="仿宋"/>
                <w:color w:val="auto"/>
                <w:sz w:val="28"/>
                <w:szCs w:val="28"/>
                <w:highlight w:val="none"/>
                <w:u w:val="none"/>
                <w:shd w:val="clear" w:color="auto" w:fill="auto"/>
              </w:rPr>
              <w:t>直接粘贴在风窗框上。后风挡上不加贴或喷涂任何说明。</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上围风窗框内应考虑后路牌架，使后路牌安装后与后风窗玻璃紧贴配合良好。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小膨胀水箱在机</w:t>
            </w:r>
            <w:r>
              <w:rPr>
                <w:rFonts w:hint="eastAsia" w:ascii="仿宋" w:hAnsi="仿宋" w:eastAsia="仿宋" w:cs="仿宋"/>
                <w:color w:val="auto"/>
                <w:sz w:val="28"/>
                <w:szCs w:val="28"/>
                <w:highlight w:val="none"/>
                <w:u w:val="none"/>
                <w:shd w:val="clear" w:color="auto" w:fill="auto"/>
                <w:lang w:eastAsia="zh-CN"/>
              </w:rPr>
              <w:t>仓</w:t>
            </w:r>
            <w:r>
              <w:rPr>
                <w:rFonts w:hint="eastAsia" w:ascii="仿宋" w:hAnsi="仿宋" w:eastAsia="仿宋" w:cs="仿宋"/>
                <w:color w:val="auto"/>
                <w:sz w:val="28"/>
                <w:szCs w:val="28"/>
                <w:highlight w:val="none"/>
                <w:u w:val="none"/>
                <w:shd w:val="clear" w:color="auto" w:fill="auto"/>
              </w:rPr>
              <w:t>内布置应方便加注。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右后下方配车长牌，具体尺寸由采购方提供</w:t>
            </w:r>
            <w:r>
              <w:rPr>
                <w:rFonts w:hint="eastAsia" w:ascii="仿宋" w:hAnsi="仿宋" w:eastAsia="仿宋" w:cs="仿宋"/>
                <w:color w:val="auto"/>
                <w:sz w:val="28"/>
                <w:szCs w:val="28"/>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侧围外蒙皮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预应力涨拉蒙皮，蒙皮应做防腐、防锈蚀处理，蒙皮内侧应有隔热减振措施。蒙皮厚度不小于1mm。</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各种型材应采用国内优质产品</w:t>
            </w:r>
            <w:r>
              <w:rPr>
                <w:rFonts w:hint="eastAsia" w:ascii="仿宋" w:hAnsi="仿宋" w:eastAsia="仿宋" w:cs="仿宋"/>
                <w:color w:val="auto"/>
                <w:sz w:val="28"/>
                <w:szCs w:val="28"/>
                <w:highlight w:val="none"/>
                <w:u w:val="none"/>
                <w:shd w:val="clear" w:color="auto" w:fill="auto"/>
                <w:lang w:eastAsia="zh-CN"/>
              </w:rPr>
              <w:t>并</w:t>
            </w:r>
            <w:r>
              <w:rPr>
                <w:rFonts w:hint="eastAsia" w:ascii="仿宋" w:hAnsi="仿宋" w:eastAsia="仿宋" w:cs="仿宋"/>
                <w:color w:val="auto"/>
                <w:sz w:val="28"/>
                <w:szCs w:val="28"/>
                <w:highlight w:val="none"/>
                <w:u w:val="none"/>
                <w:shd w:val="clear" w:color="auto" w:fill="auto"/>
              </w:rPr>
              <w:t>提供</w:t>
            </w:r>
            <w:r>
              <w:rPr>
                <w:rFonts w:hint="eastAsia" w:ascii="仿宋" w:hAnsi="仿宋" w:eastAsia="仿宋" w:cs="仿宋"/>
                <w:color w:val="auto"/>
                <w:sz w:val="28"/>
                <w:szCs w:val="28"/>
                <w:highlight w:val="none"/>
                <w:u w:val="none"/>
                <w:shd w:val="clear" w:color="auto" w:fill="auto"/>
                <w:lang w:eastAsia="zh-CN"/>
              </w:rPr>
              <w:t>供货清单</w:t>
            </w:r>
            <w:r>
              <w:rPr>
                <w:rFonts w:hint="eastAsia" w:ascii="仿宋" w:hAnsi="仿宋" w:eastAsia="仿宋" w:cs="仿宋"/>
                <w:color w:val="auto"/>
                <w:sz w:val="28"/>
                <w:szCs w:val="28"/>
                <w:highlight w:val="none"/>
                <w:u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骨架</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1.骨架质保</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年（含蒙皮），</w:t>
            </w:r>
            <w:r>
              <w:rPr>
                <w:rFonts w:hint="eastAsia" w:ascii="仿宋" w:hAnsi="仿宋" w:eastAsia="仿宋" w:cs="仿宋"/>
                <w:color w:val="auto"/>
                <w:sz w:val="28"/>
                <w:szCs w:val="28"/>
                <w:highlight w:val="none"/>
                <w:u w:val="none"/>
                <w:lang w:val="en-US" w:eastAsia="zh-CN"/>
              </w:rPr>
              <w:t>投标人须在标书内提供</w:t>
            </w:r>
            <w:r>
              <w:rPr>
                <w:rFonts w:hint="eastAsia" w:ascii="仿宋" w:hAnsi="仿宋" w:eastAsia="仿宋" w:cs="仿宋"/>
                <w:color w:val="auto"/>
                <w:sz w:val="28"/>
                <w:szCs w:val="28"/>
                <w:highlight w:val="none"/>
                <w:u w:val="none"/>
              </w:rPr>
              <w:t>书面承诺。</w:t>
            </w:r>
          </w:p>
          <w:p>
            <w:pPr>
              <w:adjustRightInd w:val="0"/>
              <w:snapToGrid w:val="0"/>
              <w:spacing w:line="320" w:lineRule="exact"/>
              <w:rPr>
                <w:rFonts w:hint="eastAsia" w:ascii="仿宋" w:hAnsi="仿宋" w:eastAsia="仿宋" w:cs="仿宋"/>
                <w:strike/>
                <w:color w:val="auto"/>
                <w:sz w:val="28"/>
                <w:szCs w:val="28"/>
                <w:highlight w:val="none"/>
                <w:u w:val="none"/>
              </w:rPr>
            </w:pPr>
            <w:r>
              <w:rPr>
                <w:rFonts w:hint="eastAsia" w:ascii="仿宋" w:hAnsi="仿宋" w:eastAsia="仿宋" w:cs="仿宋"/>
                <w:color w:val="auto"/>
                <w:sz w:val="28"/>
                <w:szCs w:val="28"/>
                <w:highlight w:val="none"/>
                <w:u w:val="none"/>
                <w:lang w:eastAsia="zh-CN"/>
              </w:rPr>
              <w:t>2.</w:t>
            </w:r>
            <w:r>
              <w:rPr>
                <w:rFonts w:hint="eastAsia" w:ascii="仿宋" w:hAnsi="仿宋" w:eastAsia="仿宋" w:cs="仿宋"/>
                <w:color w:val="auto"/>
                <w:sz w:val="28"/>
                <w:szCs w:val="28"/>
                <w:highlight w:val="none"/>
                <w:u w:val="none"/>
              </w:rPr>
              <w:t>足够的强度和刚度，焊接可靠，提高整车骨架的防腐、防锈蚀性能。各种型材应采用优质产品。</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rPr>
              <w:t>3.左右侧围骨架、顶盖骨架之间充填</w:t>
            </w:r>
            <w:r>
              <w:rPr>
                <w:rFonts w:hint="eastAsia" w:ascii="仿宋" w:hAnsi="仿宋" w:eastAsia="仿宋" w:cs="仿宋"/>
                <w:color w:val="auto"/>
                <w:sz w:val="28"/>
                <w:szCs w:val="28"/>
                <w:highlight w:val="none"/>
                <w:u w:val="none"/>
                <w:lang w:val="en-US" w:eastAsia="zh-CN"/>
              </w:rPr>
              <w:t>A0级</w:t>
            </w:r>
            <w:r>
              <w:rPr>
                <w:rFonts w:hint="eastAsia" w:ascii="仿宋" w:hAnsi="仿宋" w:eastAsia="仿宋" w:cs="仿宋"/>
                <w:color w:val="auto"/>
                <w:sz w:val="28"/>
                <w:szCs w:val="28"/>
                <w:highlight w:val="none"/>
                <w:u w:val="none"/>
              </w:rPr>
              <w:t>阻燃型隔热材料，发泡层均匀厚度不得小于35mm，以保证客车的隔热性能。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安全天窗</w:t>
            </w:r>
          </w:p>
        </w:tc>
        <w:tc>
          <w:tcPr>
            <w:tcW w:w="7135" w:type="dxa"/>
            <w:noWrap w:val="0"/>
            <w:vAlign w:val="center"/>
          </w:tcPr>
          <w:p>
            <w:pP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带换气扇安全出口1只。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地板</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整车采用大平面环保阻燃PVC地板，厚度不小于18MM，符合JT/T1095等最新标准，安装工艺必须符合地板安装相关技术要求，具有无毒、防水防潮，完全阻燃性达到AO级获得国家3C强制认证。</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地板与客车底架采用胶水及专用螺栓连接，铺设区客车底架横梁加密、地板及座椅固定螺栓要求连接在横梁或替板上、紧固可靠（8年内不发生地板拱起，螺栓松脱开现象），地板各连接缝、地板与车身的接缝处应涂密封胶。</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车顶棚骨架等使用防火保温隔热材料，充分考虑当地气候特点，考虑内饰阻燃特性；产品要求防潮、抗菌、防霉、节能环保材料。技术性能必须达到 GB38262-2019《汽车内饰材料燃烧特性》，防火等级A0级。需提供国家认可机构报告。</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客舱、轮毂使用降噪材料和气凝胶防火材料，电池仓和电机仓、客舱等部分合理铺设使用气凝胶防火材料，符合GB 8624标准“燃烧性能等级，A级不燃”要求；符合JT/T 1095内饰件阻燃特性要求。</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整车采用耐磨防滑石英沙城市客车专用地板革，符合JT/T1095-2016标准，地板与地板革采用进口高强度防水专用地板革胶粘接，做到不脱胶、不起泡、不开裂。地板革与地板是采用焊接拼接，接缝处剔割平整。</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前后乘客门踏步区域采用黄色踏步专用地板革，并标明“禁止站立”字样。</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地板应设有检修孔和盖板，检修盖板拉手隐性结构</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地板上的检修舱口盖压边框为整体式铝型材，采用双层密封结构。。</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车厢内各阴阳角拼缝处采用铝合金型材拼压或地板革焊接工艺，直角拼缝处采用磨光45°对接，圆弧拼缝处则可采用成型或锯齿状弯曲拼压，确保拼压平整贴服，地板革折边高于地板水平面10CM以上；车身围板下沿采用15cm不锈钢板围裙踢脚。</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9.</w:t>
            </w:r>
            <w:r>
              <w:rPr>
                <w:rFonts w:hint="eastAsia" w:ascii="仿宋" w:hAnsi="仿宋" w:eastAsia="仿宋" w:cs="仿宋"/>
                <w:color w:val="auto"/>
                <w:sz w:val="28"/>
                <w:szCs w:val="28"/>
                <w:highlight w:val="none"/>
                <w:u w:val="none"/>
              </w:rPr>
              <w:t>地板革颜色应与整车内饰协调。</w:t>
            </w:r>
          </w:p>
          <w:p>
            <w:pPr>
              <w:adjustRightInd w:val="0"/>
              <w:snapToGrid w:val="0"/>
              <w:spacing w:line="320" w:lineRule="exac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地板、地板革质保8年，并附承诺书原件。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车门</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内摆式乘客门</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加强型铝合金门板，门玻璃为钢化玻璃，乘客门下带防夹脚设置。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乘客门关闭时应装有</w:t>
            </w:r>
            <w:r>
              <w:rPr>
                <w:rFonts w:hint="eastAsia" w:ascii="仿宋" w:hAnsi="仿宋" w:eastAsia="仿宋" w:cs="仿宋"/>
                <w:strike w:val="0"/>
                <w:dstrike w:val="0"/>
                <w:color w:val="auto"/>
                <w:sz w:val="28"/>
                <w:szCs w:val="28"/>
                <w:highlight w:val="none"/>
                <w:u w:val="none"/>
              </w:rPr>
              <w:t>气嚢</w:t>
            </w:r>
            <w:r>
              <w:rPr>
                <w:rFonts w:hint="eastAsia" w:ascii="仿宋" w:hAnsi="仿宋" w:eastAsia="仿宋" w:cs="仿宋"/>
                <w:color w:val="auto"/>
                <w:sz w:val="28"/>
                <w:szCs w:val="28"/>
                <w:highlight w:val="none"/>
                <w:u w:val="none"/>
              </w:rPr>
              <w:t>防夹装置。后门防夹提示需采用铝片，并用铆钉固定，要求字迹清晰。乘客门在开启状况时，门外缘距车身外缘不大于100 mm，前门后、后前后门立柱装防护装置</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全车应有门锁装置。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门泵驱动系统采用电控气动方式，采用进口电磁阀、继电器和气缸，在仪表台适当位置设置乘客门应急打开气动控制阀开关，并在每个乘客门内外处和车外必须装紧急开关，以备紧急使用；门泵带自动气水分离装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.车辆停稳前不允许开门，车辆门没关闭不允许起步，车速达到5码以上不能打开车门。</w:t>
            </w:r>
          </w:p>
          <w:p>
            <w:pPr>
              <w:adjustRightInd w:val="0"/>
              <w:snapToGrid w:val="0"/>
              <w:spacing w:line="320" w:lineRule="exac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乘客门</w:t>
            </w:r>
            <w:r>
              <w:rPr>
                <w:rFonts w:hint="eastAsia" w:ascii="仿宋" w:hAnsi="仿宋" w:eastAsia="仿宋" w:cs="仿宋"/>
                <w:color w:val="auto"/>
                <w:sz w:val="28"/>
                <w:szCs w:val="28"/>
                <w:highlight w:val="none"/>
                <w:u w:val="none"/>
                <w:lang w:eastAsia="zh-CN"/>
              </w:rPr>
              <w:t>系统</w:t>
            </w:r>
            <w:r>
              <w:rPr>
                <w:rFonts w:hint="eastAsia" w:ascii="仿宋" w:hAnsi="仿宋" w:eastAsia="仿宋" w:cs="仿宋"/>
                <w:color w:val="auto"/>
                <w:sz w:val="28"/>
                <w:szCs w:val="28"/>
                <w:highlight w:val="none"/>
                <w:u w:val="none"/>
              </w:rPr>
              <w:t>免费质保8年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lang w:eastAsia="zh-CN"/>
              </w:rPr>
              <w:t>车内设置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公交标识</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lang w:eastAsia="zh-CN"/>
              </w:rPr>
            </w:pPr>
            <w:r>
              <w:rPr>
                <w:rFonts w:hint="eastAsia" w:ascii="仿宋" w:hAnsi="仿宋" w:eastAsia="仿宋" w:cs="仿宋"/>
                <w:sz w:val="28"/>
                <w:szCs w:val="28"/>
                <w:lang w:val="en-US" w:eastAsia="zh-CN"/>
              </w:rPr>
              <w:t>1.</w:t>
            </w:r>
            <w:r>
              <w:rPr>
                <w:rFonts w:hint="eastAsia" w:ascii="仿宋" w:hAnsi="仿宋" w:eastAsia="仿宋" w:cs="仿宋"/>
                <w:color w:val="auto"/>
                <w:sz w:val="28"/>
                <w:szCs w:val="28"/>
                <w:highlight w:val="none"/>
                <w:u w:val="none"/>
              </w:rPr>
              <w:t>上客门、下客门、爱心专座等标识按</w:t>
            </w:r>
            <w:r>
              <w:rPr>
                <w:rFonts w:hint="eastAsia" w:ascii="仿宋" w:hAnsi="仿宋" w:eastAsia="仿宋" w:cs="仿宋"/>
                <w:color w:val="auto"/>
                <w:sz w:val="28"/>
                <w:szCs w:val="28"/>
                <w:highlight w:val="none"/>
                <w:u w:val="none"/>
                <w:lang w:eastAsia="zh-CN"/>
              </w:rPr>
              <w:t>最</w:t>
            </w:r>
            <w:r>
              <w:rPr>
                <w:rFonts w:hint="eastAsia" w:ascii="仿宋" w:hAnsi="仿宋" w:eastAsia="仿宋" w:cs="仿宋"/>
                <w:color w:val="auto"/>
                <w:sz w:val="28"/>
                <w:szCs w:val="28"/>
                <w:highlight w:val="none"/>
                <w:u w:val="none"/>
              </w:rPr>
              <w:t>新版《城市公共交通标志》标准制作</w:t>
            </w:r>
            <w:r>
              <w:rPr>
                <w:rFonts w:hint="eastAsia" w:ascii="仿宋" w:hAnsi="仿宋" w:eastAsia="仿宋" w:cs="仿宋"/>
                <w:color w:val="auto"/>
                <w:sz w:val="28"/>
                <w:szCs w:val="28"/>
                <w:highlight w:val="none"/>
                <w:u w:val="none"/>
                <w:lang w:eastAsia="zh-CN"/>
              </w:rPr>
              <w:t>。</w:t>
            </w:r>
          </w:p>
          <w:p>
            <w:pPr>
              <w:adjustRightInd w:val="0"/>
              <w:snapToGrid w:val="0"/>
              <w:spacing w:line="320" w:lineRule="exact"/>
              <w:rPr>
                <w:rFonts w:hint="eastAsia" w:ascii="仿宋" w:hAnsi="仿宋" w:eastAsia="仿宋" w:cs="仿宋"/>
                <w:kern w:val="2"/>
                <w:sz w:val="28"/>
                <w:szCs w:val="28"/>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前门处扶手杆上制作1.</w:t>
            </w: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米儿童免票标志。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车内外后视镜</w:t>
            </w:r>
          </w:p>
        </w:tc>
        <w:tc>
          <w:tcPr>
            <w:tcW w:w="7135" w:type="dxa"/>
            <w:noWrap w:val="0"/>
            <w:vAlign w:val="center"/>
          </w:tcPr>
          <w:p>
            <w:pP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普通杆式无盲区左短右长后视镜。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Cs/>
                <w:color w:val="auto"/>
                <w:sz w:val="28"/>
                <w:szCs w:val="28"/>
                <w:lang w:eastAsia="zh-CN"/>
              </w:rPr>
              <w:t>扶手杠和吊环拉手</w:t>
            </w:r>
          </w:p>
        </w:tc>
        <w:tc>
          <w:tcPr>
            <w:tcW w:w="7135"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扶手采用铝合金材质。</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2.车</w:t>
            </w:r>
            <w:r>
              <w:rPr>
                <w:rFonts w:hint="eastAsia" w:ascii="仿宋" w:hAnsi="仿宋" w:eastAsia="仿宋" w:cs="仿宋"/>
                <w:sz w:val="28"/>
                <w:szCs w:val="28"/>
              </w:rPr>
              <w:t>内两边玻璃框上装防护栏杆，</w:t>
            </w:r>
            <w:r>
              <w:rPr>
                <w:rFonts w:hint="eastAsia" w:ascii="仿宋" w:hAnsi="仿宋" w:eastAsia="仿宋" w:cs="仿宋"/>
                <w:sz w:val="28"/>
                <w:szCs w:val="28"/>
                <w:lang w:eastAsia="zh-CN"/>
              </w:rPr>
              <w:t>前操作台</w:t>
            </w:r>
            <w:r>
              <w:rPr>
                <w:rFonts w:hint="eastAsia" w:ascii="仿宋" w:hAnsi="仿宋" w:eastAsia="仿宋" w:cs="仿宋"/>
                <w:sz w:val="28"/>
                <w:szCs w:val="28"/>
              </w:rPr>
              <w:t>处安装安全防范扶手</w:t>
            </w:r>
            <w:r>
              <w:rPr>
                <w:rFonts w:hint="eastAsia" w:ascii="仿宋" w:hAnsi="仿宋" w:eastAsia="仿宋" w:cs="仿宋"/>
                <w:sz w:val="28"/>
                <w:szCs w:val="28"/>
                <w:lang w:eastAsia="zh-CN"/>
              </w:rPr>
              <w:t>，上下客门处安装上下车扶手</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w:t>
            </w:r>
            <w:r>
              <w:rPr>
                <w:rFonts w:hint="eastAsia" w:ascii="仿宋" w:hAnsi="仿宋" w:eastAsia="仿宋" w:cs="仿宋"/>
                <w:sz w:val="28"/>
                <w:szCs w:val="28"/>
              </w:rPr>
              <w:t>吊环拉手安装分布均匀、合理，只数与载客数相符</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top"/>
          </w:tcPr>
          <w:p>
            <w:pPr>
              <w:jc w:val="center"/>
              <w:rPr>
                <w:rFonts w:hint="eastAsia" w:ascii="仿宋" w:hAnsi="仿宋" w:eastAsia="仿宋" w:cs="仿宋"/>
                <w:kern w:val="0"/>
                <w:sz w:val="28"/>
                <w:szCs w:val="28"/>
                <w:lang w:val="en-US" w:eastAsia="zh-CN" w:bidi="ar-SA"/>
              </w:rPr>
            </w:pPr>
            <w:r>
              <w:rPr>
                <w:rFonts w:hint="eastAsia" w:ascii="仿宋" w:hAnsi="仿宋" w:eastAsia="仿宋" w:cs="仿宋"/>
                <w:bCs/>
                <w:color w:val="auto"/>
                <w:sz w:val="28"/>
                <w:szCs w:val="28"/>
                <w:lang w:eastAsia="zh-CN"/>
              </w:rPr>
              <w:t>下车提示按铃</w:t>
            </w:r>
          </w:p>
        </w:tc>
        <w:tc>
          <w:tcPr>
            <w:tcW w:w="7135" w:type="dxa"/>
            <w:noWrap w:val="0"/>
            <w:vAlign w:val="top"/>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配下车门停车门铃</w:t>
            </w:r>
            <w:r>
              <w:rPr>
                <w:rFonts w:hint="eastAsia" w:ascii="仿宋" w:hAnsi="仿宋" w:eastAsia="仿宋" w:cs="仿宋"/>
                <w:sz w:val="28"/>
                <w:szCs w:val="28"/>
                <w:lang w:val="en-US" w:eastAsia="zh-CN"/>
              </w:rPr>
              <w:t>4</w:t>
            </w:r>
            <w:r>
              <w:rPr>
                <w:rFonts w:hint="eastAsia" w:ascii="仿宋" w:hAnsi="仿宋" w:eastAsia="仿宋" w:cs="仿宋"/>
                <w:sz w:val="28"/>
                <w:szCs w:val="28"/>
              </w:rPr>
              <w:t>只按钮（无线门铃），语音提示</w:t>
            </w:r>
            <w:r>
              <w:rPr>
                <w:rFonts w:hint="eastAsia" w:ascii="仿宋" w:hAnsi="仿宋" w:eastAsia="仿宋" w:cs="仿宋"/>
                <w:sz w:val="28"/>
                <w:szCs w:val="28"/>
                <w:lang w:eastAsia="zh-CN"/>
              </w:rPr>
              <w:t>：您好，请开门，在车厢立柱合适位置</w:t>
            </w:r>
            <w:r>
              <w:rPr>
                <w:rFonts w:hint="eastAsia" w:ascii="仿宋" w:hAnsi="仿宋" w:eastAsia="仿宋" w:cs="仿宋"/>
                <w:sz w:val="28"/>
                <w:szCs w:val="28"/>
              </w:rPr>
              <w:t>，门铃按钮以上位置粘贴 “下车请按铃”标识</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公交座椅</w:t>
            </w:r>
          </w:p>
        </w:tc>
        <w:tc>
          <w:tcPr>
            <w:tcW w:w="7135"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座椅合理布置，采用国内优质产品</w:t>
            </w:r>
            <w:r>
              <w:rPr>
                <w:rFonts w:hint="eastAsia" w:ascii="仿宋" w:hAnsi="仿宋" w:eastAsia="仿宋" w:cs="仿宋"/>
                <w:sz w:val="28"/>
                <w:szCs w:val="28"/>
                <w:lang w:eastAsia="zh-CN"/>
              </w:rPr>
              <w:t>，</w:t>
            </w:r>
            <w:r>
              <w:rPr>
                <w:rFonts w:hint="eastAsia" w:ascii="仿宋" w:hAnsi="仿宋" w:eastAsia="仿宋" w:cs="仿宋"/>
                <w:sz w:val="28"/>
                <w:szCs w:val="28"/>
              </w:rPr>
              <w:t>配用尼龙注塑座椅，配</w:t>
            </w:r>
            <w:r>
              <w:rPr>
                <w:rFonts w:hint="eastAsia" w:ascii="仿宋" w:hAnsi="仿宋" w:eastAsia="仿宋" w:cs="仿宋"/>
                <w:sz w:val="28"/>
                <w:szCs w:val="28"/>
                <w:lang w:val="en-US" w:eastAsia="zh-CN"/>
              </w:rPr>
              <w:t>4个</w:t>
            </w:r>
            <w:r>
              <w:rPr>
                <w:rFonts w:hint="eastAsia" w:ascii="仿宋" w:hAnsi="仿宋" w:eastAsia="仿宋" w:cs="仿宋"/>
                <w:sz w:val="28"/>
                <w:szCs w:val="28"/>
              </w:rPr>
              <w:t>爱心座椅及标志，颜色和内饰协调，座椅支架固定可靠证</w:t>
            </w:r>
            <w:r>
              <w:rPr>
                <w:rFonts w:hint="eastAsia" w:ascii="仿宋" w:hAnsi="仿宋" w:eastAsia="仿宋" w:cs="仿宋"/>
                <w:sz w:val="28"/>
                <w:szCs w:val="28"/>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爱心座椅设于车厢内方便上下乘坐的位置，每车布置4个，座椅喷“爱心座椅”字样，位于车厢后门的前端，方向为面朝前进方向。</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质保8年，并附承诺书原件</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bCs/>
                <w:color w:val="auto"/>
                <w:kern w:val="2"/>
                <w:sz w:val="28"/>
                <w:szCs w:val="28"/>
                <w:lang w:val="en-US" w:eastAsia="zh-CN" w:bidi="ar-SA"/>
              </w:rPr>
              <w:t>驾驶室</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仪表台</w:t>
            </w:r>
            <w:r>
              <w:rPr>
                <w:rFonts w:hint="eastAsia" w:ascii="仿宋" w:hAnsi="仿宋" w:eastAsia="仿宋" w:cs="仿宋"/>
                <w:sz w:val="28"/>
                <w:szCs w:val="28"/>
              </w:rPr>
              <w:t>精美、平整、软化处理；仪表台可靠耐用，与整车内饰协调</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仪表区域应充分考虑满足配装电脑报站器、电子路牌、客门监视器、GPS 车载机、IC卡POS机、投币机、空调、换气扇开关、数字电视等布置一体化要求</w:t>
            </w:r>
            <w:r>
              <w:rPr>
                <w:rFonts w:hint="eastAsia" w:ascii="仿宋" w:hAnsi="仿宋" w:eastAsia="仿宋" w:cs="仿宋"/>
                <w:sz w:val="28"/>
                <w:szCs w:val="28"/>
                <w:lang w:eastAsia="zh-CN"/>
              </w:rPr>
              <w:t>；</w:t>
            </w:r>
            <w:r>
              <w:rPr>
                <w:rFonts w:hint="eastAsia" w:ascii="仿宋" w:hAnsi="仿宋" w:eastAsia="仿宋" w:cs="仿宋"/>
                <w:sz w:val="28"/>
                <w:szCs w:val="28"/>
              </w:rPr>
              <w:t>仪表台上安装驾驶员喊话器及插口；前后门未关时仪表台有报警灯显示</w:t>
            </w:r>
            <w:r>
              <w:rPr>
                <w:rFonts w:hint="eastAsia" w:ascii="仿宋" w:hAnsi="仿宋" w:eastAsia="仿宋" w:cs="仿宋"/>
                <w:sz w:val="28"/>
                <w:szCs w:val="28"/>
                <w:lang w:eastAsia="zh-CN"/>
              </w:rPr>
              <w:t>；</w:t>
            </w:r>
            <w:r>
              <w:rPr>
                <w:rFonts w:hint="eastAsia" w:ascii="仿宋" w:hAnsi="仿宋" w:eastAsia="仿宋" w:cs="仿宋"/>
                <w:sz w:val="28"/>
                <w:szCs w:val="28"/>
              </w:rPr>
              <w:t>顶灯，车厢灯，电子路牌单独安装开关</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采用转向柱安装豪华组合式开关，包括大小灯、转向灯、雨括器、点火开关控制开关。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驾驶员座位左上方侧安装小电扇，配置茶杯架</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5.安装驾驶员荣誉榜铝合金框，</w:t>
            </w:r>
            <w:r>
              <w:rPr>
                <w:rFonts w:hint="eastAsia" w:ascii="仿宋" w:hAnsi="仿宋" w:eastAsia="仿宋" w:cs="仿宋"/>
                <w:color w:val="auto"/>
                <w:sz w:val="28"/>
                <w:szCs w:val="28"/>
              </w:rPr>
              <w:t>标准规范由</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rPr>
              <w:t>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前后车门内“紧急开门应急阀”装在驾驶区，前后车门内外各1只“紧急开门应急阀”应设明显使用标识</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bCs/>
                <w:sz w:val="28"/>
                <w:szCs w:val="28"/>
                <w:lang w:val="en-US" w:eastAsia="zh-CN"/>
              </w:rPr>
              <w:t>7.</w:t>
            </w:r>
            <w:r>
              <w:rPr>
                <w:rFonts w:hint="eastAsia" w:ascii="仿宋" w:hAnsi="仿宋" w:eastAsia="仿宋" w:cs="仿宋"/>
                <w:bCs/>
                <w:sz w:val="28"/>
                <w:szCs w:val="28"/>
              </w:rPr>
              <w:t>驾驶室布置驾驶员手机袋。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adjustRightInd w:val="0"/>
              <w:snapToGrid w:val="0"/>
              <w:spacing w:line="320" w:lineRule="exact"/>
              <w:jc w:val="center"/>
              <w:rPr>
                <w:rFonts w:hint="eastAsia" w:ascii="仿宋" w:hAnsi="仿宋" w:eastAsia="仿宋" w:cs="仿宋"/>
                <w:sz w:val="28"/>
                <w:szCs w:val="28"/>
                <w:lang w:val="en-US" w:eastAsia="zh-CN"/>
              </w:rPr>
            </w:pPr>
            <w:r>
              <w:rPr>
                <w:rFonts w:hint="eastAsia" w:ascii="仿宋" w:hAnsi="仿宋" w:eastAsia="仿宋" w:cs="仿宋"/>
                <w:bCs/>
                <w:color w:val="auto"/>
                <w:kern w:val="2"/>
                <w:sz w:val="28"/>
                <w:szCs w:val="28"/>
                <w:lang w:val="en-US" w:eastAsia="zh-CN" w:bidi="ar-SA"/>
              </w:rPr>
              <w:t>司机包围</w:t>
            </w:r>
          </w:p>
        </w:tc>
        <w:tc>
          <w:tcPr>
            <w:tcW w:w="7135" w:type="dxa"/>
            <w:noWrap w:val="0"/>
            <w:vAlign w:val="center"/>
          </w:tcPr>
          <w:p>
            <w:pPr>
              <w:numPr>
                <w:ilvl w:val="0"/>
                <w:numId w:val="0"/>
              </w:numPr>
              <w:adjustRightInd w:val="0"/>
              <w:snapToGrid w:val="0"/>
              <w:spacing w:line="320" w:lineRule="exact"/>
              <w:rPr>
                <w:rFonts w:hint="eastAsia" w:ascii="仿宋" w:hAnsi="仿宋" w:eastAsia="仿宋" w:cs="仿宋"/>
                <w:bCs/>
                <w:sz w:val="28"/>
                <w:szCs w:val="28"/>
              </w:rPr>
            </w:pPr>
            <w:r>
              <w:rPr>
                <w:rFonts w:hint="eastAsia" w:ascii="仿宋" w:hAnsi="仿宋" w:eastAsia="仿宋" w:cs="仿宋"/>
                <w:color w:val="auto"/>
                <w:sz w:val="28"/>
                <w:szCs w:val="28"/>
                <w:lang w:val="en-US" w:eastAsia="zh-CN"/>
              </w:rPr>
              <w:t>1.安装驾驶区域安全防护隔离设施，</w:t>
            </w:r>
            <w:r>
              <w:rPr>
                <w:rFonts w:hint="eastAsia" w:ascii="仿宋" w:hAnsi="仿宋" w:eastAsia="仿宋" w:cs="仿宋"/>
                <w:bCs/>
                <w:sz w:val="28"/>
                <w:szCs w:val="28"/>
              </w:rPr>
              <w:t>铝合金全包整体式，司机屏风、司机转门采用铝合金或钢化玻璃，不影响驾驶员对前门上车乘客监管视线，符合T/T1240-2019标准，隔离设施采用的玻璃应避免驾驶员受阳光、炫光和车内外灯光的影响，侧围上沿最低点距乘客区通道地板高度不小于160厘米(款式跟</w:t>
            </w:r>
            <w:r>
              <w:rPr>
                <w:rFonts w:hint="eastAsia" w:ascii="仿宋" w:hAnsi="仿宋" w:eastAsia="仿宋" w:cs="仿宋"/>
                <w:bCs/>
                <w:sz w:val="28"/>
                <w:szCs w:val="28"/>
                <w:lang w:eastAsia="zh-CN"/>
              </w:rPr>
              <w:t>采购</w:t>
            </w:r>
            <w:r>
              <w:rPr>
                <w:rFonts w:hint="eastAsia" w:ascii="仿宋" w:hAnsi="仿宋" w:eastAsia="仿宋" w:cs="仿宋"/>
                <w:bCs/>
                <w:sz w:val="28"/>
                <w:szCs w:val="28"/>
              </w:rPr>
              <w:t>人对接)，司机座后围上部为透明有机玻璃空隙高度不大于30厘米、下部为封闭式围板，司机</w:t>
            </w:r>
            <w:r>
              <w:rPr>
                <w:rFonts w:hint="eastAsia" w:ascii="仿宋" w:hAnsi="仿宋" w:eastAsia="仿宋" w:cs="仿宋"/>
                <w:bCs/>
                <w:sz w:val="28"/>
                <w:szCs w:val="28"/>
                <w:lang w:eastAsia="zh-CN"/>
              </w:rPr>
              <w:t>包</w:t>
            </w:r>
            <w:r>
              <w:rPr>
                <w:rFonts w:hint="eastAsia" w:ascii="仿宋" w:hAnsi="仿宋" w:eastAsia="仿宋" w:cs="仿宋"/>
                <w:bCs/>
                <w:sz w:val="28"/>
                <w:szCs w:val="28"/>
              </w:rPr>
              <w:t>围门窗玻璃、门锁、铝合金材质必须符合国家新标要求</w:t>
            </w:r>
            <w:r>
              <w:rPr>
                <w:rFonts w:hint="eastAsia" w:ascii="仿宋" w:hAnsi="仿宋" w:eastAsia="仿宋" w:cs="仿宋"/>
                <w:bCs/>
                <w:sz w:val="28"/>
                <w:szCs w:val="28"/>
                <w:lang w:eastAsia="zh-CN"/>
              </w:rPr>
              <w:t>。</w:t>
            </w:r>
          </w:p>
          <w:p>
            <w:pPr>
              <w:numPr>
                <w:ilvl w:val="0"/>
                <w:numId w:val="0"/>
              </w:numPr>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2.质保8年，投标人须中标后10天内提交质保承诺书，质保期承诺须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2261" w:type="dxa"/>
            <w:noWrap w:val="0"/>
            <w:vAlign w:val="center"/>
          </w:tcPr>
          <w:p>
            <w:pPr>
              <w:adjustRightInd w:val="0"/>
              <w:snapToGrid w:val="0"/>
              <w:spacing w:line="3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驾驶员座椅</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驾驶员座椅为6方向可调高靠背航空气垫式座椅</w:t>
            </w:r>
            <w:r>
              <w:rPr>
                <w:rFonts w:hint="eastAsia" w:ascii="仿宋" w:hAnsi="仿宋" w:eastAsia="仿宋" w:cs="仿宋"/>
                <w:sz w:val="28"/>
                <w:szCs w:val="28"/>
                <w:lang w:val="en-US" w:eastAsia="zh-CN"/>
              </w:rPr>
              <w:t>，配</w:t>
            </w:r>
            <w:r>
              <w:rPr>
                <w:rFonts w:hint="eastAsia" w:ascii="仿宋" w:hAnsi="仿宋" w:eastAsia="仿宋" w:cs="仿宋"/>
                <w:sz w:val="28"/>
                <w:szCs w:val="28"/>
              </w:rPr>
              <w:t>三点式安全带</w:t>
            </w:r>
            <w:r>
              <w:rPr>
                <w:rFonts w:hint="eastAsia" w:ascii="仿宋" w:hAnsi="仿宋" w:eastAsia="仿宋" w:cs="仿宋"/>
                <w:sz w:val="28"/>
                <w:szCs w:val="28"/>
                <w:lang w:eastAsia="zh-CN"/>
              </w:rPr>
              <w:t>，</w:t>
            </w:r>
            <w:r>
              <w:rPr>
                <w:rFonts w:hint="eastAsia" w:ascii="仿宋" w:hAnsi="仿宋" w:eastAsia="仿宋" w:cs="仿宋"/>
                <w:sz w:val="28"/>
                <w:szCs w:val="28"/>
              </w:rPr>
              <w:t>调节幅度大于20CM,右端固定在地板上，伸缩自如可上下调节</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质保</w:t>
            </w:r>
            <w:r>
              <w:rPr>
                <w:rFonts w:hint="eastAsia" w:ascii="仿宋" w:hAnsi="仿宋" w:eastAsia="仿宋" w:cs="仿宋"/>
                <w:sz w:val="28"/>
                <w:szCs w:val="28"/>
                <w:lang w:val="en-US" w:eastAsia="zh-CN"/>
              </w:rPr>
              <w:t>8年（含易损、易耗件）。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后 视 镜</w:t>
            </w:r>
          </w:p>
        </w:tc>
        <w:tc>
          <w:tcPr>
            <w:tcW w:w="7135" w:type="dxa"/>
            <w:noWrap w:val="0"/>
            <w:vAlign w:val="center"/>
          </w:tcPr>
          <w:p>
            <w:pPr>
              <w:keepNext w:val="0"/>
              <w:keepLines w:val="0"/>
              <w:pageBreakBefore w:val="0"/>
              <w:widowControl w:val="0"/>
              <w:numPr>
                <w:ilvl w:val="0"/>
                <w:numId w:val="9"/>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sz w:val="28"/>
                <w:szCs w:val="28"/>
              </w:rPr>
              <w:t>车厢正前方中间和右上方配置驾驶员后视镜二只</w:t>
            </w:r>
            <w:r>
              <w:rPr>
                <w:rFonts w:hint="eastAsia" w:ascii="仿宋" w:hAnsi="仿宋" w:eastAsia="仿宋" w:cs="仿宋"/>
                <w:sz w:val="28"/>
                <w:szCs w:val="28"/>
                <w:lang w:eastAsia="zh-CN"/>
              </w:rPr>
              <w:t>，</w:t>
            </w:r>
            <w:r>
              <w:rPr>
                <w:rFonts w:hint="eastAsia" w:ascii="仿宋" w:hAnsi="仿宋" w:eastAsia="仿宋" w:cs="仿宋"/>
                <w:color w:val="auto"/>
                <w:sz w:val="28"/>
                <w:szCs w:val="28"/>
                <w:highlight w:val="none"/>
                <w:u w:val="none"/>
                <w:lang w:eastAsia="zh-CN"/>
              </w:rPr>
              <w:t>图像</w:t>
            </w:r>
            <w:r>
              <w:rPr>
                <w:rFonts w:hint="eastAsia" w:ascii="仿宋" w:hAnsi="仿宋" w:eastAsia="仿宋" w:cs="仿宋"/>
                <w:color w:val="auto"/>
                <w:sz w:val="28"/>
                <w:szCs w:val="28"/>
                <w:highlight w:val="none"/>
                <w:u w:val="none"/>
              </w:rPr>
              <w:t>清晰，易更换。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中门安装上下客摄像头。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内饰、空调风道、车内照明</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侧墙板采用防水易清洁PVC覆膜板。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顶板采用冲孔铝塑板。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车厢前方右角配置时间、温度显示器</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全景</w:t>
            </w:r>
            <w:r>
              <w:rPr>
                <w:rFonts w:hint="eastAsia" w:ascii="仿宋" w:hAnsi="仿宋" w:eastAsia="仿宋" w:cs="仿宋"/>
                <w:sz w:val="28"/>
                <w:szCs w:val="28"/>
                <w:lang w:eastAsia="zh-CN"/>
              </w:rPr>
              <w:t>铝合金</w:t>
            </w:r>
            <w:r>
              <w:rPr>
                <w:rFonts w:hint="eastAsia" w:ascii="仿宋" w:hAnsi="仿宋" w:eastAsia="仿宋" w:cs="仿宋"/>
                <w:sz w:val="28"/>
                <w:szCs w:val="28"/>
              </w:rPr>
              <w:t>风道。风道两侧设置广告位。具体尺寸、数量由</w:t>
            </w:r>
            <w:r>
              <w:rPr>
                <w:rFonts w:hint="eastAsia" w:ascii="仿宋" w:hAnsi="仿宋" w:eastAsia="仿宋" w:cs="仿宋"/>
                <w:sz w:val="28"/>
                <w:szCs w:val="28"/>
                <w:lang w:eastAsia="zh-CN"/>
              </w:rPr>
              <w:t>采购人</w:t>
            </w:r>
            <w:r>
              <w:rPr>
                <w:rFonts w:hint="eastAsia" w:ascii="仿宋" w:hAnsi="仿宋" w:eastAsia="仿宋" w:cs="仿宋"/>
                <w:sz w:val="28"/>
                <w:szCs w:val="28"/>
              </w:rPr>
              <w:t>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LED照明灯:应满足夜间行驶车厢内亮化要求。LED双条顶灯</w:t>
            </w:r>
            <w:r>
              <w:rPr>
                <w:rFonts w:hint="eastAsia" w:ascii="仿宋" w:hAnsi="仿宋" w:eastAsia="仿宋" w:cs="仿宋"/>
                <w:sz w:val="28"/>
                <w:szCs w:val="28"/>
                <w:lang w:eastAsia="zh-CN"/>
              </w:rPr>
              <w:t>，</w:t>
            </w:r>
            <w:r>
              <w:rPr>
                <w:rFonts w:hint="eastAsia" w:ascii="仿宋" w:hAnsi="仿宋" w:eastAsia="仿宋" w:cs="仿宋"/>
                <w:sz w:val="28"/>
                <w:szCs w:val="28"/>
              </w:rPr>
              <w:t>厢灯控制为三挡，驾驶区一挡，车厢区二挡，开灯时，前档玻璃不能产生眩目光，影响驾驶安全。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驾驶室区空调出风口必须安装可调式开关</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冷风道不得与前、后路牌窗和发动机机舱贯通，锁止方便可靠，表面平整圆顺，固定安装可靠。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b/>
                <w:bCs/>
                <w:color w:val="auto"/>
                <w:sz w:val="28"/>
                <w:szCs w:val="28"/>
                <w:highlight w:val="none"/>
                <w:u w:val="none"/>
              </w:rPr>
            </w:pPr>
            <w:r>
              <w:rPr>
                <w:rFonts w:hint="eastAsia" w:ascii="仿宋" w:hAnsi="仿宋" w:eastAsia="仿宋" w:cs="仿宋"/>
                <w:b/>
                <w:bCs/>
                <w:color w:val="auto"/>
                <w:sz w:val="28"/>
                <w:szCs w:val="28"/>
                <w:highlight w:val="none"/>
                <w:u w:val="none"/>
                <w:lang w:val="en-US" w:eastAsia="zh-CN"/>
              </w:rPr>
              <w:t>7.空调系统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空调</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采用非独立式顶置制冷空调，制冷降温速率高、制冷效果显著。制冷量≥</w:t>
            </w:r>
            <w:r>
              <w:rPr>
                <w:rFonts w:hint="eastAsia" w:ascii="仿宋" w:hAnsi="仿宋" w:eastAsia="仿宋" w:cs="仿宋"/>
                <w:sz w:val="28"/>
                <w:szCs w:val="28"/>
                <w:lang w:val="en-US" w:eastAsia="zh-CN"/>
              </w:rPr>
              <w:t>24</w:t>
            </w:r>
            <w:r>
              <w:rPr>
                <w:rFonts w:hint="eastAsia" w:ascii="仿宋" w:hAnsi="仿宋" w:eastAsia="仿宋" w:cs="仿宋"/>
                <w:sz w:val="28"/>
                <w:szCs w:val="28"/>
              </w:rPr>
              <w:t>000大卡，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冷凝风机采用</w:t>
            </w:r>
            <w:r>
              <w:rPr>
                <w:rFonts w:hint="eastAsia" w:ascii="仿宋" w:hAnsi="仿宋" w:eastAsia="仿宋" w:cs="仿宋"/>
                <w:sz w:val="28"/>
                <w:szCs w:val="28"/>
                <w:lang w:eastAsia="zh-CN"/>
              </w:rPr>
              <w:t>优质</w:t>
            </w:r>
            <w:r>
              <w:rPr>
                <w:rFonts w:hint="eastAsia" w:ascii="仿宋" w:hAnsi="仿宋" w:eastAsia="仿宋" w:cs="仿宋"/>
                <w:sz w:val="28"/>
                <w:szCs w:val="28"/>
              </w:rPr>
              <w:t>直流无碳刷风机。冷凝器盘管为内螺纹铜管亲水铝箔高效换热器。蒸发器盘管为内螺纹铜管亲水铝箔高效换热器。蒸发风机采用直流无碳刷风机。膨胀阀、止逆阀、视液镜采用进口配置，转换器为DC-DC转换器，配</w:t>
            </w:r>
            <w:r>
              <w:rPr>
                <w:rFonts w:hint="eastAsia" w:ascii="仿宋" w:hAnsi="仿宋" w:eastAsia="仿宋" w:cs="仿宋"/>
                <w:sz w:val="28"/>
                <w:szCs w:val="28"/>
                <w:lang w:eastAsia="zh-CN"/>
              </w:rPr>
              <w:t>国产</w:t>
            </w:r>
            <w:r>
              <w:rPr>
                <w:rFonts w:hint="eastAsia" w:ascii="仿宋" w:hAnsi="仿宋" w:eastAsia="仿宋" w:cs="仿宋"/>
                <w:sz w:val="28"/>
                <w:szCs w:val="28"/>
              </w:rPr>
              <w:t>优质品牌，安全可靠耐震动、抗干扰。变频器需配</w:t>
            </w:r>
            <w:r>
              <w:rPr>
                <w:rFonts w:hint="eastAsia" w:ascii="仿宋" w:hAnsi="仿宋" w:eastAsia="仿宋" w:cs="仿宋"/>
                <w:sz w:val="28"/>
                <w:szCs w:val="28"/>
                <w:lang w:eastAsia="zh-CN"/>
              </w:rPr>
              <w:t>国产</w:t>
            </w:r>
            <w:r>
              <w:rPr>
                <w:rFonts w:hint="eastAsia" w:ascii="仿宋" w:hAnsi="仿宋" w:eastAsia="仿宋" w:cs="仿宋"/>
                <w:sz w:val="28"/>
                <w:szCs w:val="28"/>
              </w:rPr>
              <w:t>优质品牌，安全可靠耐震动、抗干扰。压缩机采用进口或合资品牌压缩机。</w:t>
            </w:r>
            <w:r>
              <w:rPr>
                <w:rFonts w:hint="eastAsia" w:ascii="仿宋" w:hAnsi="仿宋" w:eastAsia="仿宋" w:cs="仿宋"/>
                <w:sz w:val="28"/>
                <w:szCs w:val="28"/>
                <w:lang w:eastAsia="zh-CN"/>
              </w:rPr>
              <w:t>配备新风装置。</w:t>
            </w:r>
            <w:r>
              <w:rPr>
                <w:rFonts w:hint="eastAsia" w:ascii="仿宋" w:hAnsi="仿宋" w:eastAsia="仿宋" w:cs="仿宋"/>
                <w:sz w:val="28"/>
                <w:szCs w:val="28"/>
              </w:rPr>
              <w:t>风速要求达到国家标准。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空调整机免费质保8年（含</w:t>
            </w:r>
            <w:r>
              <w:rPr>
                <w:rFonts w:hint="eastAsia" w:ascii="仿宋" w:hAnsi="仿宋" w:eastAsia="仿宋" w:cs="仿宋"/>
                <w:sz w:val="28"/>
                <w:szCs w:val="28"/>
                <w:lang w:eastAsia="zh-CN"/>
              </w:rPr>
              <w:t>工时费、</w:t>
            </w:r>
            <w:r>
              <w:rPr>
                <w:rFonts w:hint="eastAsia" w:ascii="仿宋" w:hAnsi="仿宋" w:eastAsia="仿宋" w:cs="仿宋"/>
                <w:sz w:val="28"/>
                <w:szCs w:val="28"/>
              </w:rPr>
              <w:t>易损、易耗件），并附</w:t>
            </w:r>
            <w:r>
              <w:rPr>
                <w:rFonts w:hint="eastAsia" w:ascii="仿宋" w:hAnsi="仿宋" w:eastAsia="仿宋" w:cs="仿宋"/>
                <w:sz w:val="28"/>
                <w:szCs w:val="28"/>
                <w:lang w:eastAsia="zh-CN"/>
              </w:rPr>
              <w:t>客车厂及配套厂</w:t>
            </w:r>
            <w:r>
              <w:rPr>
                <w:rFonts w:hint="eastAsia" w:ascii="仿宋" w:hAnsi="仿宋" w:eastAsia="仿宋" w:cs="仿宋"/>
                <w:sz w:val="28"/>
                <w:szCs w:val="28"/>
              </w:rPr>
              <w:t>承诺书原件</w:t>
            </w:r>
            <w:r>
              <w:rPr>
                <w:rFonts w:hint="eastAsia" w:ascii="仿宋" w:hAnsi="仿宋" w:eastAsia="仿宋" w:cs="仿宋"/>
                <w:color w:val="auto"/>
                <w:sz w:val="28"/>
                <w:szCs w:val="2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bCs/>
                <w:color w:val="auto"/>
                <w:sz w:val="28"/>
                <w:szCs w:val="28"/>
                <w:lang w:eastAsia="zh-CN"/>
              </w:rPr>
              <w:t>暖风</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lang w:eastAsia="zh-CN"/>
              </w:rPr>
              <w:t>前挡风玻璃安装高压</w:t>
            </w:r>
            <w:r>
              <w:rPr>
                <w:rFonts w:hint="eastAsia" w:ascii="仿宋" w:hAnsi="仿宋" w:eastAsia="仿宋" w:cs="仿宋"/>
                <w:color w:val="auto"/>
                <w:sz w:val="28"/>
                <w:szCs w:val="28"/>
                <w:highlight w:val="none"/>
                <w:u w:val="none"/>
              </w:rPr>
              <w:t>除霜</w:t>
            </w:r>
            <w:r>
              <w:rPr>
                <w:rFonts w:hint="eastAsia" w:ascii="仿宋" w:hAnsi="仿宋" w:eastAsia="仿宋" w:cs="仿宋"/>
                <w:color w:val="auto"/>
                <w:sz w:val="28"/>
                <w:szCs w:val="28"/>
                <w:highlight w:val="none"/>
                <w:u w:val="none"/>
                <w:lang w:eastAsia="zh-CN"/>
              </w:rPr>
              <w:t>机</w:t>
            </w:r>
            <w:r>
              <w:rPr>
                <w:rFonts w:hint="eastAsia" w:ascii="仿宋" w:hAnsi="仿宋" w:eastAsia="仿宋" w:cs="仿宋"/>
                <w:color w:val="auto"/>
                <w:sz w:val="28"/>
                <w:szCs w:val="28"/>
                <w:highlight w:val="none"/>
                <w:u w:val="none"/>
                <w:lang w:val="en-US" w:eastAsia="zh-CN"/>
              </w:rPr>
              <w:t>,司机处增设一个出风口（便于司机脚部取暖）</w:t>
            </w:r>
            <w:r>
              <w:rPr>
                <w:rFonts w:hint="eastAsia" w:ascii="仿宋" w:hAnsi="仿宋" w:eastAsia="仿宋" w:cs="仿宋"/>
                <w:color w:val="auto"/>
                <w:sz w:val="28"/>
                <w:szCs w:val="28"/>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2.免费质保8年。（含工时费、</w:t>
            </w:r>
            <w:r>
              <w:rPr>
                <w:rFonts w:hint="eastAsia" w:ascii="仿宋" w:hAnsi="仿宋" w:eastAsia="仿宋" w:cs="仿宋"/>
                <w:color w:val="auto"/>
                <w:sz w:val="28"/>
                <w:szCs w:val="28"/>
                <w:highlight w:val="none"/>
                <w:u w:val="none"/>
              </w:rPr>
              <w:t>易损、易耗件</w:t>
            </w:r>
            <w:r>
              <w:rPr>
                <w:rFonts w:hint="eastAsia" w:ascii="仿宋" w:hAnsi="仿宋" w:eastAsia="仿宋" w:cs="仿宋"/>
                <w:color w:val="auto"/>
                <w:sz w:val="28"/>
                <w:szCs w:val="2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.消防设备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kern w:val="2"/>
                <w:sz w:val="28"/>
                <w:szCs w:val="28"/>
                <w:lang w:val="en-US" w:eastAsia="zh-CN" w:bidi="ar-SA"/>
              </w:rPr>
              <w:t>电池箱灭火装置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1.具有温度传感器、气体分解传感器、烟雾传感器并实现报警功能。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 能实现电解液漏液自动检测报警和火灾自动探测报警功能。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3.具有灭火装置和启动开关，并能实现自动启动和手动启动功能。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4.具有权威消防研究中心对该产品的试验报告。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5.探测装置、灭火装置等要求质保8年。要求采用全氟己酮灭火剂，大于等于6Kg，提供相关检测报告及消防产品技术鉴定证书，并提供配套供应商质保承诺函。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6、电池箱火灾防控装置需有8年商业保险承诺，承诺非人为损坏和失效的免费更换。如因装用不合格的磷酸铁锂电池箱灭火装置引起的各种损失及责任，由成交供应商承担。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7.电池箱防护等级在IP67以上。（提供国家或第三方机构检验报告等证明材料）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eastAsia="zh-CN"/>
              </w:rPr>
              <w:t>车辆消防设备</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车厢内配置2只4公斤以上干粉灭火器，灭火器应符合国家标准规定，并取得公安部认证。灭火器架采用圆柱形直立式支架，易于提取。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高压</w:t>
            </w:r>
            <w:r>
              <w:rPr>
                <w:rFonts w:hint="eastAsia" w:ascii="仿宋" w:hAnsi="仿宋" w:eastAsia="仿宋" w:cs="仿宋"/>
                <w:sz w:val="28"/>
                <w:szCs w:val="28"/>
                <w:lang w:eastAsia="zh-CN"/>
              </w:rPr>
              <w:t>仓</w:t>
            </w:r>
            <w:r>
              <w:rPr>
                <w:rFonts w:hint="eastAsia" w:ascii="仿宋" w:hAnsi="仿宋" w:eastAsia="仿宋" w:cs="仿宋"/>
                <w:sz w:val="28"/>
                <w:szCs w:val="28"/>
              </w:rPr>
              <w:t>、电池</w:t>
            </w:r>
            <w:r>
              <w:rPr>
                <w:rFonts w:hint="eastAsia" w:ascii="仿宋" w:hAnsi="仿宋" w:eastAsia="仿宋" w:cs="仿宋"/>
                <w:sz w:val="28"/>
                <w:szCs w:val="28"/>
                <w:lang w:eastAsia="zh-CN"/>
              </w:rPr>
              <w:t>仓</w:t>
            </w:r>
            <w:r>
              <w:rPr>
                <w:rFonts w:hint="eastAsia" w:ascii="仿宋" w:hAnsi="仿宋" w:eastAsia="仿宋" w:cs="仿宋"/>
                <w:sz w:val="28"/>
                <w:szCs w:val="28"/>
              </w:rPr>
              <w:t>配备</w:t>
            </w:r>
            <w:r>
              <w:rPr>
                <w:rFonts w:hint="eastAsia" w:ascii="仿宋" w:hAnsi="仿宋" w:eastAsia="仿宋" w:cs="仿宋"/>
                <w:sz w:val="28"/>
                <w:szCs w:val="28"/>
                <w:lang w:val="en-US" w:eastAsia="zh-CN"/>
              </w:rPr>
              <w:t>总质量4KG</w:t>
            </w:r>
            <w:r>
              <w:rPr>
                <w:rFonts w:hint="eastAsia" w:ascii="仿宋" w:hAnsi="仿宋" w:eastAsia="仿宋" w:cs="仿宋"/>
                <w:sz w:val="28"/>
                <w:szCs w:val="28"/>
              </w:rPr>
              <w:t>管网式干粉灭火装置，具备声光报警及手动操作功能</w:t>
            </w:r>
            <w:r>
              <w:rPr>
                <w:rFonts w:hint="eastAsia" w:ascii="仿宋" w:hAnsi="仿宋" w:eastAsia="仿宋" w:cs="仿宋"/>
                <w:sz w:val="28"/>
                <w:szCs w:val="28"/>
                <w:lang w:eastAsia="zh-CN"/>
              </w:rPr>
              <w:t>，方便更换。</w:t>
            </w:r>
            <w:r>
              <w:rPr>
                <w:rFonts w:hint="eastAsia" w:ascii="仿宋" w:hAnsi="仿宋" w:eastAsia="仿宋" w:cs="仿宋"/>
                <w:sz w:val="28"/>
                <w:szCs w:val="28"/>
                <w:lang w:val="en-US" w:eastAsia="zh-CN"/>
              </w:rPr>
              <w:t>质保8年，含易损易耗件。投标人须中标后10天内提交质保承诺书，质保期承诺须</w:t>
            </w:r>
            <w:r>
              <w:rPr>
                <w:rFonts w:hint="eastAsia" w:ascii="仿宋" w:hAnsi="仿宋" w:eastAsia="仿宋" w:cs="仿宋"/>
                <w:sz w:val="28"/>
                <w:szCs w:val="28"/>
              </w:rPr>
              <w:t>由配套产品厂家和车辆制造厂家共同书面承诺。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安装客车车门应急控制系统，前后门泵总控制开关安装在副仪表台位置。前车门外、中门内和驾驶室各安装断气应急开关。应急开关应设有明显的警示使用标识。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配7只（带防盗自动报警型）安全锤，其中司机旁安装1只，符合GB7258-2017《机动车运行安全技术条件》要求。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整车侧窗左右两侧安装手自一体破窗器，带翻盖报警功能，每车安装四处，布置相关说明，每个窗户配置安全标识-逃生出口</w:t>
            </w:r>
            <w:r>
              <w:rPr>
                <w:rFonts w:hint="eastAsia" w:ascii="仿宋" w:hAnsi="仿宋" w:eastAsia="仿宋" w:cs="仿宋"/>
                <w:sz w:val="28"/>
                <w:szCs w:val="28"/>
                <w:lang w:eastAsia="zh-CN"/>
              </w:rPr>
              <w:t>。</w:t>
            </w:r>
            <w:r>
              <w:rPr>
                <w:rFonts w:hint="eastAsia" w:ascii="仿宋" w:hAnsi="仿宋" w:eastAsia="仿宋" w:cs="仿宋"/>
                <w:sz w:val="28"/>
                <w:szCs w:val="28"/>
              </w:rPr>
              <w:t>破窗器免费质保8年，并附承诺书原件。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b/>
                <w:bCs/>
                <w:color w:val="auto"/>
                <w:sz w:val="28"/>
                <w:szCs w:val="28"/>
                <w:highlight w:val="none"/>
                <w:u w:val="none"/>
                <w:shd w:val="clear" w:color="auto" w:fill="auto"/>
                <w:lang w:val="en-US" w:eastAsia="zh-CN"/>
              </w:rPr>
            </w:pPr>
            <w:r>
              <w:rPr>
                <w:rFonts w:hint="eastAsia" w:ascii="仿宋" w:hAnsi="仿宋" w:eastAsia="仿宋" w:cs="仿宋"/>
                <w:b/>
                <w:bCs/>
                <w:color w:val="auto"/>
                <w:sz w:val="28"/>
                <w:szCs w:val="28"/>
                <w:highlight w:val="none"/>
                <w:u w:val="none"/>
                <w:shd w:val="clear" w:color="auto" w:fill="auto"/>
                <w:lang w:val="en-US" w:eastAsia="zh-CN"/>
              </w:rPr>
              <w:t>9</w:t>
            </w:r>
            <w:r>
              <w:rPr>
                <w:rFonts w:hint="eastAsia" w:ascii="仿宋" w:hAnsi="仿宋" w:eastAsia="仿宋" w:cs="仿宋"/>
                <w:b/>
                <w:bCs/>
                <w:color w:val="auto"/>
                <w:sz w:val="28"/>
                <w:szCs w:val="28"/>
                <w:highlight w:val="none"/>
                <w:u w:val="none"/>
                <w:shd w:val="clear" w:color="auto" w:fill="auto"/>
              </w:rPr>
              <w:t>.电子信息设施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rPr>
              <w:t>CAN总线</w:t>
            </w:r>
          </w:p>
        </w:tc>
        <w:tc>
          <w:tcPr>
            <w:tcW w:w="7135" w:type="dxa"/>
            <w:noWrap w:val="0"/>
            <w:vAlign w:val="center"/>
          </w:tcPr>
          <w:p>
            <w:pPr>
              <w:numPr>
                <w:ilvl w:val="0"/>
                <w:numId w:val="0"/>
              </w:numPr>
              <w:tabs>
                <w:tab w:val="left" w:pos="360"/>
              </w:tabs>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全车线路控制采用阻燃整车三级</w:t>
            </w:r>
            <w:r>
              <w:rPr>
                <w:rFonts w:hint="eastAsia" w:ascii="仿宋" w:hAnsi="仿宋" w:eastAsia="仿宋" w:cs="仿宋"/>
                <w:sz w:val="28"/>
                <w:szCs w:val="28"/>
                <w:lang w:eastAsia="zh-CN"/>
              </w:rPr>
              <w:t>（三路）</w:t>
            </w:r>
            <w:r>
              <w:rPr>
                <w:rFonts w:hint="eastAsia" w:ascii="仿宋" w:hAnsi="仿宋" w:eastAsia="仿宋" w:cs="仿宋"/>
                <w:sz w:val="28"/>
                <w:szCs w:val="28"/>
              </w:rPr>
              <w:t>CAN总线系统。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全车CAN智能控制系统，包括1个彩屏仪表+总线控制器(驱动控制模块可互换）+云总线系统。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彩屏总线仪表带7英寸彩色液晶显示屏，集成倒车和中门监控，集成各电机管理信息、电池管理信息、整车控制器、胎温胎压等运行实时状态和故障显示。</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系统应自带互联网大数据处理平台，平台具备与其他信息处理系统如智能调度系统、安服系统等进行数据交互并按照公交实际管理需求自动完成数据挖掘数据应用能力以及手机APP应用功能。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系统具备釆集、记录、关联计算、处理、上传全车数据的能力，包括新能源系统、车身CAN总线等各ECU节点数据，系统自动识别车辆严重/一般/警告故障，并提供远程仪表、底盘、“三电”等实时动态监控。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系统可通过数据识别驾驶员节能驾驶能力以及车辆节能表现，对驾驶员、车队、公司进行能耗（安全）统计、对比、分析，并生成多样化多维度报表分析。</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具备前方碰撞预警、车距检测和警告、车道偏离报警功能。</w:t>
            </w:r>
          </w:p>
          <w:p>
            <w:p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CAN通讯口，质保期</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智能调度、监控系统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1.安装智能调度系统、监控系统（具体项目内容见表1）技术要求与采购人对接。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2.质保期8年，含易损易耗件。投标人须中标后10天内提交质保承诺书，质保期承诺须由配套产品厂家和车辆制造厂家共同书面承诺。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车内影像系统</w:t>
            </w:r>
          </w:p>
        </w:tc>
        <w:tc>
          <w:tcPr>
            <w:tcW w:w="7135" w:type="dxa"/>
            <w:noWrap w:val="0"/>
            <w:vAlign w:val="center"/>
          </w:tcPr>
          <w:p>
            <w:pPr>
              <w:numPr>
                <w:ilvl w:val="0"/>
                <w:numId w:val="0"/>
              </w:numPr>
              <w:adjustRightInd w:val="0"/>
              <w:snapToGrid w:val="0"/>
              <w:spacing w:line="320" w:lineRule="exac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安装车内影像系统</w:t>
            </w:r>
            <w:r>
              <w:rPr>
                <w:rFonts w:hint="eastAsia" w:ascii="仿宋" w:hAnsi="仿宋" w:eastAsia="仿宋" w:cs="仿宋"/>
                <w:sz w:val="28"/>
                <w:szCs w:val="28"/>
                <w:lang w:val="en-US" w:eastAsia="zh-CN"/>
              </w:rPr>
              <w:t>1</w:t>
            </w:r>
            <w:r>
              <w:rPr>
                <w:rFonts w:hint="eastAsia" w:ascii="仿宋" w:hAnsi="仿宋" w:eastAsia="仿宋" w:cs="仿宋"/>
                <w:sz w:val="28"/>
                <w:szCs w:val="28"/>
              </w:rPr>
              <w:t>个显示屏</w:t>
            </w:r>
            <w:r>
              <w:rPr>
                <w:rFonts w:hint="eastAsia" w:ascii="仿宋" w:hAnsi="仿宋" w:eastAsia="仿宋" w:cs="仿宋"/>
                <w:sz w:val="28"/>
                <w:szCs w:val="28"/>
                <w:lang w:eastAsia="zh-CN"/>
              </w:rPr>
              <w:t>和</w:t>
            </w:r>
            <w:r>
              <w:rPr>
                <w:rFonts w:hint="eastAsia" w:ascii="仿宋" w:hAnsi="仿宋" w:eastAsia="仿宋" w:cs="仿宋"/>
                <w:sz w:val="28"/>
                <w:szCs w:val="28"/>
              </w:rPr>
              <w:t>1个车载无线播放器，车载无线播放器安装在电器箱内（具体设施项目要求见表</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numPr>
                <w:ilvl w:val="0"/>
                <w:numId w:val="0"/>
              </w:numPr>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质保</w:t>
            </w:r>
            <w:r>
              <w:rPr>
                <w:rFonts w:hint="eastAsia" w:ascii="仿宋" w:hAnsi="仿宋" w:eastAsia="仿宋" w:cs="仿宋"/>
                <w:sz w:val="28"/>
                <w:szCs w:val="28"/>
                <w:lang w:val="en-US" w:eastAsia="zh-CN"/>
              </w:rPr>
              <w:t>8年，含易损易耗件。投标人须中标后10天内提交质保承诺书，质保期承诺须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1"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全彩电子路牌</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电子路牌为前、后、侧牌采用全彩型显示电子路牌</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前路牌（24点阵），字数为1</w:t>
            </w:r>
            <w:r>
              <w:rPr>
                <w:rFonts w:hint="eastAsia" w:ascii="仿宋" w:hAnsi="仿宋" w:eastAsia="仿宋" w:cs="仿宋"/>
                <w:sz w:val="28"/>
                <w:szCs w:val="28"/>
                <w:lang w:val="en-US" w:eastAsia="zh-CN"/>
              </w:rPr>
              <w:t>0</w:t>
            </w:r>
            <w:r>
              <w:rPr>
                <w:rFonts w:hint="eastAsia" w:ascii="仿宋" w:hAnsi="仿宋" w:eastAsia="仿宋" w:cs="仿宋"/>
                <w:sz w:val="28"/>
                <w:szCs w:val="28"/>
              </w:rPr>
              <w:t>个汉字及以上，点间距≤8.2mm；后牌（24点阵），字数为1</w:t>
            </w:r>
            <w:r>
              <w:rPr>
                <w:rFonts w:hint="eastAsia" w:ascii="仿宋" w:hAnsi="仿宋" w:eastAsia="仿宋" w:cs="仿宋"/>
                <w:sz w:val="28"/>
                <w:szCs w:val="28"/>
                <w:lang w:val="en-US" w:eastAsia="zh-CN"/>
              </w:rPr>
              <w:t>0</w:t>
            </w:r>
            <w:r>
              <w:rPr>
                <w:rFonts w:hint="eastAsia" w:ascii="仿宋" w:hAnsi="仿宋" w:eastAsia="仿宋" w:cs="仿宋"/>
                <w:sz w:val="28"/>
                <w:szCs w:val="28"/>
              </w:rPr>
              <w:t>个汉字及以上，点间距≤8.2mm，后牌显示车辆转弯、刹车等车辆实时信息；车内滚动屏（16点阵）LED汉字路牌，字数为10个汉字及以上；侧牌（24点阵），字数为8个汉字及以上，点间距≤8.2mm。与采购方现有系统对接，路牌设有光感探头，可随外界亮度变化自动调节亮度，内容可以静止、滚动等多种方式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免费质保8年+配备日常更换零件，附承诺书原件。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导乘屏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车内安装1块LCD导乘屏显示实时到站信息。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2.免费质保8年，含易损易耗件，要求本地维修。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客流分析仪</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主机要求水平安装在风道内，并在风道上开检修门以方便检修；体感摄像头安装在前门/后门正上方，镜头要求与车身平行安装，摄像头正面朝下并无遮挡物遮挡；前中门信号线要求开门时提供持续高电平，关闭时提供低电平，门开时提供持续高电平（24V），门关时提供低电平（0V或悬空），且要求放置在主机位置处。</w:t>
            </w:r>
          </w:p>
          <w:p>
            <w:pPr>
              <w:numPr>
                <w:ilvl w:val="0"/>
                <w:numId w:val="0"/>
              </w:num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质保期</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驾驶员主动防御系统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通过云总线对驾驶员行为进行分析，具备开机自检、过流、过压、过温保护功能，能判断轻载、过载、短路、开路等故障状态；CAN模块可通用、互换、具备较强的抗电磁干扰和静电冲击能力，使用通过ISO电磁兼容认证的产品；云总线系统具备大数据管理技术，CAN数据采集，实时信息处理、动力系统及车身底盘等相关电气负载信息显示及故障报警的能力，实现车辆运行状态实时监控，能耗统计、驾驶员技能行为分析、驾驶员安全行为分析、线路驾驶规范、事故疑点数据采集与分析等功能并实现与DSM设备交互实现人脸识别、语音播报等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2.车辆智能视频监控报警装置（含DSM和ADAS），具备驾驶员不安全驾驶行为监控和车辆前方行驶碰撞预警功能：符合《交通运输部办公厅关于推广应用智能视频监控报警技术的通知》（交办运〔2018〕115 号）附件“道路运输车辆智能视频监控报警装置技术规范（暂行）”及符合浙江省道路运输协会发布的《道路运输车辆智能视频监控报警系统终端技术规范》（T/ZJRTA 01—2018）要求。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3.与采购人云总线系统信息传输全面对接匹配。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4.系统要求质保期8年，投标人须中标后10天内提交质保承诺书，质保期承诺须由配套产品厂家和车辆制造厂家共同书面承诺。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车载智慧云模块</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装车载智慧云模块，CAN总线通过车载智慧云模块无缝对接公交现有管理系统，云模块兼容采购方现有标准协议；云模块支持多策略上传数据，要求能够无缝对接现有功能，与系统实现无缝对接，若无法对接的，由投标人自行承担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2.免费质保8年+配备日常更换零件，附承诺书原件。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电子设备箱</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color w:val="D61BE1"/>
                <w:kern w:val="2"/>
                <w:sz w:val="28"/>
                <w:szCs w:val="28"/>
                <w:highlight w:val="none"/>
                <w:u w:val="none"/>
                <w:shd w:val="clear" w:color="auto" w:fill="auto"/>
                <w:lang w:val="en-US" w:eastAsia="zh-CN" w:bidi="ar-SA"/>
              </w:rPr>
            </w:pPr>
            <w:r>
              <w:rPr>
                <w:rFonts w:hint="eastAsia" w:ascii="仿宋" w:hAnsi="仿宋" w:eastAsia="仿宋" w:cs="仿宋"/>
                <w:sz w:val="28"/>
                <w:szCs w:val="28"/>
              </w:rPr>
              <w:t>在适当位置安装电子设备箱，内部可抽拉式、多方位开启，设置5层以上，每层间隔不得低于13公分，箱体四角为圆角，采用不锈钢材质。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360全景及电子后视镜系统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1.高清显示，两块12.3英寸高清车规级显示屏（1920x720P），左屏分区显示，2/3后视显示，1/3显示360环视，车速大于20KM/H切换为全屏显示，右屏后视全屏显示。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2.支持2路1080P高清分辨率摄像头（1920x1080），其中两路后视摄像头，支持4路360环视摄像头，摄像头为标清摄像头。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3.自动画面，支持CAN传输通用协议，并可根据车速和左右转弯信号进行左边12.3寸屏画面的自动切换。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4.自动光感，屏幕亮度自适应调节，适应白天和晚上各种应用场景，自适应防眩护目。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5.预留TF卡插卡卡槽，支持扩展视频录制，最大支持128G TF卡存储, 具备模拟视频输出能力。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6.系统可以提供车辆四周360度全景鸟瞰图，司机在驾驶位就可以了看到车辆四周的状况，无盲区。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7.系统采用红外超广角摄像头，能够适应不同的光源。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8.多种视图模式切换，分别是前视行车图，倒车后视视图，左侧行车视图，右侧行车视图，倒车视图可以替代传统的倒车监控。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9.质保8年，含易损易耗件，要求本地维护，投标人须中标后10天内提交质保承诺书，质保期承诺须由配套产品厂家和车辆制造厂家共同书面承诺。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投币箱</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投币机机头为透明机头，纸币硬币共口投入（不带真假币识别），带票夹，标配内胆</w:t>
            </w:r>
            <w:r>
              <w:rPr>
                <w:rFonts w:hint="eastAsia" w:ascii="仿宋" w:hAnsi="仿宋" w:eastAsia="仿宋" w:cs="仿宋"/>
                <w:sz w:val="28"/>
                <w:szCs w:val="28"/>
                <w:lang w:val="en-US" w:eastAsia="zh-CN"/>
              </w:rPr>
              <w:t>4</w:t>
            </w:r>
            <w:r>
              <w:rPr>
                <w:rFonts w:hint="eastAsia" w:ascii="仿宋" w:hAnsi="仿宋" w:eastAsia="仿宋" w:cs="仿宋"/>
                <w:sz w:val="28"/>
                <w:szCs w:val="28"/>
              </w:rPr>
              <w:t>只。投币机内设置翻板，并实现前门开关打开前门时，内置翻板自动翻板。</w:t>
            </w:r>
          </w:p>
          <w:p>
            <w:pPr>
              <w:numPr>
                <w:ilvl w:val="0"/>
                <w:numId w:val="0"/>
              </w:numPr>
              <w:adjustRightInd w:val="0"/>
              <w:snapToGrid w:val="0"/>
              <w:spacing w:line="320" w:lineRule="exact"/>
              <w:jc w:val="left"/>
              <w:rPr>
                <w:rFonts w:hint="eastAsia" w:ascii="仿宋" w:hAnsi="仿宋" w:eastAsia="仿宋" w:cs="仿宋"/>
                <w:b w:val="0"/>
                <w:color w:val="auto"/>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质保8年+日常维修配件，并附承诺书原件。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其他</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车内车载电视，车后广告显示屏，车内</w:t>
            </w:r>
            <w:r>
              <w:rPr>
                <w:rFonts w:hint="eastAsia" w:ascii="仿宋" w:hAnsi="仿宋" w:eastAsia="仿宋" w:cs="仿宋"/>
                <w:sz w:val="28"/>
                <w:szCs w:val="28"/>
                <w:lang w:val="en-US" w:eastAsia="zh-CN"/>
              </w:rPr>
              <w:t>LCD等大功率电器</w:t>
            </w:r>
            <w:r>
              <w:rPr>
                <w:rFonts w:hint="eastAsia" w:ascii="仿宋" w:hAnsi="仿宋" w:eastAsia="仿宋" w:cs="仿宋"/>
                <w:sz w:val="28"/>
                <w:szCs w:val="28"/>
                <w:lang w:eastAsia="zh-CN"/>
              </w:rPr>
              <w:t>通过动力电池供电。</w:t>
            </w:r>
          </w:p>
          <w:p>
            <w:pPr>
              <w:numPr>
                <w:ilvl w:val="0"/>
                <w:numId w:val="0"/>
              </w:num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2.预留一组24V的DCDC电源备用。</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预留前门的IC卡POS机线束。</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.预留车载WIFI设备线束。</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.安装可打印式行车记录仪。</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6.采购方其他采购的设备，由中标方负责安装</w:t>
            </w:r>
            <w:r>
              <w:rPr>
                <w:rFonts w:hint="eastAsia" w:ascii="仿宋" w:hAnsi="仿宋" w:eastAsia="仿宋" w:cs="仿宋"/>
                <w:sz w:val="28"/>
                <w:szCs w:val="28"/>
                <w:lang w:eastAsia="zh-CN"/>
              </w:rPr>
              <w:t>。</w:t>
            </w:r>
          </w:p>
          <w:p>
            <w:p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7.全车低压供电24V。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b/>
                <w:bCs/>
                <w:color w:val="auto"/>
                <w:sz w:val="28"/>
                <w:szCs w:val="28"/>
                <w:highlight w:val="none"/>
                <w:u w:val="none"/>
                <w:shd w:val="clear" w:color="auto" w:fill="auto"/>
                <w:lang w:val="en-US" w:eastAsia="zh-CN"/>
              </w:rPr>
            </w:pPr>
            <w:r>
              <w:rPr>
                <w:rFonts w:hint="eastAsia" w:ascii="仿宋" w:hAnsi="仿宋" w:eastAsia="仿宋" w:cs="仿宋"/>
                <w:b/>
                <w:bCs/>
                <w:color w:val="auto"/>
                <w:sz w:val="28"/>
                <w:szCs w:val="28"/>
                <w:highlight w:val="none"/>
                <w:u w:val="none"/>
                <w:shd w:val="clear" w:color="auto" w:fill="auto"/>
                <w:lang w:val="en-US" w:eastAsia="zh-CN"/>
              </w:rPr>
              <w:t>10</w:t>
            </w:r>
            <w:r>
              <w:rPr>
                <w:rFonts w:hint="eastAsia" w:ascii="仿宋" w:hAnsi="仿宋" w:eastAsia="仿宋" w:cs="仿宋"/>
                <w:b/>
                <w:bCs/>
                <w:color w:val="auto"/>
                <w:sz w:val="28"/>
                <w:szCs w:val="28"/>
                <w:highlight w:val="none"/>
                <w:u w:val="none"/>
                <w:shd w:val="clear" w:color="auto" w:fill="auto"/>
              </w:rPr>
              <w:t>.随车</w:t>
            </w:r>
            <w:r>
              <w:rPr>
                <w:rFonts w:hint="eastAsia" w:ascii="仿宋" w:hAnsi="仿宋" w:eastAsia="仿宋" w:cs="仿宋"/>
                <w:b/>
                <w:bCs/>
                <w:color w:val="auto"/>
                <w:sz w:val="28"/>
                <w:szCs w:val="28"/>
                <w:highlight w:val="none"/>
                <w:u w:val="none"/>
                <w:shd w:val="clear" w:color="auto" w:fill="auto"/>
                <w:lang w:eastAsia="zh-CN"/>
              </w:rPr>
              <w:t>及其他</w:t>
            </w:r>
            <w:r>
              <w:rPr>
                <w:rFonts w:hint="eastAsia" w:ascii="仿宋" w:hAnsi="仿宋" w:eastAsia="仿宋" w:cs="仿宋"/>
                <w:b/>
                <w:bCs/>
                <w:color w:val="auto"/>
                <w:sz w:val="28"/>
                <w:szCs w:val="28"/>
                <w:highlight w:val="none"/>
                <w:u w:val="none"/>
                <w:shd w:val="clear" w:color="auto" w:fill="auto"/>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sz w:val="28"/>
                <w:szCs w:val="28"/>
                <w:lang w:val="en-US" w:eastAsia="zh-CN"/>
              </w:rPr>
              <w:t>1.</w:t>
            </w:r>
            <w:r>
              <w:rPr>
                <w:rFonts w:hint="eastAsia" w:ascii="仿宋" w:hAnsi="仿宋" w:eastAsia="仿宋" w:cs="仿宋"/>
                <w:color w:val="auto"/>
                <w:sz w:val="28"/>
                <w:szCs w:val="28"/>
                <w:highlight w:val="none"/>
                <w:u w:val="none"/>
                <w:shd w:val="clear" w:color="auto" w:fill="auto"/>
                <w:lang w:eastAsia="zh-CN"/>
              </w:rPr>
              <w:t>车厢内安装一个不锈钢置物箱，置物箱式样及安装位置与采购方对接后确认。</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提供一台车辆故障检测仪。</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lang w:eastAsia="zh-CN"/>
              </w:rPr>
              <w:t>每辆车配一个备胎、</w:t>
            </w:r>
            <w:r>
              <w:rPr>
                <w:rFonts w:hint="eastAsia" w:ascii="仿宋" w:hAnsi="仿宋" w:eastAsia="仿宋" w:cs="仿宋"/>
                <w:color w:val="auto"/>
                <w:sz w:val="28"/>
                <w:szCs w:val="28"/>
                <w:highlight w:val="none"/>
                <w:u w:val="none"/>
                <w:shd w:val="clear" w:color="auto" w:fill="auto"/>
              </w:rPr>
              <w:t>随车工具一套（含发动机备件箱一套）。三角警示牌1个、</w:t>
            </w:r>
            <w:r>
              <w:rPr>
                <w:rFonts w:hint="eastAsia" w:ascii="仿宋" w:hAnsi="仿宋" w:eastAsia="仿宋" w:cs="仿宋"/>
                <w:color w:val="auto"/>
                <w:sz w:val="28"/>
                <w:szCs w:val="28"/>
                <w:highlight w:val="none"/>
                <w:u w:val="none"/>
                <w:shd w:val="clear" w:color="auto" w:fill="auto"/>
                <w:lang w:eastAsia="zh-CN"/>
              </w:rPr>
              <w:t>止推器</w:t>
            </w: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个、反光背心</w:t>
            </w:r>
            <w:r>
              <w:rPr>
                <w:rFonts w:hint="eastAsia" w:ascii="仿宋" w:hAnsi="仿宋" w:eastAsia="仿宋" w:cs="仿宋"/>
                <w:color w:val="auto"/>
                <w:sz w:val="28"/>
                <w:szCs w:val="28"/>
                <w:highlight w:val="none"/>
                <w:u w:val="none"/>
                <w:shd w:val="clear" w:color="auto" w:fill="auto"/>
                <w:lang w:val="en-US" w:eastAsia="zh-CN"/>
              </w:rPr>
              <w:t>1件，</w:t>
            </w:r>
            <w:r>
              <w:rPr>
                <w:rFonts w:hint="eastAsia" w:ascii="仿宋" w:hAnsi="仿宋" w:eastAsia="仿宋" w:cs="仿宋"/>
                <w:color w:val="auto"/>
                <w:sz w:val="28"/>
                <w:szCs w:val="28"/>
                <w:highlight w:val="none"/>
                <w:u w:val="none"/>
                <w:shd w:val="clear" w:color="auto" w:fill="auto"/>
              </w:rPr>
              <w:t>内外喊话器（内外扬声器）。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前后门轴上设置禁止攀扶标志。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D61BE1"/>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安装</w:t>
            </w:r>
            <w:r>
              <w:rPr>
                <w:rFonts w:hint="eastAsia" w:ascii="仿宋" w:hAnsi="仿宋" w:eastAsia="仿宋" w:cs="仿宋"/>
                <w:color w:val="auto"/>
                <w:sz w:val="28"/>
                <w:szCs w:val="28"/>
                <w:highlight w:val="none"/>
                <w:u w:val="none"/>
                <w:shd w:val="clear" w:color="auto" w:fill="auto"/>
                <w:lang w:eastAsia="zh-CN"/>
              </w:rPr>
              <w:t>垃圾分类专用垃圾桶，尺寸、外观等由采购方提供</w:t>
            </w:r>
            <w:r>
              <w:rPr>
                <w:rFonts w:hint="eastAsia" w:ascii="仿宋" w:hAnsi="仿宋" w:eastAsia="仿宋" w:cs="仿宋"/>
                <w:color w:val="auto"/>
                <w:sz w:val="28"/>
                <w:szCs w:val="28"/>
                <w:highlight w:val="none"/>
                <w:u w:val="none"/>
                <w:shd w:val="clear" w:color="auto" w:fill="auto"/>
              </w:rPr>
              <w:t>。在驾驶室前区域合理放置便民服务箱。安装意见箱，尺寸由采购方提供。</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车辆前挡序号与车钢印相符表格一份;配整车电路图十份;主要配件生产型号或图号及生产厂家十份。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sz w:val="28"/>
                <w:szCs w:val="28"/>
                <w:lang w:val="en-US" w:eastAsia="zh-CN" w:bidi="ar-SA"/>
              </w:rPr>
              <w:t>6.</w:t>
            </w:r>
            <w:r>
              <w:rPr>
                <w:rFonts w:hint="eastAsia" w:ascii="仿宋" w:hAnsi="仿宋" w:eastAsia="仿宋" w:cs="仿宋"/>
                <w:sz w:val="28"/>
                <w:szCs w:val="28"/>
                <w:lang w:val="en-US" w:bidi="ar-SA"/>
              </w:rPr>
              <w:t>零配件供应体系方案应完整（提供资料、型号、价格清单）</w:t>
            </w:r>
            <w:r>
              <w:rPr>
                <w:rFonts w:hint="eastAsia" w:ascii="仿宋" w:hAnsi="仿宋" w:eastAsia="仿宋" w:cs="仿宋"/>
                <w:color w:val="auto"/>
                <w:sz w:val="28"/>
                <w:szCs w:val="28"/>
                <w:highlight w:val="none"/>
                <w:u w:val="none"/>
                <w:shd w:val="clear" w:color="auto" w:fill="auto"/>
              </w:rPr>
              <w:t xml:space="preserve"> </w:t>
            </w:r>
          </w:p>
        </w:tc>
      </w:tr>
    </w:tbl>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p>
    <w:p>
      <w:pPr>
        <w:pStyle w:val="6"/>
        <w:rPr>
          <w:rFonts w:hint="eastAsia" w:ascii="仿宋" w:hAnsi="仿宋" w:eastAsia="仿宋" w:cs="仿宋"/>
          <w:b/>
          <w:color w:val="auto"/>
          <w:spacing w:val="-8"/>
          <w:szCs w:val="21"/>
          <w:highlight w:val="none"/>
          <w:u w:val="none"/>
        </w:rPr>
      </w:pPr>
    </w:p>
    <w:p>
      <w:pPr>
        <w:pStyle w:val="6"/>
        <w:rPr>
          <w:rFonts w:hint="eastAsia" w:ascii="仿宋" w:hAnsi="仿宋" w:eastAsia="仿宋" w:cs="仿宋"/>
          <w:b/>
          <w:color w:val="auto"/>
          <w:spacing w:val="-8"/>
          <w:szCs w:val="21"/>
          <w:highlight w:val="none"/>
          <w:u w:val="none"/>
        </w:rPr>
      </w:pPr>
    </w:p>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r>
        <w:rPr>
          <w:rFonts w:hint="eastAsia" w:ascii="仿宋" w:hAnsi="仿宋" w:eastAsia="仿宋" w:cs="仿宋"/>
          <w:b/>
          <w:color w:val="auto"/>
          <w:spacing w:val="-8"/>
          <w:szCs w:val="21"/>
          <w:highlight w:val="none"/>
          <w:u w:val="none"/>
        </w:rPr>
        <w:t>表</w:t>
      </w:r>
      <w:r>
        <w:rPr>
          <w:rFonts w:hint="eastAsia" w:ascii="仿宋" w:hAnsi="仿宋" w:eastAsia="仿宋" w:cs="仿宋"/>
          <w:b/>
          <w:color w:val="auto"/>
          <w:spacing w:val="-8"/>
          <w:szCs w:val="21"/>
          <w:highlight w:val="none"/>
          <w:u w:val="none"/>
          <w:lang w:val="en-US" w:eastAsia="zh-CN"/>
        </w:rPr>
        <w:t>1</w:t>
      </w:r>
      <w:r>
        <w:rPr>
          <w:rFonts w:hint="eastAsia" w:ascii="仿宋" w:hAnsi="仿宋" w:eastAsia="仿宋" w:cs="仿宋"/>
          <w:b/>
          <w:color w:val="auto"/>
          <w:spacing w:val="-8"/>
          <w:szCs w:val="21"/>
          <w:highlight w:val="none"/>
          <w:u w:val="none"/>
        </w:rPr>
        <w:t>：设备安装要求</w:t>
      </w:r>
    </w:p>
    <w:tbl>
      <w:tblPr>
        <w:tblStyle w:val="16"/>
        <w:tblW w:w="89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4282"/>
        <w:gridCol w:w="739"/>
        <w:gridCol w:w="850"/>
        <w:gridCol w:w="1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69" w:hRule="atLeast"/>
          <w:jc w:val="center"/>
        </w:trPr>
        <w:tc>
          <w:tcPr>
            <w:tcW w:w="8920" w:type="dxa"/>
            <w:gridSpan w:val="5"/>
            <w:noWrap w:val="0"/>
            <w:vAlign w:val="top"/>
          </w:tcPr>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1、</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安装一体机；支持电信4G</w:t>
            </w:r>
            <w:r>
              <w:rPr>
                <w:rFonts w:hint="eastAsia" w:ascii="仿宋" w:hAnsi="仿宋" w:eastAsia="仿宋" w:cs="仿宋"/>
                <w:color w:val="auto"/>
                <w:szCs w:val="21"/>
                <w:highlight w:val="none"/>
                <w:u w:val="none"/>
                <w:lang w:eastAsia="zh-CN"/>
              </w:rPr>
              <w:t>或</w:t>
            </w:r>
            <w:r>
              <w:rPr>
                <w:rFonts w:hint="eastAsia" w:ascii="仿宋" w:hAnsi="仿宋" w:eastAsia="仿宋" w:cs="仿宋"/>
                <w:color w:val="auto"/>
                <w:szCs w:val="21"/>
                <w:highlight w:val="none"/>
                <w:u w:val="none"/>
                <w:lang w:val="en-US" w:eastAsia="zh-CN"/>
              </w:rPr>
              <w:t>4G</w:t>
            </w:r>
            <w:r>
              <w:rPr>
                <w:rFonts w:hint="eastAsia" w:ascii="仿宋" w:hAnsi="仿宋" w:eastAsia="仿宋" w:cs="仿宋"/>
                <w:color w:val="auto"/>
                <w:szCs w:val="21"/>
                <w:highlight w:val="none"/>
                <w:u w:val="none"/>
                <w:lang w:eastAsia="zh-CN"/>
              </w:rPr>
              <w:t>以上</w:t>
            </w:r>
            <w:r>
              <w:rPr>
                <w:rFonts w:hint="eastAsia" w:ascii="仿宋" w:hAnsi="仿宋" w:eastAsia="仿宋" w:cs="仿宋"/>
                <w:color w:val="auto"/>
                <w:szCs w:val="21"/>
                <w:highlight w:val="none"/>
                <w:u w:val="none"/>
              </w:rPr>
              <w:t>网络制式；支持GPS定位；配备500G</w:t>
            </w:r>
            <w:r>
              <w:rPr>
                <w:rFonts w:hint="eastAsia" w:ascii="仿宋" w:hAnsi="仿宋" w:eastAsia="仿宋" w:cs="仿宋"/>
                <w:color w:val="auto"/>
                <w:szCs w:val="21"/>
                <w:highlight w:val="none"/>
                <w:u w:val="none"/>
                <w:lang w:eastAsia="zh-CN"/>
              </w:rPr>
              <w:t>固态硬盘</w:t>
            </w:r>
            <w:r>
              <w:rPr>
                <w:rFonts w:hint="eastAsia" w:ascii="仿宋" w:hAnsi="仿宋" w:eastAsia="仿宋" w:cs="仿宋"/>
                <w:color w:val="auto"/>
                <w:szCs w:val="21"/>
                <w:highlight w:val="none"/>
                <w:u w:val="none"/>
              </w:rPr>
              <w:t>的车载硬盘；要求车辆配备分层可抽拉的设备箱；</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2、</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安装信息终端，要求内嵌式安装在司机位置仪表台右侧，配备遮阳罩；</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3、</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鹅颈麦克安装在司机位置仪表台左上角；</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4、</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安装GPS定位天线到车外顶部；</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5、</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在驾驶员附近安装用于和调度中心通话的喇叭；</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6、</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6路摄像头监控区域：①照车前；②从前往后照车箱；③照前门、投币机；④照司机；⑤照中门；⑥照倒车；其中照车前的摄像头要求安装在仪表台上；</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7、</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安装协议转换器，可以采集车辆CAN总线的各种数据并通过GPS车载机发送到智能调度中心；</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8、安装协议转换器，可以将IC卡数据通过GPS车载机发送到智能调度中心；同时实现与相应厂家路牌的通讯。</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9、安装客流分析仪，主机要求水平安装在风道内，并在风道上开检修门以方便检修；摄像头安装在前门/后门正上方，镜头要求与车身平行安装，摄像头正面朝下并无遮挡物遮挡；门打开或关闭时提供脉冲电平（24V），且要求放置在主机位置处。</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10、驾驶员安全行车分析仪，主机设备安装必须便于使用U盘拷贝更新新程序和更换SM卡，便于配件的维护及设备的更换，要求主机的两侧需流出足够的操作空间。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0" w:hRule="atLeast"/>
          <w:jc w:val="center"/>
        </w:trPr>
        <w:tc>
          <w:tcPr>
            <w:tcW w:w="5563" w:type="dxa"/>
            <w:gridSpan w:val="2"/>
            <w:tcBorders>
              <w:top w:val="nil"/>
              <w:left w:val="nil"/>
              <w:bottom w:val="nil"/>
              <w:right w:val="nil"/>
            </w:tcBorders>
            <w:noWrap w:val="0"/>
            <w:vAlign w:val="center"/>
          </w:tcPr>
          <w:p>
            <w:pPr>
              <w:widowControl/>
              <w:adjustRightInd w:val="0"/>
              <w:snapToGrid w:val="0"/>
              <w:spacing w:line="320" w:lineRule="exact"/>
              <w:rPr>
                <w:rFonts w:hint="eastAsia" w:ascii="仿宋" w:hAnsi="仿宋" w:eastAsia="仿宋" w:cs="仿宋"/>
                <w:b/>
                <w:bCs/>
                <w:color w:val="auto"/>
                <w:kern w:val="0"/>
                <w:szCs w:val="21"/>
                <w:highlight w:val="none"/>
                <w:u w:val="none"/>
              </w:rPr>
            </w:pPr>
          </w:p>
          <w:p>
            <w:pPr>
              <w:widowControl/>
              <w:adjustRightInd w:val="0"/>
              <w:snapToGrid w:val="0"/>
              <w:spacing w:line="320" w:lineRule="exact"/>
              <w:rPr>
                <w:rFonts w:hint="eastAsia" w:ascii="仿宋" w:hAnsi="仿宋" w:eastAsia="仿宋" w:cs="仿宋"/>
                <w:b/>
                <w:bCs/>
                <w:color w:val="auto"/>
                <w:kern w:val="0"/>
                <w:szCs w:val="21"/>
                <w:highlight w:val="none"/>
                <w:u w:val="none"/>
              </w:rPr>
            </w:pPr>
            <w:r>
              <w:rPr>
                <w:rFonts w:hint="eastAsia" w:ascii="仿宋" w:hAnsi="仿宋" w:eastAsia="仿宋" w:cs="仿宋"/>
                <w:b/>
                <w:bCs/>
                <w:color w:val="auto"/>
                <w:kern w:val="0"/>
                <w:szCs w:val="21"/>
                <w:highlight w:val="none"/>
                <w:u w:val="none"/>
              </w:rPr>
              <w:t>表</w:t>
            </w:r>
            <w:r>
              <w:rPr>
                <w:rFonts w:hint="eastAsia" w:ascii="仿宋" w:hAnsi="仿宋" w:eastAsia="仿宋" w:cs="仿宋"/>
                <w:b/>
                <w:bCs/>
                <w:color w:val="auto"/>
                <w:kern w:val="0"/>
                <w:szCs w:val="21"/>
                <w:highlight w:val="none"/>
                <w:u w:val="none"/>
                <w:lang w:val="en-US" w:eastAsia="zh-CN"/>
              </w:rPr>
              <w:t>2</w:t>
            </w:r>
            <w:r>
              <w:rPr>
                <w:rFonts w:hint="eastAsia" w:ascii="仿宋" w:hAnsi="仿宋" w:eastAsia="仿宋" w:cs="仿宋"/>
                <w:b/>
                <w:bCs/>
                <w:color w:val="auto"/>
                <w:kern w:val="0"/>
                <w:szCs w:val="21"/>
                <w:highlight w:val="none"/>
                <w:u w:val="none"/>
              </w:rPr>
              <w:t>：车载移动电视目录</w:t>
            </w:r>
          </w:p>
        </w:tc>
        <w:tc>
          <w:tcPr>
            <w:tcW w:w="739"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850"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1768"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0" w:hRule="atLeast"/>
          <w:jc w:val="center"/>
        </w:trPr>
        <w:tc>
          <w:tcPr>
            <w:tcW w:w="128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名称</w:t>
            </w:r>
          </w:p>
        </w:tc>
        <w:tc>
          <w:tcPr>
            <w:tcW w:w="4282"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功能</w:t>
            </w:r>
          </w:p>
        </w:tc>
        <w:tc>
          <w:tcPr>
            <w:tcW w:w="739"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单位</w:t>
            </w:r>
          </w:p>
        </w:tc>
        <w:tc>
          <w:tcPr>
            <w:tcW w:w="850"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数量</w:t>
            </w:r>
          </w:p>
        </w:tc>
        <w:tc>
          <w:tcPr>
            <w:tcW w:w="1768"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0" w:hRule="atLeast"/>
          <w:jc w:val="center"/>
        </w:trPr>
        <w:tc>
          <w:tcPr>
            <w:tcW w:w="128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4282"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739"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1768"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24" w:hRule="atLeast"/>
          <w:jc w:val="center"/>
        </w:trPr>
        <w:tc>
          <w:tcPr>
            <w:tcW w:w="12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车载播放器</w:t>
            </w:r>
          </w:p>
        </w:tc>
        <w:tc>
          <w:tcPr>
            <w:tcW w:w="4282" w:type="dxa"/>
            <w:tcBorders>
              <w:top w:val="nil"/>
              <w:left w:val="nil"/>
              <w:bottom w:val="single" w:color="000000"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用于视频接收播放功能</w:t>
            </w:r>
          </w:p>
        </w:tc>
        <w:tc>
          <w:tcPr>
            <w:tcW w:w="739"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台</w:t>
            </w:r>
          </w:p>
        </w:tc>
        <w:tc>
          <w:tcPr>
            <w:tcW w:w="850"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1</w:t>
            </w:r>
          </w:p>
        </w:tc>
        <w:tc>
          <w:tcPr>
            <w:tcW w:w="1768"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Wifi模块</w:t>
            </w:r>
          </w:p>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安全电池</w:t>
            </w:r>
          </w:p>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8G存储卡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0" w:hRule="atLeast"/>
          <w:jc w:val="center"/>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LED显示器</w:t>
            </w:r>
          </w:p>
        </w:tc>
        <w:tc>
          <w:tcPr>
            <w:tcW w:w="4282"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 xml:space="preserve"> LED车用液晶显示屏</w:t>
            </w:r>
          </w:p>
        </w:tc>
        <w:tc>
          <w:tcPr>
            <w:tcW w:w="739"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台</w:t>
            </w:r>
          </w:p>
        </w:tc>
        <w:tc>
          <w:tcPr>
            <w:tcW w:w="850"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lang w:eastAsia="zh-CN"/>
              </w:rPr>
            </w:pPr>
            <w:r>
              <w:rPr>
                <w:rFonts w:hint="eastAsia" w:ascii="仿宋" w:hAnsi="仿宋" w:eastAsia="仿宋" w:cs="仿宋"/>
                <w:color w:val="auto"/>
                <w:kern w:val="0"/>
                <w:szCs w:val="21"/>
                <w:highlight w:val="none"/>
                <w:u w:val="none"/>
                <w:lang w:val="en-US" w:eastAsia="zh-CN"/>
              </w:rPr>
              <w:t>1</w:t>
            </w:r>
          </w:p>
        </w:tc>
        <w:tc>
          <w:tcPr>
            <w:tcW w:w="1768"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18.5寸　</w:t>
            </w:r>
          </w:p>
        </w:tc>
      </w:tr>
    </w:tbl>
    <w:p>
      <w:pPr>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t>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1.</w:t>
      </w:r>
      <w:r>
        <w:rPr>
          <w:rFonts w:hint="eastAsia" w:ascii="仿宋" w:hAnsi="仿宋" w:eastAsia="仿宋" w:cs="仿宋"/>
          <w:color w:val="auto"/>
          <w:sz w:val="24"/>
          <w:highlight w:val="none"/>
          <w:u w:val="none"/>
        </w:rPr>
        <w:t>在车辆检查或使用中发现响应配置与实际配置不相符的，按虚假应标处理，上报财政，追究差额及相关损失，并处以一定的罚款，由</w:t>
      </w:r>
      <w:r>
        <w:rPr>
          <w:rFonts w:hint="eastAsia" w:ascii="仿宋" w:hAnsi="仿宋" w:eastAsia="仿宋" w:cs="仿宋"/>
          <w:color w:val="auto"/>
          <w:sz w:val="24"/>
          <w:highlight w:val="none"/>
          <w:u w:val="none"/>
          <w:lang w:eastAsia="zh-CN"/>
        </w:rPr>
        <w:t>采购人</w:t>
      </w:r>
      <w:r>
        <w:rPr>
          <w:rFonts w:hint="eastAsia" w:ascii="仿宋" w:hAnsi="仿宋" w:eastAsia="仿宋" w:cs="仿宋"/>
          <w:color w:val="auto"/>
          <w:sz w:val="24"/>
          <w:highlight w:val="none"/>
          <w:u w:val="none"/>
        </w:rPr>
        <w:t>直接在应付款（包括中标厂家其他批次的应付款）中扣除。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中标车辆必须符合</w:t>
      </w:r>
      <w:r>
        <w:rPr>
          <w:rFonts w:hint="eastAsia" w:ascii="仿宋" w:hAnsi="仿宋" w:eastAsia="仿宋" w:cs="仿宋"/>
          <w:color w:val="auto"/>
          <w:sz w:val="24"/>
          <w:highlight w:val="none"/>
          <w:u w:val="none"/>
          <w:lang w:eastAsia="zh-CN"/>
        </w:rPr>
        <w:t>台州</w:t>
      </w:r>
      <w:r>
        <w:rPr>
          <w:rFonts w:hint="eastAsia" w:ascii="仿宋" w:hAnsi="仿宋" w:eastAsia="仿宋" w:cs="仿宋"/>
          <w:color w:val="auto"/>
          <w:sz w:val="24"/>
          <w:highlight w:val="none"/>
          <w:u w:val="none"/>
        </w:rPr>
        <w:t>地区上牌要求，由中标厂家完成车辆上牌工作，其正常检测上牌费用凭发票由</w:t>
      </w:r>
      <w:r>
        <w:rPr>
          <w:rFonts w:hint="eastAsia" w:ascii="仿宋" w:hAnsi="仿宋" w:eastAsia="仿宋" w:cs="仿宋"/>
          <w:color w:val="auto"/>
          <w:sz w:val="24"/>
          <w:highlight w:val="none"/>
          <w:u w:val="none"/>
          <w:lang w:eastAsia="zh-CN"/>
        </w:rPr>
        <w:t>采购</w:t>
      </w:r>
      <w:r>
        <w:rPr>
          <w:rFonts w:hint="eastAsia" w:ascii="仿宋" w:hAnsi="仿宋" w:eastAsia="仿宋" w:cs="仿宋"/>
          <w:color w:val="auto"/>
          <w:sz w:val="24"/>
          <w:highlight w:val="none"/>
          <w:u w:val="none"/>
        </w:rPr>
        <w:t>支付。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3.</w:t>
      </w:r>
      <w:r>
        <w:rPr>
          <w:rFonts w:hint="eastAsia" w:ascii="仿宋" w:hAnsi="仿宋" w:eastAsia="仿宋" w:cs="仿宋"/>
          <w:color w:val="auto"/>
          <w:sz w:val="24"/>
          <w:highlight w:val="none"/>
          <w:u w:val="none"/>
        </w:rPr>
        <w:t>所有的终端设备产品，必须在中标厂家安装完毕后方可出厂。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中标厂家必须履行质保承诺，在约定时间未作出响应而造成损失的，招标单位有权自行联系维修，所产生的直接费用与损失由中标厂家承担，招标单位有权直接在应付款（包括中标厂家其他批次的应付款）中扣除，造成严重后果的，将通过法律途径维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5.</w:t>
      </w:r>
      <w:r>
        <w:rPr>
          <w:rFonts w:hint="eastAsia" w:ascii="仿宋" w:hAnsi="仿宋" w:eastAsia="仿宋" w:cs="仿宋"/>
          <w:color w:val="auto"/>
          <w:sz w:val="24"/>
          <w:highlight w:val="none"/>
          <w:u w:val="none"/>
        </w:rPr>
        <w:t>整车运行安全技术条件必须符合中华人民共和国国家标准或相关行业标准，同时依据国家有关产品质量法规和制造标准、技术要求等邀约进行验收。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6.</w:t>
      </w:r>
      <w:r>
        <w:rPr>
          <w:rFonts w:hint="eastAsia" w:ascii="仿宋" w:hAnsi="仿宋" w:eastAsia="仿宋" w:cs="仿宋"/>
          <w:color w:val="auto"/>
          <w:sz w:val="24"/>
          <w:highlight w:val="none"/>
          <w:u w:val="none"/>
        </w:rPr>
        <w:t>投标厂家需认真阅读并完全理解本技术配置要求，投标人无权擅自改动或降低相关标准与要求。。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7.</w:t>
      </w:r>
      <w:r>
        <w:rPr>
          <w:rFonts w:hint="eastAsia" w:ascii="仿宋" w:hAnsi="仿宋" w:eastAsia="仿宋" w:cs="仿宋"/>
          <w:color w:val="auto"/>
          <w:sz w:val="24"/>
          <w:highlight w:val="none"/>
          <w:u w:val="none"/>
        </w:rPr>
        <w:t>【</w:t>
      </w: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4"/>
          <w:highlight w:val="none"/>
          <w:u w:val="none"/>
        </w:rPr>
        <w:t>】动力电池须在质保期内做好定期保养维护，由投标人提供维护方案。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4"/>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4"/>
          <w:highlight w:val="none"/>
          <w:u w:val="none"/>
        </w:rPr>
      </w:pPr>
      <w:r>
        <w:rPr>
          <w:rFonts w:hint="eastAsia" w:ascii="仿宋" w:hAnsi="仿宋" w:eastAsia="仿宋" w:cs="仿宋"/>
          <w:b/>
          <w:bCs/>
          <w:color w:val="auto"/>
          <w:sz w:val="24"/>
          <w:highlight w:val="none"/>
          <w:u w:val="none"/>
        </w:rPr>
        <w:t>各部件保修期要求</w:t>
      </w:r>
    </w:p>
    <w:tbl>
      <w:tblPr>
        <w:tblStyle w:val="16"/>
        <w:tblW w:w="993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134"/>
        <w:gridCol w:w="4900"/>
        <w:gridCol w:w="16"/>
        <w:gridCol w:w="1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134"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部件名称</w:t>
            </w:r>
          </w:p>
        </w:tc>
        <w:tc>
          <w:tcPr>
            <w:tcW w:w="4916" w:type="dxa"/>
            <w:gridSpan w:val="2"/>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保修范围</w:t>
            </w:r>
          </w:p>
        </w:tc>
        <w:tc>
          <w:tcPr>
            <w:tcW w:w="115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保修期限</w:t>
            </w:r>
          </w:p>
        </w:tc>
        <w:tc>
          <w:tcPr>
            <w:tcW w:w="215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trPr>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储能电池</w:t>
            </w:r>
          </w:p>
        </w:tc>
        <w:tc>
          <w:tcPr>
            <w:tcW w:w="4916"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在质保期内无偿每年定期质量检测，并对有问题的电池进行临时检测，质保期内电池组容量衰减不得超过20%，否则须无条件免费更换新电池</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驱动电机</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空调系统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电子水泵</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电驱空气压缩机</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电驱转向油泵</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前转向桥后驱动桥</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免维护专用车桥</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制动系统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暖风系统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免维护轮毂总成</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免维护轮毂总成质保（含易损、易耗件）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集中润滑</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车身防腐</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全车采用优质防腐蚀技术，骨架与蒙皮、骨架与地板等接合缝处采用聚氨酯密封胶进行密封防水防锈处理</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8年以上</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铝合金整体式风道</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乘客座椅</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PVC地板</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地板革</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乘客门</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门泵</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投币机</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电子后视镜360</w:t>
            </w:r>
            <w:r>
              <w:rPr>
                <w:rFonts w:hint="eastAsia" w:ascii="仿宋" w:hAnsi="仿宋" w:eastAsia="仿宋" w:cs="仿宋"/>
                <w:sz w:val="24"/>
                <w:szCs w:val="24"/>
                <w:lang w:eastAsia="zh-CN"/>
              </w:rPr>
              <w:t>及</w:t>
            </w:r>
            <w:r>
              <w:rPr>
                <w:rFonts w:hint="eastAsia" w:ascii="仿宋" w:hAnsi="仿宋" w:eastAsia="仿宋" w:cs="仿宋"/>
                <w:sz w:val="24"/>
                <w:szCs w:val="24"/>
              </w:rPr>
              <w:t>全景环视系统</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整车玻璃</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113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控制仓、高压仓、自动灭火弹</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1134"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电池箱灭火装置</w:t>
            </w:r>
          </w:p>
        </w:tc>
        <w:tc>
          <w:tcPr>
            <w:tcW w:w="490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车载智慧云模块</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免费质保（配备日常更换零件）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三级CAN总线</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调度终端设备</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视频监控</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主动安全终端</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bl>
    <w:p>
      <w:pPr>
        <w:pStyle w:val="6"/>
      </w:pPr>
    </w:p>
    <w:p>
      <w:pPr>
        <w:pStyle w:val="6"/>
      </w:pPr>
    </w:p>
    <w:p>
      <w:pPr>
        <w:pStyle w:val="6"/>
      </w:pPr>
    </w:p>
    <w:p>
      <w:pPr>
        <w:pStyle w:val="9"/>
        <w:snapToGrid w:val="0"/>
        <w:spacing w:line="360" w:lineRule="auto"/>
        <w:outlineLvl w:val="0"/>
        <w:rPr>
          <w:rFonts w:hint="eastAsia" w:ascii="仿宋" w:hAnsi="仿宋" w:eastAsia="仿宋" w:cs="仿宋"/>
          <w:b/>
          <w:color w:val="auto"/>
          <w:sz w:val="24"/>
          <w:highlight w:val="none"/>
          <w:u w:val="none"/>
          <w:lang w:val="en-US" w:eastAsia="zh-CN"/>
        </w:rPr>
      </w:pPr>
      <w:r>
        <w:rPr>
          <w:rFonts w:hint="eastAsia" w:ascii="仿宋" w:hAnsi="仿宋" w:eastAsia="仿宋" w:cs="仿宋"/>
          <w:b/>
          <w:color w:val="auto"/>
          <w:sz w:val="28"/>
          <w:szCs w:val="28"/>
          <w:highlight w:val="none"/>
          <w:shd w:val="clear" w:color="auto" w:fill="auto"/>
          <w:lang w:eastAsia="zh-CN"/>
        </w:rPr>
        <w:t>第三标段配置</w:t>
      </w:r>
      <w:r>
        <w:rPr>
          <w:rFonts w:hint="eastAsia" w:ascii="仿宋" w:hAnsi="仿宋" w:eastAsia="仿宋" w:cs="仿宋"/>
          <w:b/>
          <w:color w:val="auto"/>
          <w:sz w:val="28"/>
          <w:szCs w:val="28"/>
          <w:highlight w:val="none"/>
          <w:u w:val="none"/>
        </w:rPr>
        <w:t>：</w:t>
      </w:r>
      <w:r>
        <w:rPr>
          <w:rFonts w:hint="eastAsia" w:ascii="仿宋" w:hAnsi="仿宋" w:eastAsia="仿宋" w:cs="仿宋"/>
          <w:b/>
          <w:color w:val="auto"/>
          <w:sz w:val="24"/>
          <w:highlight w:val="none"/>
          <w:u w:val="none"/>
          <w:lang w:val="en-US" w:eastAsia="zh-CN"/>
        </w:rPr>
        <w:t>8</w:t>
      </w:r>
      <w:r>
        <w:rPr>
          <w:rFonts w:hint="eastAsia" w:ascii="仿宋" w:hAnsi="仿宋" w:eastAsia="仿宋" w:cs="仿宋"/>
          <w:b/>
          <w:color w:val="auto"/>
          <w:sz w:val="24"/>
          <w:highlight w:val="none"/>
          <w:u w:val="none"/>
        </w:rPr>
        <w:t>米</w:t>
      </w:r>
      <w:r>
        <w:rPr>
          <w:rFonts w:hint="eastAsia" w:ascii="仿宋" w:hAnsi="仿宋" w:eastAsia="仿宋" w:cs="仿宋"/>
          <w:b/>
          <w:color w:val="auto"/>
          <w:sz w:val="24"/>
          <w:highlight w:val="none"/>
          <w:u w:val="none"/>
          <w:lang w:val="en-US" w:eastAsia="zh-CN"/>
        </w:rPr>
        <w:t>5</w:t>
      </w:r>
      <w:r>
        <w:rPr>
          <w:rFonts w:hint="eastAsia" w:ascii="仿宋" w:hAnsi="仿宋" w:eastAsia="仿宋" w:cs="仿宋"/>
          <w:b/>
          <w:color w:val="auto"/>
          <w:sz w:val="24"/>
          <w:highlight w:val="none"/>
          <w:u w:val="none"/>
        </w:rPr>
        <w:t>级纯电动城市客车</w:t>
      </w:r>
      <w:r>
        <w:rPr>
          <w:rFonts w:hint="eastAsia" w:ascii="仿宋" w:hAnsi="仿宋" w:eastAsia="仿宋" w:cs="仿宋"/>
          <w:b/>
          <w:color w:val="auto"/>
          <w:sz w:val="24"/>
          <w:highlight w:val="none"/>
          <w:u w:val="none"/>
          <w:lang w:val="en-US" w:eastAsia="zh-CN"/>
        </w:rPr>
        <w:t>10</w:t>
      </w:r>
      <w:r>
        <w:rPr>
          <w:rFonts w:hint="eastAsia" w:ascii="仿宋" w:hAnsi="仿宋" w:eastAsia="仿宋" w:cs="仿宋"/>
          <w:b/>
          <w:color w:val="auto"/>
          <w:sz w:val="24"/>
          <w:highlight w:val="none"/>
          <w:u w:val="none"/>
        </w:rPr>
        <w:t>台，具体技术参数及需求配置如下表</w:t>
      </w:r>
      <w:r>
        <w:rPr>
          <w:rFonts w:hint="eastAsia" w:ascii="仿宋" w:hAnsi="仿宋" w:eastAsia="仿宋" w:cs="仿宋"/>
          <w:b/>
          <w:color w:val="auto"/>
          <w:sz w:val="24"/>
          <w:highlight w:val="none"/>
          <w:u w:val="none"/>
          <w:lang w:val="en-US" w:eastAsia="zh-CN"/>
        </w:rPr>
        <w:t>:</w:t>
      </w:r>
    </w:p>
    <w:tbl>
      <w:tblPr>
        <w:tblStyle w:val="16"/>
        <w:tblW w:w="9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261" w:type="dxa"/>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 xml:space="preserve">       车      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项      目</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
                <w:bCs w:val="0"/>
                <w:color w:val="auto"/>
                <w:sz w:val="28"/>
                <w:szCs w:val="28"/>
                <w:lang w:val="en-US" w:eastAsia="zh-CN"/>
              </w:rPr>
              <w:t>8米5</w:t>
            </w:r>
            <w:r>
              <w:rPr>
                <w:rFonts w:hint="eastAsia" w:ascii="仿宋" w:hAnsi="仿宋" w:eastAsia="仿宋" w:cs="仿宋"/>
                <w:b/>
                <w:bCs w:val="0"/>
                <w:color w:val="auto"/>
                <w:sz w:val="28"/>
                <w:szCs w:val="28"/>
                <w:lang w:eastAsia="zh-CN"/>
              </w:rPr>
              <w:t>级纯电动城市客车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特      征</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4"/>
                <w:szCs w:val="24"/>
                <w:highlight w:val="none"/>
                <w:u w:val="none"/>
                <w:shd w:val="clear" w:color="auto" w:fill="auto"/>
                <w:lang w:eastAsia="zh-CN"/>
              </w:rPr>
            </w:pPr>
            <w:r>
              <w:rPr>
                <w:rFonts w:hint="eastAsia" w:ascii="仿宋" w:hAnsi="仿宋" w:eastAsia="仿宋" w:cs="仿宋"/>
                <w:b w:val="0"/>
                <w:bCs/>
                <w:color w:val="auto"/>
                <w:sz w:val="24"/>
                <w:szCs w:val="24"/>
                <w:highlight w:val="none"/>
                <w:u w:val="none"/>
                <w:shd w:val="clear" w:color="auto" w:fill="auto"/>
                <w:lang w:eastAsia="zh-CN"/>
              </w:rPr>
              <w:t>纯电动</w:t>
            </w:r>
            <w:r>
              <w:rPr>
                <w:rFonts w:hint="eastAsia" w:ascii="仿宋" w:hAnsi="仿宋" w:eastAsia="仿宋" w:cs="仿宋"/>
                <w:b w:val="0"/>
                <w:bCs/>
                <w:color w:val="auto"/>
                <w:spacing w:val="-8"/>
                <w:sz w:val="24"/>
                <w:szCs w:val="24"/>
                <w:highlight w:val="none"/>
                <w:u w:val="none"/>
                <w:shd w:val="clear" w:color="auto" w:fill="auto"/>
              </w:rPr>
              <w:t>、</w:t>
            </w:r>
            <w:r>
              <w:rPr>
                <w:rFonts w:hint="eastAsia" w:ascii="仿宋" w:hAnsi="仿宋" w:eastAsia="仿宋" w:cs="仿宋"/>
                <w:b w:val="0"/>
                <w:bCs/>
                <w:color w:val="auto"/>
                <w:sz w:val="24"/>
                <w:szCs w:val="24"/>
                <w:highlight w:val="none"/>
                <w:u w:val="none"/>
                <w:shd w:val="clear" w:color="auto" w:fill="auto"/>
                <w:lang w:eastAsia="zh-CN"/>
              </w:rPr>
              <w:t>电动空调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 xml:space="preserve">一．主要技术参数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1．尺寸参数</w:t>
            </w:r>
            <w:r>
              <w:rPr>
                <w:rFonts w:hint="eastAsia" w:ascii="仿宋" w:hAnsi="仿宋" w:eastAsia="仿宋" w:cs="仿宋"/>
                <w:b/>
                <w:bCs/>
                <w:color w:val="auto"/>
                <w:sz w:val="21"/>
                <w:szCs w:val="21"/>
                <w:highlight w:val="none"/>
                <w:u w:val="none"/>
                <w:shd w:val="clear" w:color="auto" w:fill="auto"/>
                <w:lang w:eastAsia="zh-CN"/>
              </w:rPr>
              <w:t>（</w:t>
            </w:r>
            <w:r>
              <w:rPr>
                <w:rFonts w:hint="eastAsia" w:ascii="仿宋" w:hAnsi="仿宋" w:eastAsia="仿宋" w:cs="仿宋"/>
                <w:b/>
                <w:bCs/>
                <w:color w:val="auto"/>
                <w:sz w:val="21"/>
                <w:szCs w:val="21"/>
                <w:highlight w:val="none"/>
                <w:u w:val="none"/>
                <w:shd w:val="clear" w:color="auto" w:fill="auto"/>
              </w:rPr>
              <w:t>mm</w:t>
            </w:r>
            <w:r>
              <w:rPr>
                <w:rFonts w:hint="eastAsia" w:ascii="仿宋" w:hAnsi="仿宋" w:eastAsia="仿宋" w:cs="仿宋"/>
                <w:b/>
                <w:bCs/>
                <w:color w:val="auto"/>
                <w:sz w:val="21"/>
                <w:szCs w:val="21"/>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长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1120" w:firstLineChars="400"/>
              <w:jc w:val="both"/>
              <w:textAlignment w:val="auto"/>
              <w:outlineLvl w:val="9"/>
              <w:rPr>
                <w:rFonts w:hint="eastAsia" w:ascii="仿宋" w:hAnsi="仿宋" w:eastAsia="仿宋" w:cs="仿宋"/>
                <w:bCs/>
                <w:color w:val="auto"/>
                <w:sz w:val="24"/>
                <w:szCs w:val="24"/>
                <w:highlight w:val="none"/>
                <w:shd w:val="clear" w:color="auto" w:fill="auto"/>
                <w:lang w:eastAsia="zh-CN"/>
              </w:rPr>
            </w:pPr>
            <w:r>
              <w:rPr>
                <w:rFonts w:hint="eastAsia" w:ascii="仿宋" w:hAnsi="仿宋" w:eastAsia="仿宋" w:cs="仿宋"/>
                <w:bCs/>
                <w:color w:val="auto"/>
                <w:sz w:val="28"/>
                <w:szCs w:val="28"/>
                <w:highlight w:val="none"/>
                <w:shd w:val="clear" w:color="auto" w:fill="auto"/>
                <w:lang w:val="en-US" w:eastAsia="zh-CN"/>
              </w:rPr>
              <w:t>8500mm（含本数）</w:t>
            </w:r>
            <w:r>
              <w:rPr>
                <w:rFonts w:hint="eastAsia" w:ascii="仿宋" w:hAnsi="仿宋" w:eastAsia="仿宋" w:cs="仿宋"/>
                <w:bCs/>
                <w:color w:val="auto"/>
                <w:sz w:val="28"/>
                <w:szCs w:val="28"/>
                <w:highlight w:val="none"/>
                <w:shd w:val="clear" w:color="auto" w:fill="auto"/>
                <w:lang w:val="en-US" w:eastAsia="zh-CN"/>
              </w:rPr>
              <w:t>--8700mm（含本数）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宽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 xml:space="preserve"> ≥</w:t>
            </w:r>
            <w:r>
              <w:rPr>
                <w:rFonts w:hint="eastAsia" w:ascii="仿宋" w:hAnsi="仿宋" w:eastAsia="仿宋" w:cs="仿宋"/>
                <w:color w:val="auto"/>
                <w:sz w:val="21"/>
                <w:szCs w:val="21"/>
                <w:highlight w:val="none"/>
                <w:shd w:val="clear" w:color="auto" w:fill="auto"/>
                <w:lang w:val="en-US" w:eastAsia="zh-CN"/>
              </w:rPr>
              <w:t>2500</w:t>
            </w:r>
            <w:r>
              <w:rPr>
                <w:rFonts w:hint="eastAsia" w:ascii="仿宋" w:hAnsi="仿宋" w:eastAsia="仿宋" w:cs="仿宋"/>
                <w:bCs/>
                <w:color w:val="auto"/>
                <w:sz w:val="24"/>
                <w:szCs w:val="24"/>
                <w:highlight w:val="none"/>
                <w:shd w:val="clear" w:color="auto" w:fil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高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shd w:val="clear" w:color="auto" w:fill="auto"/>
                <w:lang w:val="en-US" w:eastAsia="zh-CN"/>
              </w:rPr>
              <w:t>3300</w:t>
            </w:r>
            <w:r>
              <w:rPr>
                <w:rFonts w:hint="eastAsia" w:ascii="仿宋" w:hAnsi="仿宋" w:eastAsia="仿宋" w:cs="仿宋"/>
                <w:bCs/>
                <w:color w:val="auto"/>
                <w:sz w:val="24"/>
                <w:szCs w:val="24"/>
                <w:highlight w:val="none"/>
                <w:shd w:val="clear" w:color="auto" w:fil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left"/>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2．载客数人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载客数</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color w:val="auto"/>
                <w:sz w:val="24"/>
                <w:szCs w:val="24"/>
                <w:highlight w:val="none"/>
                <w:u w:val="none"/>
                <w:shd w:val="clear" w:color="auto" w:fill="auto"/>
                <w:lang w:eastAsia="zh-CN"/>
              </w:rPr>
              <w:t>≥</w:t>
            </w:r>
            <w:r>
              <w:rPr>
                <w:rFonts w:hint="eastAsia" w:ascii="仿宋" w:hAnsi="仿宋" w:eastAsia="仿宋" w:cs="仿宋"/>
                <w:color w:val="auto"/>
                <w:sz w:val="24"/>
                <w:szCs w:val="24"/>
                <w:highlight w:val="none"/>
                <w:u w:val="none"/>
                <w:shd w:val="clear" w:color="auto" w:fill="auto"/>
                <w:lang w:val="en-US" w:eastAsia="zh-CN"/>
              </w:rPr>
              <w:t>70人（以投标车型工信部公告目录为准）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座位数</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color w:val="auto"/>
                <w:sz w:val="24"/>
                <w:szCs w:val="24"/>
                <w:highlight w:val="none"/>
                <w:u w:val="none"/>
                <w:shd w:val="clear" w:color="auto" w:fill="auto"/>
                <w:lang w:val="en-US" w:eastAsia="zh-CN"/>
              </w:rPr>
              <w:t>按投标车型工信部公告目录配置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3．性  能  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最高车速    km/h</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yellow"/>
                <w:shd w:val="clear" w:color="auto" w:fill="auto"/>
              </w:rPr>
            </w:pP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u w:val="none"/>
                <w:shd w:val="clear" w:color="auto" w:fill="auto"/>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10" w:firstLineChars="1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最大爬度    ％</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rPr>
            </w:pPr>
            <w:r>
              <w:rPr>
                <w:rFonts w:hint="eastAsia" w:ascii="仿宋" w:hAnsi="仿宋" w:eastAsia="仿宋" w:cs="仿宋"/>
                <w:color w:val="auto"/>
                <w:sz w:val="21"/>
                <w:szCs w:val="21"/>
                <w:highlight w:val="none"/>
                <w:u w:val="none"/>
                <w:shd w:val="clear" w:color="auto" w:fill="auto"/>
              </w:rPr>
              <w:t>≥</w:t>
            </w:r>
            <w:r>
              <w:rPr>
                <w:rFonts w:hint="eastAsia" w:ascii="仿宋" w:hAnsi="仿宋" w:eastAsia="仿宋" w:cs="仿宋"/>
                <w:color w:val="auto"/>
                <w:sz w:val="21"/>
                <w:szCs w:val="21"/>
                <w:highlight w:val="none"/>
                <w:u w:val="none"/>
                <w:shd w:val="clear" w:color="auto" w:fil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最大制动距离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（满载30km/h初速） 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驻坡能力</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整车应可靠地在</w:t>
            </w:r>
            <w:r>
              <w:rPr>
                <w:rFonts w:hint="eastAsia" w:ascii="仿宋" w:hAnsi="仿宋" w:eastAsia="仿宋" w:cs="仿宋"/>
                <w:color w:val="auto"/>
                <w:szCs w:val="21"/>
                <w:highlight w:val="none"/>
                <w:u w:val="none"/>
              </w:rPr>
              <w:t>1</w:t>
            </w:r>
            <w:r>
              <w:rPr>
                <w:rFonts w:hint="eastAsia" w:ascii="仿宋" w:hAnsi="仿宋" w:eastAsia="仿宋" w:cs="仿宋"/>
                <w:color w:val="auto"/>
                <w:szCs w:val="21"/>
                <w:highlight w:val="none"/>
                <w:u w:val="none"/>
                <w:lang w:val="en-US" w:eastAsia="zh-CN"/>
              </w:rPr>
              <w:t>5</w:t>
            </w:r>
            <w:r>
              <w:rPr>
                <w:rFonts w:hint="eastAsia" w:ascii="仿宋" w:hAnsi="仿宋" w:eastAsia="仿宋" w:cs="仿宋"/>
                <w:color w:val="auto"/>
                <w:szCs w:val="21"/>
                <w:highlight w:val="none"/>
                <w:u w:val="none"/>
              </w:rPr>
              <w:t>%</w:t>
            </w:r>
            <w:r>
              <w:rPr>
                <w:rFonts w:hint="eastAsia" w:ascii="仿宋" w:hAnsi="仿宋" w:eastAsia="仿宋" w:cs="仿宋"/>
                <w:color w:val="auto"/>
                <w:sz w:val="21"/>
                <w:szCs w:val="21"/>
                <w:highlight w:val="none"/>
                <w:u w:val="none"/>
                <w:shd w:val="clear" w:color="auto" w:fill="auto"/>
              </w:rPr>
              <w:t>坡道上停稳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一级踏步离地高度(mm)</w:t>
            </w:r>
          </w:p>
        </w:tc>
        <w:tc>
          <w:tcPr>
            <w:tcW w:w="7135" w:type="dxa"/>
            <w:noWrap w:val="0"/>
            <w:vAlign w:val="center"/>
          </w:tcPr>
          <w:p>
            <w:pPr>
              <w:ind w:firstLine="105" w:firstLineChars="0"/>
              <w:jc w:val="center"/>
              <w:rPr>
                <w:rFonts w:hint="eastAsia" w:ascii="仿宋" w:hAnsi="仿宋" w:eastAsia="仿宋" w:cs="仿宋"/>
                <w:color w:val="auto"/>
                <w:szCs w:val="21"/>
              </w:rPr>
            </w:pPr>
            <w:r>
              <w:rPr>
                <w:rFonts w:hint="eastAsia" w:ascii="仿宋" w:hAnsi="仿宋" w:eastAsia="仿宋" w:cs="仿宋"/>
                <w:color w:val="auto"/>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整车安全涉水深度（mm)</w:t>
            </w:r>
          </w:p>
        </w:tc>
        <w:tc>
          <w:tcPr>
            <w:tcW w:w="713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二、主要总成和系统的结构特征与参数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b/>
                <w:bCs w:val="0"/>
                <w:color w:val="auto"/>
                <w:sz w:val="28"/>
                <w:szCs w:val="28"/>
                <w:highlight w:val="none"/>
                <w:u w:val="none"/>
                <w:lang w:val="en-US" w:eastAsia="zh-CN"/>
              </w:rPr>
              <w:t>1.三电系统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lang w:eastAsia="zh-CN"/>
              </w:rPr>
              <w:t>动力电池</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1.提供投标车型的电池容量。以投标车型《新能源汽车推广应用推荐车型目录》技术参数数据和中国汽车网查询为准。</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2.采用直流充电模式，符合国家相关规定，与采购人现有充电桩对接，充电自动识别车辆功能。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3.符合国家安全性，并在投标文件中提供试验检测合格报告、相关标准和规范。</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4.整个电池系统及每组电池箱安装快断器，并设有故障报警装置。安装防撞保护装置，保护电池不因挤压发变形影响安全。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5.电池具备持续充电≥1C能力动力电池温度特性好，动力电池箱设置有效的散热机制（独立水冷），满足温度在-20℃～60℃之间及雨水多的天气使用环境要求。</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6.采用新型电池系统均衡供电回路，不依赖于整车24V供电，由电芯自身供电，依托电池系统自动唤醒功能，实现上电状态和停车下状态均可进行均衡，通过智能均衡实现12个月均衡一次，每次均衡时间12小时。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电池总容量及续航里程</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整车电池总容量≥180kwh，满足招标方公交线路运行需求，在预留20%的电池安全电量后，质保期内续航里程＞200km。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b/>
                <w:bCs/>
                <w:kern w:val="2"/>
                <w:sz w:val="28"/>
                <w:szCs w:val="28"/>
                <w:lang w:val="en-US" w:eastAsia="zh-CN" w:bidi="ar-SA"/>
              </w:rPr>
            </w:pPr>
            <w:r>
              <w:rPr>
                <w:rFonts w:hint="eastAsia" w:ascii="仿宋" w:hAnsi="仿宋" w:eastAsia="仿宋" w:cs="仿宋"/>
                <w:color w:val="auto"/>
                <w:sz w:val="28"/>
                <w:szCs w:val="28"/>
              </w:rPr>
              <w:t>电池品牌</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1.采用液冷模式及磷酸铁锂电极材料的行业知名品牌。</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2.动力电池电芯和电池PACK为同一品牌。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rPr>
              <w:t>电池布置形式</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电池合理布置，做好车辆重量重心的均衡分布；与整车隔离，绝缘、防火隔热设计，多重熔断保护，整车高压分级预警系统，高压快断装置；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rPr>
              <w:t>电池系统能量密度</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投标车型的电池系统能量密度＞150Wh/kg。（投标方以投标车型《新能源汽车推广应用推荐车型目录》技术参数数据为准，并提供目录复印件或证明）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能量衰减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在质保期内投标人应委托电池原厂执行专业规范的电池定期维保服务，安全检查及性能检测、电池均衡保养等，并对有问题的电池进行临时检测，在质保期内电池组衰减超过15%，免费予以技术处理，8年或60万公里内电池容量衰减超过20%，则须无条件免费更换原品牌新电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2.电池、充放电系统和充电插座总成等免费质保8年（含工时、易损、易耗件），投标人须中标后10天内与配套产品厂家共同提交质保承诺书。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3.如果使用周期内配套电池厂不能继续履行相应服务，客车厂需提供落实电池改造替代方案并承担改造一切费用和损失。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Cs/>
                <w:color w:val="auto"/>
                <w:sz w:val="28"/>
                <w:szCs w:val="28"/>
              </w:rPr>
              <w:t>动力电池回收模式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1.投标人和动力电池厂家必须根据国家相关政策和环保法规对维修更换和车辆报废动力电池（含维修等所有费用）进行免费环保回收处理（如车辆报废时有专门要求的除外）。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2.采购人保留动力电池的最终处理权，采购人根据车辆使用报废情况通知投标人，投标人应当在接到通知30日内回收处理并提供环保处理证明。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lang w:eastAsia="zh-CN"/>
              </w:rPr>
            </w:pPr>
            <w:r>
              <w:rPr>
                <w:rFonts w:hint="eastAsia" w:ascii="仿宋" w:hAnsi="仿宋" w:eastAsia="仿宋" w:cs="仿宋"/>
                <w:bCs/>
                <w:color w:val="auto"/>
                <w:sz w:val="28"/>
                <w:szCs w:val="28"/>
                <w:lang w:eastAsia="zh-CN"/>
              </w:rPr>
              <w:t>控制系统</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高压电控系统（包括但不限于高压配电柜、DC/DC、电动助力转向控制器、驱动电机控制器、空压机控制器）均采用优质控制器，质保8年（含工时、易损、易耗件），投标人须中标后10天内与配套产品厂家共同提交质保承诺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提供投标车型的控制系统详细资料。电池管理系统（BMS）可以监控每个单体的电压、电流，并有采用均衡技术，满足各种极端工况要求。采用五合一及以上集成式控制器。（转向助力、高压配电柜、打气泵、DC-DC、驱动电机）</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lang w:eastAsia="zh-CN"/>
              </w:rPr>
              <w:t>高压配电箱采用集中配电方式，具有多路保护电路，内置高压接触器、高压熔断器、绝缘检测板等；须匹配MSD开关，保证维护安全；须具有高压互锁功能，保证端子松动时，能够断开高压；须内置预充电路；须内置绝缘检测电路，具有漏电保护功能；须具有充电保护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整车电气安全性</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防护等级≥IP6</w:t>
            </w:r>
            <w:r>
              <w:rPr>
                <w:rFonts w:hint="eastAsia" w:ascii="仿宋" w:hAnsi="仿宋" w:eastAsia="仿宋" w:cs="仿宋"/>
                <w:color w:val="auto"/>
                <w:sz w:val="28"/>
                <w:szCs w:val="28"/>
                <w:highlight w:val="none"/>
                <w:u w:val="none"/>
                <w:shd w:val="clear" w:color="auto" w:fill="auto"/>
                <w:lang w:val="en-US" w:eastAsia="zh-CN"/>
              </w:rPr>
              <w:t>7</w:t>
            </w:r>
            <w:r>
              <w:rPr>
                <w:rFonts w:hint="eastAsia" w:ascii="仿宋" w:hAnsi="仿宋" w:eastAsia="仿宋" w:cs="仿宋"/>
                <w:color w:val="auto"/>
                <w:sz w:val="28"/>
                <w:szCs w:val="28"/>
                <w:highlight w:val="none"/>
                <w:u w:val="none"/>
                <w:shd w:val="clear" w:color="auto" w:fill="auto"/>
              </w:rPr>
              <w:t>以上</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高压电缆，采用耐高温的辐照阻燃且耐高压电动车辆专用电缆，具有屏蔽层</w:t>
            </w:r>
            <w:r>
              <w:rPr>
                <w:rFonts w:hint="eastAsia" w:ascii="仿宋" w:hAnsi="仿宋" w:eastAsia="仿宋" w:cs="仿宋"/>
                <w:color w:val="auto"/>
                <w:sz w:val="28"/>
                <w:szCs w:val="28"/>
                <w:highlight w:val="none"/>
                <w:u w:val="none"/>
                <w:shd w:val="clear" w:color="auto" w:fill="auto"/>
                <w:lang w:eastAsia="zh-CN"/>
              </w:rPr>
              <w:t>，</w:t>
            </w:r>
            <w:r>
              <w:rPr>
                <w:rFonts w:hint="eastAsia" w:ascii="仿宋" w:hAnsi="仿宋" w:eastAsia="仿宋" w:cs="仿宋"/>
                <w:color w:val="auto"/>
                <w:sz w:val="28"/>
                <w:szCs w:val="28"/>
                <w:highlight w:val="none"/>
                <w:u w:val="none"/>
                <w:shd w:val="clear" w:color="auto" w:fill="auto"/>
              </w:rPr>
              <w:t>耐压≥700V</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涉水深度（m）≥0.30。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驱动电机</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1.采用水冷永磁同步电机，额定功率≥</w:t>
            </w:r>
            <w:r>
              <w:rPr>
                <w:rFonts w:hint="eastAsia" w:ascii="仿宋" w:hAnsi="仿宋" w:eastAsia="仿宋" w:cs="仿宋"/>
                <w:color w:val="auto"/>
                <w:sz w:val="28"/>
                <w:szCs w:val="28"/>
                <w:lang w:val="en-US" w:eastAsia="zh-CN"/>
              </w:rPr>
              <w:t>75</w:t>
            </w:r>
            <w:r>
              <w:rPr>
                <w:rFonts w:hint="eastAsia" w:ascii="仿宋" w:hAnsi="仿宋" w:eastAsia="仿宋" w:cs="仿宋"/>
                <w:color w:val="auto"/>
                <w:sz w:val="28"/>
                <w:szCs w:val="28"/>
              </w:rPr>
              <w:t>KW，峰值功率≥</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0KW；（投标厂家提供车辆公告页和整车</w:t>
            </w:r>
            <w:r>
              <w:rPr>
                <w:rFonts w:hint="eastAsia" w:ascii="仿宋" w:hAnsi="仿宋" w:eastAsia="仿宋" w:cs="仿宋"/>
                <w:sz w:val="28"/>
                <w:szCs w:val="28"/>
              </w:rPr>
              <w:t>定型报告证明）；</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eastAsia="zh-CN"/>
              </w:rPr>
              <w:t xml:space="preserve">2. </w:t>
            </w:r>
            <w:r>
              <w:rPr>
                <w:rFonts w:hint="eastAsia" w:ascii="仿宋" w:hAnsi="仿宋" w:eastAsia="仿宋" w:cs="仿宋"/>
                <w:sz w:val="28"/>
                <w:szCs w:val="28"/>
              </w:rPr>
              <w:t>电机直驱，无级变速，驱动电机具备缓速功能，同时具有能量回收功能；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3.电机防护等级：IP6</w:t>
            </w:r>
            <w:r>
              <w:rPr>
                <w:rFonts w:hint="eastAsia" w:ascii="仿宋" w:hAnsi="仿宋" w:eastAsia="仿宋" w:cs="仿宋"/>
                <w:sz w:val="28"/>
                <w:szCs w:val="28"/>
                <w:lang w:val="en-US" w:eastAsia="zh-CN"/>
              </w:rPr>
              <w:t>7</w:t>
            </w:r>
            <w:r>
              <w:rPr>
                <w:rFonts w:hint="eastAsia" w:ascii="仿宋" w:hAnsi="仿宋" w:eastAsia="仿宋" w:cs="仿宋"/>
                <w:sz w:val="28"/>
                <w:szCs w:val="28"/>
              </w:rPr>
              <w:t>或以上防护等级；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4.电机冷却系统采用</w:t>
            </w:r>
            <w:r>
              <w:rPr>
                <w:rFonts w:hint="eastAsia" w:ascii="仿宋" w:hAnsi="仿宋" w:eastAsia="仿宋" w:cs="仿宋"/>
                <w:sz w:val="28"/>
                <w:szCs w:val="28"/>
                <w:lang w:eastAsia="zh-CN"/>
              </w:rPr>
              <w:t>变频</w:t>
            </w:r>
            <w:r>
              <w:rPr>
                <w:rFonts w:hint="eastAsia" w:ascii="仿宋" w:hAnsi="仿宋" w:eastAsia="仿宋" w:cs="仿宋"/>
                <w:sz w:val="28"/>
                <w:szCs w:val="28"/>
              </w:rPr>
              <w:t>电子智能冷却控制系统。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bCs w:val="0"/>
                <w:color w:val="auto"/>
                <w:sz w:val="28"/>
                <w:szCs w:val="28"/>
                <w:highlight w:val="none"/>
                <w:u w:val="none"/>
                <w:lang w:val="en-US" w:eastAsia="zh-CN"/>
              </w:rPr>
              <w:t>2.小三电系统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冷却系统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1.配纯电动专用ATS智能冷却系统，采用进口无刷电机、风扇，</w:t>
            </w:r>
            <w:r>
              <w:rPr>
                <w:rFonts w:hint="eastAsia" w:ascii="仿宋" w:hAnsi="仿宋" w:eastAsia="仿宋" w:cs="仿宋"/>
                <w:color w:val="auto"/>
                <w:sz w:val="28"/>
                <w:szCs w:val="28"/>
                <w:highlight w:val="none"/>
                <w:lang w:val="en-US" w:eastAsia="zh-CN"/>
              </w:rPr>
              <w:t>CAN总线读取ECU等相关车辆信息</w:t>
            </w:r>
            <w:r>
              <w:rPr>
                <w:rFonts w:hint="eastAsia" w:ascii="仿宋" w:hAnsi="仿宋" w:eastAsia="仿宋" w:cs="仿宋"/>
                <w:sz w:val="28"/>
                <w:szCs w:val="28"/>
                <w:lang w:val="en-US" w:eastAsia="zh-CN"/>
              </w:rPr>
              <w:t>，带系统应急启动插头，铜质或铝制散热器。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sz w:val="28"/>
                <w:szCs w:val="28"/>
                <w:lang w:val="en-US" w:eastAsia="zh-CN"/>
              </w:rPr>
              <w:t>2.免费质保8年（含工时及易损、易耗件），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电子水泵</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1.采用变频电子水泵，功率适用车型使用。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lang w:val="en-US" w:eastAsia="zh-CN" w:bidi="ar-SA"/>
              </w:rPr>
            </w:pPr>
            <w:r>
              <w:rPr>
                <w:rFonts w:hint="eastAsia" w:ascii="仿宋" w:hAnsi="仿宋" w:eastAsia="仿宋" w:cs="仿宋"/>
                <w:sz w:val="28"/>
                <w:szCs w:val="28"/>
                <w:lang w:val="en-US" w:eastAsia="zh-CN"/>
              </w:rPr>
              <w:t>2.免费质保8年（含工时及易损、易耗件），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bCs/>
                <w:color w:val="auto"/>
                <w:sz w:val="28"/>
                <w:szCs w:val="28"/>
                <w:lang w:val="en-US" w:eastAsia="zh-CN"/>
              </w:rPr>
              <w:t>电驱空气压缩机</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1.无油活塞式空压机、轻量、环保静音。</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2.额定功率大于</w:t>
            </w:r>
            <w:r>
              <w:rPr>
                <w:rFonts w:hint="eastAsia" w:ascii="仿宋" w:hAnsi="仿宋" w:eastAsia="仿宋" w:cs="仿宋"/>
                <w:color w:val="auto"/>
                <w:sz w:val="28"/>
                <w:szCs w:val="28"/>
                <w:lang w:val="en-US" w:eastAsia="zh-CN"/>
              </w:rPr>
              <w:t>3</w:t>
            </w:r>
            <w:r>
              <w:rPr>
                <w:rFonts w:hint="eastAsia" w:ascii="仿宋" w:hAnsi="仿宋" w:eastAsia="仿宋" w:cs="仿宋"/>
                <w:sz w:val="28"/>
                <w:szCs w:val="28"/>
                <w:lang w:val="en-US" w:eastAsia="zh-CN"/>
              </w:rPr>
              <w:t>千瓦，风扇内置型（风扇与电机同轴）。</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3.IP67防护等级认证， EMC电磁干扰认证。</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4.免费质保8年（含保养及维修工时、易损、易耗件、空气滤芯），投标人须中标后10天内与配套产品厂家共同提交质保承诺书。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应急保障</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1.确保动力电池发生突发故障时，铅酸蓄电池能够应急供电不小于30秒，具备CAN诊断故障功能（包括电动转向电机、液压油泵、控制器）。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2.车辆操作时杜绝系统发生与操作不符导致车辆失控情况，突发高压掉断电时仍可确保转向操作轻便，同时提供紧急报警及应急操作提示，不得出现突发断电致使方向失控或锁死现象。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bCs w:val="0"/>
                <w:color w:val="auto"/>
                <w:sz w:val="28"/>
                <w:szCs w:val="28"/>
                <w:highlight w:val="none"/>
                <w:u w:val="none"/>
                <w:lang w:val="en-US" w:eastAsia="zh-CN"/>
              </w:rPr>
            </w:pPr>
            <w:r>
              <w:rPr>
                <w:rFonts w:hint="eastAsia" w:ascii="仿宋" w:hAnsi="仿宋" w:eastAsia="仿宋" w:cs="仿宋"/>
                <w:b/>
                <w:bCs w:val="0"/>
                <w:color w:val="auto"/>
                <w:sz w:val="28"/>
                <w:szCs w:val="28"/>
                <w:highlight w:val="none"/>
                <w:u w:val="none"/>
                <w:lang w:val="en-US" w:eastAsia="zh-CN"/>
              </w:rPr>
              <w:t>3.底盘系统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Cs/>
                <w:color w:val="auto"/>
                <w:sz w:val="28"/>
                <w:szCs w:val="28"/>
                <w:lang w:eastAsia="zh-CN"/>
              </w:rPr>
              <w:t>转向系统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采用电动液压助力转向系统</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bCs/>
                <w:color w:val="auto"/>
                <w:kern w:val="2"/>
                <w:sz w:val="28"/>
                <w:szCs w:val="28"/>
                <w:highlight w:val="none"/>
                <w:u w:val="none"/>
                <w:shd w:val="clear" w:color="auto" w:fill="auto"/>
                <w:lang w:val="en-US" w:eastAsia="zh-CN" w:bidi="ar-SA"/>
              </w:rPr>
            </w:pPr>
            <w:r>
              <w:rPr>
                <w:rFonts w:hint="eastAsia" w:ascii="仿宋" w:hAnsi="仿宋" w:eastAsia="仿宋" w:cs="仿宋"/>
                <w:snapToGrid w:val="0"/>
                <w:kern w:val="0"/>
                <w:sz w:val="28"/>
                <w:szCs w:val="28"/>
                <w:lang w:val="en-US" w:eastAsia="zh-CN"/>
              </w:rPr>
              <w:t>2.</w:t>
            </w:r>
            <w:r>
              <w:rPr>
                <w:rFonts w:hint="eastAsia" w:ascii="仿宋" w:hAnsi="仿宋" w:eastAsia="仿宋" w:cs="仿宋"/>
                <w:snapToGrid w:val="0"/>
                <w:kern w:val="0"/>
                <w:sz w:val="28"/>
                <w:szCs w:val="28"/>
              </w:rPr>
              <w:t>质保</w:t>
            </w:r>
            <w:r>
              <w:rPr>
                <w:rFonts w:hint="eastAsia" w:ascii="仿宋" w:hAnsi="仿宋" w:eastAsia="仿宋" w:cs="仿宋"/>
                <w:snapToGrid w:val="0"/>
                <w:kern w:val="0"/>
                <w:sz w:val="28"/>
                <w:szCs w:val="28"/>
                <w:lang w:val="en-US" w:eastAsia="zh-CN"/>
              </w:rPr>
              <w:t>8</w:t>
            </w:r>
            <w:r>
              <w:rPr>
                <w:rFonts w:hint="eastAsia" w:ascii="仿宋" w:hAnsi="仿宋" w:eastAsia="仿宋" w:cs="仿宋"/>
                <w:snapToGrid w:val="0"/>
                <w:kern w:val="0"/>
                <w:sz w:val="28"/>
                <w:szCs w:val="28"/>
              </w:rPr>
              <w:t>年</w:t>
            </w:r>
            <w:r>
              <w:rPr>
                <w:rFonts w:hint="eastAsia" w:ascii="仿宋" w:hAnsi="仿宋" w:eastAsia="仿宋" w:cs="仿宋"/>
                <w:snapToGrid w:val="0"/>
                <w:kern w:val="0"/>
                <w:sz w:val="28"/>
                <w:szCs w:val="28"/>
                <w:lang w:eastAsia="zh-CN"/>
              </w:rPr>
              <w:t>（含工时及易损、易耗件），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r>
              <w:rPr>
                <w:rFonts w:hint="eastAsia" w:ascii="仿宋" w:hAnsi="仿宋" w:eastAsia="仿宋" w:cs="仿宋"/>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adjustRightInd w:val="0"/>
              <w:snapToGrid w:val="0"/>
              <w:jc w:val="center"/>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车桥</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前桥额定载荷≥</w:t>
            </w:r>
            <w:r>
              <w:rPr>
                <w:rFonts w:hint="eastAsia" w:ascii="仿宋" w:hAnsi="仿宋" w:eastAsia="仿宋" w:cs="仿宋"/>
                <w:color w:val="auto"/>
                <w:sz w:val="28"/>
                <w:szCs w:val="28"/>
                <w:highlight w:val="none"/>
                <w:u w:val="none"/>
                <w:shd w:val="clear" w:color="auto" w:fill="auto"/>
                <w:lang w:val="en-US" w:eastAsia="zh-CN"/>
              </w:rPr>
              <w:t>4.5</w:t>
            </w:r>
            <w:r>
              <w:rPr>
                <w:rFonts w:hint="eastAsia" w:ascii="仿宋" w:hAnsi="仿宋" w:eastAsia="仿宋" w:cs="仿宋"/>
                <w:color w:val="auto"/>
                <w:sz w:val="28"/>
                <w:szCs w:val="28"/>
                <w:highlight w:val="none"/>
                <w:u w:val="none"/>
                <w:shd w:val="clear" w:color="auto" w:fill="auto"/>
              </w:rPr>
              <w:t>T；整体锻钢件；盘式制动器；免维护专用车桥，车桥必须与免维护轮毂总成相匹配，便于制动盘、制动蹄铁总成的拆卸和安装。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2.方向机、</w:t>
            </w:r>
            <w:r>
              <w:rPr>
                <w:rFonts w:hint="eastAsia" w:ascii="仿宋" w:hAnsi="仿宋" w:eastAsia="仿宋" w:cs="仿宋"/>
                <w:color w:val="auto"/>
                <w:sz w:val="28"/>
                <w:szCs w:val="28"/>
                <w:highlight w:val="none"/>
                <w:u w:val="none"/>
                <w:shd w:val="clear" w:color="auto" w:fill="auto"/>
              </w:rPr>
              <w:t>前轴、转向臂、转向节、直臂、免维护轮毂总成免费质保8年并附承诺书原件，主销、拉杆、接头免费质保5年并附承诺书原件。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lang w:val="en-US" w:eastAsia="zh-CN"/>
              </w:rPr>
              <w:t>3.后桥额定载荷≥9T，新能源专用主减，盘式制动器，免维</w:t>
            </w:r>
            <w:r>
              <w:rPr>
                <w:rFonts w:hint="eastAsia" w:ascii="仿宋" w:hAnsi="仿宋" w:eastAsia="仿宋" w:cs="仿宋"/>
                <w:b w:val="0"/>
                <w:color w:val="auto"/>
                <w:kern w:val="2"/>
                <w:sz w:val="28"/>
                <w:szCs w:val="28"/>
                <w:highlight w:val="none"/>
                <w:u w:val="none"/>
                <w:shd w:val="clear" w:color="auto" w:fill="auto"/>
                <w:lang w:val="en-US" w:eastAsia="zh-CN" w:bidi="ar-SA"/>
              </w:rPr>
              <w:t>护专用车桥，车桥必须与免维护轮毂总成相匹配，便于制动盘、制动蹄铁总成的拆卸和安装。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color w:val="auto"/>
                <w:kern w:val="2"/>
                <w:sz w:val="28"/>
                <w:szCs w:val="28"/>
                <w:highlight w:val="none"/>
                <w:u w:val="none"/>
                <w:shd w:val="clear" w:color="auto" w:fill="auto"/>
                <w:lang w:val="en-US" w:eastAsia="zh-CN" w:bidi="ar-SA"/>
              </w:rPr>
            </w:pPr>
            <w:r>
              <w:rPr>
                <w:rFonts w:hint="eastAsia" w:ascii="仿宋" w:hAnsi="仿宋" w:eastAsia="仿宋" w:cs="仿宋"/>
                <w:b w:val="0"/>
                <w:color w:val="auto"/>
                <w:kern w:val="2"/>
                <w:sz w:val="28"/>
                <w:szCs w:val="28"/>
                <w:highlight w:val="none"/>
                <w:u w:val="none"/>
                <w:shd w:val="clear" w:color="auto" w:fill="auto"/>
                <w:lang w:val="en-US" w:eastAsia="zh-CN" w:bidi="ar-SA"/>
              </w:rPr>
              <w:t>4.前盘后盘制动器；进口ABS 或EBS。</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val="0"/>
                <w:color w:val="auto"/>
                <w:kern w:val="2"/>
                <w:sz w:val="28"/>
                <w:szCs w:val="28"/>
                <w:highlight w:val="none"/>
                <w:u w:val="none"/>
                <w:shd w:val="clear" w:color="auto" w:fill="auto"/>
                <w:lang w:val="en-US" w:eastAsia="zh-CN" w:bidi="ar-SA"/>
              </w:rPr>
              <w:t>5.主减器、半轴、桥壳、免维护轮毂总成免费质保8年（含易损件），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制动系统</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1.采用双管路气制动，应有干燥冷却功能，并能自动排气净化油水；制动总阀的制动灯应安装继电器保护开关；要求总泵安装位置拆卸方便。</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2.各类阀类采用国内优质品牌，制动管路采用优质钢管或尼龙管。</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3.带ABS或EBS防抱死制动系统。</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4.制动器采用前后盘式制动。</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5.空气干燥罐、储气罐安装整车CAN总线控制的自动化的排水阀，安装CAN总线控制的大排量冷凝器（质保8年，含易损易耗件）。</w:t>
            </w:r>
          </w:p>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集中润滑系统质保八年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lang w:val="en-US" w:eastAsia="zh-CN"/>
              </w:rPr>
              <w:t>投标人须中标后10天内提交质保承诺书，质保期承诺须</w:t>
            </w:r>
            <w:r>
              <w:rPr>
                <w:rFonts w:hint="eastAsia" w:ascii="仿宋" w:hAnsi="仿宋" w:eastAsia="仿宋" w:cs="仿宋"/>
                <w:color w:val="auto"/>
                <w:sz w:val="28"/>
                <w:szCs w:val="28"/>
                <w:highlight w:val="none"/>
                <w:u w:val="none"/>
              </w:rPr>
              <w:t>由配套产品厂家和车辆制造厂家共同书面承诺。</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.采用弹簧储能制动，手控操纵。</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.车辆应有解除储能制动的外接气源快速接口，在车辆无气抛锚时，能方便接进气源，解除储能制动。</w:t>
            </w:r>
          </w:p>
          <w:p>
            <w:pPr>
              <w:adjustRightInd w:val="0"/>
              <w:snapToGrid w:val="0"/>
              <w:spacing w:line="320" w:lineRule="exact"/>
              <w:jc w:val="lef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9</w:t>
            </w:r>
            <w:r>
              <w:rPr>
                <w:rFonts w:hint="eastAsia" w:ascii="仿宋" w:hAnsi="仿宋" w:eastAsia="仿宋" w:cs="仿宋"/>
                <w:color w:val="auto"/>
                <w:sz w:val="28"/>
                <w:szCs w:val="28"/>
                <w:highlight w:val="none"/>
                <w:u w:val="none"/>
              </w:rPr>
              <w:t>.管路系统应进行保压试验，达到国家标准要求。</w:t>
            </w:r>
          </w:p>
          <w:p>
            <w:pPr>
              <w:adjustRightInd w:val="0"/>
              <w:snapToGrid w:val="0"/>
              <w:spacing w:line="320" w:lineRule="exact"/>
              <w:jc w:val="left"/>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.制动系低压报警灯、蜂鸣器集成于仪表，具备声光报警。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2261"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最大总质量、装备质量、载客量</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投标车辆的最大总质量、整备质量、额定载客数等数据应与工业与信息化部发布的道路机动车辆生产企业及产品公告一致。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拖 车 钩</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rPr>
              <w:t>拖车钩应坚固，保证拖车转弯时不碰擦外蒙皮，拖车钩的位置应满足在拖车时保持车辆左右平衡，方便托举和拖动。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Cs/>
                <w:color w:val="auto"/>
                <w:sz w:val="28"/>
                <w:szCs w:val="28"/>
                <w:highlight w:val="none"/>
                <w:lang w:eastAsia="zh-CN"/>
              </w:rPr>
              <w:t>悬</w:t>
            </w:r>
            <w:r>
              <w:rPr>
                <w:rFonts w:hint="eastAsia" w:ascii="仿宋" w:hAnsi="仿宋" w:eastAsia="仿宋" w:cs="仿宋"/>
                <w:bCs/>
                <w:color w:val="auto"/>
                <w:sz w:val="28"/>
                <w:szCs w:val="28"/>
                <w:highlight w:val="none"/>
                <w:lang w:val="en-US" w:eastAsia="zh-CN"/>
              </w:rPr>
              <w:t xml:space="preserve"> </w:t>
            </w:r>
            <w:r>
              <w:rPr>
                <w:rFonts w:hint="eastAsia" w:ascii="仿宋" w:hAnsi="仿宋" w:eastAsia="仿宋" w:cs="仿宋"/>
                <w:bCs/>
                <w:color w:val="auto"/>
                <w:sz w:val="28"/>
                <w:szCs w:val="28"/>
                <w:highlight w:val="none"/>
                <w:lang w:eastAsia="zh-CN"/>
              </w:rPr>
              <w:t>架</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1.采用空气悬架；气囊、减震器、高度阀采用进口配件。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悬架系统质保</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lang w:val="en-US" w:eastAsia="zh-CN"/>
              </w:rPr>
              <w:t>投标人须中标后10天内提交质保承诺书，质保期承诺须</w:t>
            </w:r>
            <w:r>
              <w:rPr>
                <w:rFonts w:hint="eastAsia" w:ascii="仿宋" w:hAnsi="仿宋" w:eastAsia="仿宋" w:cs="仿宋"/>
                <w:color w:val="auto"/>
                <w:sz w:val="28"/>
                <w:szCs w:val="28"/>
                <w:highlight w:val="none"/>
                <w:u w:val="none"/>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轮胎、车轮</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公交专用子午线</w:t>
            </w:r>
            <w:r>
              <w:rPr>
                <w:rFonts w:hint="eastAsia" w:ascii="仿宋" w:hAnsi="仿宋" w:eastAsia="仿宋" w:cs="仿宋"/>
                <w:color w:val="auto"/>
                <w:sz w:val="28"/>
                <w:szCs w:val="28"/>
                <w:highlight w:val="none"/>
                <w:u w:val="none"/>
                <w:shd w:val="clear" w:color="auto" w:fill="auto"/>
                <w:lang w:eastAsia="zh-CN"/>
              </w:rPr>
              <w:t>全钢</w:t>
            </w:r>
            <w:r>
              <w:rPr>
                <w:rFonts w:hint="eastAsia" w:ascii="仿宋" w:hAnsi="仿宋" w:eastAsia="仿宋" w:cs="仿宋"/>
                <w:color w:val="auto"/>
                <w:sz w:val="28"/>
                <w:szCs w:val="28"/>
                <w:highlight w:val="none"/>
                <w:u w:val="none"/>
                <w:shd w:val="clear" w:color="auto" w:fill="auto"/>
              </w:rPr>
              <w:t>真空胎</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铝合金轮辋（质保</w:t>
            </w:r>
            <w:r>
              <w:rPr>
                <w:rFonts w:hint="eastAsia" w:ascii="仿宋" w:hAnsi="仿宋" w:eastAsia="仿宋" w:cs="仿宋"/>
                <w:color w:val="auto"/>
                <w:sz w:val="28"/>
                <w:szCs w:val="28"/>
                <w:highlight w:val="none"/>
                <w:u w:val="none"/>
                <w:shd w:val="clear" w:color="auto" w:fill="auto"/>
                <w:lang w:val="en-US" w:eastAsia="zh-CN"/>
              </w:rPr>
              <w:t>8年</w:t>
            </w:r>
            <w:r>
              <w:rPr>
                <w:rFonts w:hint="eastAsia" w:ascii="仿宋" w:hAnsi="仿宋" w:eastAsia="仿宋" w:cs="仿宋"/>
                <w:color w:val="auto"/>
                <w:sz w:val="28"/>
                <w:szCs w:val="28"/>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highlight w:val="yellow"/>
                <w:lang w:val="en-US" w:eastAsia="zh-CN" w:bidi="ar-SA"/>
              </w:rPr>
            </w:pPr>
            <w:r>
              <w:rPr>
                <w:rFonts w:hint="eastAsia" w:ascii="仿宋" w:hAnsi="仿宋" w:eastAsia="仿宋" w:cs="仿宋"/>
                <w:sz w:val="28"/>
                <w:szCs w:val="28"/>
                <w:highlight w:val="none"/>
              </w:rPr>
              <w:t>主动安全系统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要求具备驱动防滑功能，通过调节驱动车轮的牵引力实现对驱动车轮滑转的控制，保持最佳的驱动力。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要求具备油门防误踩功能，通过判断油门踏板异常的速度和幅度，有效控制驱动力输出，提升行车安全性。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
                <w:bCs w:val="0"/>
                <w:color w:val="auto"/>
                <w:sz w:val="28"/>
                <w:szCs w:val="28"/>
                <w:highlight w:val="none"/>
                <w:u w:val="none"/>
                <w:lang w:val="en-US" w:eastAsia="zh-CN"/>
              </w:rPr>
              <w:t>4.电气系统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电气线路设计安装要求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rPr>
              <w:t>整</w:t>
            </w:r>
            <w:r>
              <w:rPr>
                <w:rFonts w:hint="eastAsia" w:ascii="仿宋" w:hAnsi="仿宋" w:eastAsia="仿宋" w:cs="仿宋"/>
                <w:color w:val="auto"/>
                <w:sz w:val="28"/>
                <w:szCs w:val="28"/>
                <w:highlight w:val="none"/>
                <w:u w:val="none"/>
                <w:shd w:val="clear" w:color="auto" w:fill="auto"/>
                <w:lang w:eastAsia="zh-CN"/>
              </w:rPr>
              <w:t>车</w:t>
            </w:r>
            <w:r>
              <w:rPr>
                <w:rFonts w:hint="eastAsia" w:ascii="仿宋" w:hAnsi="仿宋" w:eastAsia="仿宋" w:cs="仿宋"/>
                <w:color w:val="auto"/>
                <w:sz w:val="28"/>
                <w:szCs w:val="28"/>
                <w:highlight w:val="none"/>
                <w:u w:val="none"/>
                <w:shd w:val="clear" w:color="auto" w:fill="auto"/>
              </w:rPr>
              <w:t>电路设计符合车辆安全技术要求，所有电路应设置独立保护装置，空调线束和接插件必须使用进口</w:t>
            </w:r>
            <w:r>
              <w:rPr>
                <w:rFonts w:hint="eastAsia" w:ascii="仿宋" w:hAnsi="仿宋" w:eastAsia="仿宋" w:cs="仿宋"/>
                <w:color w:val="auto"/>
                <w:sz w:val="28"/>
                <w:szCs w:val="28"/>
                <w:highlight w:val="none"/>
                <w:u w:val="none"/>
                <w:shd w:val="clear" w:color="auto" w:fill="auto"/>
                <w:lang w:eastAsia="zh-CN"/>
              </w:rPr>
              <w:t>优质</w:t>
            </w:r>
            <w:r>
              <w:rPr>
                <w:rFonts w:hint="eastAsia" w:ascii="仿宋" w:hAnsi="仿宋" w:eastAsia="仿宋" w:cs="仿宋"/>
                <w:color w:val="auto"/>
                <w:sz w:val="28"/>
                <w:szCs w:val="28"/>
                <w:highlight w:val="none"/>
                <w:u w:val="none"/>
                <w:shd w:val="clear" w:color="auto" w:fill="auto"/>
              </w:rPr>
              <w:t>线束及防水接插件，各连接线接头安装应确保防水阻燃性能达到国标A-OMM/Min</w:t>
            </w:r>
            <w:r>
              <w:rPr>
                <w:rFonts w:hint="eastAsia" w:ascii="仿宋" w:hAnsi="仿宋" w:eastAsia="仿宋" w:cs="仿宋"/>
                <w:color w:val="auto"/>
                <w:sz w:val="28"/>
                <w:szCs w:val="28"/>
                <w:highlight w:val="none"/>
                <w:u w:val="none"/>
                <w:shd w:val="clear" w:color="auto" w:fill="auto"/>
                <w:lang w:eastAsia="zh-CN"/>
              </w:rPr>
              <w:t>，具体要求如下：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采用耐高温辐照阻燃电线（1</w:t>
            </w:r>
            <w:r>
              <w:rPr>
                <w:rFonts w:hint="eastAsia" w:ascii="仿宋" w:hAnsi="仿宋" w:eastAsia="仿宋" w:cs="仿宋"/>
                <w:color w:val="auto"/>
                <w:sz w:val="28"/>
                <w:szCs w:val="28"/>
                <w:highlight w:val="none"/>
                <w:u w:val="none"/>
                <w:shd w:val="clear" w:color="auto" w:fill="auto"/>
                <w:lang w:val="en-US" w:eastAsia="zh-CN"/>
              </w:rPr>
              <w:t>0</w:t>
            </w:r>
            <w:r>
              <w:rPr>
                <w:rFonts w:hint="eastAsia" w:ascii="仿宋" w:hAnsi="仿宋" w:eastAsia="仿宋" w:cs="仿宋"/>
                <w:color w:val="auto"/>
                <w:sz w:val="28"/>
                <w:szCs w:val="28"/>
                <w:highlight w:val="none"/>
                <w:u w:val="none"/>
                <w:shd w:val="clear" w:color="auto" w:fill="auto"/>
              </w:rPr>
              <w:t>5</w:t>
            </w:r>
            <w:r>
              <w:rPr>
                <w:rFonts w:hint="eastAsia" w:ascii="仿宋" w:hAnsi="仿宋" w:eastAsia="仿宋" w:cs="仿宋"/>
                <w:color w:val="auto"/>
                <w:sz w:val="28"/>
                <w:szCs w:val="28"/>
                <w:highlight w:val="none"/>
                <w:u w:val="none"/>
                <w:shd w:val="clear" w:color="auto" w:fill="auto"/>
                <w:vertAlign w:val="superscript"/>
              </w:rPr>
              <w:t>O</w:t>
            </w:r>
            <w:r>
              <w:rPr>
                <w:rFonts w:hint="eastAsia" w:ascii="仿宋" w:hAnsi="仿宋" w:eastAsia="仿宋" w:cs="仿宋"/>
                <w:color w:val="auto"/>
                <w:sz w:val="28"/>
                <w:szCs w:val="28"/>
                <w:highlight w:val="none"/>
                <w:u w:val="none"/>
                <w:shd w:val="clear" w:color="auto" w:fill="auto"/>
              </w:rPr>
              <w:t>C</w:t>
            </w:r>
            <w:r>
              <w:rPr>
                <w:rFonts w:hint="eastAsia" w:ascii="仿宋" w:hAnsi="仿宋" w:eastAsia="仿宋" w:cs="仿宋"/>
                <w:color w:val="auto"/>
                <w:sz w:val="28"/>
                <w:szCs w:val="28"/>
                <w:highlight w:val="none"/>
                <w:u w:val="none"/>
                <w:shd w:val="clear" w:color="auto" w:fill="auto"/>
                <w:lang w:eastAsia="zh-CN"/>
              </w:rPr>
              <w:t>以上</w:t>
            </w:r>
            <w:r>
              <w:rPr>
                <w:rFonts w:hint="eastAsia" w:ascii="仿宋" w:hAnsi="仿宋" w:eastAsia="仿宋" w:cs="仿宋"/>
                <w:color w:val="auto"/>
                <w:sz w:val="28"/>
                <w:szCs w:val="28"/>
                <w:highlight w:val="none"/>
                <w:u w:val="none"/>
                <w:shd w:val="clear" w:color="auto" w:fill="auto"/>
              </w:rPr>
              <w:t>）。导线允许的最大电流，要在根据用电设备计算出的最大电流基础上留有</w:t>
            </w:r>
            <w:r>
              <w:rPr>
                <w:rFonts w:hint="eastAsia" w:ascii="仿宋" w:hAnsi="仿宋" w:eastAsia="仿宋" w:cs="仿宋"/>
                <w:color w:val="auto"/>
                <w:sz w:val="28"/>
                <w:szCs w:val="28"/>
                <w:highlight w:val="none"/>
                <w:u w:val="none"/>
                <w:shd w:val="clear" w:color="auto" w:fill="auto"/>
                <w:lang w:eastAsia="zh-CN"/>
              </w:rPr>
              <w:t>足够</w:t>
            </w:r>
            <w:r>
              <w:rPr>
                <w:rFonts w:hint="eastAsia" w:ascii="仿宋" w:hAnsi="仿宋" w:eastAsia="仿宋" w:cs="仿宋"/>
                <w:color w:val="auto"/>
                <w:sz w:val="28"/>
                <w:szCs w:val="28"/>
                <w:highlight w:val="none"/>
                <w:u w:val="none"/>
                <w:shd w:val="clear" w:color="auto" w:fill="auto"/>
              </w:rPr>
              <w:t>的安全系数。</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 xml:space="preserve">2. </w:t>
            </w:r>
            <w:r>
              <w:rPr>
                <w:rFonts w:hint="eastAsia" w:ascii="仿宋" w:hAnsi="仿宋" w:eastAsia="仿宋" w:cs="仿宋"/>
                <w:color w:val="auto"/>
                <w:sz w:val="28"/>
                <w:szCs w:val="28"/>
                <w:highlight w:val="none"/>
                <w:u w:val="none"/>
                <w:shd w:val="clear" w:color="auto" w:fill="auto"/>
              </w:rPr>
              <w:t>各用电器线路设有相应的保险保护系统电气线路走向合理。导线应分色，有线号。线束要捆扎牢靠并有绝缘防护套，打有套号。</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线束通过梁、板孔时，应有绝缘防护圈，与其它物体固定时要用尼龙扎带，不允许线束与油、气、水管捆扎在一起。</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采用优质防水型电器插接件，插接件连接可靠，要有防插错措施。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保险、开关、继电器、灯泡工作可靠，耐用，开关等表面件还应美观。</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6.</w:t>
            </w:r>
            <w:r>
              <w:rPr>
                <w:rFonts w:hint="eastAsia" w:ascii="仿宋" w:hAnsi="仿宋" w:eastAsia="仿宋" w:cs="仿宋"/>
                <w:color w:val="auto"/>
                <w:sz w:val="28"/>
                <w:szCs w:val="28"/>
                <w:highlight w:val="none"/>
                <w:u w:val="none"/>
                <w:shd w:val="clear" w:color="auto" w:fill="auto"/>
              </w:rPr>
              <w:t>中控器应防尘防水，安装在车厢内。</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7.</w:t>
            </w:r>
            <w:r>
              <w:rPr>
                <w:rFonts w:hint="eastAsia" w:ascii="仿宋" w:hAnsi="仿宋" w:eastAsia="仿宋" w:cs="仿宋"/>
                <w:color w:val="auto"/>
                <w:sz w:val="28"/>
                <w:szCs w:val="28"/>
                <w:highlight w:val="none"/>
                <w:u w:val="none"/>
                <w:shd w:val="clear" w:color="auto" w:fill="auto"/>
              </w:rPr>
              <w:t>靠近电瓶处安装便于驾驶员操作的总电源机械</w:t>
            </w:r>
            <w:r>
              <w:rPr>
                <w:rFonts w:hint="eastAsia" w:ascii="仿宋" w:hAnsi="仿宋" w:eastAsia="仿宋" w:cs="仿宋"/>
                <w:color w:val="auto"/>
                <w:sz w:val="28"/>
                <w:szCs w:val="28"/>
                <w:highlight w:val="none"/>
                <w:u w:val="none"/>
                <w:shd w:val="clear" w:color="auto" w:fill="auto"/>
                <w:lang w:eastAsia="zh-CN"/>
              </w:rPr>
              <w:t>开关</w:t>
            </w:r>
            <w:r>
              <w:rPr>
                <w:rFonts w:hint="eastAsia" w:ascii="仿宋" w:hAnsi="仿宋" w:eastAsia="仿宋" w:cs="仿宋"/>
                <w:color w:val="auto"/>
                <w:sz w:val="28"/>
                <w:szCs w:val="28"/>
                <w:highlight w:val="none"/>
                <w:u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8.</w:t>
            </w:r>
            <w:r>
              <w:rPr>
                <w:rFonts w:hint="eastAsia" w:ascii="仿宋" w:hAnsi="仿宋" w:eastAsia="仿宋" w:cs="仿宋"/>
                <w:color w:val="auto"/>
                <w:sz w:val="28"/>
                <w:szCs w:val="28"/>
                <w:highlight w:val="none"/>
                <w:u w:val="none"/>
                <w:shd w:val="clear" w:color="auto" w:fill="auto"/>
              </w:rPr>
              <w:t>全车线束及中央电器控制盒、电瓶线，线芯、阻燃性能符合国家标准。</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9.</w:t>
            </w:r>
            <w:r>
              <w:rPr>
                <w:rFonts w:hint="eastAsia" w:ascii="仿宋" w:hAnsi="仿宋" w:eastAsia="仿宋" w:cs="仿宋"/>
                <w:color w:val="auto"/>
                <w:sz w:val="28"/>
                <w:szCs w:val="28"/>
                <w:highlight w:val="none"/>
                <w:u w:val="none"/>
                <w:shd w:val="clear" w:color="auto" w:fill="auto"/>
              </w:rPr>
              <w:t>按汽车公告目录要求配置蓄电池。</w:t>
            </w:r>
            <w:r>
              <w:rPr>
                <w:rFonts w:hint="eastAsia" w:ascii="仿宋" w:hAnsi="仿宋" w:eastAsia="仿宋" w:cs="仿宋"/>
                <w:color w:val="auto"/>
                <w:sz w:val="28"/>
                <w:szCs w:val="28"/>
                <w:highlight w:val="none"/>
                <w:u w:val="none"/>
              </w:rPr>
              <w:t>采用</w:t>
            </w:r>
            <w:r>
              <w:rPr>
                <w:rFonts w:hint="eastAsia" w:ascii="仿宋" w:hAnsi="仿宋" w:eastAsia="仿宋" w:cs="仿宋"/>
                <w:color w:val="auto"/>
                <w:sz w:val="28"/>
                <w:szCs w:val="28"/>
                <w:highlight w:val="none"/>
                <w:u w:val="none"/>
                <w:shd w:val="clear" w:color="auto" w:fill="auto"/>
              </w:rPr>
              <w:t>免维护蓄电池，加装大容量熔断器；蓄电池能方便更换，锁止可靠，安装合理。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前后大小灯</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美观大方，便于维护。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转向指示灯开关</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除在方向盘下的组合开关外，在仪表台上再设一套翘板开关，两套应能并用。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前风窗玻璃刮水器</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两速雨刮电机</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刮臂和刮片长短与前风挡高度匹配良好，工作稳定可靠。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yellow"/>
                <w:u w:val="none"/>
                <w:shd w:val="clear" w:color="auto" w:fill="auto"/>
              </w:rPr>
            </w:pPr>
            <w:r>
              <w:rPr>
                <w:rFonts w:hint="eastAsia" w:ascii="仿宋" w:hAnsi="仿宋" w:eastAsia="仿宋" w:cs="仿宋"/>
                <w:b/>
                <w:bCs w:val="0"/>
                <w:color w:val="auto"/>
                <w:sz w:val="28"/>
                <w:szCs w:val="28"/>
                <w:highlight w:val="none"/>
                <w:u w:val="none"/>
                <w:lang w:val="en-US" w:eastAsia="zh-CN"/>
              </w:rPr>
              <w:t>5.车身系统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承载要求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全承载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防腐要求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整车骨架与蒙皮、骨架与地板等接合缝处采用聚氨酯密封胶进行密封防水防锈处理</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整车防腐效果达到8年及以上，并附承诺书原件。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eastAsia="zh-CN"/>
              </w:rPr>
              <w:t>入口要求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highlight w:val="none"/>
                <w:u w:val="none"/>
                <w:shd w:val="clear" w:color="auto" w:fill="auto"/>
                <w:lang w:val="en-US" w:eastAsia="zh-CN"/>
              </w:rPr>
              <w:t>低入口一级踏步。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rPr>
              <w:t>车身舱门、前后轮拱</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车身左右侧边门采用翻开式，机械锁和气压支撑杆检修门结构，并装有胶垫防震、检修门铰链。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舱门美观牢固，开启方便，锁止可靠，门与车身蒙皮缝隙均匀，液压撑杆支撑力要满足支撑检修门要求，确保安全稳定，在侧围检修门和客车骨架之间增装保险绳（挂钩或钢丝绳或链）。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为方便雨刷器等部件的检修与拆装，在客车前围处设置有专用检修门，凡需检修的部位都应开设工作门或检修窗。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前后轮拱区域应有密封防腐处理，保证骨架不外露、不藏水，轮罩和挡泥板均喷阻尼胶。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车身色彩图案</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中标后由</w:t>
            </w:r>
            <w:r>
              <w:rPr>
                <w:rFonts w:hint="eastAsia" w:ascii="仿宋" w:hAnsi="仿宋" w:eastAsia="仿宋" w:cs="仿宋"/>
                <w:color w:val="auto"/>
                <w:sz w:val="28"/>
                <w:szCs w:val="28"/>
                <w:highlight w:val="none"/>
                <w:u w:val="none"/>
                <w:shd w:val="clear" w:color="auto" w:fill="auto"/>
                <w:lang w:eastAsia="zh-CN"/>
              </w:rPr>
              <w:t>采购人</w:t>
            </w:r>
            <w:r>
              <w:rPr>
                <w:rFonts w:hint="eastAsia" w:ascii="仿宋" w:hAnsi="仿宋" w:eastAsia="仿宋" w:cs="仿宋"/>
                <w:color w:val="auto"/>
                <w:sz w:val="28"/>
                <w:szCs w:val="28"/>
                <w:highlight w:val="none"/>
                <w:u w:val="none"/>
                <w:shd w:val="clear" w:color="auto" w:fill="auto"/>
              </w:rPr>
              <w:t>确定。</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采用优质漆。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bCs/>
                <w:color w:val="auto"/>
                <w:sz w:val="28"/>
                <w:szCs w:val="28"/>
                <w:lang w:eastAsia="zh-CN"/>
              </w:rPr>
              <w:t>前围部分</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玻璃钢或薄钢板冲压成型。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车前部安装电蜗牛喇叭</w:t>
            </w:r>
            <w:r>
              <w:rPr>
                <w:rFonts w:hint="eastAsia" w:ascii="仿宋" w:hAnsi="仿宋" w:eastAsia="仿宋" w:cs="仿宋"/>
                <w:sz w:val="28"/>
                <w:szCs w:val="28"/>
                <w:lang w:eastAsia="zh-CN"/>
              </w:rPr>
              <w:t>及外音播报喇叭。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前风窗采用双曲面全景夹胶安全玻璃，透光率70%以上</w:t>
            </w:r>
            <w:r>
              <w:rPr>
                <w:rFonts w:hint="eastAsia" w:ascii="仿宋" w:hAnsi="仿宋" w:eastAsia="仿宋" w:cs="仿宋"/>
                <w:sz w:val="28"/>
                <w:szCs w:val="28"/>
                <w:lang w:eastAsia="zh-CN"/>
              </w:rPr>
              <w:t>，</w:t>
            </w:r>
            <w:r>
              <w:rPr>
                <w:rFonts w:hint="eastAsia" w:ascii="仿宋" w:hAnsi="仿宋" w:eastAsia="仿宋" w:cs="仿宋"/>
                <w:sz w:val="28"/>
                <w:szCs w:val="28"/>
              </w:rPr>
              <w:t>直接粘贴在风窗框上，接缝处粘贴平顺美观。驾驶员侧、前装上下拉遮阳帘。</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.侧窗采用粘贴式内嵌推拉窗，下固定，上推拉。侧窗不配窗帘布，使用有色玻璃，颜色由采购方商定</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前档遮阳帘</w:t>
            </w:r>
            <w:r>
              <w:rPr>
                <w:rFonts w:hint="eastAsia" w:ascii="仿宋" w:hAnsi="仿宋" w:eastAsia="仿宋" w:cs="仿宋"/>
                <w:sz w:val="28"/>
                <w:szCs w:val="28"/>
                <w:lang w:eastAsia="zh-CN"/>
              </w:rPr>
              <w:t>：</w:t>
            </w:r>
            <w:r>
              <w:rPr>
                <w:rFonts w:hint="eastAsia" w:ascii="仿宋" w:hAnsi="仿宋" w:eastAsia="仿宋" w:cs="仿宋"/>
                <w:sz w:val="28"/>
                <w:szCs w:val="28"/>
              </w:rPr>
              <w:t>手动单幅下拉自锁式。</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司机遮阳帘</w:t>
            </w:r>
            <w:r>
              <w:rPr>
                <w:rFonts w:hint="eastAsia" w:ascii="仿宋" w:hAnsi="仿宋" w:eastAsia="仿宋" w:cs="仿宋"/>
                <w:sz w:val="28"/>
                <w:szCs w:val="28"/>
                <w:lang w:eastAsia="zh-CN"/>
              </w:rPr>
              <w:t>：</w:t>
            </w:r>
            <w:r>
              <w:rPr>
                <w:rFonts w:hint="eastAsia" w:ascii="仿宋" w:hAnsi="仿宋" w:eastAsia="仿宋" w:cs="仿宋"/>
                <w:sz w:val="28"/>
                <w:szCs w:val="28"/>
              </w:rPr>
              <w:t>下拉自锁式司机遮阳帘。</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车头喷“台州公交”字样、车身侧面喷单位全称、logo及投诉举报电话，标准规范由</w:t>
            </w:r>
            <w:r>
              <w:rPr>
                <w:rFonts w:hint="eastAsia" w:ascii="仿宋" w:hAnsi="仿宋" w:eastAsia="仿宋" w:cs="仿宋"/>
                <w:sz w:val="28"/>
                <w:szCs w:val="28"/>
                <w:lang w:eastAsia="zh-CN"/>
              </w:rPr>
              <w:t>采购人</w:t>
            </w:r>
            <w:r>
              <w:rPr>
                <w:rFonts w:hint="eastAsia" w:ascii="仿宋" w:hAnsi="仿宋" w:eastAsia="仿宋" w:cs="仿宋"/>
                <w:sz w:val="28"/>
                <w:szCs w:val="28"/>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后围部分</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玻璃钢或薄钢板冲压成型。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后挡风玻璃</w:t>
            </w:r>
            <w:r>
              <w:rPr>
                <w:rFonts w:hint="eastAsia" w:ascii="仿宋" w:hAnsi="仿宋" w:eastAsia="仿宋" w:cs="仿宋"/>
                <w:color w:val="auto"/>
                <w:sz w:val="28"/>
                <w:szCs w:val="28"/>
                <w:highlight w:val="none"/>
                <w:u w:val="none"/>
                <w:shd w:val="clear" w:color="auto" w:fill="auto"/>
                <w:lang w:eastAsia="zh-CN"/>
              </w:rPr>
              <w:t>采用钢化玻璃</w:t>
            </w:r>
            <w:r>
              <w:rPr>
                <w:rFonts w:hint="eastAsia" w:ascii="仿宋" w:hAnsi="仿宋" w:eastAsia="仿宋" w:cs="仿宋"/>
                <w:color w:val="auto"/>
                <w:sz w:val="28"/>
                <w:szCs w:val="28"/>
                <w:highlight w:val="none"/>
                <w:u w:val="none"/>
                <w:shd w:val="clear" w:color="auto" w:fill="auto"/>
              </w:rPr>
              <w:t>，</w:t>
            </w:r>
            <w:r>
              <w:rPr>
                <w:rFonts w:hint="eastAsia" w:ascii="仿宋" w:hAnsi="仿宋" w:eastAsia="仿宋" w:cs="仿宋"/>
                <w:color w:val="auto"/>
                <w:sz w:val="28"/>
                <w:szCs w:val="28"/>
                <w:highlight w:val="none"/>
                <w:u w:val="none"/>
                <w:shd w:val="clear" w:color="auto" w:fill="auto"/>
                <w:lang w:eastAsia="zh-CN"/>
              </w:rPr>
              <w:t>应按照采购人后广告</w:t>
            </w:r>
            <w:r>
              <w:rPr>
                <w:rFonts w:hint="eastAsia" w:ascii="仿宋" w:hAnsi="仿宋" w:eastAsia="仿宋" w:cs="仿宋"/>
                <w:color w:val="auto"/>
                <w:sz w:val="28"/>
                <w:szCs w:val="28"/>
                <w:highlight w:val="none"/>
                <w:u w:val="none"/>
                <w:shd w:val="clear" w:color="auto" w:fill="auto"/>
                <w:lang w:val="en-US" w:eastAsia="zh-CN"/>
              </w:rPr>
              <w:t>LED显示屏尺寸配置，</w:t>
            </w:r>
            <w:r>
              <w:rPr>
                <w:rFonts w:hint="eastAsia" w:ascii="仿宋" w:hAnsi="仿宋" w:eastAsia="仿宋" w:cs="仿宋"/>
                <w:color w:val="auto"/>
                <w:sz w:val="28"/>
                <w:szCs w:val="28"/>
                <w:highlight w:val="none"/>
                <w:u w:val="none"/>
                <w:shd w:val="clear" w:color="auto" w:fill="auto"/>
              </w:rPr>
              <w:t>直接粘贴在风窗框上。后风挡上不加贴或喷涂任何说明。</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上围风窗框内应考虑后路牌架，使后路牌安装后与后风窗玻璃紧贴配合良好。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小膨胀水箱在机</w:t>
            </w:r>
            <w:r>
              <w:rPr>
                <w:rFonts w:hint="eastAsia" w:ascii="仿宋" w:hAnsi="仿宋" w:eastAsia="仿宋" w:cs="仿宋"/>
                <w:color w:val="auto"/>
                <w:sz w:val="28"/>
                <w:szCs w:val="28"/>
                <w:highlight w:val="none"/>
                <w:u w:val="none"/>
                <w:shd w:val="clear" w:color="auto" w:fill="auto"/>
                <w:lang w:eastAsia="zh-CN"/>
              </w:rPr>
              <w:t>仓</w:t>
            </w:r>
            <w:r>
              <w:rPr>
                <w:rFonts w:hint="eastAsia" w:ascii="仿宋" w:hAnsi="仿宋" w:eastAsia="仿宋" w:cs="仿宋"/>
                <w:color w:val="auto"/>
                <w:sz w:val="28"/>
                <w:szCs w:val="28"/>
                <w:highlight w:val="none"/>
                <w:u w:val="none"/>
                <w:shd w:val="clear" w:color="auto" w:fill="auto"/>
              </w:rPr>
              <w:t>内布置应方便加注。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右后下方配车长牌，具体尺寸由采购方提供</w:t>
            </w:r>
            <w:r>
              <w:rPr>
                <w:rFonts w:hint="eastAsia" w:ascii="仿宋" w:hAnsi="仿宋" w:eastAsia="仿宋" w:cs="仿宋"/>
                <w:color w:val="auto"/>
                <w:sz w:val="28"/>
                <w:szCs w:val="28"/>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侧围外蒙皮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预应力涨拉蒙皮，蒙皮应做防腐、防锈蚀处理，蒙皮内侧应有隔热减振措施。蒙皮厚度不小于1mm。</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各种型材应采用国内优质产品</w:t>
            </w:r>
            <w:r>
              <w:rPr>
                <w:rFonts w:hint="eastAsia" w:ascii="仿宋" w:hAnsi="仿宋" w:eastAsia="仿宋" w:cs="仿宋"/>
                <w:color w:val="auto"/>
                <w:sz w:val="28"/>
                <w:szCs w:val="28"/>
                <w:highlight w:val="none"/>
                <w:u w:val="none"/>
                <w:shd w:val="clear" w:color="auto" w:fill="auto"/>
                <w:lang w:eastAsia="zh-CN"/>
              </w:rPr>
              <w:t>并</w:t>
            </w:r>
            <w:r>
              <w:rPr>
                <w:rFonts w:hint="eastAsia" w:ascii="仿宋" w:hAnsi="仿宋" w:eastAsia="仿宋" w:cs="仿宋"/>
                <w:color w:val="auto"/>
                <w:sz w:val="28"/>
                <w:szCs w:val="28"/>
                <w:highlight w:val="none"/>
                <w:u w:val="none"/>
                <w:shd w:val="clear" w:color="auto" w:fill="auto"/>
              </w:rPr>
              <w:t>提供</w:t>
            </w:r>
            <w:r>
              <w:rPr>
                <w:rFonts w:hint="eastAsia" w:ascii="仿宋" w:hAnsi="仿宋" w:eastAsia="仿宋" w:cs="仿宋"/>
                <w:color w:val="auto"/>
                <w:sz w:val="28"/>
                <w:szCs w:val="28"/>
                <w:highlight w:val="none"/>
                <w:u w:val="none"/>
                <w:shd w:val="clear" w:color="auto" w:fill="auto"/>
                <w:lang w:eastAsia="zh-CN"/>
              </w:rPr>
              <w:t>供货清单</w:t>
            </w:r>
            <w:r>
              <w:rPr>
                <w:rFonts w:hint="eastAsia" w:ascii="仿宋" w:hAnsi="仿宋" w:eastAsia="仿宋" w:cs="仿宋"/>
                <w:color w:val="auto"/>
                <w:sz w:val="28"/>
                <w:szCs w:val="28"/>
                <w:highlight w:val="none"/>
                <w:u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骨架</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1.骨架质保</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年（含蒙皮），</w:t>
            </w:r>
            <w:r>
              <w:rPr>
                <w:rFonts w:hint="eastAsia" w:ascii="仿宋" w:hAnsi="仿宋" w:eastAsia="仿宋" w:cs="仿宋"/>
                <w:color w:val="auto"/>
                <w:sz w:val="28"/>
                <w:szCs w:val="28"/>
                <w:highlight w:val="none"/>
                <w:u w:val="none"/>
                <w:lang w:val="en-US" w:eastAsia="zh-CN"/>
              </w:rPr>
              <w:t>投标人须在标书内提供</w:t>
            </w:r>
            <w:r>
              <w:rPr>
                <w:rFonts w:hint="eastAsia" w:ascii="仿宋" w:hAnsi="仿宋" w:eastAsia="仿宋" w:cs="仿宋"/>
                <w:color w:val="auto"/>
                <w:sz w:val="28"/>
                <w:szCs w:val="28"/>
                <w:highlight w:val="none"/>
                <w:u w:val="none"/>
              </w:rPr>
              <w:t>书面承诺。</w:t>
            </w:r>
          </w:p>
          <w:p>
            <w:pPr>
              <w:adjustRightInd w:val="0"/>
              <w:snapToGrid w:val="0"/>
              <w:spacing w:line="320" w:lineRule="exact"/>
              <w:rPr>
                <w:rFonts w:hint="eastAsia" w:ascii="仿宋" w:hAnsi="仿宋" w:eastAsia="仿宋" w:cs="仿宋"/>
                <w:strike/>
                <w:color w:val="auto"/>
                <w:sz w:val="28"/>
                <w:szCs w:val="28"/>
                <w:highlight w:val="none"/>
                <w:u w:val="none"/>
              </w:rPr>
            </w:pPr>
            <w:r>
              <w:rPr>
                <w:rFonts w:hint="eastAsia" w:ascii="仿宋" w:hAnsi="仿宋" w:eastAsia="仿宋" w:cs="仿宋"/>
                <w:color w:val="auto"/>
                <w:sz w:val="28"/>
                <w:szCs w:val="28"/>
                <w:highlight w:val="none"/>
                <w:u w:val="none"/>
                <w:lang w:eastAsia="zh-CN"/>
              </w:rPr>
              <w:t>2.</w:t>
            </w:r>
            <w:r>
              <w:rPr>
                <w:rFonts w:hint="eastAsia" w:ascii="仿宋" w:hAnsi="仿宋" w:eastAsia="仿宋" w:cs="仿宋"/>
                <w:color w:val="auto"/>
                <w:sz w:val="28"/>
                <w:szCs w:val="28"/>
                <w:highlight w:val="none"/>
                <w:u w:val="none"/>
              </w:rPr>
              <w:t>足够的强度和刚度，焊接可靠，提高整车骨架的防腐、防锈蚀性能。各种型材应采用优质产品。</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rPr>
              <w:t>3.左右侧围骨架、顶盖骨架之间充填</w:t>
            </w:r>
            <w:r>
              <w:rPr>
                <w:rFonts w:hint="eastAsia" w:ascii="仿宋" w:hAnsi="仿宋" w:eastAsia="仿宋" w:cs="仿宋"/>
                <w:color w:val="auto"/>
                <w:sz w:val="28"/>
                <w:szCs w:val="28"/>
                <w:highlight w:val="none"/>
                <w:u w:val="none"/>
                <w:lang w:val="en-US" w:eastAsia="zh-CN"/>
              </w:rPr>
              <w:t>A0级</w:t>
            </w:r>
            <w:r>
              <w:rPr>
                <w:rFonts w:hint="eastAsia" w:ascii="仿宋" w:hAnsi="仿宋" w:eastAsia="仿宋" w:cs="仿宋"/>
                <w:color w:val="auto"/>
                <w:sz w:val="28"/>
                <w:szCs w:val="28"/>
                <w:highlight w:val="none"/>
                <w:u w:val="none"/>
              </w:rPr>
              <w:t>阻燃型隔热材料，发泡层均匀厚度不得小于35mm，以保证客车的隔热性能。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安全天窗</w:t>
            </w:r>
          </w:p>
        </w:tc>
        <w:tc>
          <w:tcPr>
            <w:tcW w:w="7135" w:type="dxa"/>
            <w:noWrap w:val="0"/>
            <w:vAlign w:val="center"/>
          </w:tcPr>
          <w:p>
            <w:pP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带换气扇安全出口1只。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地板</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整车采用大平面环保阻燃PVC地板，厚度不小于18MM，符合JT/T1095等最新标准，安装工艺必须符合地板安装相关技术要求，具有无毒、防水防潮，完全阻燃性达到AO级获得国家3C强制认证。</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地板与客车底架采用胶水及专用螺栓连接，铺设区客车底架横梁加密、地板及座椅固定螺栓要求连接在横梁或替板上、紧固可靠（8年内不发生地板拱起，螺栓松脱开现象），地板各连接缝、地板与车身的接缝处应涂密封胶。</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车顶棚骨架等使用防火保温隔热材料，充分考虑当地气候特点，考虑内饰阻燃特性；产品要求防潮、抗菌、防霉、节能环保材料。技术性能必须达到GB38262-2019《汽车内饰材料燃烧特性》，防火等级A0级。需提供国家认可机构报告。</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客舱、轮毂使用降噪材料和气凝胶防火材料，电池仓和电机仓、客舱等部分合理铺设使用气凝胶防火材料，符合GB 8624标准“燃烧性能等级，A级不燃”要求；符合JT/T 1095内饰件阻燃特性要求。</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整车采用耐磨防滑石英沙城市客车专用地板革，符合JT/T1095-2016标准，地板与地板革采用进口高强度防水专用地板革胶粘接，做到不脱胶、不起泡、不开裂。地板革与地板是采用焊接拼接，接缝处剔割平整。</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前后乘客门踏步区域采用黄色踏步专用地板革，并标明“禁止站立”字样。</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地板应设有检修孔和盖板，检修盖板拉手隐性结构</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地板上的检修舱口盖压边框为整体式铝型材，采用双层密封结构。。</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车厢内各阴阳角拼缝处采用铝合金型材拼压或地板革焊接工艺，直角拼缝处采用磨光45°对接，圆弧拼缝处则可采用成型或锯齿状弯曲拼压，确保拼压平整贴服，地板革折边高于地板水平面10CM以上；车身围板下沿采用15cm不锈钢板围裙踢脚。</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9.</w:t>
            </w:r>
            <w:r>
              <w:rPr>
                <w:rFonts w:hint="eastAsia" w:ascii="仿宋" w:hAnsi="仿宋" w:eastAsia="仿宋" w:cs="仿宋"/>
                <w:color w:val="auto"/>
                <w:sz w:val="28"/>
                <w:szCs w:val="28"/>
                <w:highlight w:val="none"/>
                <w:u w:val="none"/>
              </w:rPr>
              <w:t>地板革颜色应与整车内饰协调。</w:t>
            </w:r>
          </w:p>
          <w:p>
            <w:pPr>
              <w:adjustRightInd w:val="0"/>
              <w:snapToGrid w:val="0"/>
              <w:spacing w:line="320" w:lineRule="exac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地板、地板革质保8年，并附承诺书原件。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车门</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内摆式乘客门加强型铝合金门板，门玻璃为钢化玻璃，乘客门下带防夹脚设置。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乘客门关闭时应装有气嚢防夹装置。后门防夹提示需采用铝片，并用铆钉固定，要求字迹清晰。乘客门在开启状况时，门外缘距车身外缘不大于100 mm，前门后、后前后门立柱装防护装置</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全车应有门锁装置。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门泵驱动系统采用电控气动方式，采用进口电磁阀、继电器和气缸，在仪表台适当位置设置乘客门应急打开气动控制阀开关，并在每个乘客门内外处和车外必须装紧急开关，以备紧急使用；门泵带自动气水分离装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.车辆停稳前不允许开门，车辆门没关闭不允许起步，车速达到5码以上不能打开车门。</w:t>
            </w:r>
          </w:p>
          <w:p>
            <w:pPr>
              <w:adjustRightInd w:val="0"/>
              <w:snapToGrid w:val="0"/>
              <w:spacing w:line="320" w:lineRule="exac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乘客门</w:t>
            </w:r>
            <w:r>
              <w:rPr>
                <w:rFonts w:hint="eastAsia" w:ascii="仿宋" w:hAnsi="仿宋" w:eastAsia="仿宋" w:cs="仿宋"/>
                <w:color w:val="auto"/>
                <w:sz w:val="28"/>
                <w:szCs w:val="28"/>
                <w:highlight w:val="none"/>
                <w:u w:val="none"/>
                <w:lang w:eastAsia="zh-CN"/>
              </w:rPr>
              <w:t>系统</w:t>
            </w:r>
            <w:r>
              <w:rPr>
                <w:rFonts w:hint="eastAsia" w:ascii="仿宋" w:hAnsi="仿宋" w:eastAsia="仿宋" w:cs="仿宋"/>
                <w:color w:val="auto"/>
                <w:sz w:val="28"/>
                <w:szCs w:val="28"/>
                <w:highlight w:val="none"/>
                <w:u w:val="none"/>
              </w:rPr>
              <w:t>免费质保8年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lang w:eastAsia="zh-CN"/>
              </w:rPr>
              <w:t>车内设置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公交标识</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lang w:eastAsia="zh-CN"/>
              </w:rPr>
            </w:pPr>
            <w:r>
              <w:rPr>
                <w:rFonts w:hint="eastAsia" w:ascii="仿宋" w:hAnsi="仿宋" w:eastAsia="仿宋" w:cs="仿宋"/>
                <w:sz w:val="28"/>
                <w:szCs w:val="28"/>
                <w:lang w:val="en-US" w:eastAsia="zh-CN"/>
              </w:rPr>
              <w:t>1.</w:t>
            </w:r>
            <w:r>
              <w:rPr>
                <w:rFonts w:hint="eastAsia" w:ascii="仿宋" w:hAnsi="仿宋" w:eastAsia="仿宋" w:cs="仿宋"/>
                <w:color w:val="auto"/>
                <w:sz w:val="28"/>
                <w:szCs w:val="28"/>
                <w:highlight w:val="none"/>
                <w:u w:val="none"/>
              </w:rPr>
              <w:t>上客门、下客门、爱心专座等标识按</w:t>
            </w:r>
            <w:r>
              <w:rPr>
                <w:rFonts w:hint="eastAsia" w:ascii="仿宋" w:hAnsi="仿宋" w:eastAsia="仿宋" w:cs="仿宋"/>
                <w:color w:val="auto"/>
                <w:sz w:val="28"/>
                <w:szCs w:val="28"/>
                <w:highlight w:val="none"/>
                <w:u w:val="none"/>
                <w:lang w:eastAsia="zh-CN"/>
              </w:rPr>
              <w:t>最</w:t>
            </w:r>
            <w:r>
              <w:rPr>
                <w:rFonts w:hint="eastAsia" w:ascii="仿宋" w:hAnsi="仿宋" w:eastAsia="仿宋" w:cs="仿宋"/>
                <w:color w:val="auto"/>
                <w:sz w:val="28"/>
                <w:szCs w:val="28"/>
                <w:highlight w:val="none"/>
                <w:u w:val="none"/>
              </w:rPr>
              <w:t>新版《城市公共交通标志》标准制作</w:t>
            </w:r>
            <w:r>
              <w:rPr>
                <w:rFonts w:hint="eastAsia" w:ascii="仿宋" w:hAnsi="仿宋" w:eastAsia="仿宋" w:cs="仿宋"/>
                <w:color w:val="auto"/>
                <w:sz w:val="28"/>
                <w:szCs w:val="28"/>
                <w:highlight w:val="none"/>
                <w:u w:val="none"/>
                <w:lang w:eastAsia="zh-CN"/>
              </w:rPr>
              <w:t>。</w:t>
            </w:r>
          </w:p>
          <w:p>
            <w:pPr>
              <w:adjustRightInd w:val="0"/>
              <w:snapToGrid w:val="0"/>
              <w:spacing w:line="320" w:lineRule="exact"/>
              <w:rPr>
                <w:rFonts w:hint="eastAsia" w:ascii="仿宋" w:hAnsi="仿宋" w:eastAsia="仿宋" w:cs="仿宋"/>
                <w:kern w:val="2"/>
                <w:sz w:val="28"/>
                <w:szCs w:val="28"/>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前门处扶手杆上制作1.</w:t>
            </w: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米儿童免票标志。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车内外后视镜</w:t>
            </w:r>
          </w:p>
        </w:tc>
        <w:tc>
          <w:tcPr>
            <w:tcW w:w="7135" w:type="dxa"/>
            <w:noWrap w:val="0"/>
            <w:vAlign w:val="center"/>
          </w:tcPr>
          <w:p>
            <w:pP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普通杆式无盲区左短右长后视镜。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Cs/>
                <w:color w:val="auto"/>
                <w:sz w:val="28"/>
                <w:szCs w:val="28"/>
                <w:lang w:eastAsia="zh-CN"/>
              </w:rPr>
              <w:t>扶手杠和吊环拉手</w:t>
            </w:r>
          </w:p>
        </w:tc>
        <w:tc>
          <w:tcPr>
            <w:tcW w:w="7135"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扶手采用铝合金材质。</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2.车</w:t>
            </w:r>
            <w:r>
              <w:rPr>
                <w:rFonts w:hint="eastAsia" w:ascii="仿宋" w:hAnsi="仿宋" w:eastAsia="仿宋" w:cs="仿宋"/>
                <w:sz w:val="28"/>
                <w:szCs w:val="28"/>
              </w:rPr>
              <w:t>内两边玻璃框上装防护栏杆，前</w:t>
            </w:r>
            <w:r>
              <w:rPr>
                <w:rFonts w:hint="eastAsia" w:ascii="仿宋" w:hAnsi="仿宋" w:eastAsia="仿宋" w:cs="仿宋"/>
                <w:sz w:val="28"/>
                <w:szCs w:val="28"/>
                <w:lang w:eastAsia="zh-CN"/>
              </w:rPr>
              <w:t>操作台</w:t>
            </w:r>
            <w:r>
              <w:rPr>
                <w:rFonts w:hint="eastAsia" w:ascii="仿宋" w:hAnsi="仿宋" w:eastAsia="仿宋" w:cs="仿宋"/>
                <w:sz w:val="28"/>
                <w:szCs w:val="28"/>
              </w:rPr>
              <w:t>处安装安全防范扶手</w:t>
            </w:r>
            <w:r>
              <w:rPr>
                <w:rFonts w:hint="eastAsia" w:ascii="仿宋" w:hAnsi="仿宋" w:eastAsia="仿宋" w:cs="仿宋"/>
                <w:sz w:val="28"/>
                <w:szCs w:val="28"/>
                <w:lang w:eastAsia="zh-CN"/>
              </w:rPr>
              <w:t>，上下客门处安装上下车扶手</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w:t>
            </w:r>
            <w:r>
              <w:rPr>
                <w:rFonts w:hint="eastAsia" w:ascii="仿宋" w:hAnsi="仿宋" w:eastAsia="仿宋" w:cs="仿宋"/>
                <w:sz w:val="28"/>
                <w:szCs w:val="28"/>
              </w:rPr>
              <w:t>吊环拉手安装分布均匀、合理，只数与载客数相符</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top"/>
          </w:tcPr>
          <w:p>
            <w:pPr>
              <w:jc w:val="center"/>
              <w:rPr>
                <w:rFonts w:hint="eastAsia" w:ascii="仿宋" w:hAnsi="仿宋" w:eastAsia="仿宋" w:cs="仿宋"/>
                <w:kern w:val="0"/>
                <w:sz w:val="28"/>
                <w:szCs w:val="28"/>
                <w:lang w:val="en-US" w:eastAsia="zh-CN" w:bidi="ar-SA"/>
              </w:rPr>
            </w:pPr>
            <w:r>
              <w:rPr>
                <w:rFonts w:hint="eastAsia" w:ascii="仿宋" w:hAnsi="仿宋" w:eastAsia="仿宋" w:cs="仿宋"/>
                <w:bCs/>
                <w:color w:val="auto"/>
                <w:sz w:val="28"/>
                <w:szCs w:val="28"/>
                <w:lang w:eastAsia="zh-CN"/>
              </w:rPr>
              <w:t>下车提示按铃</w:t>
            </w:r>
          </w:p>
        </w:tc>
        <w:tc>
          <w:tcPr>
            <w:tcW w:w="7135" w:type="dxa"/>
            <w:noWrap w:val="0"/>
            <w:vAlign w:val="top"/>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配下车门停车门铃</w:t>
            </w:r>
            <w:r>
              <w:rPr>
                <w:rFonts w:hint="eastAsia" w:ascii="仿宋" w:hAnsi="仿宋" w:eastAsia="仿宋" w:cs="仿宋"/>
                <w:sz w:val="28"/>
                <w:szCs w:val="28"/>
                <w:lang w:val="en-US" w:eastAsia="zh-CN"/>
              </w:rPr>
              <w:t>4</w:t>
            </w:r>
            <w:r>
              <w:rPr>
                <w:rFonts w:hint="eastAsia" w:ascii="仿宋" w:hAnsi="仿宋" w:eastAsia="仿宋" w:cs="仿宋"/>
                <w:sz w:val="28"/>
                <w:szCs w:val="28"/>
              </w:rPr>
              <w:t>只按钮（无线门铃），语音提示</w:t>
            </w:r>
            <w:r>
              <w:rPr>
                <w:rFonts w:hint="eastAsia" w:ascii="仿宋" w:hAnsi="仿宋" w:eastAsia="仿宋" w:cs="仿宋"/>
                <w:sz w:val="28"/>
                <w:szCs w:val="28"/>
                <w:lang w:eastAsia="zh-CN"/>
              </w:rPr>
              <w:t>：您好，请开门，在车厢立柱合适位置</w:t>
            </w:r>
            <w:r>
              <w:rPr>
                <w:rFonts w:hint="eastAsia" w:ascii="仿宋" w:hAnsi="仿宋" w:eastAsia="仿宋" w:cs="仿宋"/>
                <w:sz w:val="28"/>
                <w:szCs w:val="28"/>
              </w:rPr>
              <w:t>，门铃按钮以上位置粘贴 “下车请按铃”标识</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公交座椅</w:t>
            </w:r>
          </w:p>
        </w:tc>
        <w:tc>
          <w:tcPr>
            <w:tcW w:w="7135"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座椅合理布置，采用国内优质产品</w:t>
            </w:r>
            <w:r>
              <w:rPr>
                <w:rFonts w:hint="eastAsia" w:ascii="仿宋" w:hAnsi="仿宋" w:eastAsia="仿宋" w:cs="仿宋"/>
                <w:sz w:val="28"/>
                <w:szCs w:val="28"/>
                <w:lang w:eastAsia="zh-CN"/>
              </w:rPr>
              <w:t>，</w:t>
            </w:r>
            <w:r>
              <w:rPr>
                <w:rFonts w:hint="eastAsia" w:ascii="仿宋" w:hAnsi="仿宋" w:eastAsia="仿宋" w:cs="仿宋"/>
                <w:sz w:val="28"/>
                <w:szCs w:val="28"/>
              </w:rPr>
              <w:t>配用尼龙注塑座椅，配</w:t>
            </w:r>
            <w:r>
              <w:rPr>
                <w:rFonts w:hint="eastAsia" w:ascii="仿宋" w:hAnsi="仿宋" w:eastAsia="仿宋" w:cs="仿宋"/>
                <w:sz w:val="28"/>
                <w:szCs w:val="28"/>
                <w:lang w:val="en-US" w:eastAsia="zh-CN"/>
              </w:rPr>
              <w:t>4个</w:t>
            </w:r>
            <w:r>
              <w:rPr>
                <w:rFonts w:hint="eastAsia" w:ascii="仿宋" w:hAnsi="仿宋" w:eastAsia="仿宋" w:cs="仿宋"/>
                <w:sz w:val="28"/>
                <w:szCs w:val="28"/>
              </w:rPr>
              <w:t>爱心座椅及标志，颜色和内饰协调，座椅支架固定可靠证</w:t>
            </w:r>
            <w:r>
              <w:rPr>
                <w:rFonts w:hint="eastAsia" w:ascii="仿宋" w:hAnsi="仿宋" w:eastAsia="仿宋" w:cs="仿宋"/>
                <w:sz w:val="28"/>
                <w:szCs w:val="28"/>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爱心座椅设于车厢内方便上下乘坐的位置，每车布置4个，座椅喷“爱心座椅”字样，</w:t>
            </w:r>
            <w:r>
              <w:rPr>
                <w:rFonts w:hint="eastAsia" w:ascii="仿宋" w:hAnsi="仿宋" w:eastAsia="仿宋" w:cs="仿宋"/>
                <w:sz w:val="28"/>
                <w:szCs w:val="28"/>
                <w:lang w:eastAsia="zh-CN"/>
              </w:rPr>
              <w:t>颜色样式由采购人提供，</w:t>
            </w:r>
            <w:r>
              <w:rPr>
                <w:rFonts w:hint="eastAsia" w:ascii="仿宋" w:hAnsi="仿宋" w:eastAsia="仿宋" w:cs="仿宋"/>
                <w:sz w:val="28"/>
                <w:szCs w:val="28"/>
              </w:rPr>
              <w:t>位于车厢后门的前端，方向为面朝前进方向。</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质保8年，并附承诺书原件</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bCs/>
                <w:color w:val="auto"/>
                <w:kern w:val="2"/>
                <w:sz w:val="28"/>
                <w:szCs w:val="28"/>
                <w:lang w:val="en-US" w:eastAsia="zh-CN" w:bidi="ar-SA"/>
              </w:rPr>
              <w:t>驾驶室</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仪表台</w:t>
            </w:r>
            <w:r>
              <w:rPr>
                <w:rFonts w:hint="eastAsia" w:ascii="仿宋" w:hAnsi="仿宋" w:eastAsia="仿宋" w:cs="仿宋"/>
                <w:sz w:val="28"/>
                <w:szCs w:val="28"/>
              </w:rPr>
              <w:t>精美、平整、软化处理；仪表台可靠耐用，与整车内饰协调</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仪表区域应充分考虑满足配装电脑报站器、电子路牌、客门监视器、GPS 车载机、IC卡POS机、投币机、空调、换气扇开关、数字电视等布置一体化要求</w:t>
            </w:r>
            <w:r>
              <w:rPr>
                <w:rFonts w:hint="eastAsia" w:ascii="仿宋" w:hAnsi="仿宋" w:eastAsia="仿宋" w:cs="仿宋"/>
                <w:sz w:val="28"/>
                <w:szCs w:val="28"/>
                <w:lang w:eastAsia="zh-CN"/>
              </w:rPr>
              <w:t>；</w:t>
            </w:r>
            <w:r>
              <w:rPr>
                <w:rFonts w:hint="eastAsia" w:ascii="仿宋" w:hAnsi="仿宋" w:eastAsia="仿宋" w:cs="仿宋"/>
                <w:sz w:val="28"/>
                <w:szCs w:val="28"/>
              </w:rPr>
              <w:t>仪表台上安装驾驶员喊话器及插口；前后门未关时仪表台有报警灯显示</w:t>
            </w:r>
            <w:r>
              <w:rPr>
                <w:rFonts w:hint="eastAsia" w:ascii="仿宋" w:hAnsi="仿宋" w:eastAsia="仿宋" w:cs="仿宋"/>
                <w:sz w:val="28"/>
                <w:szCs w:val="28"/>
                <w:lang w:eastAsia="zh-CN"/>
              </w:rPr>
              <w:t>；</w:t>
            </w:r>
            <w:r>
              <w:rPr>
                <w:rFonts w:hint="eastAsia" w:ascii="仿宋" w:hAnsi="仿宋" w:eastAsia="仿宋" w:cs="仿宋"/>
                <w:sz w:val="28"/>
                <w:szCs w:val="28"/>
              </w:rPr>
              <w:t>顶灯，车厢灯，电子路牌单独安装开关</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采用转向柱安装豪华组合式开关，包括大小灯、转向灯、雨括器、点火开关控制开关。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驾驶员座位左上方侧安装小电扇，配置茶杯架</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rPr>
            </w:pPr>
            <w:r>
              <w:rPr>
                <w:rFonts w:hint="eastAsia" w:ascii="仿宋" w:hAnsi="仿宋" w:eastAsia="仿宋" w:cs="仿宋"/>
                <w:sz w:val="28"/>
                <w:szCs w:val="28"/>
                <w:lang w:val="en-US" w:eastAsia="zh-CN"/>
              </w:rPr>
              <w:t>5.</w:t>
            </w:r>
            <w:r>
              <w:rPr>
                <w:rFonts w:hint="eastAsia" w:ascii="仿宋" w:hAnsi="仿宋" w:eastAsia="仿宋" w:cs="仿宋"/>
                <w:color w:val="auto"/>
                <w:sz w:val="28"/>
                <w:szCs w:val="28"/>
                <w:lang w:val="en-US" w:eastAsia="zh-CN"/>
              </w:rPr>
              <w:t>安装驾驶员荣誉榜铝合金框，</w:t>
            </w:r>
            <w:r>
              <w:rPr>
                <w:rFonts w:hint="eastAsia" w:ascii="仿宋" w:hAnsi="仿宋" w:eastAsia="仿宋" w:cs="仿宋"/>
                <w:color w:val="auto"/>
                <w:sz w:val="28"/>
                <w:szCs w:val="28"/>
              </w:rPr>
              <w:t>标准规范由</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rPr>
              <w:t>方提供。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6.</w:t>
            </w:r>
            <w:r>
              <w:rPr>
                <w:rFonts w:hint="eastAsia" w:ascii="仿宋" w:hAnsi="仿宋" w:eastAsia="仿宋" w:cs="仿宋"/>
                <w:sz w:val="28"/>
                <w:szCs w:val="28"/>
              </w:rPr>
              <w:t>前后车门内“紧急开门应急阀”装在驾驶区，前后车门内外各1只“紧急开门应急阀”应设明显使用标识</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bCs/>
                <w:sz w:val="28"/>
                <w:szCs w:val="28"/>
                <w:lang w:val="en-US" w:eastAsia="zh-CN"/>
              </w:rPr>
              <w:t>7.</w:t>
            </w:r>
            <w:r>
              <w:rPr>
                <w:rFonts w:hint="eastAsia" w:ascii="仿宋" w:hAnsi="仿宋" w:eastAsia="仿宋" w:cs="仿宋"/>
                <w:bCs/>
                <w:sz w:val="28"/>
                <w:szCs w:val="28"/>
              </w:rPr>
              <w:t>驾驶室布置驾驶员手机袋。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adjustRightInd w:val="0"/>
              <w:snapToGrid w:val="0"/>
              <w:spacing w:line="320" w:lineRule="exact"/>
              <w:jc w:val="center"/>
              <w:rPr>
                <w:rFonts w:hint="eastAsia" w:ascii="仿宋" w:hAnsi="仿宋" w:eastAsia="仿宋" w:cs="仿宋"/>
                <w:sz w:val="28"/>
                <w:szCs w:val="28"/>
                <w:lang w:val="en-US" w:eastAsia="zh-CN"/>
              </w:rPr>
            </w:pPr>
            <w:r>
              <w:rPr>
                <w:rFonts w:hint="eastAsia" w:ascii="仿宋" w:hAnsi="仿宋" w:eastAsia="仿宋" w:cs="仿宋"/>
                <w:bCs/>
                <w:color w:val="auto"/>
                <w:kern w:val="2"/>
                <w:sz w:val="28"/>
                <w:szCs w:val="28"/>
                <w:lang w:val="en-US" w:eastAsia="zh-CN" w:bidi="ar-SA"/>
              </w:rPr>
              <w:t>司机包围</w:t>
            </w:r>
          </w:p>
        </w:tc>
        <w:tc>
          <w:tcPr>
            <w:tcW w:w="7135" w:type="dxa"/>
            <w:noWrap w:val="0"/>
            <w:vAlign w:val="center"/>
          </w:tcPr>
          <w:p>
            <w:pPr>
              <w:numPr>
                <w:ilvl w:val="0"/>
                <w:numId w:val="0"/>
              </w:numPr>
              <w:adjustRightInd w:val="0"/>
              <w:snapToGrid w:val="0"/>
              <w:spacing w:line="320" w:lineRule="exact"/>
              <w:rPr>
                <w:rFonts w:hint="eastAsia" w:ascii="仿宋" w:hAnsi="仿宋" w:eastAsia="仿宋" w:cs="仿宋"/>
                <w:bCs/>
                <w:sz w:val="28"/>
                <w:szCs w:val="28"/>
              </w:rPr>
            </w:pPr>
            <w:r>
              <w:rPr>
                <w:rFonts w:hint="eastAsia" w:ascii="仿宋" w:hAnsi="仿宋" w:eastAsia="仿宋" w:cs="仿宋"/>
                <w:color w:val="auto"/>
                <w:sz w:val="28"/>
                <w:szCs w:val="28"/>
                <w:lang w:val="en-US" w:eastAsia="zh-CN"/>
              </w:rPr>
              <w:t>1.安装驾驶区域安全防护隔离设施，</w:t>
            </w:r>
            <w:r>
              <w:rPr>
                <w:rFonts w:hint="eastAsia" w:ascii="仿宋" w:hAnsi="仿宋" w:eastAsia="仿宋" w:cs="仿宋"/>
                <w:bCs/>
                <w:sz w:val="28"/>
                <w:szCs w:val="28"/>
              </w:rPr>
              <w:t>铝合金全包整体式，司机屏风、司机转门采用铝合金或钢化玻璃，不影响驾驶员对前门上车乘客监管视线，符合T/T1240-2019标准，隔离设施采用的玻璃应避免驾驶员受阳光、炫光和车内外灯光的影响，侧围上沿最低点距乘客区通道地板高度不小于160厘米(款式跟采购人对接)，司机座后围上部为透明有机玻璃空隙高度不大于30厘米、下部为封闭式围板，司机</w:t>
            </w:r>
            <w:r>
              <w:rPr>
                <w:rFonts w:hint="eastAsia" w:ascii="仿宋" w:hAnsi="仿宋" w:eastAsia="仿宋" w:cs="仿宋"/>
                <w:bCs/>
                <w:sz w:val="28"/>
                <w:szCs w:val="28"/>
                <w:lang w:eastAsia="zh-CN"/>
              </w:rPr>
              <w:t>包</w:t>
            </w:r>
            <w:r>
              <w:rPr>
                <w:rFonts w:hint="eastAsia" w:ascii="仿宋" w:hAnsi="仿宋" w:eastAsia="仿宋" w:cs="仿宋"/>
                <w:bCs/>
                <w:sz w:val="28"/>
                <w:szCs w:val="28"/>
              </w:rPr>
              <w:t>围门窗玻璃、门锁、铝合金材质必须符合国家新标要求</w:t>
            </w:r>
            <w:r>
              <w:rPr>
                <w:rFonts w:hint="eastAsia" w:ascii="仿宋" w:hAnsi="仿宋" w:eastAsia="仿宋" w:cs="仿宋"/>
                <w:bCs/>
                <w:sz w:val="28"/>
                <w:szCs w:val="28"/>
                <w:lang w:eastAsia="zh-CN"/>
              </w:rPr>
              <w:t>。</w:t>
            </w:r>
          </w:p>
          <w:p>
            <w:pPr>
              <w:numPr>
                <w:ilvl w:val="0"/>
                <w:numId w:val="0"/>
              </w:numPr>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2.质保8年，投标人须中标后10天内提交质保承诺书，质保期承诺须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2261" w:type="dxa"/>
            <w:noWrap w:val="0"/>
            <w:vAlign w:val="center"/>
          </w:tcPr>
          <w:p>
            <w:pPr>
              <w:adjustRightInd w:val="0"/>
              <w:snapToGrid w:val="0"/>
              <w:spacing w:line="3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驾驶员座椅</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驾驶员座椅为6方向可调高靠背航空气垫式座椅</w:t>
            </w:r>
            <w:r>
              <w:rPr>
                <w:rFonts w:hint="eastAsia" w:ascii="仿宋" w:hAnsi="仿宋" w:eastAsia="仿宋" w:cs="仿宋"/>
                <w:sz w:val="28"/>
                <w:szCs w:val="28"/>
                <w:lang w:val="en-US" w:eastAsia="zh-CN"/>
              </w:rPr>
              <w:t>，配</w:t>
            </w:r>
            <w:r>
              <w:rPr>
                <w:rFonts w:hint="eastAsia" w:ascii="仿宋" w:hAnsi="仿宋" w:eastAsia="仿宋" w:cs="仿宋"/>
                <w:sz w:val="28"/>
                <w:szCs w:val="28"/>
              </w:rPr>
              <w:t>三点式安全带</w:t>
            </w:r>
            <w:r>
              <w:rPr>
                <w:rFonts w:hint="eastAsia" w:ascii="仿宋" w:hAnsi="仿宋" w:eastAsia="仿宋" w:cs="仿宋"/>
                <w:sz w:val="28"/>
                <w:szCs w:val="28"/>
                <w:lang w:eastAsia="zh-CN"/>
              </w:rPr>
              <w:t>，</w:t>
            </w:r>
            <w:r>
              <w:rPr>
                <w:rFonts w:hint="eastAsia" w:ascii="仿宋" w:hAnsi="仿宋" w:eastAsia="仿宋" w:cs="仿宋"/>
                <w:sz w:val="28"/>
                <w:szCs w:val="28"/>
              </w:rPr>
              <w:t>调节幅度大于20CM,右端固定在地板上，伸缩自如可上下调节</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质保</w:t>
            </w:r>
            <w:r>
              <w:rPr>
                <w:rFonts w:hint="eastAsia" w:ascii="仿宋" w:hAnsi="仿宋" w:eastAsia="仿宋" w:cs="仿宋"/>
                <w:sz w:val="28"/>
                <w:szCs w:val="28"/>
                <w:lang w:val="en-US" w:eastAsia="zh-CN"/>
              </w:rPr>
              <w:t>8年（含易损、易耗件）。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后 视 镜</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sz w:val="28"/>
                <w:szCs w:val="28"/>
                <w:lang w:val="en-US" w:eastAsia="zh-CN"/>
              </w:rPr>
              <w:t>1.</w:t>
            </w:r>
            <w:r>
              <w:rPr>
                <w:rFonts w:hint="eastAsia" w:ascii="仿宋" w:hAnsi="仿宋" w:eastAsia="仿宋" w:cs="仿宋"/>
                <w:sz w:val="28"/>
                <w:szCs w:val="28"/>
              </w:rPr>
              <w:t>车厢正前方中间和右上方配置驾驶员后视镜二只</w:t>
            </w:r>
            <w:r>
              <w:rPr>
                <w:rFonts w:hint="eastAsia" w:ascii="仿宋" w:hAnsi="仿宋" w:eastAsia="仿宋" w:cs="仿宋"/>
                <w:sz w:val="28"/>
                <w:szCs w:val="28"/>
                <w:lang w:eastAsia="zh-CN"/>
              </w:rPr>
              <w:t>，</w:t>
            </w:r>
            <w:r>
              <w:rPr>
                <w:rFonts w:hint="eastAsia" w:ascii="仿宋" w:hAnsi="仿宋" w:eastAsia="仿宋" w:cs="仿宋"/>
                <w:color w:val="auto"/>
                <w:sz w:val="28"/>
                <w:szCs w:val="28"/>
                <w:highlight w:val="none"/>
                <w:u w:val="none"/>
              </w:rPr>
              <w:t>图象清晰，易更换。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中门安装上下客摄像头。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内饰、空调风道、车内照明</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侧墙板采用防水易清洁PVC覆膜板。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顶板采用冲孔铝塑板。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车厢前方右角配置时间、温度显示器</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全景</w:t>
            </w:r>
            <w:r>
              <w:rPr>
                <w:rFonts w:hint="eastAsia" w:ascii="仿宋" w:hAnsi="仿宋" w:eastAsia="仿宋" w:cs="仿宋"/>
                <w:sz w:val="28"/>
                <w:szCs w:val="28"/>
                <w:lang w:eastAsia="zh-CN"/>
              </w:rPr>
              <w:t>铝合金</w:t>
            </w:r>
            <w:r>
              <w:rPr>
                <w:rFonts w:hint="eastAsia" w:ascii="仿宋" w:hAnsi="仿宋" w:eastAsia="仿宋" w:cs="仿宋"/>
                <w:sz w:val="28"/>
                <w:szCs w:val="28"/>
              </w:rPr>
              <w:t>风道。风道两侧设置广告位。具体尺寸、数量由</w:t>
            </w:r>
            <w:r>
              <w:rPr>
                <w:rFonts w:hint="eastAsia" w:ascii="仿宋" w:hAnsi="仿宋" w:eastAsia="仿宋" w:cs="仿宋"/>
                <w:sz w:val="28"/>
                <w:szCs w:val="28"/>
                <w:lang w:eastAsia="zh-CN"/>
              </w:rPr>
              <w:t>采购人</w:t>
            </w:r>
            <w:r>
              <w:rPr>
                <w:rFonts w:hint="eastAsia" w:ascii="仿宋" w:hAnsi="仿宋" w:eastAsia="仿宋" w:cs="仿宋"/>
                <w:sz w:val="28"/>
                <w:szCs w:val="28"/>
              </w:rPr>
              <w:t>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LED照明灯:应满足夜间行驶车厢内亮化要求。LED双条顶灯</w:t>
            </w:r>
            <w:r>
              <w:rPr>
                <w:rFonts w:hint="eastAsia" w:ascii="仿宋" w:hAnsi="仿宋" w:eastAsia="仿宋" w:cs="仿宋"/>
                <w:sz w:val="28"/>
                <w:szCs w:val="28"/>
                <w:lang w:eastAsia="zh-CN"/>
              </w:rPr>
              <w:t>，</w:t>
            </w:r>
            <w:r>
              <w:rPr>
                <w:rFonts w:hint="eastAsia" w:ascii="仿宋" w:hAnsi="仿宋" w:eastAsia="仿宋" w:cs="仿宋"/>
                <w:sz w:val="28"/>
                <w:szCs w:val="28"/>
              </w:rPr>
              <w:t>厢灯控制为三挡，驾驶区一挡，车厢区二挡，开灯时，前档玻璃不能产生眩目光，影响驾驶安全。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驾驶室区空调出风口必须安装可调式开关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冷风道不得与前、后路牌窗和发动机机舱贯通，锁止方便可靠，表面平整圆顺，固定安装可靠。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b/>
                <w:bCs/>
                <w:color w:val="auto"/>
                <w:sz w:val="28"/>
                <w:szCs w:val="28"/>
                <w:highlight w:val="none"/>
                <w:u w:val="none"/>
              </w:rPr>
            </w:pPr>
            <w:r>
              <w:rPr>
                <w:rFonts w:hint="eastAsia" w:ascii="仿宋" w:hAnsi="仿宋" w:eastAsia="仿宋" w:cs="仿宋"/>
                <w:b/>
                <w:bCs/>
                <w:color w:val="auto"/>
                <w:sz w:val="28"/>
                <w:szCs w:val="28"/>
                <w:highlight w:val="none"/>
                <w:u w:val="none"/>
                <w:lang w:val="en-US" w:eastAsia="zh-CN"/>
              </w:rPr>
              <w:t>7.空调系统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空调</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采用非独立式顶置制冷空调，制冷降温速率高、制冷效果显著。制冷量≥</w:t>
            </w:r>
            <w:r>
              <w:rPr>
                <w:rFonts w:hint="eastAsia" w:ascii="仿宋" w:hAnsi="仿宋" w:eastAsia="仿宋" w:cs="仿宋"/>
                <w:sz w:val="28"/>
                <w:szCs w:val="28"/>
                <w:lang w:val="en-US" w:eastAsia="zh-CN"/>
              </w:rPr>
              <w:t>24</w:t>
            </w:r>
            <w:r>
              <w:rPr>
                <w:rFonts w:hint="eastAsia" w:ascii="仿宋" w:hAnsi="仿宋" w:eastAsia="仿宋" w:cs="仿宋"/>
                <w:sz w:val="28"/>
                <w:szCs w:val="28"/>
              </w:rPr>
              <w:t>000大卡。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冷凝风机采用</w:t>
            </w:r>
            <w:r>
              <w:rPr>
                <w:rFonts w:hint="eastAsia" w:ascii="仿宋" w:hAnsi="仿宋" w:eastAsia="仿宋" w:cs="仿宋"/>
                <w:sz w:val="28"/>
                <w:szCs w:val="28"/>
                <w:lang w:eastAsia="zh-CN"/>
              </w:rPr>
              <w:t>优质</w:t>
            </w:r>
            <w:r>
              <w:rPr>
                <w:rFonts w:hint="eastAsia" w:ascii="仿宋" w:hAnsi="仿宋" w:eastAsia="仿宋" w:cs="仿宋"/>
                <w:sz w:val="28"/>
                <w:szCs w:val="28"/>
              </w:rPr>
              <w:t>直流无碳刷风机。冷凝器盘管为内螺纹铜管亲水铝箔高效换热器。蒸发器盘管为内螺纹铜管亲水铝箔高效换热器。蒸发风机采用直流无碳刷风机。膨胀阀、止逆阀、视液镜采用进口配置，转换器为DC-DC转换器，配</w:t>
            </w:r>
            <w:r>
              <w:rPr>
                <w:rFonts w:hint="eastAsia" w:ascii="仿宋" w:hAnsi="仿宋" w:eastAsia="仿宋" w:cs="仿宋"/>
                <w:sz w:val="28"/>
                <w:szCs w:val="28"/>
                <w:lang w:eastAsia="zh-CN"/>
              </w:rPr>
              <w:t>国产</w:t>
            </w:r>
            <w:r>
              <w:rPr>
                <w:rFonts w:hint="eastAsia" w:ascii="仿宋" w:hAnsi="仿宋" w:eastAsia="仿宋" w:cs="仿宋"/>
                <w:sz w:val="28"/>
                <w:szCs w:val="28"/>
              </w:rPr>
              <w:t>优质品牌，安全可靠耐震动、抗干扰。变频器需配</w:t>
            </w:r>
            <w:r>
              <w:rPr>
                <w:rFonts w:hint="eastAsia" w:ascii="仿宋" w:hAnsi="仿宋" w:eastAsia="仿宋" w:cs="仿宋"/>
                <w:sz w:val="28"/>
                <w:szCs w:val="28"/>
                <w:lang w:eastAsia="zh-CN"/>
              </w:rPr>
              <w:t>国产</w:t>
            </w:r>
            <w:r>
              <w:rPr>
                <w:rFonts w:hint="eastAsia" w:ascii="仿宋" w:hAnsi="仿宋" w:eastAsia="仿宋" w:cs="仿宋"/>
                <w:sz w:val="28"/>
                <w:szCs w:val="28"/>
              </w:rPr>
              <w:t>优质品牌，安全可靠耐震动、抗干扰。压缩机采用进口或合资品牌压缩机。</w:t>
            </w:r>
            <w:r>
              <w:rPr>
                <w:rFonts w:hint="eastAsia" w:ascii="仿宋" w:hAnsi="仿宋" w:eastAsia="仿宋" w:cs="仿宋"/>
                <w:sz w:val="28"/>
                <w:szCs w:val="28"/>
                <w:lang w:eastAsia="zh-CN"/>
              </w:rPr>
              <w:t>配备新风装置。</w:t>
            </w:r>
            <w:r>
              <w:rPr>
                <w:rFonts w:hint="eastAsia" w:ascii="仿宋" w:hAnsi="仿宋" w:eastAsia="仿宋" w:cs="仿宋"/>
                <w:sz w:val="28"/>
                <w:szCs w:val="28"/>
              </w:rPr>
              <w:t>风速要求达到国家标准。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空调整机免费质保8年（含</w:t>
            </w:r>
            <w:r>
              <w:rPr>
                <w:rFonts w:hint="eastAsia" w:ascii="仿宋" w:hAnsi="仿宋" w:eastAsia="仿宋" w:cs="仿宋"/>
                <w:sz w:val="28"/>
                <w:szCs w:val="28"/>
                <w:lang w:eastAsia="zh-CN"/>
              </w:rPr>
              <w:t>工时费、</w:t>
            </w:r>
            <w:r>
              <w:rPr>
                <w:rFonts w:hint="eastAsia" w:ascii="仿宋" w:hAnsi="仿宋" w:eastAsia="仿宋" w:cs="仿宋"/>
                <w:sz w:val="28"/>
                <w:szCs w:val="28"/>
              </w:rPr>
              <w:t>易损、易耗件），并附</w:t>
            </w:r>
            <w:r>
              <w:rPr>
                <w:rFonts w:hint="eastAsia" w:ascii="仿宋" w:hAnsi="仿宋" w:eastAsia="仿宋" w:cs="仿宋"/>
                <w:sz w:val="28"/>
                <w:szCs w:val="28"/>
                <w:lang w:eastAsia="zh-CN"/>
              </w:rPr>
              <w:t>客车厂及配套厂</w:t>
            </w:r>
            <w:r>
              <w:rPr>
                <w:rFonts w:hint="eastAsia" w:ascii="仿宋" w:hAnsi="仿宋" w:eastAsia="仿宋" w:cs="仿宋"/>
                <w:sz w:val="28"/>
                <w:szCs w:val="28"/>
              </w:rPr>
              <w:t>承诺书原件</w:t>
            </w:r>
            <w:r>
              <w:rPr>
                <w:rFonts w:hint="eastAsia" w:ascii="仿宋" w:hAnsi="仿宋" w:eastAsia="仿宋" w:cs="仿宋"/>
                <w:color w:val="auto"/>
                <w:sz w:val="28"/>
                <w:szCs w:val="2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bCs/>
                <w:color w:val="auto"/>
                <w:sz w:val="28"/>
                <w:szCs w:val="28"/>
                <w:lang w:eastAsia="zh-CN"/>
              </w:rPr>
              <w:t>暖风</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lang w:eastAsia="zh-CN"/>
              </w:rPr>
              <w:t>前挡风玻璃安装高压</w:t>
            </w:r>
            <w:r>
              <w:rPr>
                <w:rFonts w:hint="eastAsia" w:ascii="仿宋" w:hAnsi="仿宋" w:eastAsia="仿宋" w:cs="仿宋"/>
                <w:color w:val="auto"/>
                <w:sz w:val="28"/>
                <w:szCs w:val="28"/>
                <w:highlight w:val="none"/>
                <w:u w:val="none"/>
              </w:rPr>
              <w:t>除霜</w:t>
            </w:r>
            <w:r>
              <w:rPr>
                <w:rFonts w:hint="eastAsia" w:ascii="仿宋" w:hAnsi="仿宋" w:eastAsia="仿宋" w:cs="仿宋"/>
                <w:color w:val="auto"/>
                <w:sz w:val="28"/>
                <w:szCs w:val="28"/>
                <w:highlight w:val="none"/>
                <w:u w:val="none"/>
                <w:lang w:eastAsia="zh-CN"/>
              </w:rPr>
              <w:t>机</w:t>
            </w:r>
            <w:r>
              <w:rPr>
                <w:rFonts w:hint="eastAsia" w:ascii="仿宋" w:hAnsi="仿宋" w:eastAsia="仿宋" w:cs="仿宋"/>
                <w:color w:val="auto"/>
                <w:sz w:val="28"/>
                <w:szCs w:val="28"/>
                <w:highlight w:val="none"/>
                <w:u w:val="none"/>
                <w:lang w:val="en-US" w:eastAsia="zh-CN"/>
              </w:rPr>
              <w:t>,司机处增设一个出风口（便于司机脚部取暖）</w:t>
            </w:r>
            <w:r>
              <w:rPr>
                <w:rFonts w:hint="eastAsia" w:ascii="仿宋" w:hAnsi="仿宋" w:eastAsia="仿宋" w:cs="仿宋"/>
                <w:color w:val="auto"/>
                <w:sz w:val="28"/>
                <w:szCs w:val="28"/>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2.免费质保8年（含</w:t>
            </w:r>
            <w:r>
              <w:rPr>
                <w:rFonts w:hint="eastAsia" w:ascii="仿宋" w:hAnsi="仿宋" w:eastAsia="仿宋" w:cs="仿宋"/>
                <w:color w:val="auto"/>
                <w:sz w:val="28"/>
                <w:szCs w:val="28"/>
                <w:highlight w:val="none"/>
                <w:u w:val="none"/>
              </w:rPr>
              <w:t>易损、易耗件</w:t>
            </w:r>
            <w:r>
              <w:rPr>
                <w:rFonts w:hint="eastAsia" w:ascii="仿宋" w:hAnsi="仿宋" w:eastAsia="仿宋" w:cs="仿宋"/>
                <w:color w:val="auto"/>
                <w:sz w:val="28"/>
                <w:szCs w:val="2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.消防设备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kern w:val="2"/>
                <w:sz w:val="28"/>
                <w:szCs w:val="28"/>
                <w:lang w:val="en-US" w:eastAsia="zh-CN" w:bidi="ar-SA"/>
              </w:rPr>
              <w:t>电池箱灭火装置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1.具有温度传感器、气体分解传感器、烟雾传感器并实现报警功能。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2.能实现电解液漏液自动检测报警和火灾自动探测报警功能。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3.具有灭火装置和启动开关，并能实现自动启动和手动启动功能。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4.具有权威消防研究中心对该产品的试验报告。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5.探测装置、灭火装置等要求质保8年。要求采用全氟己酮灭火剂，大于等于6Kg，提供相关检测报告及消防产品技术鉴定证书，并提供配套供应商质保承诺函。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6.电池箱火灾防控装置需有8年商业保险承诺，承诺非人为损坏和失效的免费更换。如因装用不合格的磷酸铁锂电池箱灭火装置引起的各种损失及责任，由成交供应商承担。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7.电池箱防护等级在IP67以上（提供国家或第三方机构检验报告等证明材料）。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5"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eastAsia="zh-CN"/>
              </w:rPr>
              <w:t>车辆消防设备</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车厢内配置2只4公斤以上干粉灭火器，灭火器应符合国家标准规定，并取得公安部认证。灭火器架采用圆柱形直立式支架，易于提取。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高压</w:t>
            </w:r>
            <w:r>
              <w:rPr>
                <w:rFonts w:hint="eastAsia" w:ascii="仿宋" w:hAnsi="仿宋" w:eastAsia="仿宋" w:cs="仿宋"/>
                <w:sz w:val="28"/>
                <w:szCs w:val="28"/>
                <w:lang w:eastAsia="zh-CN"/>
              </w:rPr>
              <w:t>仓</w:t>
            </w:r>
            <w:r>
              <w:rPr>
                <w:rFonts w:hint="eastAsia" w:ascii="仿宋" w:hAnsi="仿宋" w:eastAsia="仿宋" w:cs="仿宋"/>
                <w:sz w:val="28"/>
                <w:szCs w:val="28"/>
              </w:rPr>
              <w:t>、电池</w:t>
            </w:r>
            <w:r>
              <w:rPr>
                <w:rFonts w:hint="eastAsia" w:ascii="仿宋" w:hAnsi="仿宋" w:eastAsia="仿宋" w:cs="仿宋"/>
                <w:sz w:val="28"/>
                <w:szCs w:val="28"/>
                <w:lang w:eastAsia="zh-CN"/>
              </w:rPr>
              <w:t>仓</w:t>
            </w:r>
            <w:r>
              <w:rPr>
                <w:rFonts w:hint="eastAsia" w:ascii="仿宋" w:hAnsi="仿宋" w:eastAsia="仿宋" w:cs="仿宋"/>
                <w:sz w:val="28"/>
                <w:szCs w:val="28"/>
              </w:rPr>
              <w:t>配备</w:t>
            </w:r>
            <w:r>
              <w:rPr>
                <w:rFonts w:hint="eastAsia" w:ascii="仿宋" w:hAnsi="仿宋" w:eastAsia="仿宋" w:cs="仿宋"/>
                <w:sz w:val="28"/>
                <w:szCs w:val="28"/>
                <w:lang w:val="en-US" w:eastAsia="zh-CN"/>
              </w:rPr>
              <w:t>总质量4KG</w:t>
            </w:r>
            <w:r>
              <w:rPr>
                <w:rFonts w:hint="eastAsia" w:ascii="仿宋" w:hAnsi="仿宋" w:eastAsia="仿宋" w:cs="仿宋"/>
                <w:sz w:val="28"/>
                <w:szCs w:val="28"/>
              </w:rPr>
              <w:t>管网式干粉灭火装置，具备声光报警及手动操作功能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质保8年，投标人须中标后10天内提交质保承诺书，质保期承诺须</w:t>
            </w:r>
            <w:r>
              <w:rPr>
                <w:rFonts w:hint="eastAsia" w:ascii="仿宋" w:hAnsi="仿宋" w:eastAsia="仿宋" w:cs="仿宋"/>
                <w:sz w:val="28"/>
                <w:szCs w:val="28"/>
              </w:rPr>
              <w:t>由配套产品厂家和车辆制造厂家共同书面承诺。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安装客车车门应急控制系统，前后门泵总控制开关安装在副仪表台位置。前车门外、中门内和驾驶室各安装断气应急开关。应急开关应设有明显的警示使用标识。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配7只（带防盗自动报警型）安全锤，其中司机旁安装1只，符合GB7258-2017《机动车运行安全技术条件》要求。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整车侧窗左右两侧安装手自一体破窗器，带翻盖报警功能，每车安装四处，布置相关说明，每个窗户配置安全标识-逃生出口</w:t>
            </w:r>
            <w:r>
              <w:rPr>
                <w:rFonts w:hint="eastAsia" w:ascii="仿宋" w:hAnsi="仿宋" w:eastAsia="仿宋" w:cs="仿宋"/>
                <w:sz w:val="28"/>
                <w:szCs w:val="28"/>
                <w:lang w:eastAsia="zh-CN"/>
              </w:rPr>
              <w:t>。</w:t>
            </w:r>
            <w:r>
              <w:rPr>
                <w:rFonts w:hint="eastAsia" w:ascii="仿宋" w:hAnsi="仿宋" w:eastAsia="仿宋" w:cs="仿宋"/>
                <w:sz w:val="28"/>
                <w:szCs w:val="28"/>
              </w:rPr>
              <w:t>破窗器免费质保8年，并附承诺书原件。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b/>
                <w:bCs/>
                <w:color w:val="auto"/>
                <w:sz w:val="28"/>
                <w:szCs w:val="28"/>
                <w:highlight w:val="none"/>
                <w:u w:val="none"/>
                <w:shd w:val="clear" w:color="auto" w:fill="auto"/>
                <w:lang w:val="en-US" w:eastAsia="zh-CN"/>
              </w:rPr>
            </w:pPr>
            <w:r>
              <w:rPr>
                <w:rFonts w:hint="eastAsia" w:ascii="仿宋" w:hAnsi="仿宋" w:eastAsia="仿宋" w:cs="仿宋"/>
                <w:b/>
                <w:bCs/>
                <w:color w:val="auto"/>
                <w:sz w:val="28"/>
                <w:szCs w:val="28"/>
                <w:highlight w:val="none"/>
                <w:u w:val="none"/>
                <w:shd w:val="clear" w:color="auto" w:fill="auto"/>
                <w:lang w:val="en-US" w:eastAsia="zh-CN"/>
              </w:rPr>
              <w:t>9</w:t>
            </w:r>
            <w:r>
              <w:rPr>
                <w:rFonts w:hint="eastAsia" w:ascii="仿宋" w:hAnsi="仿宋" w:eastAsia="仿宋" w:cs="仿宋"/>
                <w:b/>
                <w:bCs/>
                <w:color w:val="auto"/>
                <w:sz w:val="28"/>
                <w:szCs w:val="28"/>
                <w:highlight w:val="none"/>
                <w:u w:val="none"/>
                <w:shd w:val="clear" w:color="auto" w:fill="auto"/>
              </w:rPr>
              <w:t>.电子信息设施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rPr>
              <w:t>CAN总线</w:t>
            </w:r>
          </w:p>
        </w:tc>
        <w:tc>
          <w:tcPr>
            <w:tcW w:w="7135" w:type="dxa"/>
            <w:noWrap w:val="0"/>
            <w:vAlign w:val="center"/>
          </w:tcPr>
          <w:p>
            <w:pPr>
              <w:numPr>
                <w:ilvl w:val="0"/>
                <w:numId w:val="0"/>
              </w:numPr>
              <w:tabs>
                <w:tab w:val="left" w:pos="360"/>
              </w:tabs>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全车线路控制采用阻燃整车三级</w:t>
            </w:r>
            <w:r>
              <w:rPr>
                <w:rFonts w:hint="eastAsia" w:ascii="仿宋" w:hAnsi="仿宋" w:eastAsia="仿宋" w:cs="仿宋"/>
                <w:sz w:val="28"/>
                <w:szCs w:val="28"/>
                <w:lang w:eastAsia="zh-CN"/>
              </w:rPr>
              <w:t>（三路）</w:t>
            </w:r>
            <w:r>
              <w:rPr>
                <w:rFonts w:hint="eastAsia" w:ascii="仿宋" w:hAnsi="仿宋" w:eastAsia="仿宋" w:cs="仿宋"/>
                <w:sz w:val="28"/>
                <w:szCs w:val="28"/>
              </w:rPr>
              <w:t>CAN总线系统。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全车CAN智能控制系统，包括1个彩屏仪表+总线控制器(驱动控制模块可互换）+云总线系统。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彩屏总线仪表带7英寸彩色液晶显示屏，集成倒车和中门监控，集成各电机管理信息、电池管理信息、整车控制器、胎温胎压等运行实时状态和故障显示。</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系统应自带互联网大数据处理平台，平台具备与其他信息处理系统如智能调度系统、安服系统等进行数据交互并按照公交实际管理需求自动完成数据挖掘数据应用能力以及手机APP应用功能。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系统具备釆集、记录、关联计算、处理、上传全车数据的能力，包括新能源系统、车身CAN总线等各ECU节点数据，系统自动识别车辆严重/一般/警告故障，并提供远程仪表、底盘、“三电”等实时动态监控。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系统可通过数据识别驾驶员节能驾驶能力以及车辆节能表现，对驾驶员、车队、公司进行能耗（安全）统计、对比、分析，并生成多样化多维度报表分析。</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具备前方碰撞预警、车距检测和警告、车道偏离报警功能。</w:t>
            </w:r>
          </w:p>
          <w:p>
            <w:p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CAN通讯口，质保期</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智能调度、监控系统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1.安装智能调度系统、监控系统（具体项目内容见表1）技术要求与采购人对接。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2.质保期8年，含易损易耗件。投标人须中标后10天内提交质保承诺书，质保期承诺须由配套产品厂家和车辆制造厂家共同书面承诺。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车内影像系统</w:t>
            </w:r>
          </w:p>
        </w:tc>
        <w:tc>
          <w:tcPr>
            <w:tcW w:w="7135" w:type="dxa"/>
            <w:noWrap w:val="0"/>
            <w:vAlign w:val="center"/>
          </w:tcPr>
          <w:p>
            <w:pPr>
              <w:numPr>
                <w:ilvl w:val="0"/>
                <w:numId w:val="0"/>
              </w:numPr>
              <w:adjustRightInd w:val="0"/>
              <w:snapToGrid w:val="0"/>
              <w:spacing w:line="320" w:lineRule="exac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安装车内影像系统</w:t>
            </w:r>
            <w:r>
              <w:rPr>
                <w:rFonts w:hint="eastAsia" w:ascii="仿宋" w:hAnsi="仿宋" w:eastAsia="仿宋" w:cs="仿宋"/>
                <w:sz w:val="28"/>
                <w:szCs w:val="28"/>
                <w:lang w:val="en-US" w:eastAsia="zh-CN"/>
              </w:rPr>
              <w:t>2</w:t>
            </w:r>
            <w:r>
              <w:rPr>
                <w:rFonts w:hint="eastAsia" w:ascii="仿宋" w:hAnsi="仿宋" w:eastAsia="仿宋" w:cs="仿宋"/>
                <w:sz w:val="28"/>
                <w:szCs w:val="28"/>
              </w:rPr>
              <w:t>个显示屏</w:t>
            </w:r>
            <w:r>
              <w:rPr>
                <w:rFonts w:hint="eastAsia" w:ascii="仿宋" w:hAnsi="仿宋" w:eastAsia="仿宋" w:cs="仿宋"/>
                <w:sz w:val="28"/>
                <w:szCs w:val="28"/>
                <w:lang w:eastAsia="zh-CN"/>
              </w:rPr>
              <w:t>和</w:t>
            </w:r>
            <w:r>
              <w:rPr>
                <w:rFonts w:hint="eastAsia" w:ascii="仿宋" w:hAnsi="仿宋" w:eastAsia="仿宋" w:cs="仿宋"/>
                <w:sz w:val="28"/>
                <w:szCs w:val="28"/>
              </w:rPr>
              <w:t>1个车载无线播放器，车载无线播放器安装在电器箱内（具体设施项目要求见表</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numPr>
                <w:ilvl w:val="0"/>
                <w:numId w:val="0"/>
              </w:numPr>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质保</w:t>
            </w:r>
            <w:r>
              <w:rPr>
                <w:rFonts w:hint="eastAsia" w:ascii="仿宋" w:hAnsi="仿宋" w:eastAsia="仿宋" w:cs="仿宋"/>
                <w:sz w:val="28"/>
                <w:szCs w:val="28"/>
                <w:lang w:val="en-US" w:eastAsia="zh-CN"/>
              </w:rPr>
              <w:t>8年，含易损易耗件。投标人须中标后10天内提交质保承诺书，质保期承诺须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6"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全彩电子路牌</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电子路牌为前、后、侧牌采用全彩型显示电子路牌</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前路牌（24点阵），字数为11个汉字及以上，点间距≤8.2mm；后牌（24点阵），字数为11个汉字及以上，点间距≤8.2mm，后牌显示车辆转弯、刹车等车辆实时信息；车内滚动屏（16点阵）LED汉字路牌，字数为10个汉字及以上；侧牌（24点阵），字数为8个汉字及以上，点间距≤8.2mm。与采购方现有系统对接，路牌设有光感探头，可随外界亮度变化自动调节亮度，内容可以静止、滚动等多种方式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导乘屏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车内安装1块LCD导乘屏显示实时到站信息。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2.免费质保8年，含易损易耗件，要求本地维修。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客流分析仪</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主机要求水平安装在风道内，并在风道上开检修门以方便检修；体感摄像头安装在前门/后门正上方，镜头要求与车身平行安装，摄像头正面朝下并无遮挡物遮挡；前中门信号线要求开门时提供持续高电平，关闭时提供低电平，门开时提供持续高电平（24V），门关时提供低电平（0V或悬空），且要求放置在主机位置处。</w:t>
            </w:r>
          </w:p>
          <w:p>
            <w:pPr>
              <w:numPr>
                <w:ilvl w:val="0"/>
                <w:numId w:val="0"/>
              </w:num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质保期</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驾驶员主动防御系统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通过云总线对驾驶员行为进行分析，具备开机自检、过流、过压、过温保护功能，能判断轻载、过载、短路、开路等故障状态；CAN模块可通用、互换、具备较强的抗电磁干扰和静电冲击能力，使用通过ISO电磁兼容认证的产品；云总线系统具备大数据管理技术，CAN数据采集，实时信息处理、动力系统及车身底盘等相关电气负载信息显示及故障报警的能力，实现车辆运行状态实时监控，能耗统计、驾驶员技能行为分析、驾驶员安全行为分析、线路驾驶规范、事故疑点数据采集与分析等功能并实现与DSM设备交互实现人脸识别、语音播报等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2.车辆智能视频监控报警装置（含DSM和ADAS），具备驾驶员不安全驾驶行为监控和车辆前方行驶碰撞预警功能：符合《交通运输部办公厅关于推广应用智能视频监控报警技术的通知》（交办运〔2018〕115 号）附件“道路运输车辆智能视频监控报警装置技术规范（暂行）”及符合浙江省道路运输协会发布的《道路运输车辆智能视频监控报警系统终端技术规范》（T/ZJRTA 01—2018）要求。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3.与采购人云总线系统信息传输全面对接匹配。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4.系统要求质保期8年，投标人须中标后10天内提交质保承诺书，质保期承诺须由配套产品厂家和车辆制造厂家共同书面承诺。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车载智慧云模块</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1.安装车载智慧云模块，CAN总线通过车载智慧云模块无缝对接公交现有管理系统，云模块兼容采购方现有标准协议；云模块支持多策略上传数据，要求能够无缝对接现有功能，与系统实现无缝对接，若无法对接的，由投标人自行承担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2.免费质保8年+配备日常更换零件，附承诺书原件。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电子设备箱</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color w:val="D61BE1"/>
                <w:kern w:val="2"/>
                <w:sz w:val="28"/>
                <w:szCs w:val="28"/>
                <w:highlight w:val="none"/>
                <w:u w:val="none"/>
                <w:shd w:val="clear" w:color="auto" w:fill="auto"/>
                <w:lang w:val="en-US" w:eastAsia="zh-CN" w:bidi="ar-SA"/>
              </w:rPr>
            </w:pPr>
            <w:r>
              <w:rPr>
                <w:rFonts w:hint="eastAsia" w:ascii="仿宋" w:hAnsi="仿宋" w:eastAsia="仿宋" w:cs="仿宋"/>
                <w:sz w:val="28"/>
                <w:szCs w:val="28"/>
              </w:rPr>
              <w:t>在适当位置安装电子设备箱，内部可抽拉式、多方位开启，设置5层以上，每层间隔不得低于13公分，箱体四角为圆角，采用不锈钢材质。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360全景及电子后视镜系统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1.高清显示，两块12.3英寸高清车规级显示屏（1920x720P），左屏分区显示，2/3后视显示，1/3显示360环视，车速大于20KM/H切换为全屏显示，右屏后视全屏显示。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2.支持2路1080P高清分辨率摄像头（1920x1080），其中两路后视摄像头，支持4路360环视摄像头，摄像头为标清摄像头。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3.自动画面，支持CAN传输通用协议，并可根据车速和左右转弯信号进行左边12.3寸屏画面的自动切换。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4.自动光感，屏幕亮度自适应调节，适应白天和晚上各种应用场景，自适应防眩护目。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5.预留TF卡插卡卡槽，支持扩展视频录制，最大支持128G TF卡存储, 具备模拟视频输出能力。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6.系统可以提供车辆四周360度全景鸟瞰图，司机在驾驶位就可以了看到车辆四周的状况，无盲区。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7.系统采用红外超广角摄像头，能够适应不同的光源。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8.多种视图模式切换，分别是前视行车图，倒车后视视图，左侧行车视图，右侧行车视图，倒车视图可以替代传统的倒车监控。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9.质保8年，含易损易耗件，要求本地维护，投标人须中标后10天内提交质保承诺书，质保期承诺须由配套产品厂家和车辆制造厂家共同书面承诺。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投币箱</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投币机机头为透明机头，纸币硬币共口投入（不带真假币识别），带票夹，标配内胆</w:t>
            </w:r>
            <w:r>
              <w:rPr>
                <w:rFonts w:hint="eastAsia" w:ascii="仿宋" w:hAnsi="仿宋" w:eastAsia="仿宋" w:cs="仿宋"/>
                <w:sz w:val="28"/>
                <w:szCs w:val="28"/>
                <w:lang w:val="en-US" w:eastAsia="zh-CN"/>
              </w:rPr>
              <w:t>4</w:t>
            </w:r>
            <w:r>
              <w:rPr>
                <w:rFonts w:hint="eastAsia" w:ascii="仿宋" w:hAnsi="仿宋" w:eastAsia="仿宋" w:cs="仿宋"/>
                <w:sz w:val="28"/>
                <w:szCs w:val="28"/>
              </w:rPr>
              <w:t>只。投币机内设置翻板，并实现前门开关打开前门时，内置翻板自动翻板。</w:t>
            </w:r>
          </w:p>
          <w:p>
            <w:pPr>
              <w:numPr>
                <w:ilvl w:val="0"/>
                <w:numId w:val="0"/>
              </w:numPr>
              <w:adjustRightInd w:val="0"/>
              <w:snapToGrid w:val="0"/>
              <w:spacing w:line="320" w:lineRule="exact"/>
              <w:jc w:val="left"/>
              <w:rPr>
                <w:rFonts w:hint="eastAsia" w:ascii="仿宋" w:hAnsi="仿宋" w:eastAsia="仿宋" w:cs="仿宋"/>
                <w:b w:val="0"/>
                <w:color w:val="auto"/>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质保8年+日常维修配件，并附承诺书原件。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其他</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车内车载电视，车后广告显示屏，车内</w:t>
            </w:r>
            <w:r>
              <w:rPr>
                <w:rFonts w:hint="eastAsia" w:ascii="仿宋" w:hAnsi="仿宋" w:eastAsia="仿宋" w:cs="仿宋"/>
                <w:sz w:val="28"/>
                <w:szCs w:val="28"/>
                <w:lang w:val="en-US" w:eastAsia="zh-CN"/>
              </w:rPr>
              <w:t>LCD等大功率电器</w:t>
            </w:r>
            <w:r>
              <w:rPr>
                <w:rFonts w:hint="eastAsia" w:ascii="仿宋" w:hAnsi="仿宋" w:eastAsia="仿宋" w:cs="仿宋"/>
                <w:sz w:val="28"/>
                <w:szCs w:val="28"/>
                <w:lang w:eastAsia="zh-CN"/>
              </w:rPr>
              <w:t>通过动力电池供电。</w:t>
            </w:r>
          </w:p>
          <w:p>
            <w:pPr>
              <w:numPr>
                <w:ilvl w:val="0"/>
                <w:numId w:val="0"/>
              </w:num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2.预留一组24V的DCDC电源备用。</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预留前门的IC卡POS机线束。</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.预留车载WIFI设备线束。</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.安装可打印式行车记录仪。</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6.采购方其他采购的设备，由中标方负责安装</w:t>
            </w:r>
            <w:r>
              <w:rPr>
                <w:rFonts w:hint="eastAsia" w:ascii="仿宋" w:hAnsi="仿宋" w:eastAsia="仿宋" w:cs="仿宋"/>
                <w:sz w:val="28"/>
                <w:szCs w:val="28"/>
                <w:lang w:eastAsia="zh-CN"/>
              </w:rPr>
              <w:t>。</w:t>
            </w:r>
          </w:p>
          <w:p>
            <w:p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7.全车低压供电24V。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b/>
                <w:bCs/>
                <w:color w:val="auto"/>
                <w:sz w:val="28"/>
                <w:szCs w:val="28"/>
                <w:highlight w:val="none"/>
                <w:u w:val="none"/>
                <w:shd w:val="clear" w:color="auto" w:fill="auto"/>
                <w:lang w:val="en-US" w:eastAsia="zh-CN"/>
              </w:rPr>
            </w:pPr>
            <w:r>
              <w:rPr>
                <w:rFonts w:hint="eastAsia" w:ascii="仿宋" w:hAnsi="仿宋" w:eastAsia="仿宋" w:cs="仿宋"/>
                <w:b/>
                <w:bCs/>
                <w:color w:val="auto"/>
                <w:sz w:val="28"/>
                <w:szCs w:val="28"/>
                <w:highlight w:val="none"/>
                <w:u w:val="none"/>
                <w:shd w:val="clear" w:color="auto" w:fill="auto"/>
                <w:lang w:val="en-US" w:eastAsia="zh-CN"/>
              </w:rPr>
              <w:t>10</w:t>
            </w:r>
            <w:r>
              <w:rPr>
                <w:rFonts w:hint="eastAsia" w:ascii="仿宋" w:hAnsi="仿宋" w:eastAsia="仿宋" w:cs="仿宋"/>
                <w:b/>
                <w:bCs/>
                <w:color w:val="auto"/>
                <w:sz w:val="28"/>
                <w:szCs w:val="28"/>
                <w:highlight w:val="none"/>
                <w:u w:val="none"/>
                <w:shd w:val="clear" w:color="auto" w:fill="auto"/>
              </w:rPr>
              <w:t>.随车</w:t>
            </w:r>
            <w:r>
              <w:rPr>
                <w:rFonts w:hint="eastAsia" w:ascii="仿宋" w:hAnsi="仿宋" w:eastAsia="仿宋" w:cs="仿宋"/>
                <w:b/>
                <w:bCs/>
                <w:color w:val="auto"/>
                <w:sz w:val="28"/>
                <w:szCs w:val="28"/>
                <w:highlight w:val="none"/>
                <w:u w:val="none"/>
                <w:shd w:val="clear" w:color="auto" w:fill="auto"/>
                <w:lang w:eastAsia="zh-CN"/>
              </w:rPr>
              <w:t>及其他</w:t>
            </w:r>
            <w:r>
              <w:rPr>
                <w:rFonts w:hint="eastAsia" w:ascii="仿宋" w:hAnsi="仿宋" w:eastAsia="仿宋" w:cs="仿宋"/>
                <w:b/>
                <w:bCs/>
                <w:color w:val="auto"/>
                <w:sz w:val="28"/>
                <w:szCs w:val="28"/>
                <w:highlight w:val="none"/>
                <w:u w:val="none"/>
                <w:shd w:val="clear" w:color="auto" w:fill="auto"/>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sz w:val="28"/>
                <w:szCs w:val="28"/>
                <w:lang w:val="en-US" w:eastAsia="zh-CN"/>
              </w:rPr>
              <w:t>1.</w:t>
            </w:r>
            <w:r>
              <w:rPr>
                <w:rFonts w:hint="eastAsia" w:ascii="仿宋" w:hAnsi="仿宋" w:eastAsia="仿宋" w:cs="仿宋"/>
                <w:color w:val="auto"/>
                <w:sz w:val="28"/>
                <w:szCs w:val="28"/>
                <w:highlight w:val="none"/>
                <w:u w:val="none"/>
                <w:shd w:val="clear" w:color="auto" w:fill="auto"/>
                <w:lang w:eastAsia="zh-CN"/>
              </w:rPr>
              <w:t>车厢内安装一个不锈钢置物箱，置物箱式样及安装位置与采购方对接后确认。</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2.该批车辆</w:t>
            </w:r>
            <w:r>
              <w:rPr>
                <w:rFonts w:hint="eastAsia" w:ascii="仿宋" w:hAnsi="仿宋" w:eastAsia="仿宋" w:cs="仿宋"/>
                <w:color w:val="auto"/>
                <w:sz w:val="28"/>
                <w:szCs w:val="28"/>
                <w:highlight w:val="none"/>
                <w:u w:val="none"/>
                <w:shd w:val="clear" w:color="auto" w:fill="auto"/>
                <w:lang w:eastAsia="zh-CN"/>
              </w:rPr>
              <w:t>提供</w:t>
            </w: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lang w:eastAsia="zh-CN"/>
              </w:rPr>
              <w:t>台车辆故障检测仪。</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lang w:eastAsia="zh-CN"/>
              </w:rPr>
              <w:t>每辆车配一个备胎、</w:t>
            </w:r>
            <w:r>
              <w:rPr>
                <w:rFonts w:hint="eastAsia" w:ascii="仿宋" w:hAnsi="仿宋" w:eastAsia="仿宋" w:cs="仿宋"/>
                <w:color w:val="auto"/>
                <w:sz w:val="28"/>
                <w:szCs w:val="28"/>
                <w:highlight w:val="none"/>
                <w:u w:val="none"/>
                <w:shd w:val="clear" w:color="auto" w:fill="auto"/>
              </w:rPr>
              <w:t>随车工具一套。三角警示牌1个、</w:t>
            </w:r>
            <w:r>
              <w:rPr>
                <w:rFonts w:hint="eastAsia" w:ascii="仿宋" w:hAnsi="仿宋" w:eastAsia="仿宋" w:cs="仿宋"/>
                <w:color w:val="auto"/>
                <w:sz w:val="28"/>
                <w:szCs w:val="28"/>
                <w:highlight w:val="none"/>
                <w:u w:val="none"/>
                <w:shd w:val="clear" w:color="auto" w:fill="auto"/>
                <w:lang w:eastAsia="zh-CN"/>
              </w:rPr>
              <w:t>止推器</w:t>
            </w: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个、反光背心</w:t>
            </w:r>
            <w:r>
              <w:rPr>
                <w:rFonts w:hint="eastAsia" w:ascii="仿宋" w:hAnsi="仿宋" w:eastAsia="仿宋" w:cs="仿宋"/>
                <w:color w:val="auto"/>
                <w:sz w:val="28"/>
                <w:szCs w:val="28"/>
                <w:highlight w:val="none"/>
                <w:u w:val="none"/>
                <w:shd w:val="clear" w:color="auto" w:fill="auto"/>
                <w:lang w:val="en-US" w:eastAsia="zh-CN"/>
              </w:rPr>
              <w:t>1件，</w:t>
            </w:r>
            <w:r>
              <w:rPr>
                <w:rFonts w:hint="eastAsia" w:ascii="仿宋" w:hAnsi="仿宋" w:eastAsia="仿宋" w:cs="仿宋"/>
                <w:color w:val="auto"/>
                <w:sz w:val="28"/>
                <w:szCs w:val="28"/>
                <w:highlight w:val="none"/>
                <w:u w:val="none"/>
                <w:shd w:val="clear" w:color="auto" w:fill="auto"/>
              </w:rPr>
              <w:t>内外喊话器（内外扬声器）。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前后门轴上设置禁止攀扶标志。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安装</w:t>
            </w:r>
            <w:r>
              <w:rPr>
                <w:rFonts w:hint="eastAsia" w:ascii="仿宋" w:hAnsi="仿宋" w:eastAsia="仿宋" w:cs="仿宋"/>
                <w:color w:val="auto"/>
                <w:sz w:val="28"/>
                <w:szCs w:val="28"/>
                <w:highlight w:val="none"/>
                <w:u w:val="none"/>
                <w:shd w:val="clear" w:color="auto" w:fill="auto"/>
                <w:lang w:eastAsia="zh-CN"/>
              </w:rPr>
              <w:t>垃圾分类专用垃圾桶，尺寸、外观等由采购方提供</w:t>
            </w:r>
            <w:r>
              <w:rPr>
                <w:rFonts w:hint="eastAsia" w:ascii="仿宋" w:hAnsi="仿宋" w:eastAsia="仿宋" w:cs="仿宋"/>
                <w:color w:val="auto"/>
                <w:sz w:val="28"/>
                <w:szCs w:val="28"/>
                <w:highlight w:val="none"/>
                <w:u w:val="none"/>
                <w:shd w:val="clear" w:color="auto" w:fill="auto"/>
              </w:rPr>
              <w:t>。在驾驶室前区域合理放置便民服务箱。安装意见箱，尺寸由采购方提供。</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车辆前挡序号与车钢印相符表格一份;配整车电路图十份;主要配件生产型号或图号及生产厂家十份。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sz w:val="28"/>
                <w:szCs w:val="28"/>
                <w:lang w:val="en-US" w:eastAsia="zh-CN" w:bidi="ar-SA"/>
              </w:rPr>
              <w:t>6.</w:t>
            </w:r>
            <w:r>
              <w:rPr>
                <w:rFonts w:hint="eastAsia" w:ascii="仿宋" w:hAnsi="仿宋" w:eastAsia="仿宋" w:cs="仿宋"/>
                <w:sz w:val="28"/>
                <w:szCs w:val="28"/>
                <w:lang w:val="en-US" w:bidi="ar-SA"/>
              </w:rPr>
              <w:t>零配件供应体系方案应完整（提供资料、型号、价格清单）</w:t>
            </w:r>
            <w:r>
              <w:rPr>
                <w:rFonts w:hint="eastAsia" w:ascii="仿宋" w:hAnsi="仿宋" w:eastAsia="仿宋" w:cs="仿宋"/>
                <w:color w:val="auto"/>
                <w:sz w:val="28"/>
                <w:szCs w:val="28"/>
                <w:highlight w:val="none"/>
                <w:u w:val="none"/>
                <w:shd w:val="clear" w:color="auto" w:fill="auto"/>
              </w:rPr>
              <w:t xml:space="preserve"> </w:t>
            </w:r>
          </w:p>
        </w:tc>
      </w:tr>
    </w:tbl>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p>
    <w:p>
      <w:pPr>
        <w:pStyle w:val="2"/>
        <w:rPr>
          <w:rFonts w:hint="eastAsia" w:eastAsia="仿宋"/>
          <w:lang w:eastAsia="zh-CN"/>
        </w:rPr>
      </w:pPr>
    </w:p>
    <w:p>
      <w:pPr>
        <w:rPr>
          <w:rFonts w:hint="eastAsia"/>
          <w:lang w:eastAsia="zh-CN"/>
        </w:rPr>
      </w:pPr>
    </w:p>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r>
        <w:rPr>
          <w:rFonts w:hint="eastAsia" w:ascii="仿宋" w:hAnsi="仿宋" w:eastAsia="仿宋" w:cs="仿宋"/>
          <w:b/>
          <w:color w:val="auto"/>
          <w:spacing w:val="-8"/>
          <w:szCs w:val="21"/>
          <w:highlight w:val="none"/>
          <w:u w:val="none"/>
        </w:rPr>
        <w:t>表</w:t>
      </w:r>
      <w:r>
        <w:rPr>
          <w:rFonts w:hint="eastAsia" w:ascii="仿宋" w:hAnsi="仿宋" w:eastAsia="仿宋" w:cs="仿宋"/>
          <w:b/>
          <w:color w:val="auto"/>
          <w:spacing w:val="-8"/>
          <w:szCs w:val="21"/>
          <w:highlight w:val="none"/>
          <w:u w:val="none"/>
          <w:lang w:val="en-US" w:eastAsia="zh-CN"/>
        </w:rPr>
        <w:t>1</w:t>
      </w:r>
      <w:r>
        <w:rPr>
          <w:rFonts w:hint="eastAsia" w:ascii="仿宋" w:hAnsi="仿宋" w:eastAsia="仿宋" w:cs="仿宋"/>
          <w:b/>
          <w:color w:val="auto"/>
          <w:spacing w:val="-8"/>
          <w:szCs w:val="21"/>
          <w:highlight w:val="none"/>
          <w:u w:val="none"/>
        </w:rPr>
        <w:t>：设备安装要求</w:t>
      </w:r>
    </w:p>
    <w:tbl>
      <w:tblPr>
        <w:tblStyle w:val="16"/>
        <w:tblW w:w="89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4282"/>
        <w:gridCol w:w="739"/>
        <w:gridCol w:w="850"/>
        <w:gridCol w:w="1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36" w:hRule="atLeast"/>
          <w:jc w:val="center"/>
        </w:trPr>
        <w:tc>
          <w:tcPr>
            <w:tcW w:w="8920" w:type="dxa"/>
            <w:gridSpan w:val="5"/>
            <w:noWrap w:val="0"/>
            <w:vAlign w:val="top"/>
          </w:tcPr>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1、</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安装一体机；支持电信4G</w:t>
            </w:r>
            <w:r>
              <w:rPr>
                <w:rFonts w:hint="eastAsia" w:ascii="仿宋" w:hAnsi="仿宋" w:eastAsia="仿宋" w:cs="仿宋"/>
                <w:color w:val="auto"/>
                <w:szCs w:val="21"/>
                <w:highlight w:val="none"/>
                <w:u w:val="none"/>
                <w:lang w:eastAsia="zh-CN"/>
              </w:rPr>
              <w:t>或</w:t>
            </w:r>
            <w:r>
              <w:rPr>
                <w:rFonts w:hint="eastAsia" w:ascii="仿宋" w:hAnsi="仿宋" w:eastAsia="仿宋" w:cs="仿宋"/>
                <w:color w:val="auto"/>
                <w:szCs w:val="21"/>
                <w:highlight w:val="none"/>
                <w:u w:val="none"/>
                <w:lang w:val="en-US" w:eastAsia="zh-CN"/>
              </w:rPr>
              <w:t>4G</w:t>
            </w:r>
            <w:r>
              <w:rPr>
                <w:rFonts w:hint="eastAsia" w:ascii="仿宋" w:hAnsi="仿宋" w:eastAsia="仿宋" w:cs="仿宋"/>
                <w:color w:val="auto"/>
                <w:szCs w:val="21"/>
                <w:highlight w:val="none"/>
                <w:u w:val="none"/>
                <w:lang w:eastAsia="zh-CN"/>
              </w:rPr>
              <w:t>以上</w:t>
            </w:r>
            <w:r>
              <w:rPr>
                <w:rFonts w:hint="eastAsia" w:ascii="仿宋" w:hAnsi="仿宋" w:eastAsia="仿宋" w:cs="仿宋"/>
                <w:color w:val="auto"/>
                <w:szCs w:val="21"/>
                <w:highlight w:val="none"/>
                <w:u w:val="none"/>
              </w:rPr>
              <w:t>网络制式；支持GPS定位；配备500G</w:t>
            </w:r>
            <w:r>
              <w:rPr>
                <w:rFonts w:hint="eastAsia" w:ascii="仿宋" w:hAnsi="仿宋" w:eastAsia="仿宋" w:cs="仿宋"/>
                <w:color w:val="auto"/>
                <w:szCs w:val="21"/>
                <w:highlight w:val="none"/>
                <w:u w:val="none"/>
                <w:lang w:eastAsia="zh-CN"/>
              </w:rPr>
              <w:t>固态硬盘</w:t>
            </w:r>
            <w:r>
              <w:rPr>
                <w:rFonts w:hint="eastAsia" w:ascii="仿宋" w:hAnsi="仿宋" w:eastAsia="仿宋" w:cs="仿宋"/>
                <w:color w:val="auto"/>
                <w:szCs w:val="21"/>
                <w:highlight w:val="none"/>
                <w:u w:val="none"/>
              </w:rPr>
              <w:t>的车载硬盘；要求车辆配备分层可抽拉的设备箱；</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2、</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安装信息终端，要求内嵌式安装在司机位置仪表台右侧，配备遮阳罩；</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3、</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鹅颈麦克安装在司机位置仪表台左上角；</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4、</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安装GPS定位天线到车外顶部；</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5、</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在驾驶员附近安装用于和调度中心通话的喇叭；</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6、</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6路摄像头监控区域：①照车前；②从前往后照车箱；③照前门、投币机；④照司机；⑤照中门；⑥照倒车；其中照车前的摄像头要求安装在仪表台上；</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7、</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安装协议转换器，可以采集车辆CAN总线的各种数据并通过GPS车载机发送到智能调度中心；</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8、安装协议转换器，可以将IC卡数据通过GPS车载机发送到智能调度中心；同时实现与相应厂家路牌的通讯。</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9、安装客流分析仪，主机要求水平安装在风道内，并在风道上开检修门以方便检修；摄像头安装在前门/后门正上方，镜头要求与车身平行安装，摄像头正面朝下并无遮挡物遮挡；门打开或关闭时提供脉冲电平（24V），且要求放置在主机位置处。</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10、驾驶员安全行车分析仪，主机设备安装必须便于使用U盘拷贝更新新程序和更换SM卡，便于配件的维护及设备的更换，要求主机的两侧需流出足够的操作空间。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0" w:hRule="atLeast"/>
          <w:jc w:val="center"/>
        </w:trPr>
        <w:tc>
          <w:tcPr>
            <w:tcW w:w="5563" w:type="dxa"/>
            <w:gridSpan w:val="2"/>
            <w:tcBorders>
              <w:top w:val="nil"/>
              <w:left w:val="nil"/>
              <w:bottom w:val="nil"/>
              <w:right w:val="nil"/>
            </w:tcBorders>
            <w:noWrap w:val="0"/>
            <w:vAlign w:val="center"/>
          </w:tcPr>
          <w:p>
            <w:pPr>
              <w:widowControl/>
              <w:adjustRightInd w:val="0"/>
              <w:snapToGrid w:val="0"/>
              <w:spacing w:line="320" w:lineRule="exact"/>
              <w:rPr>
                <w:rFonts w:hint="eastAsia" w:ascii="仿宋" w:hAnsi="仿宋" w:eastAsia="仿宋" w:cs="仿宋"/>
                <w:b/>
                <w:bCs/>
                <w:color w:val="auto"/>
                <w:kern w:val="0"/>
                <w:szCs w:val="21"/>
                <w:highlight w:val="none"/>
                <w:u w:val="none"/>
              </w:rPr>
            </w:pPr>
          </w:p>
          <w:p>
            <w:pPr>
              <w:widowControl/>
              <w:adjustRightInd w:val="0"/>
              <w:snapToGrid w:val="0"/>
              <w:spacing w:line="320" w:lineRule="exact"/>
              <w:rPr>
                <w:rFonts w:hint="eastAsia" w:ascii="仿宋" w:hAnsi="仿宋" w:eastAsia="仿宋" w:cs="仿宋"/>
                <w:b/>
                <w:bCs/>
                <w:color w:val="auto"/>
                <w:kern w:val="0"/>
                <w:szCs w:val="21"/>
                <w:highlight w:val="none"/>
                <w:u w:val="none"/>
              </w:rPr>
            </w:pPr>
            <w:r>
              <w:rPr>
                <w:rFonts w:hint="eastAsia" w:ascii="仿宋" w:hAnsi="仿宋" w:eastAsia="仿宋" w:cs="仿宋"/>
                <w:b/>
                <w:bCs/>
                <w:color w:val="auto"/>
                <w:kern w:val="0"/>
                <w:szCs w:val="21"/>
                <w:highlight w:val="none"/>
                <w:u w:val="none"/>
              </w:rPr>
              <w:t>表</w:t>
            </w:r>
            <w:r>
              <w:rPr>
                <w:rFonts w:hint="eastAsia" w:ascii="仿宋" w:hAnsi="仿宋" w:eastAsia="仿宋" w:cs="仿宋"/>
                <w:b/>
                <w:bCs/>
                <w:color w:val="auto"/>
                <w:kern w:val="0"/>
                <w:szCs w:val="21"/>
                <w:highlight w:val="none"/>
                <w:u w:val="none"/>
                <w:lang w:val="en-US" w:eastAsia="zh-CN"/>
              </w:rPr>
              <w:t>2</w:t>
            </w:r>
            <w:r>
              <w:rPr>
                <w:rFonts w:hint="eastAsia" w:ascii="仿宋" w:hAnsi="仿宋" w:eastAsia="仿宋" w:cs="仿宋"/>
                <w:b/>
                <w:bCs/>
                <w:color w:val="auto"/>
                <w:kern w:val="0"/>
                <w:szCs w:val="21"/>
                <w:highlight w:val="none"/>
                <w:u w:val="none"/>
              </w:rPr>
              <w:t>：车载移动电视目录</w:t>
            </w:r>
          </w:p>
        </w:tc>
        <w:tc>
          <w:tcPr>
            <w:tcW w:w="739"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850"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1768"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0" w:hRule="atLeast"/>
          <w:jc w:val="center"/>
        </w:trPr>
        <w:tc>
          <w:tcPr>
            <w:tcW w:w="128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名称</w:t>
            </w:r>
          </w:p>
        </w:tc>
        <w:tc>
          <w:tcPr>
            <w:tcW w:w="4282"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功能</w:t>
            </w:r>
          </w:p>
        </w:tc>
        <w:tc>
          <w:tcPr>
            <w:tcW w:w="739"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单位</w:t>
            </w:r>
          </w:p>
        </w:tc>
        <w:tc>
          <w:tcPr>
            <w:tcW w:w="850"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数量</w:t>
            </w:r>
          </w:p>
        </w:tc>
        <w:tc>
          <w:tcPr>
            <w:tcW w:w="1768"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0" w:hRule="atLeast"/>
          <w:jc w:val="center"/>
        </w:trPr>
        <w:tc>
          <w:tcPr>
            <w:tcW w:w="128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4282"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739"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1768"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24" w:hRule="atLeast"/>
          <w:jc w:val="center"/>
        </w:trPr>
        <w:tc>
          <w:tcPr>
            <w:tcW w:w="12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车载播放器</w:t>
            </w:r>
          </w:p>
        </w:tc>
        <w:tc>
          <w:tcPr>
            <w:tcW w:w="4282" w:type="dxa"/>
            <w:tcBorders>
              <w:top w:val="nil"/>
              <w:left w:val="nil"/>
              <w:bottom w:val="single" w:color="000000"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用于视频接收播放功能</w:t>
            </w:r>
          </w:p>
        </w:tc>
        <w:tc>
          <w:tcPr>
            <w:tcW w:w="739"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台</w:t>
            </w:r>
          </w:p>
        </w:tc>
        <w:tc>
          <w:tcPr>
            <w:tcW w:w="850"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1</w:t>
            </w:r>
          </w:p>
        </w:tc>
        <w:tc>
          <w:tcPr>
            <w:tcW w:w="1768"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Wifi模块</w:t>
            </w:r>
          </w:p>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安全电池</w:t>
            </w:r>
          </w:p>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8G存储卡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0" w:hRule="atLeast"/>
          <w:jc w:val="center"/>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LED显示器</w:t>
            </w:r>
          </w:p>
        </w:tc>
        <w:tc>
          <w:tcPr>
            <w:tcW w:w="4282"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 xml:space="preserve"> LED车用液晶显示屏</w:t>
            </w:r>
          </w:p>
        </w:tc>
        <w:tc>
          <w:tcPr>
            <w:tcW w:w="739"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台</w:t>
            </w:r>
          </w:p>
        </w:tc>
        <w:tc>
          <w:tcPr>
            <w:tcW w:w="850"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lang w:eastAsia="zh-CN"/>
              </w:rPr>
            </w:pPr>
            <w:r>
              <w:rPr>
                <w:rFonts w:hint="eastAsia" w:ascii="仿宋" w:hAnsi="仿宋" w:eastAsia="仿宋" w:cs="仿宋"/>
                <w:color w:val="auto"/>
                <w:kern w:val="0"/>
                <w:szCs w:val="21"/>
                <w:highlight w:val="none"/>
                <w:u w:val="none"/>
                <w:lang w:val="en-US" w:eastAsia="zh-CN"/>
              </w:rPr>
              <w:t>1</w:t>
            </w:r>
          </w:p>
        </w:tc>
        <w:tc>
          <w:tcPr>
            <w:tcW w:w="1768"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18.5寸　</w:t>
            </w:r>
          </w:p>
        </w:tc>
      </w:tr>
    </w:tbl>
    <w:p>
      <w:pPr>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t>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1.</w:t>
      </w:r>
      <w:r>
        <w:rPr>
          <w:rFonts w:hint="eastAsia" w:ascii="仿宋" w:hAnsi="仿宋" w:eastAsia="仿宋" w:cs="仿宋"/>
          <w:color w:val="auto"/>
          <w:sz w:val="24"/>
          <w:highlight w:val="none"/>
          <w:u w:val="none"/>
        </w:rPr>
        <w:t>在车辆检查或使用中发现响应配置与实际配置不相符的，按虚假应标处理，上报财政，追究差额及相关损失，并处以一定的罚款，由</w:t>
      </w:r>
      <w:r>
        <w:rPr>
          <w:rFonts w:hint="eastAsia" w:ascii="仿宋" w:hAnsi="仿宋" w:eastAsia="仿宋" w:cs="仿宋"/>
          <w:color w:val="auto"/>
          <w:sz w:val="24"/>
          <w:highlight w:val="none"/>
          <w:u w:val="none"/>
          <w:lang w:eastAsia="zh-CN"/>
        </w:rPr>
        <w:t>采购人</w:t>
      </w:r>
      <w:r>
        <w:rPr>
          <w:rFonts w:hint="eastAsia" w:ascii="仿宋" w:hAnsi="仿宋" w:eastAsia="仿宋" w:cs="仿宋"/>
          <w:color w:val="auto"/>
          <w:sz w:val="24"/>
          <w:highlight w:val="none"/>
          <w:u w:val="none"/>
        </w:rPr>
        <w:t>直接在应付款（包括中标厂家其他批次的应付款）中扣除。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中标车辆必须符合</w:t>
      </w:r>
      <w:r>
        <w:rPr>
          <w:rFonts w:hint="eastAsia" w:ascii="仿宋" w:hAnsi="仿宋" w:eastAsia="仿宋" w:cs="仿宋"/>
          <w:color w:val="auto"/>
          <w:sz w:val="24"/>
          <w:highlight w:val="none"/>
          <w:u w:val="none"/>
          <w:lang w:eastAsia="zh-CN"/>
        </w:rPr>
        <w:t>台州</w:t>
      </w:r>
      <w:r>
        <w:rPr>
          <w:rFonts w:hint="eastAsia" w:ascii="仿宋" w:hAnsi="仿宋" w:eastAsia="仿宋" w:cs="仿宋"/>
          <w:color w:val="auto"/>
          <w:sz w:val="24"/>
          <w:highlight w:val="none"/>
          <w:u w:val="none"/>
        </w:rPr>
        <w:t>地区上牌要求，由中标厂家完成车辆上牌工作，其正常检测上牌费用凭发票由</w:t>
      </w:r>
      <w:r>
        <w:rPr>
          <w:rFonts w:hint="eastAsia" w:ascii="仿宋" w:hAnsi="仿宋" w:eastAsia="仿宋" w:cs="仿宋"/>
          <w:color w:val="auto"/>
          <w:sz w:val="24"/>
          <w:highlight w:val="none"/>
          <w:u w:val="none"/>
          <w:lang w:eastAsia="zh-CN"/>
        </w:rPr>
        <w:t>采购</w:t>
      </w:r>
      <w:r>
        <w:rPr>
          <w:rFonts w:hint="eastAsia" w:ascii="仿宋" w:hAnsi="仿宋" w:eastAsia="仿宋" w:cs="仿宋"/>
          <w:color w:val="auto"/>
          <w:sz w:val="24"/>
          <w:highlight w:val="none"/>
          <w:u w:val="none"/>
        </w:rPr>
        <w:t>支付。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3.</w:t>
      </w:r>
      <w:r>
        <w:rPr>
          <w:rFonts w:hint="eastAsia" w:ascii="仿宋" w:hAnsi="仿宋" w:eastAsia="仿宋" w:cs="仿宋"/>
          <w:color w:val="auto"/>
          <w:sz w:val="24"/>
          <w:highlight w:val="none"/>
          <w:u w:val="none"/>
        </w:rPr>
        <w:t>所有的终端设备产品，必须在中标厂家安装完毕后方可出厂。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中标厂家必须履行质保承诺，在约定时间未作出响应而造成损失的，招标单位有权自行联系维修，所产生的直接费用与损失由中标厂家承担，招标单位有权直接在应付款（包括中标厂家其他批次的应付款）中扣除，造成严重后果的，将通过法律途径维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5.</w:t>
      </w:r>
      <w:r>
        <w:rPr>
          <w:rFonts w:hint="eastAsia" w:ascii="仿宋" w:hAnsi="仿宋" w:eastAsia="仿宋" w:cs="仿宋"/>
          <w:color w:val="auto"/>
          <w:sz w:val="24"/>
          <w:highlight w:val="none"/>
          <w:u w:val="none"/>
        </w:rPr>
        <w:t>整车运行安全技术条件必须符合中华人民共和国国家标准或相关行业标准，同时依据国家有关产品质量法规和制造标准、技术要求等邀约进行验收。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6.</w:t>
      </w:r>
      <w:r>
        <w:rPr>
          <w:rFonts w:hint="eastAsia" w:ascii="仿宋" w:hAnsi="仿宋" w:eastAsia="仿宋" w:cs="仿宋"/>
          <w:color w:val="auto"/>
          <w:sz w:val="24"/>
          <w:highlight w:val="none"/>
          <w:u w:val="none"/>
        </w:rPr>
        <w:t>投标厂家需认真阅读并完全理解本技术配置要求，投标人无权擅自改动或降低相关标准与要求。。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7.</w:t>
      </w:r>
      <w:r>
        <w:rPr>
          <w:rFonts w:hint="eastAsia" w:ascii="仿宋" w:hAnsi="仿宋" w:eastAsia="仿宋" w:cs="仿宋"/>
          <w:color w:val="auto"/>
          <w:sz w:val="24"/>
          <w:highlight w:val="none"/>
          <w:u w:val="none"/>
        </w:rPr>
        <w:t>【</w:t>
      </w: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4"/>
          <w:highlight w:val="none"/>
          <w:u w:val="none"/>
        </w:rPr>
        <w:t>】动力电池须在质保期内做好定期保养维护，由投标人提供维护方案。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4"/>
          <w:highlight w:val="none"/>
          <w:u w:val="none"/>
        </w:rPr>
      </w:pPr>
      <w:r>
        <w:rPr>
          <w:rFonts w:hint="eastAsia" w:ascii="仿宋" w:hAnsi="仿宋" w:eastAsia="仿宋" w:cs="仿宋"/>
          <w:b/>
          <w:bCs/>
          <w:color w:val="auto"/>
          <w:sz w:val="24"/>
          <w:highlight w:val="none"/>
          <w:u w:val="none"/>
        </w:rPr>
        <w:t>各部件保修期要求</w:t>
      </w:r>
    </w:p>
    <w:tbl>
      <w:tblPr>
        <w:tblStyle w:val="16"/>
        <w:tblW w:w="9933"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134"/>
        <w:gridCol w:w="4900"/>
        <w:gridCol w:w="16"/>
        <w:gridCol w:w="1150"/>
        <w:gridCol w:w="2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134"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部件名称</w:t>
            </w:r>
          </w:p>
        </w:tc>
        <w:tc>
          <w:tcPr>
            <w:tcW w:w="4916" w:type="dxa"/>
            <w:gridSpan w:val="2"/>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保修范围</w:t>
            </w:r>
          </w:p>
        </w:tc>
        <w:tc>
          <w:tcPr>
            <w:tcW w:w="115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保修期限</w:t>
            </w:r>
          </w:p>
        </w:tc>
        <w:tc>
          <w:tcPr>
            <w:tcW w:w="2150"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trPr>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储能电池</w:t>
            </w:r>
          </w:p>
        </w:tc>
        <w:tc>
          <w:tcPr>
            <w:tcW w:w="4916" w:type="dxa"/>
            <w:gridSpan w:val="2"/>
            <w:noWrap w:val="0"/>
            <w:vAlign w:val="center"/>
          </w:tcPr>
          <w:p>
            <w:pPr>
              <w:rPr>
                <w:rFonts w:hint="eastAsia" w:ascii="仿宋" w:hAnsi="仿宋" w:eastAsia="仿宋" w:cs="仿宋"/>
                <w:sz w:val="24"/>
                <w:szCs w:val="24"/>
              </w:rPr>
            </w:pPr>
            <w:r>
              <w:rPr>
                <w:rFonts w:hint="eastAsia" w:ascii="仿宋" w:hAnsi="仿宋" w:eastAsia="仿宋" w:cs="仿宋"/>
                <w:sz w:val="24"/>
                <w:szCs w:val="24"/>
              </w:rPr>
              <w:t>在质保期内无偿每年定期质量检测，并对有问题的电池进行临时检测，质保期内电池组容量衰减不得超过20%，否则须无条件免费更换新电池</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驱动电机</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空调系统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电子水泵</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电驱空气压缩机</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电驱转向油泵</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前转向桥后驱动桥</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免维护专用车桥</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制动系统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暖风系统</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免维护轮毂总成</w:t>
            </w:r>
          </w:p>
        </w:tc>
        <w:tc>
          <w:tcPr>
            <w:tcW w:w="491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免维护轮毂总成质保（含易损、易耗件）</w:t>
            </w:r>
          </w:p>
        </w:tc>
        <w:tc>
          <w:tcPr>
            <w:tcW w:w="1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集中润滑</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车身防腐</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全车采用优质防腐蚀技术，骨架与蒙皮、骨架与地板等接合缝处采用聚氨酯密封胶进行密封防水防锈处理</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8年以上</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铝合金整体式风道</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乘客座椅</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PVC地板</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地板革</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乘客门</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门泵</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投币机</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电子后视镜360</w:t>
            </w:r>
            <w:r>
              <w:rPr>
                <w:rFonts w:hint="eastAsia" w:ascii="仿宋" w:hAnsi="仿宋" w:eastAsia="仿宋" w:cs="仿宋"/>
                <w:sz w:val="24"/>
                <w:szCs w:val="24"/>
                <w:lang w:eastAsia="zh-CN"/>
              </w:rPr>
              <w:t>及</w:t>
            </w:r>
            <w:r>
              <w:rPr>
                <w:rFonts w:hint="eastAsia" w:ascii="仿宋" w:hAnsi="仿宋" w:eastAsia="仿宋" w:cs="仿宋"/>
                <w:sz w:val="24"/>
                <w:szCs w:val="24"/>
              </w:rPr>
              <w:t>全景环视系统</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整车玻璃</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113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控制仓、高压仓、自动灭火弹</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1134"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电池箱灭火装置</w:t>
            </w:r>
          </w:p>
        </w:tc>
        <w:tc>
          <w:tcPr>
            <w:tcW w:w="490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免费质保</w:t>
            </w:r>
          </w:p>
        </w:tc>
        <w:tc>
          <w:tcPr>
            <w:tcW w:w="1166" w:type="dxa"/>
            <w:gridSpan w:val="2"/>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车载智慧云模块</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免费质保（配备日常更换零件）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三级CAN总线</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调度终端设备</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视频监控</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主动安全终端</w:t>
            </w:r>
          </w:p>
        </w:tc>
        <w:tc>
          <w:tcPr>
            <w:tcW w:w="490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1166" w:type="dxa"/>
            <w:gridSpan w:val="2"/>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150"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bl>
    <w:p>
      <w:pPr>
        <w:pStyle w:val="9"/>
        <w:snapToGrid w:val="0"/>
        <w:spacing w:line="360" w:lineRule="auto"/>
        <w:outlineLvl w:val="0"/>
        <w:rPr>
          <w:rFonts w:hint="eastAsia" w:ascii="仿宋" w:hAnsi="仿宋" w:eastAsia="仿宋" w:cs="仿宋"/>
          <w:b/>
          <w:color w:val="auto"/>
          <w:sz w:val="24"/>
          <w:szCs w:val="24"/>
          <w:highlight w:val="none"/>
          <w:shd w:val="clear" w:color="auto" w:fill="auto"/>
          <w:lang w:eastAsia="zh-CN"/>
        </w:rPr>
      </w:pPr>
    </w:p>
    <w:p>
      <w:pPr>
        <w:pStyle w:val="9"/>
        <w:snapToGrid w:val="0"/>
        <w:spacing w:line="360" w:lineRule="auto"/>
        <w:outlineLvl w:val="0"/>
        <w:rPr>
          <w:rFonts w:hint="eastAsia" w:ascii="仿宋" w:hAnsi="仿宋" w:eastAsia="仿宋" w:cs="仿宋"/>
          <w:b/>
          <w:color w:val="auto"/>
          <w:sz w:val="24"/>
          <w:szCs w:val="24"/>
          <w:highlight w:val="none"/>
          <w:shd w:val="clear" w:color="auto" w:fill="auto"/>
          <w:lang w:eastAsia="zh-CN"/>
        </w:rPr>
      </w:pPr>
    </w:p>
    <w:p>
      <w:pPr>
        <w:pStyle w:val="9"/>
        <w:snapToGrid w:val="0"/>
        <w:spacing w:line="360" w:lineRule="auto"/>
        <w:outlineLvl w:val="0"/>
        <w:rPr>
          <w:rFonts w:hint="eastAsia" w:ascii="仿宋" w:hAnsi="仿宋" w:eastAsia="仿宋" w:cs="仿宋"/>
          <w:b/>
          <w:color w:val="auto"/>
          <w:sz w:val="24"/>
          <w:szCs w:val="24"/>
          <w:highlight w:val="none"/>
          <w:shd w:val="clear" w:color="auto" w:fill="auto"/>
          <w:lang w:eastAsia="zh-CN"/>
        </w:rPr>
      </w:pPr>
    </w:p>
    <w:p>
      <w:pPr>
        <w:pStyle w:val="9"/>
        <w:snapToGrid w:val="0"/>
        <w:spacing w:line="360" w:lineRule="auto"/>
        <w:outlineLvl w:val="0"/>
        <w:rPr>
          <w:rFonts w:hint="eastAsia" w:ascii="仿宋" w:hAnsi="仿宋" w:eastAsia="仿宋" w:cs="仿宋"/>
          <w:b/>
          <w:color w:val="auto"/>
          <w:sz w:val="24"/>
          <w:highlight w:val="none"/>
          <w:u w:val="none"/>
          <w:lang w:val="en-US" w:eastAsia="zh-CN"/>
        </w:rPr>
      </w:pPr>
      <w:r>
        <w:rPr>
          <w:rFonts w:hint="eastAsia" w:ascii="仿宋" w:hAnsi="仿宋" w:eastAsia="仿宋" w:cs="仿宋"/>
          <w:b/>
          <w:color w:val="auto"/>
          <w:sz w:val="28"/>
          <w:szCs w:val="28"/>
          <w:highlight w:val="none"/>
          <w:shd w:val="clear" w:color="auto" w:fill="auto"/>
          <w:lang w:eastAsia="zh-CN"/>
        </w:rPr>
        <w:t>第四标段配置</w:t>
      </w:r>
      <w:r>
        <w:rPr>
          <w:rFonts w:hint="eastAsia" w:ascii="仿宋" w:hAnsi="仿宋" w:eastAsia="仿宋" w:cs="仿宋"/>
          <w:b/>
          <w:color w:val="auto"/>
          <w:sz w:val="28"/>
          <w:szCs w:val="28"/>
          <w:highlight w:val="none"/>
          <w:u w:val="none"/>
        </w:rPr>
        <w:t>：</w:t>
      </w:r>
      <w:r>
        <w:rPr>
          <w:rFonts w:hint="eastAsia" w:ascii="仿宋" w:hAnsi="仿宋" w:eastAsia="仿宋" w:cs="仿宋"/>
          <w:b/>
          <w:color w:val="auto"/>
          <w:sz w:val="24"/>
          <w:highlight w:val="none"/>
          <w:u w:val="none"/>
          <w:lang w:val="en-US" w:eastAsia="zh-CN"/>
        </w:rPr>
        <w:t>8</w:t>
      </w:r>
      <w:r>
        <w:rPr>
          <w:rFonts w:hint="eastAsia" w:ascii="仿宋" w:hAnsi="仿宋" w:eastAsia="仿宋" w:cs="仿宋"/>
          <w:b/>
          <w:color w:val="auto"/>
          <w:sz w:val="24"/>
          <w:highlight w:val="none"/>
          <w:u w:val="none"/>
        </w:rPr>
        <w:t>米</w:t>
      </w:r>
      <w:r>
        <w:rPr>
          <w:rFonts w:hint="eastAsia" w:ascii="仿宋" w:hAnsi="仿宋" w:eastAsia="仿宋" w:cs="仿宋"/>
          <w:b/>
          <w:color w:val="auto"/>
          <w:sz w:val="24"/>
          <w:highlight w:val="none"/>
          <w:u w:val="none"/>
          <w:lang w:val="en-US" w:eastAsia="zh-CN"/>
        </w:rPr>
        <w:t>5</w:t>
      </w:r>
      <w:r>
        <w:rPr>
          <w:rFonts w:hint="eastAsia" w:ascii="仿宋" w:hAnsi="仿宋" w:eastAsia="仿宋" w:cs="仿宋"/>
          <w:b/>
          <w:color w:val="auto"/>
          <w:sz w:val="24"/>
          <w:highlight w:val="none"/>
          <w:u w:val="none"/>
        </w:rPr>
        <w:t>级纯电动</w:t>
      </w:r>
      <w:r>
        <w:rPr>
          <w:rFonts w:hint="eastAsia" w:ascii="仿宋" w:hAnsi="仿宋" w:eastAsia="仿宋" w:cs="仿宋"/>
          <w:b/>
          <w:color w:val="auto"/>
          <w:sz w:val="24"/>
          <w:highlight w:val="none"/>
          <w:u w:val="none"/>
          <w:lang w:eastAsia="zh-CN"/>
        </w:rPr>
        <w:t>轮边驱动</w:t>
      </w:r>
      <w:r>
        <w:rPr>
          <w:rFonts w:hint="eastAsia" w:ascii="仿宋" w:hAnsi="仿宋" w:eastAsia="仿宋" w:cs="仿宋"/>
          <w:b/>
          <w:color w:val="auto"/>
          <w:sz w:val="24"/>
          <w:highlight w:val="none"/>
          <w:u w:val="none"/>
        </w:rPr>
        <w:t>城市客车</w:t>
      </w:r>
      <w:r>
        <w:rPr>
          <w:rFonts w:hint="eastAsia" w:ascii="仿宋" w:hAnsi="仿宋" w:eastAsia="仿宋" w:cs="仿宋"/>
          <w:b/>
          <w:color w:val="auto"/>
          <w:sz w:val="24"/>
          <w:highlight w:val="none"/>
          <w:u w:val="none"/>
          <w:lang w:val="en-US" w:eastAsia="zh-CN"/>
        </w:rPr>
        <w:t>8</w:t>
      </w:r>
      <w:r>
        <w:rPr>
          <w:rFonts w:hint="eastAsia" w:ascii="仿宋" w:hAnsi="仿宋" w:eastAsia="仿宋" w:cs="仿宋"/>
          <w:b/>
          <w:color w:val="auto"/>
          <w:sz w:val="24"/>
          <w:highlight w:val="none"/>
          <w:u w:val="none"/>
        </w:rPr>
        <w:t>台，具体技术参数及需求配置如下表</w:t>
      </w:r>
      <w:r>
        <w:rPr>
          <w:rFonts w:hint="eastAsia" w:ascii="仿宋" w:hAnsi="仿宋" w:eastAsia="仿宋" w:cs="仿宋"/>
          <w:b/>
          <w:color w:val="auto"/>
          <w:sz w:val="24"/>
          <w:highlight w:val="none"/>
          <w:u w:val="none"/>
          <w:lang w:val="en-US" w:eastAsia="zh-CN"/>
        </w:rPr>
        <w:t>:</w:t>
      </w:r>
    </w:p>
    <w:tbl>
      <w:tblPr>
        <w:tblStyle w:val="16"/>
        <w:tblW w:w="9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7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2261" w:type="dxa"/>
            <w:tcBorders>
              <w:tl2br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 xml:space="preserve">       车      型</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项      目</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bCs/>
                <w:color w:val="auto"/>
                <w:sz w:val="28"/>
                <w:szCs w:val="28"/>
                <w:lang w:val="en-US" w:eastAsia="zh-CN"/>
              </w:rPr>
            </w:pPr>
            <w:r>
              <w:rPr>
                <w:rFonts w:hint="eastAsia" w:ascii="仿宋" w:hAnsi="仿宋" w:eastAsia="仿宋" w:cs="仿宋"/>
                <w:b/>
                <w:bCs w:val="0"/>
                <w:color w:val="auto"/>
                <w:sz w:val="28"/>
                <w:szCs w:val="28"/>
                <w:lang w:val="en-US" w:eastAsia="zh-CN"/>
              </w:rPr>
              <w:t>8米5</w:t>
            </w:r>
            <w:r>
              <w:rPr>
                <w:rFonts w:hint="eastAsia" w:ascii="仿宋" w:hAnsi="仿宋" w:eastAsia="仿宋" w:cs="仿宋"/>
                <w:b/>
                <w:bCs w:val="0"/>
                <w:color w:val="auto"/>
                <w:sz w:val="28"/>
                <w:szCs w:val="28"/>
                <w:lang w:eastAsia="zh-CN"/>
              </w:rPr>
              <w:t>级纯电动城市客车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1"/>
                <w:szCs w:val="21"/>
                <w:highlight w:val="none"/>
                <w:u w:val="none"/>
                <w:shd w:val="clear" w:color="auto" w:fill="auto"/>
              </w:rPr>
            </w:pPr>
            <w:r>
              <w:rPr>
                <w:rFonts w:hint="eastAsia" w:ascii="仿宋" w:hAnsi="仿宋" w:eastAsia="仿宋" w:cs="仿宋"/>
                <w:b/>
                <w:color w:val="auto"/>
                <w:sz w:val="21"/>
                <w:szCs w:val="21"/>
                <w:highlight w:val="none"/>
                <w:u w:val="none"/>
                <w:shd w:val="clear" w:color="auto" w:fill="auto"/>
              </w:rPr>
              <w:t>特      征</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b/>
                <w:color w:val="auto"/>
                <w:sz w:val="24"/>
                <w:szCs w:val="24"/>
                <w:highlight w:val="none"/>
                <w:u w:val="none"/>
                <w:shd w:val="clear" w:color="auto" w:fill="auto"/>
                <w:lang w:eastAsia="zh-CN"/>
              </w:rPr>
            </w:pPr>
            <w:r>
              <w:rPr>
                <w:rFonts w:hint="eastAsia" w:ascii="仿宋" w:hAnsi="仿宋" w:eastAsia="仿宋" w:cs="仿宋"/>
                <w:b w:val="0"/>
                <w:bCs/>
                <w:color w:val="auto"/>
                <w:sz w:val="24"/>
                <w:szCs w:val="24"/>
                <w:highlight w:val="none"/>
                <w:u w:val="none"/>
                <w:shd w:val="clear" w:color="auto" w:fill="auto"/>
                <w:lang w:eastAsia="zh-CN"/>
              </w:rPr>
              <w:t>纯电动</w:t>
            </w:r>
            <w:r>
              <w:rPr>
                <w:rFonts w:hint="eastAsia" w:ascii="仿宋" w:hAnsi="仿宋" w:eastAsia="仿宋" w:cs="仿宋"/>
                <w:b w:val="0"/>
                <w:bCs/>
                <w:color w:val="auto"/>
                <w:spacing w:val="-8"/>
                <w:sz w:val="24"/>
                <w:szCs w:val="24"/>
                <w:highlight w:val="none"/>
                <w:u w:val="none"/>
                <w:shd w:val="clear" w:color="auto" w:fill="auto"/>
              </w:rPr>
              <w:t>、</w:t>
            </w:r>
            <w:r>
              <w:rPr>
                <w:rFonts w:hint="eastAsia" w:ascii="仿宋" w:hAnsi="仿宋" w:eastAsia="仿宋" w:cs="仿宋"/>
                <w:b w:val="0"/>
                <w:bCs/>
                <w:color w:val="auto"/>
                <w:sz w:val="24"/>
                <w:szCs w:val="24"/>
                <w:highlight w:val="none"/>
                <w:u w:val="none"/>
                <w:shd w:val="clear" w:color="auto" w:fill="auto"/>
                <w:lang w:eastAsia="zh-CN"/>
              </w:rPr>
              <w:t>轮边驱动、电动空调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 xml:space="preserve">一．主要技术参数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1．尺寸参数</w:t>
            </w:r>
            <w:r>
              <w:rPr>
                <w:rFonts w:hint="eastAsia" w:ascii="仿宋" w:hAnsi="仿宋" w:eastAsia="仿宋" w:cs="仿宋"/>
                <w:b/>
                <w:bCs/>
                <w:color w:val="auto"/>
                <w:sz w:val="21"/>
                <w:szCs w:val="21"/>
                <w:highlight w:val="none"/>
                <w:u w:val="none"/>
                <w:shd w:val="clear" w:color="auto" w:fill="auto"/>
                <w:lang w:eastAsia="zh-CN"/>
              </w:rPr>
              <w:t>（</w:t>
            </w:r>
            <w:r>
              <w:rPr>
                <w:rFonts w:hint="eastAsia" w:ascii="仿宋" w:hAnsi="仿宋" w:eastAsia="仿宋" w:cs="仿宋"/>
                <w:b/>
                <w:bCs/>
                <w:color w:val="auto"/>
                <w:sz w:val="21"/>
                <w:szCs w:val="21"/>
                <w:highlight w:val="none"/>
                <w:u w:val="none"/>
                <w:shd w:val="clear" w:color="auto" w:fill="auto"/>
              </w:rPr>
              <w:t>mm</w:t>
            </w:r>
            <w:r>
              <w:rPr>
                <w:rFonts w:hint="eastAsia" w:ascii="仿宋" w:hAnsi="仿宋" w:eastAsia="仿宋" w:cs="仿宋"/>
                <w:b/>
                <w:bCs/>
                <w:color w:val="auto"/>
                <w:sz w:val="21"/>
                <w:szCs w:val="21"/>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长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right="0" w:rightChars="0" w:firstLine="840" w:firstLineChars="300"/>
              <w:jc w:val="both"/>
              <w:textAlignment w:val="auto"/>
              <w:outlineLvl w:val="9"/>
              <w:rPr>
                <w:rFonts w:hint="eastAsia" w:ascii="仿宋" w:hAnsi="仿宋" w:eastAsia="仿宋" w:cs="仿宋"/>
                <w:bCs/>
                <w:color w:val="auto"/>
                <w:sz w:val="24"/>
                <w:szCs w:val="24"/>
                <w:highlight w:val="none"/>
                <w:shd w:val="clear" w:color="auto" w:fill="auto"/>
                <w:lang w:eastAsia="zh-CN"/>
              </w:rPr>
            </w:pPr>
            <w:r>
              <w:rPr>
                <w:rFonts w:hint="eastAsia" w:ascii="仿宋" w:hAnsi="仿宋" w:eastAsia="仿宋" w:cs="仿宋"/>
                <w:bCs/>
                <w:color w:val="auto"/>
                <w:sz w:val="28"/>
                <w:szCs w:val="28"/>
                <w:highlight w:val="none"/>
                <w:shd w:val="clear" w:color="auto" w:fill="auto"/>
                <w:lang w:val="en-US" w:eastAsia="zh-CN"/>
              </w:rPr>
              <w:t>8500mm（含本数）</w:t>
            </w:r>
            <w:r>
              <w:rPr>
                <w:rFonts w:hint="eastAsia" w:ascii="仿宋" w:hAnsi="仿宋" w:eastAsia="仿宋" w:cs="仿宋"/>
                <w:bCs/>
                <w:color w:val="auto"/>
                <w:sz w:val="28"/>
                <w:szCs w:val="28"/>
                <w:highlight w:val="none"/>
                <w:shd w:val="clear" w:color="auto" w:fill="auto"/>
                <w:lang w:val="en-US" w:eastAsia="zh-CN"/>
              </w:rPr>
              <w:t>--8990mm（含本数）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宽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 xml:space="preserve"> ≥</w:t>
            </w:r>
            <w:r>
              <w:rPr>
                <w:rFonts w:hint="eastAsia" w:ascii="仿宋" w:hAnsi="仿宋" w:eastAsia="仿宋" w:cs="仿宋"/>
                <w:color w:val="auto"/>
                <w:sz w:val="21"/>
                <w:szCs w:val="21"/>
                <w:highlight w:val="none"/>
                <w:shd w:val="clear" w:color="auto" w:fill="auto"/>
                <w:lang w:val="en-US" w:eastAsia="zh-CN"/>
              </w:rPr>
              <w:t>2400</w:t>
            </w:r>
            <w:r>
              <w:rPr>
                <w:rFonts w:hint="eastAsia" w:ascii="仿宋" w:hAnsi="仿宋" w:eastAsia="仿宋" w:cs="仿宋"/>
                <w:bCs/>
                <w:color w:val="auto"/>
                <w:sz w:val="24"/>
                <w:szCs w:val="24"/>
                <w:highlight w:val="none"/>
                <w:shd w:val="clear" w:color="auto" w:fil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总    高 (mm)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shd w:val="clear" w:color="auto" w:fill="auto"/>
              </w:rPr>
            </w:pP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shd w:val="clear" w:color="auto" w:fill="auto"/>
                <w:lang w:val="en-US" w:eastAsia="zh-CN"/>
              </w:rPr>
              <w:t>3100</w:t>
            </w:r>
            <w:r>
              <w:rPr>
                <w:rFonts w:hint="eastAsia" w:ascii="仿宋" w:hAnsi="仿宋" w:eastAsia="仿宋" w:cs="仿宋"/>
                <w:bCs/>
                <w:color w:val="auto"/>
                <w:sz w:val="24"/>
                <w:szCs w:val="24"/>
                <w:highlight w:val="none"/>
                <w:shd w:val="clear" w:color="auto" w:fill="auto"/>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left"/>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2．载客数人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最大载客数</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color w:val="auto"/>
                <w:sz w:val="24"/>
                <w:szCs w:val="24"/>
                <w:highlight w:val="none"/>
                <w:u w:val="none"/>
                <w:shd w:val="clear" w:color="auto" w:fill="auto"/>
                <w:lang w:eastAsia="zh-CN"/>
              </w:rPr>
              <w:t>≥</w:t>
            </w:r>
            <w:r>
              <w:rPr>
                <w:rFonts w:hint="eastAsia" w:ascii="仿宋" w:hAnsi="仿宋" w:eastAsia="仿宋" w:cs="仿宋"/>
                <w:color w:val="auto"/>
                <w:sz w:val="24"/>
                <w:szCs w:val="24"/>
                <w:highlight w:val="none"/>
                <w:u w:val="none"/>
                <w:shd w:val="clear" w:color="auto" w:fill="auto"/>
                <w:lang w:val="en-US" w:eastAsia="zh-CN"/>
              </w:rPr>
              <w:t>60人（以投标车型工信部公告目录为准）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420" w:firstLineChars="2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最大座位数</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rPr>
            </w:pPr>
            <w:r>
              <w:rPr>
                <w:rFonts w:hint="eastAsia" w:ascii="仿宋" w:hAnsi="仿宋" w:eastAsia="仿宋" w:cs="仿宋"/>
                <w:color w:val="auto"/>
                <w:sz w:val="24"/>
                <w:szCs w:val="24"/>
                <w:highlight w:val="none"/>
                <w:u w:val="none"/>
                <w:shd w:val="clear" w:color="auto" w:fill="auto"/>
                <w:lang w:eastAsia="zh-CN"/>
              </w:rPr>
              <w:t>按</w:t>
            </w:r>
            <w:r>
              <w:rPr>
                <w:rFonts w:hint="eastAsia" w:ascii="仿宋" w:hAnsi="仿宋" w:eastAsia="仿宋" w:cs="仿宋"/>
                <w:color w:val="auto"/>
                <w:sz w:val="24"/>
                <w:szCs w:val="24"/>
                <w:highlight w:val="none"/>
                <w:u w:val="none"/>
                <w:shd w:val="clear" w:color="auto" w:fill="auto"/>
                <w:lang w:val="en-US" w:eastAsia="zh-CN"/>
              </w:rPr>
              <w:t>投标车型工信部公告目录为准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3．性  能  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最高车速    km/h</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yellow"/>
                <w:shd w:val="clear" w:color="auto" w:fill="auto"/>
              </w:rPr>
            </w:pPr>
            <w:r>
              <w:rPr>
                <w:rFonts w:hint="eastAsia" w:ascii="仿宋" w:hAnsi="仿宋" w:eastAsia="仿宋" w:cs="仿宋"/>
                <w:color w:val="auto"/>
                <w:sz w:val="21"/>
                <w:szCs w:val="21"/>
                <w:highlight w:val="none"/>
                <w:shd w:val="clear" w:color="auto" w:fill="auto"/>
              </w:rPr>
              <w:t>≤</w:t>
            </w:r>
            <w:r>
              <w:rPr>
                <w:rFonts w:hint="eastAsia" w:ascii="仿宋" w:hAnsi="仿宋" w:eastAsia="仿宋" w:cs="仿宋"/>
                <w:color w:val="auto"/>
                <w:sz w:val="21"/>
                <w:szCs w:val="21"/>
                <w:highlight w:val="none"/>
                <w:u w:val="none"/>
                <w:shd w:val="clear" w:color="auto" w:fill="auto"/>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210" w:firstLineChars="100"/>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最大爬度    ％</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default" w:ascii="仿宋" w:hAnsi="仿宋" w:eastAsia="仿宋" w:cs="仿宋"/>
                <w:color w:val="auto"/>
                <w:sz w:val="21"/>
                <w:szCs w:val="21"/>
                <w:highlight w:val="none"/>
                <w:u w:val="none"/>
                <w:shd w:val="clear" w:color="auto" w:fill="auto"/>
                <w:lang w:val="en-US"/>
              </w:rPr>
            </w:pPr>
            <w:r>
              <w:rPr>
                <w:rFonts w:hint="eastAsia" w:ascii="仿宋" w:hAnsi="仿宋" w:eastAsia="仿宋" w:cs="仿宋"/>
                <w:color w:val="auto"/>
                <w:sz w:val="21"/>
                <w:szCs w:val="21"/>
                <w:highlight w:val="none"/>
                <w:u w:val="none"/>
                <w:shd w:val="clear" w:color="auto" w:fill="auto"/>
              </w:rPr>
              <w:t>≥</w:t>
            </w:r>
            <w:r>
              <w:rPr>
                <w:rFonts w:hint="eastAsia" w:ascii="仿宋" w:hAnsi="仿宋" w:eastAsia="仿宋" w:cs="仿宋"/>
                <w:color w:val="auto"/>
                <w:sz w:val="21"/>
                <w:szCs w:val="21"/>
                <w:highlight w:val="none"/>
                <w:u w:val="none"/>
                <w:shd w:val="clear" w:color="auto" w:fill="auto"/>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最大制动距离</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（满载30km/h初速） m</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驻坡能力</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sz w:val="21"/>
                <w:szCs w:val="21"/>
                <w:highlight w:val="none"/>
                <w:u w:val="none"/>
                <w:shd w:val="clear" w:color="auto" w:fill="auto"/>
              </w:rPr>
            </w:pPr>
            <w:r>
              <w:rPr>
                <w:rFonts w:hint="eastAsia" w:ascii="仿宋" w:hAnsi="仿宋" w:eastAsia="仿宋" w:cs="仿宋"/>
                <w:color w:val="auto"/>
                <w:sz w:val="21"/>
                <w:szCs w:val="21"/>
                <w:highlight w:val="none"/>
                <w:u w:val="none"/>
                <w:shd w:val="clear" w:color="auto" w:fill="auto"/>
              </w:rPr>
              <w:t>整车应可靠地在</w:t>
            </w:r>
            <w:r>
              <w:rPr>
                <w:rFonts w:hint="eastAsia" w:ascii="仿宋" w:hAnsi="仿宋" w:eastAsia="仿宋" w:cs="仿宋"/>
                <w:color w:val="auto"/>
                <w:szCs w:val="21"/>
                <w:highlight w:val="none"/>
                <w:u w:val="none"/>
              </w:rPr>
              <w:t>1</w:t>
            </w:r>
            <w:r>
              <w:rPr>
                <w:rFonts w:hint="eastAsia" w:ascii="仿宋" w:hAnsi="仿宋" w:eastAsia="仿宋" w:cs="仿宋"/>
                <w:color w:val="auto"/>
                <w:szCs w:val="21"/>
                <w:highlight w:val="none"/>
                <w:u w:val="none"/>
                <w:lang w:val="en-US" w:eastAsia="zh-CN"/>
              </w:rPr>
              <w:t>5</w:t>
            </w:r>
            <w:r>
              <w:rPr>
                <w:rFonts w:hint="eastAsia" w:ascii="仿宋" w:hAnsi="仿宋" w:eastAsia="仿宋" w:cs="仿宋"/>
                <w:color w:val="auto"/>
                <w:szCs w:val="21"/>
                <w:highlight w:val="none"/>
                <w:u w:val="none"/>
              </w:rPr>
              <w:t>%</w:t>
            </w:r>
            <w:r>
              <w:rPr>
                <w:rFonts w:hint="eastAsia" w:ascii="仿宋" w:hAnsi="仿宋" w:eastAsia="仿宋" w:cs="仿宋"/>
                <w:color w:val="auto"/>
                <w:sz w:val="21"/>
                <w:szCs w:val="21"/>
                <w:highlight w:val="none"/>
                <w:u w:val="none"/>
                <w:shd w:val="clear" w:color="auto" w:fill="auto"/>
              </w:rPr>
              <w:t>坡道上停稳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一级踏步离地高度(mm)</w:t>
            </w:r>
          </w:p>
        </w:tc>
        <w:tc>
          <w:tcPr>
            <w:tcW w:w="7135" w:type="dxa"/>
            <w:noWrap w:val="0"/>
            <w:vAlign w:val="center"/>
          </w:tcPr>
          <w:p>
            <w:pPr>
              <w:ind w:firstLine="105" w:firstLineChars="0"/>
              <w:jc w:val="center"/>
              <w:rPr>
                <w:rFonts w:hint="eastAsia" w:ascii="仿宋" w:hAnsi="仿宋" w:eastAsia="仿宋" w:cs="仿宋"/>
                <w:color w:val="auto"/>
                <w:szCs w:val="21"/>
              </w:rPr>
            </w:pPr>
            <w:r>
              <w:rPr>
                <w:rFonts w:hint="eastAsia" w:ascii="仿宋" w:hAnsi="仿宋" w:eastAsia="仿宋" w:cs="仿宋"/>
                <w:color w:val="auto"/>
                <w:szCs w:val="21"/>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2261" w:type="dxa"/>
            <w:noWrap w:val="0"/>
            <w:vAlign w:val="center"/>
          </w:tcPr>
          <w:p>
            <w:pPr>
              <w:jc w:val="left"/>
              <w:rPr>
                <w:rFonts w:hint="eastAsia" w:ascii="仿宋" w:hAnsi="仿宋" w:eastAsia="仿宋" w:cs="仿宋"/>
                <w:kern w:val="2"/>
                <w:sz w:val="21"/>
                <w:szCs w:val="21"/>
                <w:lang w:val="en-US" w:eastAsia="zh-CN" w:bidi="ar-SA"/>
              </w:rPr>
            </w:pPr>
            <w:r>
              <w:rPr>
                <w:rFonts w:hint="eastAsia" w:ascii="仿宋" w:hAnsi="仿宋" w:eastAsia="仿宋" w:cs="仿宋"/>
                <w:szCs w:val="21"/>
              </w:rPr>
              <w:t>整车安全涉水深度（mm)</w:t>
            </w:r>
          </w:p>
        </w:tc>
        <w:tc>
          <w:tcPr>
            <w:tcW w:w="7135" w:type="dxa"/>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textAlignment w:val="auto"/>
              <w:outlineLvl w:val="9"/>
              <w:rPr>
                <w:rFonts w:hint="eastAsia" w:ascii="仿宋" w:hAnsi="仿宋" w:eastAsia="仿宋" w:cs="仿宋"/>
                <w:b/>
                <w:bCs/>
                <w:color w:val="auto"/>
                <w:sz w:val="21"/>
                <w:szCs w:val="21"/>
                <w:highlight w:val="none"/>
                <w:u w:val="none"/>
                <w:shd w:val="clear" w:color="auto" w:fill="auto"/>
              </w:rPr>
            </w:pPr>
            <w:r>
              <w:rPr>
                <w:rFonts w:hint="eastAsia" w:ascii="仿宋" w:hAnsi="仿宋" w:eastAsia="仿宋" w:cs="仿宋"/>
                <w:b/>
                <w:bCs/>
                <w:color w:val="auto"/>
                <w:sz w:val="21"/>
                <w:szCs w:val="21"/>
                <w:highlight w:val="none"/>
                <w:u w:val="none"/>
                <w:shd w:val="clear" w:color="auto" w:fill="auto"/>
              </w:rPr>
              <w:t>二、主要总成和系统的结构特征与参数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1"/>
                <w:szCs w:val="21"/>
                <w:highlight w:val="none"/>
                <w:u w:val="none"/>
                <w:shd w:val="clear" w:color="auto" w:fill="auto"/>
                <w:lang w:val="en-US" w:eastAsia="zh-CN"/>
              </w:rPr>
            </w:pPr>
            <w:r>
              <w:rPr>
                <w:rFonts w:hint="eastAsia" w:ascii="仿宋" w:hAnsi="仿宋" w:eastAsia="仿宋" w:cs="仿宋"/>
                <w:b/>
                <w:bCs w:val="0"/>
                <w:color w:val="auto"/>
                <w:sz w:val="28"/>
                <w:szCs w:val="28"/>
                <w:highlight w:val="none"/>
                <w:u w:val="none"/>
                <w:lang w:val="en-US" w:eastAsia="zh-CN"/>
              </w:rPr>
              <w:t>1.三电系统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color w:val="auto"/>
                <w:sz w:val="28"/>
                <w:szCs w:val="28"/>
                <w:lang w:val="en-US" w:eastAsia="zh-CN"/>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lang w:eastAsia="zh-CN"/>
              </w:rPr>
              <w:t>动力电池</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1.提供投标车型的电池容量。以投标车型《新能源汽车推广应用推荐车型目录》技术参数数据和中国汽车网查询为准。</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2.采用直流充电模式，符合国家相关规定，与采购人现有充电桩对接，充电自动识别车辆功能。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3.符合国家安全性，并在投标文件中提供试验检测合格报告、相关标准和规范。</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4.整个电池系统及每组电池箱安装快断器，并设有故障报警装置。安装防撞保护装置，保护电池不因挤压发变形影响安全。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5.电池具备持续充电≥1C能力动力电池温度特性好，动力电池箱设置有效的散热机制（独立水冷），满足温度在-20℃～60℃之间及雨水多的天气使用环境要求。</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6.采用新型电池系统均衡供电回路，不依赖于整车24V供电，由电芯自身供电，依托电池系统自动唤醒功能，实现上电状态和停车下状态均可进行均衡，通过智能均衡实现12个月均衡一次，每次均衡时间12小时。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电池总容量及续航里程</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整车电池总容量≥170kwh，满足招标方公交线路运行需求，在预留20%的电池安全电量后，质保期内续航里程＞220km。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b/>
                <w:bCs/>
                <w:kern w:val="2"/>
                <w:sz w:val="28"/>
                <w:szCs w:val="28"/>
                <w:lang w:val="en-US" w:eastAsia="zh-CN" w:bidi="ar-SA"/>
              </w:rPr>
            </w:pPr>
            <w:r>
              <w:rPr>
                <w:rFonts w:hint="eastAsia" w:ascii="仿宋" w:hAnsi="仿宋" w:eastAsia="仿宋" w:cs="仿宋"/>
                <w:color w:val="auto"/>
                <w:sz w:val="28"/>
                <w:szCs w:val="28"/>
              </w:rPr>
              <w:t>电池品牌</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1.采用液冷模式及磷酸铁锂电极材料的行业知名品牌。</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2.动力电池电芯和电池PACK为同一品牌产品。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rPr>
              <w:t>电池布置形式</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电池合理布置，做好车辆重量重心的均衡分布；与整车隔离，绝缘、防火隔热设计，多重熔断保护，整车高压分级预警系统，高压快断装置；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8"/>
                <w:szCs w:val="28"/>
              </w:rPr>
              <w:t>电池系统能量密度</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投标车型的电池系统能量密度＞150Wh/kg。（投标方以投标车型《新能源汽车推广应用推荐车型目录》技术参数数据为准，并提供目录复印件或证明）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能量衰减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在质保期内投标人应委托电池原厂执行专业规范的电池定期维保服务，安全检查及性能检测、电池均衡保养等，并对有问题的电池进行临时检测，在质保期内电池组衰减超过15%，免费予以技术处理，8年或60万公里内电池容量衰减超过20%，则须无条件免费更换原品牌新电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2.电池、充放电系统和充电插座总成等免费质保8年（含工时、易损、易耗件），投标人须中标后10天内与配套产品厂家共同提交质保承诺书。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3.如果使用周期内配套电池厂不能继续履行相应服务，客车厂需提供落实电池改造替代方案并承担改造一切费用和损失。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Cs/>
                <w:color w:val="auto"/>
                <w:sz w:val="28"/>
                <w:szCs w:val="28"/>
              </w:rPr>
              <w:t>动力电池回收模式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1.投标人和动力电池厂家必须根据国家相关政策和环保法规对维修更换和车辆报废动力电池（含维修等所有费用）进行免费环保回收处理（如车辆报废时有专门要求的除外）。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2.采购人保留动力电池的最终处理权，采购人根据车辆使用报废情况通知投标人，投标人应当在接到通知30日内回收处理并提供环保处理证明。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lang w:eastAsia="zh-CN"/>
              </w:rPr>
            </w:pPr>
            <w:r>
              <w:rPr>
                <w:rFonts w:hint="eastAsia" w:ascii="仿宋" w:hAnsi="仿宋" w:eastAsia="仿宋" w:cs="仿宋"/>
                <w:bCs/>
                <w:color w:val="auto"/>
                <w:sz w:val="28"/>
                <w:szCs w:val="28"/>
                <w:lang w:eastAsia="zh-CN"/>
              </w:rPr>
              <w:t>控制系统</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1.高压电控系统（包括但不限于高压配电柜、DC/DC、电动助力转向控制器、驱动电机控制器、空压机控制器）均采用优质控制器，质保8年（含工时、易损、易耗件），投标人须中标后10天内与配套产品厂家共同提交质保承诺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bCs/>
                <w:color w:val="FF0000"/>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b w:val="0"/>
                <w:bCs w:val="0"/>
                <w:color w:val="auto"/>
                <w:sz w:val="28"/>
                <w:szCs w:val="28"/>
                <w:highlight w:val="none"/>
                <w:u w:val="none"/>
                <w:shd w:val="clear" w:color="auto" w:fill="auto"/>
              </w:rPr>
              <w:t>提供投标车型的控制系统详细资料。电池管理系统（BMS）可以监控每个单体的电压、电流，并有采用均衡技术，满足各种极端工况要求。采用</w:t>
            </w:r>
            <w:r>
              <w:rPr>
                <w:rFonts w:hint="eastAsia" w:ascii="仿宋" w:hAnsi="仿宋" w:eastAsia="仿宋" w:cs="仿宋"/>
                <w:b w:val="0"/>
                <w:bCs w:val="0"/>
                <w:color w:val="auto"/>
                <w:sz w:val="28"/>
                <w:szCs w:val="28"/>
                <w:highlight w:val="none"/>
                <w:u w:val="none"/>
                <w:shd w:val="clear" w:color="auto" w:fill="auto"/>
                <w:lang w:eastAsia="zh-CN"/>
              </w:rPr>
              <w:t>四</w:t>
            </w:r>
            <w:r>
              <w:rPr>
                <w:rFonts w:hint="eastAsia" w:ascii="仿宋" w:hAnsi="仿宋" w:eastAsia="仿宋" w:cs="仿宋"/>
                <w:b w:val="0"/>
                <w:bCs w:val="0"/>
                <w:color w:val="auto"/>
                <w:sz w:val="28"/>
                <w:szCs w:val="28"/>
                <w:highlight w:val="none"/>
                <w:u w:val="none"/>
                <w:shd w:val="clear" w:color="auto" w:fill="auto"/>
              </w:rPr>
              <w:t>合一及以上集成式控制器。（转向助力、高压配电柜、打气泵、DC-DC、</w:t>
            </w:r>
            <w:r>
              <w:rPr>
                <w:rFonts w:hint="eastAsia" w:ascii="仿宋" w:hAnsi="仿宋" w:eastAsia="仿宋" w:cs="仿宋"/>
                <w:b w:val="0"/>
                <w:bCs w:val="0"/>
                <w:color w:val="auto"/>
                <w:sz w:val="28"/>
                <w:szCs w:val="28"/>
                <w:highlight w:val="none"/>
                <w:u w:val="none"/>
                <w:shd w:val="clear" w:color="auto" w:fill="auto"/>
                <w:lang w:eastAsia="zh-CN"/>
              </w:rPr>
              <w:t>两个轮边</w:t>
            </w:r>
            <w:r>
              <w:rPr>
                <w:rFonts w:hint="eastAsia" w:ascii="仿宋" w:hAnsi="仿宋" w:eastAsia="仿宋" w:cs="仿宋"/>
                <w:b w:val="0"/>
                <w:bCs w:val="0"/>
                <w:color w:val="auto"/>
                <w:sz w:val="28"/>
                <w:szCs w:val="28"/>
                <w:highlight w:val="none"/>
                <w:u w:val="none"/>
                <w:shd w:val="clear" w:color="auto" w:fill="auto"/>
              </w:rPr>
              <w:t>驱动电机）</w:t>
            </w:r>
            <w:r>
              <w:rPr>
                <w:rFonts w:hint="eastAsia" w:ascii="仿宋" w:hAnsi="仿宋" w:eastAsia="仿宋" w:cs="仿宋"/>
                <w:b w:val="0"/>
                <w:bCs w:val="0"/>
                <w:color w:val="auto"/>
                <w:sz w:val="28"/>
                <w:szCs w:val="28"/>
                <w:highlight w:val="none"/>
                <w:u w:val="none"/>
                <w:shd w:val="clear" w:color="auto" w:fill="auto"/>
                <w:lang w:eastAsia="zh-CN"/>
              </w:rPr>
              <w:t>，并提供四合一及以上集成式控制器的原理图。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lang w:eastAsia="zh-CN"/>
              </w:rPr>
              <w:t>高压配电功能采用集中配电方式，具有多路保护电路，内置高压接触器、高压熔断器、绝缘检测板等；须匹配MSD开关，保证维护安全；须具有高压互锁功能，保证端子松动时，能够断开高压；须内置预充电路；须内置绝缘检测电路，具有漏电保护功能；须具有充电保护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整车电气安全性</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rPr>
              <w:t>防护等级≥IP6</w:t>
            </w:r>
            <w:r>
              <w:rPr>
                <w:rFonts w:hint="eastAsia" w:ascii="仿宋" w:hAnsi="仿宋" w:eastAsia="仿宋" w:cs="仿宋"/>
                <w:color w:val="auto"/>
                <w:sz w:val="28"/>
                <w:szCs w:val="28"/>
                <w:highlight w:val="none"/>
                <w:u w:val="none"/>
                <w:shd w:val="clear" w:color="auto" w:fill="auto"/>
                <w:lang w:val="en-US" w:eastAsia="zh-CN"/>
              </w:rPr>
              <w:t>7</w:t>
            </w:r>
            <w:r>
              <w:rPr>
                <w:rFonts w:hint="eastAsia" w:ascii="仿宋" w:hAnsi="仿宋" w:eastAsia="仿宋" w:cs="仿宋"/>
                <w:color w:val="auto"/>
                <w:sz w:val="28"/>
                <w:szCs w:val="28"/>
                <w:highlight w:val="none"/>
                <w:u w:val="none"/>
                <w:shd w:val="clear" w:color="auto" w:fill="auto"/>
                <w:lang w:eastAsia="zh-CN"/>
              </w:rPr>
              <w:t>及</w:t>
            </w:r>
            <w:r>
              <w:rPr>
                <w:rFonts w:hint="eastAsia" w:ascii="仿宋" w:hAnsi="仿宋" w:eastAsia="仿宋" w:cs="仿宋"/>
                <w:color w:val="auto"/>
                <w:sz w:val="28"/>
                <w:szCs w:val="28"/>
                <w:highlight w:val="none"/>
                <w:u w:val="none"/>
                <w:shd w:val="clear" w:color="auto" w:fill="auto"/>
              </w:rPr>
              <w:t>以上；高压电缆，采用耐高温的辐照阻燃且耐高压电动车辆专用电缆，具有屏蔽层</w:t>
            </w:r>
            <w:r>
              <w:rPr>
                <w:rFonts w:hint="eastAsia" w:ascii="仿宋" w:hAnsi="仿宋" w:eastAsia="仿宋" w:cs="仿宋"/>
                <w:color w:val="auto"/>
                <w:sz w:val="28"/>
                <w:szCs w:val="28"/>
                <w:highlight w:val="none"/>
                <w:u w:val="none"/>
                <w:shd w:val="clear" w:color="auto" w:fill="auto"/>
                <w:lang w:eastAsia="zh-CN"/>
              </w:rPr>
              <w:t>，</w:t>
            </w:r>
            <w:r>
              <w:rPr>
                <w:rFonts w:hint="eastAsia" w:ascii="仿宋" w:hAnsi="仿宋" w:eastAsia="仿宋" w:cs="仿宋"/>
                <w:color w:val="auto"/>
                <w:sz w:val="28"/>
                <w:szCs w:val="28"/>
                <w:highlight w:val="none"/>
                <w:u w:val="none"/>
                <w:shd w:val="clear" w:color="auto" w:fill="auto"/>
              </w:rPr>
              <w:t>耐压≥700V；涉水深度（m）≥0.30。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color w:val="auto"/>
                <w:sz w:val="28"/>
                <w:szCs w:val="28"/>
              </w:rPr>
              <w:t>驱动电机</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rPr>
            </w:pPr>
            <w:r>
              <w:rPr>
                <w:rFonts w:hint="eastAsia" w:ascii="仿宋" w:hAnsi="仿宋" w:eastAsia="仿宋" w:cs="仿宋"/>
                <w:sz w:val="28"/>
                <w:szCs w:val="28"/>
              </w:rPr>
              <w:t>1.采用水冷永磁同步电机，</w:t>
            </w:r>
            <w:r>
              <w:rPr>
                <w:rFonts w:hint="eastAsia" w:ascii="仿宋" w:hAnsi="仿宋" w:eastAsia="仿宋" w:cs="仿宋"/>
                <w:sz w:val="28"/>
                <w:szCs w:val="28"/>
                <w:lang w:eastAsia="zh-CN"/>
              </w:rPr>
              <w:t>两只电机</w:t>
            </w:r>
            <w:r>
              <w:rPr>
                <w:rFonts w:hint="eastAsia" w:ascii="仿宋" w:hAnsi="仿宋" w:eastAsia="仿宋" w:cs="仿宋"/>
                <w:sz w:val="28"/>
                <w:szCs w:val="28"/>
              </w:rPr>
              <w:t>额定</w:t>
            </w:r>
            <w:r>
              <w:rPr>
                <w:rFonts w:hint="eastAsia" w:ascii="仿宋" w:hAnsi="仿宋" w:eastAsia="仿宋" w:cs="仿宋"/>
                <w:sz w:val="28"/>
                <w:szCs w:val="28"/>
                <w:lang w:eastAsia="zh-CN"/>
              </w:rPr>
              <w:t>总</w:t>
            </w:r>
            <w:r>
              <w:rPr>
                <w:rFonts w:hint="eastAsia" w:ascii="仿宋" w:hAnsi="仿宋" w:eastAsia="仿宋" w:cs="仿宋"/>
                <w:sz w:val="28"/>
                <w:szCs w:val="28"/>
              </w:rPr>
              <w:t>功率≥</w:t>
            </w:r>
            <w:r>
              <w:rPr>
                <w:rFonts w:hint="eastAsia" w:ascii="仿宋" w:hAnsi="仿宋" w:eastAsia="仿宋" w:cs="仿宋"/>
                <w:sz w:val="28"/>
                <w:szCs w:val="28"/>
                <w:lang w:val="en-US" w:eastAsia="zh-CN"/>
              </w:rPr>
              <w:t>120</w:t>
            </w:r>
            <w:r>
              <w:rPr>
                <w:rFonts w:hint="eastAsia" w:ascii="仿宋" w:hAnsi="仿宋" w:eastAsia="仿宋" w:cs="仿宋"/>
                <w:sz w:val="28"/>
                <w:szCs w:val="28"/>
              </w:rPr>
              <w:t>KW，峰值功</w:t>
            </w:r>
            <w:r>
              <w:rPr>
                <w:rFonts w:hint="eastAsia" w:ascii="仿宋" w:hAnsi="仿宋" w:eastAsia="仿宋" w:cs="仿宋"/>
                <w:b w:val="0"/>
                <w:bCs w:val="0"/>
                <w:color w:val="auto"/>
                <w:sz w:val="28"/>
                <w:szCs w:val="28"/>
              </w:rPr>
              <w:t>率≥</w:t>
            </w:r>
            <w:r>
              <w:rPr>
                <w:rFonts w:hint="eastAsia" w:ascii="仿宋" w:hAnsi="仿宋" w:eastAsia="仿宋" w:cs="仿宋"/>
                <w:b w:val="0"/>
                <w:bCs w:val="0"/>
                <w:color w:val="auto"/>
                <w:sz w:val="28"/>
                <w:szCs w:val="28"/>
                <w:lang w:val="en-US" w:eastAsia="zh-CN"/>
              </w:rPr>
              <w:t>200</w:t>
            </w:r>
            <w:r>
              <w:rPr>
                <w:rFonts w:hint="eastAsia" w:ascii="仿宋" w:hAnsi="仿宋" w:eastAsia="仿宋" w:cs="仿宋"/>
                <w:b w:val="0"/>
                <w:bCs w:val="0"/>
                <w:color w:val="auto"/>
                <w:sz w:val="28"/>
                <w:szCs w:val="28"/>
              </w:rPr>
              <w:t>KW；（投标厂家提供车辆公告页和整车定型报告证明）；</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2.</w:t>
            </w:r>
            <w:r>
              <w:rPr>
                <w:rFonts w:hint="eastAsia" w:ascii="仿宋" w:hAnsi="仿宋" w:eastAsia="仿宋" w:cs="仿宋"/>
                <w:b w:val="0"/>
                <w:bCs w:val="0"/>
                <w:color w:val="auto"/>
                <w:sz w:val="28"/>
                <w:szCs w:val="28"/>
              </w:rPr>
              <w:t>电机具备缓速功能，同时具有能量回收功能；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3.电机防护等级：IP6</w:t>
            </w:r>
            <w:r>
              <w:rPr>
                <w:rFonts w:hint="eastAsia" w:ascii="仿宋" w:hAnsi="仿宋" w:eastAsia="仿宋" w:cs="仿宋"/>
                <w:b w:val="0"/>
                <w:bCs w:val="0"/>
                <w:color w:val="auto"/>
                <w:sz w:val="28"/>
                <w:szCs w:val="28"/>
                <w:lang w:val="en-US" w:eastAsia="zh-CN"/>
              </w:rPr>
              <w:t>7</w:t>
            </w:r>
            <w:r>
              <w:rPr>
                <w:rFonts w:hint="eastAsia" w:ascii="仿宋" w:hAnsi="仿宋" w:eastAsia="仿宋" w:cs="仿宋"/>
                <w:b w:val="0"/>
                <w:bCs w:val="0"/>
                <w:color w:val="auto"/>
                <w:sz w:val="28"/>
                <w:szCs w:val="28"/>
              </w:rPr>
              <w:t>或以上防护等级；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t>4.电机冷却系统采用</w:t>
            </w:r>
            <w:r>
              <w:rPr>
                <w:rFonts w:hint="eastAsia" w:ascii="仿宋" w:hAnsi="仿宋" w:eastAsia="仿宋" w:cs="仿宋"/>
                <w:b w:val="0"/>
                <w:bCs w:val="0"/>
                <w:color w:val="auto"/>
                <w:sz w:val="28"/>
                <w:szCs w:val="28"/>
                <w:lang w:eastAsia="zh-CN"/>
              </w:rPr>
              <w:t>变频</w:t>
            </w:r>
            <w:r>
              <w:rPr>
                <w:rFonts w:hint="eastAsia" w:ascii="仿宋" w:hAnsi="仿宋" w:eastAsia="仿宋" w:cs="仿宋"/>
                <w:b w:val="0"/>
                <w:bCs w:val="0"/>
                <w:color w:val="auto"/>
                <w:sz w:val="28"/>
                <w:szCs w:val="28"/>
              </w:rPr>
              <w:t>电子智能冷却控制系统。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5.</w:t>
            </w:r>
            <w:r>
              <w:rPr>
                <w:rFonts w:hint="eastAsia" w:ascii="仿宋" w:hAnsi="仿宋" w:eastAsia="仿宋" w:cs="仿宋"/>
                <w:b w:val="0"/>
                <w:bCs w:val="0"/>
                <w:color w:val="auto"/>
                <w:sz w:val="28"/>
                <w:szCs w:val="28"/>
              </w:rPr>
              <w:t>电机功率密度≥</w:t>
            </w:r>
            <w:r>
              <w:rPr>
                <w:rFonts w:hint="eastAsia" w:ascii="仿宋" w:hAnsi="仿宋" w:eastAsia="仿宋" w:cs="仿宋"/>
                <w:b w:val="0"/>
                <w:bCs w:val="0"/>
                <w:color w:val="auto"/>
                <w:sz w:val="28"/>
                <w:szCs w:val="28"/>
                <w:highlight w:val="none"/>
                <w:u w:val="none"/>
                <w:shd w:val="clear" w:color="auto" w:fill="auto"/>
                <w:lang w:val="en-US" w:eastAsia="zh-CN"/>
              </w:rPr>
              <w:t>1.7</w:t>
            </w:r>
            <w:r>
              <w:rPr>
                <w:rFonts w:hint="eastAsia" w:ascii="仿宋" w:hAnsi="仿宋" w:eastAsia="仿宋" w:cs="仿宋"/>
                <w:b w:val="0"/>
                <w:bCs w:val="0"/>
                <w:color w:val="auto"/>
                <w:sz w:val="28"/>
                <w:szCs w:val="28"/>
              </w:rPr>
              <w:t>kw/kg；</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6.</w:t>
            </w:r>
            <w:r>
              <w:rPr>
                <w:rFonts w:hint="eastAsia" w:ascii="仿宋" w:hAnsi="仿宋" w:eastAsia="仿宋" w:cs="仿宋"/>
                <w:b w:val="0"/>
                <w:bCs w:val="0"/>
                <w:color w:val="auto"/>
                <w:sz w:val="28"/>
                <w:szCs w:val="28"/>
              </w:rPr>
              <w:t>扭矩密度≥</w:t>
            </w:r>
            <w:r>
              <w:rPr>
                <w:rFonts w:hint="eastAsia" w:ascii="仿宋" w:hAnsi="仿宋" w:eastAsia="仿宋" w:cs="仿宋"/>
                <w:b w:val="0"/>
                <w:bCs w:val="0"/>
                <w:color w:val="auto"/>
                <w:sz w:val="28"/>
                <w:szCs w:val="28"/>
                <w:highlight w:val="none"/>
                <w:u w:val="none"/>
                <w:shd w:val="clear" w:color="auto" w:fill="auto"/>
                <w:lang w:val="en-US" w:eastAsia="zh-CN"/>
              </w:rPr>
              <w:t>5</w:t>
            </w:r>
            <w:r>
              <w:rPr>
                <w:rFonts w:hint="eastAsia" w:ascii="仿宋" w:hAnsi="仿宋" w:eastAsia="仿宋" w:cs="仿宋"/>
                <w:b w:val="0"/>
                <w:bCs w:val="0"/>
                <w:color w:val="auto"/>
                <w:sz w:val="28"/>
                <w:szCs w:val="28"/>
              </w:rPr>
              <w:t>N.m/kg；</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eastAsia="仿宋"/>
                <w:b w:val="0"/>
                <w:bCs w:val="0"/>
                <w:color w:val="auto"/>
                <w:lang w:val="en-US" w:eastAsia="zh-CN"/>
              </w:rPr>
            </w:pPr>
            <w:r>
              <w:rPr>
                <w:rFonts w:hint="eastAsia" w:ascii="仿宋" w:hAnsi="仿宋" w:eastAsia="仿宋" w:cs="仿宋"/>
                <w:b w:val="0"/>
                <w:bCs w:val="0"/>
                <w:color w:val="auto"/>
                <w:sz w:val="28"/>
                <w:szCs w:val="28"/>
                <w:lang w:val="en-US" w:eastAsia="zh-CN"/>
              </w:rPr>
              <w:t>7.</w:t>
            </w:r>
            <w:r>
              <w:rPr>
                <w:rFonts w:hint="eastAsia" w:ascii="仿宋" w:hAnsi="仿宋" w:eastAsia="仿宋" w:cs="仿宋"/>
                <w:b w:val="0"/>
                <w:bCs w:val="0"/>
                <w:color w:val="auto"/>
                <w:sz w:val="28"/>
                <w:szCs w:val="28"/>
              </w:rPr>
              <w:t>最高效率超过96%，超过90%的高效区面积占比超过90%。</w:t>
            </w:r>
            <w:r>
              <w:rPr>
                <w:rFonts w:hint="eastAsia" w:ascii="仿宋" w:hAnsi="仿宋" w:eastAsia="仿宋" w:cs="仿宋"/>
                <w:b w:val="0"/>
                <w:bCs w:val="0"/>
                <w:color w:val="auto"/>
                <w:sz w:val="28"/>
                <w:szCs w:val="28"/>
                <w:lang w:eastAsia="zh-CN"/>
              </w:rPr>
              <w:t>轮边电机出线端三相高压线增加胶套防护</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val="0"/>
                <w:bCs w:val="0"/>
                <w:color w:val="auto"/>
                <w:sz w:val="28"/>
                <w:szCs w:val="28"/>
                <w:lang w:val="en-US" w:eastAsia="zh-CN"/>
              </w:rPr>
              <w:t>8.</w:t>
            </w:r>
            <w:r>
              <w:rPr>
                <w:rFonts w:hint="eastAsia" w:ascii="仿宋" w:hAnsi="仿宋" w:eastAsia="仿宋" w:cs="仿宋"/>
                <w:b w:val="0"/>
                <w:bCs w:val="0"/>
                <w:color w:val="auto"/>
                <w:sz w:val="28"/>
                <w:szCs w:val="28"/>
                <w:lang w:eastAsia="zh-CN"/>
              </w:rPr>
              <w:t>轮边驱动系统</w:t>
            </w:r>
            <w:r>
              <w:rPr>
                <w:rFonts w:hint="eastAsia" w:ascii="仿宋" w:hAnsi="仿宋" w:eastAsia="仿宋" w:cs="仿宋"/>
                <w:b w:val="0"/>
                <w:bCs w:val="0"/>
                <w:color w:val="auto"/>
                <w:sz w:val="28"/>
                <w:szCs w:val="28"/>
                <w:lang w:val="en-US" w:eastAsia="zh-CN"/>
              </w:rPr>
              <w:t>免费质保8年（含工时及易损、易耗件），</w:t>
            </w:r>
            <w:r>
              <w:rPr>
                <w:rFonts w:hint="eastAsia" w:ascii="仿宋" w:hAnsi="仿宋" w:eastAsia="仿宋" w:cs="仿宋"/>
                <w:b w:val="0"/>
                <w:bCs w:val="0"/>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b/>
                <w:bCs w:val="0"/>
                <w:color w:val="auto"/>
                <w:sz w:val="28"/>
                <w:szCs w:val="28"/>
                <w:highlight w:val="none"/>
                <w:u w:val="none"/>
                <w:lang w:val="en-US" w:eastAsia="zh-CN"/>
              </w:rPr>
              <w:t>2.小三电系统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冷却系统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1.配纯电动专用ATS智能冷却系统，采用进口无刷电机、风扇，</w:t>
            </w:r>
            <w:r>
              <w:rPr>
                <w:rFonts w:hint="eastAsia" w:ascii="仿宋" w:hAnsi="仿宋" w:eastAsia="仿宋" w:cs="仿宋"/>
                <w:sz w:val="28"/>
                <w:szCs w:val="28"/>
                <w:highlight w:val="none"/>
                <w:lang w:val="en-US" w:eastAsia="zh-CN"/>
              </w:rPr>
              <w:t>CAN总线读取ECU等相关车辆信息</w:t>
            </w:r>
            <w:r>
              <w:rPr>
                <w:rFonts w:hint="eastAsia" w:ascii="仿宋" w:hAnsi="仿宋" w:eastAsia="仿宋" w:cs="仿宋"/>
                <w:sz w:val="28"/>
                <w:szCs w:val="28"/>
                <w:lang w:val="en-US" w:eastAsia="zh-CN"/>
              </w:rPr>
              <w:t>，带系统应急启动插头，铜质或铝制散热器。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sz w:val="28"/>
                <w:szCs w:val="28"/>
                <w:lang w:val="en-US" w:eastAsia="zh-CN"/>
              </w:rPr>
              <w:t>2.免费质保8年（含工时及易损、易耗件），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sz w:val="28"/>
                <w:szCs w:val="28"/>
              </w:rPr>
              <w:t>电子水泵</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default" w:ascii="仿宋" w:hAnsi="仿宋" w:eastAsia="仿宋" w:cs="仿宋"/>
                <w:b/>
                <w:bCs/>
                <w:color w:val="FF0000"/>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b w:val="0"/>
                <w:bCs w:val="0"/>
                <w:color w:val="auto"/>
                <w:sz w:val="28"/>
                <w:szCs w:val="28"/>
                <w:lang w:val="en-US" w:eastAsia="zh-CN"/>
              </w:rPr>
              <w:t>采用变频电子水泵。</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lang w:val="en-US" w:eastAsia="zh-CN" w:bidi="ar-SA"/>
              </w:rPr>
            </w:pPr>
            <w:r>
              <w:rPr>
                <w:rFonts w:hint="eastAsia" w:ascii="仿宋" w:hAnsi="仿宋" w:eastAsia="仿宋" w:cs="仿宋"/>
                <w:sz w:val="28"/>
                <w:szCs w:val="28"/>
                <w:lang w:val="en-US" w:eastAsia="zh-CN"/>
              </w:rPr>
              <w:t>2.免费质保8年（含工时及易损、易耗件），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bCs/>
                <w:color w:val="auto"/>
                <w:sz w:val="28"/>
                <w:szCs w:val="28"/>
                <w:lang w:val="en-US" w:eastAsia="zh-CN"/>
              </w:rPr>
              <w:t>电动空气压缩机</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1.无油活塞式空压机、轻量、环保静音。</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2.额定功率</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3</w:t>
            </w:r>
            <w:r>
              <w:rPr>
                <w:rFonts w:hint="eastAsia" w:ascii="仿宋" w:hAnsi="仿宋" w:eastAsia="仿宋" w:cs="仿宋"/>
                <w:sz w:val="28"/>
                <w:szCs w:val="28"/>
                <w:lang w:val="en-US" w:eastAsia="zh-CN"/>
              </w:rPr>
              <w:t>千瓦。</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3.IP67防护等级认证， EMC电磁干扰认证。</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4.免费质保8年（含保养及维修工时、易损、易耗件、空气滤芯），投标人须中标后10天内与配套产品厂家共同提交质保承诺书。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2261" w:type="dxa"/>
            <w:noWrap w:val="0"/>
            <w:vAlign w:val="center"/>
          </w:tcPr>
          <w:p>
            <w:pPr>
              <w:jc w:val="center"/>
              <w:rPr>
                <w:rFonts w:hint="eastAsia" w:ascii="仿宋" w:hAnsi="仿宋" w:eastAsia="仿宋" w:cs="仿宋"/>
                <w:bCs/>
                <w:kern w:val="2"/>
                <w:sz w:val="28"/>
                <w:szCs w:val="28"/>
                <w:lang w:val="en-US" w:eastAsia="zh-CN" w:bidi="ar-SA"/>
              </w:rPr>
            </w:pPr>
            <w:r>
              <w:rPr>
                <w:rFonts w:hint="eastAsia" w:ascii="仿宋" w:hAnsi="仿宋" w:eastAsia="仿宋" w:cs="仿宋"/>
                <w:bCs/>
                <w:kern w:val="2"/>
                <w:sz w:val="28"/>
                <w:szCs w:val="28"/>
                <w:lang w:val="en-US" w:eastAsia="zh-CN" w:bidi="ar-SA"/>
              </w:rPr>
              <w:t>应急保障</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1.确保动力电池发生突发故障时，铅酸蓄电池能够应急供电不小于30秒，具备CAN诊断故障功能（包括电动转向电机、液压油泵、控制器）。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2.车辆操作时杜绝系统发生与操作不符导致车辆失控情况，突发高压掉断电时仍可确保转向操作轻便，同时提供紧急报警及应急操作提示，不得出现突发断电致使方向失控或锁死现象。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bCs w:val="0"/>
                <w:color w:val="auto"/>
                <w:sz w:val="28"/>
                <w:szCs w:val="28"/>
                <w:highlight w:val="none"/>
                <w:u w:val="none"/>
                <w:lang w:val="en-US" w:eastAsia="zh-CN"/>
              </w:rPr>
            </w:pPr>
            <w:r>
              <w:rPr>
                <w:rFonts w:hint="eastAsia" w:ascii="仿宋" w:hAnsi="仿宋" w:eastAsia="仿宋" w:cs="仿宋"/>
                <w:b/>
                <w:bCs w:val="0"/>
                <w:color w:val="auto"/>
                <w:sz w:val="28"/>
                <w:szCs w:val="28"/>
                <w:highlight w:val="none"/>
                <w:u w:val="none"/>
                <w:lang w:val="en-US" w:eastAsia="zh-CN"/>
              </w:rPr>
              <w:t>3.底盘系统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b/>
                <w:bCs/>
                <w:color w:val="auto"/>
                <w:sz w:val="28"/>
                <w:szCs w:val="28"/>
                <w:highlight w:val="none"/>
                <w:u w:val="none"/>
                <w:shd w:val="clear" w:color="auto" w:fill="auto"/>
              </w:rPr>
            </w:pPr>
            <w:r>
              <w:rPr>
                <w:rFonts w:hint="eastAsia" w:ascii="仿宋" w:hAnsi="仿宋" w:eastAsia="仿宋" w:cs="仿宋"/>
                <w:bCs/>
                <w:color w:val="auto"/>
                <w:sz w:val="28"/>
                <w:szCs w:val="28"/>
                <w:lang w:eastAsia="zh-CN"/>
              </w:rPr>
              <w:t>转向系统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采用</w:t>
            </w:r>
            <w:r>
              <w:rPr>
                <w:rFonts w:hint="eastAsia" w:ascii="仿宋" w:hAnsi="仿宋" w:eastAsia="仿宋" w:cs="仿宋"/>
                <w:color w:val="auto"/>
                <w:sz w:val="28"/>
                <w:szCs w:val="28"/>
                <w:highlight w:val="none"/>
                <w:u w:val="none"/>
                <w:shd w:val="clear" w:color="auto" w:fill="auto"/>
                <w:lang w:eastAsia="zh-CN"/>
              </w:rPr>
              <w:t>双源</w:t>
            </w:r>
            <w:r>
              <w:rPr>
                <w:rFonts w:hint="eastAsia" w:ascii="仿宋" w:hAnsi="仿宋" w:eastAsia="仿宋" w:cs="仿宋"/>
                <w:color w:val="auto"/>
                <w:sz w:val="28"/>
                <w:szCs w:val="28"/>
                <w:highlight w:val="none"/>
                <w:u w:val="none"/>
                <w:shd w:val="clear" w:color="auto" w:fill="auto"/>
              </w:rPr>
              <w:t>电动液压助力转向系统</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kern w:val="2"/>
                <w:sz w:val="28"/>
                <w:szCs w:val="28"/>
                <w:highlight w:val="none"/>
                <w:u w:val="none"/>
                <w:shd w:val="clear" w:color="auto" w:fill="auto"/>
                <w:lang w:val="en-US" w:eastAsia="zh-CN" w:bidi="ar-SA"/>
              </w:rPr>
            </w:pPr>
            <w:r>
              <w:rPr>
                <w:rFonts w:hint="eastAsia" w:ascii="仿宋" w:hAnsi="仿宋" w:eastAsia="仿宋" w:cs="仿宋"/>
                <w:snapToGrid w:val="0"/>
                <w:kern w:val="0"/>
                <w:sz w:val="28"/>
                <w:szCs w:val="28"/>
                <w:lang w:val="en-US" w:eastAsia="zh-CN"/>
              </w:rPr>
              <w:t>2.</w:t>
            </w:r>
            <w:r>
              <w:rPr>
                <w:rFonts w:hint="eastAsia" w:ascii="仿宋" w:hAnsi="仿宋" w:eastAsia="仿宋" w:cs="仿宋"/>
                <w:color w:val="auto"/>
                <w:sz w:val="28"/>
                <w:szCs w:val="28"/>
                <w:highlight w:val="none"/>
                <w:u w:val="none"/>
                <w:shd w:val="clear" w:color="auto" w:fill="auto"/>
                <w:lang w:eastAsia="zh-CN"/>
              </w:rPr>
              <w:t>双源</w:t>
            </w:r>
            <w:r>
              <w:rPr>
                <w:rFonts w:hint="eastAsia" w:ascii="仿宋" w:hAnsi="仿宋" w:eastAsia="仿宋" w:cs="仿宋"/>
                <w:color w:val="auto"/>
                <w:sz w:val="28"/>
                <w:szCs w:val="28"/>
                <w:highlight w:val="none"/>
                <w:u w:val="none"/>
                <w:shd w:val="clear" w:color="auto" w:fill="auto"/>
              </w:rPr>
              <w:t>电动液压</w:t>
            </w:r>
            <w:r>
              <w:rPr>
                <w:rFonts w:hint="eastAsia" w:ascii="仿宋" w:hAnsi="仿宋" w:eastAsia="仿宋" w:cs="仿宋"/>
                <w:color w:val="auto"/>
                <w:sz w:val="28"/>
                <w:szCs w:val="28"/>
                <w:highlight w:val="none"/>
                <w:u w:val="none"/>
                <w:shd w:val="clear" w:color="auto" w:fill="auto"/>
                <w:lang w:eastAsia="zh-CN"/>
              </w:rPr>
              <w:t>转向</w:t>
            </w:r>
            <w:r>
              <w:rPr>
                <w:rFonts w:hint="eastAsia" w:ascii="仿宋" w:hAnsi="仿宋" w:eastAsia="仿宋" w:cs="仿宋"/>
                <w:color w:val="auto"/>
                <w:sz w:val="28"/>
                <w:szCs w:val="28"/>
                <w:highlight w:val="none"/>
                <w:u w:val="none"/>
                <w:shd w:val="clear" w:color="auto" w:fill="auto"/>
              </w:rPr>
              <w:t>助力</w:t>
            </w:r>
            <w:r>
              <w:rPr>
                <w:rFonts w:hint="eastAsia" w:ascii="仿宋" w:hAnsi="仿宋" w:eastAsia="仿宋" w:cs="仿宋"/>
                <w:color w:val="auto"/>
                <w:sz w:val="28"/>
                <w:szCs w:val="28"/>
                <w:highlight w:val="none"/>
                <w:u w:val="none"/>
                <w:shd w:val="clear" w:color="auto" w:fill="auto"/>
                <w:lang w:eastAsia="zh-CN"/>
              </w:rPr>
              <w:t>泵</w:t>
            </w:r>
            <w:r>
              <w:rPr>
                <w:rFonts w:hint="eastAsia" w:ascii="仿宋" w:hAnsi="仿宋" w:eastAsia="仿宋" w:cs="仿宋"/>
                <w:snapToGrid w:val="0"/>
                <w:kern w:val="0"/>
                <w:sz w:val="28"/>
                <w:szCs w:val="28"/>
              </w:rPr>
              <w:t>质保</w:t>
            </w:r>
            <w:r>
              <w:rPr>
                <w:rFonts w:hint="eastAsia" w:ascii="仿宋" w:hAnsi="仿宋" w:eastAsia="仿宋" w:cs="仿宋"/>
                <w:snapToGrid w:val="0"/>
                <w:kern w:val="0"/>
                <w:sz w:val="28"/>
                <w:szCs w:val="28"/>
                <w:lang w:val="en-US" w:eastAsia="zh-CN"/>
              </w:rPr>
              <w:t>8</w:t>
            </w:r>
            <w:r>
              <w:rPr>
                <w:rFonts w:hint="eastAsia" w:ascii="仿宋" w:hAnsi="仿宋" w:eastAsia="仿宋" w:cs="仿宋"/>
                <w:snapToGrid w:val="0"/>
                <w:kern w:val="0"/>
                <w:sz w:val="28"/>
                <w:szCs w:val="28"/>
              </w:rPr>
              <w:t>年</w:t>
            </w:r>
            <w:r>
              <w:rPr>
                <w:rFonts w:hint="eastAsia" w:ascii="仿宋" w:hAnsi="仿宋" w:eastAsia="仿宋" w:cs="仿宋"/>
                <w:snapToGrid w:val="0"/>
                <w:kern w:val="0"/>
                <w:sz w:val="28"/>
                <w:szCs w:val="28"/>
                <w:lang w:eastAsia="zh-CN"/>
              </w:rPr>
              <w:t>（含工时及易损、易耗件），</w:t>
            </w:r>
            <w:r>
              <w:rPr>
                <w:rFonts w:hint="eastAsia" w:ascii="仿宋" w:hAnsi="仿宋" w:eastAsia="仿宋" w:cs="仿宋"/>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adjustRightInd w:val="0"/>
              <w:snapToGrid w:val="0"/>
              <w:jc w:val="center"/>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车桥</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highlight w:val="none"/>
                <w:u w:val="none"/>
                <w:shd w:val="clear" w:color="auto" w:fill="auto"/>
              </w:rPr>
            </w:pPr>
            <w:r>
              <w:rPr>
                <w:rFonts w:hint="eastAsia" w:ascii="仿宋" w:hAnsi="仿宋" w:eastAsia="仿宋" w:cs="仿宋"/>
                <w:b w:val="0"/>
                <w:bCs w:val="0"/>
                <w:color w:val="auto"/>
                <w:sz w:val="28"/>
                <w:szCs w:val="28"/>
                <w:highlight w:val="none"/>
                <w:u w:val="none"/>
                <w:shd w:val="clear" w:color="auto" w:fill="auto"/>
                <w:lang w:val="en-US" w:eastAsia="zh-CN"/>
              </w:rPr>
              <w:t>1.</w:t>
            </w:r>
            <w:r>
              <w:rPr>
                <w:rFonts w:hint="eastAsia" w:ascii="仿宋" w:hAnsi="仿宋" w:eastAsia="仿宋" w:cs="仿宋"/>
                <w:b w:val="0"/>
                <w:bCs w:val="0"/>
                <w:color w:val="auto"/>
                <w:sz w:val="28"/>
                <w:szCs w:val="28"/>
                <w:highlight w:val="none"/>
                <w:u w:val="none"/>
                <w:shd w:val="clear" w:color="auto" w:fill="auto"/>
              </w:rPr>
              <w:t>前</w:t>
            </w:r>
            <w:r>
              <w:rPr>
                <w:rFonts w:hint="eastAsia" w:ascii="仿宋" w:hAnsi="仿宋" w:eastAsia="仿宋" w:cs="仿宋"/>
                <w:b w:val="0"/>
                <w:bCs w:val="0"/>
                <w:color w:val="auto"/>
                <w:sz w:val="28"/>
                <w:szCs w:val="28"/>
                <w:highlight w:val="none"/>
                <w:u w:val="none"/>
                <w:shd w:val="clear" w:color="auto" w:fill="auto"/>
                <w:lang w:eastAsia="zh-CN"/>
              </w:rPr>
              <w:t>轴</w:t>
            </w:r>
            <w:r>
              <w:rPr>
                <w:rFonts w:hint="eastAsia" w:ascii="仿宋" w:hAnsi="仿宋" w:eastAsia="仿宋" w:cs="仿宋"/>
                <w:b w:val="0"/>
                <w:bCs w:val="0"/>
                <w:color w:val="auto"/>
                <w:sz w:val="28"/>
                <w:szCs w:val="28"/>
                <w:highlight w:val="none"/>
                <w:u w:val="none"/>
                <w:shd w:val="clear" w:color="auto" w:fill="auto"/>
              </w:rPr>
              <w:t>额定载荷≥</w:t>
            </w:r>
            <w:r>
              <w:rPr>
                <w:rFonts w:hint="eastAsia" w:ascii="仿宋" w:hAnsi="仿宋" w:eastAsia="仿宋" w:cs="仿宋"/>
                <w:b w:val="0"/>
                <w:bCs w:val="0"/>
                <w:color w:val="auto"/>
                <w:sz w:val="28"/>
                <w:szCs w:val="28"/>
                <w:highlight w:val="none"/>
                <w:u w:val="none"/>
                <w:shd w:val="clear" w:color="auto" w:fill="auto"/>
                <w:lang w:val="en-US" w:eastAsia="zh-CN"/>
              </w:rPr>
              <w:t>5.5T</w:t>
            </w:r>
            <w:r>
              <w:rPr>
                <w:rFonts w:hint="eastAsia" w:ascii="仿宋" w:hAnsi="仿宋" w:eastAsia="仿宋" w:cs="仿宋"/>
                <w:b w:val="0"/>
                <w:bCs w:val="0"/>
                <w:color w:val="auto"/>
                <w:sz w:val="28"/>
                <w:szCs w:val="28"/>
                <w:highlight w:val="none"/>
                <w:u w:val="none"/>
                <w:shd w:val="clear" w:color="auto" w:fill="auto"/>
              </w:rPr>
              <w:t>；盘式制动器；免维护专用车桥，车桥必须与免维护轮毂总成相匹配，便于制动盘、制动蹄铁总成的拆卸和安装。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highlight w:val="none"/>
                <w:u w:val="none"/>
                <w:shd w:val="clear" w:color="auto" w:fill="auto"/>
              </w:rPr>
            </w:pPr>
            <w:r>
              <w:rPr>
                <w:rFonts w:hint="eastAsia" w:ascii="仿宋" w:hAnsi="仿宋" w:eastAsia="仿宋" w:cs="仿宋"/>
                <w:b w:val="0"/>
                <w:bCs w:val="0"/>
                <w:color w:val="auto"/>
                <w:sz w:val="28"/>
                <w:szCs w:val="28"/>
                <w:highlight w:val="none"/>
                <w:u w:val="none"/>
                <w:shd w:val="clear" w:color="auto" w:fill="auto"/>
                <w:lang w:val="en-US" w:eastAsia="zh-CN"/>
              </w:rPr>
              <w:t>2.</w:t>
            </w:r>
            <w:r>
              <w:rPr>
                <w:rFonts w:hint="eastAsia" w:ascii="仿宋" w:hAnsi="仿宋" w:eastAsia="仿宋" w:cs="仿宋"/>
                <w:b w:val="0"/>
                <w:bCs w:val="0"/>
                <w:color w:val="auto"/>
                <w:sz w:val="28"/>
                <w:szCs w:val="28"/>
                <w:highlight w:val="none"/>
                <w:u w:val="none"/>
                <w:shd w:val="clear" w:color="auto" w:fill="auto"/>
              </w:rPr>
              <w:t>前轴、转向臂、转向节、直臂、免维护轮毂总成免费质保8年并附承诺书原件，主销、拉杆、接头免费质保5年并附承诺书原件。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kern w:val="2"/>
                <w:sz w:val="28"/>
                <w:szCs w:val="28"/>
                <w:highlight w:val="none"/>
                <w:u w:val="none"/>
                <w:shd w:val="clear" w:color="auto" w:fill="auto"/>
                <w:lang w:val="en-US" w:eastAsia="zh-CN" w:bidi="ar-SA"/>
              </w:rPr>
            </w:pPr>
            <w:r>
              <w:rPr>
                <w:rFonts w:hint="eastAsia" w:ascii="仿宋" w:hAnsi="仿宋" w:eastAsia="仿宋" w:cs="仿宋"/>
                <w:b w:val="0"/>
                <w:bCs w:val="0"/>
                <w:color w:val="auto"/>
                <w:sz w:val="28"/>
                <w:szCs w:val="28"/>
                <w:highlight w:val="none"/>
                <w:u w:val="none"/>
                <w:shd w:val="clear" w:color="auto" w:fill="auto"/>
                <w:lang w:val="en-US" w:eastAsia="zh-CN"/>
              </w:rPr>
              <w:t>3.后桥采用气囊轮边独立悬架电驱动系统，免维护轮毂，核载6.7T级以上；盘式制动器，免维</w:t>
            </w:r>
            <w:r>
              <w:rPr>
                <w:rFonts w:hint="eastAsia" w:ascii="仿宋" w:hAnsi="仿宋" w:eastAsia="仿宋" w:cs="仿宋"/>
                <w:b w:val="0"/>
                <w:bCs w:val="0"/>
                <w:color w:val="auto"/>
                <w:kern w:val="2"/>
                <w:sz w:val="28"/>
                <w:szCs w:val="28"/>
                <w:highlight w:val="none"/>
                <w:u w:val="none"/>
                <w:shd w:val="clear" w:color="auto" w:fill="auto"/>
                <w:lang w:val="en-US" w:eastAsia="zh-CN" w:bidi="ar-SA"/>
              </w:rPr>
              <w:t>护专用车桥，车桥必须与免维护轮毂总成相匹配，便于制动盘、制动蹄铁总成的拆卸和安装。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kern w:val="2"/>
                <w:sz w:val="28"/>
                <w:szCs w:val="28"/>
                <w:highlight w:val="none"/>
                <w:u w:val="none"/>
                <w:shd w:val="clear" w:color="auto" w:fill="auto"/>
                <w:lang w:val="en-US" w:eastAsia="zh-CN" w:bidi="ar-SA"/>
              </w:rPr>
            </w:pPr>
            <w:r>
              <w:rPr>
                <w:rFonts w:hint="eastAsia" w:ascii="仿宋" w:hAnsi="仿宋" w:eastAsia="仿宋" w:cs="仿宋"/>
                <w:b w:val="0"/>
                <w:bCs w:val="0"/>
                <w:color w:val="auto"/>
                <w:kern w:val="2"/>
                <w:sz w:val="28"/>
                <w:szCs w:val="28"/>
                <w:highlight w:val="none"/>
                <w:u w:val="none"/>
                <w:shd w:val="clear" w:color="auto" w:fill="auto"/>
                <w:lang w:val="en-US" w:eastAsia="zh-CN" w:bidi="ar-SA"/>
              </w:rPr>
              <w:t>4.前盘后盘制动器；进口ABS或EBS。</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highlight w:val="none"/>
                <w:lang w:val="en-US" w:eastAsia="zh-CN"/>
              </w:rPr>
            </w:pPr>
            <w:r>
              <w:rPr>
                <w:rFonts w:hint="eastAsia" w:ascii="仿宋" w:hAnsi="仿宋" w:eastAsia="仿宋" w:cs="仿宋"/>
                <w:b w:val="0"/>
                <w:bCs w:val="0"/>
                <w:color w:val="auto"/>
                <w:kern w:val="2"/>
                <w:sz w:val="28"/>
                <w:szCs w:val="28"/>
                <w:highlight w:val="none"/>
                <w:u w:val="none"/>
                <w:shd w:val="clear" w:color="auto" w:fill="auto"/>
                <w:lang w:val="en-US" w:eastAsia="zh-CN" w:bidi="ar-SA"/>
              </w:rPr>
              <w:t>5.半轴、桥壳、免维护轮毂总成免费质保8年（含易损件），</w:t>
            </w:r>
            <w:r>
              <w:rPr>
                <w:rFonts w:hint="eastAsia" w:ascii="仿宋" w:hAnsi="仿宋" w:eastAsia="仿宋" w:cs="仿宋"/>
                <w:b w:val="0"/>
                <w:bCs w:val="0"/>
                <w:color w:val="auto"/>
                <w:sz w:val="28"/>
                <w:szCs w:val="28"/>
                <w:highlight w:val="none"/>
                <w:u w:val="none"/>
                <w:shd w:val="clear" w:color="auto" w:fill="auto"/>
                <w:lang w:val="en-US" w:eastAsia="zh-CN"/>
              </w:rPr>
              <w:t>投标人须中标后10天内与配套产品厂家共同提交质保承诺书。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制动系统</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1.采用双</w:t>
            </w:r>
            <w:r>
              <w:rPr>
                <w:rFonts w:hint="eastAsia" w:ascii="仿宋" w:hAnsi="仿宋" w:eastAsia="仿宋" w:cs="仿宋"/>
                <w:b w:val="0"/>
                <w:bCs w:val="0"/>
                <w:color w:val="auto"/>
                <w:sz w:val="28"/>
                <w:szCs w:val="28"/>
                <w:highlight w:val="none"/>
                <w:u w:val="none"/>
                <w:lang w:val="en-US" w:eastAsia="zh-CN"/>
              </w:rPr>
              <w:t>回</w:t>
            </w:r>
            <w:r>
              <w:rPr>
                <w:rFonts w:hint="eastAsia" w:ascii="仿宋" w:hAnsi="仿宋" w:eastAsia="仿宋" w:cs="仿宋"/>
                <w:color w:val="auto"/>
                <w:sz w:val="28"/>
                <w:szCs w:val="28"/>
                <w:highlight w:val="none"/>
                <w:u w:val="none"/>
                <w:lang w:val="en-US" w:eastAsia="zh-CN"/>
              </w:rPr>
              <w:t>路气制动，应有干燥冷却功能，并能自动排气净化油水；制动总阀的制动灯应安装继电器保护开关；要求总泵安装位置拆卸方便。</w:t>
            </w:r>
          </w:p>
          <w:p>
            <w:pPr>
              <w:numPr>
                <w:ilvl w:val="0"/>
                <w:numId w:val="0"/>
              </w:numPr>
              <w:adjustRightInd w:val="0"/>
              <w:snapToGrid w:val="0"/>
              <w:spacing w:line="320" w:lineRule="exact"/>
              <w:jc w:val="left"/>
              <w:rPr>
                <w:rFonts w:hint="eastAsia" w:ascii="仿宋" w:hAnsi="仿宋" w:eastAsia="仿宋" w:cs="仿宋"/>
                <w:b w:val="0"/>
                <w:bCs w:val="0"/>
                <w:color w:val="auto"/>
                <w:sz w:val="28"/>
                <w:szCs w:val="28"/>
                <w:highlight w:val="none"/>
                <w:u w:val="none"/>
                <w:lang w:val="en-US" w:eastAsia="zh-CN"/>
              </w:rPr>
            </w:pPr>
            <w:r>
              <w:rPr>
                <w:rFonts w:hint="eastAsia" w:ascii="仿宋" w:hAnsi="仿宋" w:eastAsia="仿宋" w:cs="仿宋"/>
                <w:b w:val="0"/>
                <w:bCs w:val="0"/>
                <w:color w:val="auto"/>
                <w:sz w:val="28"/>
                <w:szCs w:val="28"/>
                <w:highlight w:val="none"/>
                <w:u w:val="none"/>
                <w:lang w:val="en-US" w:eastAsia="zh-CN"/>
              </w:rPr>
              <w:t>2.各类阀类采用国内优质品牌，制动管路采用优质钢管或尼龙管。</w:t>
            </w:r>
          </w:p>
          <w:p>
            <w:pPr>
              <w:numPr>
                <w:ilvl w:val="0"/>
                <w:numId w:val="0"/>
              </w:numPr>
              <w:adjustRightInd w:val="0"/>
              <w:snapToGrid w:val="0"/>
              <w:spacing w:line="320" w:lineRule="exact"/>
              <w:jc w:val="left"/>
              <w:rPr>
                <w:rFonts w:hint="eastAsia" w:ascii="仿宋" w:hAnsi="仿宋" w:eastAsia="仿宋" w:cs="仿宋"/>
                <w:b w:val="0"/>
                <w:bCs w:val="0"/>
                <w:color w:val="auto"/>
                <w:sz w:val="28"/>
                <w:szCs w:val="28"/>
                <w:highlight w:val="none"/>
                <w:u w:val="none"/>
                <w:lang w:val="en-US" w:eastAsia="zh-CN"/>
              </w:rPr>
            </w:pPr>
            <w:r>
              <w:rPr>
                <w:rFonts w:hint="eastAsia" w:ascii="仿宋" w:hAnsi="仿宋" w:eastAsia="仿宋" w:cs="仿宋"/>
                <w:b w:val="0"/>
                <w:bCs w:val="0"/>
                <w:color w:val="auto"/>
                <w:sz w:val="28"/>
                <w:szCs w:val="28"/>
                <w:highlight w:val="none"/>
                <w:u w:val="none"/>
                <w:lang w:val="en-US" w:eastAsia="zh-CN"/>
              </w:rPr>
              <w:t>3.带ABS或</w:t>
            </w:r>
            <w:r>
              <w:rPr>
                <w:rFonts w:hint="eastAsia" w:ascii="仿宋" w:hAnsi="仿宋" w:eastAsia="仿宋" w:cs="仿宋"/>
                <w:b w:val="0"/>
                <w:bCs w:val="0"/>
                <w:color w:val="auto"/>
                <w:sz w:val="28"/>
                <w:szCs w:val="28"/>
                <w:highlight w:val="none"/>
                <w:u w:val="none"/>
                <w:shd w:val="clear" w:color="auto" w:fill="auto"/>
                <w:lang w:val="en-US" w:eastAsia="zh-CN"/>
              </w:rPr>
              <w:t>EBS</w:t>
            </w:r>
            <w:r>
              <w:rPr>
                <w:rFonts w:hint="eastAsia" w:ascii="仿宋" w:hAnsi="仿宋" w:eastAsia="仿宋" w:cs="仿宋"/>
                <w:b w:val="0"/>
                <w:bCs w:val="0"/>
                <w:color w:val="auto"/>
                <w:sz w:val="28"/>
                <w:szCs w:val="28"/>
                <w:highlight w:val="none"/>
                <w:u w:val="none"/>
                <w:lang w:val="en-US" w:eastAsia="zh-CN"/>
              </w:rPr>
              <w:t>防抱死制动系统。</w:t>
            </w:r>
          </w:p>
          <w:p>
            <w:pPr>
              <w:numPr>
                <w:ilvl w:val="0"/>
                <w:numId w:val="0"/>
              </w:numPr>
              <w:adjustRightInd w:val="0"/>
              <w:snapToGrid w:val="0"/>
              <w:spacing w:line="320" w:lineRule="exact"/>
              <w:jc w:val="left"/>
              <w:rPr>
                <w:rFonts w:hint="eastAsia" w:ascii="仿宋" w:hAnsi="仿宋" w:eastAsia="仿宋" w:cs="仿宋"/>
                <w:b w:val="0"/>
                <w:bCs w:val="0"/>
                <w:color w:val="auto"/>
                <w:sz w:val="28"/>
                <w:szCs w:val="28"/>
                <w:highlight w:val="none"/>
                <w:u w:val="none"/>
                <w:lang w:val="en-US" w:eastAsia="zh-CN"/>
              </w:rPr>
            </w:pPr>
            <w:r>
              <w:rPr>
                <w:rFonts w:hint="eastAsia" w:ascii="仿宋" w:hAnsi="仿宋" w:eastAsia="仿宋" w:cs="仿宋"/>
                <w:b w:val="0"/>
                <w:bCs w:val="0"/>
                <w:color w:val="auto"/>
                <w:sz w:val="28"/>
                <w:szCs w:val="28"/>
                <w:highlight w:val="none"/>
                <w:u w:val="none"/>
                <w:lang w:val="en-US" w:eastAsia="zh-CN"/>
              </w:rPr>
              <w:t>4.制动器采用前后盘式制动。</w:t>
            </w:r>
          </w:p>
          <w:p>
            <w:pPr>
              <w:numPr>
                <w:ilvl w:val="0"/>
                <w:numId w:val="0"/>
              </w:numPr>
              <w:adjustRightInd w:val="0"/>
              <w:snapToGrid w:val="0"/>
              <w:spacing w:line="320" w:lineRule="exact"/>
              <w:jc w:val="left"/>
              <w:rPr>
                <w:rFonts w:hint="eastAsia" w:ascii="仿宋" w:hAnsi="仿宋" w:eastAsia="仿宋" w:cs="仿宋"/>
                <w:b w:val="0"/>
                <w:bCs w:val="0"/>
                <w:color w:val="auto"/>
                <w:sz w:val="28"/>
                <w:szCs w:val="28"/>
                <w:highlight w:val="none"/>
                <w:u w:val="none"/>
                <w:lang w:val="en-US" w:eastAsia="zh-CN"/>
              </w:rPr>
            </w:pPr>
            <w:r>
              <w:rPr>
                <w:rFonts w:hint="eastAsia" w:ascii="仿宋" w:hAnsi="仿宋" w:eastAsia="仿宋" w:cs="仿宋"/>
                <w:b w:val="0"/>
                <w:bCs w:val="0"/>
                <w:color w:val="auto"/>
                <w:sz w:val="28"/>
                <w:szCs w:val="28"/>
                <w:highlight w:val="none"/>
                <w:u w:val="none"/>
                <w:lang w:val="en-US" w:eastAsia="zh-CN"/>
              </w:rPr>
              <w:t>5.空气干燥罐、储气罐安装整车CAN总线控制的自动化的排水阀，安装CAN总线控制的大排量冷凝器（质保8年，含易损易耗件）。</w:t>
            </w:r>
          </w:p>
          <w:p>
            <w:pPr>
              <w:numPr>
                <w:ilvl w:val="0"/>
                <w:numId w:val="0"/>
              </w:numPr>
              <w:adjustRightInd w:val="0"/>
              <w:snapToGrid w:val="0"/>
              <w:spacing w:line="320" w:lineRule="exact"/>
              <w:jc w:val="left"/>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lang w:val="en-US" w:eastAsia="zh-CN"/>
              </w:rPr>
              <w:t>6.</w:t>
            </w:r>
            <w:r>
              <w:rPr>
                <w:rFonts w:hint="eastAsia" w:ascii="仿宋" w:hAnsi="仿宋" w:eastAsia="仿宋" w:cs="仿宋"/>
                <w:b w:val="0"/>
                <w:bCs w:val="0"/>
                <w:color w:val="auto"/>
                <w:sz w:val="28"/>
                <w:szCs w:val="28"/>
                <w:highlight w:val="none"/>
                <w:u w:val="none"/>
              </w:rPr>
              <w:t>集中润滑系统质保八年</w:t>
            </w:r>
            <w:r>
              <w:rPr>
                <w:rFonts w:hint="eastAsia" w:ascii="仿宋" w:hAnsi="仿宋" w:eastAsia="仿宋" w:cs="仿宋"/>
                <w:b w:val="0"/>
                <w:bCs w:val="0"/>
                <w:color w:val="auto"/>
                <w:sz w:val="28"/>
                <w:szCs w:val="28"/>
                <w:highlight w:val="none"/>
                <w:u w:val="none"/>
                <w:lang w:eastAsia="zh-CN"/>
              </w:rPr>
              <w:t>（含易损、易耗件）</w:t>
            </w:r>
            <w:r>
              <w:rPr>
                <w:rFonts w:hint="eastAsia" w:ascii="仿宋" w:hAnsi="仿宋" w:eastAsia="仿宋" w:cs="仿宋"/>
                <w:b w:val="0"/>
                <w:bCs w:val="0"/>
                <w:color w:val="auto"/>
                <w:sz w:val="28"/>
                <w:szCs w:val="28"/>
                <w:highlight w:val="none"/>
                <w:u w:val="none"/>
              </w:rPr>
              <w:t>，</w:t>
            </w:r>
            <w:r>
              <w:rPr>
                <w:rFonts w:hint="eastAsia" w:ascii="仿宋" w:hAnsi="仿宋" w:eastAsia="仿宋" w:cs="仿宋"/>
                <w:b w:val="0"/>
                <w:bCs w:val="0"/>
                <w:color w:val="auto"/>
                <w:sz w:val="28"/>
                <w:szCs w:val="28"/>
                <w:highlight w:val="none"/>
                <w:u w:val="none"/>
                <w:lang w:val="en-US" w:eastAsia="zh-CN"/>
              </w:rPr>
              <w:t>投标人须中标后10天内提交质保承诺书，质保期承诺须</w:t>
            </w:r>
            <w:r>
              <w:rPr>
                <w:rFonts w:hint="eastAsia" w:ascii="仿宋" w:hAnsi="仿宋" w:eastAsia="仿宋" w:cs="仿宋"/>
                <w:b w:val="0"/>
                <w:bCs w:val="0"/>
                <w:color w:val="auto"/>
                <w:sz w:val="28"/>
                <w:szCs w:val="28"/>
                <w:highlight w:val="none"/>
                <w:u w:val="none"/>
              </w:rPr>
              <w:t>由配套产品厂家和车辆制造厂家共同书面承诺。</w:t>
            </w:r>
          </w:p>
          <w:p>
            <w:pPr>
              <w:adjustRightInd w:val="0"/>
              <w:snapToGrid w:val="0"/>
              <w:spacing w:line="320" w:lineRule="exact"/>
              <w:jc w:val="left"/>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lang w:val="en-US" w:eastAsia="zh-CN"/>
              </w:rPr>
              <w:t>7</w:t>
            </w:r>
            <w:r>
              <w:rPr>
                <w:rFonts w:hint="eastAsia" w:ascii="仿宋" w:hAnsi="仿宋" w:eastAsia="仿宋" w:cs="仿宋"/>
                <w:b w:val="0"/>
                <w:bCs w:val="0"/>
                <w:color w:val="auto"/>
                <w:sz w:val="28"/>
                <w:szCs w:val="28"/>
                <w:highlight w:val="none"/>
                <w:u w:val="none"/>
              </w:rPr>
              <w:t>.采用弹簧储能制动，手控操纵。</w:t>
            </w:r>
          </w:p>
          <w:p>
            <w:pPr>
              <w:adjustRightInd w:val="0"/>
              <w:snapToGrid w:val="0"/>
              <w:spacing w:line="320" w:lineRule="exact"/>
              <w:jc w:val="left"/>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lang w:val="en-US" w:eastAsia="zh-CN"/>
              </w:rPr>
              <w:t>8</w:t>
            </w:r>
            <w:r>
              <w:rPr>
                <w:rFonts w:hint="eastAsia" w:ascii="仿宋" w:hAnsi="仿宋" w:eastAsia="仿宋" w:cs="仿宋"/>
                <w:b w:val="0"/>
                <w:bCs w:val="0"/>
                <w:color w:val="auto"/>
                <w:sz w:val="28"/>
                <w:szCs w:val="28"/>
                <w:highlight w:val="none"/>
                <w:u w:val="none"/>
              </w:rPr>
              <w:t>.车辆应有解除储能制动的外接气源快速接口，在车辆无气抛锚时，能方便接进气源，解除储能制动。</w:t>
            </w:r>
          </w:p>
          <w:p>
            <w:pPr>
              <w:adjustRightInd w:val="0"/>
              <w:snapToGrid w:val="0"/>
              <w:spacing w:line="320" w:lineRule="exact"/>
              <w:jc w:val="left"/>
              <w:rPr>
                <w:rFonts w:hint="eastAsia" w:ascii="仿宋" w:hAnsi="仿宋" w:eastAsia="仿宋" w:cs="仿宋"/>
                <w:b w:val="0"/>
                <w:bCs w:val="0"/>
                <w:color w:val="auto"/>
                <w:sz w:val="28"/>
                <w:szCs w:val="28"/>
                <w:highlight w:val="none"/>
                <w:u w:val="none"/>
              </w:rPr>
            </w:pPr>
            <w:r>
              <w:rPr>
                <w:rFonts w:hint="eastAsia" w:ascii="仿宋" w:hAnsi="仿宋" w:eastAsia="仿宋" w:cs="仿宋"/>
                <w:b w:val="0"/>
                <w:bCs w:val="0"/>
                <w:color w:val="auto"/>
                <w:sz w:val="28"/>
                <w:szCs w:val="28"/>
                <w:highlight w:val="none"/>
                <w:u w:val="none"/>
                <w:lang w:val="en-US" w:eastAsia="zh-CN"/>
              </w:rPr>
              <w:t>9</w:t>
            </w:r>
            <w:r>
              <w:rPr>
                <w:rFonts w:hint="eastAsia" w:ascii="仿宋" w:hAnsi="仿宋" w:eastAsia="仿宋" w:cs="仿宋"/>
                <w:b w:val="0"/>
                <w:bCs w:val="0"/>
                <w:color w:val="auto"/>
                <w:sz w:val="28"/>
                <w:szCs w:val="28"/>
                <w:highlight w:val="none"/>
                <w:u w:val="none"/>
              </w:rPr>
              <w:t>.管路系统应进行保压试验，达到国家标准要求。</w:t>
            </w:r>
          </w:p>
          <w:p>
            <w:pPr>
              <w:adjustRightInd w:val="0"/>
              <w:snapToGrid w:val="0"/>
              <w:spacing w:line="320" w:lineRule="exact"/>
              <w:jc w:val="left"/>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b w:val="0"/>
                <w:bCs w:val="0"/>
                <w:color w:val="auto"/>
                <w:sz w:val="28"/>
                <w:szCs w:val="28"/>
                <w:highlight w:val="none"/>
                <w:u w:val="none"/>
                <w:lang w:val="en-US" w:eastAsia="zh-CN"/>
              </w:rPr>
              <w:t>10</w:t>
            </w:r>
            <w:r>
              <w:rPr>
                <w:rFonts w:hint="eastAsia" w:ascii="仿宋" w:hAnsi="仿宋" w:eastAsia="仿宋" w:cs="仿宋"/>
                <w:b w:val="0"/>
                <w:bCs w:val="0"/>
                <w:color w:val="auto"/>
                <w:sz w:val="28"/>
                <w:szCs w:val="28"/>
                <w:highlight w:val="none"/>
                <w:u w:val="none"/>
              </w:rPr>
              <w:t>.制动系低压报警灯、蜂鸣器集成于仪表，具备声光报警。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2261"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最大总质量、装备质量、载客量</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投标车辆的最大总质量、整备质量、额定载客数等数据应与工业与信息化部发布的道路机动车辆生产企业及产品公告一致。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拖 车 钩</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rPr>
              <w:t>拖车钩应坚固，保证拖车转弯时不碰擦外蒙皮，拖车钩的位置应满足在拖车时保持车辆左右平衡，方便托举和拖动。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Cs/>
                <w:color w:val="auto"/>
                <w:sz w:val="28"/>
                <w:szCs w:val="28"/>
                <w:highlight w:val="none"/>
                <w:lang w:eastAsia="zh-CN"/>
              </w:rPr>
              <w:t>悬</w:t>
            </w:r>
            <w:r>
              <w:rPr>
                <w:rFonts w:hint="eastAsia" w:ascii="仿宋" w:hAnsi="仿宋" w:eastAsia="仿宋" w:cs="仿宋"/>
                <w:bCs/>
                <w:color w:val="auto"/>
                <w:sz w:val="28"/>
                <w:szCs w:val="28"/>
                <w:highlight w:val="none"/>
                <w:lang w:val="en-US" w:eastAsia="zh-CN"/>
              </w:rPr>
              <w:t xml:space="preserve"> </w:t>
            </w:r>
            <w:r>
              <w:rPr>
                <w:rFonts w:hint="eastAsia" w:ascii="仿宋" w:hAnsi="仿宋" w:eastAsia="仿宋" w:cs="仿宋"/>
                <w:bCs/>
                <w:color w:val="auto"/>
                <w:sz w:val="28"/>
                <w:szCs w:val="28"/>
                <w:highlight w:val="none"/>
                <w:lang w:eastAsia="zh-CN"/>
              </w:rPr>
              <w:t>架</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采用空气悬架；气囊、减震器、高度阀采用进口配件。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悬架系统质保</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w:t>
            </w:r>
            <w:r>
              <w:rPr>
                <w:rFonts w:hint="eastAsia" w:ascii="仿宋" w:hAnsi="仿宋" w:eastAsia="仿宋" w:cs="仿宋"/>
                <w:color w:val="auto"/>
                <w:sz w:val="28"/>
                <w:szCs w:val="28"/>
                <w:highlight w:val="none"/>
                <w:u w:val="none"/>
                <w:lang w:val="en-US" w:eastAsia="zh-CN"/>
              </w:rPr>
              <w:t>投标人须中标后10天内提交质保承诺书，质保期承诺须</w:t>
            </w:r>
            <w:r>
              <w:rPr>
                <w:rFonts w:hint="eastAsia" w:ascii="仿宋" w:hAnsi="仿宋" w:eastAsia="仿宋" w:cs="仿宋"/>
                <w:color w:val="auto"/>
                <w:sz w:val="28"/>
                <w:szCs w:val="28"/>
                <w:highlight w:val="none"/>
                <w:u w:val="none"/>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bCs/>
                <w:color w:val="auto"/>
                <w:sz w:val="28"/>
                <w:szCs w:val="28"/>
                <w:lang w:eastAsia="zh-CN"/>
              </w:rPr>
              <w:t>轮胎、车轮</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公交专用子午线</w:t>
            </w:r>
            <w:r>
              <w:rPr>
                <w:rFonts w:hint="eastAsia" w:ascii="仿宋" w:hAnsi="仿宋" w:eastAsia="仿宋" w:cs="仿宋"/>
                <w:color w:val="auto"/>
                <w:sz w:val="28"/>
                <w:szCs w:val="28"/>
                <w:highlight w:val="none"/>
                <w:u w:val="none"/>
                <w:shd w:val="clear" w:color="auto" w:fill="auto"/>
                <w:lang w:eastAsia="zh-CN"/>
              </w:rPr>
              <w:t>全钢</w:t>
            </w:r>
            <w:r>
              <w:rPr>
                <w:rFonts w:hint="eastAsia" w:ascii="仿宋" w:hAnsi="仿宋" w:eastAsia="仿宋" w:cs="仿宋"/>
                <w:color w:val="auto"/>
                <w:sz w:val="28"/>
                <w:szCs w:val="28"/>
                <w:highlight w:val="none"/>
                <w:u w:val="none"/>
                <w:shd w:val="clear" w:color="auto" w:fill="auto"/>
              </w:rPr>
              <w:t>真空胎</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铝合金轮辋（质保</w:t>
            </w:r>
            <w:r>
              <w:rPr>
                <w:rFonts w:hint="eastAsia" w:ascii="仿宋" w:hAnsi="仿宋" w:eastAsia="仿宋" w:cs="仿宋"/>
                <w:color w:val="auto"/>
                <w:sz w:val="28"/>
                <w:szCs w:val="28"/>
                <w:highlight w:val="none"/>
                <w:u w:val="none"/>
                <w:shd w:val="clear" w:color="auto" w:fill="auto"/>
                <w:lang w:val="en-US" w:eastAsia="zh-CN"/>
              </w:rPr>
              <w:t>8年</w:t>
            </w:r>
            <w:r>
              <w:rPr>
                <w:rFonts w:hint="eastAsia" w:ascii="仿宋" w:hAnsi="仿宋" w:eastAsia="仿宋" w:cs="仿宋"/>
                <w:color w:val="auto"/>
                <w:sz w:val="28"/>
                <w:szCs w:val="28"/>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highlight w:val="yellow"/>
                <w:lang w:val="en-US" w:eastAsia="zh-CN" w:bidi="ar-SA"/>
              </w:rPr>
            </w:pPr>
            <w:r>
              <w:rPr>
                <w:rFonts w:hint="eastAsia" w:ascii="仿宋" w:hAnsi="仿宋" w:eastAsia="仿宋" w:cs="仿宋"/>
                <w:sz w:val="28"/>
                <w:szCs w:val="28"/>
                <w:highlight w:val="none"/>
              </w:rPr>
              <w:t>主动安全系统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要求具备驱动防滑功能，通过调节驱动车轮的牵引力实现对驱动车轮滑转的控制，保持最佳的驱动力。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要求具备油门防误踩功能，通过判断油门踏板异常的速度和幅度，有效控制驱动力输出，提升行车安全性。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b/>
                <w:bCs w:val="0"/>
                <w:color w:val="auto"/>
                <w:sz w:val="28"/>
                <w:szCs w:val="28"/>
                <w:highlight w:val="none"/>
                <w:u w:val="none"/>
                <w:lang w:val="en-US" w:eastAsia="zh-CN"/>
              </w:rPr>
              <w:t>4.电气系统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电气线路设计安装要求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rPr>
              <w:t>整</w:t>
            </w:r>
            <w:r>
              <w:rPr>
                <w:rFonts w:hint="eastAsia" w:ascii="仿宋" w:hAnsi="仿宋" w:eastAsia="仿宋" w:cs="仿宋"/>
                <w:color w:val="auto"/>
                <w:sz w:val="28"/>
                <w:szCs w:val="28"/>
                <w:highlight w:val="none"/>
                <w:u w:val="none"/>
                <w:shd w:val="clear" w:color="auto" w:fill="auto"/>
                <w:lang w:eastAsia="zh-CN"/>
              </w:rPr>
              <w:t>车</w:t>
            </w:r>
            <w:r>
              <w:rPr>
                <w:rFonts w:hint="eastAsia" w:ascii="仿宋" w:hAnsi="仿宋" w:eastAsia="仿宋" w:cs="仿宋"/>
                <w:color w:val="auto"/>
                <w:sz w:val="28"/>
                <w:szCs w:val="28"/>
                <w:highlight w:val="none"/>
                <w:u w:val="none"/>
                <w:shd w:val="clear" w:color="auto" w:fill="auto"/>
              </w:rPr>
              <w:t>电路设计符合车辆安全技术要求，所有电路应设置独立保护装置，空调线束和接插件必须使用进口</w:t>
            </w:r>
            <w:r>
              <w:rPr>
                <w:rFonts w:hint="eastAsia" w:ascii="仿宋" w:hAnsi="仿宋" w:eastAsia="仿宋" w:cs="仿宋"/>
                <w:color w:val="auto"/>
                <w:sz w:val="28"/>
                <w:szCs w:val="28"/>
                <w:highlight w:val="none"/>
                <w:u w:val="none"/>
                <w:shd w:val="clear" w:color="auto" w:fill="auto"/>
                <w:lang w:eastAsia="zh-CN"/>
              </w:rPr>
              <w:t>优质</w:t>
            </w:r>
            <w:r>
              <w:rPr>
                <w:rFonts w:hint="eastAsia" w:ascii="仿宋" w:hAnsi="仿宋" w:eastAsia="仿宋" w:cs="仿宋"/>
                <w:color w:val="auto"/>
                <w:sz w:val="28"/>
                <w:szCs w:val="28"/>
                <w:highlight w:val="none"/>
                <w:u w:val="none"/>
                <w:shd w:val="clear" w:color="auto" w:fill="auto"/>
              </w:rPr>
              <w:t>线束及防水接插件，各连接线接头安装应确保防水阻燃性能达到国标A-O</w:t>
            </w:r>
            <w:r>
              <w:rPr>
                <w:rFonts w:hint="eastAsia" w:ascii="仿宋" w:hAnsi="仿宋" w:eastAsia="仿宋" w:cs="仿宋"/>
                <w:b w:val="0"/>
                <w:bCs w:val="0"/>
                <w:color w:val="auto"/>
                <w:sz w:val="28"/>
                <w:szCs w:val="28"/>
                <w:highlight w:val="none"/>
                <w:u w:val="none"/>
                <w:shd w:val="clear" w:color="auto" w:fill="auto"/>
              </w:rPr>
              <w:t>MM/Min</w:t>
            </w:r>
            <w:r>
              <w:rPr>
                <w:rFonts w:hint="eastAsia" w:ascii="仿宋" w:hAnsi="仿宋" w:eastAsia="仿宋" w:cs="仿宋"/>
                <w:b w:val="0"/>
                <w:bCs w:val="0"/>
                <w:color w:val="auto"/>
                <w:sz w:val="28"/>
                <w:szCs w:val="28"/>
                <w:highlight w:val="none"/>
                <w:u w:val="none"/>
                <w:shd w:val="clear" w:color="auto" w:fill="auto"/>
                <w:lang w:eastAsia="zh-CN"/>
              </w:rPr>
              <w:t>，具体要求如下：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b w:val="0"/>
                <w:bCs w:val="0"/>
                <w:color w:val="auto"/>
                <w:sz w:val="28"/>
                <w:szCs w:val="28"/>
                <w:highlight w:val="none"/>
                <w:u w:val="none"/>
                <w:shd w:val="clear" w:color="auto" w:fill="auto"/>
              </w:rPr>
            </w:pPr>
            <w:r>
              <w:rPr>
                <w:rFonts w:hint="eastAsia" w:ascii="仿宋" w:hAnsi="仿宋" w:eastAsia="仿宋" w:cs="仿宋"/>
                <w:b w:val="0"/>
                <w:bCs w:val="0"/>
                <w:color w:val="auto"/>
                <w:sz w:val="28"/>
                <w:szCs w:val="28"/>
                <w:highlight w:val="none"/>
                <w:u w:val="none"/>
                <w:shd w:val="clear" w:color="auto" w:fill="auto"/>
                <w:lang w:val="en-US" w:eastAsia="zh-CN"/>
              </w:rPr>
              <w:t>1.</w:t>
            </w:r>
            <w:r>
              <w:rPr>
                <w:rFonts w:hint="eastAsia" w:ascii="仿宋" w:hAnsi="仿宋" w:eastAsia="仿宋" w:cs="仿宋"/>
                <w:b w:val="0"/>
                <w:bCs w:val="0"/>
                <w:color w:val="auto"/>
                <w:sz w:val="28"/>
                <w:szCs w:val="28"/>
                <w:highlight w:val="none"/>
                <w:u w:val="none"/>
                <w:shd w:val="clear" w:color="auto" w:fill="auto"/>
              </w:rPr>
              <w:t>采用耐高温辐照阻燃电线</w:t>
            </w:r>
            <w:r>
              <w:rPr>
                <w:rFonts w:hint="eastAsia" w:ascii="仿宋" w:hAnsi="仿宋" w:eastAsia="仿宋" w:cs="仿宋"/>
                <w:b w:val="0"/>
                <w:bCs w:val="0"/>
                <w:color w:val="auto"/>
                <w:sz w:val="28"/>
                <w:szCs w:val="28"/>
                <w:highlight w:val="none"/>
                <w:u w:val="none"/>
                <w:shd w:val="clear" w:color="auto" w:fill="auto"/>
                <w:lang w:val="en-US" w:eastAsia="zh-CN"/>
              </w:rPr>
              <w:t>105</w:t>
            </w:r>
            <w:r>
              <w:rPr>
                <w:rFonts w:hint="eastAsia" w:ascii="仿宋" w:hAnsi="仿宋" w:eastAsia="仿宋" w:cs="仿宋"/>
                <w:b w:val="0"/>
                <w:bCs w:val="0"/>
                <w:color w:val="auto"/>
                <w:sz w:val="28"/>
                <w:szCs w:val="28"/>
                <w:highlight w:val="none"/>
                <w:u w:val="none"/>
                <w:shd w:val="clear" w:color="auto" w:fill="auto"/>
                <w:vertAlign w:val="superscript"/>
              </w:rPr>
              <w:t>O</w:t>
            </w:r>
            <w:r>
              <w:rPr>
                <w:rFonts w:hint="eastAsia" w:ascii="仿宋" w:hAnsi="仿宋" w:eastAsia="仿宋" w:cs="仿宋"/>
                <w:b w:val="0"/>
                <w:bCs w:val="0"/>
                <w:color w:val="auto"/>
                <w:sz w:val="28"/>
                <w:szCs w:val="28"/>
                <w:highlight w:val="none"/>
                <w:u w:val="none"/>
                <w:shd w:val="clear" w:color="auto" w:fill="auto"/>
              </w:rPr>
              <w:t>C</w:t>
            </w:r>
            <w:r>
              <w:rPr>
                <w:rFonts w:hint="eastAsia" w:ascii="仿宋" w:hAnsi="仿宋" w:eastAsia="仿宋" w:cs="仿宋"/>
                <w:b w:val="0"/>
                <w:bCs w:val="0"/>
                <w:color w:val="auto"/>
                <w:sz w:val="28"/>
                <w:szCs w:val="28"/>
                <w:highlight w:val="none"/>
                <w:u w:val="none"/>
                <w:shd w:val="clear" w:color="auto" w:fill="auto"/>
                <w:lang w:eastAsia="zh-CN"/>
              </w:rPr>
              <w:t>及以上</w:t>
            </w:r>
            <w:r>
              <w:rPr>
                <w:rFonts w:hint="eastAsia" w:ascii="仿宋" w:hAnsi="仿宋" w:eastAsia="仿宋" w:cs="仿宋"/>
                <w:b w:val="0"/>
                <w:bCs w:val="0"/>
                <w:color w:val="auto"/>
                <w:sz w:val="28"/>
                <w:szCs w:val="28"/>
                <w:highlight w:val="none"/>
                <w:u w:val="none"/>
                <w:shd w:val="clear" w:color="auto" w:fill="auto"/>
              </w:rPr>
              <w:t>。导线允许的最大电流，要在根据用电设备计算出的最大电流基础上留有</w:t>
            </w:r>
            <w:r>
              <w:rPr>
                <w:rFonts w:hint="eastAsia" w:ascii="仿宋" w:hAnsi="仿宋" w:eastAsia="仿宋" w:cs="仿宋"/>
                <w:b w:val="0"/>
                <w:bCs w:val="0"/>
                <w:color w:val="auto"/>
                <w:sz w:val="28"/>
                <w:szCs w:val="28"/>
                <w:highlight w:val="none"/>
                <w:u w:val="none"/>
                <w:shd w:val="clear" w:color="auto" w:fill="auto"/>
                <w:lang w:eastAsia="zh-CN"/>
              </w:rPr>
              <w:t>足够</w:t>
            </w:r>
            <w:r>
              <w:rPr>
                <w:rFonts w:hint="eastAsia" w:ascii="仿宋" w:hAnsi="仿宋" w:eastAsia="仿宋" w:cs="仿宋"/>
                <w:b w:val="0"/>
                <w:bCs w:val="0"/>
                <w:color w:val="auto"/>
                <w:sz w:val="28"/>
                <w:szCs w:val="28"/>
                <w:highlight w:val="none"/>
                <w:u w:val="none"/>
                <w:shd w:val="clear" w:color="auto" w:fill="auto"/>
              </w:rPr>
              <w:t>的安全系数。</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 xml:space="preserve">2. </w:t>
            </w:r>
            <w:r>
              <w:rPr>
                <w:rFonts w:hint="eastAsia" w:ascii="仿宋" w:hAnsi="仿宋" w:eastAsia="仿宋" w:cs="仿宋"/>
                <w:color w:val="auto"/>
                <w:sz w:val="28"/>
                <w:szCs w:val="28"/>
                <w:highlight w:val="none"/>
                <w:u w:val="none"/>
                <w:shd w:val="clear" w:color="auto" w:fill="auto"/>
              </w:rPr>
              <w:t>各用电器线路设有相应的保险保护系统电气线路走向合理。导线应分色，有线号。线束要捆扎牢靠并有绝缘防护套，打有套号。</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线束通过梁、板孔时，应有绝缘防护圈，与其它物体固定时要用尼龙扎带，不允许线束与油、气、水管捆扎在一起。</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采用优质防水型电器插接件，插接件连接可靠，要有防插错措施。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保险、开关、继电器、灯泡工作可靠，耐用，开关等表面件还应美观。</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6.</w:t>
            </w:r>
            <w:r>
              <w:rPr>
                <w:rFonts w:hint="eastAsia" w:ascii="仿宋" w:hAnsi="仿宋" w:eastAsia="仿宋" w:cs="仿宋"/>
                <w:color w:val="auto"/>
                <w:sz w:val="28"/>
                <w:szCs w:val="28"/>
                <w:highlight w:val="none"/>
                <w:u w:val="none"/>
                <w:shd w:val="clear" w:color="auto" w:fill="auto"/>
              </w:rPr>
              <w:t>中控器应防尘防水，安装在车厢内。</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7.</w:t>
            </w:r>
            <w:r>
              <w:rPr>
                <w:rFonts w:hint="eastAsia" w:ascii="仿宋" w:hAnsi="仿宋" w:eastAsia="仿宋" w:cs="仿宋"/>
                <w:color w:val="auto"/>
                <w:sz w:val="28"/>
                <w:szCs w:val="28"/>
                <w:highlight w:val="none"/>
                <w:u w:val="none"/>
                <w:shd w:val="clear" w:color="auto" w:fill="auto"/>
              </w:rPr>
              <w:t>靠近电瓶处安装便于驾驶员操作的总电源机械</w:t>
            </w:r>
            <w:r>
              <w:rPr>
                <w:rFonts w:hint="eastAsia" w:ascii="仿宋" w:hAnsi="仿宋" w:eastAsia="仿宋" w:cs="仿宋"/>
                <w:b w:val="0"/>
                <w:bCs w:val="0"/>
                <w:color w:val="auto"/>
                <w:sz w:val="28"/>
                <w:szCs w:val="28"/>
                <w:highlight w:val="none"/>
                <w:u w:val="none"/>
                <w:shd w:val="clear" w:color="auto" w:fill="auto"/>
                <w:lang w:eastAsia="zh-CN"/>
              </w:rPr>
              <w:t>开关</w:t>
            </w:r>
            <w:r>
              <w:rPr>
                <w:rFonts w:hint="eastAsia" w:ascii="仿宋" w:hAnsi="仿宋" w:eastAsia="仿宋" w:cs="仿宋"/>
                <w:b w:val="0"/>
                <w:bCs w:val="0"/>
                <w:color w:val="auto"/>
                <w:sz w:val="28"/>
                <w:szCs w:val="28"/>
                <w:highlight w:val="none"/>
                <w:u w:val="none"/>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8.</w:t>
            </w:r>
            <w:r>
              <w:rPr>
                <w:rFonts w:hint="eastAsia" w:ascii="仿宋" w:hAnsi="仿宋" w:eastAsia="仿宋" w:cs="仿宋"/>
                <w:color w:val="auto"/>
                <w:sz w:val="28"/>
                <w:szCs w:val="28"/>
                <w:highlight w:val="none"/>
                <w:u w:val="none"/>
                <w:shd w:val="clear" w:color="auto" w:fill="auto"/>
              </w:rPr>
              <w:t>全车线束及中央电器控制盒、电瓶线，线芯、阻燃性能符合国家标准。</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9.</w:t>
            </w:r>
            <w:r>
              <w:rPr>
                <w:rFonts w:hint="eastAsia" w:ascii="仿宋" w:hAnsi="仿宋" w:eastAsia="仿宋" w:cs="仿宋"/>
                <w:color w:val="auto"/>
                <w:sz w:val="28"/>
                <w:szCs w:val="28"/>
                <w:highlight w:val="none"/>
                <w:u w:val="none"/>
                <w:shd w:val="clear" w:color="auto" w:fill="auto"/>
              </w:rPr>
              <w:t>按汽车公告目录要求配置蓄电池。</w:t>
            </w:r>
            <w:r>
              <w:rPr>
                <w:rFonts w:hint="eastAsia" w:ascii="仿宋" w:hAnsi="仿宋" w:eastAsia="仿宋" w:cs="仿宋"/>
                <w:color w:val="auto"/>
                <w:sz w:val="28"/>
                <w:szCs w:val="28"/>
                <w:highlight w:val="none"/>
                <w:u w:val="none"/>
              </w:rPr>
              <w:t>采用</w:t>
            </w:r>
            <w:r>
              <w:rPr>
                <w:rFonts w:hint="eastAsia" w:ascii="仿宋" w:hAnsi="仿宋" w:eastAsia="仿宋" w:cs="仿宋"/>
                <w:color w:val="auto"/>
                <w:sz w:val="28"/>
                <w:szCs w:val="28"/>
                <w:highlight w:val="none"/>
                <w:u w:val="none"/>
                <w:shd w:val="clear" w:color="auto" w:fill="auto"/>
              </w:rPr>
              <w:t>免维护蓄电池，加装大容量熔断器；蓄电池能方便更换，锁止可靠，安装合理。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前后大小灯</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美观大方，便于维护。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转向指示灯开关</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除在方向盘下的组合开关外，在仪表台上再设一套翘板开关，两套应能并用。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前风窗玻璃刮水器</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两速雨刮电机</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刮臂和刮片长短与前风挡高度匹配良好，工作稳定可靠。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yellow"/>
                <w:u w:val="none"/>
                <w:shd w:val="clear" w:color="auto" w:fill="auto"/>
              </w:rPr>
            </w:pPr>
            <w:r>
              <w:rPr>
                <w:rFonts w:hint="eastAsia" w:ascii="仿宋" w:hAnsi="仿宋" w:eastAsia="仿宋" w:cs="仿宋"/>
                <w:b/>
                <w:bCs w:val="0"/>
                <w:color w:val="auto"/>
                <w:sz w:val="28"/>
                <w:szCs w:val="28"/>
                <w:highlight w:val="none"/>
                <w:u w:val="none"/>
                <w:lang w:val="en-US" w:eastAsia="zh-CN"/>
              </w:rPr>
              <w:t>5.车身系统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color w:val="auto"/>
                <w:sz w:val="28"/>
                <w:szCs w:val="28"/>
                <w:highlight w:val="none"/>
                <w:u w:val="none"/>
                <w:lang w:eastAsia="zh-CN"/>
              </w:rPr>
              <w:t>承载要求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rPr>
              <w:t>全承载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防腐要求</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整车骨架与蒙皮、骨架与地板等接合缝处采用聚氨酯密封胶进行密封防水防锈处理</w:t>
            </w:r>
            <w:r>
              <w:rPr>
                <w:rFonts w:hint="eastAsia" w:ascii="仿宋" w:hAnsi="仿宋" w:eastAsia="仿宋" w:cs="仿宋"/>
                <w:color w:val="auto"/>
                <w:sz w:val="28"/>
                <w:szCs w:val="28"/>
                <w:highlight w:val="none"/>
                <w:u w:val="none"/>
                <w:shd w:val="clear" w:color="auto" w:fill="auto"/>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整车防腐效果达到8年及以上，并附承诺书原件。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rPr>
              <w:t>车身舱门、前后轮拱</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车身左右侧边门采用翻开式，机械锁和气压支撑杆检修门结构，并装有胶垫防震、检修门铰链。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舱门美观牢固，开启方便，锁止可靠，门与车身蒙皮缝隙均匀，液压撑杆支撑力要满足支撑检修门要求，确保安全稳定，在侧围检修门和客车骨架之间增装保险绳（挂钩或钢丝绳或链）。</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为方便雨刷器等部件的检修与拆装，在客车前围处设置有专用检修门，凡需检修的部位都应开设工作门或检修窗。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前后轮拱区域应有密封防腐处理，保证骨架不外露、不藏水，轮罩和挡泥板均喷阻尼胶。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车身色彩图案</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中标后由</w:t>
            </w:r>
            <w:r>
              <w:rPr>
                <w:rFonts w:hint="eastAsia" w:ascii="仿宋" w:hAnsi="仿宋" w:eastAsia="仿宋" w:cs="仿宋"/>
                <w:color w:val="auto"/>
                <w:sz w:val="28"/>
                <w:szCs w:val="28"/>
                <w:highlight w:val="none"/>
                <w:u w:val="none"/>
                <w:shd w:val="clear" w:color="auto" w:fill="auto"/>
                <w:lang w:eastAsia="zh-CN"/>
              </w:rPr>
              <w:t>采购人</w:t>
            </w:r>
            <w:r>
              <w:rPr>
                <w:rFonts w:hint="eastAsia" w:ascii="仿宋" w:hAnsi="仿宋" w:eastAsia="仿宋" w:cs="仿宋"/>
                <w:color w:val="auto"/>
                <w:sz w:val="28"/>
                <w:szCs w:val="28"/>
                <w:highlight w:val="none"/>
                <w:u w:val="none"/>
                <w:shd w:val="clear" w:color="auto" w:fill="auto"/>
              </w:rPr>
              <w:t>确定。</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采用优质漆。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eastAsia="zh-CN"/>
              </w:rPr>
            </w:pPr>
            <w:r>
              <w:rPr>
                <w:rFonts w:hint="eastAsia" w:ascii="仿宋" w:hAnsi="仿宋" w:eastAsia="仿宋" w:cs="仿宋"/>
                <w:bCs/>
                <w:color w:val="auto"/>
                <w:sz w:val="28"/>
                <w:szCs w:val="28"/>
                <w:lang w:eastAsia="zh-CN"/>
              </w:rPr>
              <w:t>前围部分</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玻璃钢或薄钢板冲压成型。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车前部安装电蜗牛喇叭</w:t>
            </w:r>
            <w:r>
              <w:rPr>
                <w:rFonts w:hint="eastAsia" w:ascii="仿宋" w:hAnsi="仿宋" w:eastAsia="仿宋" w:cs="仿宋"/>
                <w:sz w:val="28"/>
                <w:szCs w:val="28"/>
                <w:lang w:eastAsia="zh-CN"/>
              </w:rPr>
              <w:t>及外音播报喇叭。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前风窗采用双曲面全景夹胶安全玻璃，透光率70%以上</w:t>
            </w:r>
            <w:r>
              <w:rPr>
                <w:rFonts w:hint="eastAsia" w:ascii="仿宋" w:hAnsi="仿宋" w:eastAsia="仿宋" w:cs="仿宋"/>
                <w:sz w:val="28"/>
                <w:szCs w:val="28"/>
                <w:lang w:eastAsia="zh-CN"/>
              </w:rPr>
              <w:t>，</w:t>
            </w:r>
            <w:r>
              <w:rPr>
                <w:rFonts w:hint="eastAsia" w:ascii="仿宋" w:hAnsi="仿宋" w:eastAsia="仿宋" w:cs="仿宋"/>
                <w:sz w:val="28"/>
                <w:szCs w:val="28"/>
              </w:rPr>
              <w:t>直接粘贴在风窗框上，接缝处粘贴平顺美观。驾驶员侧、前装上下拉遮阳帘。</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.侧窗采用粘贴式内嵌推拉窗，下固定，上推拉。侧窗不配窗帘布，使用有色玻璃，</w:t>
            </w:r>
            <w:r>
              <w:rPr>
                <w:rFonts w:hint="eastAsia" w:ascii="仿宋" w:hAnsi="仿宋" w:eastAsia="仿宋" w:cs="仿宋"/>
                <w:color w:val="auto"/>
                <w:sz w:val="28"/>
                <w:szCs w:val="28"/>
                <w:highlight w:val="none"/>
                <w:u w:val="none"/>
                <w:shd w:val="clear" w:color="auto" w:fill="auto"/>
              </w:rPr>
              <w:t>颜色由采购方商定</w:t>
            </w:r>
            <w:r>
              <w:rPr>
                <w:rFonts w:hint="eastAsia" w:ascii="仿宋" w:hAnsi="仿宋" w:eastAsia="仿宋" w:cs="仿宋"/>
                <w:color w:val="auto"/>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前档遮阳帘</w:t>
            </w:r>
            <w:r>
              <w:rPr>
                <w:rFonts w:hint="eastAsia" w:ascii="仿宋" w:hAnsi="仿宋" w:eastAsia="仿宋" w:cs="仿宋"/>
                <w:sz w:val="28"/>
                <w:szCs w:val="28"/>
                <w:lang w:eastAsia="zh-CN"/>
              </w:rPr>
              <w:t>：</w:t>
            </w:r>
            <w:r>
              <w:rPr>
                <w:rFonts w:hint="eastAsia" w:ascii="仿宋" w:hAnsi="仿宋" w:eastAsia="仿宋" w:cs="仿宋"/>
                <w:sz w:val="28"/>
                <w:szCs w:val="28"/>
              </w:rPr>
              <w:t>手动单幅下拉自锁式。</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司机遮阳帘</w:t>
            </w:r>
            <w:r>
              <w:rPr>
                <w:rFonts w:hint="eastAsia" w:ascii="仿宋" w:hAnsi="仿宋" w:eastAsia="仿宋" w:cs="仿宋"/>
                <w:sz w:val="28"/>
                <w:szCs w:val="28"/>
                <w:lang w:eastAsia="zh-CN"/>
              </w:rPr>
              <w:t>：</w:t>
            </w:r>
            <w:r>
              <w:rPr>
                <w:rFonts w:hint="eastAsia" w:ascii="仿宋" w:hAnsi="仿宋" w:eastAsia="仿宋" w:cs="仿宋"/>
                <w:sz w:val="28"/>
                <w:szCs w:val="28"/>
              </w:rPr>
              <w:t>下拉自锁式司机遮阳帘。</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车头喷“台州公交”字样、车身侧面喷单位全称、logo及投诉举报电话，标准规范由</w:t>
            </w:r>
            <w:r>
              <w:rPr>
                <w:rFonts w:hint="eastAsia" w:ascii="仿宋" w:hAnsi="仿宋" w:eastAsia="仿宋" w:cs="仿宋"/>
                <w:sz w:val="28"/>
                <w:szCs w:val="28"/>
                <w:lang w:eastAsia="zh-CN"/>
              </w:rPr>
              <w:t>采购人</w:t>
            </w:r>
            <w:r>
              <w:rPr>
                <w:rFonts w:hint="eastAsia" w:ascii="仿宋" w:hAnsi="仿宋" w:eastAsia="仿宋" w:cs="仿宋"/>
                <w:sz w:val="28"/>
                <w:szCs w:val="28"/>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后围部分</w:t>
            </w: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玻璃钢或薄钢板冲压成型。</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后挡风玻璃</w:t>
            </w:r>
            <w:r>
              <w:rPr>
                <w:rFonts w:hint="eastAsia" w:ascii="仿宋" w:hAnsi="仿宋" w:eastAsia="仿宋" w:cs="仿宋"/>
                <w:color w:val="auto"/>
                <w:sz w:val="28"/>
                <w:szCs w:val="28"/>
                <w:highlight w:val="none"/>
                <w:u w:val="none"/>
                <w:shd w:val="clear" w:color="auto" w:fill="auto"/>
                <w:lang w:eastAsia="zh-CN"/>
              </w:rPr>
              <w:t>采用钢化玻璃</w:t>
            </w:r>
            <w:r>
              <w:rPr>
                <w:rFonts w:hint="eastAsia" w:ascii="仿宋" w:hAnsi="仿宋" w:eastAsia="仿宋" w:cs="仿宋"/>
                <w:color w:val="auto"/>
                <w:sz w:val="28"/>
                <w:szCs w:val="28"/>
                <w:highlight w:val="none"/>
                <w:u w:val="none"/>
                <w:shd w:val="clear" w:color="auto" w:fill="auto"/>
              </w:rPr>
              <w:t>，</w:t>
            </w:r>
            <w:r>
              <w:rPr>
                <w:rFonts w:hint="eastAsia" w:ascii="仿宋" w:hAnsi="仿宋" w:eastAsia="仿宋" w:cs="仿宋"/>
                <w:color w:val="auto"/>
                <w:sz w:val="28"/>
                <w:szCs w:val="28"/>
                <w:highlight w:val="none"/>
                <w:u w:val="none"/>
                <w:shd w:val="clear" w:color="auto" w:fill="auto"/>
                <w:lang w:eastAsia="zh-CN"/>
              </w:rPr>
              <w:t>应按照采购人后广告</w:t>
            </w:r>
            <w:r>
              <w:rPr>
                <w:rFonts w:hint="eastAsia" w:ascii="仿宋" w:hAnsi="仿宋" w:eastAsia="仿宋" w:cs="仿宋"/>
                <w:color w:val="auto"/>
                <w:sz w:val="28"/>
                <w:szCs w:val="28"/>
                <w:highlight w:val="none"/>
                <w:u w:val="none"/>
                <w:shd w:val="clear" w:color="auto" w:fill="auto"/>
                <w:lang w:val="en-US" w:eastAsia="zh-CN"/>
              </w:rPr>
              <w:t>LED显示屏尺寸配置，</w:t>
            </w:r>
            <w:r>
              <w:rPr>
                <w:rFonts w:hint="eastAsia" w:ascii="仿宋" w:hAnsi="仿宋" w:eastAsia="仿宋" w:cs="仿宋"/>
                <w:color w:val="auto"/>
                <w:sz w:val="28"/>
                <w:szCs w:val="28"/>
                <w:highlight w:val="none"/>
                <w:u w:val="none"/>
                <w:shd w:val="clear" w:color="auto" w:fill="auto"/>
              </w:rPr>
              <w:t>直接粘贴在风窗框上。后风挡上不加贴或喷涂任何说明。</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上围风窗框内应考虑后路牌架，使后路牌安装后与后风窗玻璃紧贴配合良好。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小膨胀水箱在机</w:t>
            </w:r>
            <w:r>
              <w:rPr>
                <w:rFonts w:hint="eastAsia" w:ascii="仿宋" w:hAnsi="仿宋" w:eastAsia="仿宋" w:cs="仿宋"/>
                <w:color w:val="auto"/>
                <w:sz w:val="28"/>
                <w:szCs w:val="28"/>
                <w:highlight w:val="none"/>
                <w:u w:val="none"/>
                <w:shd w:val="clear" w:color="auto" w:fill="auto"/>
                <w:lang w:eastAsia="zh-CN"/>
              </w:rPr>
              <w:t>仓</w:t>
            </w:r>
            <w:r>
              <w:rPr>
                <w:rFonts w:hint="eastAsia" w:ascii="仿宋" w:hAnsi="仿宋" w:eastAsia="仿宋" w:cs="仿宋"/>
                <w:color w:val="auto"/>
                <w:sz w:val="28"/>
                <w:szCs w:val="28"/>
                <w:highlight w:val="none"/>
                <w:u w:val="none"/>
                <w:shd w:val="clear" w:color="auto" w:fill="auto"/>
              </w:rPr>
              <w:t>内布置应方便加注。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右后下方配车长牌，具体尺寸由采购方提供</w:t>
            </w:r>
            <w:r>
              <w:rPr>
                <w:rFonts w:hint="eastAsia" w:ascii="仿宋" w:hAnsi="仿宋" w:eastAsia="仿宋" w:cs="仿宋"/>
                <w:color w:val="auto"/>
                <w:sz w:val="28"/>
                <w:szCs w:val="28"/>
                <w:highlight w:val="none"/>
                <w:u w:val="none"/>
                <w:shd w:val="clear" w:color="auto" w:fill="auto"/>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侧围外蒙皮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rPr>
              <w:t>预应力涨拉蒙皮，蒙皮应做防腐、防锈蚀处理，蒙皮内侧应有隔热减振措施。蒙皮厚度不小于1mm。</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rPr>
              <w:t>各种型材应采用国内优质产品</w:t>
            </w:r>
            <w:r>
              <w:rPr>
                <w:rFonts w:hint="eastAsia" w:ascii="仿宋" w:hAnsi="仿宋" w:eastAsia="仿宋" w:cs="仿宋"/>
                <w:color w:val="auto"/>
                <w:sz w:val="28"/>
                <w:szCs w:val="28"/>
                <w:highlight w:val="none"/>
                <w:u w:val="none"/>
                <w:shd w:val="clear" w:color="auto" w:fill="auto"/>
                <w:lang w:eastAsia="zh-CN"/>
              </w:rPr>
              <w:t>并</w:t>
            </w:r>
            <w:r>
              <w:rPr>
                <w:rFonts w:hint="eastAsia" w:ascii="仿宋" w:hAnsi="仿宋" w:eastAsia="仿宋" w:cs="仿宋"/>
                <w:color w:val="auto"/>
                <w:sz w:val="28"/>
                <w:szCs w:val="28"/>
                <w:highlight w:val="none"/>
                <w:u w:val="none"/>
                <w:shd w:val="clear" w:color="auto" w:fill="auto"/>
              </w:rPr>
              <w:t>提供</w:t>
            </w:r>
            <w:r>
              <w:rPr>
                <w:rFonts w:hint="eastAsia" w:ascii="仿宋" w:hAnsi="仿宋" w:eastAsia="仿宋" w:cs="仿宋"/>
                <w:color w:val="auto"/>
                <w:sz w:val="28"/>
                <w:szCs w:val="28"/>
                <w:highlight w:val="none"/>
                <w:u w:val="none"/>
                <w:shd w:val="clear" w:color="auto" w:fill="auto"/>
                <w:lang w:eastAsia="zh-CN"/>
              </w:rPr>
              <w:t>供货清单</w:t>
            </w:r>
            <w:r>
              <w:rPr>
                <w:rFonts w:hint="eastAsia" w:ascii="仿宋" w:hAnsi="仿宋" w:eastAsia="仿宋" w:cs="仿宋"/>
                <w:color w:val="auto"/>
                <w:sz w:val="28"/>
                <w:szCs w:val="28"/>
                <w:highlight w:val="none"/>
                <w:u w:val="none"/>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骨架</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1.骨架质保</w:t>
            </w: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年（含蒙皮），</w:t>
            </w:r>
            <w:r>
              <w:rPr>
                <w:rFonts w:hint="eastAsia" w:ascii="仿宋" w:hAnsi="仿宋" w:eastAsia="仿宋" w:cs="仿宋"/>
                <w:color w:val="auto"/>
                <w:sz w:val="28"/>
                <w:szCs w:val="28"/>
                <w:highlight w:val="none"/>
                <w:u w:val="none"/>
                <w:lang w:val="en-US" w:eastAsia="zh-CN"/>
              </w:rPr>
              <w:t>投标人须在标书内提供</w:t>
            </w:r>
            <w:r>
              <w:rPr>
                <w:rFonts w:hint="eastAsia" w:ascii="仿宋" w:hAnsi="仿宋" w:eastAsia="仿宋" w:cs="仿宋"/>
                <w:color w:val="auto"/>
                <w:sz w:val="28"/>
                <w:szCs w:val="28"/>
                <w:highlight w:val="none"/>
                <w:u w:val="none"/>
              </w:rPr>
              <w:t>书面承诺。</w:t>
            </w:r>
          </w:p>
          <w:p>
            <w:pPr>
              <w:adjustRightInd w:val="0"/>
              <w:snapToGrid w:val="0"/>
              <w:spacing w:line="320" w:lineRule="exact"/>
              <w:rPr>
                <w:rFonts w:hint="eastAsia" w:ascii="仿宋" w:hAnsi="仿宋" w:eastAsia="仿宋" w:cs="仿宋"/>
                <w:strike/>
                <w:color w:val="auto"/>
                <w:sz w:val="28"/>
                <w:szCs w:val="28"/>
                <w:highlight w:val="none"/>
                <w:u w:val="none"/>
              </w:rPr>
            </w:pPr>
            <w:r>
              <w:rPr>
                <w:rFonts w:hint="eastAsia" w:ascii="仿宋" w:hAnsi="仿宋" w:eastAsia="仿宋" w:cs="仿宋"/>
                <w:color w:val="auto"/>
                <w:sz w:val="28"/>
                <w:szCs w:val="28"/>
                <w:highlight w:val="none"/>
                <w:u w:val="none"/>
                <w:lang w:eastAsia="zh-CN"/>
              </w:rPr>
              <w:t>2.</w:t>
            </w:r>
            <w:r>
              <w:rPr>
                <w:rFonts w:hint="eastAsia" w:ascii="仿宋" w:hAnsi="仿宋" w:eastAsia="仿宋" w:cs="仿宋"/>
                <w:color w:val="auto"/>
                <w:sz w:val="28"/>
                <w:szCs w:val="28"/>
                <w:highlight w:val="none"/>
                <w:u w:val="none"/>
              </w:rPr>
              <w:t>足够的强度和刚度，焊接可靠，提高整车骨架的防腐、防锈蚀性能。各种型材应采用优质产品。</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rPr>
              <w:t>3.左右侧围骨架、顶盖骨架之间充填</w:t>
            </w:r>
            <w:r>
              <w:rPr>
                <w:rFonts w:hint="eastAsia" w:ascii="仿宋" w:hAnsi="仿宋" w:eastAsia="仿宋" w:cs="仿宋"/>
                <w:color w:val="auto"/>
                <w:sz w:val="28"/>
                <w:szCs w:val="28"/>
                <w:highlight w:val="none"/>
                <w:u w:val="none"/>
                <w:lang w:val="en-US" w:eastAsia="zh-CN"/>
              </w:rPr>
              <w:t>A0级</w:t>
            </w:r>
            <w:r>
              <w:rPr>
                <w:rFonts w:hint="eastAsia" w:ascii="仿宋" w:hAnsi="仿宋" w:eastAsia="仿宋" w:cs="仿宋"/>
                <w:color w:val="auto"/>
                <w:sz w:val="28"/>
                <w:szCs w:val="28"/>
                <w:highlight w:val="none"/>
                <w:u w:val="none"/>
              </w:rPr>
              <w:t>阻燃型隔热材料，发泡层均匀厚度不得小于35mm，以保证客车的隔热性能。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安全天窗</w:t>
            </w:r>
          </w:p>
        </w:tc>
        <w:tc>
          <w:tcPr>
            <w:tcW w:w="7135" w:type="dxa"/>
            <w:noWrap w:val="0"/>
            <w:vAlign w:val="center"/>
          </w:tcPr>
          <w:p>
            <w:pP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带换气扇安全出口1只。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地板</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整车采用大平面环保阻燃PVC地板，厚度不小于18MM，符合JT/T1095等最新标准，安装工艺必须符合地板安装相关技术要求，具有无毒、防水防潮，完全阻燃性达到AO级获得国家3C强制认证。</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地板与客车底架采用胶水及专用螺栓连接，铺设区客车底架横梁加密、地板及座椅固定螺栓要求连接在横梁或替板上、紧固可靠（8年内不发生地板拱起，螺栓松脱开现象），地板各连接缝、地板与车身的接缝处应涂密封胶。</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车顶棚骨架等使用防火保温隔热材料，充分考虑当地气候特点，考虑内饰阻燃特性；产品要求防潮、抗菌、防霉、节能环保材料。技术性能必须达到GB38262-2019《汽车内饰材料燃烧特性》，防火等级A0级。需提供国家认可机构报告。</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客舱、轮毂使用降噪材料和气凝胶防火材料，电池仓和电机仓、客舱等部分合理铺设使用气凝胶防火材料，符合GB 8624标准“燃烧性能等级，A级不燃”要求；符合JT/T 1095内饰件阻燃特性要求。</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整车采用耐磨防滑石英沙城市客车专用地板革，符合JT/T1095-2016标准，地板与地板革采用进口高强度防水专用地板革胶粘接，做到不脱胶、不起泡、不开裂。地板革与地板是采用焊接拼接，接缝处剔割平整。</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6.</w:t>
            </w:r>
            <w:r>
              <w:rPr>
                <w:rFonts w:hint="eastAsia" w:ascii="仿宋" w:hAnsi="仿宋" w:eastAsia="仿宋" w:cs="仿宋"/>
                <w:color w:val="auto"/>
                <w:sz w:val="28"/>
                <w:szCs w:val="28"/>
                <w:highlight w:val="none"/>
                <w:u w:val="none"/>
              </w:rPr>
              <w:t>前后乘客门踏步区域采用黄色踏步专用地板革，并标明“禁止站立”字样。</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7.</w:t>
            </w:r>
            <w:r>
              <w:rPr>
                <w:rFonts w:hint="eastAsia" w:ascii="仿宋" w:hAnsi="仿宋" w:eastAsia="仿宋" w:cs="仿宋"/>
                <w:color w:val="auto"/>
                <w:sz w:val="28"/>
                <w:szCs w:val="28"/>
                <w:highlight w:val="none"/>
                <w:u w:val="none"/>
              </w:rPr>
              <w:t>地板应设有检修孔和盖板，检修盖板拉手隐性结构</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地板上的检修舱口盖压边框为整体式铝型材，采用双层密封结构。。</w:t>
            </w:r>
          </w:p>
          <w:p>
            <w:pPr>
              <w:adjustRightInd w:val="0"/>
              <w:snapToGrid w:val="0"/>
              <w:spacing w:line="320" w:lineRule="exact"/>
              <w:rPr>
                <w:rFonts w:hint="eastAsia" w:ascii="仿宋" w:hAnsi="仿宋" w:eastAsia="仿宋" w:cs="仿宋"/>
                <w:b/>
                <w:bCs/>
                <w:color w:val="FF0000"/>
                <w:sz w:val="28"/>
                <w:szCs w:val="28"/>
                <w:highlight w:val="none"/>
                <w:u w:val="none"/>
              </w:rPr>
            </w:pPr>
            <w:r>
              <w:rPr>
                <w:rFonts w:hint="eastAsia" w:ascii="仿宋" w:hAnsi="仿宋" w:eastAsia="仿宋" w:cs="仿宋"/>
                <w:color w:val="auto"/>
                <w:sz w:val="28"/>
                <w:szCs w:val="28"/>
                <w:highlight w:val="none"/>
                <w:u w:val="none"/>
                <w:lang w:val="en-US" w:eastAsia="zh-CN"/>
              </w:rPr>
              <w:t>8.</w:t>
            </w:r>
            <w:r>
              <w:rPr>
                <w:rFonts w:hint="eastAsia" w:ascii="仿宋" w:hAnsi="仿宋" w:eastAsia="仿宋" w:cs="仿宋"/>
                <w:color w:val="auto"/>
                <w:sz w:val="28"/>
                <w:szCs w:val="28"/>
                <w:highlight w:val="none"/>
                <w:u w:val="none"/>
              </w:rPr>
              <w:t>车厢内各阴阳角拼缝处采用铝合金型材拼压或地板革焊接工艺，直角拼缝处采用磨光45°对接，圆弧拼缝处则可采用成型或锯齿状弯曲拼压，</w:t>
            </w:r>
            <w:r>
              <w:rPr>
                <w:rFonts w:hint="eastAsia" w:ascii="仿宋" w:hAnsi="仿宋" w:eastAsia="仿宋" w:cs="仿宋"/>
                <w:b w:val="0"/>
                <w:bCs w:val="0"/>
                <w:color w:val="auto"/>
                <w:sz w:val="28"/>
                <w:szCs w:val="28"/>
                <w:highlight w:val="none"/>
                <w:u w:val="none"/>
              </w:rPr>
              <w:t>确保拼压平整贴服，地板革折边高于地板水平面10CM以上；车身围板下沿采用15cm不锈钢板围裙踢脚。</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9.</w:t>
            </w:r>
            <w:r>
              <w:rPr>
                <w:rFonts w:hint="eastAsia" w:ascii="仿宋" w:hAnsi="仿宋" w:eastAsia="仿宋" w:cs="仿宋"/>
                <w:color w:val="auto"/>
                <w:sz w:val="28"/>
                <w:szCs w:val="28"/>
                <w:highlight w:val="none"/>
                <w:u w:val="none"/>
              </w:rPr>
              <w:t>地板革颜色应与整车内饰协调。</w:t>
            </w:r>
          </w:p>
          <w:p>
            <w:pPr>
              <w:adjustRightInd w:val="0"/>
              <w:snapToGrid w:val="0"/>
              <w:spacing w:line="320" w:lineRule="exac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10.</w:t>
            </w:r>
            <w:r>
              <w:rPr>
                <w:rFonts w:hint="eastAsia" w:ascii="仿宋" w:hAnsi="仿宋" w:eastAsia="仿宋" w:cs="仿宋"/>
                <w:color w:val="auto"/>
                <w:sz w:val="28"/>
                <w:szCs w:val="28"/>
                <w:highlight w:val="none"/>
                <w:u w:val="none"/>
              </w:rPr>
              <w:t>地板、地板革质保8年，并附承诺书原件。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0" w:leftChars="0" w:right="0" w:rightChars="0" w:firstLine="0" w:firstLine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车门</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rPr>
              <w:t>内摆式乘客门加强型铝合金门板，门玻璃为钢化玻璃，乘客门下带防夹脚设置。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乘客门关闭时应装有气嚢防夹装置。后门防夹提示需采用铝片，并用铆钉固定，要求字迹清晰。乘客门在开启状况时，门外缘距车身外缘不大于100 mm，前门后、后前后门立柱装防护装置</w:t>
            </w:r>
            <w:r>
              <w:rPr>
                <w:rFonts w:hint="eastAsia" w:ascii="仿宋" w:hAnsi="仿宋" w:eastAsia="仿宋" w:cs="仿宋"/>
                <w:color w:val="auto"/>
                <w:sz w:val="28"/>
                <w:szCs w:val="28"/>
                <w:highlight w:val="none"/>
                <w:u w:val="none"/>
                <w:lang w:eastAsia="zh-CN"/>
              </w:rPr>
              <w:t>，</w:t>
            </w:r>
            <w:r>
              <w:rPr>
                <w:rFonts w:hint="eastAsia" w:ascii="仿宋" w:hAnsi="仿宋" w:eastAsia="仿宋" w:cs="仿宋"/>
                <w:color w:val="auto"/>
                <w:sz w:val="28"/>
                <w:szCs w:val="28"/>
                <w:highlight w:val="none"/>
                <w:u w:val="none"/>
              </w:rPr>
              <w:t>全车应有门锁装置。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门泵驱动系统采用电控气动方式，采用进口电磁阀、继电器和气缸，在仪表台适当位置设置乘客门应急打开气动控制阀开关，并在每个乘客门内</w:t>
            </w:r>
            <w:r>
              <w:rPr>
                <w:rFonts w:hint="eastAsia" w:ascii="仿宋" w:hAnsi="仿宋" w:eastAsia="仿宋" w:cs="仿宋"/>
                <w:color w:val="auto"/>
                <w:sz w:val="28"/>
                <w:szCs w:val="28"/>
                <w:highlight w:val="none"/>
                <w:u w:val="none"/>
                <w:lang w:eastAsia="zh-CN"/>
              </w:rPr>
              <w:t>部</w:t>
            </w:r>
            <w:r>
              <w:rPr>
                <w:rFonts w:hint="eastAsia" w:ascii="仿宋" w:hAnsi="仿宋" w:eastAsia="仿宋" w:cs="仿宋"/>
                <w:color w:val="auto"/>
                <w:sz w:val="28"/>
                <w:szCs w:val="28"/>
                <w:highlight w:val="none"/>
                <w:u w:val="none"/>
              </w:rPr>
              <w:t>和车外必须装紧急开关，以备紧急使用；门泵带自动气水分离装置。</w:t>
            </w:r>
          </w:p>
          <w:p>
            <w:pPr>
              <w:adjustRightInd w:val="0"/>
              <w:snapToGrid w:val="0"/>
              <w:spacing w:line="320" w:lineRule="exact"/>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4</w:t>
            </w:r>
            <w:r>
              <w:rPr>
                <w:rFonts w:hint="eastAsia" w:ascii="仿宋" w:hAnsi="仿宋" w:eastAsia="仿宋" w:cs="仿宋"/>
                <w:color w:val="auto"/>
                <w:sz w:val="28"/>
                <w:szCs w:val="28"/>
                <w:highlight w:val="none"/>
                <w:u w:val="none"/>
              </w:rPr>
              <w:t>.车辆停稳前不允许开门，车辆门没关闭不允许起步，车速达到5码以上不能打开车门。</w:t>
            </w:r>
          </w:p>
          <w:p>
            <w:pPr>
              <w:adjustRightInd w:val="0"/>
              <w:snapToGrid w:val="0"/>
              <w:spacing w:line="320" w:lineRule="exact"/>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5.</w:t>
            </w:r>
            <w:r>
              <w:rPr>
                <w:rFonts w:hint="eastAsia" w:ascii="仿宋" w:hAnsi="仿宋" w:eastAsia="仿宋" w:cs="仿宋"/>
                <w:color w:val="auto"/>
                <w:sz w:val="28"/>
                <w:szCs w:val="28"/>
                <w:highlight w:val="none"/>
                <w:u w:val="none"/>
              </w:rPr>
              <w:t>乘客门</w:t>
            </w:r>
            <w:r>
              <w:rPr>
                <w:rFonts w:hint="eastAsia" w:ascii="仿宋" w:hAnsi="仿宋" w:eastAsia="仿宋" w:cs="仿宋"/>
                <w:color w:val="auto"/>
                <w:sz w:val="28"/>
                <w:szCs w:val="28"/>
                <w:highlight w:val="none"/>
                <w:u w:val="none"/>
                <w:lang w:eastAsia="zh-CN"/>
              </w:rPr>
              <w:t>系统</w:t>
            </w:r>
            <w:r>
              <w:rPr>
                <w:rFonts w:hint="eastAsia" w:ascii="仿宋" w:hAnsi="仿宋" w:eastAsia="仿宋" w:cs="仿宋"/>
                <w:color w:val="auto"/>
                <w:sz w:val="28"/>
                <w:szCs w:val="28"/>
                <w:highlight w:val="none"/>
                <w:u w:val="none"/>
              </w:rPr>
              <w:t>免费质保8年</w:t>
            </w:r>
            <w:r>
              <w:rPr>
                <w:rFonts w:hint="eastAsia" w:ascii="仿宋" w:hAnsi="仿宋" w:eastAsia="仿宋" w:cs="仿宋"/>
                <w:color w:val="auto"/>
                <w:sz w:val="28"/>
                <w:szCs w:val="28"/>
                <w:highlight w:val="none"/>
                <w:u w:val="none"/>
                <w:lang w:eastAsia="zh-CN"/>
              </w:rPr>
              <w:t>（含易损易耗件）</w:t>
            </w:r>
            <w:r>
              <w:rPr>
                <w:rFonts w:hint="eastAsia" w:ascii="仿宋" w:hAnsi="仿宋" w:eastAsia="仿宋" w:cs="仿宋"/>
                <w:color w:val="auto"/>
                <w:sz w:val="28"/>
                <w:szCs w:val="28"/>
                <w:highlight w:val="none"/>
                <w:u w:val="none"/>
              </w:rPr>
              <w:t>，并附承诺书原件。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numPr>
                <w:ilvl w:val="0"/>
                <w:numId w:val="0"/>
              </w:numP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6.</w:t>
            </w:r>
            <w:r>
              <w:rPr>
                <w:rFonts w:hint="eastAsia" w:ascii="仿宋" w:hAnsi="仿宋" w:eastAsia="仿宋" w:cs="仿宋"/>
                <w:b/>
                <w:bCs/>
                <w:sz w:val="28"/>
                <w:szCs w:val="28"/>
                <w:lang w:eastAsia="zh-CN"/>
              </w:rPr>
              <w:t>车内设置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公交标识</w:t>
            </w:r>
          </w:p>
        </w:tc>
        <w:tc>
          <w:tcPr>
            <w:tcW w:w="7135" w:type="dxa"/>
            <w:noWrap w:val="0"/>
            <w:vAlign w:val="center"/>
          </w:tcPr>
          <w:p>
            <w:pPr>
              <w:adjustRightInd w:val="0"/>
              <w:snapToGrid w:val="0"/>
              <w:spacing w:line="320" w:lineRule="exact"/>
              <w:rPr>
                <w:rFonts w:hint="eastAsia" w:ascii="仿宋" w:hAnsi="仿宋" w:eastAsia="仿宋" w:cs="仿宋"/>
                <w:color w:val="auto"/>
                <w:sz w:val="28"/>
                <w:szCs w:val="28"/>
                <w:highlight w:val="none"/>
                <w:u w:val="none"/>
                <w:lang w:eastAsia="zh-CN"/>
              </w:rPr>
            </w:pPr>
            <w:r>
              <w:rPr>
                <w:rFonts w:hint="eastAsia" w:ascii="仿宋" w:hAnsi="仿宋" w:eastAsia="仿宋" w:cs="仿宋"/>
                <w:sz w:val="28"/>
                <w:szCs w:val="28"/>
                <w:lang w:val="en-US" w:eastAsia="zh-CN"/>
              </w:rPr>
              <w:t>1.</w:t>
            </w:r>
            <w:r>
              <w:rPr>
                <w:rFonts w:hint="eastAsia" w:ascii="仿宋" w:hAnsi="仿宋" w:eastAsia="仿宋" w:cs="仿宋"/>
                <w:color w:val="auto"/>
                <w:sz w:val="28"/>
                <w:szCs w:val="28"/>
                <w:highlight w:val="none"/>
                <w:u w:val="none"/>
              </w:rPr>
              <w:t>上客门、下客门、爱心专座等标识按</w:t>
            </w:r>
            <w:r>
              <w:rPr>
                <w:rFonts w:hint="eastAsia" w:ascii="仿宋" w:hAnsi="仿宋" w:eastAsia="仿宋" w:cs="仿宋"/>
                <w:color w:val="auto"/>
                <w:sz w:val="28"/>
                <w:szCs w:val="28"/>
                <w:highlight w:val="none"/>
                <w:u w:val="none"/>
                <w:lang w:eastAsia="zh-CN"/>
              </w:rPr>
              <w:t>最</w:t>
            </w:r>
            <w:r>
              <w:rPr>
                <w:rFonts w:hint="eastAsia" w:ascii="仿宋" w:hAnsi="仿宋" w:eastAsia="仿宋" w:cs="仿宋"/>
                <w:color w:val="auto"/>
                <w:sz w:val="28"/>
                <w:szCs w:val="28"/>
                <w:highlight w:val="none"/>
                <w:u w:val="none"/>
              </w:rPr>
              <w:t>新版《城市公共交通标志》标准制作</w:t>
            </w:r>
            <w:r>
              <w:rPr>
                <w:rFonts w:hint="eastAsia" w:ascii="仿宋" w:hAnsi="仿宋" w:eastAsia="仿宋" w:cs="仿宋"/>
                <w:color w:val="auto"/>
                <w:sz w:val="28"/>
                <w:szCs w:val="28"/>
                <w:highlight w:val="none"/>
                <w:u w:val="none"/>
                <w:lang w:eastAsia="zh-CN"/>
              </w:rPr>
              <w:t>。</w:t>
            </w:r>
          </w:p>
          <w:p>
            <w:pPr>
              <w:adjustRightInd w:val="0"/>
              <w:snapToGrid w:val="0"/>
              <w:spacing w:line="320" w:lineRule="exact"/>
              <w:rPr>
                <w:rFonts w:hint="eastAsia" w:ascii="仿宋" w:hAnsi="仿宋" w:eastAsia="仿宋" w:cs="仿宋"/>
                <w:kern w:val="2"/>
                <w:sz w:val="28"/>
                <w:szCs w:val="28"/>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前门处扶手杆上制作1.</w:t>
            </w:r>
            <w:r>
              <w:rPr>
                <w:rFonts w:hint="eastAsia" w:ascii="仿宋" w:hAnsi="仿宋" w:eastAsia="仿宋" w:cs="仿宋"/>
                <w:color w:val="auto"/>
                <w:sz w:val="28"/>
                <w:szCs w:val="28"/>
                <w:highlight w:val="none"/>
                <w:u w:val="none"/>
                <w:lang w:val="en-US" w:eastAsia="zh-CN"/>
              </w:rPr>
              <w:t>3</w:t>
            </w:r>
            <w:r>
              <w:rPr>
                <w:rFonts w:hint="eastAsia" w:ascii="仿宋" w:hAnsi="仿宋" w:eastAsia="仿宋" w:cs="仿宋"/>
                <w:color w:val="auto"/>
                <w:sz w:val="28"/>
                <w:szCs w:val="28"/>
                <w:highlight w:val="none"/>
                <w:u w:val="none"/>
              </w:rPr>
              <w:t>米儿童免票标志。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车内外后视镜</w:t>
            </w:r>
          </w:p>
        </w:tc>
        <w:tc>
          <w:tcPr>
            <w:tcW w:w="7135" w:type="dxa"/>
            <w:noWrap w:val="0"/>
            <w:vAlign w:val="center"/>
          </w:tcPr>
          <w:p>
            <w:pP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普通杆式无盲区左短右长后视镜。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113"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Cs/>
                <w:color w:val="auto"/>
                <w:sz w:val="28"/>
                <w:szCs w:val="28"/>
                <w:lang w:eastAsia="zh-CN"/>
              </w:rPr>
              <w:t>扶手杠和吊环拉手</w:t>
            </w:r>
          </w:p>
        </w:tc>
        <w:tc>
          <w:tcPr>
            <w:tcW w:w="7135"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扶手采用铝合金材质。</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2.车</w:t>
            </w:r>
            <w:r>
              <w:rPr>
                <w:rFonts w:hint="eastAsia" w:ascii="仿宋" w:hAnsi="仿宋" w:eastAsia="仿宋" w:cs="仿宋"/>
                <w:sz w:val="28"/>
                <w:szCs w:val="28"/>
              </w:rPr>
              <w:t>内</w:t>
            </w:r>
            <w:r>
              <w:rPr>
                <w:rFonts w:hint="eastAsia" w:ascii="仿宋" w:hAnsi="仿宋" w:eastAsia="仿宋" w:cs="仿宋"/>
                <w:b w:val="0"/>
                <w:bCs w:val="0"/>
                <w:color w:val="auto"/>
                <w:sz w:val="28"/>
                <w:szCs w:val="28"/>
                <w:highlight w:val="none"/>
              </w:rPr>
              <w:t>两边</w:t>
            </w:r>
            <w:r>
              <w:rPr>
                <w:rFonts w:hint="eastAsia" w:ascii="仿宋" w:hAnsi="仿宋" w:eastAsia="仿宋" w:cs="仿宋"/>
                <w:b w:val="0"/>
                <w:bCs w:val="0"/>
                <w:color w:val="auto"/>
                <w:sz w:val="28"/>
                <w:szCs w:val="28"/>
                <w:highlight w:val="none"/>
                <w:lang w:eastAsia="zh-CN"/>
              </w:rPr>
              <w:t>侧窗</w:t>
            </w:r>
            <w:r>
              <w:rPr>
                <w:rFonts w:hint="eastAsia" w:ascii="仿宋" w:hAnsi="仿宋" w:eastAsia="仿宋" w:cs="仿宋"/>
                <w:b w:val="0"/>
                <w:bCs w:val="0"/>
                <w:color w:val="auto"/>
                <w:sz w:val="28"/>
                <w:szCs w:val="28"/>
                <w:highlight w:val="none"/>
              </w:rPr>
              <w:t>玻璃上装防护栏杆，</w:t>
            </w:r>
            <w:r>
              <w:rPr>
                <w:rFonts w:hint="eastAsia" w:ascii="仿宋" w:hAnsi="仿宋" w:eastAsia="仿宋" w:cs="仿宋"/>
                <w:b w:val="0"/>
                <w:bCs w:val="0"/>
                <w:color w:val="auto"/>
                <w:sz w:val="28"/>
                <w:szCs w:val="28"/>
                <w:highlight w:val="none"/>
                <w:lang w:eastAsia="zh-CN"/>
              </w:rPr>
              <w:t>驾驶操作台前</w:t>
            </w:r>
            <w:r>
              <w:rPr>
                <w:rFonts w:hint="eastAsia" w:ascii="仿宋" w:hAnsi="仿宋" w:eastAsia="仿宋" w:cs="仿宋"/>
                <w:b w:val="0"/>
                <w:bCs w:val="0"/>
                <w:color w:val="auto"/>
                <w:sz w:val="28"/>
                <w:szCs w:val="28"/>
                <w:highlight w:val="none"/>
              </w:rPr>
              <w:t>处安装安全防范扶手</w:t>
            </w:r>
            <w:r>
              <w:rPr>
                <w:rFonts w:hint="eastAsia" w:ascii="仿宋" w:hAnsi="仿宋" w:eastAsia="仿宋" w:cs="仿宋"/>
                <w:b w:val="0"/>
                <w:bCs w:val="0"/>
                <w:color w:val="auto"/>
                <w:kern w:val="2"/>
                <w:sz w:val="28"/>
                <w:szCs w:val="28"/>
                <w:highlight w:val="none"/>
                <w:u w:val="none"/>
                <w:lang w:val="en-US" w:eastAsia="zh-CN" w:bidi="ar-SA"/>
              </w:rPr>
              <w:t>，上下客门处安装上下车扶手</w:t>
            </w:r>
            <w:r>
              <w:rPr>
                <w:rFonts w:hint="eastAsia" w:ascii="仿宋" w:hAnsi="仿宋" w:eastAsia="仿宋" w:cs="仿宋"/>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sz w:val="28"/>
                <w:szCs w:val="28"/>
                <w:lang w:val="en-US" w:eastAsia="zh-CN"/>
              </w:rPr>
              <w:t>3.</w:t>
            </w:r>
            <w:r>
              <w:rPr>
                <w:rFonts w:hint="eastAsia" w:ascii="仿宋" w:hAnsi="仿宋" w:eastAsia="仿宋" w:cs="仿宋"/>
                <w:sz w:val="28"/>
                <w:szCs w:val="28"/>
              </w:rPr>
              <w:t>吊环拉手安装分布均匀、合理，只数与载客数相符</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top"/>
          </w:tcPr>
          <w:p>
            <w:pPr>
              <w:jc w:val="center"/>
              <w:rPr>
                <w:rFonts w:hint="eastAsia" w:ascii="仿宋" w:hAnsi="仿宋" w:eastAsia="仿宋" w:cs="仿宋"/>
                <w:kern w:val="0"/>
                <w:sz w:val="28"/>
                <w:szCs w:val="28"/>
                <w:lang w:val="en-US" w:eastAsia="zh-CN" w:bidi="ar-SA"/>
              </w:rPr>
            </w:pPr>
            <w:r>
              <w:rPr>
                <w:rFonts w:hint="eastAsia" w:ascii="仿宋" w:hAnsi="仿宋" w:eastAsia="仿宋" w:cs="仿宋"/>
                <w:bCs/>
                <w:color w:val="auto"/>
                <w:sz w:val="28"/>
                <w:szCs w:val="28"/>
                <w:lang w:eastAsia="zh-CN"/>
              </w:rPr>
              <w:t>下车提示按铃</w:t>
            </w:r>
          </w:p>
        </w:tc>
        <w:tc>
          <w:tcPr>
            <w:tcW w:w="7135" w:type="dxa"/>
            <w:noWrap w:val="0"/>
            <w:vAlign w:val="top"/>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配下车门停车门铃</w:t>
            </w:r>
            <w:r>
              <w:rPr>
                <w:rFonts w:hint="eastAsia" w:ascii="仿宋" w:hAnsi="仿宋" w:eastAsia="仿宋" w:cs="仿宋"/>
                <w:sz w:val="28"/>
                <w:szCs w:val="28"/>
                <w:lang w:val="en-US" w:eastAsia="zh-CN"/>
              </w:rPr>
              <w:t>4</w:t>
            </w:r>
            <w:r>
              <w:rPr>
                <w:rFonts w:hint="eastAsia" w:ascii="仿宋" w:hAnsi="仿宋" w:eastAsia="仿宋" w:cs="仿宋"/>
                <w:sz w:val="28"/>
                <w:szCs w:val="28"/>
              </w:rPr>
              <w:t>只按钮（无线门铃），语音提示</w:t>
            </w:r>
            <w:r>
              <w:rPr>
                <w:rFonts w:hint="eastAsia" w:ascii="仿宋" w:hAnsi="仿宋" w:eastAsia="仿宋" w:cs="仿宋"/>
                <w:sz w:val="28"/>
                <w:szCs w:val="28"/>
                <w:lang w:eastAsia="zh-CN"/>
              </w:rPr>
              <w:t>：您好，请开门，在车厢立柱合适位置</w:t>
            </w:r>
            <w:r>
              <w:rPr>
                <w:rFonts w:hint="eastAsia" w:ascii="仿宋" w:hAnsi="仿宋" w:eastAsia="仿宋" w:cs="仿宋"/>
                <w:sz w:val="28"/>
                <w:szCs w:val="28"/>
              </w:rPr>
              <w:t>，门铃按钮以上位置粘贴 “下车请按铃”标识</w:t>
            </w:r>
            <w:r>
              <w:rPr>
                <w:rFonts w:hint="eastAsia" w:ascii="仿宋" w:hAnsi="仿宋" w:eastAsia="仿宋" w:cs="仿宋"/>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公交座椅</w:t>
            </w:r>
          </w:p>
        </w:tc>
        <w:tc>
          <w:tcPr>
            <w:tcW w:w="7135" w:type="dxa"/>
            <w:noWrap w:val="0"/>
            <w:vAlign w:val="center"/>
          </w:tcPr>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座椅合理布置，采用国内优质产品</w:t>
            </w:r>
            <w:r>
              <w:rPr>
                <w:rFonts w:hint="eastAsia" w:ascii="仿宋" w:hAnsi="仿宋" w:eastAsia="仿宋" w:cs="仿宋"/>
                <w:sz w:val="28"/>
                <w:szCs w:val="28"/>
                <w:lang w:eastAsia="zh-CN"/>
              </w:rPr>
              <w:t>，配用尼龙注塑座椅，</w:t>
            </w:r>
            <w:r>
              <w:rPr>
                <w:rFonts w:hint="eastAsia" w:ascii="仿宋" w:hAnsi="仿宋" w:eastAsia="仿宋" w:cs="仿宋"/>
                <w:sz w:val="28"/>
                <w:szCs w:val="28"/>
              </w:rPr>
              <w:t>颜色和内饰协调，座椅支架固定可靠证</w:t>
            </w:r>
            <w:r>
              <w:rPr>
                <w:rFonts w:hint="eastAsia" w:ascii="仿宋" w:hAnsi="仿宋" w:eastAsia="仿宋" w:cs="仿宋"/>
                <w:sz w:val="28"/>
                <w:szCs w:val="28"/>
                <w:lang w:eastAsia="zh-CN"/>
              </w:rPr>
              <w:t>。</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爱心座椅设于车厢内方便上下乘坐的位置，每车布置4个，座椅喷“爱心座椅”字样，</w:t>
            </w:r>
            <w:r>
              <w:rPr>
                <w:rFonts w:hint="eastAsia" w:ascii="仿宋" w:hAnsi="仿宋" w:eastAsia="仿宋" w:cs="仿宋"/>
                <w:sz w:val="28"/>
                <w:szCs w:val="28"/>
                <w:lang w:eastAsia="zh-CN"/>
              </w:rPr>
              <w:t>颜色样式由采购人提供，</w:t>
            </w:r>
            <w:r>
              <w:rPr>
                <w:rFonts w:hint="eastAsia" w:ascii="仿宋" w:hAnsi="仿宋" w:eastAsia="仿宋" w:cs="仿宋"/>
                <w:sz w:val="28"/>
                <w:szCs w:val="28"/>
              </w:rPr>
              <w:t>位于车厢后门的前端，方向为面朝前进方向。</w:t>
            </w:r>
          </w:p>
          <w:p>
            <w:pPr>
              <w:pStyle w:val="21"/>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质保8年</w:t>
            </w:r>
            <w:r>
              <w:rPr>
                <w:rFonts w:hint="eastAsia" w:ascii="仿宋" w:hAnsi="仿宋" w:eastAsia="仿宋" w:cs="仿宋"/>
                <w:sz w:val="28"/>
                <w:szCs w:val="28"/>
                <w:lang w:eastAsia="zh-CN"/>
              </w:rPr>
              <w:t>，含工时费</w:t>
            </w:r>
            <w:r>
              <w:rPr>
                <w:rFonts w:hint="eastAsia" w:ascii="仿宋" w:hAnsi="仿宋" w:eastAsia="仿宋" w:cs="仿宋"/>
                <w:sz w:val="28"/>
                <w:szCs w:val="28"/>
              </w:rPr>
              <w:t>，并附承诺书原件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bCs/>
                <w:color w:val="auto"/>
                <w:kern w:val="2"/>
                <w:sz w:val="28"/>
                <w:szCs w:val="28"/>
                <w:lang w:val="en-US" w:eastAsia="zh-CN" w:bidi="ar-SA"/>
              </w:rPr>
              <w:t>驾驶室</w:t>
            </w:r>
          </w:p>
        </w:tc>
        <w:tc>
          <w:tcPr>
            <w:tcW w:w="7135" w:type="dxa"/>
            <w:noWrap w:val="0"/>
            <w:vAlign w:val="center"/>
          </w:tcPr>
          <w:p>
            <w:pPr>
              <w:keepNext w:val="0"/>
              <w:keepLines w:val="0"/>
              <w:pageBreakBefore w:val="0"/>
              <w:widowControl w:val="0"/>
              <w:numPr>
                <w:ilvl w:val="0"/>
                <w:numId w:val="7"/>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eastAsia="zh-CN"/>
              </w:rPr>
              <w:t>仪表台</w:t>
            </w:r>
            <w:r>
              <w:rPr>
                <w:rFonts w:hint="eastAsia" w:ascii="仿宋" w:hAnsi="仿宋" w:eastAsia="仿宋" w:cs="仿宋"/>
                <w:sz w:val="28"/>
                <w:szCs w:val="28"/>
              </w:rPr>
              <w:t>精美、平整、软化处理；仪表台可靠耐用，与整车内饰协调</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仪表区域应充分考虑满足配装电脑报站器、电子路牌、客门监视器、GPS 车载机、IC卡POS机、投币机、空调、换气扇开关、数字电视等布置一体化要求</w:t>
            </w:r>
            <w:r>
              <w:rPr>
                <w:rFonts w:hint="eastAsia" w:ascii="仿宋" w:hAnsi="仿宋" w:eastAsia="仿宋" w:cs="仿宋"/>
                <w:sz w:val="28"/>
                <w:szCs w:val="28"/>
                <w:lang w:eastAsia="zh-CN"/>
              </w:rPr>
              <w:t>；</w:t>
            </w:r>
            <w:r>
              <w:rPr>
                <w:rFonts w:hint="eastAsia" w:ascii="仿宋" w:hAnsi="仿宋" w:eastAsia="仿宋" w:cs="仿宋"/>
                <w:sz w:val="28"/>
                <w:szCs w:val="28"/>
              </w:rPr>
              <w:t>仪表台上安装驾驶员喊话器及插口；前后门未关时仪表台有报警灯显示</w:t>
            </w:r>
            <w:r>
              <w:rPr>
                <w:rFonts w:hint="eastAsia" w:ascii="仿宋" w:hAnsi="仿宋" w:eastAsia="仿宋" w:cs="仿宋"/>
                <w:sz w:val="28"/>
                <w:szCs w:val="28"/>
                <w:lang w:eastAsia="zh-CN"/>
              </w:rPr>
              <w:t>；</w:t>
            </w:r>
            <w:r>
              <w:rPr>
                <w:rFonts w:hint="eastAsia" w:ascii="仿宋" w:hAnsi="仿宋" w:eastAsia="仿宋" w:cs="仿宋"/>
                <w:sz w:val="28"/>
                <w:szCs w:val="28"/>
              </w:rPr>
              <w:t>顶灯，车厢灯，电子路牌单独安装开关</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采用转向柱安装豪华组合式开关，包括大小灯、转向灯、雨括器、点火开关控制开关。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驾驶员座位左上方侧安装小电扇，配置茶杯架</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rPr>
            </w:pPr>
            <w:r>
              <w:rPr>
                <w:rFonts w:hint="eastAsia" w:ascii="仿宋" w:hAnsi="仿宋" w:eastAsia="仿宋" w:cs="仿宋"/>
                <w:sz w:val="28"/>
                <w:szCs w:val="28"/>
                <w:lang w:val="en-US" w:eastAsia="zh-CN"/>
              </w:rPr>
              <w:t>5</w:t>
            </w:r>
            <w:r>
              <w:rPr>
                <w:rFonts w:hint="eastAsia" w:ascii="仿宋" w:hAnsi="仿宋" w:eastAsia="仿宋" w:cs="仿宋"/>
                <w:color w:val="auto"/>
                <w:sz w:val="28"/>
                <w:szCs w:val="28"/>
                <w:lang w:val="en-US" w:eastAsia="zh-CN"/>
              </w:rPr>
              <w:t>.安装驾驶员荣誉榜铝合金框，</w:t>
            </w:r>
            <w:r>
              <w:rPr>
                <w:rFonts w:hint="eastAsia" w:ascii="仿宋" w:hAnsi="仿宋" w:eastAsia="仿宋" w:cs="仿宋"/>
                <w:color w:val="auto"/>
                <w:sz w:val="28"/>
                <w:szCs w:val="28"/>
              </w:rPr>
              <w:t>标准规范由</w:t>
            </w:r>
            <w:r>
              <w:rPr>
                <w:rFonts w:hint="eastAsia" w:ascii="仿宋" w:hAnsi="仿宋" w:eastAsia="仿宋" w:cs="仿宋"/>
                <w:color w:val="auto"/>
                <w:sz w:val="28"/>
                <w:szCs w:val="28"/>
                <w:lang w:eastAsia="zh-CN"/>
              </w:rPr>
              <w:t>采购人</w:t>
            </w:r>
            <w:r>
              <w:rPr>
                <w:rFonts w:hint="eastAsia" w:ascii="仿宋" w:hAnsi="仿宋" w:eastAsia="仿宋" w:cs="仿宋"/>
                <w:color w:val="auto"/>
                <w:sz w:val="28"/>
                <w:szCs w:val="28"/>
              </w:rPr>
              <w:t>方提供。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前后车门内“紧急开门应急阀”装在驾驶区，前后车门内外各1只“紧急开门应急阀”应设</w:t>
            </w:r>
            <w:r>
              <w:rPr>
                <w:rFonts w:hint="eastAsia" w:ascii="仿宋" w:hAnsi="仿宋" w:eastAsia="仿宋" w:cs="仿宋"/>
                <w:sz w:val="28"/>
                <w:szCs w:val="28"/>
              </w:rPr>
              <w:t>明显使用标识</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kern w:val="2"/>
                <w:sz w:val="28"/>
                <w:szCs w:val="28"/>
                <w:lang w:val="en-US" w:eastAsia="zh-CN" w:bidi="ar-SA"/>
              </w:rPr>
            </w:pPr>
            <w:r>
              <w:rPr>
                <w:rFonts w:hint="eastAsia" w:ascii="仿宋" w:hAnsi="仿宋" w:eastAsia="仿宋" w:cs="仿宋"/>
                <w:bCs/>
                <w:sz w:val="28"/>
                <w:szCs w:val="28"/>
                <w:lang w:val="en-US" w:eastAsia="zh-CN"/>
              </w:rPr>
              <w:t>7.</w:t>
            </w:r>
            <w:r>
              <w:rPr>
                <w:rFonts w:hint="eastAsia" w:ascii="仿宋" w:hAnsi="仿宋" w:eastAsia="仿宋" w:cs="仿宋"/>
                <w:bCs/>
                <w:sz w:val="28"/>
                <w:szCs w:val="28"/>
              </w:rPr>
              <w:t>驾驶室布置驾驶员手机袋。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2261" w:type="dxa"/>
            <w:noWrap w:val="0"/>
            <w:vAlign w:val="center"/>
          </w:tcPr>
          <w:p>
            <w:pPr>
              <w:adjustRightInd w:val="0"/>
              <w:snapToGrid w:val="0"/>
              <w:spacing w:line="320" w:lineRule="exact"/>
              <w:jc w:val="center"/>
              <w:rPr>
                <w:rFonts w:hint="eastAsia" w:ascii="仿宋" w:hAnsi="仿宋" w:eastAsia="仿宋" w:cs="仿宋"/>
                <w:color w:val="auto"/>
                <w:sz w:val="28"/>
                <w:szCs w:val="28"/>
                <w:lang w:val="en-US" w:eastAsia="zh-CN"/>
              </w:rPr>
            </w:pPr>
            <w:r>
              <w:rPr>
                <w:rFonts w:hint="eastAsia" w:ascii="仿宋" w:hAnsi="仿宋" w:eastAsia="仿宋" w:cs="仿宋"/>
                <w:bCs/>
                <w:color w:val="auto"/>
                <w:kern w:val="2"/>
                <w:sz w:val="28"/>
                <w:szCs w:val="28"/>
                <w:lang w:val="en-US" w:eastAsia="zh-CN" w:bidi="ar-SA"/>
              </w:rPr>
              <w:t>司机包围</w:t>
            </w:r>
          </w:p>
        </w:tc>
        <w:tc>
          <w:tcPr>
            <w:tcW w:w="7135" w:type="dxa"/>
            <w:noWrap w:val="0"/>
            <w:vAlign w:val="center"/>
          </w:tcPr>
          <w:p>
            <w:pPr>
              <w:numPr>
                <w:ilvl w:val="0"/>
                <w:numId w:val="0"/>
              </w:numPr>
              <w:adjustRightInd w:val="0"/>
              <w:snapToGrid w:val="0"/>
              <w:spacing w:line="320" w:lineRule="exact"/>
              <w:rPr>
                <w:rFonts w:hint="eastAsia" w:ascii="仿宋" w:hAnsi="仿宋" w:eastAsia="仿宋" w:cs="仿宋"/>
                <w:bCs/>
                <w:color w:val="auto"/>
                <w:sz w:val="28"/>
                <w:szCs w:val="28"/>
              </w:rPr>
            </w:pPr>
            <w:r>
              <w:rPr>
                <w:rFonts w:hint="eastAsia" w:ascii="仿宋" w:hAnsi="仿宋" w:eastAsia="仿宋" w:cs="仿宋"/>
                <w:color w:val="auto"/>
                <w:sz w:val="28"/>
                <w:szCs w:val="28"/>
                <w:lang w:val="en-US" w:eastAsia="zh-CN"/>
              </w:rPr>
              <w:t>1.安装驾驶区域安全防护隔离设施，</w:t>
            </w:r>
            <w:r>
              <w:rPr>
                <w:rFonts w:hint="eastAsia" w:ascii="仿宋" w:hAnsi="仿宋" w:eastAsia="仿宋" w:cs="仿宋"/>
                <w:bCs/>
                <w:color w:val="auto"/>
                <w:sz w:val="28"/>
                <w:szCs w:val="28"/>
              </w:rPr>
              <w:t>铝合金全包整体式，司机屏风、司机转门采用铝合金或钢化玻璃，不影响驾驶员对前门上车乘客监管视线，符合T/T1240-2019标准，隔离设施采用的玻璃应避免驾驶员受阳光、炫光和车内外灯光的影响，侧围上沿最低点距乘客区通道地板高度不小于160厘米(款式跟采购人对接)，司机座后围上部为透明有机玻璃空隙高度不大于30厘米、下部为封闭式围板，司机</w:t>
            </w:r>
            <w:r>
              <w:rPr>
                <w:rFonts w:hint="eastAsia" w:ascii="仿宋" w:hAnsi="仿宋" w:eastAsia="仿宋" w:cs="仿宋"/>
                <w:bCs/>
                <w:color w:val="auto"/>
                <w:sz w:val="28"/>
                <w:szCs w:val="28"/>
                <w:lang w:eastAsia="zh-CN"/>
              </w:rPr>
              <w:t>包</w:t>
            </w:r>
            <w:r>
              <w:rPr>
                <w:rFonts w:hint="eastAsia" w:ascii="仿宋" w:hAnsi="仿宋" w:eastAsia="仿宋" w:cs="仿宋"/>
                <w:bCs/>
                <w:color w:val="auto"/>
                <w:sz w:val="28"/>
                <w:szCs w:val="28"/>
              </w:rPr>
              <w:t>围门窗玻璃、门锁、铝合金材质必须符合国家新标要求</w:t>
            </w:r>
            <w:r>
              <w:rPr>
                <w:rFonts w:hint="eastAsia" w:ascii="仿宋" w:hAnsi="仿宋" w:eastAsia="仿宋" w:cs="仿宋"/>
                <w:bCs/>
                <w:color w:val="auto"/>
                <w:sz w:val="28"/>
                <w:szCs w:val="28"/>
                <w:lang w:eastAsia="zh-CN"/>
              </w:rPr>
              <w:t>。</w:t>
            </w:r>
          </w:p>
          <w:p>
            <w:pPr>
              <w:numPr>
                <w:ilvl w:val="0"/>
                <w:numId w:val="0"/>
              </w:numPr>
              <w:adjustRightInd w:val="0"/>
              <w:snapToGrid w:val="0"/>
              <w:spacing w:line="320" w:lineRule="exac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2.质保8年，投标人须中标后10天内提交质保承诺书，质保期承诺须</w:t>
            </w:r>
            <w:r>
              <w:rPr>
                <w:rFonts w:hint="eastAsia" w:ascii="仿宋" w:hAnsi="仿宋" w:eastAsia="仿宋" w:cs="仿宋"/>
                <w:color w:val="auto"/>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jc w:val="center"/>
        </w:trPr>
        <w:tc>
          <w:tcPr>
            <w:tcW w:w="2261" w:type="dxa"/>
            <w:noWrap w:val="0"/>
            <w:vAlign w:val="center"/>
          </w:tcPr>
          <w:p>
            <w:pPr>
              <w:adjustRightInd w:val="0"/>
              <w:snapToGrid w:val="0"/>
              <w:spacing w:line="32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驾驶员座椅</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驾驶员座椅为6方向可调高靠背航空气垫式座椅</w:t>
            </w:r>
            <w:r>
              <w:rPr>
                <w:rFonts w:hint="eastAsia" w:ascii="仿宋" w:hAnsi="仿宋" w:eastAsia="仿宋" w:cs="仿宋"/>
                <w:sz w:val="28"/>
                <w:szCs w:val="28"/>
                <w:lang w:val="en-US" w:eastAsia="zh-CN"/>
              </w:rPr>
              <w:t>，配</w:t>
            </w:r>
            <w:r>
              <w:rPr>
                <w:rFonts w:hint="eastAsia" w:ascii="仿宋" w:hAnsi="仿宋" w:eastAsia="仿宋" w:cs="仿宋"/>
                <w:sz w:val="28"/>
                <w:szCs w:val="28"/>
              </w:rPr>
              <w:t>三点式安全带</w:t>
            </w:r>
            <w:r>
              <w:rPr>
                <w:rFonts w:hint="eastAsia" w:ascii="仿宋" w:hAnsi="仿宋" w:eastAsia="仿宋" w:cs="仿宋"/>
                <w:sz w:val="28"/>
                <w:szCs w:val="28"/>
                <w:lang w:eastAsia="zh-CN"/>
              </w:rPr>
              <w:t>，</w:t>
            </w:r>
            <w:r>
              <w:rPr>
                <w:rFonts w:hint="eastAsia" w:ascii="仿宋" w:hAnsi="仿宋" w:eastAsia="仿宋" w:cs="仿宋"/>
                <w:sz w:val="28"/>
                <w:szCs w:val="28"/>
              </w:rPr>
              <w:t>调节幅度大于20CM,右端固定在地板上，伸缩自如可上下调节</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质保</w:t>
            </w:r>
            <w:r>
              <w:rPr>
                <w:rFonts w:hint="eastAsia" w:ascii="仿宋" w:hAnsi="仿宋" w:eastAsia="仿宋" w:cs="仿宋"/>
                <w:sz w:val="28"/>
                <w:szCs w:val="28"/>
                <w:lang w:val="en-US" w:eastAsia="zh-CN"/>
              </w:rPr>
              <w:t>8年（含易损、易耗件）。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后 视 镜</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sz w:val="28"/>
                <w:szCs w:val="28"/>
                <w:lang w:val="en-US" w:eastAsia="zh-CN"/>
              </w:rPr>
              <w:t>1.</w:t>
            </w:r>
            <w:r>
              <w:rPr>
                <w:rFonts w:hint="eastAsia" w:ascii="仿宋" w:hAnsi="仿宋" w:eastAsia="仿宋" w:cs="仿宋"/>
                <w:sz w:val="28"/>
                <w:szCs w:val="28"/>
              </w:rPr>
              <w:t>车厢正前方中间和右上方配置驾驶员后视镜二只</w:t>
            </w:r>
            <w:r>
              <w:rPr>
                <w:rFonts w:hint="eastAsia" w:ascii="仿宋" w:hAnsi="仿宋" w:eastAsia="仿宋" w:cs="仿宋"/>
                <w:sz w:val="28"/>
                <w:szCs w:val="28"/>
                <w:lang w:eastAsia="zh-CN"/>
              </w:rPr>
              <w:t>，</w:t>
            </w:r>
            <w:r>
              <w:rPr>
                <w:rFonts w:hint="eastAsia" w:ascii="仿宋" w:hAnsi="仿宋" w:eastAsia="仿宋" w:cs="仿宋"/>
                <w:color w:val="auto"/>
                <w:sz w:val="28"/>
                <w:szCs w:val="28"/>
                <w:highlight w:val="none"/>
                <w:u w:val="none"/>
              </w:rPr>
              <w:t>图象清晰，易更换。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kern w:val="2"/>
                <w:sz w:val="28"/>
                <w:szCs w:val="28"/>
                <w:highlight w:val="none"/>
                <w:u w:val="none"/>
                <w:lang w:val="en-US" w:eastAsia="zh-CN" w:bidi="ar-SA"/>
              </w:rPr>
            </w:pPr>
            <w:r>
              <w:rPr>
                <w:rFonts w:hint="eastAsia" w:ascii="仿宋" w:hAnsi="仿宋" w:eastAsia="仿宋" w:cs="仿宋"/>
                <w:color w:val="auto"/>
                <w:sz w:val="28"/>
                <w:szCs w:val="28"/>
                <w:highlight w:val="none"/>
                <w:u w:val="none"/>
                <w:lang w:val="en-US" w:eastAsia="zh-CN"/>
              </w:rPr>
              <w:t>2.</w:t>
            </w:r>
            <w:r>
              <w:rPr>
                <w:rFonts w:hint="eastAsia" w:ascii="仿宋" w:hAnsi="仿宋" w:eastAsia="仿宋" w:cs="仿宋"/>
                <w:color w:val="auto"/>
                <w:sz w:val="28"/>
                <w:szCs w:val="28"/>
                <w:highlight w:val="none"/>
                <w:u w:val="none"/>
              </w:rPr>
              <w:t>中门安装上下客摄像头。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bCs/>
                <w:color w:val="auto"/>
                <w:sz w:val="28"/>
                <w:szCs w:val="28"/>
                <w:lang w:eastAsia="zh-CN"/>
              </w:rPr>
              <w:t>内饰、空调风道、车内照明</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侧墙板采用防水易清洁PVC覆膜板。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顶板采用冲孔铝塑板。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车厢前方右角配置时间、温度显示器</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全景</w:t>
            </w:r>
            <w:r>
              <w:rPr>
                <w:rFonts w:hint="eastAsia" w:ascii="仿宋" w:hAnsi="仿宋" w:eastAsia="仿宋" w:cs="仿宋"/>
                <w:sz w:val="28"/>
                <w:szCs w:val="28"/>
                <w:lang w:eastAsia="zh-CN"/>
              </w:rPr>
              <w:t>铝合金</w:t>
            </w:r>
            <w:r>
              <w:rPr>
                <w:rFonts w:hint="eastAsia" w:ascii="仿宋" w:hAnsi="仿宋" w:eastAsia="仿宋" w:cs="仿宋"/>
                <w:sz w:val="28"/>
                <w:szCs w:val="28"/>
              </w:rPr>
              <w:t>风道。风道两侧设置广告位。具体尺寸、数量由</w:t>
            </w:r>
            <w:r>
              <w:rPr>
                <w:rFonts w:hint="eastAsia" w:ascii="仿宋" w:hAnsi="仿宋" w:eastAsia="仿宋" w:cs="仿宋"/>
                <w:sz w:val="28"/>
                <w:szCs w:val="28"/>
                <w:lang w:eastAsia="zh-CN"/>
              </w:rPr>
              <w:t>采购人</w:t>
            </w:r>
            <w:r>
              <w:rPr>
                <w:rFonts w:hint="eastAsia" w:ascii="仿宋" w:hAnsi="仿宋" w:eastAsia="仿宋" w:cs="仿宋"/>
                <w:sz w:val="28"/>
                <w:szCs w:val="28"/>
              </w:rPr>
              <w:t>提供。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5. </w:t>
            </w:r>
            <w:r>
              <w:rPr>
                <w:rFonts w:hint="eastAsia" w:ascii="仿宋" w:hAnsi="仿宋" w:eastAsia="仿宋" w:cs="仿宋"/>
                <w:sz w:val="28"/>
                <w:szCs w:val="28"/>
              </w:rPr>
              <w:t>LED照明灯:应满足夜间行驶车厢内亮化要求。LED双条顶灯</w:t>
            </w:r>
            <w:r>
              <w:rPr>
                <w:rFonts w:hint="eastAsia" w:ascii="仿宋" w:hAnsi="仿宋" w:eastAsia="仿宋" w:cs="仿宋"/>
                <w:sz w:val="28"/>
                <w:szCs w:val="28"/>
                <w:lang w:eastAsia="zh-CN"/>
              </w:rPr>
              <w:t>，</w:t>
            </w:r>
            <w:r>
              <w:rPr>
                <w:rFonts w:hint="eastAsia" w:ascii="仿宋" w:hAnsi="仿宋" w:eastAsia="仿宋" w:cs="仿宋"/>
                <w:sz w:val="28"/>
                <w:szCs w:val="28"/>
              </w:rPr>
              <w:t>厢灯控制为三挡，驾驶区一挡，车厢区二挡，开灯时，前档玻璃不能产生眩目光，影响驾驶安全。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6. </w:t>
            </w:r>
            <w:r>
              <w:rPr>
                <w:rFonts w:hint="eastAsia" w:ascii="仿宋" w:hAnsi="仿宋" w:eastAsia="仿宋" w:cs="仿宋"/>
                <w:sz w:val="28"/>
                <w:szCs w:val="28"/>
              </w:rPr>
              <w:t>驾驶室区空调出风口必须安装可调式开关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w:t>
            </w:r>
            <w:r>
              <w:rPr>
                <w:rFonts w:hint="eastAsia" w:ascii="仿宋" w:hAnsi="仿宋" w:eastAsia="仿宋" w:cs="仿宋"/>
                <w:sz w:val="28"/>
                <w:szCs w:val="28"/>
              </w:rPr>
              <w:t>冷风道不得与前、后路牌窗和发动机机舱贯通，锁止方便可靠，表面平整圆顺，固定安装可靠。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b/>
                <w:bCs/>
                <w:color w:val="auto"/>
                <w:sz w:val="28"/>
                <w:szCs w:val="28"/>
                <w:highlight w:val="none"/>
                <w:u w:val="none"/>
              </w:rPr>
            </w:pPr>
            <w:r>
              <w:rPr>
                <w:rFonts w:hint="eastAsia" w:ascii="仿宋" w:hAnsi="仿宋" w:eastAsia="仿宋" w:cs="仿宋"/>
                <w:b/>
                <w:bCs/>
                <w:color w:val="auto"/>
                <w:sz w:val="28"/>
                <w:szCs w:val="28"/>
                <w:highlight w:val="none"/>
                <w:u w:val="none"/>
                <w:lang w:val="en-US" w:eastAsia="zh-CN"/>
              </w:rPr>
              <w:t>7.空调系统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空调</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采用非独立式顶置制冷空调，制冷降温速率高、制冷效果显著。制冷量≥</w:t>
            </w:r>
            <w:r>
              <w:rPr>
                <w:rFonts w:hint="eastAsia" w:ascii="仿宋" w:hAnsi="仿宋" w:eastAsia="仿宋" w:cs="仿宋"/>
                <w:sz w:val="28"/>
                <w:szCs w:val="28"/>
                <w:lang w:val="en-US" w:eastAsia="zh-CN"/>
              </w:rPr>
              <w:t>24</w:t>
            </w:r>
            <w:r>
              <w:rPr>
                <w:rFonts w:hint="eastAsia" w:ascii="仿宋" w:hAnsi="仿宋" w:eastAsia="仿宋" w:cs="仿宋"/>
                <w:sz w:val="28"/>
                <w:szCs w:val="28"/>
              </w:rPr>
              <w:t>000大卡。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冷凝风机采用</w:t>
            </w:r>
            <w:r>
              <w:rPr>
                <w:rFonts w:hint="eastAsia" w:ascii="仿宋" w:hAnsi="仿宋" w:eastAsia="仿宋" w:cs="仿宋"/>
                <w:sz w:val="28"/>
                <w:szCs w:val="28"/>
                <w:lang w:eastAsia="zh-CN"/>
              </w:rPr>
              <w:t>优质</w:t>
            </w:r>
            <w:r>
              <w:rPr>
                <w:rFonts w:hint="eastAsia" w:ascii="仿宋" w:hAnsi="仿宋" w:eastAsia="仿宋" w:cs="仿宋"/>
                <w:sz w:val="28"/>
                <w:szCs w:val="28"/>
              </w:rPr>
              <w:t>直流无碳刷风机。冷凝器盘管为内螺纹铜管亲水铝箔高效换热器。蒸发器盘管为内螺纹铜管亲水铝箔高效换热器。蒸发风机采用直流无碳刷风机。膨胀阀、止逆阀、视液镜采用进口配置，转换器为DC-DC转换器，配</w:t>
            </w:r>
            <w:r>
              <w:rPr>
                <w:rFonts w:hint="eastAsia" w:ascii="仿宋" w:hAnsi="仿宋" w:eastAsia="仿宋" w:cs="仿宋"/>
                <w:sz w:val="28"/>
                <w:szCs w:val="28"/>
                <w:lang w:eastAsia="zh-CN"/>
              </w:rPr>
              <w:t>国产</w:t>
            </w:r>
            <w:r>
              <w:rPr>
                <w:rFonts w:hint="eastAsia" w:ascii="仿宋" w:hAnsi="仿宋" w:eastAsia="仿宋" w:cs="仿宋"/>
                <w:sz w:val="28"/>
                <w:szCs w:val="28"/>
              </w:rPr>
              <w:t>优质品牌，安全可靠耐震动、抗干扰。变频器需配</w:t>
            </w:r>
            <w:r>
              <w:rPr>
                <w:rFonts w:hint="eastAsia" w:ascii="仿宋" w:hAnsi="仿宋" w:eastAsia="仿宋" w:cs="仿宋"/>
                <w:sz w:val="28"/>
                <w:szCs w:val="28"/>
                <w:lang w:eastAsia="zh-CN"/>
              </w:rPr>
              <w:t>国产</w:t>
            </w:r>
            <w:r>
              <w:rPr>
                <w:rFonts w:hint="eastAsia" w:ascii="仿宋" w:hAnsi="仿宋" w:eastAsia="仿宋" w:cs="仿宋"/>
                <w:sz w:val="28"/>
                <w:szCs w:val="28"/>
              </w:rPr>
              <w:t>优质品牌，安全可靠耐震动、抗干扰。压缩机采用进口或合资品牌压缩机。</w:t>
            </w:r>
            <w:r>
              <w:rPr>
                <w:rFonts w:hint="eastAsia" w:ascii="仿宋" w:hAnsi="仿宋" w:eastAsia="仿宋" w:cs="仿宋"/>
                <w:sz w:val="28"/>
                <w:szCs w:val="28"/>
                <w:lang w:eastAsia="zh-CN"/>
              </w:rPr>
              <w:t>配备新风装置。</w:t>
            </w:r>
            <w:r>
              <w:rPr>
                <w:rFonts w:hint="eastAsia" w:ascii="仿宋" w:hAnsi="仿宋" w:eastAsia="仿宋" w:cs="仿宋"/>
                <w:sz w:val="28"/>
                <w:szCs w:val="28"/>
              </w:rPr>
              <w:t>风速要求达到国家标准。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空调整机免费质保8年（含</w:t>
            </w:r>
            <w:r>
              <w:rPr>
                <w:rFonts w:hint="eastAsia" w:ascii="仿宋" w:hAnsi="仿宋" w:eastAsia="仿宋" w:cs="仿宋"/>
                <w:sz w:val="28"/>
                <w:szCs w:val="28"/>
                <w:lang w:eastAsia="zh-CN"/>
              </w:rPr>
              <w:t>工时费、</w:t>
            </w:r>
            <w:r>
              <w:rPr>
                <w:rFonts w:hint="eastAsia" w:ascii="仿宋" w:hAnsi="仿宋" w:eastAsia="仿宋" w:cs="仿宋"/>
                <w:sz w:val="28"/>
                <w:szCs w:val="28"/>
              </w:rPr>
              <w:t>易损、易耗件），并附</w:t>
            </w:r>
            <w:r>
              <w:rPr>
                <w:rFonts w:hint="eastAsia" w:ascii="仿宋" w:hAnsi="仿宋" w:eastAsia="仿宋" w:cs="仿宋"/>
                <w:sz w:val="28"/>
                <w:szCs w:val="28"/>
                <w:lang w:eastAsia="zh-CN"/>
              </w:rPr>
              <w:t>客车厂及配套厂</w:t>
            </w:r>
            <w:r>
              <w:rPr>
                <w:rFonts w:hint="eastAsia" w:ascii="仿宋" w:hAnsi="仿宋" w:eastAsia="仿宋" w:cs="仿宋"/>
                <w:sz w:val="28"/>
                <w:szCs w:val="28"/>
              </w:rPr>
              <w:t>承诺书原件</w:t>
            </w:r>
            <w:r>
              <w:rPr>
                <w:rFonts w:hint="eastAsia" w:ascii="仿宋" w:hAnsi="仿宋" w:eastAsia="仿宋" w:cs="仿宋"/>
                <w:color w:val="auto"/>
                <w:sz w:val="28"/>
                <w:szCs w:val="28"/>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bCs/>
                <w:color w:val="auto"/>
                <w:sz w:val="28"/>
                <w:szCs w:val="28"/>
                <w:lang w:eastAsia="zh-CN"/>
              </w:rPr>
              <w:t>暖风</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en-US" w:eastAsia="zh-CN"/>
              </w:rPr>
              <w:t>1.</w:t>
            </w:r>
            <w:r>
              <w:rPr>
                <w:rFonts w:hint="eastAsia" w:ascii="仿宋" w:hAnsi="仿宋" w:eastAsia="仿宋" w:cs="仿宋"/>
                <w:color w:val="auto"/>
                <w:sz w:val="28"/>
                <w:szCs w:val="28"/>
                <w:highlight w:val="none"/>
                <w:u w:val="none"/>
                <w:lang w:eastAsia="zh-CN"/>
              </w:rPr>
              <w:t>前挡风玻璃安装高压</w:t>
            </w:r>
            <w:r>
              <w:rPr>
                <w:rFonts w:hint="eastAsia" w:ascii="仿宋" w:hAnsi="仿宋" w:eastAsia="仿宋" w:cs="仿宋"/>
                <w:color w:val="auto"/>
                <w:sz w:val="28"/>
                <w:szCs w:val="28"/>
                <w:highlight w:val="none"/>
                <w:u w:val="none"/>
              </w:rPr>
              <w:t>除霜</w:t>
            </w:r>
            <w:r>
              <w:rPr>
                <w:rFonts w:hint="eastAsia" w:ascii="仿宋" w:hAnsi="仿宋" w:eastAsia="仿宋" w:cs="仿宋"/>
                <w:color w:val="auto"/>
                <w:sz w:val="28"/>
                <w:szCs w:val="28"/>
                <w:highlight w:val="none"/>
                <w:u w:val="none"/>
                <w:lang w:eastAsia="zh-CN"/>
              </w:rPr>
              <w:t>机</w:t>
            </w:r>
            <w:r>
              <w:rPr>
                <w:rFonts w:hint="eastAsia" w:ascii="仿宋" w:hAnsi="仿宋" w:eastAsia="仿宋" w:cs="仿宋"/>
                <w:color w:val="auto"/>
                <w:sz w:val="28"/>
                <w:szCs w:val="28"/>
                <w:highlight w:val="none"/>
                <w:u w:val="none"/>
                <w:lang w:val="en-US" w:eastAsia="zh-CN"/>
              </w:rPr>
              <w:t>,司机处增设一个出风口（便于司机脚部取暖）</w:t>
            </w:r>
            <w:r>
              <w:rPr>
                <w:rFonts w:hint="eastAsia" w:ascii="仿宋" w:hAnsi="仿宋" w:eastAsia="仿宋" w:cs="仿宋"/>
                <w:color w:val="auto"/>
                <w:sz w:val="28"/>
                <w:szCs w:val="28"/>
                <w:highlight w:val="none"/>
                <w:u w:val="none"/>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en-US" w:eastAsia="zh-CN"/>
              </w:rPr>
              <w:t>2.免费质保8年（含</w:t>
            </w:r>
            <w:r>
              <w:rPr>
                <w:rFonts w:hint="eastAsia" w:ascii="仿宋" w:hAnsi="仿宋" w:eastAsia="仿宋" w:cs="仿宋"/>
                <w:color w:val="auto"/>
                <w:sz w:val="28"/>
                <w:szCs w:val="28"/>
                <w:highlight w:val="none"/>
                <w:u w:val="none"/>
              </w:rPr>
              <w:t>易损、易耗件</w:t>
            </w:r>
            <w:r>
              <w:rPr>
                <w:rFonts w:hint="eastAsia" w:ascii="仿宋" w:hAnsi="仿宋" w:eastAsia="仿宋" w:cs="仿宋"/>
                <w:color w:val="auto"/>
                <w:sz w:val="28"/>
                <w:szCs w:val="28"/>
                <w:highlight w:val="none"/>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8</w:t>
            </w:r>
            <w:r>
              <w:rPr>
                <w:rFonts w:hint="eastAsia" w:ascii="仿宋" w:hAnsi="仿宋" w:eastAsia="仿宋" w:cs="仿宋"/>
                <w:b/>
                <w:bCs/>
                <w:sz w:val="28"/>
                <w:szCs w:val="28"/>
              </w:rPr>
              <w:t>.消防设备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5"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kern w:val="2"/>
                <w:sz w:val="28"/>
                <w:szCs w:val="28"/>
                <w:lang w:val="en-US" w:eastAsia="zh-CN" w:bidi="ar-SA"/>
              </w:rPr>
              <w:t>电池箱灭火装置</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1.具有温度传感器、气体分解传感器、烟雾传感器并实现报警功能。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2.能实现电解液漏液自动检测报警和火灾自动探测报警功能。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3.具有灭火装置和启动开关，并能实现自动启动和手动启动功能。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4.具有权威消防研究中心对该产品的试验报告。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5.探测装置、灭火装置等要求质保8年。要求采用全氟己酮灭火剂，大于等于6Kg，提供相关检测报告及消防产品技术鉴定证书，并提供配套供应商质保承诺函。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6.电池箱火灾防控装置需有8年商业保险承诺，承诺非人为损坏和失效的免费更换。如因装用不合格的磷酸铁锂电池箱灭火装置引起的各种损失及责任，由成交供应商承担。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7.电池箱防护等级在IP67以上（提供国家或第三方机构检验报告等证明材料）。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5"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jc w:val="center"/>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eastAsia="zh-CN"/>
              </w:rPr>
              <w:t>车辆消防设备</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车厢内配置2只4公斤以上干粉灭火器，灭火器应符合国家标准规定，并取得公安部认证。灭火器架采用圆柱形直立式支架，易于提取。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高压</w:t>
            </w:r>
            <w:r>
              <w:rPr>
                <w:rFonts w:hint="eastAsia" w:ascii="仿宋" w:hAnsi="仿宋" w:eastAsia="仿宋" w:cs="仿宋"/>
                <w:sz w:val="28"/>
                <w:szCs w:val="28"/>
                <w:lang w:eastAsia="zh-CN"/>
              </w:rPr>
              <w:t>仓</w:t>
            </w:r>
            <w:r>
              <w:rPr>
                <w:rFonts w:hint="eastAsia" w:ascii="仿宋" w:hAnsi="仿宋" w:eastAsia="仿宋" w:cs="仿宋"/>
                <w:sz w:val="28"/>
                <w:szCs w:val="28"/>
              </w:rPr>
              <w:t>、电池</w:t>
            </w:r>
            <w:r>
              <w:rPr>
                <w:rFonts w:hint="eastAsia" w:ascii="仿宋" w:hAnsi="仿宋" w:eastAsia="仿宋" w:cs="仿宋"/>
                <w:sz w:val="28"/>
                <w:szCs w:val="28"/>
                <w:lang w:eastAsia="zh-CN"/>
              </w:rPr>
              <w:t>仓</w:t>
            </w:r>
            <w:r>
              <w:rPr>
                <w:rFonts w:hint="eastAsia" w:ascii="仿宋" w:hAnsi="仿宋" w:eastAsia="仿宋" w:cs="仿宋"/>
                <w:sz w:val="28"/>
                <w:szCs w:val="28"/>
              </w:rPr>
              <w:t>配备</w:t>
            </w:r>
            <w:r>
              <w:rPr>
                <w:rFonts w:hint="eastAsia" w:ascii="仿宋" w:hAnsi="仿宋" w:eastAsia="仿宋" w:cs="仿宋"/>
                <w:sz w:val="28"/>
                <w:szCs w:val="28"/>
                <w:lang w:val="en-US" w:eastAsia="zh-CN"/>
              </w:rPr>
              <w:t>总质量4KG</w:t>
            </w:r>
            <w:r>
              <w:rPr>
                <w:rFonts w:hint="eastAsia" w:ascii="仿宋" w:hAnsi="仿宋" w:eastAsia="仿宋" w:cs="仿宋"/>
                <w:sz w:val="28"/>
                <w:szCs w:val="28"/>
              </w:rPr>
              <w:t>管网式干粉灭火装置，具备声光报警及手动操作功能</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质保8年，投标人须中标后10天内提交质保承诺书，质保期承诺须</w:t>
            </w:r>
            <w:r>
              <w:rPr>
                <w:rFonts w:hint="eastAsia" w:ascii="仿宋" w:hAnsi="仿宋" w:eastAsia="仿宋" w:cs="仿宋"/>
                <w:sz w:val="28"/>
                <w:szCs w:val="28"/>
              </w:rPr>
              <w:t>由配套产品厂家和车辆制造厂家共同书面承诺。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安装客车车门应急控制系统，前后门泵总控制开关安装在副仪表台位置。前车门外、中门内和驾驶室各安装断气应急开关。应急开关应设有明显的警示使用标识。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配7只（带防盗自动报警型）安全锤，其中司机旁安装1只，符合GB7258-2017《机动车运行安全技术条件》要求。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整车侧窗左右两侧安装手自一体破窗器，带翻盖报警功能，每车安装四处，布置相关说明，每个窗户配置安全标识-逃生出口</w:t>
            </w:r>
            <w:r>
              <w:rPr>
                <w:rFonts w:hint="eastAsia" w:ascii="仿宋" w:hAnsi="仿宋" w:eastAsia="仿宋" w:cs="仿宋"/>
                <w:sz w:val="28"/>
                <w:szCs w:val="28"/>
                <w:lang w:eastAsia="zh-CN"/>
              </w:rPr>
              <w:t>。</w:t>
            </w:r>
            <w:r>
              <w:rPr>
                <w:rFonts w:hint="eastAsia" w:ascii="仿宋" w:hAnsi="仿宋" w:eastAsia="仿宋" w:cs="仿宋"/>
                <w:sz w:val="28"/>
                <w:szCs w:val="28"/>
              </w:rPr>
              <w:t>破窗器免费质保8年，并附承诺书原件。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b/>
                <w:bCs/>
                <w:color w:val="auto"/>
                <w:sz w:val="28"/>
                <w:szCs w:val="28"/>
                <w:highlight w:val="none"/>
                <w:u w:val="none"/>
                <w:shd w:val="clear" w:color="auto" w:fill="auto"/>
                <w:lang w:val="en-US" w:eastAsia="zh-CN"/>
              </w:rPr>
            </w:pPr>
            <w:r>
              <w:rPr>
                <w:rFonts w:hint="eastAsia" w:ascii="仿宋" w:hAnsi="仿宋" w:eastAsia="仿宋" w:cs="仿宋"/>
                <w:b/>
                <w:bCs/>
                <w:color w:val="auto"/>
                <w:sz w:val="28"/>
                <w:szCs w:val="28"/>
                <w:highlight w:val="none"/>
                <w:u w:val="none"/>
                <w:shd w:val="clear" w:color="auto" w:fill="auto"/>
                <w:lang w:val="en-US" w:eastAsia="zh-CN"/>
              </w:rPr>
              <w:t>9</w:t>
            </w:r>
            <w:r>
              <w:rPr>
                <w:rFonts w:hint="eastAsia" w:ascii="仿宋" w:hAnsi="仿宋" w:eastAsia="仿宋" w:cs="仿宋"/>
                <w:b/>
                <w:bCs/>
                <w:color w:val="auto"/>
                <w:sz w:val="28"/>
                <w:szCs w:val="28"/>
                <w:highlight w:val="none"/>
                <w:u w:val="none"/>
                <w:shd w:val="clear" w:color="auto" w:fill="auto"/>
              </w:rPr>
              <w:t>.电子信息设施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color w:val="auto"/>
                <w:kern w:val="2"/>
                <w:sz w:val="28"/>
                <w:szCs w:val="28"/>
                <w:highlight w:val="none"/>
                <w:u w:val="none"/>
                <w:shd w:val="clear" w:color="auto" w:fill="auto"/>
                <w:lang w:val="en-US" w:eastAsia="zh-CN" w:bidi="ar-SA"/>
              </w:rPr>
            </w:pPr>
            <w:r>
              <w:rPr>
                <w:rFonts w:hint="eastAsia" w:ascii="仿宋" w:hAnsi="仿宋" w:eastAsia="仿宋" w:cs="仿宋"/>
                <w:color w:val="auto"/>
                <w:sz w:val="28"/>
                <w:szCs w:val="28"/>
                <w:highlight w:val="none"/>
                <w:u w:val="none"/>
              </w:rPr>
              <w:t>CAN总线</w:t>
            </w:r>
          </w:p>
        </w:tc>
        <w:tc>
          <w:tcPr>
            <w:tcW w:w="7135" w:type="dxa"/>
            <w:noWrap w:val="0"/>
            <w:vAlign w:val="center"/>
          </w:tcPr>
          <w:p>
            <w:pPr>
              <w:numPr>
                <w:ilvl w:val="0"/>
                <w:numId w:val="0"/>
              </w:numPr>
              <w:tabs>
                <w:tab w:val="left" w:pos="360"/>
              </w:tabs>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全车线路控制采用阻燃整车三级</w:t>
            </w:r>
            <w:r>
              <w:rPr>
                <w:rFonts w:hint="eastAsia" w:ascii="仿宋" w:hAnsi="仿宋" w:eastAsia="仿宋" w:cs="仿宋"/>
                <w:sz w:val="28"/>
                <w:szCs w:val="28"/>
                <w:lang w:eastAsia="zh-CN"/>
              </w:rPr>
              <w:t>（三路）</w:t>
            </w:r>
            <w:r>
              <w:rPr>
                <w:rFonts w:hint="eastAsia" w:ascii="仿宋" w:hAnsi="仿宋" w:eastAsia="仿宋" w:cs="仿宋"/>
                <w:sz w:val="28"/>
                <w:szCs w:val="28"/>
              </w:rPr>
              <w:t>CAN总线系统。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全车CAN智能控制系统，包括1个彩屏仪表+总线控制器(驱动控制模块可互换）+云总线系统。</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彩屏总线仪表带7英寸彩色液晶显示屏，集成倒车和中门监控，集成各电机管理信息、电池管理信息、整车控制器、胎温胎压等运行实时状态和故障显示。</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系统应自带互联网大数据处理平台，平台具备与其他信息处理系统如智能调度系统、安服系统等进行数据交互并按照公交实际管理需求自动完成数据挖掘数据应用能力以及手机APP应用功能。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系统具备釆集、记录、关联计算、处理、上传全车数据的能力，包括新能源系统、车身CAN总线等各ECU节点数据，系统自动识别车辆严重/一般/警告故障，并提供远程仪表、底盘、“三电”等实时动态监控。</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系统可通过数据识别驾驶员节能驾驶能力以及车辆节能表现，对驾驶员、车队、公司进行能耗（安全）统计、对比、分析，并生成多样化多维度报表分析。</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具备前方碰撞预警、车距检测和警告、车道偏离报警功能。</w:t>
            </w:r>
          </w:p>
          <w:p>
            <w:p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w:t>
            </w:r>
            <w:r>
              <w:rPr>
                <w:rFonts w:hint="eastAsia" w:ascii="仿宋" w:hAnsi="仿宋" w:eastAsia="仿宋" w:cs="仿宋"/>
                <w:sz w:val="28"/>
                <w:szCs w:val="28"/>
              </w:rPr>
              <w:t>CAN通讯口，质保期</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智能调度、监控系统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1.安装智能调度系统、监控系统（具体项目内容见表1）技术要求与采购人对接。</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2.质保期8年，含易损易耗件。投标人须中标后10天内提交质保承诺书，质保期承诺须由配套产品厂家和车辆制造厂家共同书面承诺。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车内影像系统</w:t>
            </w:r>
          </w:p>
        </w:tc>
        <w:tc>
          <w:tcPr>
            <w:tcW w:w="7135" w:type="dxa"/>
            <w:noWrap w:val="0"/>
            <w:vAlign w:val="center"/>
          </w:tcPr>
          <w:p>
            <w:pPr>
              <w:numPr>
                <w:ilvl w:val="0"/>
                <w:numId w:val="0"/>
              </w:numPr>
              <w:adjustRightInd w:val="0"/>
              <w:snapToGrid w:val="0"/>
              <w:spacing w:line="320" w:lineRule="exac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安装车内影像系统</w:t>
            </w:r>
            <w:r>
              <w:rPr>
                <w:rFonts w:hint="eastAsia" w:ascii="仿宋" w:hAnsi="仿宋" w:eastAsia="仿宋" w:cs="仿宋"/>
                <w:sz w:val="28"/>
                <w:szCs w:val="28"/>
                <w:lang w:val="en-US" w:eastAsia="zh-CN"/>
              </w:rPr>
              <w:t>1</w:t>
            </w:r>
            <w:r>
              <w:rPr>
                <w:rFonts w:hint="eastAsia" w:ascii="仿宋" w:hAnsi="仿宋" w:eastAsia="仿宋" w:cs="仿宋"/>
                <w:sz w:val="28"/>
                <w:szCs w:val="28"/>
              </w:rPr>
              <w:t>个显示屏</w:t>
            </w:r>
            <w:r>
              <w:rPr>
                <w:rFonts w:hint="eastAsia" w:ascii="仿宋" w:hAnsi="仿宋" w:eastAsia="仿宋" w:cs="仿宋"/>
                <w:sz w:val="28"/>
                <w:szCs w:val="28"/>
                <w:lang w:eastAsia="zh-CN"/>
              </w:rPr>
              <w:t>和</w:t>
            </w:r>
            <w:r>
              <w:rPr>
                <w:rFonts w:hint="eastAsia" w:ascii="仿宋" w:hAnsi="仿宋" w:eastAsia="仿宋" w:cs="仿宋"/>
                <w:sz w:val="28"/>
                <w:szCs w:val="28"/>
              </w:rPr>
              <w:t>1个车载无线播放器，车载无线播放器安装在电器箱内（具体设施项目要求见表</w:t>
            </w:r>
            <w:r>
              <w:rPr>
                <w:rFonts w:hint="eastAsia" w:ascii="仿宋" w:hAnsi="仿宋" w:eastAsia="仿宋" w:cs="仿宋"/>
                <w:sz w:val="28"/>
                <w:szCs w:val="28"/>
                <w:lang w:val="en-US" w:eastAsia="zh-CN"/>
              </w:rPr>
              <w:t>2</w:t>
            </w:r>
            <w:r>
              <w:rPr>
                <w:rFonts w:hint="eastAsia" w:ascii="仿宋" w:hAnsi="仿宋" w:eastAsia="仿宋" w:cs="仿宋"/>
                <w:sz w:val="28"/>
                <w:szCs w:val="28"/>
              </w:rPr>
              <w:t>）。</w:t>
            </w:r>
          </w:p>
          <w:p>
            <w:pPr>
              <w:numPr>
                <w:ilvl w:val="0"/>
                <w:numId w:val="0"/>
              </w:numPr>
              <w:adjustRightInd w:val="0"/>
              <w:snapToGrid w:val="0"/>
              <w:spacing w:line="32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质保</w:t>
            </w:r>
            <w:r>
              <w:rPr>
                <w:rFonts w:hint="eastAsia" w:ascii="仿宋" w:hAnsi="仿宋" w:eastAsia="仿宋" w:cs="仿宋"/>
                <w:sz w:val="28"/>
                <w:szCs w:val="28"/>
                <w:lang w:val="en-US" w:eastAsia="zh-CN"/>
              </w:rPr>
              <w:t>8年，含易损易耗件。投标人须中标后10天内提交质保承诺书，质保期承诺须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1"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全彩电子路牌</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电子路牌为前、后、侧牌采用全彩型显示电子路牌</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前路牌（24点阵），字数为11个汉字及以上，点间距≤8.2mm；后牌（24点阵），字数为11个汉字及以上，点间距≤8.2mm，后牌显示车辆转弯、刹车等车辆实时信息；车内滚动屏（16点阵）LED汉字路牌，字数为10个汉字及以上；侧牌（24点阵），字数为8个汉字及以上，点间距≤8.2mm。与采购方现有系统对接，路牌设有光感探头，可随外界亮度变化自动调节亮度，内容可以静止、滚动等多种方式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免费质保8年+配备日常更换零件，附承诺书原件。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导乘屏</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车内安装1块LCD导乘屏显示实时到站信息。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2.免费质保8年，含易损易耗件，要求本地维修。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客流分析仪</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主机要求水平安装在风道内，并在风道上开检修门以方便检修；体感摄像头安装在前门/后门正上方，镜头要求与车身平行安装，摄像头正面朝下并无遮挡物遮挡；前中门信号线要求开门时提供持续高电平，关闭时提供低电平，门开时提供持续高电平（24V），门关时提供低电平（0V或悬空），且要求放置在主机位置处。</w:t>
            </w:r>
          </w:p>
          <w:p>
            <w:pPr>
              <w:numPr>
                <w:ilvl w:val="0"/>
                <w:numId w:val="0"/>
              </w:num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质保期</w:t>
            </w:r>
            <w:r>
              <w:rPr>
                <w:rFonts w:hint="eastAsia" w:ascii="仿宋" w:hAnsi="仿宋" w:eastAsia="仿宋" w:cs="仿宋"/>
                <w:sz w:val="28"/>
                <w:szCs w:val="28"/>
                <w:lang w:val="en-US" w:eastAsia="zh-CN"/>
              </w:rPr>
              <w:t>8</w:t>
            </w:r>
            <w:r>
              <w:rPr>
                <w:rFonts w:hint="eastAsia" w:ascii="仿宋" w:hAnsi="仿宋" w:eastAsia="仿宋" w:cs="仿宋"/>
                <w:sz w:val="28"/>
                <w:szCs w:val="28"/>
              </w:rPr>
              <w:t>年，</w:t>
            </w:r>
            <w:r>
              <w:rPr>
                <w:rFonts w:hint="eastAsia" w:ascii="仿宋" w:hAnsi="仿宋" w:eastAsia="仿宋" w:cs="仿宋"/>
                <w:sz w:val="28"/>
                <w:szCs w:val="28"/>
                <w:lang w:val="en-US" w:eastAsia="zh-CN"/>
              </w:rPr>
              <w:t>投标人须中标后10天内提交质保承诺书，质保期承诺须</w:t>
            </w:r>
            <w:r>
              <w:rPr>
                <w:rFonts w:hint="eastAsia" w:ascii="仿宋" w:hAnsi="仿宋" w:eastAsia="仿宋" w:cs="仿宋"/>
                <w:sz w:val="28"/>
                <w:szCs w:val="28"/>
              </w:rPr>
              <w:t>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驾驶员主动防御系统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通过云总线对驾驶员行为进行分析，具备开机自检、过流、过压、过温保护功能，能判断轻载、过载、短路、开路等故障状态；CAN模块可通用、互换、具备较强的抗电磁干扰和静电冲击能力，使用通过ISO电磁兼容认证的产品；云总线系统具备大数据管理技术，CAN数据采集，实时信息处理、动力系统及车身底盘等相关电气负载信息显示及故障报警的能力，实现车辆运行状态实时监控，能耗统计、驾驶员技能行为分析、驾驶员安全行为分析、线路驾驶规范、事故疑点数据采集与分析等功能并实现与DSM设备交互实现人脸识别、语音播报等功能。</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2.车辆智能视频监控报警装置（含DSM和ADAS），具备驾驶员不安全驾驶行为监控和车辆前方行驶碰撞预警功能：符合《交通运输部办公厅关于推广应用智能视频监控报警技术的通知》（交办运〔2018〕115 号）附件“道路运输车辆智能视频监控报警装置技术规范（暂行）”及符合浙江省道路运输协会发布的《道路运输车辆智能视频监控报警系统终端技术规范》（T/ZJRTA 01—2018）要求。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3.与采购人云总线系统信息传输全面对接匹配。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4.系统要求质保期8年，投标人须中标后10天内提交质保承诺书，质保期承诺须由配套产品厂家和车辆制造厂家共同书面承诺。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车载智慧云模块</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安装车载智慧云模块，CAN总线通过车载智慧云模块无缝对接公交现有管理系统，云模块兼容采购方现有标准协议；云模块支持多策略上传数据，要求能够无缝对接现有功能，与系统实现无缝对接，若无法对接的，由投标人自行承担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2.免费质保8年+配备日常更换零件，附承诺书原件。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电子设备箱</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leftChars="0" w:right="0" w:rightChars="0"/>
              <w:textAlignment w:val="auto"/>
              <w:outlineLvl w:val="9"/>
              <w:rPr>
                <w:rFonts w:hint="eastAsia" w:ascii="仿宋" w:hAnsi="仿宋" w:eastAsia="仿宋" w:cs="仿宋"/>
                <w:color w:val="D61BE1"/>
                <w:kern w:val="2"/>
                <w:sz w:val="28"/>
                <w:szCs w:val="28"/>
                <w:highlight w:val="none"/>
                <w:u w:val="none"/>
                <w:shd w:val="clear" w:color="auto" w:fill="auto"/>
                <w:lang w:val="en-US" w:eastAsia="zh-CN" w:bidi="ar-SA"/>
              </w:rPr>
            </w:pPr>
            <w:r>
              <w:rPr>
                <w:rFonts w:hint="eastAsia" w:ascii="仿宋" w:hAnsi="仿宋" w:eastAsia="仿宋" w:cs="仿宋"/>
                <w:sz w:val="28"/>
                <w:szCs w:val="28"/>
              </w:rPr>
              <w:t>在适当位置安装电子设备箱，内部可抽拉式、多方位开启，设置5层以上，每层间隔不得低于13公分，箱体四角为圆角，采用不锈钢材质。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22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360全景及电子后视镜系统</w:t>
            </w:r>
          </w:p>
        </w:tc>
        <w:tc>
          <w:tcPr>
            <w:tcW w:w="713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1.高清显示，两块12.3英寸高清车规级显示屏（1920x720P），左屏分区显示，2/3后视显示，1/3显示360环视，车速大于20KM/H切换为全屏显示，右屏后视全屏显示。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2.支持2路1080P高清分辨率摄像头（1920x1080），其中两路后视摄像头，支持4路360环视摄像头，摄像头为标清摄像头。</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3.自动画面，支持CAN传输通用协议，并可根据车速和左右转弯信号进行左边12.3寸屏画面的自动切换。</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4.自动光感，屏幕亮度自适应调节，适应白天和晚上各种应用场景，自适应防眩护目。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5.预留TF卡插卡卡槽，支持扩展视频录制，最大支持128G TF卡存储, 具备模拟视频输出能力。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6.系统可以提供车辆四周360度全景鸟瞰图，司机在驾驶位就可以了看到车辆四周的状况，无盲区。</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7.系统采用红外超广角摄像头，能够适应不同的光源。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8.多种视图模式切换，分别是前视行车图，倒车后视视图，左侧行车视图，右侧行车视图，倒车视图可以替代传统的倒车监控。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right="0" w:right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9.质保8年，含易损易耗件，要求本地维护，投标人须中标后10天内提交质保承诺书，质保期承诺须由配套产品厂家和车辆制造厂家共同书面承诺。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投币箱</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投币机机头为透明机头，纸币硬币共口投入（不带真假币识别），带票夹，标配内胆</w:t>
            </w:r>
            <w:r>
              <w:rPr>
                <w:rFonts w:hint="eastAsia" w:ascii="仿宋" w:hAnsi="仿宋" w:eastAsia="仿宋" w:cs="仿宋"/>
                <w:sz w:val="28"/>
                <w:szCs w:val="28"/>
                <w:lang w:val="en-US" w:eastAsia="zh-CN"/>
              </w:rPr>
              <w:t>4</w:t>
            </w:r>
            <w:r>
              <w:rPr>
                <w:rFonts w:hint="eastAsia" w:ascii="仿宋" w:hAnsi="仿宋" w:eastAsia="仿宋" w:cs="仿宋"/>
                <w:sz w:val="28"/>
                <w:szCs w:val="28"/>
              </w:rPr>
              <w:t>只。投币机内设置翻板，并实现前门开关打开前门时，内置翻板自动翻板。</w:t>
            </w:r>
          </w:p>
          <w:p>
            <w:pPr>
              <w:numPr>
                <w:ilvl w:val="0"/>
                <w:numId w:val="0"/>
              </w:numPr>
              <w:adjustRightInd w:val="0"/>
              <w:snapToGrid w:val="0"/>
              <w:spacing w:line="320" w:lineRule="exact"/>
              <w:jc w:val="left"/>
              <w:rPr>
                <w:rFonts w:hint="eastAsia" w:ascii="仿宋" w:hAnsi="仿宋" w:eastAsia="仿宋" w:cs="仿宋"/>
                <w:b w:val="0"/>
                <w:color w:val="auto"/>
                <w:kern w:val="2"/>
                <w:sz w:val="28"/>
                <w:szCs w:val="28"/>
                <w:lang w:val="en-US" w:eastAsia="zh-CN" w:bidi="ar-SA"/>
              </w:rPr>
            </w:pPr>
            <w:r>
              <w:rPr>
                <w:rFonts w:hint="eastAsia" w:ascii="仿宋" w:hAnsi="仿宋" w:eastAsia="仿宋" w:cs="仿宋"/>
                <w:sz w:val="28"/>
                <w:szCs w:val="28"/>
                <w:lang w:val="en-US" w:eastAsia="zh-CN"/>
              </w:rPr>
              <w:t>2.</w:t>
            </w:r>
            <w:r>
              <w:rPr>
                <w:rFonts w:hint="eastAsia" w:ascii="仿宋" w:hAnsi="仿宋" w:eastAsia="仿宋" w:cs="仿宋"/>
                <w:sz w:val="28"/>
                <w:szCs w:val="28"/>
              </w:rPr>
              <w:t>质保8年+日常维修配件，并附承诺书原件。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2261" w:type="dxa"/>
            <w:noWrap w:val="0"/>
            <w:vAlign w:val="center"/>
          </w:tcPr>
          <w:p>
            <w:pPr>
              <w:pStyle w:val="2"/>
              <w:ind w:left="0" w:leftChars="0" w:firstLine="0" w:firstLine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其他</w:t>
            </w:r>
          </w:p>
        </w:tc>
        <w:tc>
          <w:tcPr>
            <w:tcW w:w="7135" w:type="dxa"/>
            <w:noWrap w:val="0"/>
            <w:vAlign w:val="center"/>
          </w:tcPr>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车内车载电视，车后广告显示屏，车内</w:t>
            </w:r>
            <w:r>
              <w:rPr>
                <w:rFonts w:hint="eastAsia" w:ascii="仿宋" w:hAnsi="仿宋" w:eastAsia="仿宋" w:cs="仿宋"/>
                <w:sz w:val="28"/>
                <w:szCs w:val="28"/>
                <w:lang w:val="en-US" w:eastAsia="zh-CN"/>
              </w:rPr>
              <w:t>LCD等大功率电器</w:t>
            </w:r>
            <w:r>
              <w:rPr>
                <w:rFonts w:hint="eastAsia" w:ascii="仿宋" w:hAnsi="仿宋" w:eastAsia="仿宋" w:cs="仿宋"/>
                <w:sz w:val="28"/>
                <w:szCs w:val="28"/>
                <w:lang w:eastAsia="zh-CN"/>
              </w:rPr>
              <w:t>通过动力电池供电。</w:t>
            </w:r>
          </w:p>
          <w:p>
            <w:pPr>
              <w:numPr>
                <w:ilvl w:val="0"/>
                <w:numId w:val="0"/>
              </w:num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2.预留一组24V的DCDC电源备用。</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预留前门的IC卡POS机线束。</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.预留车载WIFI设备线束。</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.安装可打印式行车记录仪。</w:t>
            </w:r>
          </w:p>
          <w:p>
            <w:pPr>
              <w:numPr>
                <w:ilvl w:val="0"/>
                <w:numId w:val="0"/>
              </w:numPr>
              <w:adjustRightInd w:val="0"/>
              <w:snapToGrid w:val="0"/>
              <w:spacing w:line="320" w:lineRule="exact"/>
              <w:jc w:val="left"/>
              <w:rPr>
                <w:rFonts w:hint="eastAsia" w:ascii="仿宋" w:hAnsi="仿宋" w:eastAsia="仿宋" w:cs="仿宋"/>
                <w:sz w:val="28"/>
                <w:szCs w:val="28"/>
                <w:lang w:eastAsia="zh-CN"/>
              </w:rPr>
            </w:pPr>
            <w:r>
              <w:rPr>
                <w:rFonts w:hint="eastAsia" w:ascii="仿宋" w:hAnsi="仿宋" w:eastAsia="仿宋" w:cs="仿宋"/>
                <w:sz w:val="28"/>
                <w:szCs w:val="28"/>
                <w:lang w:val="en-US" w:eastAsia="zh-CN"/>
              </w:rPr>
              <w:t>6.采购方其他采购的设备，由中标方负责安装</w:t>
            </w:r>
            <w:r>
              <w:rPr>
                <w:rFonts w:hint="eastAsia" w:ascii="仿宋" w:hAnsi="仿宋" w:eastAsia="仿宋" w:cs="仿宋"/>
                <w:sz w:val="28"/>
                <w:szCs w:val="28"/>
                <w:lang w:eastAsia="zh-CN"/>
              </w:rPr>
              <w:t>。</w:t>
            </w:r>
          </w:p>
          <w:p>
            <w:pPr>
              <w:adjustRightInd w:val="0"/>
              <w:snapToGrid w:val="0"/>
              <w:spacing w:line="320" w:lineRule="exact"/>
              <w:jc w:val="lef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7.全车低压供电24V。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939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b/>
                <w:bCs/>
                <w:color w:val="auto"/>
                <w:sz w:val="28"/>
                <w:szCs w:val="28"/>
                <w:highlight w:val="none"/>
                <w:u w:val="none"/>
                <w:shd w:val="clear" w:color="auto" w:fill="auto"/>
                <w:lang w:val="en-US" w:eastAsia="zh-CN"/>
              </w:rPr>
            </w:pPr>
            <w:r>
              <w:rPr>
                <w:rFonts w:hint="eastAsia" w:ascii="仿宋" w:hAnsi="仿宋" w:eastAsia="仿宋" w:cs="仿宋"/>
                <w:b/>
                <w:bCs/>
                <w:color w:val="auto"/>
                <w:sz w:val="28"/>
                <w:szCs w:val="28"/>
                <w:highlight w:val="none"/>
                <w:u w:val="none"/>
                <w:shd w:val="clear" w:color="auto" w:fill="auto"/>
                <w:lang w:val="en-US" w:eastAsia="zh-CN"/>
              </w:rPr>
              <w:t>10</w:t>
            </w:r>
            <w:r>
              <w:rPr>
                <w:rFonts w:hint="eastAsia" w:ascii="仿宋" w:hAnsi="仿宋" w:eastAsia="仿宋" w:cs="仿宋"/>
                <w:b/>
                <w:bCs/>
                <w:color w:val="auto"/>
                <w:sz w:val="28"/>
                <w:szCs w:val="28"/>
                <w:highlight w:val="none"/>
                <w:u w:val="none"/>
                <w:shd w:val="clear" w:color="auto" w:fill="auto"/>
              </w:rPr>
              <w:t>.随车</w:t>
            </w:r>
            <w:r>
              <w:rPr>
                <w:rFonts w:hint="eastAsia" w:ascii="仿宋" w:hAnsi="仿宋" w:eastAsia="仿宋" w:cs="仿宋"/>
                <w:b/>
                <w:bCs/>
                <w:color w:val="auto"/>
                <w:sz w:val="28"/>
                <w:szCs w:val="28"/>
                <w:highlight w:val="none"/>
                <w:u w:val="none"/>
                <w:shd w:val="clear" w:color="auto" w:fill="auto"/>
                <w:lang w:eastAsia="zh-CN"/>
              </w:rPr>
              <w:t>及其他</w:t>
            </w:r>
            <w:r>
              <w:rPr>
                <w:rFonts w:hint="eastAsia" w:ascii="仿宋" w:hAnsi="仿宋" w:eastAsia="仿宋" w:cs="仿宋"/>
                <w:b/>
                <w:bCs/>
                <w:color w:val="auto"/>
                <w:sz w:val="28"/>
                <w:szCs w:val="28"/>
                <w:highlight w:val="none"/>
                <w:u w:val="none"/>
                <w:shd w:val="clear" w:color="auto" w:fill="auto"/>
              </w:rPr>
              <w:t>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226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rPr>
            </w:pPr>
          </w:p>
        </w:tc>
        <w:tc>
          <w:tcPr>
            <w:tcW w:w="713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sz w:val="28"/>
                <w:szCs w:val="28"/>
                <w:lang w:val="en-US" w:eastAsia="zh-CN"/>
              </w:rPr>
              <w:t>1.</w:t>
            </w:r>
            <w:r>
              <w:rPr>
                <w:rFonts w:hint="eastAsia" w:ascii="仿宋" w:hAnsi="仿宋" w:eastAsia="仿宋" w:cs="仿宋"/>
                <w:color w:val="auto"/>
                <w:sz w:val="28"/>
                <w:szCs w:val="28"/>
                <w:highlight w:val="none"/>
                <w:u w:val="none"/>
                <w:shd w:val="clear" w:color="auto" w:fill="auto"/>
                <w:lang w:eastAsia="zh-CN"/>
              </w:rPr>
              <w:t>车厢内安装一个不锈钢置物箱，置物箱式样及安装位置与采购方对接后确认。</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eastAsia="zh-CN"/>
              </w:rPr>
            </w:pP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提供一台车辆故障检测仪。</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1.</w:t>
            </w:r>
            <w:r>
              <w:rPr>
                <w:rFonts w:hint="eastAsia" w:ascii="仿宋" w:hAnsi="仿宋" w:eastAsia="仿宋" w:cs="仿宋"/>
                <w:color w:val="auto"/>
                <w:sz w:val="28"/>
                <w:szCs w:val="28"/>
                <w:highlight w:val="none"/>
                <w:u w:val="none"/>
                <w:shd w:val="clear" w:color="auto" w:fill="auto"/>
                <w:lang w:eastAsia="zh-CN"/>
              </w:rPr>
              <w:t>每辆车配一个备胎、</w:t>
            </w:r>
            <w:r>
              <w:rPr>
                <w:rFonts w:hint="eastAsia" w:ascii="仿宋" w:hAnsi="仿宋" w:eastAsia="仿宋" w:cs="仿宋"/>
                <w:color w:val="auto"/>
                <w:sz w:val="28"/>
                <w:szCs w:val="28"/>
                <w:highlight w:val="none"/>
                <w:u w:val="none"/>
                <w:shd w:val="clear" w:color="auto" w:fill="auto"/>
              </w:rPr>
              <w:t>随车工具一套（含发动机备件箱一套）。三角警示牌1个、</w:t>
            </w:r>
            <w:r>
              <w:rPr>
                <w:rFonts w:hint="eastAsia" w:ascii="仿宋" w:hAnsi="仿宋" w:eastAsia="仿宋" w:cs="仿宋"/>
                <w:color w:val="auto"/>
                <w:sz w:val="28"/>
                <w:szCs w:val="28"/>
                <w:highlight w:val="none"/>
                <w:u w:val="none"/>
                <w:shd w:val="clear" w:color="auto" w:fill="auto"/>
                <w:lang w:eastAsia="zh-CN"/>
              </w:rPr>
              <w:t>止推器</w:t>
            </w:r>
            <w:r>
              <w:rPr>
                <w:rFonts w:hint="eastAsia" w:ascii="仿宋" w:hAnsi="仿宋" w:eastAsia="仿宋" w:cs="仿宋"/>
                <w:color w:val="auto"/>
                <w:sz w:val="28"/>
                <w:szCs w:val="28"/>
                <w:highlight w:val="none"/>
                <w:u w:val="none"/>
                <w:shd w:val="clear" w:color="auto" w:fill="auto"/>
                <w:lang w:val="en-US" w:eastAsia="zh-CN"/>
              </w:rPr>
              <w:t>2</w:t>
            </w:r>
            <w:r>
              <w:rPr>
                <w:rFonts w:hint="eastAsia" w:ascii="仿宋" w:hAnsi="仿宋" w:eastAsia="仿宋" w:cs="仿宋"/>
                <w:color w:val="auto"/>
                <w:sz w:val="28"/>
                <w:szCs w:val="28"/>
                <w:highlight w:val="none"/>
                <w:u w:val="none"/>
                <w:shd w:val="clear" w:color="auto" w:fill="auto"/>
                <w:lang w:eastAsia="zh-CN"/>
              </w:rPr>
              <w:t>个、反光背心</w:t>
            </w:r>
            <w:r>
              <w:rPr>
                <w:rFonts w:hint="eastAsia" w:ascii="仿宋" w:hAnsi="仿宋" w:eastAsia="仿宋" w:cs="仿宋"/>
                <w:color w:val="auto"/>
                <w:sz w:val="28"/>
                <w:szCs w:val="28"/>
                <w:highlight w:val="none"/>
                <w:u w:val="none"/>
                <w:shd w:val="clear" w:color="auto" w:fill="auto"/>
                <w:lang w:val="en-US" w:eastAsia="zh-CN"/>
              </w:rPr>
              <w:t>1件，</w:t>
            </w:r>
            <w:r>
              <w:rPr>
                <w:rFonts w:hint="eastAsia" w:ascii="仿宋" w:hAnsi="仿宋" w:eastAsia="仿宋" w:cs="仿宋"/>
                <w:color w:val="auto"/>
                <w:sz w:val="28"/>
                <w:szCs w:val="28"/>
                <w:highlight w:val="none"/>
                <w:u w:val="none"/>
                <w:shd w:val="clear" w:color="auto" w:fill="auto"/>
              </w:rPr>
              <w:t>内外喊话器（内外扬声器）。</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3.</w:t>
            </w:r>
            <w:r>
              <w:rPr>
                <w:rFonts w:hint="eastAsia" w:ascii="仿宋" w:hAnsi="仿宋" w:eastAsia="仿宋" w:cs="仿宋"/>
                <w:color w:val="auto"/>
                <w:sz w:val="28"/>
                <w:szCs w:val="28"/>
                <w:highlight w:val="none"/>
                <w:u w:val="none"/>
                <w:shd w:val="clear" w:color="auto" w:fill="auto"/>
              </w:rPr>
              <w:t>前后门轴上设置禁止攀扶标志。</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D61BE1"/>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4.</w:t>
            </w:r>
            <w:r>
              <w:rPr>
                <w:rFonts w:hint="eastAsia" w:ascii="仿宋" w:hAnsi="仿宋" w:eastAsia="仿宋" w:cs="仿宋"/>
                <w:color w:val="auto"/>
                <w:sz w:val="28"/>
                <w:szCs w:val="28"/>
                <w:highlight w:val="none"/>
                <w:u w:val="none"/>
                <w:shd w:val="clear" w:color="auto" w:fill="auto"/>
              </w:rPr>
              <w:t>安装</w:t>
            </w:r>
            <w:r>
              <w:rPr>
                <w:rFonts w:hint="eastAsia" w:ascii="仿宋" w:hAnsi="仿宋" w:eastAsia="仿宋" w:cs="仿宋"/>
                <w:color w:val="auto"/>
                <w:sz w:val="28"/>
                <w:szCs w:val="28"/>
                <w:highlight w:val="none"/>
                <w:u w:val="none"/>
                <w:shd w:val="clear" w:color="auto" w:fill="auto"/>
                <w:lang w:eastAsia="zh-CN"/>
              </w:rPr>
              <w:t>垃圾分类专用垃圾桶，尺寸、外观等由采购方提供</w:t>
            </w:r>
            <w:r>
              <w:rPr>
                <w:rFonts w:hint="eastAsia" w:ascii="仿宋" w:hAnsi="仿宋" w:eastAsia="仿宋" w:cs="仿宋"/>
                <w:color w:val="auto"/>
                <w:sz w:val="28"/>
                <w:szCs w:val="28"/>
                <w:highlight w:val="none"/>
                <w:u w:val="none"/>
                <w:shd w:val="clear" w:color="auto" w:fill="auto"/>
              </w:rPr>
              <w:t>。在驾驶室前区域合理放置便民服务箱。安装意见箱，尺寸由采购方提供。</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rPr>
            </w:pPr>
            <w:r>
              <w:rPr>
                <w:rFonts w:hint="eastAsia" w:ascii="仿宋" w:hAnsi="仿宋" w:eastAsia="仿宋" w:cs="仿宋"/>
                <w:color w:val="auto"/>
                <w:sz w:val="28"/>
                <w:szCs w:val="28"/>
                <w:highlight w:val="none"/>
                <w:u w:val="none"/>
                <w:shd w:val="clear" w:color="auto" w:fill="auto"/>
                <w:lang w:val="en-US" w:eastAsia="zh-CN"/>
              </w:rPr>
              <w:t>5.</w:t>
            </w:r>
            <w:r>
              <w:rPr>
                <w:rFonts w:hint="eastAsia" w:ascii="仿宋" w:hAnsi="仿宋" w:eastAsia="仿宋" w:cs="仿宋"/>
                <w:color w:val="auto"/>
                <w:sz w:val="28"/>
                <w:szCs w:val="28"/>
                <w:highlight w:val="none"/>
                <w:u w:val="none"/>
                <w:shd w:val="clear" w:color="auto" w:fill="auto"/>
              </w:rPr>
              <w:t>车辆前挡序号与车钢印相符表格一份;配整车电路图十份;主要配件生产型号或图号及生产厂家十份。</w:t>
            </w:r>
          </w:p>
          <w:p>
            <w:pPr>
              <w:keepNext w:val="0"/>
              <w:keepLines w:val="0"/>
              <w:pageBreakBefore w:val="0"/>
              <w:widowControl w:val="0"/>
              <w:kinsoku/>
              <w:wordWrap/>
              <w:overflowPunct/>
              <w:topLinePunct w:val="0"/>
              <w:autoSpaceDE/>
              <w:autoSpaceDN/>
              <w:bidi w:val="0"/>
              <w:adjustRightInd w:val="0"/>
              <w:snapToGrid w:val="0"/>
              <w:spacing w:line="320" w:lineRule="exact"/>
              <w:ind w:right="0" w:rightChars="0"/>
              <w:textAlignment w:val="auto"/>
              <w:outlineLvl w:val="9"/>
              <w:rPr>
                <w:rFonts w:hint="eastAsia" w:ascii="仿宋" w:hAnsi="仿宋" w:eastAsia="仿宋" w:cs="仿宋"/>
                <w:color w:val="auto"/>
                <w:sz w:val="28"/>
                <w:szCs w:val="28"/>
                <w:highlight w:val="none"/>
                <w:u w:val="none"/>
                <w:shd w:val="clear" w:color="auto" w:fill="auto"/>
                <w:lang w:val="en-US" w:eastAsia="zh-CN"/>
              </w:rPr>
            </w:pPr>
            <w:r>
              <w:rPr>
                <w:rFonts w:hint="eastAsia" w:ascii="仿宋" w:hAnsi="仿宋" w:eastAsia="仿宋" w:cs="仿宋"/>
                <w:sz w:val="28"/>
                <w:szCs w:val="28"/>
                <w:lang w:val="en-US" w:eastAsia="zh-CN" w:bidi="ar-SA"/>
              </w:rPr>
              <w:t>6.</w:t>
            </w:r>
            <w:r>
              <w:rPr>
                <w:rFonts w:hint="eastAsia" w:ascii="仿宋" w:hAnsi="仿宋" w:eastAsia="仿宋" w:cs="仿宋"/>
                <w:sz w:val="28"/>
                <w:szCs w:val="28"/>
                <w:lang w:val="en-US" w:bidi="ar-SA"/>
              </w:rPr>
              <w:t>零配件供应体系方案应完整（提供资料、型号、价格清单）</w:t>
            </w:r>
            <w:r>
              <w:rPr>
                <w:rFonts w:hint="eastAsia" w:ascii="仿宋" w:hAnsi="仿宋" w:eastAsia="仿宋" w:cs="仿宋"/>
                <w:color w:val="auto"/>
                <w:sz w:val="28"/>
                <w:szCs w:val="28"/>
                <w:highlight w:val="none"/>
                <w:u w:val="none"/>
                <w:shd w:val="clear" w:color="auto" w:fill="auto"/>
              </w:rPr>
              <w:t xml:space="preserve"> </w:t>
            </w:r>
          </w:p>
        </w:tc>
      </w:tr>
    </w:tbl>
    <w:p>
      <w:pPr>
        <w:autoSpaceDE w:val="0"/>
        <w:autoSpaceDN w:val="0"/>
        <w:adjustRightInd w:val="0"/>
        <w:snapToGrid w:val="0"/>
        <w:spacing w:line="320" w:lineRule="exact"/>
        <w:jc w:val="left"/>
        <w:rPr>
          <w:rFonts w:hint="eastAsia" w:ascii="仿宋" w:hAnsi="仿宋" w:eastAsia="仿宋" w:cs="仿宋"/>
          <w:b/>
          <w:color w:val="auto"/>
          <w:spacing w:val="-8"/>
          <w:szCs w:val="21"/>
          <w:highlight w:val="none"/>
          <w:u w:val="none"/>
        </w:rPr>
      </w:pPr>
      <w:r>
        <w:rPr>
          <w:rFonts w:hint="eastAsia" w:ascii="仿宋" w:hAnsi="仿宋" w:eastAsia="仿宋" w:cs="仿宋"/>
          <w:b/>
          <w:color w:val="auto"/>
          <w:spacing w:val="-8"/>
          <w:szCs w:val="21"/>
          <w:highlight w:val="none"/>
          <w:u w:val="none"/>
        </w:rPr>
        <w:t>表</w:t>
      </w:r>
      <w:r>
        <w:rPr>
          <w:rFonts w:hint="eastAsia" w:ascii="仿宋" w:hAnsi="仿宋" w:eastAsia="仿宋" w:cs="仿宋"/>
          <w:b/>
          <w:color w:val="auto"/>
          <w:spacing w:val="-8"/>
          <w:szCs w:val="21"/>
          <w:highlight w:val="none"/>
          <w:u w:val="none"/>
          <w:lang w:val="en-US" w:eastAsia="zh-CN"/>
        </w:rPr>
        <w:t>1</w:t>
      </w:r>
      <w:r>
        <w:rPr>
          <w:rFonts w:hint="eastAsia" w:ascii="仿宋" w:hAnsi="仿宋" w:eastAsia="仿宋" w:cs="仿宋"/>
          <w:b/>
          <w:color w:val="auto"/>
          <w:spacing w:val="-8"/>
          <w:szCs w:val="21"/>
          <w:highlight w:val="none"/>
          <w:u w:val="none"/>
        </w:rPr>
        <w:t>：设备安装要求</w:t>
      </w:r>
    </w:p>
    <w:tbl>
      <w:tblPr>
        <w:tblStyle w:val="16"/>
        <w:tblW w:w="89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1"/>
        <w:gridCol w:w="4282"/>
        <w:gridCol w:w="739"/>
        <w:gridCol w:w="850"/>
        <w:gridCol w:w="17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jc w:val="center"/>
        </w:trPr>
        <w:tc>
          <w:tcPr>
            <w:tcW w:w="8920" w:type="dxa"/>
            <w:gridSpan w:val="5"/>
            <w:noWrap w:val="0"/>
            <w:vAlign w:val="top"/>
          </w:tcPr>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1、</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安装一体机；支持电信4G</w:t>
            </w:r>
            <w:r>
              <w:rPr>
                <w:rFonts w:hint="eastAsia" w:ascii="仿宋" w:hAnsi="仿宋" w:eastAsia="仿宋" w:cs="仿宋"/>
                <w:color w:val="auto"/>
                <w:szCs w:val="21"/>
                <w:highlight w:val="none"/>
                <w:u w:val="none"/>
                <w:lang w:eastAsia="zh-CN"/>
              </w:rPr>
              <w:t>或</w:t>
            </w:r>
            <w:r>
              <w:rPr>
                <w:rFonts w:hint="eastAsia" w:ascii="仿宋" w:hAnsi="仿宋" w:eastAsia="仿宋" w:cs="仿宋"/>
                <w:color w:val="auto"/>
                <w:szCs w:val="21"/>
                <w:highlight w:val="none"/>
                <w:u w:val="none"/>
                <w:lang w:val="en-US" w:eastAsia="zh-CN"/>
              </w:rPr>
              <w:t>4G</w:t>
            </w:r>
            <w:r>
              <w:rPr>
                <w:rFonts w:hint="eastAsia" w:ascii="仿宋" w:hAnsi="仿宋" w:eastAsia="仿宋" w:cs="仿宋"/>
                <w:color w:val="auto"/>
                <w:szCs w:val="21"/>
                <w:highlight w:val="none"/>
                <w:u w:val="none"/>
                <w:lang w:eastAsia="zh-CN"/>
              </w:rPr>
              <w:t>以上</w:t>
            </w:r>
            <w:r>
              <w:rPr>
                <w:rFonts w:hint="eastAsia" w:ascii="仿宋" w:hAnsi="仿宋" w:eastAsia="仿宋" w:cs="仿宋"/>
                <w:color w:val="auto"/>
                <w:szCs w:val="21"/>
                <w:highlight w:val="none"/>
                <w:u w:val="none"/>
              </w:rPr>
              <w:t>网络制式；支持GPS定位；配备500G</w:t>
            </w:r>
            <w:r>
              <w:rPr>
                <w:rFonts w:hint="eastAsia" w:ascii="仿宋" w:hAnsi="仿宋" w:eastAsia="仿宋" w:cs="仿宋"/>
                <w:color w:val="auto"/>
                <w:szCs w:val="21"/>
                <w:highlight w:val="none"/>
                <w:u w:val="none"/>
                <w:lang w:eastAsia="zh-CN"/>
              </w:rPr>
              <w:t>固态硬盘</w:t>
            </w:r>
            <w:r>
              <w:rPr>
                <w:rFonts w:hint="eastAsia" w:ascii="仿宋" w:hAnsi="仿宋" w:eastAsia="仿宋" w:cs="仿宋"/>
                <w:color w:val="auto"/>
                <w:szCs w:val="21"/>
                <w:highlight w:val="none"/>
                <w:u w:val="none"/>
              </w:rPr>
              <w:t>的车载硬盘；要求车辆配备分层可抽拉的设备箱；</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2、</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安装信息终端，要求内嵌式安装在司机位置仪表台右侧，配备遮阳罩；</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3、</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鹅颈麦克安装在司机位置仪表台左上角；</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4、</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安装GPS定位天线到车外顶部；</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5、</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在驾驶员附近安装用于和调度中心通话的喇叭；</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6、</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6路摄像头监控区域：①照车前；②从前往后照车箱；③照前门、投币机；④照司机；⑤照中门；⑥照倒车；其中照车前的摄像头要求安装在仪表台上；</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7、</w:t>
            </w:r>
            <w:r>
              <w:rPr>
                <w:rFonts w:hint="eastAsia" w:ascii="仿宋" w:hAnsi="仿宋" w:eastAsia="仿宋" w:cs="仿宋"/>
                <w:color w:val="auto"/>
                <w:szCs w:val="21"/>
                <w:highlight w:val="none"/>
                <w:u w:val="none"/>
              </w:rPr>
              <w:tab/>
            </w:r>
            <w:r>
              <w:rPr>
                <w:rFonts w:hint="eastAsia" w:ascii="仿宋" w:hAnsi="仿宋" w:eastAsia="仿宋" w:cs="仿宋"/>
                <w:color w:val="auto"/>
                <w:szCs w:val="21"/>
                <w:highlight w:val="none"/>
                <w:u w:val="none"/>
              </w:rPr>
              <w:t>安装协议转换器，可以采集车辆CAN总线的各种数据并通过GPS车载机发送到智能调度中心；</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8、安装协议转换器，可以将IC卡数据通过GPS车载机发送到智能调度中心；同时实现与相应厂家路牌的通讯。</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9、安装客流分析仪，主机要求水平安装在风道内，并在风道上开检修门以方便检修；摄像头安装在前门/后门正上方，镜头要求与车身平行安装，摄像头正面朝下并无遮挡物遮挡；门打开或关闭时提供脉冲电平（24V），且要求放置在主机位置处。</w:t>
            </w:r>
          </w:p>
          <w:p>
            <w:pPr>
              <w:adjustRightInd w:val="0"/>
              <w:snapToGrid w:val="0"/>
              <w:spacing w:line="320" w:lineRule="exact"/>
              <w:jc w:val="left"/>
              <w:rPr>
                <w:rFonts w:hint="eastAsia" w:ascii="仿宋" w:hAnsi="仿宋" w:eastAsia="仿宋" w:cs="仿宋"/>
                <w:color w:val="auto"/>
                <w:szCs w:val="21"/>
                <w:highlight w:val="none"/>
                <w:u w:val="none"/>
              </w:rPr>
            </w:pPr>
            <w:r>
              <w:rPr>
                <w:rFonts w:hint="eastAsia" w:ascii="仿宋" w:hAnsi="仿宋" w:eastAsia="仿宋" w:cs="仿宋"/>
                <w:color w:val="auto"/>
                <w:szCs w:val="21"/>
                <w:highlight w:val="none"/>
                <w:u w:val="none"/>
              </w:rPr>
              <w:t>10、驾驶员安全行车分析仪，主机设备安装必须便于使用U盘拷贝更新新程序和更换SM卡，便于配件的维护及设备的更换，要求主机的两侧需流出足够的操作空间。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0" w:hRule="atLeast"/>
          <w:jc w:val="center"/>
        </w:trPr>
        <w:tc>
          <w:tcPr>
            <w:tcW w:w="5563" w:type="dxa"/>
            <w:gridSpan w:val="2"/>
            <w:tcBorders>
              <w:top w:val="nil"/>
              <w:left w:val="nil"/>
              <w:bottom w:val="nil"/>
              <w:right w:val="nil"/>
            </w:tcBorders>
            <w:noWrap w:val="0"/>
            <w:vAlign w:val="center"/>
          </w:tcPr>
          <w:p>
            <w:pPr>
              <w:widowControl/>
              <w:adjustRightInd w:val="0"/>
              <w:snapToGrid w:val="0"/>
              <w:spacing w:line="320" w:lineRule="exact"/>
              <w:rPr>
                <w:rFonts w:hint="eastAsia" w:ascii="仿宋" w:hAnsi="仿宋" w:eastAsia="仿宋" w:cs="仿宋"/>
                <w:b/>
                <w:bCs/>
                <w:color w:val="auto"/>
                <w:kern w:val="0"/>
                <w:szCs w:val="21"/>
                <w:highlight w:val="none"/>
                <w:u w:val="none"/>
              </w:rPr>
            </w:pPr>
          </w:p>
          <w:p>
            <w:pPr>
              <w:widowControl/>
              <w:adjustRightInd w:val="0"/>
              <w:snapToGrid w:val="0"/>
              <w:spacing w:line="320" w:lineRule="exact"/>
              <w:rPr>
                <w:rFonts w:hint="eastAsia" w:ascii="仿宋" w:hAnsi="仿宋" w:eastAsia="仿宋" w:cs="仿宋"/>
                <w:b/>
                <w:bCs/>
                <w:color w:val="auto"/>
                <w:kern w:val="0"/>
                <w:szCs w:val="21"/>
                <w:highlight w:val="none"/>
                <w:u w:val="none"/>
              </w:rPr>
            </w:pPr>
            <w:r>
              <w:rPr>
                <w:rFonts w:hint="eastAsia" w:ascii="仿宋" w:hAnsi="仿宋" w:eastAsia="仿宋" w:cs="仿宋"/>
                <w:b/>
                <w:bCs/>
                <w:color w:val="auto"/>
                <w:kern w:val="0"/>
                <w:szCs w:val="21"/>
                <w:highlight w:val="none"/>
                <w:u w:val="none"/>
              </w:rPr>
              <w:t>表</w:t>
            </w:r>
            <w:r>
              <w:rPr>
                <w:rFonts w:hint="eastAsia" w:ascii="仿宋" w:hAnsi="仿宋" w:eastAsia="仿宋" w:cs="仿宋"/>
                <w:b/>
                <w:bCs/>
                <w:color w:val="auto"/>
                <w:kern w:val="0"/>
                <w:szCs w:val="21"/>
                <w:highlight w:val="none"/>
                <w:u w:val="none"/>
                <w:lang w:val="en-US" w:eastAsia="zh-CN"/>
              </w:rPr>
              <w:t>2</w:t>
            </w:r>
            <w:r>
              <w:rPr>
                <w:rFonts w:hint="eastAsia" w:ascii="仿宋" w:hAnsi="仿宋" w:eastAsia="仿宋" w:cs="仿宋"/>
                <w:b/>
                <w:bCs/>
                <w:color w:val="auto"/>
                <w:kern w:val="0"/>
                <w:szCs w:val="21"/>
                <w:highlight w:val="none"/>
                <w:u w:val="none"/>
              </w:rPr>
              <w:t>：车载移动电视目录</w:t>
            </w:r>
          </w:p>
        </w:tc>
        <w:tc>
          <w:tcPr>
            <w:tcW w:w="739"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850"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1768" w:type="dxa"/>
            <w:tcBorders>
              <w:top w:val="nil"/>
              <w:left w:val="nil"/>
              <w:bottom w:val="nil"/>
              <w:right w:val="nil"/>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0" w:hRule="atLeast"/>
          <w:jc w:val="center"/>
        </w:trPr>
        <w:tc>
          <w:tcPr>
            <w:tcW w:w="128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名称</w:t>
            </w:r>
          </w:p>
        </w:tc>
        <w:tc>
          <w:tcPr>
            <w:tcW w:w="4282"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功能</w:t>
            </w:r>
          </w:p>
        </w:tc>
        <w:tc>
          <w:tcPr>
            <w:tcW w:w="739"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单位</w:t>
            </w:r>
          </w:p>
        </w:tc>
        <w:tc>
          <w:tcPr>
            <w:tcW w:w="850"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数量</w:t>
            </w:r>
          </w:p>
        </w:tc>
        <w:tc>
          <w:tcPr>
            <w:tcW w:w="1768" w:type="dxa"/>
            <w:vMerge w:val="restart"/>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备注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0" w:hRule="atLeast"/>
          <w:jc w:val="center"/>
        </w:trPr>
        <w:tc>
          <w:tcPr>
            <w:tcW w:w="128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4282"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739"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850"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c>
          <w:tcPr>
            <w:tcW w:w="1768" w:type="dxa"/>
            <w:vMerge w:val="continue"/>
            <w:tcBorders>
              <w:top w:val="single" w:color="auto" w:sz="4" w:space="0"/>
              <w:left w:val="nil"/>
              <w:bottom w:val="single" w:color="auto" w:sz="4" w:space="0"/>
              <w:right w:val="single" w:color="auto" w:sz="4" w:space="0"/>
            </w:tcBorders>
            <w:noWrap w:val="0"/>
            <w:vAlign w:val="center"/>
          </w:tcPr>
          <w:p>
            <w:pPr>
              <w:widowControl/>
              <w:adjustRightInd w:val="0"/>
              <w:snapToGrid w:val="0"/>
              <w:spacing w:line="320" w:lineRule="exact"/>
              <w:jc w:val="left"/>
              <w:rPr>
                <w:rFonts w:hint="eastAsia" w:ascii="仿宋" w:hAnsi="仿宋" w:eastAsia="仿宋" w:cs="仿宋"/>
                <w:color w:val="auto"/>
                <w:kern w:val="0"/>
                <w:szCs w:val="21"/>
                <w:highlight w:val="none"/>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124" w:hRule="atLeast"/>
          <w:jc w:val="center"/>
        </w:trPr>
        <w:tc>
          <w:tcPr>
            <w:tcW w:w="1281" w:type="dxa"/>
            <w:tcBorders>
              <w:top w:val="nil"/>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车载播放器</w:t>
            </w:r>
          </w:p>
        </w:tc>
        <w:tc>
          <w:tcPr>
            <w:tcW w:w="4282" w:type="dxa"/>
            <w:tcBorders>
              <w:top w:val="nil"/>
              <w:left w:val="nil"/>
              <w:bottom w:val="single" w:color="000000"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用于视频接收播放功能</w:t>
            </w:r>
          </w:p>
        </w:tc>
        <w:tc>
          <w:tcPr>
            <w:tcW w:w="739"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台</w:t>
            </w:r>
          </w:p>
        </w:tc>
        <w:tc>
          <w:tcPr>
            <w:tcW w:w="850"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1</w:t>
            </w:r>
          </w:p>
        </w:tc>
        <w:tc>
          <w:tcPr>
            <w:tcW w:w="1768"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Wifi模块</w:t>
            </w:r>
          </w:p>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安全电池</w:t>
            </w:r>
          </w:p>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8G存储卡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220" w:hRule="atLeast"/>
          <w:jc w:val="center"/>
        </w:trPr>
        <w:tc>
          <w:tcPr>
            <w:tcW w:w="1281"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LED显示器</w:t>
            </w:r>
          </w:p>
        </w:tc>
        <w:tc>
          <w:tcPr>
            <w:tcW w:w="4282"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 xml:space="preserve"> LED车用液晶显示屏</w:t>
            </w:r>
          </w:p>
        </w:tc>
        <w:tc>
          <w:tcPr>
            <w:tcW w:w="739"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台</w:t>
            </w:r>
          </w:p>
        </w:tc>
        <w:tc>
          <w:tcPr>
            <w:tcW w:w="850"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lang w:eastAsia="zh-CN"/>
              </w:rPr>
            </w:pPr>
            <w:r>
              <w:rPr>
                <w:rFonts w:hint="eastAsia" w:ascii="仿宋" w:hAnsi="仿宋" w:eastAsia="仿宋" w:cs="仿宋"/>
                <w:color w:val="auto"/>
                <w:kern w:val="0"/>
                <w:szCs w:val="21"/>
                <w:highlight w:val="none"/>
                <w:u w:val="none"/>
                <w:lang w:val="en-US" w:eastAsia="zh-CN"/>
              </w:rPr>
              <w:t>1</w:t>
            </w:r>
          </w:p>
        </w:tc>
        <w:tc>
          <w:tcPr>
            <w:tcW w:w="1768" w:type="dxa"/>
            <w:tcBorders>
              <w:top w:val="nil"/>
              <w:left w:val="nil"/>
              <w:bottom w:val="single" w:color="auto" w:sz="4" w:space="0"/>
              <w:right w:val="single" w:color="auto" w:sz="4" w:space="0"/>
            </w:tcBorders>
            <w:noWrap w:val="0"/>
            <w:vAlign w:val="center"/>
          </w:tcPr>
          <w:p>
            <w:pPr>
              <w:widowControl/>
              <w:adjustRightInd w:val="0"/>
              <w:snapToGrid w:val="0"/>
              <w:spacing w:line="320" w:lineRule="exact"/>
              <w:jc w:val="center"/>
              <w:rPr>
                <w:rFonts w:hint="eastAsia" w:ascii="仿宋" w:hAnsi="仿宋" w:eastAsia="仿宋" w:cs="仿宋"/>
                <w:color w:val="auto"/>
                <w:kern w:val="0"/>
                <w:szCs w:val="21"/>
                <w:highlight w:val="none"/>
                <w:u w:val="none"/>
              </w:rPr>
            </w:pPr>
            <w:r>
              <w:rPr>
                <w:rFonts w:hint="eastAsia" w:ascii="仿宋" w:hAnsi="仿宋" w:eastAsia="仿宋" w:cs="仿宋"/>
                <w:color w:val="auto"/>
                <w:kern w:val="0"/>
                <w:szCs w:val="21"/>
                <w:highlight w:val="none"/>
                <w:u w:val="none"/>
              </w:rPr>
              <w:t>18.5寸　</w:t>
            </w:r>
          </w:p>
        </w:tc>
      </w:tr>
    </w:tbl>
    <w:p>
      <w:pPr>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t>说明：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1.</w:t>
      </w:r>
      <w:r>
        <w:rPr>
          <w:rFonts w:hint="eastAsia" w:ascii="仿宋" w:hAnsi="仿宋" w:eastAsia="仿宋" w:cs="仿宋"/>
          <w:color w:val="auto"/>
          <w:sz w:val="24"/>
          <w:highlight w:val="none"/>
          <w:u w:val="none"/>
        </w:rPr>
        <w:t>在车辆检查或使用中发现响应配置与实际配置不相符的，按虚假应标处理，上报财政，追究差额及相关损失，并处以一定的罚款，由</w:t>
      </w:r>
      <w:r>
        <w:rPr>
          <w:rFonts w:hint="eastAsia" w:ascii="仿宋" w:hAnsi="仿宋" w:eastAsia="仿宋" w:cs="仿宋"/>
          <w:color w:val="auto"/>
          <w:sz w:val="24"/>
          <w:highlight w:val="none"/>
          <w:u w:val="none"/>
          <w:lang w:eastAsia="zh-CN"/>
        </w:rPr>
        <w:t>采购人</w:t>
      </w:r>
      <w:r>
        <w:rPr>
          <w:rFonts w:hint="eastAsia" w:ascii="仿宋" w:hAnsi="仿宋" w:eastAsia="仿宋" w:cs="仿宋"/>
          <w:color w:val="auto"/>
          <w:sz w:val="24"/>
          <w:highlight w:val="none"/>
          <w:u w:val="none"/>
        </w:rPr>
        <w:t>直接在应付款（包括中标厂家其他批次的应付款）中扣除。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中标车辆必须符合</w:t>
      </w:r>
      <w:r>
        <w:rPr>
          <w:rFonts w:hint="eastAsia" w:ascii="仿宋" w:hAnsi="仿宋" w:eastAsia="仿宋" w:cs="仿宋"/>
          <w:color w:val="auto"/>
          <w:sz w:val="24"/>
          <w:highlight w:val="none"/>
          <w:u w:val="none"/>
          <w:lang w:eastAsia="zh-CN"/>
        </w:rPr>
        <w:t>台州</w:t>
      </w:r>
      <w:r>
        <w:rPr>
          <w:rFonts w:hint="eastAsia" w:ascii="仿宋" w:hAnsi="仿宋" w:eastAsia="仿宋" w:cs="仿宋"/>
          <w:color w:val="auto"/>
          <w:sz w:val="24"/>
          <w:highlight w:val="none"/>
          <w:u w:val="none"/>
        </w:rPr>
        <w:t>地区上牌要求，由中标厂家完成车辆上牌工作，其正常检测上牌费用凭发票由</w:t>
      </w:r>
      <w:r>
        <w:rPr>
          <w:rFonts w:hint="eastAsia" w:ascii="仿宋" w:hAnsi="仿宋" w:eastAsia="仿宋" w:cs="仿宋"/>
          <w:color w:val="auto"/>
          <w:sz w:val="24"/>
          <w:highlight w:val="none"/>
          <w:u w:val="none"/>
          <w:lang w:eastAsia="zh-CN"/>
        </w:rPr>
        <w:t>采购</w:t>
      </w:r>
      <w:r>
        <w:rPr>
          <w:rFonts w:hint="eastAsia" w:ascii="仿宋" w:hAnsi="仿宋" w:eastAsia="仿宋" w:cs="仿宋"/>
          <w:color w:val="auto"/>
          <w:sz w:val="24"/>
          <w:highlight w:val="none"/>
          <w:u w:val="none"/>
        </w:rPr>
        <w:t>支付。</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3.</w:t>
      </w:r>
      <w:r>
        <w:rPr>
          <w:rFonts w:hint="eastAsia" w:ascii="仿宋" w:hAnsi="仿宋" w:eastAsia="仿宋" w:cs="仿宋"/>
          <w:color w:val="auto"/>
          <w:sz w:val="24"/>
          <w:highlight w:val="none"/>
          <w:u w:val="none"/>
        </w:rPr>
        <w:t>所有的终端设备产品，必须在中标厂家安装完毕后方可出厂。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4.</w:t>
      </w:r>
      <w:r>
        <w:rPr>
          <w:rFonts w:hint="eastAsia" w:ascii="仿宋" w:hAnsi="仿宋" w:eastAsia="仿宋" w:cs="仿宋"/>
          <w:color w:val="auto"/>
          <w:sz w:val="24"/>
          <w:highlight w:val="none"/>
          <w:u w:val="none"/>
        </w:rPr>
        <w:t>中标厂家必须履行质保承诺，在约定时间未作出响应而造成损失的，招标单位有权自行联系维修，所产生的直接费用与损失由中标厂家承担，招标单位有权直接在应付款（包括中标厂家其他批次的应付款）中扣除，造成严重后果的，将通过法律途径维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5.</w:t>
      </w:r>
      <w:r>
        <w:rPr>
          <w:rFonts w:hint="eastAsia" w:ascii="仿宋" w:hAnsi="仿宋" w:eastAsia="仿宋" w:cs="仿宋"/>
          <w:color w:val="auto"/>
          <w:sz w:val="24"/>
          <w:highlight w:val="none"/>
          <w:u w:val="none"/>
        </w:rPr>
        <w:t>整车运行安全技术条件必须符合中华人民共和国国家标准或相关行业标准，同时依据国家有关产品质量法规和制造标准、技术要求等邀约进行验收。</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6.</w:t>
      </w:r>
      <w:r>
        <w:rPr>
          <w:rFonts w:hint="eastAsia" w:ascii="仿宋" w:hAnsi="仿宋" w:eastAsia="仿宋" w:cs="仿宋"/>
          <w:color w:val="auto"/>
          <w:sz w:val="24"/>
          <w:highlight w:val="none"/>
          <w:u w:val="none"/>
        </w:rPr>
        <w:t>投标厂家需认真阅读并完全理解本技术配置要求，投标人无权擅自改动或降低相关标准与要求。。</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lang w:val="en-US" w:eastAsia="zh-CN"/>
        </w:rPr>
        <w:t>7.</w:t>
      </w:r>
      <w:r>
        <w:rPr>
          <w:rFonts w:hint="eastAsia" w:ascii="仿宋" w:hAnsi="仿宋" w:eastAsia="仿宋" w:cs="仿宋"/>
          <w:color w:val="auto"/>
          <w:sz w:val="24"/>
          <w:highlight w:val="none"/>
          <w:u w:val="none"/>
        </w:rPr>
        <w:t>【</w:t>
      </w:r>
      <w:r>
        <w:rPr>
          <w:rFonts w:hint="eastAsia" w:ascii="仿宋" w:hAnsi="仿宋" w:eastAsia="仿宋" w:cs="仿宋"/>
          <w:bCs/>
          <w:color w:val="auto"/>
          <w:sz w:val="28"/>
          <w:szCs w:val="28"/>
          <w:highlight w:val="none"/>
          <w:u w:val="none"/>
        </w:rPr>
        <w:t>▲</w:t>
      </w:r>
      <w:r>
        <w:rPr>
          <w:rFonts w:hint="eastAsia" w:ascii="仿宋" w:hAnsi="仿宋" w:eastAsia="仿宋" w:cs="仿宋"/>
          <w:color w:val="auto"/>
          <w:sz w:val="24"/>
          <w:highlight w:val="none"/>
          <w:u w:val="none"/>
        </w:rPr>
        <w:t>】动力电池须在质保期内做好定期保养维护，由投标人提供维护方案。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4"/>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4"/>
          <w:highlight w:val="none"/>
          <w:u w:val="none"/>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b/>
          <w:bCs/>
          <w:color w:val="auto"/>
          <w:sz w:val="24"/>
          <w:highlight w:val="none"/>
          <w:u w:val="none"/>
        </w:rPr>
      </w:pPr>
      <w:r>
        <w:rPr>
          <w:rFonts w:hint="eastAsia" w:ascii="仿宋" w:hAnsi="仿宋" w:eastAsia="仿宋" w:cs="仿宋"/>
          <w:b/>
          <w:bCs/>
          <w:color w:val="auto"/>
          <w:sz w:val="24"/>
          <w:highlight w:val="none"/>
          <w:u w:val="none"/>
        </w:rPr>
        <w:t>各部件保修期要求</w:t>
      </w:r>
    </w:p>
    <w:tbl>
      <w:tblPr>
        <w:tblStyle w:val="16"/>
        <w:tblW w:w="10111"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134"/>
        <w:gridCol w:w="4916"/>
        <w:gridCol w:w="973"/>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序号</w:t>
            </w:r>
          </w:p>
        </w:tc>
        <w:tc>
          <w:tcPr>
            <w:tcW w:w="1134"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部件名称</w:t>
            </w:r>
          </w:p>
        </w:tc>
        <w:tc>
          <w:tcPr>
            <w:tcW w:w="4916"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保修范围</w:t>
            </w:r>
          </w:p>
        </w:tc>
        <w:tc>
          <w:tcPr>
            <w:tcW w:w="973"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保修期限</w:t>
            </w:r>
          </w:p>
        </w:tc>
        <w:tc>
          <w:tcPr>
            <w:tcW w:w="2505" w:type="dxa"/>
            <w:noWrap w:val="0"/>
            <w:vAlign w:val="top"/>
          </w:tcPr>
          <w:p>
            <w:pPr>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9" w:hRule="atLeast"/>
        </w:trPr>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储能电池</w:t>
            </w:r>
          </w:p>
        </w:tc>
        <w:tc>
          <w:tcPr>
            <w:tcW w:w="4916"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在质保期内无偿每年定期质量检测，并对有问题的电池进行临时检测，质保期内电池组容量衰减不得超过20%，否则须无条件免费更换新电池</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2</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驱动电机</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3</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空调系统</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电子水泵</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电驱空气压缩机</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电驱转向油泵</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前转向桥后驱动桥</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免维护专用车桥</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制动系统</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9</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暖风系统</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10</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免维护轮毂总成</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免维护轮毂总成质保（含易损、易耗件）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集中润滑</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12</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车身防腐</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全车采用优质防腐蚀技术，骨架与蒙皮、骨架与地板等接合缝处采用聚氨酯密封胶进行密封防水防锈处理</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8年以上</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13</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铝合金整体式风道</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乘客座椅</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PVC地板</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地板革</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乘客门</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1</w:t>
            </w:r>
            <w:r>
              <w:rPr>
                <w:rFonts w:hint="eastAsia" w:ascii="仿宋" w:hAnsi="仿宋" w:eastAsia="仿宋" w:cs="仿宋"/>
                <w:sz w:val="24"/>
                <w:szCs w:val="24"/>
                <w:lang w:val="en-US" w:eastAsia="zh-CN"/>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门泵</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投币机</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0</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电子后视镜360</w:t>
            </w:r>
            <w:r>
              <w:rPr>
                <w:rFonts w:hint="eastAsia" w:ascii="仿宋" w:hAnsi="仿宋" w:eastAsia="仿宋" w:cs="仿宋"/>
                <w:sz w:val="24"/>
                <w:szCs w:val="24"/>
                <w:lang w:eastAsia="zh-CN"/>
              </w:rPr>
              <w:t>及</w:t>
            </w:r>
            <w:r>
              <w:rPr>
                <w:rFonts w:hint="eastAsia" w:ascii="仿宋" w:hAnsi="仿宋" w:eastAsia="仿宋" w:cs="仿宋"/>
                <w:sz w:val="24"/>
                <w:szCs w:val="24"/>
              </w:rPr>
              <w:t>全景环视系统</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1</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整车玻璃</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2</w:t>
            </w:r>
          </w:p>
        </w:tc>
        <w:tc>
          <w:tcPr>
            <w:tcW w:w="1134" w:type="dxa"/>
            <w:noWrap w:val="0"/>
            <w:vAlign w:val="center"/>
          </w:tcPr>
          <w:p>
            <w:pPr>
              <w:rPr>
                <w:rFonts w:hint="eastAsia" w:ascii="仿宋" w:hAnsi="仿宋" w:eastAsia="仿宋" w:cs="仿宋"/>
                <w:sz w:val="24"/>
                <w:szCs w:val="24"/>
              </w:rPr>
            </w:pPr>
            <w:r>
              <w:rPr>
                <w:rFonts w:hint="eastAsia" w:ascii="仿宋" w:hAnsi="仿宋" w:eastAsia="仿宋" w:cs="仿宋"/>
                <w:sz w:val="24"/>
                <w:szCs w:val="24"/>
              </w:rPr>
              <w:t>控制仓、高压仓、自动灭火弹</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1134"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电池箱灭火装置</w:t>
            </w:r>
          </w:p>
        </w:tc>
        <w:tc>
          <w:tcPr>
            <w:tcW w:w="4916"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免费质保</w:t>
            </w:r>
          </w:p>
        </w:tc>
        <w:tc>
          <w:tcPr>
            <w:tcW w:w="973"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4</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车载智慧云模块</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免费质保（配备日常更换零件）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5</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三级CAN总线</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免费质保（含易损、易耗件）</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8年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6</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调度终端设备</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7</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视频监控</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3"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rPr>
              <w:t>2</w:t>
            </w:r>
            <w:r>
              <w:rPr>
                <w:rFonts w:hint="eastAsia" w:ascii="仿宋" w:hAnsi="仿宋" w:eastAsia="仿宋" w:cs="仿宋"/>
                <w:sz w:val="24"/>
                <w:szCs w:val="24"/>
                <w:lang w:val="en-US" w:eastAsia="zh-CN"/>
              </w:rPr>
              <w:t>8</w:t>
            </w:r>
          </w:p>
        </w:tc>
        <w:tc>
          <w:tcPr>
            <w:tcW w:w="1134"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主动安全终端</w:t>
            </w:r>
          </w:p>
        </w:tc>
        <w:tc>
          <w:tcPr>
            <w:tcW w:w="491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免费质保（本地维护）</w:t>
            </w:r>
          </w:p>
        </w:tc>
        <w:tc>
          <w:tcPr>
            <w:tcW w:w="973"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年</w:t>
            </w:r>
          </w:p>
        </w:tc>
        <w:tc>
          <w:tcPr>
            <w:tcW w:w="2505"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提供车厂质保承诺书</w:t>
            </w:r>
          </w:p>
        </w:tc>
      </w:tr>
    </w:tbl>
    <w:p>
      <w:pPr>
        <w:numPr>
          <w:ilvl w:val="0"/>
          <w:numId w:val="0"/>
        </w:numPr>
        <w:spacing w:line="360" w:lineRule="auto"/>
        <w:ind w:leftChars="0"/>
        <w:rPr>
          <w:rFonts w:hint="eastAsia" w:asciiTheme="minorEastAsia" w:hAnsiTheme="minorEastAsia" w:eastAsiaTheme="minorEastAsia"/>
          <w:b/>
          <w:sz w:val="24"/>
          <w:lang w:eastAsia="zh-CN"/>
        </w:rPr>
      </w:pPr>
    </w:p>
    <w:p>
      <w:pPr>
        <w:numPr>
          <w:ilvl w:val="0"/>
          <w:numId w:val="0"/>
        </w:numPr>
        <w:spacing w:line="360" w:lineRule="auto"/>
        <w:ind w:leftChars="0"/>
        <w:rPr>
          <w:rFonts w:hint="eastAsia" w:asciiTheme="minorEastAsia" w:hAnsiTheme="minorEastAsia" w:eastAsiaTheme="minorEastAsia"/>
          <w:b/>
          <w:sz w:val="24"/>
          <w:lang w:eastAsia="zh-CN"/>
        </w:rPr>
      </w:pPr>
    </w:p>
    <w:p>
      <w:pPr>
        <w:numPr>
          <w:ilvl w:val="0"/>
          <w:numId w:val="0"/>
        </w:numPr>
        <w:spacing w:line="360" w:lineRule="auto"/>
        <w:ind w:leftChars="0"/>
        <w:rPr>
          <w:rFonts w:hint="eastAsia" w:asciiTheme="minorEastAsia" w:hAnsiTheme="minorEastAsia" w:eastAsiaTheme="minorEastAsia"/>
          <w:b/>
          <w:sz w:val="24"/>
          <w:lang w:eastAsia="zh-CN"/>
        </w:rPr>
      </w:pPr>
    </w:p>
    <w:p>
      <w:pPr>
        <w:numPr>
          <w:ilvl w:val="0"/>
          <w:numId w:val="0"/>
        </w:numPr>
        <w:spacing w:line="360" w:lineRule="auto"/>
        <w:ind w:leftChars="0"/>
        <w:rPr>
          <w:rFonts w:hint="eastAsia" w:asciiTheme="minorEastAsia" w:hAnsiTheme="minorEastAsia" w:eastAsiaTheme="minorEastAsia"/>
          <w:b/>
          <w:sz w:val="24"/>
        </w:rPr>
      </w:pPr>
      <w:r>
        <w:rPr>
          <w:rFonts w:hint="eastAsia" w:asciiTheme="minorEastAsia" w:hAnsiTheme="minorEastAsia" w:eastAsiaTheme="minorEastAsia"/>
          <w:b/>
          <w:sz w:val="24"/>
          <w:lang w:eastAsia="zh-CN"/>
        </w:rPr>
        <w:t>三、</w:t>
      </w:r>
      <w:r>
        <w:rPr>
          <w:rFonts w:hint="eastAsia" w:asciiTheme="minorEastAsia" w:hAnsiTheme="minorEastAsia" w:eastAsiaTheme="minorEastAsia"/>
          <w:b/>
          <w:sz w:val="24"/>
        </w:rPr>
        <w:t>商务需求</w:t>
      </w:r>
      <w:r>
        <w:rPr>
          <w:rFonts w:hint="eastAsia" w:asciiTheme="minorEastAsia" w:hAnsiTheme="minorEastAsia" w:eastAsiaTheme="minorEastAsia"/>
          <w:b/>
          <w:sz w:val="24"/>
          <w:lang w:eastAsia="zh-CN"/>
        </w:rPr>
        <w:t>（第一、二、三、四标段）</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lang w:val="en-US" w:eastAsia="zh-CN"/>
        </w:rPr>
      </w:pPr>
      <w:r>
        <w:rPr>
          <w:rFonts w:hint="eastAsia" w:ascii="宋体" w:hAnsi="宋体"/>
          <w:b/>
          <w:sz w:val="24"/>
          <w:lang w:val="en-US" w:eastAsia="zh-CN"/>
        </w:rPr>
        <w:t>1、质保期：</w:t>
      </w:r>
      <w:r>
        <w:rPr>
          <w:rFonts w:hint="eastAsia" w:ascii="宋体" w:hAnsi="宋体"/>
          <w:sz w:val="24"/>
        </w:rPr>
        <w:t>整车免费质保4年，其余车辆重要部位及重要零部件其质保期同具体技术参数。（投标供应商需按要求对在技术参数中所提到的各个质保期进行逐一承诺，并在10天内提交由车辆制造厂家承诺的质保期承诺）。</w:t>
      </w:r>
    </w:p>
    <w:p>
      <w:pPr>
        <w:spacing w:line="360" w:lineRule="auto"/>
        <w:rPr>
          <w:rFonts w:ascii="宋体" w:hAnsi="宋体"/>
          <w:sz w:val="24"/>
        </w:rPr>
      </w:pPr>
      <w:r>
        <w:rPr>
          <w:rFonts w:hint="eastAsia" w:ascii="宋体" w:hAnsi="宋体"/>
          <w:b/>
          <w:sz w:val="24"/>
          <w:lang w:val="en-US" w:eastAsia="zh-CN"/>
        </w:rPr>
        <w:t>2、</w:t>
      </w:r>
      <w:r>
        <w:rPr>
          <w:rFonts w:hint="eastAsia" w:ascii="宋体" w:hAnsi="宋体"/>
          <w:b/>
          <w:sz w:val="24"/>
        </w:rPr>
        <w:t>交货时间及地点：</w:t>
      </w:r>
      <w:r>
        <w:rPr>
          <w:rFonts w:hint="eastAsia" w:ascii="宋体" w:hAnsi="宋体"/>
          <w:sz w:val="24"/>
        </w:rPr>
        <w:t>同前面“招标项目一览表”内所填的相关内容。</w:t>
      </w:r>
    </w:p>
    <w:p>
      <w:pPr>
        <w:spacing w:line="360" w:lineRule="auto"/>
        <w:rPr>
          <w:rFonts w:hint="eastAsia" w:eastAsia="宋体"/>
          <w:b/>
          <w:bCs/>
          <w:lang w:val="en-US" w:eastAsia="zh-CN"/>
        </w:rPr>
      </w:pPr>
      <w:r>
        <w:rPr>
          <w:rFonts w:hint="eastAsia" w:ascii="宋体" w:hAnsi="宋体"/>
          <w:b/>
          <w:sz w:val="24"/>
          <w:lang w:val="en-US" w:eastAsia="zh-CN"/>
        </w:rPr>
        <w:t>3、</w:t>
      </w:r>
      <w:r>
        <w:rPr>
          <w:rFonts w:hint="eastAsia" w:ascii="宋体" w:hAnsi="宋体"/>
          <w:b/>
          <w:sz w:val="24"/>
        </w:rPr>
        <w:t>付款条件：</w:t>
      </w:r>
      <w:r>
        <w:rPr>
          <w:rFonts w:hint="eastAsia" w:ascii="宋体" w:hAnsi="宋体"/>
          <w:sz w:val="24"/>
        </w:rPr>
        <w:t>车辆上牌后15日内，一次性付清。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highlight w:val="none"/>
          <w:u w:val="none"/>
        </w:rPr>
      </w:pPr>
      <w:r>
        <w:rPr>
          <w:rFonts w:hint="eastAsia" w:ascii="宋体" w:hAnsi="宋体"/>
          <w:b/>
          <w:sz w:val="24"/>
        </w:rPr>
        <w:t>4、备品备件及耗材等要求：</w:t>
      </w:r>
      <w:r>
        <w:rPr>
          <w:rFonts w:hint="eastAsia" w:ascii="宋体" w:hAnsi="宋体"/>
          <w:sz w:val="24"/>
        </w:rPr>
        <w:t>见具体技术需求。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r>
        <w:rPr>
          <w:rFonts w:hint="eastAsia" w:ascii="宋体" w:hAnsi="宋体"/>
          <w:b/>
          <w:sz w:val="24"/>
        </w:rPr>
        <w:t>5、履约保证金：</w:t>
      </w:r>
      <w:r>
        <w:rPr>
          <w:rFonts w:hint="eastAsia" w:ascii="宋体" w:hAnsi="宋体"/>
          <w:sz w:val="24"/>
        </w:rPr>
        <w:t xml:space="preserve">供应商在签订合同前须交纳本项目合同金额 </w:t>
      </w:r>
      <w:r>
        <w:rPr>
          <w:rFonts w:hint="eastAsia" w:ascii="宋体" w:hAnsi="宋体"/>
          <w:sz w:val="24"/>
          <w:lang w:val="en-US" w:eastAsia="zh-CN"/>
        </w:rPr>
        <w:t>5</w:t>
      </w:r>
      <w:r>
        <w:rPr>
          <w:rFonts w:hint="eastAsia" w:ascii="宋体" w:hAnsi="宋体"/>
          <w:sz w:val="24"/>
        </w:rPr>
        <w:t xml:space="preserve"> %的履约保证金，在三电部份质保期（8年）满</w:t>
      </w:r>
      <w:r>
        <w:rPr>
          <w:rFonts w:hint="eastAsia" w:ascii="宋体" w:hAnsi="宋体"/>
          <w:sz w:val="24"/>
          <w:lang w:eastAsia="zh-CN"/>
        </w:rPr>
        <w:t>且无违约情形</w:t>
      </w:r>
      <w:r>
        <w:rPr>
          <w:rFonts w:hint="eastAsia" w:ascii="宋体" w:hAnsi="宋体"/>
          <w:sz w:val="24"/>
        </w:rPr>
        <w:t>后返还（不计息）。</w:t>
      </w:r>
      <w:r>
        <w:rPr>
          <w:rFonts w:hint="eastAsia" w:ascii="宋体" w:hAnsi="宋体"/>
          <w:sz w:val="24"/>
          <w:lang w:eastAsia="zh-CN"/>
        </w:rPr>
        <w:t>履约保证金</w:t>
      </w:r>
      <w:r>
        <w:rPr>
          <w:rFonts w:hint="eastAsia" w:ascii="宋体" w:hAnsi="宋体"/>
          <w:sz w:val="24"/>
        </w:rPr>
        <w:t>可同时作为车身质量问题的赔偿款。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sz w:val="24"/>
        </w:rPr>
      </w:pPr>
    </w:p>
    <w:p>
      <w:pPr>
        <w:autoSpaceDE w:val="0"/>
        <w:autoSpaceDN w:val="0"/>
        <w:adjustRightInd w:val="0"/>
        <w:spacing w:line="360" w:lineRule="auto"/>
        <w:rPr>
          <w:rFonts w:hint="eastAsia" w:asciiTheme="minorEastAsia" w:hAnsiTheme="minorEastAsia" w:eastAsiaTheme="minorEastAsia"/>
          <w:b/>
          <w:color w:val="000000"/>
          <w:sz w:val="24"/>
          <w:szCs w:val="24"/>
        </w:rPr>
      </w:pPr>
    </w:p>
    <w:p>
      <w:pPr>
        <w:autoSpaceDE w:val="0"/>
        <w:autoSpaceDN w:val="0"/>
        <w:adjustRightInd w:val="0"/>
        <w:spacing w:line="360" w:lineRule="auto"/>
        <w:rPr>
          <w:rFonts w:asciiTheme="minorEastAsia" w:hAnsiTheme="minorEastAsia" w:eastAsiaTheme="minorEastAsia"/>
          <w:b/>
          <w:color w:val="000000"/>
          <w:sz w:val="24"/>
          <w:szCs w:val="24"/>
        </w:rPr>
      </w:pPr>
      <w:r>
        <w:rPr>
          <w:rFonts w:hint="eastAsia" w:asciiTheme="minorEastAsia" w:hAnsiTheme="minorEastAsia" w:eastAsiaTheme="minorEastAsia"/>
          <w:b/>
          <w:color w:val="000000"/>
          <w:sz w:val="24"/>
          <w:szCs w:val="24"/>
        </w:rPr>
        <w:t>四、相关说明</w:t>
      </w:r>
    </w:p>
    <w:p>
      <w:pPr>
        <w:autoSpaceDE w:val="0"/>
        <w:autoSpaceDN w:val="0"/>
        <w:adjustRightInd w:val="0"/>
        <w:snapToGrid w:val="0"/>
        <w:spacing w:line="360" w:lineRule="auto"/>
        <w:rPr>
          <w:rFonts w:asciiTheme="minorEastAsia" w:hAnsiTheme="minorEastAsia" w:eastAsiaTheme="minorEastAsia"/>
          <w:color w:val="33CCCC"/>
          <w:kern w:val="0"/>
          <w:sz w:val="24"/>
        </w:rPr>
      </w:pPr>
      <w:r>
        <w:rPr>
          <w:rFonts w:hint="eastAsia" w:asciiTheme="minorEastAsia" w:hAnsiTheme="minorEastAsia" w:eastAsiaTheme="minorEastAsia"/>
          <w:b/>
          <w:color w:val="000000"/>
          <w:sz w:val="24"/>
          <w:szCs w:val="24"/>
        </w:rPr>
        <w:t>1、</w:t>
      </w:r>
      <w:r>
        <w:rPr>
          <w:rFonts w:hint="eastAsia" w:asciiTheme="minorEastAsia" w:hAnsiTheme="minorEastAsia" w:eastAsiaTheme="minorEastAsia"/>
          <w:sz w:val="24"/>
          <w:szCs w:val="24"/>
        </w:rPr>
        <w:t>电子文件与纸质文件有出入的，以纸质为准。</w:t>
      </w:r>
    </w:p>
    <w:p>
      <w:pPr>
        <w:spacing w:line="360" w:lineRule="auto"/>
        <w:rPr>
          <w:rFonts w:asciiTheme="minorEastAsia" w:hAnsiTheme="minorEastAsia" w:eastAsiaTheme="minorEastAsia"/>
          <w:b/>
          <w:sz w:val="30"/>
          <w:szCs w:val="30"/>
        </w:rPr>
      </w:pPr>
    </w:p>
    <w:p>
      <w:pPr>
        <w:spacing w:line="360" w:lineRule="auto"/>
        <w:rPr>
          <w:rFonts w:asciiTheme="minorEastAsia" w:hAnsiTheme="minorEastAsia" w:eastAsiaTheme="minorEastAsia"/>
          <w:b/>
          <w:sz w:val="30"/>
          <w:szCs w:val="30"/>
        </w:rPr>
      </w:pPr>
    </w:p>
    <w:p>
      <w:pPr>
        <w:spacing w:line="360" w:lineRule="auto"/>
        <w:rPr>
          <w:rFonts w:asciiTheme="minorEastAsia" w:hAnsiTheme="minorEastAsia" w:eastAsiaTheme="minorEastAsia"/>
          <w:b/>
          <w:sz w:val="30"/>
          <w:szCs w:val="30"/>
        </w:rPr>
      </w:pPr>
    </w:p>
    <w:p>
      <w:pPr>
        <w:spacing w:line="360" w:lineRule="auto"/>
        <w:rPr>
          <w:rFonts w:asciiTheme="minorEastAsia" w:hAnsiTheme="minorEastAsia" w:eastAsiaTheme="minorEastAsia"/>
          <w:b/>
          <w:sz w:val="30"/>
          <w:szCs w:val="30"/>
        </w:rPr>
      </w:pPr>
    </w:p>
    <w:p>
      <w:pPr>
        <w:spacing w:line="360" w:lineRule="auto"/>
        <w:rPr>
          <w:rFonts w:asciiTheme="minorEastAsia" w:hAnsiTheme="minorEastAsia" w:eastAsiaTheme="minorEastAsia"/>
          <w:b/>
          <w:sz w:val="30"/>
          <w:szCs w:val="30"/>
        </w:rPr>
      </w:pPr>
    </w:p>
    <w:p>
      <w:pPr>
        <w:pStyle w:val="2"/>
        <w:rPr>
          <w:rFonts w:asciiTheme="minorEastAsia" w:hAnsiTheme="minorEastAsia" w:eastAsiaTheme="minorEastAsia"/>
          <w:b/>
          <w:sz w:val="30"/>
          <w:szCs w:val="30"/>
        </w:rPr>
      </w:pPr>
    </w:p>
    <w:p>
      <w:pPr>
        <w:rPr>
          <w:rFonts w:asciiTheme="minorEastAsia" w:hAnsiTheme="minorEastAsia" w:eastAsiaTheme="minorEastAsia"/>
          <w:b/>
          <w:sz w:val="30"/>
          <w:szCs w:val="30"/>
        </w:rPr>
      </w:pPr>
    </w:p>
    <w:p>
      <w:pPr>
        <w:pStyle w:val="2"/>
        <w:rPr>
          <w:rFonts w:asciiTheme="minorEastAsia" w:hAnsiTheme="minorEastAsia" w:eastAsiaTheme="minorEastAsia"/>
          <w:b/>
          <w:sz w:val="30"/>
          <w:szCs w:val="30"/>
        </w:rPr>
      </w:pPr>
    </w:p>
    <w:p/>
    <w:p>
      <w:pPr>
        <w:spacing w:line="360" w:lineRule="auto"/>
        <w:rPr>
          <w:rFonts w:asciiTheme="minorEastAsia" w:hAnsiTheme="minorEastAsia" w:eastAsiaTheme="minorEastAsia"/>
          <w:b/>
          <w:sz w:val="30"/>
          <w:szCs w:val="30"/>
        </w:rPr>
      </w:pPr>
    </w:p>
    <w:p>
      <w:pPr>
        <w:spacing w:line="360" w:lineRule="auto"/>
        <w:rPr>
          <w:rFonts w:asciiTheme="minorEastAsia" w:hAnsiTheme="minorEastAsia" w:eastAsiaTheme="minorEastAsia"/>
          <w:b/>
          <w:sz w:val="30"/>
          <w:szCs w:val="30"/>
        </w:rPr>
      </w:pPr>
    </w:p>
    <w:p>
      <w:pPr>
        <w:spacing w:line="360" w:lineRule="auto"/>
        <w:rPr>
          <w:rFonts w:asciiTheme="minorEastAsia" w:hAnsiTheme="minorEastAsia" w:eastAsiaTheme="minorEastAsia"/>
          <w:b/>
          <w:sz w:val="30"/>
          <w:szCs w:val="30"/>
        </w:rPr>
      </w:pPr>
    </w:p>
    <w:p>
      <w:pPr>
        <w:numPr>
          <w:ilvl w:val="0"/>
          <w:numId w:val="3"/>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政府采购合同主要条款指引</w:t>
      </w:r>
    </w:p>
    <w:p>
      <w:pPr>
        <w:snapToGrid w:val="0"/>
        <w:spacing w:beforeLines="50" w:afterLines="50"/>
        <w:jc w:val="center"/>
        <w:rPr>
          <w:rFonts w:ascii="宋体" w:hAnsi="宋体"/>
          <w:b/>
          <w:sz w:val="36"/>
          <w:szCs w:val="36"/>
        </w:rPr>
      </w:pPr>
      <w:r>
        <w:rPr>
          <w:rFonts w:hint="eastAsia" w:ascii="宋体" w:hAnsi="宋体"/>
          <w:b/>
          <w:sz w:val="36"/>
          <w:szCs w:val="36"/>
        </w:rPr>
        <w:t>货物类</w:t>
      </w:r>
    </w:p>
    <w:p>
      <w:pPr>
        <w:widowControl/>
        <w:shd w:val="clear" w:color="auto" w:fill="FFFFFF"/>
        <w:spacing w:after="150" w:line="360" w:lineRule="auto"/>
        <w:ind w:firstLine="480"/>
        <w:jc w:val="left"/>
        <w:rPr>
          <w:rFonts w:asciiTheme="minorEastAsia" w:hAnsiTheme="minorEastAsia" w:eastAsiaTheme="minorEastAsia"/>
          <w:sz w:val="24"/>
          <w:szCs w:val="24"/>
        </w:rPr>
      </w:pPr>
      <w:r>
        <w:rPr>
          <w:rFonts w:asciiTheme="minorEastAsia" w:hAnsiTheme="minorEastAsia" w:eastAsiaTheme="minorEastAsia"/>
          <w:sz w:val="24"/>
          <w:szCs w:val="24"/>
        </w:rPr>
        <w:t>以下为成交后签定本项目合同的通用条款，成交供应商不得提出实质性的修改，关于专用条款将由采购人与成交供应商结合本项目具体情况协商后签订。</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项目名称：                                       项目编号：</w:t>
      </w:r>
    </w:p>
    <w:p>
      <w:pPr>
        <w:pStyle w:val="9"/>
        <w:snapToGrid w:val="0"/>
        <w:spacing w:before="120" w:after="120" w:line="360" w:lineRule="auto"/>
        <w:rPr>
          <w:rFonts w:hAnsi="宋体"/>
          <w:color w:val="000000"/>
          <w:sz w:val="24"/>
          <w:szCs w:val="24"/>
        </w:rPr>
      </w:pPr>
      <w:r>
        <w:rPr>
          <w:rFonts w:hAnsi="宋体"/>
          <w:color w:val="000000"/>
          <w:sz w:val="24"/>
          <w:szCs w:val="24"/>
        </w:rPr>
        <w:t>甲方：（</w:t>
      </w:r>
      <w:r>
        <w:rPr>
          <w:rFonts w:hint="eastAsia" w:hAnsi="宋体"/>
          <w:color w:val="000000"/>
          <w:sz w:val="24"/>
          <w:szCs w:val="24"/>
        </w:rPr>
        <w:t>采购单位</w:t>
      </w:r>
      <w:r>
        <w:rPr>
          <w:rFonts w:hAnsi="宋体"/>
          <w:color w:val="000000"/>
          <w:sz w:val="24"/>
          <w:szCs w:val="24"/>
        </w:rPr>
        <w:t>）</w:t>
      </w:r>
      <w:r>
        <w:rPr>
          <w:rFonts w:hint="eastAsia" w:hAnsi="宋体"/>
          <w:color w:val="000000"/>
          <w:sz w:val="24"/>
          <w:szCs w:val="24"/>
        </w:rPr>
        <w:t xml:space="preserve">                            所在地：                              </w:t>
      </w:r>
    </w:p>
    <w:p>
      <w:pPr>
        <w:pStyle w:val="9"/>
        <w:snapToGrid w:val="0"/>
        <w:spacing w:before="120" w:after="120" w:line="360" w:lineRule="auto"/>
        <w:rPr>
          <w:rFonts w:hAnsi="宋体"/>
          <w:color w:val="000000"/>
          <w:sz w:val="24"/>
          <w:szCs w:val="24"/>
        </w:rPr>
      </w:pPr>
      <w:r>
        <w:rPr>
          <w:rFonts w:hAnsi="宋体"/>
          <w:color w:val="000000"/>
          <w:sz w:val="24"/>
          <w:szCs w:val="24"/>
        </w:rPr>
        <w:t>乙方：（</w:t>
      </w:r>
      <w:r>
        <w:rPr>
          <w:rFonts w:hint="eastAsia" w:hAnsi="宋体"/>
          <w:color w:val="000000"/>
          <w:sz w:val="24"/>
          <w:szCs w:val="24"/>
        </w:rPr>
        <w:t>中标供应商</w:t>
      </w:r>
      <w:r>
        <w:rPr>
          <w:rFonts w:hAnsi="宋体"/>
          <w:color w:val="000000"/>
          <w:sz w:val="24"/>
          <w:szCs w:val="24"/>
        </w:rPr>
        <w:t>）</w:t>
      </w:r>
      <w:r>
        <w:rPr>
          <w:rFonts w:hint="eastAsia" w:hAnsi="宋体"/>
          <w:color w:val="000000"/>
          <w:sz w:val="24"/>
          <w:szCs w:val="24"/>
        </w:rPr>
        <w:t xml:space="preserve">                          所在地：</w:t>
      </w:r>
    </w:p>
    <w:p>
      <w:pPr>
        <w:pStyle w:val="9"/>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sz w:val="24"/>
          <w:szCs w:val="24"/>
        </w:rPr>
        <w:t>甲、乙双方根据</w:t>
      </w:r>
      <w:r>
        <w:rPr>
          <w:rFonts w:hint="eastAsia" w:cs="Arial" w:asciiTheme="minorEastAsia" w:hAnsiTheme="minorEastAsia" w:eastAsiaTheme="minorEastAsia"/>
          <w:color w:val="FF00FF"/>
          <w:sz w:val="24"/>
          <w:szCs w:val="24"/>
        </w:rPr>
        <w:t>××</w:t>
      </w:r>
      <w:r>
        <w:rPr>
          <w:rFonts w:hint="eastAsia" w:asciiTheme="minorEastAsia" w:hAnsiTheme="minorEastAsia" w:eastAsiaTheme="minorEastAsia"/>
          <w:sz w:val="24"/>
          <w:szCs w:val="24"/>
          <w:lang w:val="en-US" w:eastAsia="zh-CN"/>
        </w:rPr>
        <w:t>(采购组织机构名称）</w:t>
      </w:r>
      <w:r>
        <w:rPr>
          <w:rFonts w:asciiTheme="minorEastAsia" w:hAnsiTheme="minorEastAsia" w:eastAsiaTheme="minorEastAsia"/>
          <w:sz w:val="24"/>
          <w:szCs w:val="24"/>
        </w:rPr>
        <w:t>关于</w:t>
      </w:r>
      <w:r>
        <w:rPr>
          <w:rFonts w:hint="eastAsia" w:cs="Arial" w:asciiTheme="minorEastAsia" w:hAnsiTheme="minorEastAsia" w:eastAsiaTheme="minorEastAsia"/>
          <w:color w:val="FF00FF"/>
          <w:sz w:val="24"/>
          <w:szCs w:val="24"/>
        </w:rPr>
        <w:t>××</w:t>
      </w:r>
      <w:r>
        <w:rPr>
          <w:rFonts w:asciiTheme="minorEastAsia" w:hAnsiTheme="minorEastAsia" w:eastAsiaTheme="minorEastAsia"/>
          <w:sz w:val="24"/>
          <w:szCs w:val="24"/>
        </w:rPr>
        <w:t>单位</w:t>
      </w:r>
      <w:r>
        <w:rPr>
          <w:rFonts w:hint="eastAsia" w:cs="Arial" w:asciiTheme="minorEastAsia" w:hAnsiTheme="minorEastAsia" w:eastAsiaTheme="minorEastAsia"/>
          <w:color w:val="FF00FF"/>
          <w:sz w:val="24"/>
          <w:szCs w:val="24"/>
        </w:rPr>
        <w:t>××</w:t>
      </w:r>
      <w:r>
        <w:rPr>
          <w:rFonts w:asciiTheme="minorEastAsia" w:hAnsiTheme="minorEastAsia" w:eastAsiaTheme="minorEastAsia"/>
          <w:sz w:val="24"/>
          <w:szCs w:val="24"/>
        </w:rPr>
        <w:t>项目公开招标的结果，签署本合同。</w:t>
      </w:r>
    </w:p>
    <w:p>
      <w:pPr>
        <w:spacing w:line="360" w:lineRule="auto"/>
        <w:rPr>
          <w:rFonts w:ascii="宋体"/>
          <w:color w:val="000000"/>
          <w:sz w:val="24"/>
          <w:szCs w:val="24"/>
          <w:lang w:val="zh-CN"/>
        </w:rPr>
      </w:pPr>
      <w:r>
        <w:rPr>
          <w:rFonts w:hint="eastAsia" w:ascii="宋体"/>
          <w:color w:val="000000"/>
          <w:sz w:val="24"/>
          <w:szCs w:val="24"/>
          <w:lang w:val="zh-CN"/>
        </w:rPr>
        <w:t xml:space="preserve">一、合同文件： </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1.合同条款。</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2.中标通知书。</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3.更正补充文件。</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4.招标文件。</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5.中标供应商投标文件。</w:t>
      </w:r>
    </w:p>
    <w:p>
      <w:pPr>
        <w:spacing w:line="360" w:lineRule="auto"/>
        <w:ind w:firstLine="480" w:firstLineChars="200"/>
        <w:rPr>
          <w:rFonts w:ascii="宋体"/>
          <w:color w:val="000000"/>
          <w:sz w:val="24"/>
          <w:szCs w:val="24"/>
          <w:lang w:val="zh-CN"/>
        </w:rPr>
      </w:pPr>
      <w:r>
        <w:rPr>
          <w:rFonts w:hint="eastAsia" w:ascii="宋体"/>
          <w:color w:val="000000"/>
          <w:sz w:val="24"/>
          <w:szCs w:val="24"/>
          <w:lang w:val="zh-CN"/>
        </w:rPr>
        <w:t>6.其他。</w:t>
      </w:r>
    </w:p>
    <w:p>
      <w:pPr>
        <w:pStyle w:val="9"/>
        <w:snapToGrid w:val="0"/>
        <w:spacing w:line="360" w:lineRule="auto"/>
        <w:ind w:firstLine="480" w:firstLineChars="200"/>
        <w:rPr>
          <w:rFonts w:hAnsi="Times New Roman"/>
          <w:color w:val="000000"/>
          <w:sz w:val="24"/>
          <w:szCs w:val="24"/>
          <w:lang w:val="zh-CN"/>
        </w:rPr>
      </w:pPr>
      <w:r>
        <w:rPr>
          <w:rFonts w:hint="eastAsia"/>
          <w:color w:val="000000"/>
          <w:sz w:val="24"/>
          <w:szCs w:val="24"/>
          <w:lang w:val="zh-CN"/>
        </w:rPr>
        <w:t>上述所指合同文件应认为是互相补充和解释的，但是有模棱两可或互相矛盾之处，以其所列内容顺序为准。</w:t>
      </w:r>
    </w:p>
    <w:p>
      <w:pPr>
        <w:pStyle w:val="9"/>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、货物内容</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1. 货物名称：</w:t>
      </w:r>
    </w:p>
    <w:p>
      <w:pPr>
        <w:pStyle w:val="9"/>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 型号规格：</w:t>
      </w:r>
    </w:p>
    <w:p>
      <w:pPr>
        <w:pStyle w:val="9"/>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 技术参数：</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数量（单位）：</w:t>
      </w:r>
    </w:p>
    <w:p>
      <w:pPr>
        <w:pStyle w:val="9"/>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、合同金额</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 xml:space="preserve"> 本合同金额为（大写）：____________________________________元（￥_______________元）人民币。</w:t>
      </w:r>
    </w:p>
    <w:p>
      <w:pPr>
        <w:pStyle w:val="9"/>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四</w:t>
      </w:r>
      <w:r>
        <w:rPr>
          <w:rFonts w:asciiTheme="minorEastAsia" w:hAnsiTheme="minorEastAsia" w:eastAsiaTheme="minorEastAsia"/>
          <w:b/>
          <w:sz w:val="24"/>
          <w:szCs w:val="24"/>
        </w:rPr>
        <w:t>、技术资料</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乙方应按招标文件规定的时间向甲方提供使用货物的有关技术资料。</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9"/>
        <w:snapToGrid w:val="0"/>
        <w:spacing w:before="120" w:after="120" w:line="360" w:lineRule="auto"/>
        <w:ind w:left="412" w:hanging="412" w:hangingChars="171"/>
        <w:rPr>
          <w:rFonts w:asciiTheme="minorEastAsia" w:hAnsiTheme="minorEastAsia" w:eastAsiaTheme="minorEastAsia"/>
          <w:b/>
          <w:sz w:val="24"/>
          <w:szCs w:val="24"/>
        </w:rPr>
      </w:pPr>
      <w:r>
        <w:rPr>
          <w:rFonts w:hint="eastAsia" w:asciiTheme="minorEastAsia" w:hAnsiTheme="minorEastAsia" w:eastAsiaTheme="minorEastAsia"/>
          <w:b/>
          <w:sz w:val="24"/>
          <w:szCs w:val="24"/>
        </w:rPr>
        <w:t>五</w:t>
      </w:r>
      <w:r>
        <w:rPr>
          <w:rFonts w:asciiTheme="minorEastAsia" w:hAnsiTheme="minorEastAsia" w:eastAsiaTheme="minorEastAsia"/>
          <w:b/>
          <w:sz w:val="24"/>
          <w:szCs w:val="24"/>
        </w:rPr>
        <w:t>、知识产权</w:t>
      </w:r>
    </w:p>
    <w:p>
      <w:pPr>
        <w:pStyle w:val="9"/>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乙方应保证所提供的货物或其任何一部分均不会侵犯任何第三方的知识产权。</w:t>
      </w:r>
    </w:p>
    <w:p>
      <w:pPr>
        <w:pStyle w:val="9"/>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2.若侵犯,由乙方赔偿甲方因此遭受的损失（包括但不限于应对及追偿过程中所支付的律师费、差旅费、诉讼费、保全费、鉴定费、评估费等）。</w:t>
      </w:r>
    </w:p>
    <w:p>
      <w:pPr>
        <w:pStyle w:val="9"/>
        <w:snapToGrid w:val="0"/>
        <w:spacing w:before="120" w:after="120" w:line="360" w:lineRule="auto"/>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、产权担保</w:t>
      </w:r>
    </w:p>
    <w:p>
      <w:pPr>
        <w:pStyle w:val="9"/>
        <w:snapToGrid w:val="0"/>
        <w:spacing w:before="120" w:after="120" w:line="360" w:lineRule="auto"/>
        <w:rPr>
          <w:rFonts w:asciiTheme="minorEastAsia" w:hAnsiTheme="minorEastAsia" w:eastAsiaTheme="minorEastAsia"/>
          <w:sz w:val="24"/>
          <w:szCs w:val="24"/>
          <w:u w:val="single"/>
        </w:rPr>
      </w:pPr>
      <w:r>
        <w:rPr>
          <w:rFonts w:asciiTheme="minorEastAsia" w:hAnsiTheme="minorEastAsia" w:eastAsiaTheme="minorEastAsia"/>
          <w:sz w:val="24"/>
          <w:szCs w:val="24"/>
        </w:rPr>
        <w:t>乙方保证所交付的货物的所有权完全属于乙方且无任何抵押、查封等产权瑕疵。</w:t>
      </w:r>
    </w:p>
    <w:p>
      <w:pPr>
        <w:pStyle w:val="9"/>
        <w:snapToGrid w:val="0"/>
        <w:spacing w:before="120" w:after="120" w:line="360" w:lineRule="auto"/>
        <w:ind w:left="410" w:hanging="410" w:hangingChars="17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、履约保证金</w:t>
      </w:r>
    </w:p>
    <w:p>
      <w:pPr>
        <w:tabs>
          <w:tab w:val="left" w:pos="1418"/>
        </w:tabs>
        <w:autoSpaceDE w:val="0"/>
        <w:autoSpaceDN w:val="0"/>
        <w:adjustRightInd w:val="0"/>
        <w:spacing w:line="360" w:lineRule="auto"/>
        <w:ind w:firstLine="480" w:firstLineChars="200"/>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本项目履约保证金为合同金额的</w:t>
      </w:r>
      <w:r>
        <w:rPr>
          <w:rFonts w:asciiTheme="minorEastAsia" w:hAnsiTheme="minorEastAsia" w:eastAsiaTheme="minorEastAsia" w:cstheme="minorBidi"/>
          <w:sz w:val="24"/>
          <w:szCs w:val="24"/>
        </w:rPr>
        <w:t>____</w:t>
      </w:r>
      <w:r>
        <w:rPr>
          <w:rFonts w:hint="eastAsia" w:asciiTheme="minorEastAsia" w:hAnsiTheme="minorEastAsia" w:eastAsiaTheme="minorEastAsia" w:cstheme="minorBidi"/>
          <w:sz w:val="24"/>
          <w:szCs w:val="24"/>
        </w:rPr>
        <w:t>%。</w:t>
      </w:r>
      <w:r>
        <w:rPr>
          <w:rFonts w:hint="eastAsia" w:asciiTheme="minorEastAsia" w:hAnsiTheme="minorEastAsia" w:eastAsiaTheme="minorEastAsia" w:cstheme="minorBidi"/>
          <w:sz w:val="24"/>
          <w:szCs w:val="24"/>
          <w:lang w:val="zh-CN"/>
        </w:rPr>
        <w:t>[履约保证金交至采购人处，在合同约定交货验收合格满（</w:t>
      </w:r>
      <w:r>
        <w:rPr>
          <w:rFonts w:hint="eastAsia" w:asciiTheme="minorEastAsia" w:hAnsiTheme="minorEastAsia" w:eastAsiaTheme="minorEastAsia" w:cstheme="minorBidi"/>
          <w:sz w:val="24"/>
          <w:szCs w:val="24"/>
          <w:lang w:val="en-US" w:eastAsia="zh-CN"/>
        </w:rPr>
        <w:t xml:space="preserve"> </w:t>
      </w:r>
      <w:r>
        <w:rPr>
          <w:rFonts w:hint="eastAsia" w:asciiTheme="minorEastAsia" w:hAnsiTheme="minorEastAsia" w:eastAsiaTheme="minorEastAsia" w:cstheme="minorBidi"/>
          <w:sz w:val="24"/>
          <w:szCs w:val="24"/>
          <w:lang w:val="zh-CN"/>
        </w:rPr>
        <w:t>）个月之日起5个工作日内无息退还]</w:t>
      </w:r>
    </w:p>
    <w:p>
      <w:pPr>
        <w:pStyle w:val="9"/>
        <w:snapToGrid w:val="0"/>
        <w:spacing w:before="120" w:after="120" w:line="360" w:lineRule="auto"/>
        <w:ind w:left="410" w:hanging="410" w:hangingChars="170"/>
        <w:rPr>
          <w:rFonts w:asciiTheme="minorEastAsia" w:hAnsiTheme="minorEastAsia" w:eastAsiaTheme="minorEastAsia"/>
          <w:b/>
          <w:sz w:val="24"/>
          <w:szCs w:val="24"/>
        </w:rPr>
      </w:pPr>
      <w:r>
        <w:rPr>
          <w:rFonts w:hint="eastAsia" w:asciiTheme="minorEastAsia" w:hAnsiTheme="minorEastAsia" w:eastAsiaTheme="minorEastAsia"/>
          <w:b/>
          <w:sz w:val="24"/>
          <w:szCs w:val="24"/>
        </w:rPr>
        <w:t>八、转包或分包</w:t>
      </w:r>
    </w:p>
    <w:p>
      <w:pPr>
        <w:snapToGrid w:val="0"/>
        <w:spacing w:beforeLines="50" w:afterLines="50" w:line="360" w:lineRule="auto"/>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.本合同范围的货物，应由</w:t>
      </w:r>
      <w:r>
        <w:rPr>
          <w:rFonts w:asciiTheme="minorEastAsia" w:hAnsiTheme="minorEastAsia" w:eastAsiaTheme="minorEastAsia"/>
          <w:sz w:val="24"/>
          <w:szCs w:val="24"/>
        </w:rPr>
        <w:t>乙</w:t>
      </w:r>
      <w:r>
        <w:rPr>
          <w:rFonts w:hint="eastAsia" w:asciiTheme="minorEastAsia" w:hAnsiTheme="minorEastAsia" w:eastAsiaTheme="minorEastAsia"/>
          <w:sz w:val="24"/>
          <w:szCs w:val="24"/>
        </w:rPr>
        <w:t>方直接供应，不得转让他人供应；</w:t>
      </w:r>
    </w:p>
    <w:p>
      <w:pPr>
        <w:snapToGrid w:val="0"/>
        <w:spacing w:beforeLines="50" w:afterLines="50"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.除非得到</w:t>
      </w:r>
      <w:r>
        <w:rPr>
          <w:rFonts w:asciiTheme="minorEastAsia" w:hAnsiTheme="minorEastAsia" w:eastAsiaTheme="minorEastAsia"/>
          <w:sz w:val="24"/>
          <w:szCs w:val="24"/>
        </w:rPr>
        <w:t>甲</w:t>
      </w:r>
      <w:r>
        <w:rPr>
          <w:rFonts w:hint="eastAsia" w:asciiTheme="minorEastAsia" w:hAnsiTheme="minorEastAsia" w:eastAsiaTheme="minorEastAsia"/>
          <w:sz w:val="24"/>
          <w:szCs w:val="24"/>
        </w:rPr>
        <w:t>方的书面同意，</w:t>
      </w:r>
      <w:r>
        <w:rPr>
          <w:rFonts w:asciiTheme="minorEastAsia" w:hAnsiTheme="minorEastAsia" w:eastAsiaTheme="minorEastAsia"/>
          <w:sz w:val="24"/>
          <w:szCs w:val="24"/>
        </w:rPr>
        <w:t>乙</w:t>
      </w:r>
      <w:r>
        <w:rPr>
          <w:rFonts w:hint="eastAsia" w:asciiTheme="minorEastAsia" w:hAnsiTheme="minorEastAsia" w:eastAsiaTheme="minorEastAsia"/>
          <w:sz w:val="24"/>
          <w:szCs w:val="24"/>
        </w:rPr>
        <w:t>方不得将本合同范围的货物全部或部分分包给他人供应；</w:t>
      </w:r>
    </w:p>
    <w:p>
      <w:pPr>
        <w:snapToGrid w:val="0"/>
        <w:spacing w:beforeLines="50" w:afterLines="50"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.如有转让和未经</w:t>
      </w:r>
      <w:r>
        <w:rPr>
          <w:rFonts w:asciiTheme="minorEastAsia" w:hAnsiTheme="minorEastAsia" w:eastAsiaTheme="minorEastAsia"/>
          <w:sz w:val="24"/>
          <w:szCs w:val="24"/>
        </w:rPr>
        <w:t>甲</w:t>
      </w:r>
      <w:r>
        <w:rPr>
          <w:rFonts w:hint="eastAsia" w:asciiTheme="minorEastAsia" w:hAnsiTheme="minorEastAsia" w:eastAsiaTheme="minorEastAsia"/>
          <w:sz w:val="24"/>
          <w:szCs w:val="24"/>
        </w:rPr>
        <w:t>方同意的分包行为，</w:t>
      </w:r>
      <w:r>
        <w:rPr>
          <w:rFonts w:asciiTheme="minorEastAsia" w:hAnsiTheme="minorEastAsia" w:eastAsiaTheme="minorEastAsia"/>
          <w:sz w:val="24"/>
          <w:szCs w:val="24"/>
        </w:rPr>
        <w:t>甲</w:t>
      </w:r>
      <w:r>
        <w:rPr>
          <w:rFonts w:hint="eastAsia" w:asciiTheme="minorEastAsia" w:hAnsiTheme="minorEastAsia" w:eastAsiaTheme="minorEastAsia"/>
          <w:sz w:val="24"/>
          <w:szCs w:val="24"/>
        </w:rPr>
        <w:t>方有权解除合同，没收履约保证金并追究乙方的违约责任。</w:t>
      </w:r>
    </w:p>
    <w:p>
      <w:pPr>
        <w:pStyle w:val="9"/>
        <w:snapToGrid w:val="0"/>
        <w:spacing w:before="120" w:after="120" w:line="360" w:lineRule="auto"/>
        <w:rPr>
          <w:rFonts w:asciiTheme="minorEastAsia" w:hAnsiTheme="minorEastAsia" w:eastAsiaTheme="minorEastAsia"/>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、质保期</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质保期</w:t>
      </w:r>
      <w:r>
        <w:rPr>
          <w:rFonts w:ascii="宋体" w:hAnsi="宋体" w:eastAsia="宋体" w:cs="Times New Roman"/>
          <w:sz w:val="24"/>
          <w:szCs w:val="24"/>
        </w:rPr>
        <w:t>___</w:t>
      </w:r>
      <w:r>
        <w:rPr>
          <w:rFonts w:asciiTheme="minorEastAsia" w:hAnsiTheme="minorEastAsia" w:eastAsiaTheme="minorEastAsia"/>
          <w:sz w:val="24"/>
          <w:szCs w:val="24"/>
        </w:rPr>
        <w:t>年。（自交货验收合格之日起计）</w:t>
      </w:r>
    </w:p>
    <w:p>
      <w:pPr>
        <w:pStyle w:val="9"/>
        <w:snapToGrid w:val="0"/>
        <w:spacing w:before="120" w:after="12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、交货期、交货方式及交货地点</w:t>
      </w:r>
    </w:p>
    <w:p>
      <w:pPr>
        <w:pStyle w:val="9"/>
        <w:snapToGrid w:val="0"/>
        <w:spacing w:before="120" w:after="120" w:line="360" w:lineRule="auto"/>
        <w:rPr>
          <w:rFonts w:asciiTheme="minorEastAsia" w:hAnsiTheme="minorEastAsia" w:eastAsiaTheme="minorEastAsia"/>
          <w:bCs/>
          <w:color w:val="000000"/>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 xml:space="preserve"> 交货期：</w:t>
      </w:r>
    </w:p>
    <w:p>
      <w:pPr>
        <w:pStyle w:val="9"/>
        <w:snapToGrid w:val="0"/>
        <w:spacing w:before="120" w:after="120" w:line="360" w:lineRule="auto"/>
        <w:rPr>
          <w:rFonts w:asciiTheme="minorEastAsia" w:hAnsiTheme="minorEastAsia" w:eastAsiaTheme="minorEastAsia"/>
          <w:bCs/>
          <w:color w:val="000000"/>
          <w:sz w:val="24"/>
          <w:szCs w:val="24"/>
        </w:rPr>
      </w:pPr>
      <w:r>
        <w:rPr>
          <w:rFonts w:asciiTheme="minorEastAsia" w:hAnsiTheme="minorEastAsia" w:eastAsiaTheme="minorEastAsia"/>
          <w:bCs/>
          <w:color w:val="000000"/>
          <w:sz w:val="24"/>
          <w:szCs w:val="24"/>
        </w:rPr>
        <w:t>2</w:t>
      </w:r>
      <w:r>
        <w:rPr>
          <w:rFonts w:hint="eastAsia" w:asciiTheme="minorEastAsia" w:hAnsiTheme="minorEastAsia" w:eastAsiaTheme="minorEastAsia"/>
          <w:bCs/>
          <w:color w:val="000000"/>
          <w:sz w:val="24"/>
          <w:szCs w:val="24"/>
        </w:rPr>
        <w:t>.</w:t>
      </w:r>
      <w:r>
        <w:rPr>
          <w:rFonts w:asciiTheme="minorEastAsia" w:hAnsiTheme="minorEastAsia" w:eastAsiaTheme="minorEastAsia"/>
          <w:bCs/>
          <w:color w:val="000000"/>
          <w:sz w:val="24"/>
          <w:szCs w:val="24"/>
        </w:rPr>
        <w:t xml:space="preserve"> 交货方式：</w:t>
      </w:r>
    </w:p>
    <w:p>
      <w:pPr>
        <w:pStyle w:val="9"/>
        <w:snapToGrid w:val="0"/>
        <w:spacing w:before="120" w:after="120" w:line="360" w:lineRule="auto"/>
        <w:rPr>
          <w:rFonts w:asciiTheme="minorEastAsia" w:hAnsiTheme="minorEastAsia" w:eastAsiaTheme="minorEastAsia"/>
          <w:b/>
          <w:color w:val="000000"/>
          <w:sz w:val="24"/>
          <w:szCs w:val="24"/>
        </w:rPr>
      </w:pPr>
      <w:r>
        <w:rPr>
          <w:rFonts w:asciiTheme="minorEastAsia" w:hAnsiTheme="minorEastAsia" w:eastAsiaTheme="minorEastAsia"/>
          <w:bCs/>
          <w:color w:val="000000"/>
          <w:sz w:val="24"/>
          <w:szCs w:val="24"/>
        </w:rPr>
        <w:t>3</w:t>
      </w:r>
      <w:r>
        <w:rPr>
          <w:rFonts w:hint="eastAsia" w:asciiTheme="minorEastAsia" w:hAnsiTheme="minorEastAsia" w:eastAsiaTheme="minorEastAsia"/>
          <w:bCs/>
          <w:color w:val="000000"/>
          <w:sz w:val="24"/>
          <w:szCs w:val="24"/>
        </w:rPr>
        <w:t>.</w:t>
      </w:r>
      <w:r>
        <w:rPr>
          <w:rFonts w:asciiTheme="minorEastAsia" w:hAnsiTheme="minorEastAsia" w:eastAsiaTheme="minorEastAsia"/>
          <w:bCs/>
          <w:color w:val="000000"/>
          <w:sz w:val="24"/>
          <w:szCs w:val="24"/>
        </w:rPr>
        <w:t xml:space="preserve"> 交货地点：</w:t>
      </w:r>
    </w:p>
    <w:p>
      <w:pPr>
        <w:pStyle w:val="9"/>
        <w:snapToGrid w:val="0"/>
        <w:spacing w:before="120" w:after="120" w:line="360" w:lineRule="auto"/>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十</w:t>
      </w:r>
      <w:r>
        <w:rPr>
          <w:rFonts w:hint="eastAsia" w:asciiTheme="minorEastAsia" w:hAnsiTheme="minorEastAsia" w:eastAsiaTheme="minorEastAsia"/>
          <w:b/>
          <w:color w:val="000000"/>
          <w:sz w:val="24"/>
          <w:szCs w:val="24"/>
        </w:rPr>
        <w:t>一</w:t>
      </w:r>
      <w:r>
        <w:rPr>
          <w:rFonts w:asciiTheme="minorEastAsia" w:hAnsiTheme="minorEastAsia" w:eastAsiaTheme="minorEastAsia"/>
          <w:b/>
          <w:color w:val="000000"/>
          <w:sz w:val="24"/>
          <w:szCs w:val="24"/>
        </w:rPr>
        <w:t>、货款支付</w:t>
      </w:r>
    </w:p>
    <w:p>
      <w:pPr>
        <w:pStyle w:val="9"/>
        <w:snapToGrid w:val="0"/>
        <w:spacing w:before="120" w:after="120" w:line="360" w:lineRule="auto"/>
        <w:rPr>
          <w:rFonts w:asciiTheme="minorEastAsia" w:hAnsiTheme="minorEastAsia" w:eastAsiaTheme="minorEastAsia"/>
          <w:bCs/>
          <w:sz w:val="24"/>
          <w:szCs w:val="24"/>
        </w:rPr>
      </w:pPr>
      <w:r>
        <w:rPr>
          <w:rFonts w:asciiTheme="minorEastAsia" w:hAnsiTheme="minorEastAsia" w:eastAsiaTheme="minorEastAsia"/>
          <w:bCs/>
          <w:sz w:val="24"/>
          <w:szCs w:val="24"/>
        </w:rPr>
        <w:t>1</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 xml:space="preserve"> 付款方式：</w:t>
      </w:r>
    </w:p>
    <w:p>
      <w:pPr>
        <w:pStyle w:val="9"/>
        <w:snapToGrid w:val="0"/>
        <w:spacing w:line="360" w:lineRule="auto"/>
        <w:rPr>
          <w:rFonts w:asciiTheme="minorEastAsia" w:hAnsiTheme="minorEastAsia" w:eastAsiaTheme="minorEastAsia"/>
          <w:bCs/>
          <w:sz w:val="24"/>
          <w:szCs w:val="24"/>
        </w:rPr>
      </w:pPr>
      <w:r>
        <w:rPr>
          <w:rFonts w:hint="eastAsia" w:hAnsi="Times New Roman"/>
          <w:sz w:val="24"/>
          <w:szCs w:val="24"/>
          <w:lang w:val="zh-CN"/>
        </w:rPr>
        <w:t>2.当采购数量与实际使用数量不一致时，由采购单位向同级财政部门申请并经批准后，可以由乙方根据实际使用量供货，合同的最终结算金额按实际使用量乘以成交单价进行计算。</w:t>
      </w:r>
    </w:p>
    <w:p>
      <w:pPr>
        <w:snapToGrid w:val="0"/>
        <w:spacing w:beforeLines="50" w:afterLines="50"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十二、税费</w:t>
      </w:r>
    </w:p>
    <w:p>
      <w:pPr>
        <w:snapToGrid w:val="0"/>
        <w:spacing w:beforeLines="50" w:afterLines="50"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本合同执行中相关的一切税费均由</w:t>
      </w:r>
      <w:r>
        <w:rPr>
          <w:rFonts w:asciiTheme="minorEastAsia" w:hAnsiTheme="minorEastAsia" w:eastAsiaTheme="minorEastAsia"/>
          <w:sz w:val="24"/>
          <w:szCs w:val="24"/>
        </w:rPr>
        <w:t>乙</w:t>
      </w:r>
      <w:r>
        <w:rPr>
          <w:rFonts w:hint="eastAsia" w:asciiTheme="minorEastAsia" w:hAnsiTheme="minorEastAsia" w:eastAsiaTheme="minorEastAsia"/>
          <w:sz w:val="24"/>
          <w:szCs w:val="24"/>
        </w:rPr>
        <w:t>方负担。</w:t>
      </w:r>
    </w:p>
    <w:p>
      <w:pPr>
        <w:pStyle w:val="9"/>
        <w:snapToGrid w:val="0"/>
        <w:spacing w:before="120" w:after="120" w:line="360" w:lineRule="auto"/>
        <w:ind w:left="412" w:hanging="412" w:hangingChars="171"/>
        <w:rPr>
          <w:rFonts w:asciiTheme="minorEastAsia" w:hAnsiTheme="minorEastAsia" w:eastAsiaTheme="minorEastAsia"/>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三</w:t>
      </w:r>
      <w:r>
        <w:rPr>
          <w:rFonts w:asciiTheme="minorEastAsia" w:hAnsiTheme="minorEastAsia" w:eastAsiaTheme="minorEastAsia"/>
          <w:b/>
          <w:sz w:val="24"/>
          <w:szCs w:val="24"/>
        </w:rPr>
        <w:t>、质量保证及售后服务</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乙方应按招标文件规定的货物性能、技术要求、质量标准向甲方提供未经使用的全新产品。</w:t>
      </w:r>
    </w:p>
    <w:p>
      <w:pPr>
        <w:pStyle w:val="9"/>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乙方提供的货物在质</w:t>
      </w:r>
      <w:r>
        <w:rPr>
          <w:rFonts w:hint="eastAsia" w:asciiTheme="minorEastAsia" w:hAnsiTheme="minorEastAsia" w:eastAsiaTheme="minorEastAsia"/>
          <w:sz w:val="24"/>
          <w:szCs w:val="24"/>
        </w:rPr>
        <w:t>保</w:t>
      </w:r>
      <w:r>
        <w:rPr>
          <w:rFonts w:asciiTheme="minorEastAsia" w:hAnsiTheme="minorEastAsia" w:eastAsiaTheme="minorEastAsia"/>
          <w:sz w:val="24"/>
          <w:szCs w:val="24"/>
        </w:rPr>
        <w:t>期内因货物本身的质量问题发生故障，乙方应负责免费更换。对达不到技术要求者，根据实际情况，经双方协商，可按以下办法处理：</w:t>
      </w:r>
    </w:p>
    <w:p>
      <w:pPr>
        <w:pStyle w:val="9"/>
        <w:snapToGrid w:val="0"/>
        <w:spacing w:before="120" w:after="12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⑴更换：由乙方承担所发生的全部费用。</w:t>
      </w:r>
    </w:p>
    <w:p>
      <w:pPr>
        <w:pStyle w:val="9"/>
        <w:snapToGrid w:val="0"/>
        <w:spacing w:before="120" w:after="120" w:line="360" w:lineRule="auto"/>
        <w:ind w:firstLine="420"/>
        <w:rPr>
          <w:rFonts w:asciiTheme="minorEastAsia" w:hAnsiTheme="minorEastAsia" w:eastAsiaTheme="minorEastAsia"/>
          <w:sz w:val="24"/>
          <w:szCs w:val="24"/>
        </w:rPr>
      </w:pPr>
      <w:r>
        <w:rPr>
          <w:rFonts w:asciiTheme="minorEastAsia" w:hAnsiTheme="minorEastAsia" w:eastAsiaTheme="minorEastAsia"/>
          <w:sz w:val="24"/>
          <w:szCs w:val="24"/>
        </w:rPr>
        <w:t>⑵贬值处理：由甲乙双方合议定价。</w:t>
      </w:r>
    </w:p>
    <w:p>
      <w:pPr>
        <w:pStyle w:val="9"/>
        <w:snapToGrid w:val="0"/>
        <w:spacing w:before="120" w:after="120" w:line="360" w:lineRule="auto"/>
        <w:ind w:left="420" w:leftChars="200"/>
        <w:rPr>
          <w:rFonts w:asciiTheme="minorEastAsia" w:hAnsiTheme="minorEastAsia" w:eastAsiaTheme="minorEastAsia"/>
          <w:sz w:val="24"/>
          <w:szCs w:val="24"/>
        </w:rPr>
      </w:pPr>
      <w:r>
        <w:rPr>
          <w:rFonts w:asciiTheme="minorEastAsia" w:hAnsiTheme="minorEastAsia" w:eastAsiaTheme="minorEastAsia"/>
          <w:sz w:val="24"/>
          <w:szCs w:val="24"/>
        </w:rPr>
        <w:t>⑶退货处理：乙方应退还甲方支付的合同款，同时应承担该货物的直接费用（运输、保险、检验、货款利息及银行手续费等）。</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如在使用过程中发生质量问题，乙方在接到甲方通知后</w:t>
      </w:r>
      <w:r>
        <w:rPr>
          <w:rFonts w:asciiTheme="minorEastAsia" w:hAnsiTheme="minorEastAsia" w:eastAsiaTheme="minorEastAsia"/>
          <w:color w:val="000000"/>
          <w:sz w:val="24"/>
          <w:szCs w:val="24"/>
        </w:rPr>
        <w:t>在</w:t>
      </w:r>
      <w:r>
        <w:rPr>
          <w:rFonts w:hint="eastAsia" w:asciiTheme="minorEastAsia" w:hAnsiTheme="minorEastAsia" w:eastAsiaTheme="minorEastAsia"/>
          <w:color w:val="000000"/>
          <w:sz w:val="24"/>
          <w:szCs w:val="24"/>
          <w:u w:val="single"/>
          <w:lang w:val="en-US" w:eastAsia="zh-CN"/>
        </w:rPr>
        <w:t xml:space="preserve">   </w:t>
      </w:r>
      <w:r>
        <w:rPr>
          <w:rFonts w:asciiTheme="minorEastAsia" w:hAnsiTheme="minorEastAsia" w:eastAsiaTheme="minorEastAsia"/>
          <w:color w:val="000000"/>
          <w:sz w:val="24"/>
          <w:szCs w:val="24"/>
        </w:rPr>
        <w:t>小时</w:t>
      </w:r>
      <w:r>
        <w:rPr>
          <w:rFonts w:asciiTheme="minorEastAsia" w:hAnsiTheme="minorEastAsia" w:eastAsiaTheme="minorEastAsia"/>
          <w:sz w:val="24"/>
          <w:szCs w:val="24"/>
        </w:rPr>
        <w:t>内到达甲方</w:t>
      </w:r>
    </w:p>
    <w:p>
      <w:pPr>
        <w:pStyle w:val="9"/>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现场。</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在质保期内，乙方应对货物出现的质量及安全问题负责处理解决并承担一切</w:t>
      </w:r>
    </w:p>
    <w:p>
      <w:pPr>
        <w:pStyle w:val="9"/>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费用。</w:t>
      </w:r>
    </w:p>
    <w:p>
      <w:pPr>
        <w:pStyle w:val="9"/>
        <w:snapToGrid w:val="0"/>
        <w:spacing w:before="120" w:after="120" w:line="360" w:lineRule="auto"/>
        <w:rPr>
          <w:rFonts w:asciiTheme="minorEastAsia" w:hAnsiTheme="minorEastAsia" w:eastAsiaTheme="minorEastAsia"/>
          <w:color w:val="000000"/>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color w:val="000000"/>
          <w:sz w:val="24"/>
          <w:szCs w:val="24"/>
        </w:rPr>
        <w:t>上述的</w:t>
      </w:r>
      <w:r>
        <w:rPr>
          <w:rFonts w:asciiTheme="minorEastAsia" w:hAnsiTheme="minorEastAsia" w:eastAsiaTheme="minorEastAsia"/>
          <w:sz w:val="24"/>
          <w:szCs w:val="24"/>
        </w:rPr>
        <w:t>货物</w:t>
      </w:r>
      <w:r>
        <w:rPr>
          <w:rFonts w:asciiTheme="minorEastAsia" w:hAnsiTheme="minorEastAsia" w:eastAsiaTheme="minorEastAsia"/>
          <w:color w:val="000000"/>
          <w:sz w:val="24"/>
          <w:szCs w:val="24"/>
        </w:rPr>
        <w:t>免费保修期为年，因人为因素出现的故障不在免费保修范围</w:t>
      </w:r>
    </w:p>
    <w:p>
      <w:pPr>
        <w:pStyle w:val="9"/>
        <w:snapToGrid w:val="0"/>
        <w:spacing w:before="120" w:after="120" w:line="360" w:lineRule="auto"/>
        <w:ind w:firstLine="240" w:firstLineChars="1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内。超过保修期的机器设备，终生维修，维修时只收部件成本费。</w:t>
      </w:r>
    </w:p>
    <w:p>
      <w:pPr>
        <w:pStyle w:val="9"/>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四</w:t>
      </w:r>
      <w:r>
        <w:rPr>
          <w:rFonts w:asciiTheme="minorEastAsia" w:hAnsiTheme="minorEastAsia" w:eastAsiaTheme="minorEastAsia"/>
          <w:b/>
          <w:sz w:val="24"/>
          <w:szCs w:val="24"/>
        </w:rPr>
        <w:t>、调试和验收</w:t>
      </w:r>
    </w:p>
    <w:p>
      <w:pPr>
        <w:pStyle w:val="9"/>
        <w:snapToGrid w:val="0"/>
        <w:spacing w:before="120" w:after="120"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甲方对乙方提交的货物依据招标文件上的技术规格要求和国家有关质量标准</w:t>
      </w:r>
    </w:p>
    <w:p>
      <w:pPr>
        <w:pStyle w:val="9"/>
        <w:snapToGrid w:val="0"/>
        <w:spacing w:before="120" w:after="120" w:line="360" w:lineRule="auto"/>
        <w:ind w:firstLine="360" w:firstLineChars="150"/>
        <w:jc w:val="left"/>
        <w:rPr>
          <w:rFonts w:asciiTheme="minorEastAsia" w:hAnsiTheme="minorEastAsia" w:eastAsiaTheme="minorEastAsia"/>
          <w:sz w:val="24"/>
          <w:szCs w:val="24"/>
        </w:rPr>
      </w:pPr>
      <w:r>
        <w:rPr>
          <w:rFonts w:asciiTheme="minorEastAsia" w:hAnsiTheme="minorEastAsia" w:eastAsiaTheme="minorEastAsia"/>
          <w:sz w:val="24"/>
          <w:szCs w:val="24"/>
        </w:rPr>
        <w:t>进行现场初步验收，外观、说明书符合招标文件技术要求的，给予签收，初</w:t>
      </w:r>
    </w:p>
    <w:p>
      <w:pPr>
        <w:pStyle w:val="9"/>
        <w:snapToGrid w:val="0"/>
        <w:spacing w:before="120" w:after="120" w:line="360" w:lineRule="auto"/>
        <w:ind w:firstLine="360" w:firstLineChars="150"/>
        <w:jc w:val="left"/>
        <w:rPr>
          <w:rFonts w:asciiTheme="minorEastAsia" w:hAnsiTheme="minorEastAsia" w:eastAsiaTheme="minorEastAsia"/>
          <w:sz w:val="24"/>
          <w:szCs w:val="24"/>
        </w:rPr>
      </w:pPr>
      <w:r>
        <w:rPr>
          <w:rFonts w:asciiTheme="minorEastAsia" w:hAnsiTheme="minorEastAsia" w:eastAsiaTheme="minorEastAsia"/>
          <w:sz w:val="24"/>
          <w:szCs w:val="24"/>
        </w:rPr>
        <w:t>步验收不合格的不予签收。货到后，甲方需在</w:t>
      </w:r>
      <w:r>
        <w:rPr>
          <w:rFonts w:hint="eastAsia" w:asciiTheme="minorEastAsia" w:hAnsiTheme="minorEastAsia" w:eastAsiaTheme="minorEastAsia"/>
          <w:color w:val="FF66CC"/>
          <w:sz w:val="24"/>
          <w:szCs w:val="24"/>
          <w:u w:val="single"/>
        </w:rPr>
        <w:t>五</w:t>
      </w:r>
      <w:r>
        <w:rPr>
          <w:rFonts w:hint="eastAsia" w:asciiTheme="minorEastAsia" w:hAnsiTheme="minorEastAsia" w:eastAsiaTheme="minorEastAsia"/>
          <w:sz w:val="24"/>
          <w:szCs w:val="24"/>
        </w:rPr>
        <w:t>个</w:t>
      </w:r>
      <w:r>
        <w:rPr>
          <w:rFonts w:asciiTheme="minorEastAsia" w:hAnsiTheme="minorEastAsia" w:eastAsiaTheme="minorEastAsia"/>
          <w:sz w:val="24"/>
          <w:szCs w:val="24"/>
        </w:rPr>
        <w:t>工作日内验收。</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乙方交货前应对产品作出全面检查和对验收文件进行整理，并列出清单，作</w:t>
      </w:r>
    </w:p>
    <w:p>
      <w:pPr>
        <w:pStyle w:val="9"/>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为甲方收货验收和使用的技术条件依据，检验的结果应随货物交甲方。</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甲方对乙方提供的货物在使用前进行调试时，乙方需负责安装并培训甲方的</w:t>
      </w:r>
    </w:p>
    <w:p>
      <w:pPr>
        <w:pStyle w:val="9"/>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使用操作人员，并协助甲方一起调试，直到符合技术要求，甲方才做最终验</w:t>
      </w:r>
    </w:p>
    <w:p>
      <w:pPr>
        <w:pStyle w:val="9"/>
        <w:snapToGrid w:val="0"/>
        <w:spacing w:before="120" w:after="120" w:line="360" w:lineRule="auto"/>
        <w:ind w:firstLine="360" w:firstLineChars="150"/>
        <w:rPr>
          <w:rFonts w:asciiTheme="minorEastAsia" w:hAnsiTheme="minorEastAsia" w:eastAsiaTheme="minorEastAsia"/>
          <w:sz w:val="24"/>
          <w:szCs w:val="24"/>
          <w:u w:val="single"/>
        </w:rPr>
      </w:pPr>
      <w:r>
        <w:rPr>
          <w:rFonts w:asciiTheme="minorEastAsia" w:hAnsiTheme="minorEastAsia" w:eastAsiaTheme="minorEastAsia"/>
          <w:sz w:val="24"/>
          <w:szCs w:val="24"/>
        </w:rPr>
        <w:t>收。</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color w:val="000000"/>
          <w:sz w:val="24"/>
          <w:szCs w:val="24"/>
        </w:rPr>
        <w:t>4</w:t>
      </w:r>
      <w:r>
        <w:rPr>
          <w:rFonts w:hint="eastAsia" w:asciiTheme="minorEastAsia" w:hAnsiTheme="minorEastAsia" w:eastAsiaTheme="minorEastAsia"/>
          <w:color w:val="000000"/>
          <w:sz w:val="24"/>
          <w:szCs w:val="24"/>
        </w:rPr>
        <w:t>.</w:t>
      </w:r>
      <w:r>
        <w:rPr>
          <w:rFonts w:asciiTheme="minorEastAsia" w:hAnsiTheme="minorEastAsia" w:eastAsiaTheme="minorEastAsia"/>
          <w:sz w:val="24"/>
          <w:szCs w:val="24"/>
        </w:rPr>
        <w:t>对技术复杂的货物，甲方应请国家认可的专业检测机构参与初步验收及最终</w:t>
      </w:r>
    </w:p>
    <w:p>
      <w:pPr>
        <w:pStyle w:val="9"/>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验收，并由其出具质量检测报告。</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color w:val="000000"/>
          <w:sz w:val="24"/>
          <w:szCs w:val="24"/>
        </w:rPr>
        <w:t>5</w:t>
      </w:r>
      <w:r>
        <w:rPr>
          <w:rFonts w:hint="eastAsia" w:asciiTheme="minorEastAsia" w:hAnsiTheme="minorEastAsia" w:eastAsiaTheme="minorEastAsia"/>
          <w:color w:val="000000"/>
          <w:sz w:val="24"/>
          <w:szCs w:val="24"/>
        </w:rPr>
        <w:t>.</w:t>
      </w:r>
      <w:r>
        <w:rPr>
          <w:rFonts w:asciiTheme="minorEastAsia" w:hAnsiTheme="minorEastAsia" w:eastAsiaTheme="minorEastAsia"/>
          <w:sz w:val="24"/>
          <w:szCs w:val="24"/>
        </w:rPr>
        <w:t>验收时乙方必须在现场，验收完毕后作出验收结果报告；验收费用由</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方负</w:t>
      </w:r>
    </w:p>
    <w:p>
      <w:pPr>
        <w:pStyle w:val="9"/>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责。</w:t>
      </w:r>
    </w:p>
    <w:p>
      <w:pPr>
        <w:pStyle w:val="9"/>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五</w:t>
      </w:r>
      <w:r>
        <w:rPr>
          <w:rFonts w:asciiTheme="minorEastAsia" w:hAnsiTheme="minorEastAsia" w:eastAsiaTheme="minorEastAsia"/>
          <w:b/>
          <w:sz w:val="24"/>
          <w:szCs w:val="24"/>
        </w:rPr>
        <w:t>、货物包装、发运及运输</w:t>
      </w:r>
    </w:p>
    <w:p>
      <w:pPr>
        <w:pStyle w:val="9"/>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乙方应在货物发运前对其进行满足运输距离、防潮、防震、防锈和防破损装卸等要求包装，以保证货物安全运达甲方指定地点。</w:t>
      </w:r>
    </w:p>
    <w:p>
      <w:pPr>
        <w:pStyle w:val="9"/>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使用说明书、质量检验证明书、随配附件和工具以及清单一并附于货物内。</w:t>
      </w:r>
    </w:p>
    <w:p>
      <w:pPr>
        <w:pStyle w:val="9"/>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乙方在货物发运手续办理完毕后24小时内或货到甲方48小时前通知甲方，以准备接货。</w:t>
      </w:r>
    </w:p>
    <w:p>
      <w:pPr>
        <w:pStyle w:val="9"/>
        <w:snapToGrid w:val="0"/>
        <w:spacing w:before="120" w:after="120" w:line="360" w:lineRule="auto"/>
        <w:ind w:left="480"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货物在交付甲方前发生的风险均由乙方负责。</w:t>
      </w:r>
    </w:p>
    <w:p>
      <w:pPr>
        <w:pStyle w:val="9"/>
        <w:snapToGrid w:val="0"/>
        <w:spacing w:line="360" w:lineRule="auto"/>
        <w:ind w:left="480" w:right="26" w:hanging="480" w:hangingChars="200"/>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货物在规定的交付期限内由乙方送达甲方指定的地点视为交付，乙方同时需</w:t>
      </w:r>
    </w:p>
    <w:p>
      <w:pPr>
        <w:pStyle w:val="9"/>
        <w:snapToGrid w:val="0"/>
        <w:spacing w:line="360" w:lineRule="auto"/>
        <w:ind w:left="479" w:leftChars="171" w:right="26" w:hanging="120" w:hangingChars="50"/>
        <w:rPr>
          <w:rFonts w:asciiTheme="minorEastAsia" w:hAnsiTheme="minorEastAsia" w:eastAsiaTheme="minorEastAsia"/>
          <w:sz w:val="24"/>
          <w:szCs w:val="24"/>
        </w:rPr>
      </w:pPr>
      <w:r>
        <w:rPr>
          <w:rFonts w:asciiTheme="minorEastAsia" w:hAnsiTheme="minorEastAsia" w:eastAsiaTheme="minorEastAsia"/>
          <w:sz w:val="24"/>
          <w:szCs w:val="24"/>
        </w:rPr>
        <w:t>通知甲方货物已送达。</w:t>
      </w:r>
    </w:p>
    <w:p>
      <w:pPr>
        <w:pStyle w:val="9"/>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、违约责任</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甲方无正当理由拒收货物的，甲方向乙方偿付拒收货款总值的</w:t>
      </w:r>
      <w:r>
        <w:rPr>
          <w:rFonts w:asciiTheme="minorEastAsia" w:hAnsiTheme="minorEastAsia" w:eastAsiaTheme="minorEastAsia"/>
          <w:color w:val="FF66CC"/>
          <w:sz w:val="24"/>
          <w:szCs w:val="24"/>
          <w:u w:val="single"/>
        </w:rPr>
        <w:t>百分之五</w:t>
      </w:r>
      <w:r>
        <w:rPr>
          <w:rFonts w:asciiTheme="minorEastAsia" w:hAnsiTheme="minorEastAsia" w:eastAsiaTheme="minorEastAsia"/>
          <w:sz w:val="24"/>
          <w:szCs w:val="24"/>
        </w:rPr>
        <w:t>违约金。</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甲方无故逾期验收和办理货款支付手续的,甲方应按逾期付款总额每日</w:t>
      </w:r>
      <w:r>
        <w:rPr>
          <w:rFonts w:asciiTheme="minorEastAsia" w:hAnsiTheme="minorEastAsia" w:eastAsiaTheme="minorEastAsia"/>
          <w:color w:val="FF66CC"/>
          <w:sz w:val="24"/>
          <w:szCs w:val="24"/>
          <w:u w:val="single"/>
        </w:rPr>
        <w:t>万分之五</w:t>
      </w:r>
      <w:r>
        <w:rPr>
          <w:rFonts w:asciiTheme="minorEastAsia" w:hAnsiTheme="minorEastAsia" w:eastAsiaTheme="minorEastAsia"/>
          <w:sz w:val="24"/>
          <w:szCs w:val="24"/>
        </w:rPr>
        <w:t>向乙方支付违约金。</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乙方逾期交付货物的，乙方应按逾期交货总额每日</w:t>
      </w:r>
      <w:r>
        <w:rPr>
          <w:rFonts w:asciiTheme="minorEastAsia" w:hAnsiTheme="minorEastAsia" w:eastAsiaTheme="minorEastAsia"/>
          <w:color w:val="FF66CC"/>
          <w:sz w:val="24"/>
          <w:szCs w:val="24"/>
          <w:u w:val="single"/>
        </w:rPr>
        <w:t>千分之六</w:t>
      </w:r>
      <w:r>
        <w:rPr>
          <w:rFonts w:asciiTheme="minorEastAsia" w:hAnsiTheme="minorEastAsia" w:eastAsiaTheme="minorEastAsia"/>
          <w:sz w:val="24"/>
          <w:szCs w:val="24"/>
        </w:rPr>
        <w:t>向甲方支付违约金，由甲方从待付货款中扣除。逾期超过约定日期</w:t>
      </w:r>
      <w:r>
        <w:rPr>
          <w:rFonts w:asciiTheme="minorEastAsia" w:hAnsiTheme="minorEastAsia" w:eastAsiaTheme="minorEastAsia"/>
          <w:color w:val="FF66CC"/>
          <w:sz w:val="24"/>
          <w:szCs w:val="24"/>
          <w:u w:val="single"/>
        </w:rPr>
        <w:t>10</w:t>
      </w:r>
      <w:r>
        <w:rPr>
          <w:rFonts w:asciiTheme="minorEastAsia" w:hAnsiTheme="minorEastAsia" w:eastAsiaTheme="minorEastAsia"/>
          <w:sz w:val="24"/>
          <w:szCs w:val="24"/>
        </w:rPr>
        <w:t>个工作日不能交货的，甲方可解除本合同。乙方因逾期交货或因其他违约行为导致甲方解除合同的，乙方应向甲方支付合同总值</w:t>
      </w:r>
      <w:r>
        <w:rPr>
          <w:rFonts w:asciiTheme="minorEastAsia" w:hAnsiTheme="minorEastAsia" w:eastAsiaTheme="minorEastAsia"/>
          <w:color w:val="FF66CC"/>
          <w:sz w:val="24"/>
          <w:szCs w:val="24"/>
          <w:u w:val="single"/>
        </w:rPr>
        <w:t>5%</w:t>
      </w:r>
      <w:r>
        <w:rPr>
          <w:rFonts w:asciiTheme="minorEastAsia" w:hAnsiTheme="minorEastAsia" w:eastAsiaTheme="minorEastAsia"/>
          <w:sz w:val="24"/>
          <w:szCs w:val="24"/>
        </w:rPr>
        <w:t xml:space="preserve">的违约金，如造成甲方损失超过违约金的，超出部分由乙方继续承担赔偿责任。 </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asciiTheme="minorEastAsia" w:hAnsiTheme="minorEastAsia" w:eastAsiaTheme="minorEastAsia"/>
          <w:sz w:val="24"/>
          <w:szCs w:val="24"/>
        </w:rPr>
        <w:t>4</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napToGrid w:val="0"/>
        <w:spacing w:before="120" w:after="120" w:line="360" w:lineRule="auto"/>
        <w:ind w:left="410" w:hanging="410" w:hangingChars="171"/>
        <w:rPr>
          <w:rFonts w:asciiTheme="minorEastAsia" w:hAnsiTheme="minorEastAsia" w:eastAsiaTheme="minorEastAsia"/>
          <w:sz w:val="24"/>
          <w:szCs w:val="24"/>
        </w:rPr>
      </w:pPr>
      <w:r>
        <w:rPr>
          <w:rFonts w:hint="eastAsia" w:asciiTheme="minorEastAsia" w:hAnsiTheme="minorEastAsia" w:eastAsiaTheme="minorEastAsia"/>
          <w:sz w:val="24"/>
          <w:szCs w:val="24"/>
        </w:rPr>
        <w:t>5.若发生纠纷，由违约方赔偿守约方因纠纷所支付的费用（包括但不限于律师费、差旅费、诉讼费、保全费、鉴定费、评估费等）</w:t>
      </w:r>
    </w:p>
    <w:p>
      <w:pPr>
        <w:pStyle w:val="9"/>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、不可抗力事件处理</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在合同有效期内，任何一方因不可抗力事件导致不能履行合同，则合同履行</w:t>
      </w:r>
    </w:p>
    <w:p>
      <w:pPr>
        <w:pStyle w:val="9"/>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期可延长，其延长期与不可抗力影响期相同。</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2</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不可抗力事件发生后，应立即通知对方，并寄送有关权威机构出具的证明。</w:t>
      </w:r>
    </w:p>
    <w:p>
      <w:pPr>
        <w:pStyle w:val="9"/>
        <w:snapToGrid w:val="0"/>
        <w:spacing w:before="120" w:after="120" w:line="360" w:lineRule="auto"/>
        <w:rPr>
          <w:rFonts w:asciiTheme="minorEastAsia" w:hAnsiTheme="minorEastAsia" w:eastAsiaTheme="minorEastAsia"/>
          <w:sz w:val="24"/>
          <w:szCs w:val="24"/>
        </w:rPr>
      </w:pPr>
      <w:r>
        <w:rPr>
          <w:rFonts w:asciiTheme="minorEastAsia" w:hAnsiTheme="minorEastAsia" w:eastAsiaTheme="minorEastAsia"/>
          <w:sz w:val="24"/>
          <w:szCs w:val="24"/>
        </w:rPr>
        <w:t>3</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不可抗力事件延续120天以上，双方应通过友好协商，确定是否继续履行合</w:t>
      </w:r>
    </w:p>
    <w:p>
      <w:pPr>
        <w:pStyle w:val="9"/>
        <w:snapToGrid w:val="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同。</w:t>
      </w:r>
    </w:p>
    <w:p>
      <w:pPr>
        <w:pStyle w:val="9"/>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w:t>
      </w:r>
      <w:r>
        <w:rPr>
          <w:rFonts w:hint="eastAsia" w:asciiTheme="minorEastAsia" w:hAnsiTheme="minorEastAsia" w:eastAsiaTheme="minorEastAsia"/>
          <w:b/>
          <w:sz w:val="24"/>
          <w:szCs w:val="24"/>
        </w:rPr>
        <w:t>解决争议的方法</w:t>
      </w:r>
    </w:p>
    <w:p>
      <w:pPr>
        <w:widowControl/>
        <w:spacing w:line="360" w:lineRule="auto"/>
        <w:jc w:val="left"/>
        <w:rPr>
          <w:sz w:val="24"/>
          <w:szCs w:val="24"/>
        </w:rPr>
      </w:pPr>
      <w:r>
        <w:rPr>
          <w:rFonts w:hint="eastAsia" w:ascii="宋体" w:hAnsi="宋体" w:cs="宋体"/>
          <w:kern w:val="0"/>
          <w:sz w:val="24"/>
          <w:szCs w:val="24"/>
        </w:rPr>
        <w:t xml:space="preserve">1. </w:t>
      </w:r>
      <w:r>
        <w:rPr>
          <w:rFonts w:ascii="宋体" w:hAnsi="宋体" w:cs="宋体"/>
          <w:kern w:val="0"/>
          <w:sz w:val="24"/>
          <w:szCs w:val="24"/>
        </w:rPr>
        <w:t>如双方在履行合同时发生纠纷，应协商解决；协商不成时，可提请政府采购管理部门调解；调解不成的通过以下方式解决（两种解决方式只能择其一）：</w:t>
      </w:r>
      <w:r>
        <w:rPr>
          <w:rFonts w:ascii="宋体" w:hAnsi="宋体" w:cs="宋体"/>
          <w:kern w:val="0"/>
          <w:sz w:val="24"/>
          <w:szCs w:val="24"/>
        </w:rPr>
        <w:br w:type="textWrapping"/>
      </w:r>
      <w:r>
        <w:rPr>
          <w:rFonts w:ascii="宋体" w:hAnsi="宋体" w:cs="宋体"/>
          <w:kern w:val="0"/>
          <w:sz w:val="24"/>
          <w:szCs w:val="24"/>
        </w:rPr>
        <w:t>（1） 提交</w:t>
      </w:r>
      <w:r>
        <w:rPr>
          <w:rFonts w:hAnsi="宋体"/>
          <w:color w:val="FF66CC"/>
          <w:sz w:val="24"/>
          <w:szCs w:val="24"/>
          <w:u w:val="single"/>
        </w:rPr>
        <w:t>台州</w:t>
      </w:r>
      <w:r>
        <w:rPr>
          <w:rFonts w:ascii="宋体" w:hAnsi="宋体" w:cs="宋体"/>
          <w:kern w:val="0"/>
          <w:sz w:val="24"/>
          <w:szCs w:val="24"/>
        </w:rPr>
        <w:t>仲裁委员会仲裁。</w:t>
      </w:r>
      <w:r>
        <w:rPr>
          <w:rFonts w:ascii="宋体" w:hAnsi="宋体" w:cs="宋体"/>
          <w:kern w:val="0"/>
          <w:sz w:val="24"/>
          <w:szCs w:val="24"/>
        </w:rPr>
        <w:br w:type="textWrapping"/>
      </w:r>
      <w:r>
        <w:rPr>
          <w:rFonts w:ascii="宋体" w:hAnsi="宋体" w:cs="宋体"/>
          <w:kern w:val="0"/>
          <w:sz w:val="24"/>
          <w:szCs w:val="24"/>
        </w:rPr>
        <w:t xml:space="preserve">（2） 依法向人民法院提起诉讼。 </w:t>
      </w:r>
    </w:p>
    <w:p>
      <w:pPr>
        <w:pStyle w:val="9"/>
        <w:tabs>
          <w:tab w:val="left" w:pos="5790"/>
        </w:tabs>
        <w:snapToGrid w:val="0"/>
        <w:spacing w:before="120" w:after="120"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、合同生效及其它</w:t>
      </w:r>
      <w:r>
        <w:rPr>
          <w:rFonts w:asciiTheme="minorEastAsia" w:hAnsiTheme="minorEastAsia" w:eastAsiaTheme="minorEastAsia"/>
          <w:b/>
          <w:sz w:val="24"/>
          <w:szCs w:val="24"/>
        </w:rPr>
        <w:tab/>
      </w:r>
    </w:p>
    <w:p>
      <w:pPr>
        <w:pStyle w:val="7"/>
        <w:widowControl/>
        <w:spacing w:line="360" w:lineRule="auto"/>
        <w:ind w:right="-88"/>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w:t>
      </w:r>
      <w:r>
        <w:rPr>
          <w:rFonts w:asciiTheme="minorEastAsia" w:hAnsiTheme="minorEastAsia" w:eastAsiaTheme="minorEastAsia"/>
          <w:sz w:val="24"/>
          <w:szCs w:val="24"/>
        </w:rPr>
        <w:t xml:space="preserve"> 合同经双方法定代表人或授权代表</w:t>
      </w:r>
      <w:r>
        <w:rPr>
          <w:rFonts w:hint="eastAsia" w:asciiTheme="minorEastAsia" w:hAnsiTheme="minorEastAsia" w:eastAsiaTheme="minorEastAsia"/>
          <w:sz w:val="24"/>
          <w:szCs w:val="24"/>
          <w:lang w:eastAsia="zh-CN"/>
        </w:rPr>
        <w:t>签字</w:t>
      </w:r>
      <w:r>
        <w:rPr>
          <w:rFonts w:asciiTheme="minorEastAsia" w:hAnsiTheme="minorEastAsia" w:eastAsiaTheme="minorEastAsia"/>
          <w:sz w:val="24"/>
          <w:szCs w:val="24"/>
        </w:rPr>
        <w:t>并加盖单位公章后生效。</w:t>
      </w:r>
    </w:p>
    <w:p>
      <w:pPr>
        <w:pStyle w:val="7"/>
        <w:widowControl/>
        <w:spacing w:line="360" w:lineRule="auto"/>
        <w:ind w:right="-88"/>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 </w:t>
      </w:r>
      <w:r>
        <w:rPr>
          <w:rFonts w:asciiTheme="minorEastAsia" w:hAnsiTheme="minorEastAsia" w:eastAsiaTheme="minorEastAsia"/>
          <w:sz w:val="24"/>
          <w:szCs w:val="24"/>
        </w:rPr>
        <w:t>本合同未尽事宜，遵照《合同法》有关条文执行。</w:t>
      </w:r>
    </w:p>
    <w:p>
      <w:pPr>
        <w:pStyle w:val="7"/>
        <w:widowControl/>
        <w:spacing w:line="360" w:lineRule="auto"/>
        <w:ind w:right="-88"/>
        <w:rPr>
          <w:rFonts w:asciiTheme="minorEastAsia" w:hAnsiTheme="minorEastAsia" w:eastAsiaTheme="minorEastAsia"/>
          <w:b w:val="0"/>
          <w:bCs w:val="0"/>
          <w:color w:val="auto"/>
          <w:sz w:val="24"/>
          <w:szCs w:val="24"/>
        </w:rPr>
      </w:pPr>
      <w:r>
        <w:rPr>
          <w:rFonts w:hint="eastAsia" w:asciiTheme="minorEastAsia" w:hAnsiTheme="minorEastAsia" w:eastAsiaTheme="minorEastAsia"/>
          <w:sz w:val="24"/>
          <w:szCs w:val="24"/>
        </w:rPr>
        <w:t>3.</w:t>
      </w:r>
      <w:r>
        <w:rPr>
          <w:rFonts w:hint="eastAsia" w:asciiTheme="minorEastAsia" w:hAnsiTheme="minorEastAsia" w:eastAsiaTheme="minorEastAsia"/>
          <w:b w:val="0"/>
          <w:bCs w:val="0"/>
          <w:color w:val="auto"/>
          <w:sz w:val="24"/>
          <w:szCs w:val="24"/>
        </w:rPr>
        <w:t xml:space="preserve"> 本合同一式四份。甲、乙双方各执一份，</w:t>
      </w:r>
      <w:r>
        <w:rPr>
          <w:rFonts w:hint="eastAsia" w:ascii="宋体" w:hAnsi="宋体" w:eastAsia="宋体"/>
          <w:b w:val="0"/>
          <w:bCs w:val="0"/>
          <w:color w:val="auto"/>
          <w:sz w:val="24"/>
          <w:szCs w:val="24"/>
          <w:lang w:eastAsia="zh-CN"/>
        </w:rPr>
        <w:t>采购组织机构</w:t>
      </w:r>
      <w:r>
        <w:rPr>
          <w:rFonts w:hint="eastAsia" w:ascii="宋体" w:hAnsi="宋体" w:eastAsia="宋体"/>
          <w:b w:val="0"/>
          <w:bCs w:val="0"/>
          <w:color w:val="auto"/>
          <w:sz w:val="24"/>
          <w:szCs w:val="24"/>
        </w:rPr>
        <w:t>及</w:t>
      </w:r>
      <w:r>
        <w:rPr>
          <w:rFonts w:hint="eastAsia" w:ascii="宋体" w:hAnsi="宋体" w:eastAsia="宋体"/>
          <w:b w:val="0"/>
          <w:bCs w:val="0"/>
          <w:color w:val="auto"/>
          <w:sz w:val="24"/>
          <w:szCs w:val="24"/>
          <w:lang w:eastAsia="zh-CN"/>
        </w:rPr>
        <w:t>同级人民</w:t>
      </w:r>
      <w:r>
        <w:rPr>
          <w:rFonts w:hint="eastAsia" w:ascii="宋体" w:hAnsi="宋体" w:eastAsia="宋体"/>
          <w:b w:val="0"/>
          <w:bCs w:val="0"/>
          <w:color w:val="auto"/>
          <w:sz w:val="24"/>
          <w:szCs w:val="24"/>
        </w:rPr>
        <w:t>政府</w:t>
      </w:r>
      <w:r>
        <w:rPr>
          <w:rFonts w:hint="eastAsia" w:ascii="宋体" w:hAnsi="宋体" w:eastAsia="宋体"/>
          <w:b w:val="0"/>
          <w:bCs w:val="0"/>
          <w:color w:val="auto"/>
          <w:sz w:val="24"/>
          <w:szCs w:val="24"/>
          <w:lang w:eastAsia="zh-CN"/>
        </w:rPr>
        <w:t>财政部门</w:t>
      </w:r>
      <w:r>
        <w:rPr>
          <w:rFonts w:hint="eastAsia" w:ascii="宋体" w:hAnsi="宋体" w:eastAsia="宋体"/>
          <w:b w:val="0"/>
          <w:bCs w:val="0"/>
          <w:color w:val="auto"/>
          <w:sz w:val="24"/>
          <w:szCs w:val="24"/>
        </w:rPr>
        <w:t>各执一份</w:t>
      </w:r>
      <w:r>
        <w:rPr>
          <w:rFonts w:hint="eastAsia" w:asciiTheme="minorEastAsia" w:hAnsiTheme="minorEastAsia" w:eastAsiaTheme="minorEastAsia"/>
          <w:b w:val="0"/>
          <w:bCs w:val="0"/>
          <w:color w:val="auto"/>
          <w:sz w:val="24"/>
          <w:szCs w:val="24"/>
        </w:rPr>
        <w:t>。本项目未尽事宜以招标文件、投标文件及澄清文件等为准。</w:t>
      </w:r>
    </w:p>
    <w:p>
      <w:pPr>
        <w:widowControl/>
        <w:spacing w:line="360" w:lineRule="auto"/>
        <w:rPr>
          <w:rFonts w:asciiTheme="minorEastAsia" w:hAnsiTheme="minorEastAsia" w:eastAsiaTheme="minorEastAsia"/>
          <w:b/>
          <w:sz w:val="24"/>
          <w:szCs w:val="24"/>
        </w:rPr>
      </w:pPr>
    </w:p>
    <w:p>
      <w:pPr>
        <w:widowControl/>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甲方（公章）                                     乙方（公章）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                                     法定代表人：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委托代理人：                                     委托代理人：</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开户银行：                                       开户银行：</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帐号：                                           帐号：</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地址及邮编：                                     地址及邮编：</w:t>
      </w:r>
    </w:p>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spacing w:line="360" w:lineRule="auto"/>
        <w:rPr>
          <w:rFonts w:asciiTheme="minorEastAsia" w:hAnsiTheme="minorEastAsia" w:eastAsiaTheme="minorEastAsia"/>
          <w:color w:val="FF0000"/>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napToGrid w:val="0"/>
        <w:spacing w:beforeLines="50" w:afterLines="50"/>
        <w:rPr>
          <w:rFonts w:ascii="宋体" w:hAnsi="宋体"/>
          <w:b/>
          <w:sz w:val="30"/>
          <w:szCs w:val="32"/>
        </w:rPr>
      </w:pPr>
    </w:p>
    <w:p>
      <w:pPr>
        <w:spacing w:line="360" w:lineRule="auto"/>
        <w:jc w:val="left"/>
        <w:rPr>
          <w:rFonts w:hint="eastAsia" w:asciiTheme="majorEastAsia" w:hAnsiTheme="majorEastAsia" w:eastAsiaTheme="majorEastAsia"/>
          <w:color w:val="00B0F0"/>
          <w:sz w:val="28"/>
          <w:szCs w:val="28"/>
        </w:rPr>
      </w:pPr>
    </w:p>
    <w:p>
      <w:pPr>
        <w:pStyle w:val="2"/>
        <w:rPr>
          <w:rFonts w:hint="eastAsia" w:asciiTheme="majorEastAsia" w:hAnsiTheme="majorEastAsia" w:eastAsiaTheme="majorEastAsia"/>
          <w:color w:val="00B0F0"/>
          <w:sz w:val="28"/>
          <w:szCs w:val="28"/>
        </w:rPr>
      </w:pPr>
    </w:p>
    <w:p>
      <w:pPr>
        <w:rPr>
          <w:rFonts w:hint="eastAsia" w:asciiTheme="majorEastAsia" w:hAnsiTheme="majorEastAsia" w:eastAsiaTheme="majorEastAsia"/>
          <w:color w:val="00B0F0"/>
          <w:sz w:val="28"/>
          <w:szCs w:val="28"/>
        </w:rPr>
      </w:pPr>
    </w:p>
    <w:p>
      <w:pPr>
        <w:pStyle w:val="2"/>
        <w:rPr>
          <w:rFonts w:hint="eastAsia" w:asciiTheme="majorEastAsia" w:hAnsiTheme="majorEastAsia" w:eastAsiaTheme="majorEastAsia"/>
          <w:color w:val="00B0F0"/>
          <w:sz w:val="28"/>
          <w:szCs w:val="28"/>
        </w:rPr>
      </w:pPr>
    </w:p>
    <w:p>
      <w:pPr>
        <w:rPr>
          <w:rFonts w:hint="eastAsia"/>
        </w:rPr>
      </w:pPr>
      <w:bookmarkStart w:id="3" w:name="_GoBack"/>
      <w:bookmarkEnd w:id="3"/>
    </w:p>
    <w:p>
      <w:pPr>
        <w:pStyle w:val="2"/>
        <w:rPr>
          <w:rFonts w:hint="eastAsia" w:asciiTheme="majorEastAsia" w:hAnsiTheme="majorEastAsia" w:eastAsiaTheme="majorEastAsia"/>
          <w:color w:val="00B0F0"/>
          <w:sz w:val="28"/>
          <w:szCs w:val="28"/>
        </w:rPr>
      </w:pPr>
    </w:p>
    <w:p>
      <w:pPr>
        <w:rPr>
          <w:rFonts w:hint="eastAsia"/>
        </w:rPr>
      </w:pPr>
    </w:p>
    <w:p>
      <w:pPr>
        <w:spacing w:line="360" w:lineRule="auto"/>
        <w:jc w:val="left"/>
        <w:rPr>
          <w:rFonts w:hint="eastAsia" w:asciiTheme="majorEastAsia" w:hAnsiTheme="majorEastAsia" w:eastAsiaTheme="majorEastAsia"/>
          <w:color w:val="00B0F0"/>
          <w:sz w:val="28"/>
          <w:szCs w:val="28"/>
        </w:rPr>
      </w:pPr>
    </w:p>
    <w:p>
      <w:pPr>
        <w:spacing w:line="360" w:lineRule="auto"/>
        <w:jc w:val="left"/>
        <w:rPr>
          <w:rFonts w:hint="eastAsia" w:asciiTheme="majorEastAsia" w:hAnsiTheme="majorEastAsia" w:eastAsiaTheme="majorEastAsia"/>
          <w:color w:val="00B0F0"/>
          <w:sz w:val="28"/>
          <w:szCs w:val="28"/>
        </w:rPr>
      </w:pPr>
    </w:p>
    <w:p>
      <w:pPr>
        <w:spacing w:line="360" w:lineRule="auto"/>
        <w:jc w:val="left"/>
        <w:rPr>
          <w:rFonts w:hint="eastAsia" w:asciiTheme="majorEastAsia" w:hAnsiTheme="majorEastAsia" w:eastAsiaTheme="majorEastAsia"/>
          <w:color w:val="00B0F0"/>
          <w:sz w:val="28"/>
          <w:szCs w:val="28"/>
        </w:rPr>
      </w:pPr>
    </w:p>
    <w:p>
      <w:pPr>
        <w:numPr>
          <w:ilvl w:val="0"/>
          <w:numId w:val="3"/>
        </w:num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投标文件格式附件</w:t>
      </w:r>
    </w:p>
    <w:p>
      <w:pPr>
        <w:rPr>
          <w:rFonts w:hint="eastAsia"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numPr>
          <w:ilvl w:val="0"/>
          <w:numId w:val="0"/>
        </w:numPr>
        <w:spacing w:line="360" w:lineRule="auto"/>
        <w:jc w:val="both"/>
        <w:rPr>
          <w:rFonts w:asciiTheme="minorEastAsia" w:hAnsiTheme="minorEastAsia" w:eastAsiaTheme="minorEastAsia"/>
          <w:b/>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sz w:val="28"/>
          <w:szCs w:val="28"/>
          <w:lang w:val="zh-CN"/>
        </w:rPr>
        <w:t>（</w:t>
      </w:r>
      <w:r>
        <w:rPr>
          <w:rFonts w:hint="eastAsia" w:ascii="宋体" w:hAnsi="宋体"/>
          <w:b/>
          <w:spacing w:val="40"/>
          <w:sz w:val="28"/>
          <w:szCs w:val="28"/>
        </w:rPr>
        <w:t>资格证明文件）</w:t>
      </w: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sz w:val="36"/>
          <w:szCs w:val="36"/>
        </w:rPr>
      </w:pPr>
      <w:r>
        <w:rPr>
          <w:rFonts w:hint="eastAsia" w:ascii="宋体" w:hAnsi="宋体"/>
          <w:b/>
          <w:bCs/>
          <w:sz w:val="36"/>
          <w:szCs w:val="36"/>
        </w:rPr>
        <w:t>资格证明文件目录</w:t>
      </w:r>
    </w:p>
    <w:p>
      <w:pPr>
        <w:snapToGrid w:val="0"/>
        <w:spacing w:before="50" w:after="50" w:line="360" w:lineRule="auto"/>
        <w:jc w:val="center"/>
        <w:rPr>
          <w:rFonts w:ascii="仿宋_GB2312" w:hAnsi="宋体" w:eastAsia="仿宋_GB2312"/>
          <w:b/>
          <w:bCs/>
          <w:sz w:val="36"/>
          <w:szCs w:val="36"/>
        </w:rPr>
      </w:pPr>
    </w:p>
    <w:p>
      <w:pPr>
        <w:numPr>
          <w:ilvl w:val="0"/>
          <w:numId w:val="10"/>
        </w:numPr>
        <w:snapToGrid w:val="0"/>
        <w:spacing w:line="360" w:lineRule="auto"/>
        <w:ind w:firstLine="548" w:firstLineChars="196"/>
        <w:rPr>
          <w:rFonts w:ascii="宋体" w:hAnsi="宋体"/>
          <w:sz w:val="28"/>
          <w:szCs w:val="28"/>
        </w:rPr>
      </w:pPr>
      <w:r>
        <w:rPr>
          <w:rFonts w:hint="eastAsia" w:ascii="宋体" w:hAnsi="宋体"/>
          <w:sz w:val="28"/>
          <w:szCs w:val="28"/>
        </w:rPr>
        <w:t>声明书（附件2）</w:t>
      </w:r>
    </w:p>
    <w:p>
      <w:pPr>
        <w:numPr>
          <w:ilvl w:val="0"/>
          <w:numId w:val="10"/>
        </w:numPr>
        <w:snapToGrid w:val="0"/>
        <w:spacing w:line="360" w:lineRule="auto"/>
        <w:ind w:firstLine="548" w:firstLineChars="196"/>
        <w:rPr>
          <w:rFonts w:ascii="宋体" w:hAnsi="宋体"/>
          <w:kern w:val="0"/>
          <w:sz w:val="28"/>
          <w:szCs w:val="28"/>
        </w:rPr>
      </w:pPr>
      <w:r>
        <w:rPr>
          <w:bCs/>
          <w:color w:val="000000"/>
          <w:sz w:val="28"/>
          <w:szCs w:val="28"/>
        </w:rPr>
        <w:t>授权</w:t>
      </w:r>
      <w:r>
        <w:rPr>
          <w:rFonts w:hint="eastAsia"/>
          <w:bCs/>
          <w:color w:val="000000"/>
          <w:sz w:val="28"/>
          <w:szCs w:val="28"/>
        </w:rPr>
        <w:t>委托</w:t>
      </w:r>
      <w:r>
        <w:rPr>
          <w:bCs/>
          <w:color w:val="000000"/>
          <w:sz w:val="28"/>
          <w:szCs w:val="28"/>
        </w:rPr>
        <w:t>书</w:t>
      </w:r>
      <w:r>
        <w:rPr>
          <w:rFonts w:hint="eastAsia" w:ascii="宋体" w:hAnsi="宋体"/>
          <w:bCs/>
          <w:sz w:val="28"/>
          <w:szCs w:val="28"/>
        </w:rPr>
        <w:t>（附件3）</w:t>
      </w:r>
    </w:p>
    <w:p>
      <w:pPr>
        <w:numPr>
          <w:ilvl w:val="0"/>
          <w:numId w:val="10"/>
        </w:numPr>
        <w:snapToGrid w:val="0"/>
        <w:spacing w:line="360" w:lineRule="auto"/>
        <w:ind w:left="1050" w:leftChars="259" w:hanging="506" w:hangingChars="181"/>
        <w:rPr>
          <w:rFonts w:ascii="宋体" w:hAnsi="宋体"/>
          <w:kern w:val="0"/>
          <w:sz w:val="28"/>
          <w:szCs w:val="28"/>
        </w:rPr>
      </w:pPr>
      <w:r>
        <w:rPr>
          <w:sz w:val="28"/>
          <w:szCs w:val="28"/>
        </w:rPr>
        <w:t>法人或者其他组织的营业执照等证明文件，自然人的身份证明</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4、</w:t>
      </w:r>
      <w:r>
        <w:rPr>
          <w:sz w:val="28"/>
          <w:szCs w:val="28"/>
        </w:rPr>
        <w:t>财务状况报告，依法缴纳税收和社会保障资金的相关材料</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5、</w:t>
      </w:r>
      <w:r>
        <w:rPr>
          <w:sz w:val="28"/>
          <w:szCs w:val="28"/>
        </w:rPr>
        <w:t>具备履行合同所必需的设备和专业技术能力的证明材料</w:t>
      </w:r>
    </w:p>
    <w:p>
      <w:pPr>
        <w:snapToGrid w:val="0"/>
        <w:spacing w:line="360" w:lineRule="auto"/>
        <w:ind w:firstLine="548" w:firstLineChars="196"/>
        <w:rPr>
          <w:rFonts w:ascii="宋体" w:hAnsi="宋体"/>
          <w:kern w:val="0"/>
          <w:sz w:val="28"/>
          <w:szCs w:val="28"/>
        </w:rPr>
      </w:pPr>
      <w:r>
        <w:rPr>
          <w:rFonts w:hint="eastAsia" w:ascii="宋体" w:hAnsi="宋体"/>
          <w:sz w:val="28"/>
          <w:szCs w:val="28"/>
        </w:rPr>
        <w:t>6、</w:t>
      </w:r>
      <w:r>
        <w:rPr>
          <w:rFonts w:hint="eastAsia" w:ascii="宋体" w:hAnsi="宋体"/>
          <w:kern w:val="0"/>
          <w:sz w:val="28"/>
          <w:szCs w:val="28"/>
        </w:rPr>
        <w:t>本项目要求的特定资质证书</w:t>
      </w:r>
    </w:p>
    <w:p>
      <w:pPr>
        <w:spacing w:line="360" w:lineRule="auto"/>
        <w:rPr>
          <w:rFonts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ind w:left="420"/>
        <w:rPr>
          <w:rFonts w:hint="eastAsia" w:ascii="宋体" w:hAnsi="宋体"/>
          <w:b/>
          <w:sz w:val="28"/>
        </w:rPr>
      </w:pPr>
    </w:p>
    <w:p>
      <w:pPr>
        <w:spacing w:line="360" w:lineRule="auto"/>
        <w:rPr>
          <w:rFonts w:hint="eastAsia" w:ascii="宋体" w:hAnsi="宋体"/>
          <w:b/>
          <w:sz w:val="28"/>
        </w:rPr>
      </w:pPr>
    </w:p>
    <w:p>
      <w:pPr>
        <w:keepNext w:val="0"/>
        <w:keepLines w:val="0"/>
        <w:pageBreakBefore w:val="0"/>
        <w:widowControl w:val="0"/>
        <w:kinsoku/>
        <w:wordWrap/>
        <w:overflowPunct/>
        <w:topLinePunct w:val="0"/>
        <w:autoSpaceDE/>
        <w:autoSpaceDN/>
        <w:bidi w:val="0"/>
        <w:spacing w:line="27" w:lineRule="atLeast"/>
        <w:textAlignment w:val="auto"/>
        <w:rPr>
          <w:rFonts w:ascii="宋体" w:hAnsi="宋体"/>
          <w:b/>
          <w:sz w:val="28"/>
        </w:rPr>
      </w:pPr>
      <w:r>
        <w:rPr>
          <w:rFonts w:hint="eastAsia" w:ascii="宋体" w:hAnsi="宋体"/>
          <w:b/>
          <w:sz w:val="28"/>
        </w:rPr>
        <w:t>附件2</w:t>
      </w:r>
    </w:p>
    <w:p>
      <w:pPr>
        <w:keepNext w:val="0"/>
        <w:keepLines w:val="0"/>
        <w:pageBreakBefore w:val="0"/>
        <w:widowControl w:val="0"/>
        <w:kinsoku/>
        <w:wordWrap/>
        <w:overflowPunct/>
        <w:topLinePunct w:val="0"/>
        <w:autoSpaceDE/>
        <w:autoSpaceDN/>
        <w:bidi w:val="0"/>
        <w:adjustRightInd w:val="0"/>
        <w:snapToGrid w:val="0"/>
        <w:spacing w:line="27" w:lineRule="atLeast"/>
        <w:ind w:right="480"/>
        <w:jc w:val="center"/>
        <w:textAlignment w:val="auto"/>
        <w:rPr>
          <w:rFonts w:ascii="宋体" w:hAnsi="宋体"/>
          <w:b/>
          <w:kern w:val="0"/>
          <w:sz w:val="32"/>
          <w:szCs w:val="32"/>
          <w:lang w:val="zh-CN"/>
        </w:rPr>
      </w:pPr>
      <w:r>
        <w:rPr>
          <w:rFonts w:hint="eastAsia" w:ascii="宋体" w:hAnsi="宋体"/>
          <w:b/>
          <w:kern w:val="0"/>
          <w:sz w:val="32"/>
          <w:szCs w:val="32"/>
          <w:lang w:val="zh-CN"/>
        </w:rPr>
        <w:t>投标声明书</w:t>
      </w:r>
    </w:p>
    <w:p>
      <w:pPr>
        <w:keepNext w:val="0"/>
        <w:keepLines w:val="0"/>
        <w:pageBreakBefore w:val="0"/>
        <w:widowControl w:val="0"/>
        <w:kinsoku/>
        <w:wordWrap/>
        <w:overflowPunct/>
        <w:topLinePunct w:val="0"/>
        <w:autoSpaceDE/>
        <w:autoSpaceDN/>
        <w:bidi w:val="0"/>
        <w:snapToGrid w:val="0"/>
        <w:spacing w:before="156" w:beforeLines="50" w:after="50" w:line="27" w:lineRule="atLeast"/>
        <w:textAlignment w:val="auto"/>
        <w:rPr>
          <w:rFonts w:ascii="宋体" w:hAnsi="宋体" w:cs="宋体"/>
          <w:kern w:val="0"/>
          <w:sz w:val="24"/>
        </w:rPr>
      </w:pPr>
      <w:r>
        <w:rPr>
          <w:rFonts w:hint="eastAsia" w:ascii="宋体" w:hAnsi="宋体" w:cstheme="minorBidi"/>
          <w:color w:val="auto"/>
          <w:sz w:val="24"/>
          <w:u w:val="single"/>
          <w:lang w:eastAsia="zh-CN"/>
        </w:rPr>
        <w:t>台州市政府采购中心</w:t>
      </w:r>
      <w:r>
        <w:rPr>
          <w:rFonts w:hint="eastAsia" w:ascii="宋体" w:hAnsi="宋体" w:cs="宋体"/>
          <w:kern w:val="0"/>
          <w:sz w:val="24"/>
        </w:rPr>
        <w:t>：</w:t>
      </w:r>
    </w:p>
    <w:p>
      <w:pPr>
        <w:keepNext w:val="0"/>
        <w:keepLines w:val="0"/>
        <w:pageBreakBefore w:val="0"/>
        <w:widowControl w:val="0"/>
        <w:kinsoku/>
        <w:wordWrap/>
        <w:overflowPunct/>
        <w:topLinePunct w:val="0"/>
        <w:autoSpaceDE/>
        <w:autoSpaceDN/>
        <w:bidi w:val="0"/>
        <w:snapToGrid w:val="0"/>
        <w:spacing w:beforeLines="50" w:after="50" w:line="27" w:lineRule="atLeast"/>
        <w:ind w:firstLine="480" w:firstLineChars="200"/>
        <w:textAlignment w:val="auto"/>
        <w:rPr>
          <w:rFonts w:ascii="宋体" w:hAnsi="宋体" w:cs="宋体"/>
          <w:kern w:val="0"/>
          <w:sz w:val="24"/>
        </w:rPr>
      </w:pPr>
      <w:r>
        <w:rPr>
          <w:rFonts w:hint="eastAsia" w:ascii="宋体" w:hAnsi="宋体" w:cs="宋体"/>
          <w:kern w:val="0"/>
          <w:sz w:val="24"/>
        </w:rPr>
        <w:t>（投标人名称）系中华人民共和国合法企业，经营地址。</w:t>
      </w:r>
    </w:p>
    <w:p>
      <w:pPr>
        <w:keepNext w:val="0"/>
        <w:keepLines w:val="0"/>
        <w:pageBreakBefore w:val="0"/>
        <w:widowControl w:val="0"/>
        <w:kinsoku/>
        <w:wordWrap/>
        <w:overflowPunct/>
        <w:topLinePunct w:val="0"/>
        <w:autoSpaceDE/>
        <w:autoSpaceDN/>
        <w:bidi w:val="0"/>
        <w:snapToGrid w:val="0"/>
        <w:spacing w:beforeLines="50" w:after="50" w:line="27" w:lineRule="atLeast"/>
        <w:ind w:firstLine="480" w:firstLineChars="200"/>
        <w:textAlignment w:val="auto"/>
        <w:rPr>
          <w:rFonts w:hint="eastAsia"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keepNext w:val="0"/>
        <w:keepLines w:val="0"/>
        <w:pageBreakBefore w:val="0"/>
        <w:widowControl w:val="0"/>
        <w:numPr>
          <w:ilvl w:val="0"/>
          <w:numId w:val="11"/>
        </w:numPr>
        <w:kinsoku/>
        <w:wordWrap/>
        <w:overflowPunct/>
        <w:topLinePunct w:val="0"/>
        <w:autoSpaceDE/>
        <w:autoSpaceDN/>
        <w:bidi w:val="0"/>
        <w:snapToGrid w:val="0"/>
        <w:spacing w:beforeLines="50" w:after="50" w:line="27" w:lineRule="atLeast"/>
        <w:ind w:firstLine="480" w:firstLineChars="200"/>
        <w:textAlignment w:val="auto"/>
        <w:rPr>
          <w:rFonts w:hint="eastAsia"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及其他不符合《中华人民共和国政府采购法》第二十二条规定的条件。【说明：供应商在截止投标时间近三年以来，如有上述所列情形，但限制期届满的，可按实陈述，并提供相应证明文件。】</w:t>
      </w:r>
    </w:p>
    <w:p>
      <w:pPr>
        <w:keepNext w:val="0"/>
        <w:keepLines w:val="0"/>
        <w:pageBreakBefore w:val="0"/>
        <w:widowControl w:val="0"/>
        <w:numPr>
          <w:ilvl w:val="0"/>
          <w:numId w:val="0"/>
        </w:numPr>
        <w:kinsoku/>
        <w:wordWrap/>
        <w:overflowPunct/>
        <w:topLinePunct w:val="0"/>
        <w:autoSpaceDE/>
        <w:autoSpaceDN/>
        <w:bidi w:val="0"/>
        <w:snapToGrid w:val="0"/>
        <w:spacing w:beforeLines="50" w:after="50" w:line="27" w:lineRule="atLeast"/>
        <w:ind w:firstLine="480" w:firstLineChars="200"/>
        <w:textAlignment w:val="auto"/>
        <w:rPr>
          <w:rFonts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我公司</w:t>
      </w:r>
      <w:r>
        <w:rPr>
          <w:rFonts w:ascii="宋体" w:hAnsi="宋体" w:cs="宋体"/>
          <w:kern w:val="0"/>
          <w:sz w:val="24"/>
        </w:rPr>
        <w:t>在参与投标前已</w:t>
      </w:r>
      <w:r>
        <w:rPr>
          <w:rFonts w:hint="eastAsia" w:ascii="宋体" w:hAnsi="宋体" w:cs="宋体"/>
          <w:kern w:val="0"/>
          <w:sz w:val="24"/>
        </w:rPr>
        <w:t>详细审查</w:t>
      </w:r>
      <w:r>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Pr>
          <w:rFonts w:hint="eastAsia" w:ascii="宋体" w:hAnsi="宋体" w:cs="宋体"/>
          <w:kern w:val="0"/>
          <w:sz w:val="24"/>
        </w:rPr>
        <w:t>利。</w:t>
      </w:r>
    </w:p>
    <w:p>
      <w:pPr>
        <w:keepNext w:val="0"/>
        <w:keepLines w:val="0"/>
        <w:pageBreakBefore w:val="0"/>
        <w:widowControl w:val="0"/>
        <w:numPr>
          <w:ilvl w:val="255"/>
          <w:numId w:val="0"/>
        </w:numPr>
        <w:kinsoku/>
        <w:wordWrap/>
        <w:overflowPunct/>
        <w:topLinePunct w:val="0"/>
        <w:autoSpaceDE/>
        <w:autoSpaceDN/>
        <w:bidi w:val="0"/>
        <w:snapToGrid w:val="0"/>
        <w:spacing w:beforeLines="50" w:after="50" w:line="27" w:lineRule="atLeast"/>
        <w:ind w:firstLine="480" w:firstLineChars="200"/>
        <w:textAlignment w:val="auto"/>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beforeLines="50" w:after="50" w:line="27" w:lineRule="atLeast"/>
        <w:ind w:firstLine="480" w:firstLineChars="200"/>
        <w:textAlignment w:val="auto"/>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beforeLines="50" w:after="50" w:line="27" w:lineRule="atLeast"/>
        <w:ind w:firstLine="480" w:firstLineChars="200"/>
        <w:textAlignment w:val="auto"/>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beforeLines="50" w:after="50" w:line="27" w:lineRule="atLeast"/>
        <w:ind w:firstLine="480" w:firstLineChars="200"/>
        <w:textAlignment w:val="auto"/>
        <w:rPr>
          <w:rFonts w:ascii="宋体" w:hAnsi="宋体" w:cs="仿宋_GB2312"/>
          <w:kern w:val="0"/>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27" w:lineRule="atLeast"/>
        <w:ind w:firstLine="4680" w:firstLineChars="1950"/>
        <w:textAlignment w:val="auto"/>
        <w:rPr>
          <w:rFonts w:ascii="宋体" w:hAnsi="宋体" w:cs="仿宋_GB2312"/>
          <w:kern w:val="0"/>
          <w:sz w:val="24"/>
          <w:lang w:val="zh-CN"/>
        </w:rPr>
      </w:pPr>
      <w:r>
        <w:rPr>
          <w:rFonts w:hint="eastAsia" w:ascii="宋体" w:hAnsi="宋体" w:cs="仿宋_GB2312"/>
          <w:kern w:val="0"/>
          <w:sz w:val="24"/>
          <w:lang w:val="zh-CN"/>
        </w:rPr>
        <w:t xml:space="preserve">    投标人名称(公章)：</w:t>
      </w:r>
    </w:p>
    <w:p>
      <w:pPr>
        <w:keepNext w:val="0"/>
        <w:keepLines w:val="0"/>
        <w:pageBreakBefore w:val="0"/>
        <w:widowControl w:val="0"/>
        <w:kinsoku/>
        <w:wordWrap/>
        <w:overflowPunct/>
        <w:topLinePunct w:val="0"/>
        <w:autoSpaceDE/>
        <w:autoSpaceDN/>
        <w:bidi w:val="0"/>
        <w:adjustRightInd w:val="0"/>
        <w:snapToGrid w:val="0"/>
        <w:spacing w:line="27" w:lineRule="atLeast"/>
        <w:textAlignment w:val="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keepNext w:val="0"/>
        <w:keepLines w:val="0"/>
        <w:pageBreakBefore w:val="0"/>
        <w:widowControl w:val="0"/>
        <w:kinsoku/>
        <w:wordWrap/>
        <w:overflowPunct/>
        <w:topLinePunct w:val="0"/>
        <w:autoSpaceDE/>
        <w:autoSpaceDN/>
        <w:bidi w:val="0"/>
        <w:adjustRightInd w:val="0"/>
        <w:snapToGrid w:val="0"/>
        <w:spacing w:line="27" w:lineRule="atLeast"/>
        <w:ind w:right="480"/>
        <w:jc w:val="center"/>
        <w:textAlignment w:val="auto"/>
        <w:rPr>
          <w:rFonts w:ascii="宋体" w:hAnsi="宋体" w:cs="仿宋_GB2312"/>
          <w:kern w:val="0"/>
          <w:sz w:val="24"/>
          <w:lang w:val="zh-CN"/>
        </w:rPr>
      </w:pPr>
      <w:r>
        <w:rPr>
          <w:rFonts w:hint="eastAsia" w:ascii="宋体" w:hAnsi="宋体" w:cs="仿宋_GB2312"/>
          <w:kern w:val="0"/>
          <w:sz w:val="24"/>
          <w:lang w:val="zh-CN"/>
        </w:rPr>
        <w:t xml:space="preserve">                                  日期：</w:t>
      </w:r>
      <w:r>
        <w:rPr>
          <w:rFonts w:hint="eastAsia" w:ascii="宋体" w:hAnsi="宋体" w:eastAsia="宋体" w:cstheme="minorBidi"/>
          <w:color w:val="FF66CC"/>
          <w:kern w:val="2"/>
          <w:sz w:val="24"/>
          <w:szCs w:val="24"/>
          <w:u w:val="none"/>
          <w:lang w:val="en-US" w:eastAsia="zh-CN" w:bidi="ar-SA"/>
        </w:rPr>
        <w:t>××</w:t>
      </w:r>
      <w:r>
        <w:rPr>
          <w:rFonts w:hint="eastAsia" w:ascii="宋体" w:hAnsi="宋体" w:cs="仿宋_GB2312"/>
          <w:kern w:val="0"/>
          <w:sz w:val="24"/>
          <w:lang w:val="zh-CN"/>
        </w:rPr>
        <w:t xml:space="preserve">年 </w:t>
      </w:r>
      <w:r>
        <w:rPr>
          <w:rFonts w:hint="eastAsia" w:ascii="宋体" w:hAnsi="宋体" w:eastAsia="宋体" w:cstheme="minorBidi"/>
          <w:color w:val="FF66CC"/>
          <w:kern w:val="2"/>
          <w:sz w:val="24"/>
          <w:szCs w:val="24"/>
          <w:u w:val="none"/>
          <w:lang w:val="en-US" w:eastAsia="zh-CN" w:bidi="ar-SA"/>
        </w:rPr>
        <w:t>××</w:t>
      </w:r>
      <w:r>
        <w:rPr>
          <w:rFonts w:hint="eastAsia" w:ascii="宋体" w:hAnsi="宋体" w:cs="仿宋_GB2312"/>
          <w:kern w:val="0"/>
          <w:sz w:val="24"/>
          <w:lang w:val="zh-CN"/>
        </w:rPr>
        <w:t xml:space="preserve"> 月 </w:t>
      </w:r>
      <w:r>
        <w:rPr>
          <w:rFonts w:hint="eastAsia" w:ascii="宋体" w:hAnsi="宋体" w:eastAsia="宋体" w:cstheme="minorBidi"/>
          <w:color w:val="FF66CC"/>
          <w:kern w:val="2"/>
          <w:sz w:val="24"/>
          <w:szCs w:val="24"/>
          <w:u w:val="none"/>
          <w:lang w:val="en-US" w:eastAsia="zh-CN" w:bidi="ar-SA"/>
        </w:rPr>
        <w:t>××</w:t>
      </w:r>
      <w:r>
        <w:rPr>
          <w:rFonts w:hint="eastAsia" w:ascii="宋体" w:hAnsi="宋体" w:cs="仿宋_GB2312"/>
          <w:kern w:val="0"/>
          <w:sz w:val="24"/>
          <w:lang w:val="zh-CN"/>
        </w:rPr>
        <w:t xml:space="preserve"> 日</w:t>
      </w:r>
    </w:p>
    <w:p>
      <w:pPr>
        <w:keepNext w:val="0"/>
        <w:keepLines w:val="0"/>
        <w:pageBreakBefore w:val="0"/>
        <w:widowControl w:val="0"/>
        <w:kinsoku/>
        <w:wordWrap/>
        <w:overflowPunct/>
        <w:topLinePunct w:val="0"/>
        <w:autoSpaceDE/>
        <w:autoSpaceDN/>
        <w:bidi w:val="0"/>
        <w:adjustRightInd w:val="0"/>
        <w:snapToGrid w:val="0"/>
        <w:spacing w:line="28" w:lineRule="atLeast"/>
        <w:ind w:right="480"/>
        <w:textAlignment w:val="auto"/>
        <w:rPr>
          <w:rFonts w:ascii="宋体" w:hAnsi="宋体"/>
          <w:b/>
          <w:sz w:val="28"/>
        </w:rPr>
      </w:pPr>
    </w:p>
    <w:p>
      <w:pPr>
        <w:adjustRightInd w:val="0"/>
        <w:snapToGrid w:val="0"/>
        <w:spacing w:line="360" w:lineRule="auto"/>
        <w:ind w:right="480"/>
        <w:rPr>
          <w:rFonts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hint="eastAsia" w:ascii="宋体" w:hAnsi="宋体"/>
          <w:b/>
          <w:sz w:val="28"/>
        </w:rPr>
      </w:pPr>
    </w:p>
    <w:p>
      <w:pPr>
        <w:adjustRightInd w:val="0"/>
        <w:snapToGrid w:val="0"/>
        <w:spacing w:line="360" w:lineRule="auto"/>
        <w:ind w:right="480"/>
        <w:rPr>
          <w:rFonts w:ascii="宋体"/>
          <w:b/>
          <w:color w:val="FF0000"/>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color w:val="000000"/>
          <w:sz w:val="32"/>
          <w:szCs w:val="32"/>
        </w:rPr>
        <w:t>授权</w:t>
      </w:r>
      <w:r>
        <w:rPr>
          <w:rFonts w:hint="eastAsia"/>
          <w:b/>
          <w:color w:val="000000"/>
          <w:sz w:val="32"/>
          <w:szCs w:val="32"/>
        </w:rPr>
        <w:t>委托</w:t>
      </w:r>
      <w:r>
        <w:rPr>
          <w:b/>
          <w:color w:val="000000"/>
          <w:sz w:val="32"/>
          <w:szCs w:val="32"/>
        </w:rPr>
        <w:t>书</w:t>
      </w:r>
    </w:p>
    <w:p>
      <w:pPr>
        <w:snapToGrid w:val="0"/>
        <w:spacing w:before="156" w:beforeLines="50" w:after="50" w:line="312" w:lineRule="auto"/>
        <w:rPr>
          <w:rFonts w:ascii="宋体" w:hAnsi="宋体" w:cs="宋体"/>
          <w:kern w:val="0"/>
          <w:sz w:val="24"/>
        </w:rPr>
      </w:pPr>
      <w:r>
        <w:rPr>
          <w:rFonts w:hint="eastAsia" w:ascii="宋体" w:hAnsi="宋体" w:cstheme="minorBidi"/>
          <w:color w:val="auto"/>
          <w:sz w:val="24"/>
          <w:u w:val="single"/>
          <w:lang w:eastAsia="zh-CN"/>
        </w:rPr>
        <w:t>台州市政府采购中心</w:t>
      </w:r>
      <w:r>
        <w:rPr>
          <w:rFonts w:hint="eastAsia" w:ascii="宋体" w:hAnsi="宋体" w:cs="宋体"/>
          <w:kern w:val="0"/>
          <w:sz w:val="24"/>
        </w:rPr>
        <w:t>：</w:t>
      </w:r>
    </w:p>
    <w:p>
      <w:pPr>
        <w:pStyle w:val="9"/>
        <w:spacing w:line="500" w:lineRule="exact"/>
        <w:ind w:left="240" w:hanging="240" w:hangingChars="100"/>
        <w:rPr>
          <w:rFonts w:hAnsi="宋体"/>
          <w:sz w:val="24"/>
        </w:rPr>
      </w:pPr>
      <w:r>
        <w:rPr>
          <w:rFonts w:hAnsi="宋体"/>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w:t>
      </w:r>
      <w:r>
        <w:rPr>
          <w:rFonts w:hint="eastAsia" w:hAnsi="宋体"/>
          <w:sz w:val="24"/>
          <w:lang w:eastAsia="zh-CN"/>
        </w:rPr>
        <w:t>签字</w:t>
      </w:r>
      <w:r>
        <w:rPr>
          <w:rFonts w:hint="eastAsia" w:hAnsi="宋体"/>
          <w:sz w:val="24"/>
        </w:rPr>
        <w:t>事项负全部责任。</w:t>
      </w:r>
    </w:p>
    <w:p>
      <w:pPr>
        <w:pStyle w:val="9"/>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9"/>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w:t>
      </w:r>
      <w:r>
        <w:rPr>
          <w:rFonts w:hint="eastAsia" w:ascii="宋体"/>
          <w:sz w:val="24"/>
          <w:lang w:eastAsia="zh-CN"/>
        </w:rPr>
        <w:t>签字</w:t>
      </w:r>
      <w:r>
        <w:rPr>
          <w:rFonts w:hint="eastAsia" w:ascii="宋体"/>
          <w:sz w:val="24"/>
        </w:rPr>
        <w:t>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1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16"/>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napToGrid w:val="0"/>
        <w:spacing w:beforeLines="50" w:after="50" w:line="360" w:lineRule="auto"/>
        <w:rPr>
          <w:rFonts w:ascii="仿宋_GB2312" w:hAnsi="宋体" w:eastAsia="仿宋_GB2312"/>
          <w:b/>
          <w:sz w:val="30"/>
          <w:szCs w:val="30"/>
        </w:rPr>
      </w:pPr>
      <w:r>
        <w:rPr>
          <w:rFonts w:hint="eastAsia" w:ascii="宋体" w:hAnsi="宋体"/>
          <w:b/>
          <w:sz w:val="28"/>
        </w:rPr>
        <w:t>附件4：</w:t>
      </w:r>
    </w:p>
    <w:p>
      <w:pPr>
        <w:snapToGrid w:val="0"/>
        <w:spacing w:beforeLines="50" w:after="50" w:line="360" w:lineRule="auto"/>
        <w:jc w:val="right"/>
        <w:rPr>
          <w:rFonts w:ascii="仿宋_GB2312" w:hAnsi="宋体" w:eastAsia="仿宋_GB2312"/>
          <w:bCs/>
          <w:sz w:val="30"/>
          <w:szCs w:val="30"/>
        </w:rPr>
      </w:pP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项目编号：（标段）</w:t>
      </w:r>
    </w:p>
    <w:p>
      <w:pPr>
        <w:autoSpaceDE w:val="0"/>
        <w:autoSpaceDN w:val="0"/>
        <w:adjustRightInd w:val="0"/>
        <w:spacing w:line="360" w:lineRule="auto"/>
        <w:jc w:val="center"/>
        <w:rPr>
          <w:rFonts w:ascii="宋体" w:hAnsi="宋体" w:cs="宋体"/>
          <w:sz w:val="84"/>
          <w:szCs w:val="84"/>
          <w:lang w:val="zh-CN"/>
        </w:rPr>
      </w:pP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投</w:t>
      </w:r>
    </w:p>
    <w:p>
      <w:pPr>
        <w:autoSpaceDE w:val="0"/>
        <w:autoSpaceDN w:val="0"/>
        <w:adjustRightInd w:val="0"/>
        <w:spacing w:line="360" w:lineRule="auto"/>
        <w:jc w:val="center"/>
        <w:rPr>
          <w:rFonts w:ascii="宋体" w:hAnsi="宋体" w:cs="宋体"/>
          <w:sz w:val="84"/>
          <w:szCs w:val="84"/>
          <w:lang w:val="zh-CN"/>
        </w:rPr>
      </w:pPr>
      <w:r>
        <w:rPr>
          <w:rFonts w:hint="eastAsia" w:ascii="宋体" w:hAnsi="宋体" w:cs="宋体"/>
          <w:sz w:val="84"/>
          <w:szCs w:val="84"/>
          <w:lang w:val="zh-CN"/>
        </w:rPr>
        <w:t>标</w:t>
      </w:r>
    </w:p>
    <w:p>
      <w:pPr>
        <w:autoSpaceDE w:val="0"/>
        <w:autoSpaceDN w:val="0"/>
        <w:adjustRightInd w:val="0"/>
        <w:spacing w:line="360" w:lineRule="auto"/>
        <w:jc w:val="center"/>
        <w:rPr>
          <w:rFonts w:ascii="宋体" w:hAnsi="宋体"/>
          <w:sz w:val="84"/>
          <w:szCs w:val="84"/>
        </w:rPr>
      </w:pPr>
      <w:r>
        <w:rPr>
          <w:rFonts w:hint="eastAsia" w:ascii="宋体" w:hAnsi="宋体" w:cs="宋体"/>
          <w:sz w:val="84"/>
          <w:szCs w:val="84"/>
          <w:lang w:val="zh-CN"/>
        </w:rPr>
        <w:t>文</w:t>
      </w:r>
    </w:p>
    <w:p>
      <w:pPr>
        <w:spacing w:after="100" w:afterAutospacing="1" w:line="360" w:lineRule="auto"/>
        <w:ind w:right="-108"/>
        <w:jc w:val="center"/>
        <w:rPr>
          <w:rFonts w:ascii="宋体" w:hAnsi="宋体" w:cs="宋体"/>
          <w:sz w:val="84"/>
          <w:szCs w:val="84"/>
          <w:lang w:val="zh-CN"/>
        </w:rPr>
      </w:pPr>
      <w:r>
        <w:rPr>
          <w:rFonts w:hint="eastAsia" w:ascii="宋体" w:hAnsi="宋体" w:cs="宋体"/>
          <w:sz w:val="84"/>
          <w:szCs w:val="84"/>
          <w:lang w:val="zh-CN"/>
        </w:rPr>
        <w:t>件</w:t>
      </w:r>
    </w:p>
    <w:p>
      <w:pPr>
        <w:spacing w:after="100" w:afterAutospacing="1" w:line="360" w:lineRule="auto"/>
        <w:ind w:right="-108"/>
        <w:jc w:val="center"/>
        <w:rPr>
          <w:rFonts w:ascii="宋体" w:hAnsi="宋体"/>
          <w:b/>
          <w:spacing w:val="40"/>
          <w:sz w:val="28"/>
          <w:szCs w:val="28"/>
        </w:rPr>
      </w:pP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bCs/>
          <w:color w:val="000000" w:themeColor="text1"/>
          <w:sz w:val="24"/>
          <w:lang w:val="zh-CN"/>
          <w14:textFill>
            <w14:solidFill>
              <w14:schemeClr w14:val="tx1"/>
            </w14:solidFill>
          </w14:textFill>
        </w:rPr>
        <w:t>商务与技术文件</w:t>
      </w:r>
      <w:r>
        <w:rPr>
          <w:rFonts w:hint="eastAsia" w:ascii="宋体" w:hAnsi="宋体"/>
          <w:b/>
          <w:spacing w:val="40"/>
          <w:sz w:val="28"/>
          <w:szCs w:val="28"/>
        </w:rPr>
        <w:t>）</w:t>
      </w: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pacing w:line="360" w:lineRule="auto"/>
        <w:ind w:right="532" w:firstLine="720" w:firstLineChars="200"/>
        <w:rPr>
          <w:rFonts w:ascii="宋体" w:hAnsi="宋体"/>
          <w:sz w:val="36"/>
          <w:szCs w:val="36"/>
        </w:rPr>
      </w:pPr>
    </w:p>
    <w:p>
      <w:pPr>
        <w:snapToGrid w:val="0"/>
        <w:spacing w:before="50" w:after="50" w:line="360" w:lineRule="auto"/>
        <w:rPr>
          <w:rFonts w:ascii="仿宋_GB2312" w:hAnsi="宋体" w:eastAsia="仿宋_GB2312"/>
          <w:b/>
          <w:sz w:val="36"/>
          <w:szCs w:val="36"/>
        </w:rPr>
      </w:pPr>
    </w:p>
    <w:p>
      <w:pPr>
        <w:snapToGrid w:val="0"/>
        <w:spacing w:before="50" w:after="50" w:line="360" w:lineRule="auto"/>
        <w:jc w:val="center"/>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lang w:val="zh-CN"/>
          <w14:textFill>
            <w14:solidFill>
              <w14:schemeClr w14:val="tx1"/>
            </w14:solidFill>
          </w14:textFill>
        </w:rPr>
        <w:t>商务与技术文件</w:t>
      </w:r>
      <w:r>
        <w:rPr>
          <w:rFonts w:hint="eastAsia" w:ascii="宋体" w:hAnsi="宋体"/>
          <w:b/>
          <w:bCs/>
          <w:color w:val="000000" w:themeColor="text1"/>
          <w:sz w:val="32"/>
          <w:szCs w:val="32"/>
          <w14:textFill>
            <w14:solidFill>
              <w14:schemeClr w14:val="tx1"/>
            </w14:solidFill>
          </w14:textFill>
        </w:rPr>
        <w:t>目录</w:t>
      </w:r>
    </w:p>
    <w:p>
      <w:pPr>
        <w:snapToGrid w:val="0"/>
        <w:spacing w:line="360" w:lineRule="auto"/>
        <w:rPr>
          <w:rFonts w:ascii="宋体" w:hAnsi="宋体"/>
          <w:sz w:val="24"/>
        </w:rPr>
      </w:pPr>
    </w:p>
    <w:p>
      <w:pPr>
        <w:snapToGrid w:val="0"/>
        <w:spacing w:line="360" w:lineRule="auto"/>
        <w:ind w:firstLine="562" w:firstLineChars="200"/>
        <w:rPr>
          <w:rFonts w:ascii="宋体" w:hAnsi="宋体"/>
          <w:b/>
          <w:bCs/>
          <w:sz w:val="28"/>
          <w:szCs w:val="28"/>
        </w:rPr>
      </w:pPr>
      <w:r>
        <w:rPr>
          <w:rFonts w:hint="eastAsia" w:ascii="宋体" w:hAnsi="宋体"/>
          <w:b/>
          <w:bCs/>
          <w:sz w:val="28"/>
          <w:szCs w:val="28"/>
        </w:rPr>
        <w:t>第一部分  技术方案描述部分</w:t>
      </w:r>
    </w:p>
    <w:p>
      <w:pPr>
        <w:snapToGrid w:val="0"/>
        <w:spacing w:line="360" w:lineRule="auto"/>
        <w:ind w:firstLine="560" w:firstLineChars="200"/>
        <w:rPr>
          <w:rFonts w:ascii="宋体" w:hAnsi="宋体"/>
          <w:sz w:val="28"/>
          <w:szCs w:val="28"/>
        </w:rPr>
      </w:pPr>
      <w:r>
        <w:rPr>
          <w:rFonts w:hint="eastAsia" w:ascii="宋体" w:hAnsi="宋体"/>
          <w:sz w:val="28"/>
          <w:szCs w:val="28"/>
        </w:rPr>
        <w:t>1、</w:t>
      </w:r>
      <w:r>
        <w:rPr>
          <w:rFonts w:hint="eastAsia" w:ascii="宋体" w:hAnsi="宋体" w:cs="宋体"/>
          <w:sz w:val="28"/>
          <w:szCs w:val="28"/>
        </w:rPr>
        <w:t>投标人情况介绍</w:t>
      </w:r>
      <w:r>
        <w:rPr>
          <w:rFonts w:hint="eastAsia" w:ascii="宋体" w:hAnsi="宋体"/>
          <w:sz w:val="28"/>
          <w:szCs w:val="28"/>
        </w:rPr>
        <w:t>（附件5）；</w:t>
      </w:r>
    </w:p>
    <w:p>
      <w:pPr>
        <w:snapToGrid w:val="0"/>
        <w:spacing w:line="360" w:lineRule="auto"/>
        <w:ind w:firstLine="560" w:firstLineChars="200"/>
        <w:rPr>
          <w:rFonts w:ascii="宋体" w:hAnsi="宋体"/>
          <w:sz w:val="28"/>
          <w:szCs w:val="28"/>
        </w:rPr>
      </w:pPr>
      <w:r>
        <w:rPr>
          <w:rFonts w:hint="eastAsia" w:ascii="宋体" w:hAnsi="宋体"/>
          <w:sz w:val="28"/>
          <w:szCs w:val="28"/>
        </w:rPr>
        <w:t>2、</w:t>
      </w:r>
      <w:r>
        <w:rPr>
          <w:rFonts w:hint="eastAsia" w:ascii="宋体" w:hAnsi="宋体" w:cs="宋体"/>
          <w:color w:val="000000" w:themeColor="text1"/>
          <w:sz w:val="28"/>
          <w:szCs w:val="28"/>
          <w14:textFill>
            <w14:solidFill>
              <w14:schemeClr w14:val="tx1"/>
            </w14:solidFill>
          </w14:textFill>
        </w:rPr>
        <w:t>项目需求的理解与分析</w:t>
      </w:r>
      <w:r>
        <w:rPr>
          <w:rFonts w:hint="eastAsia" w:ascii="宋体" w:hAnsi="宋体"/>
          <w:sz w:val="28"/>
          <w:szCs w:val="28"/>
        </w:rPr>
        <w:t>；</w:t>
      </w:r>
    </w:p>
    <w:p>
      <w:pPr>
        <w:snapToGrid w:val="0"/>
        <w:spacing w:line="360" w:lineRule="auto"/>
        <w:ind w:firstLine="560" w:firstLineChars="200"/>
        <w:rPr>
          <w:rFonts w:ascii="宋体" w:hAnsi="宋体"/>
          <w:sz w:val="28"/>
          <w:szCs w:val="28"/>
        </w:rPr>
      </w:pPr>
      <w:r>
        <w:rPr>
          <w:rFonts w:hint="eastAsia" w:ascii="宋体" w:hAnsi="宋体"/>
          <w:sz w:val="28"/>
          <w:szCs w:val="28"/>
        </w:rPr>
        <w:t>3、</w:t>
      </w:r>
      <w:r>
        <w:rPr>
          <w:rFonts w:hint="eastAsia" w:ascii="宋体" w:hAnsi="宋体" w:cs="宋体"/>
          <w:color w:val="000000" w:themeColor="text1"/>
          <w:sz w:val="28"/>
          <w:szCs w:val="28"/>
          <w14:textFill>
            <w14:solidFill>
              <w14:schemeClr w14:val="tx1"/>
            </w14:solidFill>
          </w14:textFill>
        </w:rPr>
        <w:t>项目组织实施方案(可视情选用附件6、附件7)</w:t>
      </w:r>
      <w:r>
        <w:rPr>
          <w:rFonts w:ascii="宋体" w:hAnsi="宋体"/>
          <w:sz w:val="28"/>
          <w:szCs w:val="28"/>
        </w:rPr>
        <w:t xml:space="preserve">； </w:t>
      </w:r>
    </w:p>
    <w:p>
      <w:pPr>
        <w:snapToGrid w:val="0"/>
        <w:spacing w:line="360" w:lineRule="auto"/>
        <w:ind w:firstLine="560" w:firstLineChars="200"/>
        <w:rPr>
          <w:rFonts w:ascii="宋体" w:hAnsi="宋体"/>
          <w:sz w:val="28"/>
          <w:szCs w:val="28"/>
        </w:rPr>
      </w:pPr>
      <w:r>
        <w:rPr>
          <w:rFonts w:hint="eastAsia" w:ascii="宋体" w:hAnsi="宋体"/>
          <w:sz w:val="28"/>
          <w:szCs w:val="28"/>
        </w:rPr>
        <w:t>4、</w:t>
      </w:r>
      <w:r>
        <w:rPr>
          <w:rFonts w:asciiTheme="minorEastAsia" w:hAnsiTheme="minorEastAsia" w:eastAsiaTheme="minorEastAsia"/>
          <w:color w:val="000000" w:themeColor="text1"/>
          <w:kern w:val="0"/>
          <w:sz w:val="28"/>
          <w:szCs w:val="28"/>
          <w14:textFill>
            <w14:solidFill>
              <w14:schemeClr w14:val="tx1"/>
            </w14:solidFill>
          </w14:textFill>
        </w:rPr>
        <w:t>安装、调试及验收方案</w:t>
      </w:r>
      <w:r>
        <w:rPr>
          <w:rFonts w:hint="eastAsia" w:ascii="宋体" w:hAnsi="宋体"/>
          <w:sz w:val="28"/>
          <w:szCs w:val="28"/>
        </w:rPr>
        <w:t>；</w:t>
      </w:r>
    </w:p>
    <w:p>
      <w:pPr>
        <w:snapToGrid w:val="0"/>
        <w:spacing w:line="360" w:lineRule="auto"/>
        <w:ind w:firstLine="562" w:firstLineChars="200"/>
        <w:jc w:val="left"/>
        <w:rPr>
          <w:rFonts w:ascii="宋体" w:hAnsi="宋体"/>
          <w:b/>
          <w:bCs/>
          <w:sz w:val="28"/>
          <w:szCs w:val="28"/>
        </w:rPr>
      </w:pPr>
      <w:r>
        <w:rPr>
          <w:rFonts w:hint="eastAsia" w:ascii="宋体" w:hAnsi="宋体"/>
          <w:b/>
          <w:bCs/>
          <w:sz w:val="28"/>
          <w:szCs w:val="28"/>
        </w:rPr>
        <w:t>第二部分  投标产品描述部分</w:t>
      </w:r>
    </w:p>
    <w:p>
      <w:pPr>
        <w:snapToGrid w:val="0"/>
        <w:spacing w:line="360" w:lineRule="auto"/>
        <w:ind w:firstLine="548" w:firstLineChars="196"/>
        <w:rPr>
          <w:rFonts w:ascii="宋体" w:hAnsi="宋体"/>
          <w:kern w:val="0"/>
          <w:sz w:val="28"/>
          <w:szCs w:val="28"/>
        </w:rPr>
      </w:pPr>
      <w:r>
        <w:rPr>
          <w:rFonts w:hint="eastAsia" w:ascii="宋体" w:hAnsi="宋体"/>
          <w:sz w:val="28"/>
          <w:szCs w:val="28"/>
        </w:rPr>
        <w:t>1、</w:t>
      </w:r>
      <w:r>
        <w:rPr>
          <w:rFonts w:hint="eastAsia" w:ascii="宋体" w:hAnsi="宋体"/>
          <w:kern w:val="0"/>
          <w:sz w:val="28"/>
          <w:szCs w:val="28"/>
        </w:rPr>
        <w:t>投标产品描述及相关资料（</w:t>
      </w:r>
      <w:r>
        <w:rPr>
          <w:rFonts w:hint="eastAsia" w:ascii="宋体" w:hAnsi="宋体" w:cs="宋体"/>
          <w:color w:val="000000" w:themeColor="text1"/>
          <w:sz w:val="28"/>
          <w:szCs w:val="28"/>
          <w14:textFill>
            <w14:solidFill>
              <w14:schemeClr w14:val="tx1"/>
            </w14:solidFill>
          </w14:textFill>
        </w:rPr>
        <w:t>可视情选用附件8、附件9</w:t>
      </w:r>
      <w:r>
        <w:rPr>
          <w:rFonts w:hint="eastAsia" w:ascii="宋体" w:hAnsi="宋体"/>
          <w:kern w:val="0"/>
          <w:sz w:val="28"/>
          <w:szCs w:val="28"/>
        </w:rPr>
        <w:t>）；</w:t>
      </w:r>
    </w:p>
    <w:p>
      <w:pPr>
        <w:snapToGrid w:val="0"/>
        <w:spacing w:line="360" w:lineRule="auto"/>
        <w:ind w:left="837" w:leftChars="260" w:hanging="291" w:hangingChars="104"/>
        <w:rPr>
          <w:rFonts w:ascii="宋体" w:hAnsi="宋体"/>
          <w:kern w:val="0"/>
          <w:sz w:val="28"/>
          <w:szCs w:val="28"/>
        </w:rPr>
      </w:pPr>
      <w:r>
        <w:rPr>
          <w:rFonts w:hint="eastAsia" w:ascii="宋体" w:hAnsi="宋体"/>
          <w:kern w:val="0"/>
          <w:sz w:val="28"/>
          <w:szCs w:val="28"/>
        </w:rPr>
        <w:t>2、</w:t>
      </w:r>
      <w:r>
        <w:rPr>
          <w:rFonts w:hint="eastAsia" w:ascii="宋体" w:hAnsi="宋体"/>
          <w:sz w:val="28"/>
          <w:szCs w:val="28"/>
        </w:rPr>
        <w:t>投标人</w:t>
      </w:r>
      <w:r>
        <w:rPr>
          <w:rFonts w:ascii="宋体" w:hAnsi="宋体"/>
          <w:sz w:val="28"/>
          <w:szCs w:val="28"/>
        </w:rPr>
        <w:t>需要说明的其他</w:t>
      </w:r>
      <w:r>
        <w:rPr>
          <w:rFonts w:hint="eastAsia" w:ascii="宋体" w:hAnsi="宋体"/>
          <w:sz w:val="28"/>
          <w:szCs w:val="28"/>
        </w:rPr>
        <w:t>内容</w:t>
      </w:r>
      <w:r>
        <w:rPr>
          <w:rFonts w:hint="eastAsia" w:ascii="宋体" w:hAnsi="宋体"/>
          <w:color w:val="000000"/>
          <w:sz w:val="28"/>
          <w:szCs w:val="28"/>
        </w:rPr>
        <w:t>；（</w:t>
      </w:r>
      <w:r>
        <w:rPr>
          <w:rFonts w:hint="eastAsia" w:ascii="宋体" w:hAnsi="宋体" w:cs="宋体"/>
          <w:sz w:val="28"/>
          <w:szCs w:val="28"/>
        </w:rPr>
        <w:t>包括可能影响投标人技术性能评分项的各类证明材料）</w:t>
      </w:r>
    </w:p>
    <w:p>
      <w:pPr>
        <w:snapToGrid w:val="0"/>
        <w:spacing w:line="360" w:lineRule="auto"/>
        <w:ind w:firstLine="551" w:firstLineChars="196"/>
        <w:rPr>
          <w:rFonts w:ascii="宋体" w:hAnsi="宋体"/>
          <w:b/>
          <w:bCs/>
          <w:kern w:val="0"/>
          <w:sz w:val="28"/>
          <w:szCs w:val="28"/>
        </w:rPr>
      </w:pPr>
      <w:r>
        <w:rPr>
          <w:rFonts w:hint="eastAsia" w:ascii="宋体" w:hAnsi="宋体"/>
          <w:b/>
          <w:bCs/>
          <w:kern w:val="0"/>
          <w:sz w:val="28"/>
          <w:szCs w:val="28"/>
        </w:rPr>
        <w:t>第三部分  商务响应部分</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1、证书一览表（附件10）；</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2、近三年来类似项目的成功案例（附件11）</w:t>
      </w:r>
    </w:p>
    <w:p>
      <w:pPr>
        <w:snapToGrid w:val="0"/>
        <w:spacing w:line="360" w:lineRule="auto"/>
        <w:ind w:firstLine="548" w:firstLineChars="196"/>
        <w:rPr>
          <w:rFonts w:ascii="宋体" w:hAnsi="宋体"/>
          <w:kern w:val="0"/>
          <w:sz w:val="28"/>
          <w:szCs w:val="28"/>
        </w:rPr>
      </w:pPr>
      <w:r>
        <w:rPr>
          <w:rFonts w:hint="eastAsia" w:ascii="宋体" w:hAnsi="宋体"/>
          <w:kern w:val="0"/>
          <w:sz w:val="28"/>
          <w:szCs w:val="28"/>
        </w:rPr>
        <w:t>3、售后服务描述及承诺（可视情选用附件12，附件13）；</w:t>
      </w:r>
    </w:p>
    <w:p>
      <w:pPr>
        <w:snapToGrid w:val="0"/>
        <w:spacing w:line="360" w:lineRule="auto"/>
        <w:ind w:left="837" w:leftChars="260" w:hanging="291" w:hangingChars="104"/>
        <w:rPr>
          <w:rFonts w:hint="eastAsia" w:ascii="宋体" w:hAnsi="宋体"/>
          <w:kern w:val="0"/>
          <w:sz w:val="28"/>
          <w:szCs w:val="28"/>
        </w:rPr>
      </w:pPr>
      <w:r>
        <w:rPr>
          <w:rFonts w:hint="eastAsia" w:ascii="宋体" w:hAnsi="宋体"/>
          <w:kern w:val="0"/>
          <w:sz w:val="28"/>
          <w:szCs w:val="28"/>
        </w:rPr>
        <w:t>4、投标人需要说明的其他内容。（包括可能影响投标人企业实力及信誉评分项以及售后服务评分项的各类证明材料）</w:t>
      </w:r>
    </w:p>
    <w:p>
      <w:pPr>
        <w:pStyle w:val="2"/>
        <w:rPr>
          <w:rFonts w:hint="eastAsia" w:ascii="宋体" w:hAnsi="宋体"/>
          <w:kern w:val="0"/>
          <w:sz w:val="28"/>
          <w:szCs w:val="28"/>
        </w:rPr>
      </w:pPr>
    </w:p>
    <w:p>
      <w:pPr>
        <w:rPr>
          <w:rFonts w:hint="eastAsia" w:ascii="宋体" w:hAnsi="宋体"/>
          <w:kern w:val="0"/>
          <w:sz w:val="28"/>
          <w:szCs w:val="28"/>
        </w:rPr>
      </w:pPr>
    </w:p>
    <w:p>
      <w:pPr>
        <w:pStyle w:val="2"/>
      </w:pPr>
    </w:p>
    <w:p>
      <w:pPr>
        <w:pStyle w:val="24"/>
        <w:shd w:val="clear" w:color="auto" w:fill="FFFFFF"/>
        <w:spacing w:before="0" w:beforeAutospacing="0" w:after="0" w:afterAutospacing="0" w:line="360" w:lineRule="auto"/>
        <w:rPr>
          <w:b/>
          <w:sz w:val="28"/>
        </w:rPr>
      </w:pPr>
    </w:p>
    <w:p>
      <w:pPr>
        <w:pStyle w:val="24"/>
        <w:shd w:val="clear" w:color="auto" w:fill="FFFFFF"/>
        <w:spacing w:before="0" w:beforeAutospacing="0" w:after="0" w:afterAutospacing="0" w:line="360" w:lineRule="auto"/>
        <w:rPr>
          <w:b/>
          <w:sz w:val="28"/>
        </w:rPr>
      </w:pPr>
    </w:p>
    <w:p>
      <w:pPr>
        <w:pStyle w:val="24"/>
        <w:shd w:val="clear" w:color="auto" w:fill="FFFFFF"/>
        <w:spacing w:before="0" w:beforeAutospacing="0" w:after="0" w:afterAutospacing="0" w:line="360" w:lineRule="auto"/>
        <w:rPr>
          <w:b/>
          <w:sz w:val="28"/>
        </w:rPr>
      </w:pPr>
    </w:p>
    <w:p>
      <w:pPr>
        <w:pStyle w:val="24"/>
        <w:shd w:val="clear" w:color="auto" w:fill="FFFFFF"/>
        <w:spacing w:before="0" w:beforeAutospacing="0" w:after="0" w:afterAutospacing="0" w:line="360" w:lineRule="auto"/>
        <w:rPr>
          <w:b/>
          <w:sz w:val="28"/>
        </w:rPr>
      </w:pPr>
    </w:p>
    <w:p>
      <w:pPr>
        <w:pStyle w:val="24"/>
        <w:shd w:val="clear" w:color="auto" w:fill="FFFFFF"/>
        <w:spacing w:before="0" w:beforeAutospacing="0" w:after="0" w:afterAutospacing="0" w:line="360" w:lineRule="auto"/>
        <w:rPr>
          <w:b/>
          <w:sz w:val="28"/>
        </w:rPr>
      </w:pPr>
    </w:p>
    <w:p>
      <w:pPr>
        <w:pStyle w:val="24"/>
        <w:shd w:val="clear" w:color="auto" w:fill="FFFFFF"/>
        <w:spacing w:before="0" w:beforeAutospacing="0" w:after="0" w:afterAutospacing="0" w:line="360" w:lineRule="auto"/>
        <w:rPr>
          <w:b/>
          <w:sz w:val="28"/>
        </w:rPr>
      </w:pPr>
      <w:r>
        <w:rPr>
          <w:rFonts w:hint="eastAsia"/>
          <w:b/>
          <w:sz w:val="28"/>
        </w:rPr>
        <w:t>附件5</w:t>
      </w:r>
    </w:p>
    <w:p>
      <w:pPr>
        <w:pStyle w:val="24"/>
        <w:shd w:val="clear" w:color="auto" w:fill="FFFFFF"/>
        <w:spacing w:before="0" w:beforeAutospacing="0" w:after="0" w:afterAutospacing="0" w:line="360" w:lineRule="auto"/>
        <w:jc w:val="center"/>
        <w:rPr>
          <w:rFonts w:eastAsia="微软雅黑"/>
          <w:color w:val="000000"/>
          <w:sz w:val="36"/>
          <w:szCs w:val="36"/>
        </w:rPr>
      </w:pPr>
      <w:r>
        <w:rPr>
          <w:rFonts w:hint="eastAsia"/>
          <w:b/>
          <w:sz w:val="32"/>
          <w:szCs w:val="32"/>
        </w:rPr>
        <w:t xml:space="preserve">  投标</w:t>
      </w:r>
      <w:r>
        <w:rPr>
          <w:rFonts w:hint="eastAsia"/>
          <w:b/>
          <w:bCs/>
          <w:spacing w:val="21"/>
          <w:sz w:val="32"/>
          <w:szCs w:val="32"/>
        </w:rPr>
        <w:t>人基本</w:t>
      </w:r>
      <w:r>
        <w:rPr>
          <w:rFonts w:hint="eastAsia"/>
          <w:b/>
          <w:bCs/>
          <w:color w:val="000000"/>
          <w:spacing w:val="21"/>
          <w:sz w:val="32"/>
          <w:szCs w:val="32"/>
        </w:rPr>
        <w:t>情况表</w:t>
      </w:r>
    </w:p>
    <w:tbl>
      <w:tblPr>
        <w:tblStyle w:val="16"/>
        <w:tblW w:w="8954"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23" w:type="dxa"/>
          </w:tcPr>
          <w:p>
            <w:pPr>
              <w:pStyle w:val="24"/>
              <w:shd w:val="clear" w:color="auto" w:fill="FFFFFF"/>
              <w:spacing w:line="360" w:lineRule="auto"/>
              <w:rPr>
                <w:bCs/>
                <w:color w:val="000000"/>
              </w:rPr>
            </w:pPr>
            <w:r>
              <w:rPr>
                <w:rFonts w:hint="eastAsia"/>
                <w:bCs/>
                <w:color w:val="000000"/>
                <w:spacing w:val="27"/>
              </w:rPr>
              <w:t>企业名称</w:t>
            </w:r>
          </w:p>
        </w:tc>
        <w:tc>
          <w:tcPr>
            <w:tcW w:w="3979" w:type="dxa"/>
            <w:gridSpan w:val="6"/>
          </w:tcPr>
          <w:p>
            <w:pPr>
              <w:pStyle w:val="24"/>
              <w:shd w:val="clear" w:color="auto" w:fill="FFFFFF"/>
              <w:spacing w:line="360" w:lineRule="auto"/>
              <w:rPr>
                <w:bCs/>
                <w:color w:val="000000"/>
              </w:rPr>
            </w:pPr>
          </w:p>
        </w:tc>
        <w:tc>
          <w:tcPr>
            <w:tcW w:w="2001" w:type="dxa"/>
            <w:gridSpan w:val="3"/>
          </w:tcPr>
          <w:p>
            <w:pPr>
              <w:pStyle w:val="24"/>
              <w:shd w:val="clear" w:color="auto" w:fill="FFFFFF"/>
              <w:spacing w:line="360" w:lineRule="auto"/>
              <w:rPr>
                <w:bCs/>
                <w:color w:val="000000"/>
              </w:rPr>
            </w:pPr>
            <w:r>
              <w:rPr>
                <w:rFonts w:hint="eastAsia"/>
                <w:bCs/>
                <w:color w:val="000000"/>
                <w:spacing w:val="16"/>
              </w:rPr>
              <w:t>法人代表</w:t>
            </w:r>
          </w:p>
        </w:tc>
        <w:tc>
          <w:tcPr>
            <w:tcW w:w="2151" w:type="dxa"/>
            <w:gridSpan w:val="2"/>
          </w:tcPr>
          <w:p>
            <w:pPr>
              <w:pStyle w:val="2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3" w:type="dxa"/>
          </w:tcPr>
          <w:p>
            <w:pPr>
              <w:pStyle w:val="24"/>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tcPr>
          <w:p>
            <w:pPr>
              <w:pStyle w:val="24"/>
              <w:shd w:val="clear" w:color="auto" w:fill="FFFFFF"/>
              <w:spacing w:line="360" w:lineRule="auto"/>
              <w:rPr>
                <w:bCs/>
                <w:color w:val="000000"/>
                <w:spacing w:val="16"/>
              </w:rPr>
            </w:pPr>
          </w:p>
        </w:tc>
        <w:tc>
          <w:tcPr>
            <w:tcW w:w="2001" w:type="dxa"/>
            <w:gridSpan w:val="3"/>
          </w:tcPr>
          <w:p>
            <w:pPr>
              <w:pStyle w:val="24"/>
              <w:shd w:val="clear" w:color="auto" w:fill="FFFFFF"/>
              <w:spacing w:line="360" w:lineRule="auto"/>
              <w:rPr>
                <w:bCs/>
                <w:color w:val="000000"/>
                <w:spacing w:val="16"/>
              </w:rPr>
            </w:pPr>
            <w:r>
              <w:rPr>
                <w:rFonts w:hint="eastAsia"/>
                <w:bCs/>
                <w:color w:val="000000"/>
                <w:spacing w:val="16"/>
              </w:rPr>
              <w:t>企业性质</w:t>
            </w:r>
          </w:p>
        </w:tc>
        <w:tc>
          <w:tcPr>
            <w:tcW w:w="2151" w:type="dxa"/>
            <w:gridSpan w:val="2"/>
          </w:tcPr>
          <w:p>
            <w:pPr>
              <w:pStyle w:val="2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23" w:type="dxa"/>
            <w:tcBorders>
              <w:bottom w:val="single" w:color="auto" w:sz="4" w:space="0"/>
            </w:tcBorders>
          </w:tcPr>
          <w:p>
            <w:pPr>
              <w:pStyle w:val="24"/>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tcPr>
          <w:p>
            <w:pPr>
              <w:pStyle w:val="24"/>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tcPr>
          <w:p>
            <w:pPr>
              <w:pStyle w:val="24"/>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tcPr>
          <w:p>
            <w:pPr>
              <w:widowControl/>
              <w:spacing w:line="360" w:lineRule="auto"/>
              <w:jc w:val="left"/>
              <w:rPr>
                <w:rFonts w:ascii="宋体" w:hAnsi="宋体" w:cs="宋体"/>
                <w:bCs/>
                <w:color w:val="000000"/>
                <w:spacing w:val="16"/>
                <w:kern w:val="0"/>
                <w:sz w:val="24"/>
              </w:rPr>
            </w:pPr>
          </w:p>
          <w:p>
            <w:pPr>
              <w:pStyle w:val="24"/>
              <w:shd w:val="clear" w:color="auto" w:fill="FFFFFF"/>
              <w:spacing w:line="360" w:lineRule="auto"/>
              <w:rPr>
                <w:bCs/>
                <w:color w:val="000000"/>
                <w:spacing w:val="16"/>
              </w:rPr>
            </w:pPr>
          </w:p>
        </w:tc>
        <w:tc>
          <w:tcPr>
            <w:tcW w:w="2001" w:type="dxa"/>
            <w:gridSpan w:val="3"/>
          </w:tcPr>
          <w:p>
            <w:pPr>
              <w:pStyle w:val="24"/>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tcPr>
          <w:p>
            <w:pPr>
              <w:pStyle w:val="24"/>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23" w:type="dxa"/>
            <w:vMerge w:val="restart"/>
          </w:tcPr>
          <w:p>
            <w:pPr>
              <w:pStyle w:val="24"/>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tcPr>
          <w:p>
            <w:pPr>
              <w:pStyle w:val="24"/>
              <w:shd w:val="clear" w:color="auto" w:fill="FFFFFF"/>
              <w:spacing w:line="360" w:lineRule="auto"/>
              <w:rPr>
                <w:bCs/>
                <w:color w:val="000000"/>
                <w:spacing w:val="16"/>
              </w:rPr>
            </w:pPr>
          </w:p>
        </w:tc>
        <w:tc>
          <w:tcPr>
            <w:tcW w:w="910" w:type="dxa"/>
            <w:gridSpan w:val="2"/>
            <w:tcBorders>
              <w:top w:val="nil"/>
              <w:bottom w:val="single" w:color="auto" w:sz="4" w:space="0"/>
            </w:tcBorders>
          </w:tcPr>
          <w:p>
            <w:pPr>
              <w:pStyle w:val="24"/>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tcPr>
          <w:p>
            <w:pPr>
              <w:widowControl/>
              <w:spacing w:line="360" w:lineRule="auto"/>
              <w:jc w:val="left"/>
              <w:rPr>
                <w:rFonts w:ascii="宋体" w:hAnsi="宋体" w:cs="宋体"/>
                <w:bCs/>
                <w:color w:val="000000"/>
                <w:spacing w:val="16"/>
                <w:kern w:val="0"/>
                <w:sz w:val="24"/>
              </w:rPr>
            </w:pPr>
          </w:p>
          <w:p>
            <w:pPr>
              <w:pStyle w:val="24"/>
              <w:shd w:val="clear" w:color="auto" w:fill="FFFFFF"/>
              <w:spacing w:line="360" w:lineRule="auto"/>
              <w:rPr>
                <w:bCs/>
                <w:color w:val="000000"/>
                <w:spacing w:val="16"/>
              </w:rPr>
            </w:pPr>
          </w:p>
        </w:tc>
        <w:tc>
          <w:tcPr>
            <w:tcW w:w="2001" w:type="dxa"/>
            <w:gridSpan w:val="3"/>
            <w:vMerge w:val="restart"/>
          </w:tcPr>
          <w:p>
            <w:pPr>
              <w:pStyle w:val="24"/>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tcPr>
          <w:p>
            <w:pPr>
              <w:pStyle w:val="2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23" w:type="dxa"/>
            <w:vMerge w:val="continue"/>
            <w:tcBorders>
              <w:bottom w:val="single" w:color="auto" w:sz="4" w:space="0"/>
            </w:tcBorders>
          </w:tcPr>
          <w:p>
            <w:pPr>
              <w:pStyle w:val="24"/>
              <w:shd w:val="clear" w:color="auto" w:fill="FFFFFF"/>
              <w:spacing w:line="360" w:lineRule="auto"/>
              <w:ind w:left="107"/>
              <w:rPr>
                <w:bCs/>
                <w:color w:val="000000"/>
              </w:rPr>
            </w:pPr>
          </w:p>
        </w:tc>
        <w:tc>
          <w:tcPr>
            <w:tcW w:w="701" w:type="dxa"/>
            <w:vMerge w:val="continue"/>
            <w:tcBorders>
              <w:bottom w:val="single" w:color="auto" w:sz="4" w:space="0"/>
            </w:tcBorders>
          </w:tcPr>
          <w:p>
            <w:pPr>
              <w:pStyle w:val="24"/>
              <w:shd w:val="clear" w:color="auto" w:fill="FFFFFF"/>
              <w:spacing w:line="360" w:lineRule="auto"/>
              <w:rPr>
                <w:bCs/>
                <w:color w:val="000000"/>
                <w:spacing w:val="16"/>
              </w:rPr>
            </w:pPr>
          </w:p>
        </w:tc>
        <w:tc>
          <w:tcPr>
            <w:tcW w:w="910" w:type="dxa"/>
            <w:gridSpan w:val="2"/>
            <w:tcBorders>
              <w:bottom w:val="single" w:color="auto" w:sz="4" w:space="0"/>
            </w:tcBorders>
          </w:tcPr>
          <w:p>
            <w:pPr>
              <w:pStyle w:val="24"/>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tcPr>
          <w:p>
            <w:pPr>
              <w:pStyle w:val="24"/>
              <w:shd w:val="clear" w:color="auto" w:fill="FFFFFF"/>
              <w:spacing w:line="360" w:lineRule="auto"/>
              <w:rPr>
                <w:bCs/>
                <w:color w:val="000000"/>
                <w:spacing w:val="16"/>
              </w:rPr>
            </w:pPr>
          </w:p>
        </w:tc>
        <w:tc>
          <w:tcPr>
            <w:tcW w:w="2001" w:type="dxa"/>
            <w:gridSpan w:val="3"/>
            <w:vMerge w:val="continue"/>
          </w:tcPr>
          <w:p>
            <w:pPr>
              <w:pStyle w:val="24"/>
              <w:shd w:val="clear" w:color="auto" w:fill="FFFFFF"/>
              <w:spacing w:line="360" w:lineRule="auto"/>
              <w:rPr>
                <w:bCs/>
                <w:color w:val="000000"/>
                <w:spacing w:val="16"/>
              </w:rPr>
            </w:pPr>
          </w:p>
        </w:tc>
        <w:tc>
          <w:tcPr>
            <w:tcW w:w="2151" w:type="dxa"/>
            <w:gridSpan w:val="2"/>
            <w:vMerge w:val="continue"/>
          </w:tcPr>
          <w:p>
            <w:pPr>
              <w:pStyle w:val="2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823" w:type="dxa"/>
            <w:vMerge w:val="restart"/>
          </w:tcPr>
          <w:p>
            <w:pPr>
              <w:pStyle w:val="24"/>
              <w:shd w:val="clear" w:color="auto" w:fill="FFFFFF"/>
              <w:spacing w:line="360" w:lineRule="auto"/>
              <w:ind w:left="107"/>
              <w:rPr>
                <w:bCs/>
                <w:color w:val="000000"/>
              </w:rPr>
            </w:pPr>
            <w:r>
              <w:rPr>
                <w:bCs/>
                <w:color w:val="000000"/>
              </w:rPr>
              <w:t>1</w:t>
            </w:r>
            <w:r>
              <w:rPr>
                <w:rFonts w:hint="eastAsia"/>
                <w:bCs/>
                <w:color w:val="000000"/>
              </w:rPr>
              <w:t>.</w:t>
            </w:r>
          </w:p>
          <w:p>
            <w:pPr>
              <w:pStyle w:val="24"/>
              <w:shd w:val="clear" w:color="auto" w:fill="FFFFFF"/>
              <w:spacing w:line="360" w:lineRule="auto"/>
              <w:ind w:left="107"/>
              <w:rPr>
                <w:bCs/>
                <w:color w:val="000000"/>
              </w:rPr>
            </w:pPr>
            <w:r>
              <w:rPr>
                <w:rFonts w:hint="eastAsia"/>
                <w:bCs/>
                <w:color w:val="000000"/>
              </w:rPr>
              <w:t>企</w:t>
            </w:r>
          </w:p>
          <w:p>
            <w:pPr>
              <w:pStyle w:val="24"/>
              <w:shd w:val="clear" w:color="auto" w:fill="FFFFFF"/>
              <w:spacing w:line="360" w:lineRule="auto"/>
              <w:ind w:left="107"/>
              <w:rPr>
                <w:bCs/>
                <w:color w:val="000000"/>
              </w:rPr>
            </w:pPr>
            <w:r>
              <w:rPr>
                <w:rFonts w:hint="eastAsia"/>
                <w:bCs/>
                <w:color w:val="000000"/>
              </w:rPr>
              <w:t>业</w:t>
            </w:r>
          </w:p>
          <w:p>
            <w:pPr>
              <w:pStyle w:val="24"/>
              <w:shd w:val="clear" w:color="auto" w:fill="FFFFFF"/>
              <w:spacing w:line="360" w:lineRule="auto"/>
              <w:ind w:left="107"/>
              <w:rPr>
                <w:bCs/>
                <w:color w:val="000000"/>
                <w:spacing w:val="27"/>
              </w:rPr>
            </w:pPr>
            <w:r>
              <w:rPr>
                <w:rFonts w:hint="eastAsia"/>
                <w:bCs/>
                <w:color w:val="000000"/>
                <w:spacing w:val="27"/>
              </w:rPr>
              <w:t>概</w:t>
            </w:r>
          </w:p>
          <w:p>
            <w:pPr>
              <w:pStyle w:val="24"/>
              <w:shd w:val="clear" w:color="auto" w:fill="FFFFFF"/>
              <w:spacing w:line="360" w:lineRule="auto"/>
              <w:ind w:left="107"/>
              <w:rPr>
                <w:bCs/>
                <w:color w:val="000000"/>
              </w:rPr>
            </w:pPr>
            <w:r>
              <w:rPr>
                <w:rFonts w:hint="eastAsia"/>
                <w:bCs/>
                <w:color w:val="000000"/>
                <w:spacing w:val="27"/>
              </w:rPr>
              <w:t>况</w:t>
            </w:r>
          </w:p>
        </w:tc>
        <w:tc>
          <w:tcPr>
            <w:tcW w:w="701" w:type="dxa"/>
            <w:tcBorders>
              <w:top w:val="nil"/>
            </w:tcBorders>
          </w:tcPr>
          <w:p>
            <w:pPr>
              <w:pStyle w:val="24"/>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nil"/>
            </w:tcBorders>
          </w:tcPr>
          <w:p>
            <w:pPr>
              <w:pStyle w:val="24"/>
              <w:shd w:val="clear" w:color="auto" w:fill="FFFFFF"/>
              <w:spacing w:line="360" w:lineRule="auto"/>
              <w:rPr>
                <w:bCs/>
                <w:color w:val="000000"/>
                <w:spacing w:val="16"/>
              </w:rPr>
            </w:pPr>
          </w:p>
        </w:tc>
        <w:tc>
          <w:tcPr>
            <w:tcW w:w="1163" w:type="dxa"/>
            <w:tcBorders>
              <w:top w:val="nil"/>
            </w:tcBorders>
          </w:tcPr>
          <w:p>
            <w:pPr>
              <w:pStyle w:val="24"/>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nil"/>
            </w:tcBorders>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24"/>
              <w:shd w:val="clear" w:color="auto" w:fill="FFFFFF"/>
              <w:spacing w:line="360" w:lineRule="auto"/>
              <w:rPr>
                <w:bCs/>
                <w:color w:val="000000"/>
                <w:spacing w:val="16"/>
              </w:rPr>
            </w:pPr>
          </w:p>
        </w:tc>
        <w:tc>
          <w:tcPr>
            <w:tcW w:w="2001" w:type="dxa"/>
            <w:gridSpan w:val="3"/>
          </w:tcPr>
          <w:p>
            <w:pPr>
              <w:pStyle w:val="24"/>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Pr>
          <w:p>
            <w:pPr>
              <w:widowControl/>
              <w:spacing w:line="360" w:lineRule="auto"/>
              <w:jc w:val="left"/>
              <w:rPr>
                <w:rFonts w:ascii="宋体" w:hAnsi="宋体" w:cs="宋体"/>
                <w:bCs/>
                <w:color w:val="000000"/>
                <w:spacing w:val="16"/>
                <w:kern w:val="0"/>
                <w:sz w:val="24"/>
              </w:rPr>
            </w:pPr>
          </w:p>
          <w:p>
            <w:pPr>
              <w:pStyle w:val="2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823" w:type="dxa"/>
            <w:vMerge w:val="continue"/>
          </w:tcPr>
          <w:p>
            <w:pPr>
              <w:pStyle w:val="24"/>
              <w:shd w:val="clear" w:color="auto" w:fill="FFFFFF"/>
              <w:spacing w:line="360" w:lineRule="auto"/>
              <w:ind w:left="107"/>
              <w:rPr>
                <w:bCs/>
                <w:color w:val="000000"/>
              </w:rPr>
            </w:pPr>
          </w:p>
        </w:tc>
        <w:tc>
          <w:tcPr>
            <w:tcW w:w="701" w:type="dxa"/>
          </w:tcPr>
          <w:p>
            <w:pPr>
              <w:pStyle w:val="24"/>
              <w:shd w:val="clear" w:color="auto" w:fill="FFFFFF"/>
              <w:spacing w:line="360" w:lineRule="auto"/>
              <w:rPr>
                <w:bCs/>
                <w:color w:val="000000"/>
              </w:rPr>
            </w:pPr>
            <w:r>
              <w:rPr>
                <w:rFonts w:hint="eastAsia"/>
                <w:bCs/>
                <w:color w:val="000000"/>
                <w:spacing w:val="16"/>
              </w:rPr>
              <w:t>占地面积</w:t>
            </w:r>
          </w:p>
        </w:tc>
        <w:tc>
          <w:tcPr>
            <w:tcW w:w="910" w:type="dxa"/>
            <w:gridSpan w:val="2"/>
          </w:tcPr>
          <w:p>
            <w:pPr>
              <w:pStyle w:val="24"/>
              <w:shd w:val="clear" w:color="auto" w:fill="FFFFFF"/>
              <w:spacing w:line="360" w:lineRule="auto"/>
              <w:rPr>
                <w:bCs/>
                <w:color w:val="000000"/>
              </w:rPr>
            </w:pPr>
          </w:p>
        </w:tc>
        <w:tc>
          <w:tcPr>
            <w:tcW w:w="1163" w:type="dxa"/>
          </w:tcPr>
          <w:p>
            <w:pPr>
              <w:pStyle w:val="24"/>
              <w:shd w:val="clear" w:color="auto" w:fill="FFFFFF"/>
              <w:spacing w:line="360" w:lineRule="auto"/>
              <w:rPr>
                <w:bCs/>
                <w:color w:val="000000"/>
              </w:rPr>
            </w:pPr>
            <w:r>
              <w:rPr>
                <w:rFonts w:hint="eastAsia"/>
                <w:bCs/>
                <w:color w:val="000000"/>
                <w:spacing w:val="16"/>
              </w:rPr>
              <w:t>建筑面积</w:t>
            </w:r>
          </w:p>
        </w:tc>
        <w:tc>
          <w:tcPr>
            <w:tcW w:w="1205" w:type="dxa"/>
            <w:gridSpan w:val="2"/>
          </w:tcPr>
          <w:p>
            <w:pPr>
              <w:pStyle w:val="24"/>
              <w:shd w:val="clear" w:color="auto" w:fill="FFFFFF"/>
              <w:spacing w:line="360" w:lineRule="auto"/>
              <w:ind w:firstLine="480" w:firstLineChars="200"/>
              <w:rPr>
                <w:bCs/>
                <w:color w:val="000000"/>
              </w:rPr>
            </w:pPr>
            <w:r>
              <w:rPr>
                <w:rFonts w:hint="eastAsia"/>
                <w:bCs/>
                <w:color w:val="000000"/>
              </w:rPr>
              <w:t xml:space="preserve">平方米 </w:t>
            </w:r>
          </w:p>
          <w:p>
            <w:pPr>
              <w:pStyle w:val="24"/>
              <w:shd w:val="clear" w:color="auto" w:fill="FFFFFF"/>
              <w:spacing w:line="360" w:lineRule="auto"/>
              <w:rPr>
                <w:bCs/>
                <w:color w:val="000000"/>
              </w:rPr>
            </w:pPr>
            <w:r>
              <w:rPr>
                <w:rFonts w:hint="eastAsia"/>
                <w:bCs/>
                <w:color w:val="000000"/>
                <w:spacing w:val="16"/>
              </w:rPr>
              <w:t>□自有□租賃</w:t>
            </w:r>
          </w:p>
        </w:tc>
        <w:tc>
          <w:tcPr>
            <w:tcW w:w="2001" w:type="dxa"/>
            <w:gridSpan w:val="3"/>
          </w:tcPr>
          <w:p>
            <w:pPr>
              <w:pStyle w:val="24"/>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tcPr>
          <w:p>
            <w:pPr>
              <w:pStyle w:val="24"/>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823" w:type="dxa"/>
            <w:vMerge w:val="continue"/>
          </w:tcPr>
          <w:p>
            <w:pPr>
              <w:pStyle w:val="24"/>
              <w:shd w:val="clear" w:color="auto" w:fill="FFFFFF"/>
              <w:spacing w:line="360" w:lineRule="auto"/>
              <w:ind w:left="107"/>
              <w:rPr>
                <w:bCs/>
                <w:color w:val="000000"/>
              </w:rPr>
            </w:pPr>
          </w:p>
        </w:tc>
        <w:tc>
          <w:tcPr>
            <w:tcW w:w="701" w:type="dxa"/>
          </w:tcPr>
          <w:p>
            <w:pPr>
              <w:pStyle w:val="24"/>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tcPr>
          <w:p>
            <w:pPr>
              <w:pStyle w:val="24"/>
              <w:shd w:val="clear" w:color="auto" w:fill="FFFFFF"/>
              <w:spacing w:line="360" w:lineRule="auto"/>
              <w:ind w:left="2"/>
              <w:rPr>
                <w:bCs/>
                <w:color w:val="000000"/>
              </w:rPr>
            </w:pPr>
          </w:p>
        </w:tc>
        <w:tc>
          <w:tcPr>
            <w:tcW w:w="1163" w:type="dxa"/>
          </w:tcPr>
          <w:p>
            <w:pPr>
              <w:pStyle w:val="24"/>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tcPr>
          <w:p>
            <w:pPr>
              <w:widowControl/>
              <w:spacing w:line="360" w:lineRule="auto"/>
              <w:jc w:val="left"/>
              <w:rPr>
                <w:rFonts w:ascii="宋体" w:hAnsi="宋体" w:cs="宋体"/>
                <w:bCs/>
                <w:color w:val="000000"/>
                <w:kern w:val="0"/>
                <w:sz w:val="24"/>
              </w:rPr>
            </w:pPr>
          </w:p>
          <w:p>
            <w:pPr>
              <w:pStyle w:val="24"/>
              <w:shd w:val="clear" w:color="auto" w:fill="FFFFFF"/>
              <w:spacing w:line="360" w:lineRule="auto"/>
              <w:ind w:left="107"/>
              <w:rPr>
                <w:bCs/>
                <w:color w:val="000000"/>
              </w:rPr>
            </w:pPr>
          </w:p>
        </w:tc>
        <w:tc>
          <w:tcPr>
            <w:tcW w:w="1218" w:type="dxa"/>
          </w:tcPr>
          <w:p>
            <w:pPr>
              <w:pStyle w:val="24"/>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tcPr>
          <w:p>
            <w:pPr>
              <w:pStyle w:val="2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823" w:type="dxa"/>
            <w:vMerge w:val="continue"/>
          </w:tcPr>
          <w:p>
            <w:pPr>
              <w:pStyle w:val="24"/>
              <w:shd w:val="clear" w:color="auto" w:fill="FFFFFF"/>
              <w:spacing w:line="360" w:lineRule="auto"/>
              <w:ind w:left="107"/>
              <w:rPr>
                <w:bCs/>
                <w:color w:val="000000"/>
              </w:rPr>
            </w:pPr>
          </w:p>
        </w:tc>
        <w:tc>
          <w:tcPr>
            <w:tcW w:w="701" w:type="dxa"/>
          </w:tcPr>
          <w:p>
            <w:pPr>
              <w:pStyle w:val="24"/>
              <w:shd w:val="clear" w:color="auto" w:fill="FFFFFF"/>
              <w:spacing w:line="360" w:lineRule="auto"/>
              <w:ind w:left="2"/>
              <w:rPr>
                <w:bCs/>
                <w:color w:val="000000"/>
              </w:rPr>
            </w:pPr>
            <w:r>
              <w:rPr>
                <w:rFonts w:hint="eastAsia"/>
                <w:bCs/>
                <w:color w:val="000000"/>
              </w:rPr>
              <w:t>核准经营范围</w:t>
            </w:r>
          </w:p>
        </w:tc>
        <w:tc>
          <w:tcPr>
            <w:tcW w:w="7430" w:type="dxa"/>
            <w:gridSpan w:val="10"/>
          </w:tcPr>
          <w:p>
            <w:pPr>
              <w:pStyle w:val="2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23" w:type="dxa"/>
            <w:vMerge w:val="continue"/>
          </w:tcPr>
          <w:p>
            <w:pPr>
              <w:pStyle w:val="24"/>
              <w:shd w:val="clear" w:color="auto" w:fill="FFFFFF"/>
              <w:spacing w:line="360" w:lineRule="auto"/>
              <w:ind w:left="107"/>
              <w:rPr>
                <w:bCs/>
                <w:color w:val="000000"/>
              </w:rPr>
            </w:pPr>
          </w:p>
        </w:tc>
        <w:tc>
          <w:tcPr>
            <w:tcW w:w="8131" w:type="dxa"/>
            <w:gridSpan w:val="11"/>
          </w:tcPr>
          <w:p>
            <w:pPr>
              <w:pStyle w:val="24"/>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823" w:type="dxa"/>
            <w:vMerge w:val="restart"/>
          </w:tcPr>
          <w:p>
            <w:pPr>
              <w:pStyle w:val="24"/>
              <w:shd w:val="clear" w:color="auto" w:fill="FFFFFF"/>
              <w:spacing w:line="360" w:lineRule="auto"/>
              <w:ind w:left="107"/>
              <w:rPr>
                <w:bCs/>
                <w:color w:val="000000"/>
              </w:rPr>
            </w:pPr>
            <w:r>
              <w:rPr>
                <w:bCs/>
                <w:color w:val="000000"/>
              </w:rPr>
              <w:t>2</w:t>
            </w:r>
            <w:r>
              <w:rPr>
                <w:rFonts w:hint="eastAsia"/>
                <w:bCs/>
                <w:color w:val="000000"/>
              </w:rPr>
              <w:t>．</w:t>
            </w:r>
          </w:p>
          <w:p>
            <w:pPr>
              <w:pStyle w:val="24"/>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tcPr>
          <w:p>
            <w:pPr>
              <w:pStyle w:val="24"/>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tcPr>
          <w:p>
            <w:pPr>
              <w:pStyle w:val="24"/>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tcPr>
          <w:p>
            <w:pPr>
              <w:pStyle w:val="24"/>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tcPr>
          <w:p>
            <w:pPr>
              <w:pStyle w:val="24"/>
              <w:shd w:val="clear" w:color="auto" w:fill="FFFFFF"/>
              <w:spacing w:line="360" w:lineRule="auto"/>
              <w:jc w:val="center"/>
              <w:rPr>
                <w:bCs/>
                <w:color w:val="000000"/>
              </w:rPr>
            </w:pPr>
            <w:r>
              <w:rPr>
                <w:rFonts w:hint="eastAsia"/>
                <w:bCs/>
                <w:color w:val="000000"/>
                <w:spacing w:val="27"/>
              </w:rPr>
              <w:t>编号</w:t>
            </w:r>
          </w:p>
        </w:tc>
        <w:tc>
          <w:tcPr>
            <w:tcW w:w="1618" w:type="dxa"/>
            <w:gridSpan w:val="2"/>
          </w:tcPr>
          <w:p>
            <w:pPr>
              <w:pStyle w:val="24"/>
              <w:shd w:val="clear" w:color="auto" w:fill="FFFFFF"/>
              <w:spacing w:line="360" w:lineRule="auto"/>
              <w:jc w:val="center"/>
              <w:rPr>
                <w:bCs/>
                <w:color w:val="000000"/>
              </w:rPr>
            </w:pPr>
            <w:r>
              <w:rPr>
                <w:rFonts w:hint="eastAsia"/>
                <w:bCs/>
                <w:color w:val="000000"/>
                <w:spacing w:val="16"/>
              </w:rPr>
              <w:t>发证时间</w:t>
            </w:r>
          </w:p>
        </w:tc>
        <w:tc>
          <w:tcPr>
            <w:tcW w:w="933" w:type="dxa"/>
          </w:tcPr>
          <w:p>
            <w:pPr>
              <w:pStyle w:val="24"/>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823" w:type="dxa"/>
            <w:vMerge w:val="continue"/>
          </w:tcPr>
          <w:p>
            <w:pPr>
              <w:pStyle w:val="24"/>
              <w:shd w:val="clear" w:color="auto" w:fill="FFFFFF"/>
              <w:spacing w:line="360" w:lineRule="auto"/>
              <w:ind w:left="107"/>
              <w:rPr>
                <w:bCs/>
                <w:color w:val="000000"/>
              </w:rPr>
            </w:pPr>
          </w:p>
        </w:tc>
        <w:tc>
          <w:tcPr>
            <w:tcW w:w="1553" w:type="dxa"/>
            <w:gridSpan w:val="2"/>
            <w:vMerge w:val="continue"/>
          </w:tcPr>
          <w:p>
            <w:pPr>
              <w:pStyle w:val="24"/>
              <w:shd w:val="clear" w:color="auto" w:fill="FFFFFF"/>
              <w:spacing w:line="360" w:lineRule="auto"/>
              <w:rPr>
                <w:bCs/>
                <w:color w:val="000000"/>
              </w:rPr>
            </w:pPr>
          </w:p>
        </w:tc>
        <w:tc>
          <w:tcPr>
            <w:tcW w:w="1333" w:type="dxa"/>
            <w:gridSpan w:val="3"/>
          </w:tcPr>
          <w:p>
            <w:pPr>
              <w:pStyle w:val="24"/>
              <w:shd w:val="clear" w:color="auto" w:fill="FFFFFF"/>
              <w:spacing w:line="360" w:lineRule="auto"/>
              <w:rPr>
                <w:bCs/>
                <w:color w:val="000000"/>
              </w:rPr>
            </w:pPr>
          </w:p>
        </w:tc>
        <w:tc>
          <w:tcPr>
            <w:tcW w:w="1418" w:type="dxa"/>
            <w:gridSpan w:val="2"/>
          </w:tcPr>
          <w:p>
            <w:pPr>
              <w:pStyle w:val="24"/>
              <w:shd w:val="clear" w:color="auto" w:fill="FFFFFF"/>
              <w:spacing w:line="360" w:lineRule="auto"/>
              <w:rPr>
                <w:bCs/>
                <w:color w:val="000000"/>
              </w:rPr>
            </w:pPr>
          </w:p>
        </w:tc>
        <w:tc>
          <w:tcPr>
            <w:tcW w:w="1276" w:type="dxa"/>
          </w:tcPr>
          <w:p>
            <w:pPr>
              <w:pStyle w:val="24"/>
              <w:shd w:val="clear" w:color="auto" w:fill="FFFFFF"/>
              <w:spacing w:line="360" w:lineRule="auto"/>
              <w:rPr>
                <w:bCs/>
                <w:color w:val="000000"/>
              </w:rPr>
            </w:pPr>
          </w:p>
        </w:tc>
        <w:tc>
          <w:tcPr>
            <w:tcW w:w="2551" w:type="dxa"/>
            <w:gridSpan w:val="3"/>
          </w:tcPr>
          <w:p>
            <w:pPr>
              <w:pStyle w:val="2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trPr>
        <w:tc>
          <w:tcPr>
            <w:tcW w:w="823" w:type="dxa"/>
            <w:vMerge w:val="continue"/>
          </w:tcPr>
          <w:p>
            <w:pPr>
              <w:pStyle w:val="24"/>
              <w:shd w:val="clear" w:color="auto" w:fill="FFFFFF"/>
              <w:spacing w:line="360" w:lineRule="auto"/>
              <w:ind w:left="107"/>
              <w:rPr>
                <w:bCs/>
                <w:color w:val="000000"/>
                <w:spacing w:val="16"/>
              </w:rPr>
            </w:pPr>
          </w:p>
        </w:tc>
        <w:tc>
          <w:tcPr>
            <w:tcW w:w="1553" w:type="dxa"/>
            <w:gridSpan w:val="2"/>
          </w:tcPr>
          <w:p>
            <w:pPr>
              <w:pStyle w:val="24"/>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tcPr>
          <w:p>
            <w:pPr>
              <w:pStyle w:val="2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trPr>
        <w:tc>
          <w:tcPr>
            <w:tcW w:w="823" w:type="dxa"/>
            <w:vMerge w:val="continue"/>
          </w:tcPr>
          <w:p>
            <w:pPr>
              <w:pStyle w:val="24"/>
              <w:shd w:val="clear" w:color="auto" w:fill="FFFFFF"/>
              <w:spacing w:line="360" w:lineRule="auto"/>
              <w:ind w:left="107"/>
              <w:rPr>
                <w:bCs/>
                <w:color w:val="000000"/>
                <w:spacing w:val="27"/>
              </w:rPr>
            </w:pPr>
          </w:p>
        </w:tc>
        <w:tc>
          <w:tcPr>
            <w:tcW w:w="1553" w:type="dxa"/>
            <w:gridSpan w:val="2"/>
          </w:tcPr>
          <w:p>
            <w:pPr>
              <w:pStyle w:val="24"/>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tcPr>
          <w:p>
            <w:pPr>
              <w:pStyle w:val="24"/>
              <w:shd w:val="clear" w:color="auto" w:fill="FFFFFF"/>
              <w:spacing w:line="360" w:lineRule="auto"/>
              <w:rPr>
                <w:bCs/>
                <w:color w:val="000000"/>
                <w:spacing w:val="16"/>
              </w:rPr>
            </w:pPr>
          </w:p>
        </w:tc>
      </w:tr>
    </w:tbl>
    <w:p>
      <w:pPr>
        <w:pStyle w:val="24"/>
        <w:shd w:val="clear" w:color="auto" w:fill="FFFFFF"/>
        <w:spacing w:before="0" w:beforeAutospacing="0" w:after="0" w:afterAutospacing="0" w:line="360" w:lineRule="auto"/>
        <w:rPr>
          <w:rFonts w:ascii="仿宋_GB2312" w:eastAsia="仿宋_GB2312"/>
        </w:rPr>
      </w:pPr>
    </w:p>
    <w:p>
      <w:pPr>
        <w:pStyle w:val="24"/>
        <w:shd w:val="clear" w:color="auto" w:fill="FFFFFF"/>
        <w:spacing w:before="0" w:beforeAutospacing="0" w:after="0" w:afterAutospacing="0" w:line="360" w:lineRule="auto"/>
        <w:rPr>
          <w:b/>
          <w:sz w:val="21"/>
          <w:szCs w:val="21"/>
        </w:rPr>
      </w:pPr>
      <w:r>
        <w:rPr>
          <w:rFonts w:hint="eastAsia"/>
          <w:b/>
          <w:sz w:val="21"/>
          <w:szCs w:val="21"/>
        </w:rPr>
        <w:t>要求：</w:t>
      </w:r>
    </w:p>
    <w:p>
      <w:pPr>
        <w:pStyle w:val="24"/>
        <w:shd w:val="clear" w:color="auto" w:fill="FFFFFF"/>
        <w:spacing w:before="0" w:beforeAutospacing="0" w:after="0" w:afterAutospacing="0" w:line="360" w:lineRule="auto"/>
        <w:ind w:firstLine="424" w:firstLineChars="202"/>
        <w:rPr>
          <w:color w:val="000000"/>
          <w:sz w:val="21"/>
          <w:szCs w:val="21"/>
        </w:rPr>
      </w:pPr>
      <w:r>
        <w:rPr>
          <w:rFonts w:hint="eastAsia" w:ascii="仿宋_GB2312" w:eastAsia="仿宋_GB2312"/>
          <w:sz w:val="21"/>
          <w:szCs w:val="21"/>
        </w:rPr>
        <w:t>1.</w:t>
      </w:r>
      <w:r>
        <w:rPr>
          <w:rFonts w:hint="eastAsia"/>
          <w:color w:val="000000"/>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4"/>
        </w:rPr>
      </w:pPr>
    </w:p>
    <w:p>
      <w:pPr>
        <w:spacing w:line="360" w:lineRule="auto"/>
        <w:rPr>
          <w:rFonts w:ascii="宋体" w:hAnsi="宋体"/>
          <w:sz w:val="24"/>
        </w:rPr>
      </w:pPr>
      <w:r>
        <w:rPr>
          <w:rFonts w:hint="eastAsia" w:ascii="宋体" w:hAnsi="宋体"/>
          <w:b/>
          <w:sz w:val="28"/>
        </w:rPr>
        <w:t>附件6</w:t>
      </w:r>
    </w:p>
    <w:p>
      <w:pPr>
        <w:snapToGrid w:val="0"/>
        <w:spacing w:beforeLines="50" w:after="50" w:line="360" w:lineRule="auto"/>
        <w:jc w:val="center"/>
        <w:rPr>
          <w:rFonts w:ascii="宋体" w:hAnsi="宋体"/>
          <w:b/>
          <w:sz w:val="36"/>
          <w:szCs w:val="36"/>
        </w:rPr>
      </w:pPr>
      <w:r>
        <w:rPr>
          <w:rFonts w:hint="eastAsia" w:ascii="宋体" w:hAnsi="宋体"/>
          <w:b/>
          <w:sz w:val="32"/>
          <w:szCs w:val="32"/>
        </w:rPr>
        <w:t>项目实施人员一览表</w:t>
      </w:r>
      <w:r>
        <w:rPr>
          <w:rFonts w:hint="eastAsia" w:ascii="宋体" w:hAnsi="宋体"/>
          <w:b/>
          <w:color w:val="33CCCC"/>
          <w:sz w:val="32"/>
          <w:szCs w:val="32"/>
        </w:rPr>
        <w:t>（第 标）</w:t>
      </w:r>
    </w:p>
    <w:p>
      <w:pPr>
        <w:snapToGrid w:val="0"/>
        <w:spacing w:beforeLines="50" w:after="50" w:line="360" w:lineRule="auto"/>
        <w:ind w:firstLine="2400" w:firstLineChars="1000"/>
        <w:rPr>
          <w:rFonts w:ascii="宋体" w:hAnsi="宋体"/>
          <w:sz w:val="24"/>
        </w:rPr>
      </w:pPr>
      <w:r>
        <w:rPr>
          <w:rFonts w:hint="eastAsia" w:ascii="宋体" w:hAnsi="宋体"/>
          <w:sz w:val="24"/>
        </w:rPr>
        <w:t>（主要从业人员及其技术资格）</w:t>
      </w:r>
    </w:p>
    <w:tbl>
      <w:tblPr>
        <w:tblStyle w:val="16"/>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szCs w:val="20"/>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szCs w:val="20"/>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sz w:val="24"/>
                <w:szCs w:val="20"/>
              </w:rPr>
            </w:pPr>
            <w:r>
              <w:rPr>
                <w:rFonts w:hint="eastAsia" w:ascii="宋体" w:hAnsi="宋体"/>
                <w:b/>
                <w:sz w:val="24"/>
              </w:rPr>
              <w:t>证书编号</w:t>
            </w:r>
          </w:p>
        </w:tc>
        <w:tc>
          <w:tcPr>
            <w:tcW w:w="1743"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sz w:val="24"/>
                <w:szCs w:val="20"/>
              </w:rPr>
            </w:pPr>
            <w:r>
              <w:rPr>
                <w:rFonts w:hint="eastAsia" w:ascii="宋体" w:hAnsi="宋体"/>
                <w:b/>
                <w:bCs/>
                <w:sz w:val="24"/>
              </w:rPr>
              <w:t>参加本单位工作时间</w:t>
            </w:r>
          </w:p>
        </w:tc>
        <w:tc>
          <w:tcPr>
            <w:tcW w:w="1801" w:type="dxa"/>
            <w:tcBorders>
              <w:top w:val="single" w:color="auto" w:sz="4" w:space="0"/>
              <w:left w:val="single" w:color="auto" w:sz="4" w:space="0"/>
              <w:bottom w:val="single" w:color="auto" w:sz="4" w:space="0"/>
              <w:right w:val="single" w:color="auto" w:sz="4" w:space="0"/>
            </w:tcBorders>
            <w:vAlign w:val="center"/>
          </w:tcPr>
          <w:p>
            <w:pPr>
              <w:snapToGrid w:val="0"/>
              <w:spacing w:beforeLines="50" w:after="50" w:line="360" w:lineRule="auto"/>
              <w:jc w:val="center"/>
              <w:rPr>
                <w:rFonts w:ascii="宋体" w:hAnsi="宋体"/>
                <w:b/>
                <w:bCs/>
                <w:sz w:val="24"/>
                <w:szCs w:val="20"/>
              </w:rPr>
            </w:pPr>
            <w:r>
              <w:rPr>
                <w:rFonts w:hint="eastAsia" w:ascii="宋体" w:hAnsi="宋体"/>
                <w:b/>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pStyle w:val="10"/>
              <w:snapToGrid w:val="0"/>
              <w:spacing w:beforeLines="50" w:after="50" w:line="360" w:lineRule="auto"/>
              <w:ind w:left="5250"/>
              <w:rPr>
                <w:rFonts w:ascii="宋体" w:hAnsi="宋体" w:eastAsia="宋体"/>
                <w:b/>
                <w:kern w:val="44"/>
                <w:sz w:val="24"/>
                <w:szCs w:val="24"/>
              </w:rPr>
            </w:pPr>
          </w:p>
        </w:tc>
        <w:tc>
          <w:tcPr>
            <w:tcW w:w="1276" w:type="dxa"/>
            <w:tcBorders>
              <w:top w:val="single" w:color="auto" w:sz="4" w:space="0"/>
              <w:left w:val="single" w:color="auto" w:sz="4" w:space="0"/>
              <w:bottom w:val="single" w:color="auto" w:sz="4" w:space="0"/>
              <w:right w:val="single" w:color="auto" w:sz="4" w:space="0"/>
            </w:tcBorders>
          </w:tcPr>
          <w:p>
            <w:pPr>
              <w:pStyle w:val="10"/>
              <w:snapToGrid w:val="0"/>
              <w:spacing w:beforeLines="50" w:after="50" w:line="360" w:lineRule="auto"/>
              <w:ind w:left="5250"/>
              <w:rPr>
                <w:rFonts w:ascii="宋体" w:hAnsi="宋体" w:eastAsia="宋体"/>
                <w:b/>
                <w:kern w:val="44"/>
                <w:sz w:val="24"/>
                <w:szCs w:val="24"/>
              </w:rPr>
            </w:pPr>
          </w:p>
        </w:tc>
        <w:tc>
          <w:tcPr>
            <w:tcW w:w="1275" w:type="dxa"/>
            <w:tcBorders>
              <w:top w:val="single" w:color="auto" w:sz="4" w:space="0"/>
              <w:left w:val="single" w:color="auto" w:sz="4" w:space="0"/>
              <w:bottom w:val="single" w:color="auto" w:sz="4" w:space="0"/>
              <w:right w:val="single" w:color="auto" w:sz="4" w:space="0"/>
            </w:tcBorders>
          </w:tcPr>
          <w:p>
            <w:pPr>
              <w:pStyle w:val="10"/>
              <w:spacing w:line="360" w:lineRule="auto"/>
              <w:ind w:left="5250"/>
              <w:rPr>
                <w:rFonts w:ascii="宋体" w:hAnsi="宋体"/>
                <w:sz w:val="24"/>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sz w:val="24"/>
                <w:szCs w:val="20"/>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743"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c>
          <w:tcPr>
            <w:tcW w:w="1801" w:type="dxa"/>
            <w:tcBorders>
              <w:top w:val="single" w:color="auto" w:sz="4" w:space="0"/>
              <w:left w:val="single" w:color="auto" w:sz="4" w:space="0"/>
              <w:bottom w:val="single" w:color="auto" w:sz="4" w:space="0"/>
              <w:right w:val="single" w:color="auto" w:sz="4" w:space="0"/>
            </w:tcBorders>
          </w:tcPr>
          <w:p>
            <w:pPr>
              <w:snapToGrid w:val="0"/>
              <w:spacing w:beforeLines="50" w:after="50" w:line="360" w:lineRule="auto"/>
              <w:rPr>
                <w:rFonts w:ascii="宋体" w:hAnsi="宋体"/>
                <w:b/>
                <w:kern w:val="44"/>
                <w:sz w:val="24"/>
                <w:szCs w:val="20"/>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szCs w:val="21"/>
        </w:rPr>
        <w:t>1.</w:t>
      </w:r>
      <w:r>
        <w:rPr>
          <w:rFonts w:hint="eastAsia" w:ascii="宋体" w:hAnsi="宋体"/>
          <w:szCs w:val="21"/>
        </w:rPr>
        <w:t>在填写时，如本表格不适合投标单位的实际情况，可根据本表格式自行划表填写。</w:t>
      </w:r>
    </w:p>
    <w:p>
      <w:pPr>
        <w:pStyle w:val="25"/>
        <w:spacing w:line="360" w:lineRule="auto"/>
        <w:ind w:left="424" w:leftChars="202"/>
        <w:rPr>
          <w:rFonts w:ascii="宋体" w:hAnsi="宋体"/>
          <w:szCs w:val="21"/>
        </w:rPr>
      </w:pPr>
      <w:r>
        <w:rPr>
          <w:rFonts w:hint="eastAsia" w:ascii="宋体" w:hAnsi="宋体"/>
          <w:szCs w:val="21"/>
        </w:rPr>
        <w:t>2.附人员证书复印件；</w:t>
      </w:r>
    </w:p>
    <w:p>
      <w:pPr>
        <w:pStyle w:val="25"/>
        <w:spacing w:line="360" w:lineRule="auto"/>
        <w:ind w:left="424" w:hanging="424" w:hangingChars="202"/>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rPr>
      </w:pPr>
      <w:r>
        <w:rPr>
          <w:rFonts w:hint="eastAsia" w:ascii="宋体" w:hAnsi="宋体"/>
          <w:b/>
          <w:sz w:val="28"/>
        </w:rPr>
        <w:t>附件7</w:t>
      </w:r>
    </w:p>
    <w:p>
      <w:pPr>
        <w:spacing w:beforeLines="50" w:afterLines="50" w:line="360" w:lineRule="auto"/>
        <w:ind w:right="-10"/>
        <w:jc w:val="center"/>
        <w:rPr>
          <w:rFonts w:ascii="宋体" w:hAnsi="宋体"/>
          <w:b/>
          <w:bCs/>
          <w:sz w:val="32"/>
          <w:szCs w:val="32"/>
        </w:rPr>
      </w:pPr>
      <w:r>
        <w:rPr>
          <w:rFonts w:hint="eastAsia" w:ascii="宋体" w:hAnsi="宋体"/>
          <w:b/>
          <w:bCs/>
          <w:sz w:val="32"/>
          <w:szCs w:val="32"/>
        </w:rPr>
        <w:t>项目负责人资格情况表</w:t>
      </w:r>
    </w:p>
    <w:p>
      <w:pPr>
        <w:spacing w:line="360" w:lineRule="auto"/>
        <w:rPr>
          <w:rFonts w:ascii="宋体" w:hAnsi="宋体"/>
        </w:rPr>
      </w:pPr>
      <w:r>
        <w:rPr>
          <w:rFonts w:hint="eastAsia" w:ascii="宋体" w:hAnsi="宋体"/>
        </w:rPr>
        <w:t>采购项目：                                            采购编号：</w:t>
      </w:r>
    </w:p>
    <w:tbl>
      <w:tblPr>
        <w:tblStyle w:val="16"/>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ascii="宋体" w:hAnsi="宋体"/>
          <w:b/>
          <w:sz w:val="28"/>
        </w:rPr>
      </w:pPr>
      <w:r>
        <w:rPr>
          <w:rFonts w:hint="eastAsia" w:ascii="宋体" w:hAnsi="宋体"/>
          <w:b/>
          <w:sz w:val="28"/>
        </w:rPr>
        <w:t>附件8</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p>
    <w:p>
      <w:pPr>
        <w:spacing w:line="360" w:lineRule="auto"/>
        <w:rPr>
          <w:rFonts w:ascii="宋体" w:hAnsi="宋体"/>
          <w:color w:val="000000"/>
          <w:sz w:val="24"/>
        </w:rPr>
      </w:pPr>
      <w:r>
        <w:rPr>
          <w:rFonts w:hint="eastAsia" w:ascii="宋体" w:hAnsi="宋体"/>
          <w:color w:val="000000"/>
          <w:sz w:val="24"/>
        </w:rPr>
        <w:t xml:space="preserve">  项目编号：</w:t>
      </w:r>
    </w:p>
    <w:p>
      <w:pPr>
        <w:spacing w:line="360" w:lineRule="auto"/>
        <w:ind w:left="420"/>
        <w:rPr>
          <w:rFonts w:ascii="宋体" w:hAnsi="宋体"/>
          <w:color w:val="000000"/>
          <w:sz w:val="24"/>
        </w:rPr>
      </w:pPr>
    </w:p>
    <w:tbl>
      <w:tblPr>
        <w:tblStyle w:val="16"/>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525" w:type="dxa"/>
            <w:vAlign w:val="center"/>
          </w:tcPr>
          <w:p>
            <w:pPr>
              <w:spacing w:line="360" w:lineRule="auto"/>
              <w:rPr>
                <w:rFonts w:ascii="宋体" w:hAnsi="宋体"/>
                <w:color w:val="000000"/>
                <w:sz w:val="24"/>
              </w:rPr>
            </w:pPr>
          </w:p>
        </w:tc>
        <w:tc>
          <w:tcPr>
            <w:tcW w:w="2169" w:type="dxa"/>
            <w:vAlign w:val="center"/>
          </w:tcPr>
          <w:p>
            <w:pPr>
              <w:spacing w:line="360" w:lineRule="auto"/>
              <w:rPr>
                <w:rFonts w:ascii="宋体" w:hAnsi="宋体"/>
                <w:color w:val="000000"/>
                <w:sz w:val="24"/>
              </w:rPr>
            </w:pPr>
          </w:p>
        </w:tc>
        <w:tc>
          <w:tcPr>
            <w:tcW w:w="1134" w:type="dxa"/>
            <w:vAlign w:val="center"/>
          </w:tcPr>
          <w:p>
            <w:pPr>
              <w:spacing w:line="360" w:lineRule="auto"/>
              <w:rPr>
                <w:rFonts w:ascii="宋体" w:hAnsi="宋体"/>
                <w:color w:val="000000"/>
                <w:sz w:val="24"/>
              </w:rPr>
            </w:pPr>
          </w:p>
        </w:tc>
        <w:tc>
          <w:tcPr>
            <w:tcW w:w="1842" w:type="dxa"/>
            <w:vAlign w:val="center"/>
          </w:tcPr>
          <w:p>
            <w:pPr>
              <w:spacing w:line="360" w:lineRule="auto"/>
              <w:rPr>
                <w:rFonts w:ascii="宋体" w:hAnsi="宋体"/>
                <w:color w:val="000000"/>
                <w:sz w:val="24"/>
              </w:rPr>
            </w:pPr>
          </w:p>
        </w:tc>
        <w:tc>
          <w:tcPr>
            <w:tcW w:w="993" w:type="dxa"/>
            <w:vAlign w:val="center"/>
          </w:tcPr>
          <w:p>
            <w:pPr>
              <w:spacing w:line="360" w:lineRule="auto"/>
              <w:rPr>
                <w:rFonts w:ascii="宋体" w:hAnsi="宋体"/>
                <w:color w:val="000000"/>
                <w:sz w:val="24"/>
              </w:rPr>
            </w:pPr>
          </w:p>
        </w:tc>
        <w:tc>
          <w:tcPr>
            <w:tcW w:w="1559" w:type="dxa"/>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投标人名称（盖章）：</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投标人代表</w:t>
      </w:r>
      <w:r>
        <w:rPr>
          <w:rFonts w:hint="eastAsia" w:ascii="宋体" w:hAnsi="宋体"/>
          <w:color w:val="000000"/>
          <w:sz w:val="24"/>
          <w:lang w:eastAsia="zh-CN"/>
        </w:rPr>
        <w:t>签字</w:t>
      </w:r>
      <w:r>
        <w:rPr>
          <w:rFonts w:hint="eastAsia" w:ascii="宋体" w:hAnsi="宋体"/>
          <w:color w:val="000000"/>
          <w:sz w:val="24"/>
        </w:rPr>
        <w:t>或盖章：</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p>
    <w:p>
      <w:pPr>
        <w:snapToGrid w:val="0"/>
        <w:spacing w:before="50" w:after="50" w:line="360" w:lineRule="auto"/>
        <w:rPr>
          <w:rFonts w:ascii="宋体" w:hAnsi="宋体"/>
          <w:b/>
          <w:sz w:val="28"/>
        </w:rPr>
      </w:pPr>
    </w:p>
    <w:p>
      <w:pPr>
        <w:snapToGrid w:val="0"/>
        <w:spacing w:before="50" w:after="50" w:line="360" w:lineRule="auto"/>
        <w:rPr>
          <w:rFonts w:ascii="宋体" w:hAnsi="宋体"/>
          <w:b/>
          <w:sz w:val="28"/>
        </w:rPr>
      </w:pPr>
      <w:r>
        <w:rPr>
          <w:rFonts w:hint="eastAsia" w:ascii="宋体" w:hAnsi="宋体"/>
          <w:b/>
          <w:sz w:val="28"/>
        </w:rPr>
        <w:t>附件9</w:t>
      </w:r>
    </w:p>
    <w:p>
      <w:pPr>
        <w:spacing w:line="360" w:lineRule="auto"/>
        <w:ind w:left="480"/>
        <w:jc w:val="center"/>
        <w:rPr>
          <w:rFonts w:ascii="宋体" w:hAnsi="宋体"/>
          <w:b/>
          <w:color w:val="33CCCC"/>
          <w:sz w:val="32"/>
          <w:szCs w:val="32"/>
        </w:rPr>
      </w:pPr>
      <w:r>
        <w:rPr>
          <w:rFonts w:ascii="宋体" w:hAnsi="宋体"/>
          <w:kern w:val="0"/>
          <w:sz w:val="32"/>
          <w:szCs w:val="32"/>
        </w:rPr>
        <w:t>技术</w:t>
      </w:r>
      <w:r>
        <w:rPr>
          <w:rFonts w:hint="eastAsia" w:ascii="宋体" w:hAnsi="宋体"/>
          <w:kern w:val="0"/>
          <w:sz w:val="32"/>
          <w:szCs w:val="32"/>
        </w:rPr>
        <w:t>需求</w:t>
      </w:r>
      <w:r>
        <w:rPr>
          <w:rFonts w:ascii="宋体" w:hAnsi="宋体"/>
          <w:kern w:val="0"/>
          <w:sz w:val="32"/>
          <w:szCs w:val="32"/>
        </w:rPr>
        <w:t>响应表</w:t>
      </w:r>
      <w:r>
        <w:rPr>
          <w:rFonts w:hint="eastAsia" w:ascii="宋体" w:hAnsi="宋体"/>
          <w:b/>
          <w:color w:val="33CCCC"/>
          <w:sz w:val="32"/>
          <w:szCs w:val="32"/>
        </w:rPr>
        <w:t>(第 标)</w:t>
      </w:r>
    </w:p>
    <w:p>
      <w:pPr>
        <w:spacing w:line="360" w:lineRule="auto"/>
        <w:rPr>
          <w:rFonts w:ascii="宋体" w:hAnsi="宋体"/>
          <w:sz w:val="24"/>
        </w:rPr>
      </w:pPr>
    </w:p>
    <w:tbl>
      <w:tblPr>
        <w:tblStyle w:val="1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b/>
                <w:sz w:val="24"/>
              </w:rPr>
            </w:pPr>
            <w:r>
              <w:rPr>
                <w:rFonts w:hint="eastAsia" w:ascii="宋体" w:hAnsi="宋体"/>
                <w:b/>
                <w:sz w:val="24"/>
              </w:rPr>
              <w:t>序号</w:t>
            </w:r>
          </w:p>
        </w:tc>
        <w:tc>
          <w:tcPr>
            <w:tcW w:w="1785" w:type="dxa"/>
            <w:vAlign w:val="center"/>
          </w:tcPr>
          <w:p>
            <w:pPr>
              <w:spacing w:line="360" w:lineRule="auto"/>
              <w:ind w:left="13" w:leftChars="6" w:firstLine="482" w:firstLineChars="200"/>
              <w:rPr>
                <w:rFonts w:ascii="宋体" w:hAnsi="宋体"/>
                <w:b/>
                <w:sz w:val="24"/>
              </w:rPr>
            </w:pPr>
            <w:r>
              <w:rPr>
                <w:rFonts w:hint="eastAsia" w:ascii="宋体" w:hAnsi="宋体"/>
                <w:b/>
                <w:sz w:val="24"/>
              </w:rPr>
              <w:t>名称</w:t>
            </w:r>
          </w:p>
        </w:tc>
        <w:tc>
          <w:tcPr>
            <w:tcW w:w="1449" w:type="dxa"/>
            <w:vAlign w:val="center"/>
          </w:tcPr>
          <w:p>
            <w:pPr>
              <w:spacing w:line="360" w:lineRule="auto"/>
              <w:ind w:left="52"/>
              <w:rPr>
                <w:rFonts w:ascii="宋体" w:hAnsi="宋体"/>
                <w:b/>
                <w:sz w:val="24"/>
              </w:rPr>
            </w:pPr>
            <w:r>
              <w:rPr>
                <w:rFonts w:hint="eastAsia" w:ascii="宋体" w:hAnsi="宋体"/>
                <w:b/>
                <w:sz w:val="24"/>
              </w:rPr>
              <w:t>规格型号</w:t>
            </w:r>
          </w:p>
        </w:tc>
        <w:tc>
          <w:tcPr>
            <w:tcW w:w="1560" w:type="dxa"/>
            <w:vAlign w:val="center"/>
          </w:tcPr>
          <w:p>
            <w:pPr>
              <w:spacing w:line="360" w:lineRule="auto"/>
              <w:ind w:left="152"/>
              <w:rPr>
                <w:rFonts w:ascii="宋体" w:hAnsi="宋体"/>
                <w:b/>
                <w:sz w:val="24"/>
              </w:rPr>
            </w:pPr>
            <w:r>
              <w:rPr>
                <w:rFonts w:hint="eastAsia" w:ascii="宋体" w:hAnsi="宋体"/>
                <w:b/>
                <w:sz w:val="24"/>
              </w:rPr>
              <w:t>招标参数</w:t>
            </w:r>
          </w:p>
        </w:tc>
        <w:tc>
          <w:tcPr>
            <w:tcW w:w="1401" w:type="dxa"/>
            <w:vAlign w:val="center"/>
          </w:tcPr>
          <w:p>
            <w:pPr>
              <w:spacing w:line="360" w:lineRule="auto"/>
              <w:rPr>
                <w:rFonts w:ascii="宋体" w:hAnsi="宋体"/>
                <w:b/>
                <w:sz w:val="24"/>
              </w:rPr>
            </w:pPr>
            <w:r>
              <w:rPr>
                <w:rFonts w:hint="eastAsia" w:ascii="宋体" w:hAnsi="宋体"/>
                <w:b/>
                <w:sz w:val="24"/>
              </w:rPr>
              <w:t>投标参数</w:t>
            </w:r>
          </w:p>
        </w:tc>
        <w:tc>
          <w:tcPr>
            <w:tcW w:w="1365" w:type="dxa"/>
            <w:vAlign w:val="center"/>
          </w:tcPr>
          <w:p>
            <w:pPr>
              <w:spacing w:line="360" w:lineRule="auto"/>
              <w:rPr>
                <w:rFonts w:ascii="宋体" w:hAnsi="宋体"/>
                <w:b/>
                <w:sz w:val="24"/>
              </w:rPr>
            </w:pPr>
            <w:r>
              <w:rPr>
                <w:rFonts w:hint="eastAsia" w:ascii="宋体" w:hAnsi="宋体"/>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sz w:val="24"/>
              </w:rPr>
            </w:pPr>
          </w:p>
        </w:tc>
        <w:tc>
          <w:tcPr>
            <w:tcW w:w="1785" w:type="dxa"/>
            <w:vAlign w:val="center"/>
          </w:tcPr>
          <w:p>
            <w:pPr>
              <w:spacing w:line="360" w:lineRule="auto"/>
              <w:rPr>
                <w:rFonts w:ascii="宋体" w:hAnsi="宋体"/>
                <w:sz w:val="24"/>
              </w:rPr>
            </w:pPr>
          </w:p>
        </w:tc>
        <w:tc>
          <w:tcPr>
            <w:tcW w:w="1449" w:type="dxa"/>
            <w:vAlign w:val="center"/>
          </w:tcPr>
          <w:p>
            <w:pPr>
              <w:spacing w:line="360" w:lineRule="auto"/>
              <w:rPr>
                <w:rFonts w:ascii="宋体" w:hAnsi="宋体"/>
                <w:sz w:val="24"/>
              </w:rPr>
            </w:pPr>
          </w:p>
        </w:tc>
        <w:tc>
          <w:tcPr>
            <w:tcW w:w="1560" w:type="dxa"/>
            <w:vAlign w:val="center"/>
          </w:tcPr>
          <w:p>
            <w:pPr>
              <w:spacing w:line="360" w:lineRule="auto"/>
              <w:rPr>
                <w:rFonts w:ascii="宋体" w:hAnsi="宋体"/>
                <w:sz w:val="24"/>
              </w:rPr>
            </w:pPr>
          </w:p>
        </w:tc>
        <w:tc>
          <w:tcPr>
            <w:tcW w:w="1401" w:type="dxa"/>
            <w:vAlign w:val="center"/>
          </w:tcPr>
          <w:p>
            <w:pPr>
              <w:spacing w:line="360" w:lineRule="auto"/>
              <w:rPr>
                <w:rFonts w:ascii="宋体" w:hAnsi="宋体"/>
                <w:sz w:val="24"/>
              </w:rPr>
            </w:pPr>
          </w:p>
        </w:tc>
        <w:tc>
          <w:tcPr>
            <w:tcW w:w="1365" w:type="dxa"/>
            <w:vAlign w:val="center"/>
          </w:tcPr>
          <w:p>
            <w:pPr>
              <w:spacing w:line="360" w:lineRule="auto"/>
              <w:rPr>
                <w:rFonts w:ascii="宋体" w:hAnsi="宋体"/>
                <w:sz w:val="24"/>
              </w:rPr>
            </w:pPr>
          </w:p>
        </w:tc>
      </w:tr>
    </w:tbl>
    <w:p>
      <w:pPr>
        <w:pStyle w:val="26"/>
        <w:tabs>
          <w:tab w:val="left" w:pos="360"/>
        </w:tabs>
        <w:spacing w:line="360" w:lineRule="auto"/>
        <w:ind w:right="84" w:rightChars="40"/>
        <w:rPr>
          <w:rFonts w:ascii="宋体"/>
          <w:b/>
          <w:szCs w:val="21"/>
        </w:rPr>
      </w:pPr>
      <w:r>
        <w:rPr>
          <w:rFonts w:hint="eastAsia" w:ascii="宋体"/>
          <w:b/>
          <w:szCs w:val="21"/>
        </w:rPr>
        <w:t>要求：</w:t>
      </w:r>
    </w:p>
    <w:p>
      <w:pPr>
        <w:pStyle w:val="26"/>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26"/>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26"/>
        <w:spacing w:line="360" w:lineRule="auto"/>
        <w:ind w:right="84" w:rightChars="40" w:firstLine="420" w:firstLineChars="200"/>
        <w:rPr>
          <w:rFonts w:ascii="宋体"/>
          <w:szCs w:val="21"/>
        </w:rPr>
      </w:pPr>
      <w:r>
        <w:rPr>
          <w:rFonts w:hint="eastAsia" w:ascii="宋体"/>
          <w:szCs w:val="21"/>
        </w:rPr>
        <w:t>3.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27"/>
        <w:spacing w:line="360" w:lineRule="auto"/>
        <w:jc w:val="left"/>
        <w:rPr>
          <w:rFonts w:ascii="宋体" w:hAnsi="宋体"/>
          <w:b/>
          <w:sz w:val="28"/>
        </w:rPr>
      </w:pPr>
      <w:r>
        <w:rPr>
          <w:rFonts w:hint="eastAsia" w:ascii="宋体" w:hAnsi="宋体"/>
          <w:b/>
          <w:sz w:val="28"/>
        </w:rPr>
        <w:t>附件10</w:t>
      </w:r>
    </w:p>
    <w:p>
      <w:pPr>
        <w:pStyle w:val="28"/>
        <w:spacing w:line="360" w:lineRule="auto"/>
        <w:jc w:val="center"/>
        <w:rPr>
          <w:rFonts w:ascii="宋体" w:hAnsi="宋体"/>
          <w:b/>
          <w:sz w:val="32"/>
          <w:szCs w:val="32"/>
        </w:rPr>
      </w:pPr>
      <w:r>
        <w:rPr>
          <w:rFonts w:hint="eastAsia" w:ascii="宋体" w:hAnsi="宋体"/>
          <w:b/>
          <w:sz w:val="32"/>
          <w:szCs w:val="32"/>
        </w:rPr>
        <w:t>证书一览表</w:t>
      </w:r>
    </w:p>
    <w:p>
      <w:pPr>
        <w:pStyle w:val="28"/>
        <w:spacing w:line="360" w:lineRule="auto"/>
        <w:jc w:val="center"/>
        <w:rPr>
          <w:rFonts w:ascii="宋体" w:hAnsi="宋体" w:cs="Arial"/>
          <w:sz w:val="28"/>
          <w:szCs w:val="28"/>
        </w:rPr>
      </w:pPr>
    </w:p>
    <w:tbl>
      <w:tblPr>
        <w:tblStyle w:val="16"/>
        <w:tblW w:w="8432"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tcPr>
          <w:p>
            <w:pPr>
              <w:pStyle w:val="28"/>
              <w:spacing w:line="360" w:lineRule="auto"/>
              <w:jc w:val="center"/>
              <w:rPr>
                <w:rFonts w:ascii="宋体" w:hAnsi="宋体" w:cs="Arial"/>
                <w:b/>
                <w:bCs/>
                <w:sz w:val="24"/>
              </w:rPr>
            </w:pPr>
            <w:r>
              <w:rPr>
                <w:rFonts w:hint="eastAsia" w:ascii="宋体" w:hAnsi="宋体" w:cs="Arial"/>
                <w:b/>
                <w:bCs/>
                <w:sz w:val="24"/>
              </w:rPr>
              <w:t>证书名称</w:t>
            </w:r>
          </w:p>
        </w:tc>
        <w:tc>
          <w:tcPr>
            <w:tcW w:w="2258" w:type="dxa"/>
            <w:tcBorders>
              <w:top w:val="single" w:color="auto" w:sz="4" w:space="0"/>
              <w:bottom w:val="single" w:color="auto" w:sz="4" w:space="0"/>
            </w:tcBorders>
          </w:tcPr>
          <w:p>
            <w:pPr>
              <w:pStyle w:val="28"/>
              <w:spacing w:line="360" w:lineRule="auto"/>
              <w:jc w:val="center"/>
              <w:rPr>
                <w:rFonts w:ascii="宋体" w:hAnsi="宋体" w:cs="Arial"/>
                <w:b/>
                <w:bCs/>
                <w:sz w:val="24"/>
              </w:rPr>
            </w:pPr>
            <w:r>
              <w:rPr>
                <w:rFonts w:hint="eastAsia" w:ascii="宋体" w:hAnsi="宋体" w:cs="Arial"/>
                <w:b/>
                <w:bCs/>
                <w:sz w:val="24"/>
              </w:rPr>
              <w:t>发证单位</w:t>
            </w:r>
          </w:p>
        </w:tc>
        <w:tc>
          <w:tcPr>
            <w:tcW w:w="2260" w:type="dxa"/>
            <w:tcBorders>
              <w:top w:val="single" w:color="auto" w:sz="4" w:space="0"/>
              <w:bottom w:val="single" w:color="auto" w:sz="4" w:space="0"/>
            </w:tcBorders>
          </w:tcPr>
          <w:p>
            <w:pPr>
              <w:pStyle w:val="28"/>
              <w:spacing w:line="360" w:lineRule="auto"/>
              <w:jc w:val="center"/>
              <w:rPr>
                <w:rFonts w:ascii="宋体" w:hAnsi="宋体" w:cs="Arial"/>
                <w:b/>
                <w:bCs/>
                <w:sz w:val="24"/>
              </w:rPr>
            </w:pPr>
            <w:r>
              <w:rPr>
                <w:rFonts w:hint="eastAsia" w:ascii="宋体" w:hAnsi="宋体" w:cs="Arial"/>
                <w:b/>
                <w:bCs/>
                <w:sz w:val="24"/>
              </w:rPr>
              <w:t>证书等级</w:t>
            </w:r>
          </w:p>
        </w:tc>
        <w:tc>
          <w:tcPr>
            <w:tcW w:w="2047" w:type="dxa"/>
            <w:tcBorders>
              <w:top w:val="single" w:color="auto" w:sz="4" w:space="0"/>
              <w:bottom w:val="single" w:color="auto" w:sz="4" w:space="0"/>
              <w:right w:val="single" w:color="auto" w:sz="4" w:space="0"/>
            </w:tcBorders>
          </w:tcPr>
          <w:p>
            <w:pPr>
              <w:pStyle w:val="28"/>
              <w:spacing w:line="360" w:lineRule="auto"/>
              <w:jc w:val="center"/>
              <w:rPr>
                <w:rFonts w:ascii="宋体" w:hAnsi="宋体" w:cs="Arial"/>
                <w:b/>
                <w:bCs/>
                <w:sz w:val="24"/>
              </w:rPr>
            </w:pPr>
            <w:r>
              <w:rPr>
                <w:rFonts w:hint="eastAsia" w:ascii="宋体" w:hAnsi="宋体" w:cs="Arial"/>
                <w:b/>
                <w:bCs/>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top w:val="single" w:color="auto" w:sz="4" w:space="0"/>
              <w:left w:val="single" w:color="auto" w:sz="4" w:space="0"/>
            </w:tcBorders>
          </w:tcPr>
          <w:p>
            <w:pPr>
              <w:pStyle w:val="28"/>
              <w:spacing w:line="360" w:lineRule="auto"/>
              <w:jc w:val="center"/>
              <w:rPr>
                <w:rFonts w:ascii="宋体" w:hAnsi="宋体" w:cs="Arial"/>
                <w:szCs w:val="21"/>
              </w:rPr>
            </w:pPr>
          </w:p>
        </w:tc>
        <w:tc>
          <w:tcPr>
            <w:tcW w:w="2258" w:type="dxa"/>
            <w:tcBorders>
              <w:top w:val="single" w:color="auto" w:sz="4" w:space="0"/>
            </w:tcBorders>
          </w:tcPr>
          <w:p>
            <w:pPr>
              <w:pStyle w:val="28"/>
              <w:spacing w:line="360" w:lineRule="auto"/>
              <w:jc w:val="center"/>
              <w:rPr>
                <w:rFonts w:ascii="宋体" w:hAnsi="宋体" w:cs="Arial"/>
                <w:szCs w:val="21"/>
              </w:rPr>
            </w:pPr>
          </w:p>
        </w:tc>
        <w:tc>
          <w:tcPr>
            <w:tcW w:w="2260" w:type="dxa"/>
            <w:tcBorders>
              <w:top w:val="single" w:color="auto" w:sz="4" w:space="0"/>
            </w:tcBorders>
          </w:tcPr>
          <w:p>
            <w:pPr>
              <w:pStyle w:val="28"/>
              <w:spacing w:line="360" w:lineRule="auto"/>
              <w:jc w:val="center"/>
              <w:rPr>
                <w:rFonts w:ascii="宋体" w:hAnsi="宋体" w:cs="Arial"/>
                <w:szCs w:val="21"/>
              </w:rPr>
            </w:pPr>
          </w:p>
        </w:tc>
        <w:tc>
          <w:tcPr>
            <w:tcW w:w="2047" w:type="dxa"/>
            <w:tcBorders>
              <w:top w:val="single" w:color="auto" w:sz="4" w:space="0"/>
              <w:right w:val="single" w:color="auto" w:sz="4" w:space="0"/>
            </w:tcBorders>
          </w:tcPr>
          <w:p>
            <w:pPr>
              <w:pStyle w:val="2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28"/>
              <w:spacing w:line="360" w:lineRule="auto"/>
              <w:jc w:val="center"/>
              <w:rPr>
                <w:rFonts w:ascii="宋体" w:hAnsi="宋体" w:cs="Arial"/>
                <w:szCs w:val="21"/>
              </w:rPr>
            </w:pPr>
          </w:p>
        </w:tc>
        <w:tc>
          <w:tcPr>
            <w:tcW w:w="2258" w:type="dxa"/>
          </w:tcPr>
          <w:p>
            <w:pPr>
              <w:pStyle w:val="28"/>
              <w:spacing w:line="360" w:lineRule="auto"/>
              <w:jc w:val="center"/>
              <w:rPr>
                <w:rFonts w:ascii="宋体" w:hAnsi="宋体" w:cs="Arial"/>
                <w:szCs w:val="21"/>
              </w:rPr>
            </w:pPr>
          </w:p>
        </w:tc>
        <w:tc>
          <w:tcPr>
            <w:tcW w:w="2260" w:type="dxa"/>
          </w:tcPr>
          <w:p>
            <w:pPr>
              <w:pStyle w:val="28"/>
              <w:spacing w:line="360" w:lineRule="auto"/>
              <w:jc w:val="center"/>
              <w:rPr>
                <w:rFonts w:ascii="宋体" w:hAnsi="宋体" w:cs="Arial"/>
                <w:szCs w:val="21"/>
              </w:rPr>
            </w:pPr>
          </w:p>
        </w:tc>
        <w:tc>
          <w:tcPr>
            <w:tcW w:w="2047" w:type="dxa"/>
            <w:tcBorders>
              <w:right w:val="single" w:color="auto" w:sz="4" w:space="0"/>
            </w:tcBorders>
          </w:tcPr>
          <w:p>
            <w:pPr>
              <w:pStyle w:val="2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28"/>
              <w:spacing w:line="360" w:lineRule="auto"/>
              <w:jc w:val="center"/>
              <w:rPr>
                <w:rFonts w:ascii="宋体" w:hAnsi="宋体" w:cs="Arial"/>
                <w:szCs w:val="21"/>
              </w:rPr>
            </w:pPr>
          </w:p>
        </w:tc>
        <w:tc>
          <w:tcPr>
            <w:tcW w:w="2258" w:type="dxa"/>
          </w:tcPr>
          <w:p>
            <w:pPr>
              <w:pStyle w:val="28"/>
              <w:spacing w:line="360" w:lineRule="auto"/>
              <w:jc w:val="center"/>
              <w:rPr>
                <w:rFonts w:ascii="宋体" w:hAnsi="宋体" w:cs="Arial"/>
                <w:szCs w:val="21"/>
              </w:rPr>
            </w:pPr>
          </w:p>
        </w:tc>
        <w:tc>
          <w:tcPr>
            <w:tcW w:w="2260" w:type="dxa"/>
          </w:tcPr>
          <w:p>
            <w:pPr>
              <w:pStyle w:val="28"/>
              <w:spacing w:line="360" w:lineRule="auto"/>
              <w:jc w:val="center"/>
              <w:rPr>
                <w:rFonts w:ascii="宋体" w:hAnsi="宋体" w:cs="Arial"/>
                <w:szCs w:val="21"/>
              </w:rPr>
            </w:pPr>
          </w:p>
        </w:tc>
        <w:tc>
          <w:tcPr>
            <w:tcW w:w="2047" w:type="dxa"/>
            <w:tcBorders>
              <w:right w:val="single" w:color="auto" w:sz="4" w:space="0"/>
            </w:tcBorders>
          </w:tcPr>
          <w:p>
            <w:pPr>
              <w:pStyle w:val="2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28"/>
              <w:spacing w:line="360" w:lineRule="auto"/>
              <w:jc w:val="center"/>
              <w:rPr>
                <w:rFonts w:ascii="宋体" w:hAnsi="宋体" w:cs="Arial"/>
                <w:szCs w:val="21"/>
              </w:rPr>
            </w:pPr>
          </w:p>
        </w:tc>
        <w:tc>
          <w:tcPr>
            <w:tcW w:w="2258" w:type="dxa"/>
          </w:tcPr>
          <w:p>
            <w:pPr>
              <w:pStyle w:val="28"/>
              <w:spacing w:line="360" w:lineRule="auto"/>
              <w:jc w:val="center"/>
              <w:rPr>
                <w:rFonts w:ascii="宋体" w:hAnsi="宋体" w:cs="Arial"/>
                <w:szCs w:val="21"/>
              </w:rPr>
            </w:pPr>
          </w:p>
        </w:tc>
        <w:tc>
          <w:tcPr>
            <w:tcW w:w="2260" w:type="dxa"/>
          </w:tcPr>
          <w:p>
            <w:pPr>
              <w:pStyle w:val="28"/>
              <w:spacing w:line="360" w:lineRule="auto"/>
              <w:jc w:val="center"/>
              <w:rPr>
                <w:rFonts w:ascii="宋体" w:hAnsi="宋体" w:cs="Arial"/>
                <w:szCs w:val="21"/>
              </w:rPr>
            </w:pPr>
          </w:p>
        </w:tc>
        <w:tc>
          <w:tcPr>
            <w:tcW w:w="2047" w:type="dxa"/>
            <w:tcBorders>
              <w:right w:val="single" w:color="auto" w:sz="4" w:space="0"/>
            </w:tcBorders>
          </w:tcPr>
          <w:p>
            <w:pPr>
              <w:pStyle w:val="2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28"/>
              <w:spacing w:line="360" w:lineRule="auto"/>
              <w:jc w:val="center"/>
              <w:rPr>
                <w:rFonts w:ascii="宋体" w:hAnsi="宋体" w:cs="Arial"/>
                <w:szCs w:val="21"/>
              </w:rPr>
            </w:pPr>
          </w:p>
        </w:tc>
        <w:tc>
          <w:tcPr>
            <w:tcW w:w="2258" w:type="dxa"/>
          </w:tcPr>
          <w:p>
            <w:pPr>
              <w:pStyle w:val="28"/>
              <w:spacing w:line="360" w:lineRule="auto"/>
              <w:jc w:val="center"/>
              <w:rPr>
                <w:rFonts w:ascii="宋体" w:hAnsi="宋体" w:cs="Arial"/>
                <w:szCs w:val="21"/>
              </w:rPr>
            </w:pPr>
          </w:p>
        </w:tc>
        <w:tc>
          <w:tcPr>
            <w:tcW w:w="2260" w:type="dxa"/>
          </w:tcPr>
          <w:p>
            <w:pPr>
              <w:pStyle w:val="28"/>
              <w:spacing w:line="360" w:lineRule="auto"/>
              <w:jc w:val="center"/>
              <w:rPr>
                <w:rFonts w:ascii="宋体" w:hAnsi="宋体" w:cs="Arial"/>
                <w:szCs w:val="21"/>
              </w:rPr>
            </w:pPr>
          </w:p>
        </w:tc>
        <w:tc>
          <w:tcPr>
            <w:tcW w:w="2047" w:type="dxa"/>
            <w:tcBorders>
              <w:right w:val="single" w:color="auto" w:sz="4" w:space="0"/>
            </w:tcBorders>
          </w:tcPr>
          <w:p>
            <w:pPr>
              <w:pStyle w:val="2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tcBorders>
          </w:tcPr>
          <w:p>
            <w:pPr>
              <w:pStyle w:val="28"/>
              <w:spacing w:line="360" w:lineRule="auto"/>
              <w:jc w:val="center"/>
              <w:rPr>
                <w:rFonts w:ascii="宋体" w:hAnsi="宋体" w:cs="Arial"/>
                <w:szCs w:val="21"/>
              </w:rPr>
            </w:pPr>
          </w:p>
        </w:tc>
        <w:tc>
          <w:tcPr>
            <w:tcW w:w="2258" w:type="dxa"/>
          </w:tcPr>
          <w:p>
            <w:pPr>
              <w:pStyle w:val="28"/>
              <w:spacing w:line="360" w:lineRule="auto"/>
              <w:jc w:val="center"/>
              <w:rPr>
                <w:rFonts w:ascii="宋体" w:hAnsi="宋体" w:cs="Arial"/>
                <w:szCs w:val="21"/>
              </w:rPr>
            </w:pPr>
          </w:p>
        </w:tc>
        <w:tc>
          <w:tcPr>
            <w:tcW w:w="2260" w:type="dxa"/>
          </w:tcPr>
          <w:p>
            <w:pPr>
              <w:pStyle w:val="28"/>
              <w:spacing w:line="360" w:lineRule="auto"/>
              <w:jc w:val="center"/>
              <w:rPr>
                <w:rFonts w:ascii="宋体" w:hAnsi="宋体" w:cs="Arial"/>
                <w:szCs w:val="21"/>
              </w:rPr>
            </w:pPr>
          </w:p>
        </w:tc>
        <w:tc>
          <w:tcPr>
            <w:tcW w:w="2047" w:type="dxa"/>
            <w:tcBorders>
              <w:right w:val="single" w:color="auto" w:sz="4" w:space="0"/>
            </w:tcBorders>
          </w:tcPr>
          <w:p>
            <w:pPr>
              <w:pStyle w:val="28"/>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tcPr>
          <w:p>
            <w:pPr>
              <w:pStyle w:val="28"/>
              <w:spacing w:line="360" w:lineRule="auto"/>
              <w:jc w:val="center"/>
              <w:rPr>
                <w:rFonts w:ascii="宋体" w:hAnsi="宋体" w:cs="Arial"/>
                <w:szCs w:val="21"/>
              </w:rPr>
            </w:pPr>
          </w:p>
        </w:tc>
        <w:tc>
          <w:tcPr>
            <w:tcW w:w="2258" w:type="dxa"/>
            <w:tcBorders>
              <w:bottom w:val="single" w:color="auto" w:sz="4" w:space="0"/>
            </w:tcBorders>
          </w:tcPr>
          <w:p>
            <w:pPr>
              <w:pStyle w:val="28"/>
              <w:spacing w:line="360" w:lineRule="auto"/>
              <w:jc w:val="center"/>
              <w:rPr>
                <w:rFonts w:ascii="宋体" w:hAnsi="宋体" w:cs="Arial"/>
                <w:szCs w:val="21"/>
              </w:rPr>
            </w:pPr>
          </w:p>
        </w:tc>
        <w:tc>
          <w:tcPr>
            <w:tcW w:w="2260" w:type="dxa"/>
            <w:tcBorders>
              <w:bottom w:val="single" w:color="auto" w:sz="4" w:space="0"/>
            </w:tcBorders>
          </w:tcPr>
          <w:p>
            <w:pPr>
              <w:pStyle w:val="28"/>
              <w:spacing w:line="360" w:lineRule="auto"/>
              <w:jc w:val="center"/>
              <w:rPr>
                <w:rFonts w:ascii="宋体" w:hAnsi="宋体" w:cs="Arial"/>
                <w:szCs w:val="21"/>
              </w:rPr>
            </w:pPr>
          </w:p>
        </w:tc>
        <w:tc>
          <w:tcPr>
            <w:tcW w:w="2047" w:type="dxa"/>
            <w:tcBorders>
              <w:bottom w:val="single" w:color="auto" w:sz="4" w:space="0"/>
              <w:right w:val="single" w:color="auto" w:sz="4" w:space="0"/>
            </w:tcBorders>
          </w:tcPr>
          <w:p>
            <w:pPr>
              <w:pStyle w:val="28"/>
              <w:spacing w:line="360" w:lineRule="auto"/>
              <w:jc w:val="center"/>
              <w:rPr>
                <w:rFonts w:ascii="宋体" w:hAnsi="宋体" w:cs="Arial"/>
                <w:szCs w:val="21"/>
              </w:rPr>
            </w:pPr>
          </w:p>
        </w:tc>
      </w:tr>
    </w:tbl>
    <w:p>
      <w:pPr>
        <w:pStyle w:val="28"/>
        <w:tabs>
          <w:tab w:val="left" w:pos="1050"/>
        </w:tabs>
        <w:spacing w:line="360" w:lineRule="auto"/>
        <w:rPr>
          <w:rFonts w:ascii="仿宋_GB2312" w:hAnsi="宋体" w:eastAsia="仿宋_GB2312"/>
          <w:sz w:val="24"/>
        </w:rPr>
      </w:pPr>
    </w:p>
    <w:p>
      <w:pPr>
        <w:pStyle w:val="28"/>
        <w:tabs>
          <w:tab w:val="left" w:pos="1050"/>
        </w:tabs>
        <w:spacing w:line="360" w:lineRule="auto"/>
        <w:rPr>
          <w:rFonts w:ascii="宋体" w:hAnsi="宋体"/>
          <w:szCs w:val="21"/>
        </w:rPr>
      </w:pPr>
      <w:r>
        <w:rPr>
          <w:rFonts w:hint="eastAsia" w:ascii="宋体" w:hAnsi="宋体"/>
          <w:b/>
          <w:szCs w:val="21"/>
        </w:rPr>
        <w:t>要求：</w:t>
      </w:r>
    </w:p>
    <w:p>
      <w:pPr>
        <w:pStyle w:val="28"/>
        <w:tabs>
          <w:tab w:val="left" w:pos="1050"/>
        </w:tabs>
        <w:spacing w:line="360" w:lineRule="auto"/>
        <w:ind w:firstLine="424" w:firstLineChars="202"/>
        <w:rPr>
          <w:rFonts w:ascii="宋体" w:hAnsi="宋体"/>
          <w:color w:val="008000"/>
          <w:szCs w:val="21"/>
        </w:rPr>
      </w:pPr>
      <w:r>
        <w:rPr>
          <w:rFonts w:hint="eastAsia" w:ascii="宋体" w:hAnsi="宋体"/>
          <w:szCs w:val="21"/>
        </w:rPr>
        <w:t>1.填写投标人获得资质、认证或企业信誉证书；</w:t>
      </w:r>
    </w:p>
    <w:p>
      <w:pPr>
        <w:pStyle w:val="28"/>
        <w:tabs>
          <w:tab w:val="left" w:pos="1050"/>
        </w:tabs>
        <w:spacing w:line="360" w:lineRule="auto"/>
        <w:ind w:firstLine="424" w:firstLineChars="202"/>
        <w:rPr>
          <w:rFonts w:ascii="宋体" w:hAnsi="宋体"/>
          <w:szCs w:val="21"/>
        </w:rPr>
      </w:pPr>
      <w:r>
        <w:rPr>
          <w:rFonts w:hint="eastAsia" w:ascii="宋体" w:hAnsi="宋体"/>
          <w:szCs w:val="21"/>
        </w:rPr>
        <w:t>2.附所列证书复印件或其他证明材料。</w:t>
      </w:r>
    </w:p>
    <w:p>
      <w:pPr>
        <w:pStyle w:val="28"/>
        <w:tabs>
          <w:tab w:val="left" w:pos="1050"/>
        </w:tabs>
        <w:spacing w:line="360" w:lineRule="auto"/>
        <w:ind w:firstLine="720" w:firstLineChars="300"/>
        <w:rPr>
          <w:rFonts w:ascii="仿宋_GB2312" w:hAnsi="宋体" w:eastAsia="仿宋_GB2312"/>
          <w:sz w:val="24"/>
        </w:rPr>
      </w:pPr>
    </w:p>
    <w:p>
      <w:pPr>
        <w:pStyle w:val="28"/>
        <w:tabs>
          <w:tab w:val="left" w:pos="1050"/>
        </w:tabs>
        <w:spacing w:line="360" w:lineRule="auto"/>
        <w:ind w:firstLine="720" w:firstLineChars="300"/>
        <w:rPr>
          <w:rFonts w:ascii="仿宋_GB2312" w:hAnsi="宋体" w:eastAsia="仿宋_GB2312"/>
          <w:sz w:val="24"/>
        </w:rPr>
      </w:pPr>
    </w:p>
    <w:p>
      <w:pPr>
        <w:pStyle w:val="28"/>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24"/>
        <w:shd w:val="clear" w:color="auto" w:fill="FFFFFF"/>
        <w:spacing w:before="0" w:beforeAutospacing="0" w:after="0" w:afterAutospacing="0" w:line="360" w:lineRule="auto"/>
        <w:ind w:firstLine="424" w:firstLineChars="177"/>
        <w:rPr>
          <w:b/>
          <w:bCs/>
          <w:color w:val="000000"/>
          <w:spacing w:val="11"/>
        </w:rPr>
      </w:pPr>
      <w:r>
        <w:rPr>
          <w:rFonts w:hint="eastAsia"/>
        </w:rPr>
        <w:t>日        期：</w:t>
      </w:r>
      <w:r>
        <w:rPr>
          <w:rFonts w:hint="eastAsia"/>
          <w:color w:val="000000"/>
        </w:rPr>
        <w:t>：</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r>
        <w:rPr>
          <w:rFonts w:hint="eastAsia" w:ascii="宋体" w:hAnsi="宋体"/>
          <w:b/>
          <w:sz w:val="28"/>
        </w:rPr>
        <w:t>附件11</w:t>
      </w:r>
    </w:p>
    <w:p>
      <w:pPr>
        <w:pStyle w:val="27"/>
        <w:spacing w:line="360" w:lineRule="auto"/>
        <w:jc w:val="center"/>
        <w:rPr>
          <w:rFonts w:ascii="宋体" w:hAnsi="宋体"/>
          <w:b/>
          <w:sz w:val="32"/>
          <w:szCs w:val="32"/>
        </w:rPr>
      </w:pPr>
      <w:r>
        <w:rPr>
          <w:rFonts w:hint="eastAsia" w:ascii="宋体" w:hAnsi="宋体"/>
          <w:b/>
          <w:sz w:val="32"/>
          <w:szCs w:val="32"/>
        </w:rPr>
        <w:t>投标人类似项目实施情况一览表</w:t>
      </w:r>
    </w:p>
    <w:p>
      <w:pPr>
        <w:pStyle w:val="27"/>
        <w:spacing w:line="360" w:lineRule="auto"/>
        <w:jc w:val="center"/>
        <w:rPr>
          <w:rFonts w:ascii="仿宋_GB2312" w:eastAsia="仿宋_GB2312"/>
          <w:b/>
          <w:sz w:val="28"/>
          <w:szCs w:val="28"/>
        </w:rPr>
      </w:pPr>
    </w:p>
    <w:tbl>
      <w:tblPr>
        <w:tblStyle w:val="16"/>
        <w:tblW w:w="954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27"/>
              <w:spacing w:line="360" w:lineRule="auto"/>
              <w:jc w:val="center"/>
              <w:rPr>
                <w:rFonts w:ascii="宋体" w:hAnsi="宋体" w:cs="Arial"/>
                <w:b/>
                <w:bCs/>
                <w:sz w:val="24"/>
              </w:rPr>
            </w:pPr>
            <w:r>
              <w:rPr>
                <w:rFonts w:hint="eastAsia" w:ascii="宋体" w:hAnsi="宋体" w:cs="Arial"/>
                <w:b/>
                <w:bCs/>
                <w:sz w:val="24"/>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27"/>
              <w:spacing w:line="360" w:lineRule="auto"/>
              <w:jc w:val="center"/>
              <w:rPr>
                <w:rFonts w:ascii="宋体" w:hAnsi="宋体" w:cs="Arial"/>
                <w:b/>
                <w:bCs/>
                <w:sz w:val="24"/>
              </w:rPr>
            </w:pPr>
            <w:r>
              <w:rPr>
                <w:rFonts w:hint="eastAsia" w:ascii="宋体" w:hAnsi="宋体" w:cs="Arial"/>
                <w:b/>
                <w:bCs/>
                <w:sz w:val="24"/>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27"/>
              <w:spacing w:line="360" w:lineRule="auto"/>
              <w:jc w:val="center"/>
              <w:rPr>
                <w:rFonts w:ascii="宋体" w:hAnsi="宋体" w:cs="Arial"/>
                <w:b/>
                <w:bCs/>
                <w:sz w:val="24"/>
              </w:rPr>
            </w:pPr>
            <w:r>
              <w:rPr>
                <w:rFonts w:hint="eastAsia" w:ascii="宋体" w:hAnsi="宋体" w:cs="Arial"/>
                <w:b/>
                <w:bCs/>
                <w:sz w:val="24"/>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27"/>
              <w:spacing w:line="360" w:lineRule="auto"/>
              <w:jc w:val="center"/>
              <w:rPr>
                <w:rFonts w:ascii="宋体" w:hAnsi="宋体" w:cs="Arial"/>
                <w:b/>
                <w:bCs/>
                <w:sz w:val="24"/>
              </w:rPr>
            </w:pPr>
            <w:r>
              <w:rPr>
                <w:rFonts w:hint="eastAsia" w:ascii="宋体" w:hAnsi="宋体" w:cs="Arial"/>
                <w:b/>
                <w:bCs/>
                <w:sz w:val="24"/>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27"/>
              <w:spacing w:line="360" w:lineRule="auto"/>
              <w:jc w:val="center"/>
              <w:rPr>
                <w:rFonts w:ascii="宋体" w:hAnsi="宋体" w:cs="Arial"/>
                <w:b/>
                <w:bCs/>
                <w:sz w:val="24"/>
              </w:rPr>
            </w:pPr>
            <w:r>
              <w:rPr>
                <w:rFonts w:hint="eastAsia" w:ascii="宋体" w:hAnsi="宋体" w:cs="Arial"/>
                <w:b/>
                <w:bCs/>
                <w:sz w:val="24"/>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27"/>
              <w:spacing w:line="360" w:lineRule="auto"/>
              <w:jc w:val="center"/>
              <w:rPr>
                <w:rFonts w:ascii="宋体" w:hAnsi="宋体" w:cs="Arial"/>
                <w:b/>
                <w:bCs/>
                <w:sz w:val="24"/>
              </w:rPr>
            </w:pPr>
            <w:r>
              <w:rPr>
                <w:rFonts w:hint="eastAsia" w:ascii="宋体" w:hAnsi="宋体" w:cs="Arial"/>
                <w:b/>
                <w:bCs/>
                <w:sz w:val="24"/>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27"/>
              <w:spacing w:line="360" w:lineRule="auto"/>
              <w:jc w:val="center"/>
              <w:rPr>
                <w:rFonts w:ascii="宋体" w:hAnsi="宋体" w:cs="Arial"/>
                <w:b/>
                <w:bCs/>
                <w:sz w:val="24"/>
              </w:rPr>
            </w:pPr>
            <w:r>
              <w:rPr>
                <w:rFonts w:hint="eastAsia" w:ascii="宋体" w:hAnsi="宋体" w:cs="Arial"/>
                <w:b/>
                <w:bCs/>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7"/>
              <w:spacing w:line="360" w:lineRule="auto"/>
              <w:jc w:val="center"/>
              <w:rPr>
                <w:rFonts w:ascii="宋体" w:hAnsi="宋体" w:cs="Arial"/>
                <w:sz w:val="24"/>
              </w:rPr>
            </w:pPr>
            <w:r>
              <w:rPr>
                <w:rFonts w:hint="eastAsia" w:ascii="宋体" w:hAnsi="宋体" w:cs="Arial"/>
                <w:sz w:val="24"/>
              </w:rPr>
              <w:t>1</w:t>
            </w:r>
          </w:p>
        </w:tc>
        <w:tc>
          <w:tcPr>
            <w:tcW w:w="129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7"/>
              <w:spacing w:line="360" w:lineRule="auto"/>
              <w:jc w:val="center"/>
              <w:rPr>
                <w:rFonts w:ascii="宋体" w:hAnsi="宋体" w:cs="Arial"/>
                <w:sz w:val="24"/>
              </w:rPr>
            </w:pPr>
            <w:r>
              <w:rPr>
                <w:rFonts w:hint="eastAsia" w:ascii="宋体" w:hAnsi="宋体" w:cs="Arial"/>
                <w:sz w:val="24"/>
              </w:rPr>
              <w:t>2</w:t>
            </w:r>
          </w:p>
        </w:tc>
        <w:tc>
          <w:tcPr>
            <w:tcW w:w="129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7"/>
              <w:spacing w:line="360" w:lineRule="auto"/>
              <w:jc w:val="center"/>
              <w:rPr>
                <w:rFonts w:ascii="宋体" w:hAnsi="宋体" w:cs="Arial"/>
                <w:sz w:val="24"/>
              </w:rPr>
            </w:pPr>
            <w:r>
              <w:rPr>
                <w:rFonts w:hint="eastAsia" w:ascii="宋体" w:hAnsi="宋体" w:cs="Arial"/>
                <w:sz w:val="24"/>
              </w:rPr>
              <w:t>3</w:t>
            </w:r>
          </w:p>
        </w:tc>
        <w:tc>
          <w:tcPr>
            <w:tcW w:w="129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r>
              <w:rPr>
                <w:rFonts w:hint="eastAsia" w:ascii="宋体" w:hAnsi="宋体" w:cs="Arial"/>
                <w:sz w:val="24"/>
              </w:rPr>
              <w:t>…</w:t>
            </w:r>
          </w:p>
        </w:tc>
        <w:tc>
          <w:tcPr>
            <w:tcW w:w="129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9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575"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260"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452"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1383"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c>
          <w:tcPr>
            <w:tcW w:w="2037" w:type="dxa"/>
            <w:tcBorders>
              <w:top w:val="single" w:color="auto" w:sz="6" w:space="0"/>
              <w:left w:val="single" w:color="auto" w:sz="6" w:space="0"/>
              <w:bottom w:val="single" w:color="auto" w:sz="6" w:space="0"/>
              <w:right w:val="single" w:color="auto" w:sz="6" w:space="0"/>
            </w:tcBorders>
          </w:tcPr>
          <w:p>
            <w:pPr>
              <w:pStyle w:val="27"/>
              <w:spacing w:line="360" w:lineRule="auto"/>
              <w:rPr>
                <w:rFonts w:ascii="宋体" w:hAnsi="宋体" w:cs="Arial"/>
                <w:sz w:val="24"/>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复印件可只提供首页、含金额页、盖章页并加盖投标人公章</w:t>
      </w:r>
      <w:r>
        <w:rPr>
          <w:rFonts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28"/>
        <w:tabs>
          <w:tab w:val="left" w:pos="1050"/>
        </w:tabs>
        <w:spacing w:line="360" w:lineRule="auto"/>
        <w:rPr>
          <w:rFonts w:ascii="仿宋_GB2312" w:hAnsi="宋体" w:eastAsia="仿宋_GB2312"/>
          <w:sz w:val="24"/>
        </w:rPr>
      </w:pPr>
      <w:r>
        <w:rPr>
          <w:rFonts w:hint="eastAsia" w:ascii="宋体" w:hAnsi="宋体"/>
          <w:b/>
          <w:sz w:val="28"/>
        </w:rPr>
        <w:t>附件12</w:t>
      </w:r>
    </w:p>
    <w:p>
      <w:pPr>
        <w:spacing w:line="360" w:lineRule="auto"/>
        <w:ind w:left="549" w:hanging="549" w:hangingChars="171"/>
        <w:jc w:val="center"/>
        <w:rPr>
          <w:rFonts w:ascii="宋体" w:hAnsi="宋体"/>
          <w:b/>
          <w:sz w:val="32"/>
          <w:szCs w:val="32"/>
        </w:rPr>
      </w:pPr>
      <w:r>
        <w:rPr>
          <w:rFonts w:hint="eastAsia" w:ascii="宋体" w:hAnsi="宋体"/>
          <w:b/>
          <w:sz w:val="32"/>
          <w:szCs w:val="32"/>
        </w:rPr>
        <w:t>资信及商务需求响应表(第 标)</w:t>
      </w:r>
    </w:p>
    <w:p>
      <w:pPr>
        <w:spacing w:line="360" w:lineRule="auto"/>
        <w:ind w:left="481" w:leftChars="229" w:firstLine="813" w:firstLineChars="450"/>
        <w:rPr>
          <w:rFonts w:ascii="宋体" w:hAnsi="宋体"/>
          <w:b/>
          <w:sz w:val="18"/>
          <w:szCs w:val="18"/>
        </w:rPr>
      </w:pPr>
    </w:p>
    <w:tbl>
      <w:tblPr>
        <w:tblStyle w:val="16"/>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6" w:hRule="atLeast"/>
        </w:trPr>
        <w:tc>
          <w:tcPr>
            <w:tcW w:w="735" w:type="dxa"/>
            <w:vAlign w:val="center"/>
          </w:tcPr>
          <w:p>
            <w:pPr>
              <w:rPr>
                <w:rFonts w:ascii="宋体" w:hAnsi="宋体"/>
                <w:b/>
                <w:sz w:val="24"/>
              </w:rPr>
            </w:pPr>
            <w:r>
              <w:rPr>
                <w:rFonts w:hint="eastAsia" w:ascii="宋体" w:hAnsi="宋体"/>
                <w:b/>
                <w:sz w:val="24"/>
              </w:rPr>
              <w:t>序号</w:t>
            </w:r>
          </w:p>
        </w:tc>
        <w:tc>
          <w:tcPr>
            <w:tcW w:w="1785" w:type="dxa"/>
            <w:vAlign w:val="center"/>
          </w:tcPr>
          <w:p>
            <w:pPr>
              <w:rPr>
                <w:rFonts w:ascii="宋体" w:hAnsi="宋体"/>
                <w:b/>
                <w:sz w:val="24"/>
              </w:rPr>
            </w:pPr>
            <w:r>
              <w:rPr>
                <w:rFonts w:hint="eastAsia" w:ascii="宋体" w:hAnsi="宋体"/>
                <w:b/>
                <w:sz w:val="24"/>
              </w:rPr>
              <w:t xml:space="preserve">   内容</w:t>
            </w:r>
          </w:p>
        </w:tc>
        <w:tc>
          <w:tcPr>
            <w:tcW w:w="1785" w:type="dxa"/>
            <w:vAlign w:val="center"/>
          </w:tcPr>
          <w:p>
            <w:pPr>
              <w:ind w:left="53" w:leftChars="25" w:firstLine="241" w:firstLineChars="100"/>
              <w:rPr>
                <w:rFonts w:ascii="宋体" w:hAnsi="宋体"/>
                <w:b/>
                <w:sz w:val="24"/>
              </w:rPr>
            </w:pPr>
            <w:r>
              <w:rPr>
                <w:rFonts w:hint="eastAsia" w:ascii="宋体" w:hAnsi="宋体"/>
                <w:b/>
                <w:sz w:val="24"/>
              </w:rPr>
              <w:t>招标需求</w:t>
            </w:r>
          </w:p>
        </w:tc>
        <w:tc>
          <w:tcPr>
            <w:tcW w:w="1365" w:type="dxa"/>
            <w:vAlign w:val="center"/>
          </w:tcPr>
          <w:p>
            <w:pPr>
              <w:ind w:left="152"/>
              <w:rPr>
                <w:rFonts w:ascii="宋体" w:hAnsi="宋体"/>
                <w:b/>
                <w:sz w:val="24"/>
              </w:rPr>
            </w:pPr>
            <w:r>
              <w:rPr>
                <w:rFonts w:hint="eastAsia" w:ascii="宋体" w:hAnsi="宋体"/>
                <w:b/>
                <w:sz w:val="24"/>
              </w:rPr>
              <w:t>是否响应</w:t>
            </w:r>
          </w:p>
        </w:tc>
        <w:tc>
          <w:tcPr>
            <w:tcW w:w="2625" w:type="dxa"/>
            <w:vAlign w:val="center"/>
          </w:tcPr>
          <w:p>
            <w:pPr>
              <w:jc w:val="center"/>
              <w:rPr>
                <w:rFonts w:ascii="宋体" w:hAnsi="宋体"/>
                <w:b/>
                <w:sz w:val="24"/>
              </w:rPr>
            </w:pPr>
            <w:r>
              <w:rPr>
                <w:rFonts w:hint="eastAsia" w:ascii="宋体" w:hAnsi="宋体"/>
                <w:b/>
                <w:sz w:val="24"/>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售后服务保障要求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备品备件及耗材等要求</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质保期</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交货和服务</w:t>
            </w:r>
          </w:p>
          <w:p>
            <w:pPr>
              <w:snapToGrid w:val="0"/>
              <w:rPr>
                <w:rFonts w:ascii="宋体" w:hAnsi="宋体"/>
                <w:sz w:val="24"/>
              </w:rPr>
            </w:pPr>
            <w:r>
              <w:rPr>
                <w:rFonts w:hint="eastAsia" w:ascii="宋体" w:hAnsi="宋体"/>
                <w:sz w:val="24"/>
              </w:rPr>
              <w:t>时间及地点</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付款条件</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735" w:type="dxa"/>
            <w:vAlign w:val="center"/>
          </w:tcPr>
          <w:p>
            <w:pPr>
              <w:rPr>
                <w:rFonts w:ascii="宋体" w:hAnsi="宋体"/>
                <w:sz w:val="24"/>
              </w:rPr>
            </w:pPr>
          </w:p>
        </w:tc>
        <w:tc>
          <w:tcPr>
            <w:tcW w:w="1785" w:type="dxa"/>
          </w:tcPr>
          <w:p>
            <w:pPr>
              <w:snapToGrid w:val="0"/>
              <w:rPr>
                <w:rFonts w:ascii="宋体" w:hAnsi="宋体"/>
                <w:sz w:val="24"/>
              </w:rPr>
            </w:pPr>
            <w:r>
              <w:rPr>
                <w:rFonts w:hint="eastAsia" w:ascii="宋体" w:hAnsi="宋体"/>
                <w:sz w:val="24"/>
              </w:rPr>
              <w:t>……</w:t>
            </w: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3"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trPr>
        <w:tc>
          <w:tcPr>
            <w:tcW w:w="735" w:type="dxa"/>
            <w:vAlign w:val="center"/>
          </w:tcPr>
          <w:p>
            <w:pPr>
              <w:rPr>
                <w:rFonts w:ascii="宋体" w:hAnsi="宋体"/>
                <w:sz w:val="24"/>
              </w:rPr>
            </w:pPr>
          </w:p>
        </w:tc>
        <w:tc>
          <w:tcPr>
            <w:tcW w:w="1785" w:type="dxa"/>
          </w:tcPr>
          <w:p>
            <w:pPr>
              <w:snapToGrid w:val="0"/>
              <w:rPr>
                <w:rFonts w:ascii="宋体" w:hAnsi="宋体"/>
                <w:sz w:val="24"/>
              </w:rPr>
            </w:pPr>
          </w:p>
        </w:tc>
        <w:tc>
          <w:tcPr>
            <w:tcW w:w="1785" w:type="dxa"/>
            <w:vAlign w:val="center"/>
          </w:tcPr>
          <w:p>
            <w:pPr>
              <w:rPr>
                <w:rFonts w:ascii="宋体" w:hAnsi="宋体"/>
                <w:sz w:val="24"/>
              </w:rPr>
            </w:pPr>
          </w:p>
        </w:tc>
        <w:tc>
          <w:tcPr>
            <w:tcW w:w="1365" w:type="dxa"/>
            <w:vAlign w:val="center"/>
          </w:tcPr>
          <w:p>
            <w:pPr>
              <w:rPr>
                <w:rFonts w:ascii="宋体" w:hAnsi="宋体"/>
                <w:sz w:val="24"/>
              </w:rPr>
            </w:pPr>
          </w:p>
        </w:tc>
        <w:tc>
          <w:tcPr>
            <w:tcW w:w="2625" w:type="dxa"/>
            <w:vAlign w:val="center"/>
          </w:tcPr>
          <w:p>
            <w:pPr>
              <w:rPr>
                <w:rFonts w:ascii="宋体" w:hAnsi="宋体"/>
                <w:sz w:val="24"/>
              </w:rPr>
            </w:pPr>
          </w:p>
        </w:tc>
      </w:tr>
    </w:tbl>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hint="eastAsia" w:ascii="宋体" w:hAnsi="宋体"/>
          <w:b/>
          <w:sz w:val="28"/>
        </w:rPr>
      </w:pPr>
    </w:p>
    <w:p>
      <w:pPr>
        <w:tabs>
          <w:tab w:val="left" w:pos="2460"/>
        </w:tabs>
        <w:spacing w:line="360" w:lineRule="auto"/>
        <w:ind w:firstLine="435"/>
        <w:rPr>
          <w:rFonts w:hint="eastAsia" w:ascii="宋体" w:hAnsi="宋体"/>
          <w:b/>
          <w:sz w:val="28"/>
        </w:rPr>
      </w:pPr>
    </w:p>
    <w:p>
      <w:pPr>
        <w:tabs>
          <w:tab w:val="left" w:pos="2460"/>
        </w:tabs>
        <w:spacing w:line="360" w:lineRule="auto"/>
        <w:ind w:firstLine="435"/>
        <w:rPr>
          <w:rFonts w:hint="eastAsia" w:ascii="宋体" w:hAnsi="宋体"/>
          <w:b/>
          <w:sz w:val="28"/>
        </w:rPr>
      </w:pPr>
    </w:p>
    <w:p>
      <w:pPr>
        <w:tabs>
          <w:tab w:val="left" w:pos="2460"/>
        </w:tabs>
        <w:spacing w:line="360" w:lineRule="auto"/>
        <w:ind w:firstLine="435"/>
        <w:rPr>
          <w:rFonts w:hint="eastAsia" w:ascii="宋体" w:hAnsi="宋体"/>
          <w:b/>
          <w:sz w:val="28"/>
        </w:rPr>
      </w:pPr>
    </w:p>
    <w:p>
      <w:pPr>
        <w:tabs>
          <w:tab w:val="left" w:pos="2460"/>
        </w:tabs>
        <w:spacing w:line="360" w:lineRule="auto"/>
        <w:ind w:firstLine="435"/>
        <w:rPr>
          <w:rFonts w:ascii="宋体" w:hAnsi="宋体"/>
          <w:b/>
          <w:sz w:val="28"/>
        </w:rPr>
      </w:pPr>
      <w:r>
        <w:rPr>
          <w:rFonts w:hint="eastAsia" w:ascii="宋体" w:hAnsi="宋体"/>
          <w:b/>
          <w:sz w:val="28"/>
        </w:rPr>
        <w:t>附件13</w:t>
      </w:r>
      <w:r>
        <w:rPr>
          <w:rFonts w:ascii="宋体" w:hAnsi="宋体"/>
          <w:b/>
          <w:sz w:val="28"/>
        </w:rPr>
        <w:tab/>
      </w:r>
    </w:p>
    <w:p>
      <w:pPr>
        <w:spacing w:line="360" w:lineRule="auto"/>
        <w:ind w:firstLine="435"/>
        <w:jc w:val="center"/>
        <w:rPr>
          <w:rFonts w:ascii="宋体" w:hAnsi="宋体"/>
          <w:b/>
          <w:sz w:val="32"/>
          <w:szCs w:val="32"/>
        </w:rPr>
      </w:pPr>
      <w:r>
        <w:rPr>
          <w:rFonts w:hint="eastAsia" w:ascii="宋体" w:hAnsi="宋体"/>
          <w:b/>
          <w:sz w:val="32"/>
          <w:szCs w:val="32"/>
        </w:rPr>
        <w:t>售后服务情况表</w:t>
      </w:r>
    </w:p>
    <w:p>
      <w:pPr>
        <w:spacing w:line="360" w:lineRule="auto"/>
        <w:ind w:firstLine="435"/>
        <w:jc w:val="center"/>
        <w:rPr>
          <w:rFonts w:ascii="宋体" w:hAnsi="宋体"/>
          <w:b/>
          <w:sz w:val="36"/>
          <w:szCs w:val="36"/>
        </w:rPr>
      </w:pPr>
    </w:p>
    <w:tbl>
      <w:tblPr>
        <w:tblStyle w:val="16"/>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18" w:hRule="atLeast"/>
          <w:jc w:val="center"/>
        </w:trPr>
        <w:tc>
          <w:tcPr>
            <w:tcW w:w="739" w:type="dxa"/>
            <w:vAlign w:val="center"/>
          </w:tcPr>
          <w:p>
            <w:pPr>
              <w:pStyle w:val="29"/>
              <w:spacing w:line="360" w:lineRule="auto"/>
              <w:jc w:val="center"/>
              <w:rPr>
                <w:rFonts w:ascii="宋体" w:hAnsi="宋体" w:cs="Arial"/>
                <w:b/>
                <w:sz w:val="24"/>
              </w:rPr>
            </w:pPr>
            <w:r>
              <w:rPr>
                <w:rFonts w:hint="eastAsia" w:ascii="宋体" w:hAnsi="宋体" w:cs="Arial"/>
                <w:b/>
                <w:sz w:val="24"/>
              </w:rPr>
              <w:t>序号</w:t>
            </w:r>
          </w:p>
        </w:tc>
        <w:tc>
          <w:tcPr>
            <w:tcW w:w="2355" w:type="dxa"/>
            <w:vAlign w:val="center"/>
          </w:tcPr>
          <w:p>
            <w:pPr>
              <w:pStyle w:val="29"/>
              <w:spacing w:line="360" w:lineRule="auto"/>
              <w:jc w:val="center"/>
              <w:rPr>
                <w:rFonts w:ascii="宋体" w:hAnsi="宋体" w:cs="Arial"/>
                <w:b/>
                <w:sz w:val="24"/>
              </w:rPr>
            </w:pPr>
            <w:r>
              <w:rPr>
                <w:rFonts w:hint="eastAsia" w:ascii="宋体" w:hAnsi="宋体" w:cs="Arial"/>
                <w:b/>
                <w:sz w:val="24"/>
              </w:rPr>
              <w:t>项目</w:t>
            </w:r>
          </w:p>
        </w:tc>
        <w:tc>
          <w:tcPr>
            <w:tcW w:w="4061" w:type="dxa"/>
            <w:vAlign w:val="center"/>
          </w:tcPr>
          <w:p>
            <w:pPr>
              <w:pStyle w:val="29"/>
              <w:spacing w:line="360" w:lineRule="auto"/>
              <w:jc w:val="center"/>
              <w:rPr>
                <w:rFonts w:ascii="宋体" w:hAnsi="宋体" w:cs="Arial"/>
                <w:b/>
                <w:sz w:val="24"/>
              </w:rPr>
            </w:pPr>
            <w:r>
              <w:rPr>
                <w:rFonts w:hint="eastAsia" w:ascii="宋体" w:hAnsi="宋体" w:cs="Arial"/>
                <w:b/>
                <w:sz w:val="24"/>
              </w:rPr>
              <w:t>投标人情况</w:t>
            </w:r>
          </w:p>
        </w:tc>
        <w:tc>
          <w:tcPr>
            <w:tcW w:w="1373" w:type="dxa"/>
            <w:vAlign w:val="center"/>
          </w:tcPr>
          <w:p>
            <w:pPr>
              <w:pStyle w:val="29"/>
              <w:spacing w:line="360" w:lineRule="auto"/>
              <w:jc w:val="center"/>
              <w:rPr>
                <w:rFonts w:ascii="宋体" w:hAnsi="宋体" w:cs="Arial"/>
                <w:b/>
                <w:sz w:val="24"/>
              </w:rPr>
            </w:pPr>
            <w:r>
              <w:rPr>
                <w:rFonts w:hint="eastAsia" w:ascii="宋体" w:hAnsi="宋体" w:cs="Arial"/>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258" w:hRule="atLeast"/>
          <w:jc w:val="center"/>
        </w:trPr>
        <w:tc>
          <w:tcPr>
            <w:tcW w:w="739" w:type="dxa"/>
            <w:vMerge w:val="restart"/>
            <w:vAlign w:val="center"/>
          </w:tcPr>
          <w:p>
            <w:pPr>
              <w:pStyle w:val="29"/>
              <w:spacing w:line="360" w:lineRule="auto"/>
              <w:jc w:val="center"/>
              <w:rPr>
                <w:rFonts w:ascii="宋体" w:hAnsi="宋体" w:cs="Arial"/>
                <w:bCs/>
                <w:sz w:val="24"/>
              </w:rPr>
            </w:pPr>
            <w:r>
              <w:rPr>
                <w:rFonts w:hint="eastAsia" w:ascii="宋体" w:hAnsi="宋体" w:cs="Arial"/>
                <w:bCs/>
                <w:sz w:val="24"/>
              </w:rPr>
              <w:t>1</w:t>
            </w:r>
          </w:p>
        </w:tc>
        <w:tc>
          <w:tcPr>
            <w:tcW w:w="2355" w:type="dxa"/>
            <w:vMerge w:val="restart"/>
            <w:vAlign w:val="center"/>
          </w:tcPr>
          <w:p>
            <w:pPr>
              <w:pStyle w:val="29"/>
              <w:widowControl/>
              <w:spacing w:line="360" w:lineRule="auto"/>
              <w:jc w:val="left"/>
              <w:rPr>
                <w:rFonts w:ascii="宋体" w:hAnsi="宋体" w:cs="Arial"/>
                <w:bCs/>
                <w:sz w:val="24"/>
              </w:rPr>
            </w:pPr>
            <w:r>
              <w:rPr>
                <w:rFonts w:hint="eastAsia" w:ascii="宋体" w:hAnsi="宋体" w:cs="Arial"/>
                <w:bCs/>
                <w:sz w:val="24"/>
              </w:rPr>
              <w:t>保修期内售后服务情况(</w:t>
            </w:r>
            <w:r>
              <w:rPr>
                <w:rFonts w:ascii="宋体" w:hAnsi="宋体" w:cs="Arial"/>
                <w:bCs/>
                <w:sz w:val="24"/>
              </w:rPr>
              <w:t>服务</w:t>
            </w:r>
            <w:r>
              <w:rPr>
                <w:rFonts w:hint="eastAsia" w:ascii="宋体" w:hAnsi="宋体" w:cs="Arial"/>
                <w:bCs/>
                <w:sz w:val="24"/>
              </w:rPr>
              <w:t>方式、服务网点</w:t>
            </w:r>
            <w:r>
              <w:rPr>
                <w:rFonts w:ascii="宋体" w:hAnsi="宋体" w:cs="Arial"/>
                <w:bCs/>
                <w:sz w:val="24"/>
              </w:rPr>
              <w:t>、售后服务的内容和措施</w:t>
            </w:r>
            <w:r>
              <w:rPr>
                <w:rFonts w:hint="eastAsia" w:ascii="宋体" w:hAnsi="宋体" w:cs="Arial"/>
                <w:bCs/>
                <w:sz w:val="24"/>
              </w:rPr>
              <w:t>等等，可用附页和宣传材料)</w:t>
            </w:r>
          </w:p>
        </w:tc>
        <w:tc>
          <w:tcPr>
            <w:tcW w:w="4061" w:type="dxa"/>
          </w:tcPr>
          <w:p>
            <w:pPr>
              <w:pStyle w:val="29"/>
              <w:spacing w:line="360" w:lineRule="auto"/>
              <w:rPr>
                <w:rFonts w:ascii="宋体" w:hAnsi="宋体" w:cs="Arial"/>
                <w:bCs/>
                <w:sz w:val="24"/>
              </w:rPr>
            </w:pPr>
            <w:r>
              <w:rPr>
                <w:rFonts w:hint="eastAsia" w:ascii="宋体" w:hAnsi="宋体" w:cs="Arial"/>
                <w:bCs/>
                <w:sz w:val="24"/>
              </w:rPr>
              <w:t>生产厂商售后服务情况：</w:t>
            </w:r>
          </w:p>
        </w:tc>
        <w:tc>
          <w:tcPr>
            <w:tcW w:w="1373" w:type="dxa"/>
          </w:tcPr>
          <w:p>
            <w:pPr>
              <w:pStyle w:val="2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090" w:hRule="atLeast"/>
          <w:jc w:val="center"/>
        </w:trPr>
        <w:tc>
          <w:tcPr>
            <w:tcW w:w="739" w:type="dxa"/>
            <w:vMerge w:val="continue"/>
            <w:vAlign w:val="center"/>
          </w:tcPr>
          <w:p>
            <w:pPr>
              <w:pStyle w:val="29"/>
              <w:widowControl/>
              <w:spacing w:line="360" w:lineRule="auto"/>
              <w:jc w:val="left"/>
              <w:rPr>
                <w:rFonts w:ascii="宋体" w:hAnsi="宋体" w:cs="Arial"/>
                <w:bCs/>
                <w:sz w:val="24"/>
              </w:rPr>
            </w:pPr>
          </w:p>
        </w:tc>
        <w:tc>
          <w:tcPr>
            <w:tcW w:w="2355" w:type="dxa"/>
            <w:vMerge w:val="continue"/>
            <w:vAlign w:val="center"/>
          </w:tcPr>
          <w:p>
            <w:pPr>
              <w:pStyle w:val="29"/>
              <w:widowControl/>
              <w:spacing w:line="360" w:lineRule="auto"/>
              <w:jc w:val="left"/>
              <w:rPr>
                <w:rFonts w:ascii="宋体" w:hAnsi="宋体" w:cs="Arial"/>
                <w:bCs/>
                <w:sz w:val="24"/>
              </w:rPr>
            </w:pPr>
          </w:p>
        </w:tc>
        <w:tc>
          <w:tcPr>
            <w:tcW w:w="4061" w:type="dxa"/>
          </w:tcPr>
          <w:p>
            <w:pPr>
              <w:pStyle w:val="29"/>
              <w:spacing w:line="360" w:lineRule="auto"/>
              <w:rPr>
                <w:rFonts w:ascii="宋体" w:hAnsi="宋体" w:cs="Arial"/>
                <w:bCs/>
                <w:sz w:val="24"/>
              </w:rPr>
            </w:pPr>
            <w:r>
              <w:rPr>
                <w:rFonts w:hint="eastAsia" w:ascii="宋体" w:hAnsi="宋体" w:cs="Arial"/>
                <w:bCs/>
                <w:sz w:val="24"/>
              </w:rPr>
              <w:t>投标人售后服务情况：</w:t>
            </w:r>
          </w:p>
        </w:tc>
        <w:tc>
          <w:tcPr>
            <w:tcW w:w="1373" w:type="dxa"/>
          </w:tcPr>
          <w:p>
            <w:pPr>
              <w:pStyle w:val="29"/>
              <w:spacing w:line="360" w:lineRule="auto"/>
              <w:jc w:val="left"/>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jc w:val="center"/>
        </w:trPr>
        <w:tc>
          <w:tcPr>
            <w:tcW w:w="739" w:type="dxa"/>
            <w:vAlign w:val="center"/>
          </w:tcPr>
          <w:p>
            <w:pPr>
              <w:pStyle w:val="29"/>
              <w:spacing w:line="360" w:lineRule="auto"/>
              <w:jc w:val="center"/>
              <w:rPr>
                <w:rFonts w:ascii="宋体" w:hAnsi="宋体" w:cs="Arial"/>
                <w:bCs/>
                <w:sz w:val="24"/>
              </w:rPr>
            </w:pPr>
            <w:r>
              <w:rPr>
                <w:rFonts w:hint="eastAsia" w:ascii="宋体" w:hAnsi="宋体" w:cs="Arial"/>
                <w:bCs/>
                <w:sz w:val="24"/>
              </w:rPr>
              <w:t>2</w:t>
            </w:r>
          </w:p>
        </w:tc>
        <w:tc>
          <w:tcPr>
            <w:tcW w:w="2355" w:type="dxa"/>
            <w:vAlign w:val="center"/>
          </w:tcPr>
          <w:p>
            <w:pPr>
              <w:pStyle w:val="29"/>
              <w:spacing w:line="360" w:lineRule="auto"/>
              <w:rPr>
                <w:rFonts w:ascii="宋体" w:hAnsi="宋体" w:cs="Arial"/>
                <w:bCs/>
                <w:sz w:val="24"/>
              </w:rPr>
            </w:pPr>
            <w:r>
              <w:rPr>
                <w:rFonts w:hint="eastAsia" w:ascii="宋体" w:hAnsi="宋体" w:cs="Arial"/>
                <w:bCs/>
                <w:sz w:val="24"/>
              </w:rPr>
              <w:t>保修期后售后服务</w:t>
            </w:r>
          </w:p>
        </w:tc>
        <w:tc>
          <w:tcPr>
            <w:tcW w:w="4061" w:type="dxa"/>
          </w:tcPr>
          <w:p>
            <w:pPr>
              <w:pStyle w:val="29"/>
              <w:widowControl/>
              <w:spacing w:line="360" w:lineRule="auto"/>
              <w:jc w:val="left"/>
              <w:rPr>
                <w:rFonts w:ascii="宋体" w:hAnsi="宋体" w:cs="Arial"/>
                <w:bCs/>
                <w:sz w:val="24"/>
              </w:rPr>
            </w:pPr>
          </w:p>
          <w:p>
            <w:pPr>
              <w:pStyle w:val="29"/>
              <w:widowControl/>
              <w:spacing w:line="360" w:lineRule="auto"/>
              <w:jc w:val="left"/>
              <w:rPr>
                <w:rFonts w:ascii="宋体" w:hAnsi="宋体" w:cs="Arial"/>
                <w:bCs/>
                <w:sz w:val="24"/>
              </w:rPr>
            </w:pPr>
          </w:p>
          <w:p>
            <w:pPr>
              <w:pStyle w:val="29"/>
              <w:spacing w:line="360" w:lineRule="auto"/>
              <w:rPr>
                <w:rFonts w:ascii="宋体" w:hAnsi="宋体" w:cs="Arial"/>
                <w:bCs/>
                <w:sz w:val="24"/>
              </w:rPr>
            </w:pPr>
          </w:p>
        </w:tc>
        <w:tc>
          <w:tcPr>
            <w:tcW w:w="1373" w:type="dxa"/>
          </w:tcPr>
          <w:p>
            <w:pPr>
              <w:pStyle w:val="29"/>
              <w:widowControl/>
              <w:spacing w:line="360" w:lineRule="auto"/>
              <w:jc w:val="left"/>
              <w:rPr>
                <w:rFonts w:ascii="宋体" w:hAnsi="宋体" w:cs="Arial"/>
                <w:bCs/>
                <w:sz w:val="24"/>
              </w:rPr>
            </w:pPr>
          </w:p>
          <w:p>
            <w:pPr>
              <w:pStyle w:val="29"/>
              <w:widowControl/>
              <w:spacing w:line="360" w:lineRule="auto"/>
              <w:jc w:val="left"/>
              <w:rPr>
                <w:rFonts w:ascii="宋体" w:hAnsi="宋体" w:cs="Arial"/>
                <w:bCs/>
                <w:sz w:val="24"/>
              </w:rPr>
            </w:pPr>
          </w:p>
          <w:p>
            <w:pPr>
              <w:pStyle w:val="29"/>
              <w:spacing w:line="360" w:lineRule="auto"/>
              <w:rPr>
                <w:rFonts w:ascii="宋体" w:hAnsi="宋体" w:cs="Arial"/>
                <w:bCs/>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1620" w:hRule="exact"/>
          <w:jc w:val="center"/>
        </w:trPr>
        <w:tc>
          <w:tcPr>
            <w:tcW w:w="739" w:type="dxa"/>
            <w:vAlign w:val="center"/>
          </w:tcPr>
          <w:p>
            <w:pPr>
              <w:pStyle w:val="29"/>
              <w:widowControl/>
              <w:spacing w:line="360" w:lineRule="auto"/>
              <w:jc w:val="left"/>
              <w:rPr>
                <w:rFonts w:ascii="宋体" w:hAnsi="宋体" w:cs="Arial"/>
                <w:bCs/>
                <w:sz w:val="24"/>
              </w:rPr>
            </w:pPr>
            <w:r>
              <w:rPr>
                <w:rFonts w:hint="eastAsia" w:ascii="宋体" w:hAnsi="宋体" w:cs="Arial"/>
                <w:bCs/>
                <w:sz w:val="24"/>
              </w:rPr>
              <w:t xml:space="preserve"> 3</w:t>
            </w:r>
          </w:p>
        </w:tc>
        <w:tc>
          <w:tcPr>
            <w:tcW w:w="2355" w:type="dxa"/>
            <w:vAlign w:val="center"/>
          </w:tcPr>
          <w:p>
            <w:pPr>
              <w:pStyle w:val="29"/>
              <w:widowControl/>
              <w:spacing w:line="360" w:lineRule="auto"/>
              <w:jc w:val="left"/>
              <w:rPr>
                <w:rFonts w:ascii="宋体" w:hAnsi="宋体" w:cs="Arial"/>
                <w:bCs/>
                <w:sz w:val="24"/>
              </w:rPr>
            </w:pPr>
            <w:r>
              <w:rPr>
                <w:rFonts w:hint="eastAsia" w:ascii="宋体" w:hAnsi="宋体" w:cs="Arial"/>
                <w:bCs/>
                <w:sz w:val="24"/>
              </w:rPr>
              <w:t>培训方案（可用附页）</w:t>
            </w:r>
          </w:p>
        </w:tc>
        <w:tc>
          <w:tcPr>
            <w:tcW w:w="4061" w:type="dxa"/>
          </w:tcPr>
          <w:p>
            <w:pPr>
              <w:pStyle w:val="29"/>
              <w:widowControl/>
              <w:spacing w:line="360" w:lineRule="auto"/>
              <w:jc w:val="left"/>
              <w:rPr>
                <w:rFonts w:ascii="宋体" w:hAnsi="宋体" w:cs="Arial"/>
                <w:bCs/>
                <w:i/>
                <w:sz w:val="24"/>
              </w:rPr>
            </w:pPr>
          </w:p>
          <w:p>
            <w:pPr>
              <w:pStyle w:val="29"/>
              <w:widowControl/>
              <w:spacing w:line="360" w:lineRule="auto"/>
              <w:jc w:val="left"/>
              <w:rPr>
                <w:rFonts w:ascii="宋体" w:hAnsi="宋体" w:cs="Arial"/>
                <w:bCs/>
                <w:i/>
                <w:sz w:val="24"/>
              </w:rPr>
            </w:pPr>
          </w:p>
        </w:tc>
        <w:tc>
          <w:tcPr>
            <w:tcW w:w="1373" w:type="dxa"/>
          </w:tcPr>
          <w:p>
            <w:pPr>
              <w:pStyle w:val="29"/>
              <w:widowControl/>
              <w:spacing w:line="360" w:lineRule="auto"/>
              <w:jc w:val="left"/>
              <w:rPr>
                <w:rFonts w:ascii="宋体" w:hAnsi="宋体" w:cs="Arial"/>
                <w:bCs/>
                <w:i/>
                <w:sz w:val="24"/>
              </w:rPr>
            </w:pPr>
          </w:p>
          <w:p>
            <w:pPr>
              <w:pStyle w:val="29"/>
              <w:widowControl/>
              <w:spacing w:line="360" w:lineRule="auto"/>
              <w:jc w:val="left"/>
              <w:rPr>
                <w:rFonts w:ascii="宋体" w:hAnsi="宋体" w:cs="Arial"/>
                <w:bCs/>
                <w:i/>
                <w:sz w:val="24"/>
              </w:rPr>
            </w:pPr>
          </w:p>
          <w:p>
            <w:pPr>
              <w:pStyle w:val="29"/>
              <w:widowControl/>
              <w:spacing w:line="360" w:lineRule="auto"/>
              <w:jc w:val="left"/>
              <w:rPr>
                <w:rFonts w:ascii="宋体" w:hAnsi="宋体" w:cs="Arial"/>
                <w:bCs/>
                <w:i/>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exact"/>
          <w:jc w:val="center"/>
        </w:trPr>
        <w:tc>
          <w:tcPr>
            <w:tcW w:w="739" w:type="dxa"/>
            <w:vAlign w:val="center"/>
          </w:tcPr>
          <w:p>
            <w:pPr>
              <w:pStyle w:val="29"/>
              <w:widowControl/>
              <w:spacing w:line="360" w:lineRule="auto"/>
              <w:jc w:val="left"/>
              <w:rPr>
                <w:rFonts w:ascii="宋体" w:hAnsi="宋体" w:cs="Arial"/>
                <w:bCs/>
                <w:sz w:val="24"/>
              </w:rPr>
            </w:pPr>
            <w:r>
              <w:rPr>
                <w:rFonts w:ascii="宋体" w:hAnsi="宋体" w:cs="Arial"/>
                <w:bCs/>
                <w:sz w:val="24"/>
              </w:rPr>
              <w:t>……</w:t>
            </w:r>
          </w:p>
        </w:tc>
        <w:tc>
          <w:tcPr>
            <w:tcW w:w="2355" w:type="dxa"/>
            <w:vAlign w:val="center"/>
          </w:tcPr>
          <w:p>
            <w:pPr>
              <w:pStyle w:val="29"/>
              <w:widowControl/>
              <w:spacing w:line="360" w:lineRule="auto"/>
              <w:jc w:val="left"/>
              <w:rPr>
                <w:rFonts w:ascii="宋体" w:hAnsi="宋体" w:cs="Arial"/>
                <w:bCs/>
                <w:sz w:val="24"/>
              </w:rPr>
            </w:pPr>
            <w:r>
              <w:rPr>
                <w:rFonts w:ascii="宋体" w:hAnsi="宋体" w:cs="Arial"/>
                <w:bCs/>
                <w:sz w:val="24"/>
              </w:rPr>
              <w:t>……</w:t>
            </w:r>
          </w:p>
        </w:tc>
        <w:tc>
          <w:tcPr>
            <w:tcW w:w="4061" w:type="dxa"/>
          </w:tcPr>
          <w:p>
            <w:pPr>
              <w:pStyle w:val="29"/>
              <w:widowControl/>
              <w:spacing w:line="360" w:lineRule="auto"/>
              <w:jc w:val="left"/>
              <w:rPr>
                <w:rFonts w:ascii="宋体" w:hAnsi="宋体" w:cs="Arial"/>
                <w:bCs/>
                <w:sz w:val="24"/>
              </w:rPr>
            </w:pPr>
          </w:p>
        </w:tc>
        <w:tc>
          <w:tcPr>
            <w:tcW w:w="1373" w:type="dxa"/>
          </w:tcPr>
          <w:p>
            <w:pPr>
              <w:pStyle w:val="29"/>
              <w:widowControl/>
              <w:spacing w:line="360" w:lineRule="auto"/>
              <w:jc w:val="left"/>
              <w:rPr>
                <w:rFonts w:ascii="宋体" w:hAnsi="宋体" w:cs="Arial"/>
                <w:bCs/>
                <w:sz w:val="24"/>
              </w:rPr>
            </w:pPr>
          </w:p>
        </w:tc>
      </w:tr>
    </w:tbl>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w:t>
      </w:r>
      <w:r>
        <w:rPr>
          <w:rFonts w:hint="eastAsia" w:ascii="宋体" w:hAnsi="宋体"/>
          <w:sz w:val="24"/>
          <w:lang w:eastAsia="zh-CN"/>
        </w:rPr>
        <w:t>签字</w:t>
      </w:r>
      <w:r>
        <w:rPr>
          <w:rFonts w:hint="eastAsia" w:ascii="宋体" w:hAnsi="宋体"/>
          <w:sz w:val="24"/>
        </w:rPr>
        <w:t>或盖章：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spacing w:line="360" w:lineRule="auto"/>
        <w:ind w:firstLine="435"/>
        <w:rPr>
          <w:rFonts w:ascii="宋体" w:hAnsi="宋体"/>
          <w:sz w:val="24"/>
          <w:u w:val="single"/>
        </w:rPr>
      </w:pPr>
    </w:p>
    <w:p>
      <w:pPr>
        <w:spacing w:line="360" w:lineRule="auto"/>
        <w:ind w:right="-110"/>
        <w:jc w:val="left"/>
        <w:rPr>
          <w:rFonts w:hint="eastAsia" w:ascii="宋体" w:hAnsi="宋体" w:eastAsia="宋体"/>
          <w:spacing w:val="40"/>
          <w:sz w:val="52"/>
          <w:szCs w:val="52"/>
          <w:lang w:eastAsia="zh-CN"/>
        </w:rPr>
      </w:pPr>
      <w:r>
        <w:rPr>
          <w:rFonts w:hint="eastAsia" w:ascii="宋体" w:hAnsi="宋体"/>
          <w:b/>
          <w:sz w:val="28"/>
        </w:rPr>
        <w:t>附件1</w:t>
      </w:r>
      <w:r>
        <w:rPr>
          <w:rFonts w:hint="eastAsia" w:ascii="宋体" w:hAnsi="宋体"/>
          <w:b/>
          <w:sz w:val="28"/>
          <w:lang w:val="en-US" w:eastAsia="zh-CN"/>
        </w:rPr>
        <w:t>4</w:t>
      </w:r>
    </w:p>
    <w:p>
      <w:pPr>
        <w:spacing w:line="360" w:lineRule="auto"/>
        <w:ind w:right="-110"/>
        <w:jc w:val="center"/>
        <w:rPr>
          <w:rFonts w:ascii="宋体" w:hAnsi="宋体"/>
          <w:spacing w:val="40"/>
          <w:sz w:val="52"/>
          <w:szCs w:val="52"/>
        </w:rPr>
      </w:pPr>
      <w:r>
        <w:rPr>
          <w:rFonts w:hint="eastAsia" w:ascii="宋体" w:hAnsi="宋体"/>
          <w:spacing w:val="40"/>
          <w:sz w:val="52"/>
          <w:szCs w:val="52"/>
        </w:rPr>
        <w:t>项目名称</w:t>
      </w:r>
    </w:p>
    <w:p>
      <w:pPr>
        <w:spacing w:beforeLines="100" w:line="360" w:lineRule="auto"/>
        <w:ind w:right="-108"/>
        <w:jc w:val="center"/>
        <w:rPr>
          <w:rFonts w:ascii="宋体" w:hAnsi="宋体"/>
          <w:sz w:val="36"/>
          <w:szCs w:val="36"/>
        </w:rPr>
      </w:pPr>
      <w:r>
        <w:rPr>
          <w:rFonts w:hint="eastAsia" w:ascii="宋体" w:hAnsi="宋体"/>
          <w:sz w:val="36"/>
          <w:szCs w:val="36"/>
        </w:rPr>
        <w:t>项目编号：（标段）</w:t>
      </w:r>
    </w:p>
    <w:p>
      <w:pPr>
        <w:spacing w:after="100" w:afterAutospacing="1" w:line="360" w:lineRule="auto"/>
        <w:ind w:right="-108"/>
        <w:jc w:val="center"/>
        <w:rPr>
          <w:rFonts w:ascii="宋体" w:hAnsi="宋体"/>
          <w:b/>
          <w:spacing w:val="40"/>
          <w:sz w:val="84"/>
          <w:szCs w:val="84"/>
        </w:rPr>
      </w:pP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报</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价</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文</w:t>
      </w:r>
    </w:p>
    <w:p>
      <w:pPr>
        <w:spacing w:after="100" w:afterAutospacing="1" w:line="360" w:lineRule="auto"/>
        <w:ind w:right="-108"/>
        <w:jc w:val="center"/>
        <w:rPr>
          <w:rFonts w:ascii="宋体" w:hAnsi="宋体"/>
          <w:b/>
          <w:spacing w:val="40"/>
          <w:sz w:val="84"/>
          <w:szCs w:val="84"/>
        </w:rPr>
      </w:pPr>
      <w:r>
        <w:rPr>
          <w:rFonts w:hint="eastAsia" w:ascii="宋体" w:hAnsi="宋体"/>
          <w:b/>
          <w:spacing w:val="40"/>
          <w:sz w:val="84"/>
          <w:szCs w:val="84"/>
        </w:rPr>
        <w:t>件</w:t>
      </w:r>
    </w:p>
    <w:p>
      <w:pPr>
        <w:spacing w:line="360" w:lineRule="auto"/>
        <w:ind w:right="532"/>
        <w:jc w:val="center"/>
        <w:rPr>
          <w:rFonts w:ascii="宋体" w:hAnsi="宋体"/>
          <w:sz w:val="36"/>
          <w:szCs w:val="36"/>
        </w:rPr>
      </w:pPr>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r>
        <w:rPr>
          <w:rFonts w:hint="eastAsia" w:ascii="宋体" w:hAnsi="宋体"/>
          <w:sz w:val="36"/>
          <w:szCs w:val="36"/>
        </w:rPr>
        <w:t>供应商全称（公章）：</w:t>
      </w:r>
    </w:p>
    <w:p>
      <w:pPr>
        <w:spacing w:line="360" w:lineRule="auto"/>
        <w:ind w:right="-108" w:firstLine="720" w:firstLineChars="200"/>
        <w:rPr>
          <w:rFonts w:ascii="宋体" w:hAnsi="宋体"/>
          <w:sz w:val="36"/>
          <w:szCs w:val="36"/>
        </w:rPr>
      </w:pPr>
      <w:r>
        <w:rPr>
          <w:rFonts w:hint="eastAsia" w:ascii="宋体" w:hAnsi="宋体"/>
          <w:sz w:val="36"/>
          <w:szCs w:val="36"/>
        </w:rPr>
        <w:t>地    址：</w:t>
      </w:r>
    </w:p>
    <w:p>
      <w:pPr>
        <w:spacing w:line="360" w:lineRule="auto"/>
        <w:ind w:right="-108" w:firstLine="720" w:firstLineChars="200"/>
        <w:rPr>
          <w:rFonts w:ascii="宋体" w:hAnsi="宋体"/>
          <w:sz w:val="36"/>
          <w:szCs w:val="36"/>
        </w:rPr>
      </w:pPr>
      <w:r>
        <w:rPr>
          <w:rFonts w:hint="eastAsia" w:ascii="宋体" w:hAnsi="宋体"/>
          <w:sz w:val="36"/>
          <w:szCs w:val="36"/>
        </w:rPr>
        <w:t>时    间：</w:t>
      </w:r>
    </w:p>
    <w:p>
      <w:pPr>
        <w:spacing w:line="360" w:lineRule="auto"/>
        <w:ind w:right="-108"/>
        <w:jc w:val="center"/>
        <w:rPr>
          <w:rFonts w:ascii="仿宋_GB2312" w:hAnsi="宋体" w:eastAsia="仿宋_GB2312"/>
          <w:b/>
          <w:sz w:val="36"/>
          <w:szCs w:val="36"/>
        </w:rPr>
      </w:pPr>
    </w:p>
    <w:p>
      <w:pPr>
        <w:spacing w:line="360" w:lineRule="auto"/>
        <w:ind w:right="-108"/>
        <w:jc w:val="center"/>
        <w:rPr>
          <w:rFonts w:ascii="仿宋_GB2312" w:hAnsi="宋体" w:eastAsia="仿宋_GB2312"/>
          <w:b/>
          <w:sz w:val="36"/>
          <w:szCs w:val="36"/>
        </w:rPr>
      </w:pPr>
    </w:p>
    <w:p>
      <w:pPr>
        <w:spacing w:line="360" w:lineRule="auto"/>
        <w:ind w:right="-108"/>
        <w:jc w:val="center"/>
        <w:rPr>
          <w:rFonts w:ascii="宋体" w:hAnsi="宋体"/>
          <w:b/>
          <w:sz w:val="32"/>
          <w:szCs w:val="32"/>
        </w:rPr>
      </w:pPr>
      <w:r>
        <w:rPr>
          <w:rFonts w:hint="eastAsia" w:ascii="宋体" w:hAnsi="宋体"/>
          <w:b/>
          <w:sz w:val="32"/>
          <w:szCs w:val="32"/>
        </w:rPr>
        <w:t>报价文件目录</w:t>
      </w:r>
    </w:p>
    <w:p>
      <w:pPr>
        <w:spacing w:line="360" w:lineRule="auto"/>
        <w:ind w:right="-108"/>
        <w:jc w:val="center"/>
        <w:rPr>
          <w:rFonts w:ascii="仿宋_GB2312" w:hAnsi="宋体" w:eastAsia="仿宋_GB2312"/>
          <w:b/>
          <w:sz w:val="36"/>
          <w:szCs w:val="36"/>
        </w:rPr>
      </w:pPr>
    </w:p>
    <w:p>
      <w:pPr>
        <w:spacing w:line="360" w:lineRule="auto"/>
        <w:rPr>
          <w:rFonts w:ascii="宋体" w:hAnsi="宋体"/>
          <w:sz w:val="24"/>
        </w:rPr>
      </w:pPr>
    </w:p>
    <w:p>
      <w:pPr>
        <w:snapToGrid w:val="0"/>
        <w:spacing w:line="360" w:lineRule="auto"/>
        <w:jc w:val="left"/>
        <w:rPr>
          <w:rFonts w:ascii="宋体" w:hAnsi="宋体"/>
          <w:sz w:val="24"/>
        </w:rPr>
      </w:pPr>
      <w:r>
        <w:rPr>
          <w:rFonts w:hint="eastAsia" w:ascii="宋体" w:hAnsi="宋体"/>
          <w:sz w:val="24"/>
        </w:rPr>
        <w:t>1、开标一览表（附件1</w:t>
      </w:r>
      <w:r>
        <w:rPr>
          <w:rFonts w:hint="eastAsia" w:ascii="宋体" w:hAnsi="宋体"/>
          <w:sz w:val="24"/>
          <w:lang w:val="en-US" w:eastAsia="zh-CN"/>
        </w:rPr>
        <w:t>5</w:t>
      </w:r>
      <w:r>
        <w:rPr>
          <w:rFonts w:hint="eastAsia" w:ascii="宋体" w:hAnsi="宋体"/>
          <w:sz w:val="24"/>
        </w:rPr>
        <w:t>）；</w:t>
      </w:r>
    </w:p>
    <w:p>
      <w:pPr>
        <w:pStyle w:val="10"/>
        <w:snapToGrid w:val="0"/>
        <w:spacing w:line="360" w:lineRule="auto"/>
        <w:ind w:left="0" w:leftChars="0"/>
        <w:rPr>
          <w:rFonts w:ascii="宋体" w:hAnsi="宋体" w:eastAsia="宋体"/>
          <w:sz w:val="24"/>
          <w:szCs w:val="24"/>
        </w:rPr>
      </w:pPr>
      <w:r>
        <w:rPr>
          <w:rFonts w:hint="eastAsia" w:ascii="宋体" w:hAnsi="宋体" w:eastAsia="宋体"/>
          <w:sz w:val="24"/>
          <w:szCs w:val="24"/>
        </w:rPr>
        <w:t>2、报价明细表</w:t>
      </w:r>
      <w:r>
        <w:rPr>
          <w:rFonts w:hint="eastAsia" w:ascii="宋体" w:hAnsi="宋体"/>
          <w:sz w:val="24"/>
        </w:rPr>
        <w:t>（附件1</w:t>
      </w:r>
      <w:r>
        <w:rPr>
          <w:rFonts w:hint="eastAsia" w:ascii="宋体" w:hAnsi="宋体"/>
          <w:sz w:val="24"/>
          <w:lang w:val="en-US" w:eastAsia="zh-CN"/>
        </w:rPr>
        <w:t>6</w:t>
      </w:r>
      <w:r>
        <w:rPr>
          <w:rFonts w:hint="eastAsia" w:ascii="宋体" w:hAnsi="宋体"/>
          <w:sz w:val="24"/>
        </w:rPr>
        <w:t>）</w:t>
      </w:r>
      <w:r>
        <w:rPr>
          <w:rFonts w:hint="eastAsia" w:ascii="宋体" w:hAnsi="宋体" w:eastAsia="宋体"/>
          <w:sz w:val="24"/>
          <w:szCs w:val="24"/>
        </w:rPr>
        <w:t>；</w:t>
      </w:r>
    </w:p>
    <w:p>
      <w:pPr>
        <w:snapToGrid w:val="0"/>
        <w:spacing w:line="360" w:lineRule="auto"/>
        <w:rPr>
          <w:rFonts w:ascii="宋体" w:hAnsi="宋体"/>
          <w:sz w:val="24"/>
        </w:rPr>
      </w:pPr>
      <w:r>
        <w:rPr>
          <w:rFonts w:hint="eastAsia" w:hAnsi="宋体"/>
          <w:sz w:val="24"/>
        </w:rPr>
        <w:t>3、</w:t>
      </w:r>
      <w:r>
        <w:rPr>
          <w:rFonts w:hint="eastAsia" w:ascii="宋体" w:hAnsi="宋体"/>
          <w:sz w:val="24"/>
        </w:rPr>
        <w:t>针对报价投标人认为其他需要说明的；</w:t>
      </w:r>
    </w:p>
    <w:p>
      <w:pPr>
        <w:pStyle w:val="31"/>
        <w:spacing w:line="360" w:lineRule="auto"/>
        <w:rPr>
          <w:rFonts w:ascii="宋体" w:hAnsi="宋体"/>
          <w:kern w:val="0"/>
          <w:sz w:val="24"/>
        </w:rPr>
      </w:pPr>
      <w:r>
        <w:rPr>
          <w:rFonts w:hint="eastAsia" w:hAnsi="宋体"/>
          <w:sz w:val="24"/>
        </w:rPr>
        <w:t>4、</w:t>
      </w:r>
      <w:r>
        <w:rPr>
          <w:rFonts w:hint="eastAsia" w:hAnsi="宋体"/>
          <w:sz w:val="24"/>
          <w:lang w:eastAsia="zh-CN"/>
        </w:rPr>
        <w:t>中小</w:t>
      </w:r>
      <w:r>
        <w:rPr>
          <w:rFonts w:hAnsi="宋体"/>
          <w:sz w:val="24"/>
        </w:rPr>
        <w:t>企业声明函</w:t>
      </w:r>
      <w:r>
        <w:rPr>
          <w:rFonts w:hint="eastAsia" w:hAnsi="宋体"/>
          <w:sz w:val="24"/>
        </w:rPr>
        <w:t>（附件1</w:t>
      </w:r>
      <w:r>
        <w:rPr>
          <w:rFonts w:hint="eastAsia" w:hAnsi="宋体"/>
          <w:sz w:val="24"/>
          <w:lang w:val="en-US" w:eastAsia="zh-CN"/>
        </w:rPr>
        <w:t>7</w:t>
      </w:r>
      <w:r>
        <w:rPr>
          <w:rFonts w:hint="eastAsia" w:hAnsi="宋体"/>
          <w:sz w:val="24"/>
        </w:rPr>
        <w:t>）</w:t>
      </w:r>
      <w:r>
        <w:rPr>
          <w:rFonts w:hint="eastAsia" w:ascii="宋体" w:hAnsi="宋体"/>
          <w:kern w:val="0"/>
          <w:sz w:val="24"/>
        </w:rPr>
        <w:t>。</w:t>
      </w:r>
    </w:p>
    <w:p>
      <w:pPr>
        <w:spacing w:line="360" w:lineRule="auto"/>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5</w:t>
      </w:r>
    </w:p>
    <w:p>
      <w:pPr>
        <w:spacing w:line="360" w:lineRule="auto"/>
        <w:ind w:left="-2" w:hanging="2"/>
        <w:jc w:val="center"/>
        <w:rPr>
          <w:rFonts w:ascii="宋体" w:hAnsi="宋体"/>
          <w:b/>
          <w:color w:val="33CCCC"/>
          <w:sz w:val="32"/>
          <w:szCs w:val="32"/>
        </w:rPr>
      </w:pPr>
      <w:r>
        <w:rPr>
          <w:rFonts w:hint="eastAsia" w:ascii="宋体" w:hAnsi="宋体"/>
          <w:b/>
          <w:sz w:val="32"/>
          <w:szCs w:val="32"/>
        </w:rPr>
        <w:t>开标一览表</w:t>
      </w:r>
      <w:r>
        <w:rPr>
          <w:rFonts w:hint="eastAsia" w:ascii="宋体" w:hAnsi="宋体"/>
          <w:b/>
          <w:color w:val="33CCCC"/>
          <w:sz w:val="32"/>
          <w:szCs w:val="32"/>
        </w:rPr>
        <w:t xml:space="preserve"> (第 标)</w:t>
      </w:r>
    </w:p>
    <w:p>
      <w:pPr>
        <w:spacing w:line="360" w:lineRule="auto"/>
        <w:ind w:left="-2" w:hanging="2"/>
        <w:jc w:val="center"/>
        <w:rPr>
          <w:rFonts w:ascii="宋体" w:hAnsi="宋体"/>
          <w:b/>
          <w:color w:val="33CCCC"/>
          <w:sz w:val="32"/>
          <w:szCs w:val="32"/>
        </w:rPr>
      </w:pPr>
    </w:p>
    <w:p>
      <w:pPr>
        <w:pStyle w:val="9"/>
        <w:spacing w:line="320" w:lineRule="exact"/>
        <w:rPr>
          <w:rFonts w:hAnsi="宋体"/>
          <w:b/>
          <w:color w:val="000000"/>
          <w:sz w:val="24"/>
        </w:rPr>
      </w:pPr>
      <w:r>
        <w:rPr>
          <w:rFonts w:hAnsi="宋体"/>
          <w:b/>
          <w:color w:val="000000"/>
          <w:sz w:val="24"/>
        </w:rPr>
        <w:t>项目编号：</w:t>
      </w:r>
    </w:p>
    <w:p>
      <w:pPr>
        <w:pStyle w:val="33"/>
        <w:spacing w:line="360" w:lineRule="auto"/>
        <w:ind w:right="480"/>
        <w:jc w:val="left"/>
        <w:rPr>
          <w:rFonts w:hAnsi="宋体"/>
          <w:color w:val="000000"/>
          <w:sz w:val="24"/>
        </w:rPr>
      </w:pPr>
      <w:r>
        <w:rPr>
          <w:rFonts w:hAnsi="宋体"/>
          <w:b/>
          <w:color w:val="000000"/>
          <w:sz w:val="24"/>
        </w:rPr>
        <w:t>项目名称：</w:t>
      </w:r>
      <w:r>
        <w:rPr>
          <w:rFonts w:hint="eastAsia" w:ascii="宋体" w:hAnsi="宋体"/>
          <w:sz w:val="24"/>
        </w:rPr>
        <w:t xml:space="preserve">                                     [货币单位：人民币元]</w:t>
      </w:r>
    </w:p>
    <w:tbl>
      <w:tblPr>
        <w:tblStyle w:val="16"/>
        <w:tblW w:w="8672"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投标总报价(元)</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2"/>
        <w:spacing w:line="360" w:lineRule="auto"/>
        <w:ind w:firstLineChars="200"/>
        <w:rPr>
          <w:rFonts w:ascii="宋体" w:hAnsi="宋体"/>
          <w:color w:val="FF0000"/>
          <w:kern w:val="0"/>
          <w:szCs w:val="21"/>
        </w:rPr>
      </w:pPr>
      <w:r>
        <w:rPr>
          <w:rFonts w:hint="eastAsia" w:ascii="宋体" w:hAnsi="宋体"/>
          <w:kern w:val="0"/>
          <w:szCs w:val="21"/>
        </w:rPr>
        <w:t>1.投标总报价是包括货款、标准附件、备品备件、专用工具、包装、运输、装卸、保险、税金、货到就位以及安装、调试、培训、保修、合同包含的所有风险责任等各项费用及不可预见费等所需的全部费用。</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eastAsia="宋体"/>
          <w:b/>
          <w:sz w:val="28"/>
          <w:lang w:val="en-US" w:eastAsia="zh-CN"/>
        </w:rPr>
      </w:pPr>
      <w:r>
        <w:rPr>
          <w:rFonts w:hint="eastAsia" w:ascii="宋体" w:hAnsi="宋体"/>
          <w:b/>
          <w:sz w:val="28"/>
        </w:rPr>
        <w:t>附件1</w:t>
      </w:r>
      <w:r>
        <w:rPr>
          <w:rFonts w:hint="eastAsia" w:ascii="宋体" w:hAnsi="宋体"/>
          <w:b/>
          <w:sz w:val="28"/>
          <w:lang w:val="en-US" w:eastAsia="zh-CN"/>
        </w:rPr>
        <w:t>6</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b/>
          <w:color w:val="33CCCC"/>
          <w:sz w:val="32"/>
          <w:szCs w:val="32"/>
        </w:rPr>
        <w:t xml:space="preserve"> (第 标)</w:t>
      </w:r>
    </w:p>
    <w:p>
      <w:pPr>
        <w:spacing w:line="360" w:lineRule="auto"/>
        <w:rPr>
          <w:rFonts w:ascii="宋体" w:hAnsi="宋体"/>
          <w:sz w:val="24"/>
        </w:rPr>
      </w:pPr>
      <w:r>
        <w:rPr>
          <w:rFonts w:hint="eastAsia" w:ascii="宋体" w:hAnsi="宋体"/>
          <w:sz w:val="24"/>
        </w:rPr>
        <w:t xml:space="preserve">  项目编号：                                    [货币单位：人民币元]</w:t>
      </w:r>
    </w:p>
    <w:tbl>
      <w:tblPr>
        <w:tblStyle w:val="16"/>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525" w:type="dxa"/>
            <w:vAlign w:val="center"/>
          </w:tcPr>
          <w:p>
            <w:pPr>
              <w:spacing w:line="360" w:lineRule="auto"/>
              <w:rPr>
                <w:rFonts w:ascii="宋体" w:hAnsi="宋体"/>
                <w:b/>
                <w:sz w:val="24"/>
              </w:rPr>
            </w:pPr>
            <w:r>
              <w:rPr>
                <w:rFonts w:hint="eastAsia" w:ascii="宋体" w:hAnsi="宋体"/>
                <w:b/>
                <w:sz w:val="24"/>
              </w:rPr>
              <w:t>序号</w:t>
            </w:r>
          </w:p>
        </w:tc>
        <w:tc>
          <w:tcPr>
            <w:tcW w:w="1460" w:type="dxa"/>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vAlign w:val="center"/>
          </w:tcPr>
          <w:p>
            <w:pPr>
              <w:spacing w:line="360" w:lineRule="auto"/>
              <w:jc w:val="center"/>
              <w:rPr>
                <w:rFonts w:ascii="宋体" w:hAnsi="宋体"/>
                <w:b/>
                <w:sz w:val="24"/>
              </w:rPr>
            </w:pPr>
            <w:r>
              <w:rPr>
                <w:rFonts w:hint="eastAsia" w:ascii="宋体" w:hAnsi="宋体"/>
                <w:b/>
                <w:sz w:val="24"/>
              </w:rPr>
              <w:t>单价</w:t>
            </w:r>
          </w:p>
        </w:tc>
        <w:tc>
          <w:tcPr>
            <w:tcW w:w="992" w:type="dxa"/>
            <w:vAlign w:val="center"/>
          </w:tcPr>
          <w:p>
            <w:pPr>
              <w:spacing w:line="360" w:lineRule="auto"/>
              <w:jc w:val="center"/>
              <w:rPr>
                <w:rFonts w:ascii="宋体" w:hAnsi="宋体"/>
                <w:b/>
                <w:sz w:val="24"/>
              </w:rPr>
            </w:pPr>
            <w:r>
              <w:rPr>
                <w:rFonts w:hint="eastAsia" w:ascii="宋体" w:hAnsi="宋体"/>
                <w:b/>
                <w:sz w:val="24"/>
              </w:rPr>
              <w:t>小计</w:t>
            </w:r>
          </w:p>
        </w:tc>
        <w:tc>
          <w:tcPr>
            <w:tcW w:w="709" w:type="dxa"/>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525" w:type="dxa"/>
            <w:vAlign w:val="center"/>
          </w:tcPr>
          <w:p>
            <w:pPr>
              <w:spacing w:line="360" w:lineRule="auto"/>
              <w:rPr>
                <w:rFonts w:ascii="宋体" w:hAnsi="宋体"/>
                <w:sz w:val="24"/>
              </w:rPr>
            </w:pPr>
          </w:p>
        </w:tc>
        <w:tc>
          <w:tcPr>
            <w:tcW w:w="1460"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851"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992" w:type="dxa"/>
            <w:vAlign w:val="center"/>
          </w:tcPr>
          <w:p>
            <w:pPr>
              <w:spacing w:line="360" w:lineRule="auto"/>
              <w:rPr>
                <w:rFonts w:ascii="宋体" w:hAnsi="宋体"/>
                <w:sz w:val="24"/>
              </w:rPr>
            </w:pPr>
          </w:p>
        </w:tc>
        <w:tc>
          <w:tcPr>
            <w:tcW w:w="709"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本表为《开标一览表》的报价明细表，如有缺项、漏项，视为投标报价中已包含相关费用，采购人无需另外支付任何费用。</w:t>
      </w:r>
    </w:p>
    <w:p>
      <w:pPr>
        <w:spacing w:line="360" w:lineRule="auto"/>
        <w:ind w:left="435"/>
        <w:rPr>
          <w:rFonts w:ascii="宋体"/>
          <w:szCs w:val="21"/>
          <w:lang w:val="zh-CN"/>
        </w:rPr>
      </w:pPr>
      <w:r>
        <w:rPr>
          <w:rFonts w:hint="eastAsia" w:ascii="宋体" w:hAnsi="宋体"/>
          <w:color w:val="000000"/>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r>
        <w:rPr>
          <w:rFonts w:hint="eastAsia" w:ascii="宋体"/>
          <w:szCs w:val="21"/>
        </w:rPr>
        <w:t>3.</w:t>
      </w:r>
      <w:r>
        <w:rPr>
          <w:rFonts w:hint="eastAsia" w:ascii="宋体"/>
          <w:szCs w:val="21"/>
          <w:lang w:val="zh-CN"/>
        </w:rPr>
        <w:t>投标报价明细表所填内容按招标文件采购设备清单要求为准。如有漏报的，视同已包含在投标总价内或已作优惠处理。有重大缺项的将作无效标处理。</w:t>
      </w:r>
    </w:p>
    <w:p>
      <w:pPr>
        <w:spacing w:line="360" w:lineRule="auto"/>
        <w:ind w:left="435"/>
        <w:rPr>
          <w:rFonts w:ascii="宋体"/>
          <w:szCs w:val="21"/>
          <w:lang w:val="zh-CN"/>
        </w:rPr>
      </w:pPr>
      <w:r>
        <w:rPr>
          <w:rFonts w:hint="eastAsia" w:ascii="宋体"/>
          <w:szCs w:val="21"/>
          <w:lang w:val="zh-CN"/>
        </w:rPr>
        <w:t>▲4. 本表中的型号规格必须明确，招标文件中明确要求定制的除外。</w:t>
      </w: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投标人名称（电子印章）：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投标人代表签字或电子印章：</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156" w:beforeLines="50" w:after="50" w:line="360" w:lineRule="auto"/>
        <w:rPr>
          <w:rFonts w:hint="eastAsia" w:ascii="仿宋_GB2312" w:hAnsi="宋体" w:eastAsia="宋体"/>
          <w:bCs/>
          <w:sz w:val="30"/>
          <w:szCs w:val="30"/>
          <w:lang w:eastAsia="zh-CN"/>
        </w:rPr>
      </w:pPr>
      <w:r>
        <w:rPr>
          <w:rFonts w:hint="eastAsia" w:ascii="宋体" w:hAnsi="宋体"/>
          <w:b/>
          <w:sz w:val="28"/>
        </w:rPr>
        <w:t>附件1</w:t>
      </w:r>
      <w:r>
        <w:rPr>
          <w:rFonts w:hint="eastAsia" w:ascii="宋体" w:hAnsi="宋体"/>
          <w:b/>
          <w:sz w:val="28"/>
          <w:lang w:val="en-US" w:eastAsia="zh-CN"/>
        </w:rPr>
        <w:t>7</w:t>
      </w:r>
    </w:p>
    <w:p>
      <w:pPr>
        <w:pStyle w:val="2"/>
        <w:spacing w:line="360" w:lineRule="auto"/>
        <w:ind w:left="0" w:leftChars="0" w:firstLine="0" w:firstLineChars="0"/>
        <w:jc w:val="center"/>
        <w:rPr>
          <w:rFonts w:ascii="宋体" w:hAnsi="宋体" w:cs="宋体"/>
          <w:b/>
          <w:sz w:val="32"/>
          <w:szCs w:val="32"/>
        </w:rPr>
      </w:pPr>
      <w:r>
        <w:rPr>
          <w:rFonts w:hint="eastAsia" w:ascii="宋体" w:hAnsi="宋体" w:cs="宋体"/>
          <w:b/>
          <w:sz w:val="32"/>
          <w:szCs w:val="32"/>
        </w:rPr>
        <w:t>中小企业声明函（货物）</w:t>
      </w:r>
    </w:p>
    <w:p>
      <w:pPr>
        <w:pStyle w:val="2"/>
        <w:spacing w:line="360" w:lineRule="auto"/>
        <w:ind w:firstLine="643" w:firstLineChars="200"/>
        <w:rPr>
          <w:rFonts w:ascii="宋体" w:hAnsi="宋体" w:cs="宋体"/>
          <w:b/>
          <w:sz w:val="32"/>
          <w:szCs w:val="32"/>
        </w:rPr>
      </w:pPr>
    </w:p>
    <w:p>
      <w:pPr>
        <w:spacing w:line="360" w:lineRule="auto"/>
        <w:ind w:firstLine="480" w:firstLineChars="200"/>
        <w:rPr>
          <w:rFonts w:ascii="宋体" w:hAnsi="宋体" w:cs="宋体"/>
          <w:sz w:val="24"/>
        </w:rPr>
      </w:pPr>
      <w:r>
        <w:rPr>
          <w:rFonts w:hint="eastAsia" w:ascii="宋体" w:hAnsi="宋体" w:cs="宋体"/>
          <w:sz w:val="24"/>
        </w:rPr>
        <w:t>本公司（联合体）郑重声明，根据《政府采购促进中小企业发展管理办法》（财库〔2020〕46号）的规定，本公司（联合体）参加</w:t>
      </w:r>
      <w:r>
        <w:rPr>
          <w:rFonts w:hint="eastAsia" w:ascii="宋体" w:hAnsi="宋体" w:cs="宋体"/>
          <w:color w:val="0000FF"/>
          <w:sz w:val="24"/>
          <w:u w:val="single"/>
        </w:rPr>
        <w:t>（单位名称）</w:t>
      </w:r>
      <w:r>
        <w:rPr>
          <w:rFonts w:hint="eastAsia" w:ascii="宋体" w:hAnsi="宋体" w:cs="宋体"/>
          <w:sz w:val="24"/>
        </w:rPr>
        <w:t>的</w:t>
      </w:r>
      <w:r>
        <w:rPr>
          <w:rFonts w:hint="eastAsia" w:ascii="宋体" w:hAnsi="宋体" w:cs="宋体"/>
          <w:color w:val="0000FF"/>
          <w:sz w:val="24"/>
          <w:u w:val="single"/>
        </w:rPr>
        <w:t>（项目名称）</w:t>
      </w:r>
      <w:r>
        <w:rPr>
          <w:rFonts w:hint="eastAsia" w:ascii="宋体" w:hAnsi="宋体" w:cs="宋体"/>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 xml:space="preserve"> </w:t>
      </w:r>
      <w:r>
        <w:rPr>
          <w:rFonts w:hint="eastAsia" w:ascii="宋体" w:hAnsi="宋体" w:cs="宋体"/>
          <w:color w:val="0000FF"/>
          <w:sz w:val="24"/>
          <w:u w:val="single"/>
        </w:rPr>
        <w:t>（标的名称）</w:t>
      </w:r>
      <w:r>
        <w:rPr>
          <w:rFonts w:hint="eastAsia" w:ascii="宋体" w:hAnsi="宋体" w:cs="宋体"/>
          <w:sz w:val="24"/>
          <w:u w:val="single"/>
        </w:rPr>
        <w:t xml:space="preserve">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w:t>
      </w:r>
      <w:r>
        <w:rPr>
          <w:rFonts w:hint="eastAsia" w:ascii="宋体" w:hAnsi="宋体" w:cs="宋体"/>
          <w:sz w:val="24"/>
          <w:vertAlign w:val="superscript"/>
        </w:rPr>
        <w:fldChar w:fldCharType="begin"/>
      </w:r>
      <w:r>
        <w:rPr>
          <w:rFonts w:hint="eastAsia" w:ascii="宋体" w:hAnsi="宋体" w:cs="宋体"/>
          <w:sz w:val="24"/>
          <w:vertAlign w:val="superscript"/>
        </w:rPr>
        <w:instrText xml:space="preserve"> = 1 \* GB3 </w:instrText>
      </w:r>
      <w:r>
        <w:rPr>
          <w:rFonts w:hint="eastAsia" w:ascii="宋体" w:hAnsi="宋体" w:cs="宋体"/>
          <w:sz w:val="24"/>
          <w:vertAlign w:val="superscript"/>
        </w:rPr>
        <w:fldChar w:fldCharType="separate"/>
      </w:r>
      <w:r>
        <w:rPr>
          <w:rFonts w:hint="eastAsia" w:ascii="宋体" w:hAnsi="宋体" w:cs="宋体"/>
          <w:sz w:val="24"/>
          <w:vertAlign w:val="superscript"/>
        </w:rPr>
        <w:t>①</w:t>
      </w:r>
      <w:r>
        <w:rPr>
          <w:rFonts w:hint="eastAsia" w:ascii="宋体" w:hAnsi="宋体" w:cs="宋体"/>
          <w:sz w:val="24"/>
          <w:vertAlign w:val="superscript"/>
        </w:rPr>
        <w:fldChar w:fldCharType="end"/>
      </w:r>
      <w:r>
        <w:rPr>
          <w:rFonts w:hint="eastAsia" w:ascii="宋体" w:hAnsi="宋体" w:cs="宋体"/>
          <w:sz w:val="24"/>
        </w:rPr>
        <w:t>，属于（中型企业、小型企业、微型企业）；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color w:val="0000FF"/>
          <w:sz w:val="24"/>
          <w:u w:val="single"/>
        </w:rPr>
        <w:t xml:space="preserve"> （标的名称） </w:t>
      </w:r>
      <w:r>
        <w:rPr>
          <w:rFonts w:hint="eastAsia" w:ascii="宋体" w:hAnsi="宋体" w:cs="宋体"/>
          <w:sz w:val="24"/>
        </w:rPr>
        <w:t>，属于</w:t>
      </w:r>
      <w:r>
        <w:rPr>
          <w:rFonts w:hint="eastAsia" w:ascii="宋体" w:hAnsi="宋体" w:cs="宋体"/>
          <w:color w:val="0000FF"/>
          <w:sz w:val="24"/>
          <w:u w:val="single"/>
        </w:rPr>
        <w:t>（采购文件中明确的所属行业）</w:t>
      </w:r>
      <w:r>
        <w:rPr>
          <w:rFonts w:hint="eastAsia" w:ascii="宋体" w:hAnsi="宋体" w:cs="宋体"/>
          <w:sz w:val="24"/>
        </w:rPr>
        <w:t>行业；制造商为</w:t>
      </w:r>
      <w:r>
        <w:rPr>
          <w:rFonts w:hint="eastAsia" w:ascii="宋体" w:hAnsi="宋体" w:cs="宋体"/>
          <w:color w:val="0000FF"/>
          <w:sz w:val="24"/>
          <w:u w:val="single"/>
        </w:rPr>
        <w:t>（企业名称）</w:t>
      </w:r>
      <w:r>
        <w:rPr>
          <w:rFonts w:hint="eastAsia" w:ascii="宋体" w:hAnsi="宋体" w:cs="宋体"/>
          <w:sz w:val="24"/>
        </w:rPr>
        <w:t>，从业人员</w:t>
      </w:r>
      <w:r>
        <w:rPr>
          <w:rFonts w:hint="eastAsia" w:ascii="宋体" w:hAnsi="宋体" w:cs="宋体"/>
          <w:sz w:val="24"/>
          <w:u w:val="single"/>
        </w:rPr>
        <w:t xml:space="preserve">  </w:t>
      </w:r>
      <w:r>
        <w:rPr>
          <w:rFonts w:hint="eastAsia" w:ascii="宋体" w:hAnsi="宋体" w:cs="宋体"/>
          <w:sz w:val="24"/>
        </w:rPr>
        <w:t>人，营业收入为</w:t>
      </w:r>
      <w:r>
        <w:rPr>
          <w:rFonts w:hint="eastAsia" w:ascii="宋体" w:hAnsi="宋体" w:cs="宋体"/>
          <w:sz w:val="24"/>
          <w:u w:val="single"/>
        </w:rPr>
        <w:t xml:space="preserve">    </w:t>
      </w:r>
      <w:r>
        <w:rPr>
          <w:rFonts w:hint="eastAsia" w:ascii="宋体" w:hAnsi="宋体" w:cs="宋体"/>
          <w:sz w:val="24"/>
        </w:rPr>
        <w:t>万元，资产总额为</w:t>
      </w:r>
      <w:r>
        <w:rPr>
          <w:rFonts w:hint="eastAsia" w:ascii="宋体" w:hAnsi="宋体" w:cs="宋体"/>
          <w:sz w:val="24"/>
          <w:u w:val="single"/>
        </w:rPr>
        <w:t xml:space="preserve">    </w:t>
      </w:r>
      <w:r>
        <w:rPr>
          <w:rFonts w:hint="eastAsia" w:ascii="宋体" w:hAnsi="宋体" w:cs="宋体"/>
          <w:sz w:val="24"/>
        </w:rPr>
        <w:t>万元，属于（中型企业、小型企业、微型企业）；</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wordWrap w:val="0"/>
        <w:spacing w:line="360" w:lineRule="auto"/>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企业名称（盖章）：        </w:t>
      </w:r>
    </w:p>
    <w:p>
      <w:pPr>
        <w:wordWrap w:val="0"/>
        <w:spacing w:line="360" w:lineRule="auto"/>
        <w:ind w:firstLine="480" w:firstLineChars="200"/>
        <w:jc w:val="right"/>
        <w:rPr>
          <w:rFonts w:ascii="宋体" w:hAnsi="宋体" w:cs="宋体"/>
          <w:sz w:val="24"/>
        </w:rPr>
      </w:pPr>
    </w:p>
    <w:p>
      <w:pPr>
        <w:wordWrap w:val="0"/>
        <w:spacing w:line="360" w:lineRule="auto"/>
        <w:ind w:firstLine="480" w:firstLineChars="200"/>
        <w:jc w:val="right"/>
        <w:rPr>
          <w:rFonts w:ascii="宋体" w:hAnsi="宋体" w:cs="宋体"/>
          <w:sz w:val="24"/>
        </w:rPr>
      </w:pPr>
      <w:r>
        <w:rPr>
          <w:rFonts w:hint="eastAsia" w:ascii="宋体" w:hAnsi="宋体" w:cs="宋体"/>
          <w:sz w:val="24"/>
        </w:rPr>
        <w:t xml:space="preserve">日 期：                  </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FKqV0wAAAAYBAAAPAAAAAAAAAAEA&#10;IAAAACIAAABkcnMvZG93bnJldi54bWxQSwECFAAUAAAACACHTuJAXcJ8ZdsBAACIAwAADgAAAAAA&#10;AAABACAAAAAiAQAAZHJzL2Uyb0RvYy54bWxQSwUGAAAAAAYABgBZAQAAbwUAAAAA&#10;">
                <v:fill on="f" focussize="0,0"/>
                <v:stroke weight="1.25pt" color="#000000" miterlimit="8" joinstyle="miter"/>
                <v:imagedata o:title=""/>
                <o:lock v:ext="edit" aspectratio="f"/>
              </v:line>
            </w:pict>
          </mc:Fallback>
        </mc:AlternateContent>
      </w:r>
    </w:p>
    <w:p>
      <w:pPr>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pStyle w:val="9"/>
        <w:spacing w:line="360" w:lineRule="auto"/>
        <w:jc w:val="center"/>
        <w:outlineLvl w:val="1"/>
        <w:rPr>
          <w:rFonts w:hint="eastAsia" w:hAnsi="宋体"/>
          <w:b/>
          <w:sz w:val="32"/>
          <w:szCs w:val="32"/>
          <w:lang w:val="en-GB"/>
        </w:rPr>
      </w:pPr>
    </w:p>
    <w:p>
      <w:pPr>
        <w:pStyle w:val="9"/>
        <w:spacing w:line="360" w:lineRule="auto"/>
        <w:jc w:val="center"/>
        <w:outlineLvl w:val="1"/>
        <w:rPr>
          <w:rFonts w:hint="eastAsia" w:hAnsi="宋体"/>
          <w:b/>
          <w:sz w:val="32"/>
          <w:szCs w:val="32"/>
          <w:lang w:val="en-GB"/>
        </w:rPr>
      </w:pPr>
    </w:p>
    <w:p>
      <w:pPr>
        <w:pStyle w:val="9"/>
        <w:spacing w:line="360" w:lineRule="auto"/>
        <w:jc w:val="center"/>
        <w:outlineLvl w:val="1"/>
        <w:rPr>
          <w:rFonts w:hint="eastAsia" w:hAnsi="宋体"/>
          <w:b/>
          <w:sz w:val="32"/>
          <w:szCs w:val="32"/>
          <w:lang w:val="en-GB"/>
        </w:rPr>
      </w:pPr>
    </w:p>
    <w:p>
      <w:pPr>
        <w:pStyle w:val="9"/>
        <w:spacing w:line="360" w:lineRule="auto"/>
        <w:jc w:val="center"/>
        <w:outlineLvl w:val="1"/>
        <w:rPr>
          <w:rFonts w:hAnsi="宋体"/>
          <w:b/>
          <w:sz w:val="32"/>
          <w:szCs w:val="32"/>
          <w:lang w:val="en-GB"/>
        </w:rPr>
      </w:pPr>
      <w:r>
        <w:rPr>
          <w:rFonts w:hint="eastAsia" w:hAnsi="宋体"/>
          <w:b/>
          <w:sz w:val="32"/>
          <w:szCs w:val="32"/>
          <w:lang w:val="en-GB"/>
        </w:rPr>
        <w:t>残疾人福利性单位声明函</w:t>
      </w: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spacing w:val="6"/>
          <w:sz w:val="24"/>
        </w:rPr>
      </w:pPr>
    </w:p>
    <w:p>
      <w:pPr>
        <w:pStyle w:val="34"/>
        <w:spacing w:line="360" w:lineRule="auto"/>
        <w:ind w:firstLine="504" w:firstLineChars="200"/>
        <w:jc w:val="center"/>
        <w:rPr>
          <w:rFonts w:ascii="宋体" w:hAnsi="宋体"/>
          <w:spacing w:val="6"/>
          <w:sz w:val="24"/>
        </w:rPr>
      </w:pPr>
      <w:r>
        <w:rPr>
          <w:rFonts w:hint="eastAsia" w:ascii="宋体" w:hAnsi="宋体"/>
          <w:spacing w:val="6"/>
          <w:sz w:val="24"/>
        </w:rPr>
        <w:t xml:space="preserve">             企业名称（单位公章）：</w:t>
      </w:r>
    </w:p>
    <w:p>
      <w:pPr>
        <w:pStyle w:val="34"/>
        <w:spacing w:line="360" w:lineRule="auto"/>
        <w:ind w:left="4253" w:leftChars="2025" w:right="360"/>
        <w:jc w:val="center"/>
        <w:rPr>
          <w:rFonts w:ascii="宋体" w:hAnsi="宋体"/>
          <w:spacing w:val="6"/>
          <w:sz w:val="24"/>
        </w:rPr>
      </w:pPr>
      <w:r>
        <w:rPr>
          <w:rFonts w:hint="eastAsia" w:ascii="宋体" w:hAnsi="宋体"/>
          <w:sz w:val="24"/>
        </w:rPr>
        <w:t>日期：</w:t>
      </w:r>
      <w:r>
        <w:rPr>
          <w:rFonts w:hint="eastAsia" w:ascii="宋体" w:hAnsi="宋体"/>
          <w:sz w:val="24"/>
          <w:lang w:val="en-US" w:eastAsia="zh-CN"/>
        </w:rPr>
        <w:t xml:space="preserve">   </w:t>
      </w:r>
      <w:r>
        <w:rPr>
          <w:rFonts w:hint="eastAsia" w:ascii="宋体" w:hAnsi="宋体" w:eastAsia="宋体" w:cstheme="minorBidi"/>
          <w:color w:val="FF66CC"/>
          <w:kern w:val="2"/>
          <w:sz w:val="24"/>
          <w:szCs w:val="24"/>
          <w:u w:val="none"/>
          <w:lang w:val="en-US" w:eastAsia="zh-CN" w:bidi="ar-SA"/>
        </w:rPr>
        <w:t>××</w:t>
      </w:r>
      <w:r>
        <w:rPr>
          <w:rFonts w:hint="eastAsia" w:ascii="宋体" w:hAnsi="宋体" w:cs="Arial"/>
          <w:sz w:val="24"/>
        </w:rPr>
        <w:t>年</w:t>
      </w:r>
      <w:r>
        <w:rPr>
          <w:rFonts w:hint="eastAsia" w:ascii="宋体" w:hAnsi="宋体" w:eastAsia="宋体" w:cstheme="minorBidi"/>
          <w:color w:val="FF66CC"/>
          <w:kern w:val="2"/>
          <w:sz w:val="24"/>
          <w:szCs w:val="24"/>
          <w:u w:val="none"/>
          <w:lang w:val="en-US" w:eastAsia="zh-CN" w:bidi="ar-SA"/>
        </w:rPr>
        <w:t>××</w:t>
      </w:r>
      <w:r>
        <w:rPr>
          <w:rFonts w:hint="eastAsia" w:ascii="宋体" w:hAnsi="宋体" w:cs="Arial"/>
          <w:sz w:val="24"/>
        </w:rPr>
        <w:t>月</w:t>
      </w:r>
      <w:r>
        <w:rPr>
          <w:rFonts w:hint="eastAsia" w:ascii="宋体" w:hAnsi="宋体" w:eastAsia="宋体" w:cstheme="minorBidi"/>
          <w:color w:val="FF66CC"/>
          <w:kern w:val="2"/>
          <w:sz w:val="24"/>
          <w:szCs w:val="24"/>
          <w:u w:val="none"/>
          <w:lang w:val="en-US" w:eastAsia="zh-CN" w:bidi="ar-SA"/>
        </w:rPr>
        <w:t>××</w:t>
      </w:r>
      <w:r>
        <w:rPr>
          <w:rFonts w:hint="eastAsia" w:ascii="宋体" w:hAnsi="宋体" w:cs="Arial"/>
          <w:sz w:val="24"/>
        </w:rPr>
        <w:t>日</w:t>
      </w:r>
    </w:p>
    <w:p>
      <w:pPr>
        <w:tabs>
          <w:tab w:val="left" w:pos="4860"/>
        </w:tabs>
        <w:spacing w:line="588" w:lineRule="exact"/>
        <w:ind w:right="1560" w:firstLine="480" w:firstLineChars="200"/>
        <w:jc w:val="center"/>
        <w:rPr>
          <w:rFonts w:ascii="宋体" w:hAnsi="宋体"/>
          <w:sz w:val="24"/>
        </w:rPr>
      </w:pPr>
    </w:p>
    <w:p>
      <w:pPr>
        <w:pStyle w:val="34"/>
        <w:spacing w:line="360" w:lineRule="auto"/>
        <w:rPr>
          <w:rFonts w:ascii="宋体" w:hAnsi="宋体"/>
          <w:b/>
          <w:sz w:val="28"/>
          <w:szCs w:val="28"/>
        </w:rPr>
      </w:pPr>
    </w:p>
    <w:p>
      <w:pPr>
        <w:pStyle w:val="34"/>
        <w:spacing w:line="360" w:lineRule="auto"/>
        <w:rPr>
          <w:rFonts w:ascii="宋体" w:hAnsi="宋体"/>
          <w:b/>
          <w:sz w:val="28"/>
          <w:szCs w:val="28"/>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台州</w:t>
    </w:r>
    <w:r>
      <w:rPr>
        <w:rFonts w:hint="eastAsia"/>
        <w:b/>
        <w:i/>
        <w:color w:val="000000" w:themeColor="text1"/>
        <w:kern w:val="0"/>
        <w:sz w:val="18"/>
        <w:u w:val="single"/>
        <w14:textFill>
          <w14:solidFill>
            <w14:schemeClr w14:val="tx1"/>
          </w14:solidFill>
        </w14:textFill>
      </w:rPr>
      <w:t xml:space="preserve">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18</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59</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tentative="0">
      <w:start w:val="1"/>
      <w:numFmt w:val="decimal"/>
      <w:suff w:val="nothing"/>
      <w:lvlText w:val="%1、"/>
      <w:lvlJc w:val="left"/>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AE2D8F7B"/>
    <w:multiLevelType w:val="singleLevel"/>
    <w:tmpl w:val="AE2D8F7B"/>
    <w:lvl w:ilvl="0" w:tentative="0">
      <w:start w:val="1"/>
      <w:numFmt w:val="decimal"/>
      <w:pStyle w:val="4"/>
      <w:lvlText w:val="%1."/>
      <w:lvlJc w:val="left"/>
      <w:pPr>
        <w:tabs>
          <w:tab w:val="left" w:pos="360"/>
        </w:tabs>
        <w:ind w:left="360" w:hanging="360"/>
      </w:pPr>
    </w:lvl>
  </w:abstractNum>
  <w:abstractNum w:abstractNumId="3">
    <w:nsid w:val="AF3E1766"/>
    <w:multiLevelType w:val="singleLevel"/>
    <w:tmpl w:val="AF3E1766"/>
    <w:lvl w:ilvl="0" w:tentative="0">
      <w:start w:val="1"/>
      <w:numFmt w:val="decimal"/>
      <w:suff w:val="nothing"/>
      <w:lvlText w:val="（%1）"/>
      <w:lvlJc w:val="left"/>
    </w:lvl>
  </w:abstractNum>
  <w:abstractNum w:abstractNumId="4">
    <w:nsid w:val="C8A3F0D0"/>
    <w:multiLevelType w:val="singleLevel"/>
    <w:tmpl w:val="C8A3F0D0"/>
    <w:lvl w:ilvl="0" w:tentative="0">
      <w:start w:val="2"/>
      <w:numFmt w:val="chineseCounting"/>
      <w:suff w:val="nothing"/>
      <w:lvlText w:val="（%1）"/>
      <w:lvlJc w:val="left"/>
      <w:pPr>
        <w:ind w:left="140" w:firstLine="0"/>
      </w:pPr>
      <w:rPr>
        <w:rFonts w:hint="eastAsia"/>
      </w:rPr>
    </w:lvl>
  </w:abstractNum>
  <w:abstractNum w:abstractNumId="5">
    <w:nsid w:val="461E5E94"/>
    <w:multiLevelType w:val="singleLevel"/>
    <w:tmpl w:val="461E5E94"/>
    <w:lvl w:ilvl="0" w:tentative="0">
      <w:start w:val="2"/>
      <w:numFmt w:val="chineseCounting"/>
      <w:suff w:val="space"/>
      <w:lvlText w:val="第%1章"/>
      <w:lvlJc w:val="left"/>
      <w:rPr>
        <w:rFonts w:hint="eastAsia"/>
      </w:rPr>
    </w:lvl>
  </w:abstractNum>
  <w:abstractNum w:abstractNumId="6">
    <w:nsid w:val="471E06A1"/>
    <w:multiLevelType w:val="singleLevel"/>
    <w:tmpl w:val="471E06A1"/>
    <w:lvl w:ilvl="0" w:tentative="0">
      <w:start w:val="1"/>
      <w:numFmt w:val="japaneseCounting"/>
      <w:lvlText w:val="%1、"/>
      <w:lvlJc w:val="left"/>
      <w:pPr>
        <w:tabs>
          <w:tab w:val="left" w:pos="960"/>
        </w:tabs>
        <w:ind w:left="960" w:hanging="600"/>
      </w:pPr>
      <w:rPr>
        <w:rFonts w:hint="eastAsia"/>
      </w:rPr>
    </w:lvl>
  </w:abstractNum>
  <w:abstractNum w:abstractNumId="7">
    <w:nsid w:val="539BAF2C"/>
    <w:multiLevelType w:val="singleLevel"/>
    <w:tmpl w:val="539BAF2C"/>
    <w:lvl w:ilvl="0" w:tentative="0">
      <w:start w:val="1"/>
      <w:numFmt w:val="decimal"/>
      <w:lvlText w:val="%1."/>
      <w:lvlJc w:val="left"/>
      <w:pPr>
        <w:tabs>
          <w:tab w:val="left" w:pos="312"/>
        </w:tabs>
      </w:pPr>
    </w:lvl>
  </w:abstractNum>
  <w:abstractNum w:abstractNumId="8">
    <w:nsid w:val="59C35EE4"/>
    <w:multiLevelType w:val="singleLevel"/>
    <w:tmpl w:val="59C35EE4"/>
    <w:lvl w:ilvl="0" w:tentative="0">
      <w:start w:val="3"/>
      <w:numFmt w:val="chineseCounting"/>
      <w:suff w:val="nothing"/>
      <w:lvlText w:val="（%1）"/>
      <w:lvlJc w:val="left"/>
    </w:lvl>
  </w:abstractNum>
  <w:abstractNum w:abstractNumId="9">
    <w:nsid w:val="674048A7"/>
    <w:multiLevelType w:val="singleLevel"/>
    <w:tmpl w:val="674048A7"/>
    <w:lvl w:ilvl="0" w:tentative="0">
      <w:start w:val="1"/>
      <w:numFmt w:val="decimal"/>
      <w:suff w:val="space"/>
      <w:lvlText w:val="%1."/>
      <w:lvlJc w:val="left"/>
    </w:lvl>
  </w:abstractNum>
  <w:abstractNum w:abstractNumId="10">
    <w:nsid w:val="78F03B0B"/>
    <w:multiLevelType w:val="singleLevel"/>
    <w:tmpl w:val="78F03B0B"/>
    <w:lvl w:ilvl="0" w:tentative="0">
      <w:start w:val="1"/>
      <w:numFmt w:val="decimal"/>
      <w:lvlText w:val="%1."/>
      <w:lvlJc w:val="left"/>
      <w:pPr>
        <w:tabs>
          <w:tab w:val="left" w:pos="312"/>
        </w:tabs>
      </w:pPr>
    </w:lvl>
  </w:abstractNum>
  <w:num w:numId="1">
    <w:abstractNumId w:val="2"/>
  </w:num>
  <w:num w:numId="2">
    <w:abstractNumId w:val="6"/>
  </w:num>
  <w:num w:numId="3">
    <w:abstractNumId w:val="5"/>
  </w:num>
  <w:num w:numId="4">
    <w:abstractNumId w:val="3"/>
  </w:num>
  <w:num w:numId="5">
    <w:abstractNumId w:val="4"/>
  </w:num>
  <w:num w:numId="6">
    <w:abstractNumId w:val="8"/>
  </w:num>
  <w:num w:numId="7">
    <w:abstractNumId w:val="10"/>
  </w:num>
  <w:num w:numId="8">
    <w:abstractNumId w:val="9"/>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70358"/>
    <w:rsid w:val="0006294D"/>
    <w:rsid w:val="00062AB3"/>
    <w:rsid w:val="00107BF6"/>
    <w:rsid w:val="00165F2A"/>
    <w:rsid w:val="00201D62"/>
    <w:rsid w:val="0021318F"/>
    <w:rsid w:val="002A1620"/>
    <w:rsid w:val="003102FB"/>
    <w:rsid w:val="00332E30"/>
    <w:rsid w:val="003C5E00"/>
    <w:rsid w:val="003F595C"/>
    <w:rsid w:val="003F78E0"/>
    <w:rsid w:val="00441FAE"/>
    <w:rsid w:val="00446CEF"/>
    <w:rsid w:val="00491BDF"/>
    <w:rsid w:val="004B4165"/>
    <w:rsid w:val="00616E31"/>
    <w:rsid w:val="00655E3C"/>
    <w:rsid w:val="00674C42"/>
    <w:rsid w:val="006F4DFE"/>
    <w:rsid w:val="007A2629"/>
    <w:rsid w:val="007C1005"/>
    <w:rsid w:val="00802325"/>
    <w:rsid w:val="00847BE5"/>
    <w:rsid w:val="0088066B"/>
    <w:rsid w:val="00901D6C"/>
    <w:rsid w:val="00912983"/>
    <w:rsid w:val="009B3E22"/>
    <w:rsid w:val="009F3459"/>
    <w:rsid w:val="00A30B75"/>
    <w:rsid w:val="00A730CA"/>
    <w:rsid w:val="00C52E14"/>
    <w:rsid w:val="00C767D4"/>
    <w:rsid w:val="00CC232E"/>
    <w:rsid w:val="00CD1804"/>
    <w:rsid w:val="00E319E7"/>
    <w:rsid w:val="00EF2797"/>
    <w:rsid w:val="00F127FF"/>
    <w:rsid w:val="01935887"/>
    <w:rsid w:val="023911FB"/>
    <w:rsid w:val="02AE7191"/>
    <w:rsid w:val="04CC341D"/>
    <w:rsid w:val="05137CD7"/>
    <w:rsid w:val="060B26E0"/>
    <w:rsid w:val="06E26B5C"/>
    <w:rsid w:val="09172744"/>
    <w:rsid w:val="09EA6D7C"/>
    <w:rsid w:val="0C1E2BA0"/>
    <w:rsid w:val="0C765CB2"/>
    <w:rsid w:val="0E970358"/>
    <w:rsid w:val="10392EAE"/>
    <w:rsid w:val="10706EC2"/>
    <w:rsid w:val="11003457"/>
    <w:rsid w:val="11022761"/>
    <w:rsid w:val="12807280"/>
    <w:rsid w:val="12AD711D"/>
    <w:rsid w:val="13052898"/>
    <w:rsid w:val="148463E6"/>
    <w:rsid w:val="14D20D9B"/>
    <w:rsid w:val="15115607"/>
    <w:rsid w:val="15A72BED"/>
    <w:rsid w:val="1621170E"/>
    <w:rsid w:val="164D0AA9"/>
    <w:rsid w:val="17C86B7D"/>
    <w:rsid w:val="18835F48"/>
    <w:rsid w:val="18B91D2B"/>
    <w:rsid w:val="18C40414"/>
    <w:rsid w:val="193E4CC1"/>
    <w:rsid w:val="1A6A6D44"/>
    <w:rsid w:val="1A817123"/>
    <w:rsid w:val="1AE21334"/>
    <w:rsid w:val="1BA57366"/>
    <w:rsid w:val="1BA94F2F"/>
    <w:rsid w:val="1C093ECB"/>
    <w:rsid w:val="1C463B76"/>
    <w:rsid w:val="1CE4433A"/>
    <w:rsid w:val="1E552F6B"/>
    <w:rsid w:val="1EE84AA8"/>
    <w:rsid w:val="221D5E85"/>
    <w:rsid w:val="223223B3"/>
    <w:rsid w:val="228447E5"/>
    <w:rsid w:val="228A54F0"/>
    <w:rsid w:val="22B11ED7"/>
    <w:rsid w:val="23022ACF"/>
    <w:rsid w:val="23424F53"/>
    <w:rsid w:val="236E14E2"/>
    <w:rsid w:val="27134DF9"/>
    <w:rsid w:val="286D4EB2"/>
    <w:rsid w:val="2899199D"/>
    <w:rsid w:val="29D148D0"/>
    <w:rsid w:val="2AC803DC"/>
    <w:rsid w:val="2CC32FA2"/>
    <w:rsid w:val="2EC81FBE"/>
    <w:rsid w:val="30143D85"/>
    <w:rsid w:val="30BD57CB"/>
    <w:rsid w:val="30FE335E"/>
    <w:rsid w:val="31752B09"/>
    <w:rsid w:val="333D02F3"/>
    <w:rsid w:val="341548E3"/>
    <w:rsid w:val="346F0E86"/>
    <w:rsid w:val="37712A39"/>
    <w:rsid w:val="390C2183"/>
    <w:rsid w:val="39885E21"/>
    <w:rsid w:val="3A1447B7"/>
    <w:rsid w:val="3AE50133"/>
    <w:rsid w:val="3B345EA5"/>
    <w:rsid w:val="3C725FEE"/>
    <w:rsid w:val="3C9D6718"/>
    <w:rsid w:val="3CAC27E0"/>
    <w:rsid w:val="3DB531EC"/>
    <w:rsid w:val="40DA19A4"/>
    <w:rsid w:val="41884255"/>
    <w:rsid w:val="43036342"/>
    <w:rsid w:val="4563730C"/>
    <w:rsid w:val="48694FA0"/>
    <w:rsid w:val="488E768B"/>
    <w:rsid w:val="49DA514F"/>
    <w:rsid w:val="49F41D5E"/>
    <w:rsid w:val="4B1E31F7"/>
    <w:rsid w:val="4BCB3573"/>
    <w:rsid w:val="4C177578"/>
    <w:rsid w:val="4C6B6F36"/>
    <w:rsid w:val="4CA7354C"/>
    <w:rsid w:val="4CE75373"/>
    <w:rsid w:val="4E5336D5"/>
    <w:rsid w:val="50DF52CA"/>
    <w:rsid w:val="52135662"/>
    <w:rsid w:val="52F55008"/>
    <w:rsid w:val="565411DE"/>
    <w:rsid w:val="566D4B95"/>
    <w:rsid w:val="572656D4"/>
    <w:rsid w:val="59AD06A4"/>
    <w:rsid w:val="5A1C7DAF"/>
    <w:rsid w:val="5A4D586D"/>
    <w:rsid w:val="5A6249B0"/>
    <w:rsid w:val="5ACB7433"/>
    <w:rsid w:val="5D8315D5"/>
    <w:rsid w:val="5DA57797"/>
    <w:rsid w:val="5EE84C68"/>
    <w:rsid w:val="621D5BA4"/>
    <w:rsid w:val="630A3E5A"/>
    <w:rsid w:val="632D4A3C"/>
    <w:rsid w:val="635B6748"/>
    <w:rsid w:val="63947A95"/>
    <w:rsid w:val="65276BFD"/>
    <w:rsid w:val="667402BF"/>
    <w:rsid w:val="67B167D1"/>
    <w:rsid w:val="67E77899"/>
    <w:rsid w:val="685F1C50"/>
    <w:rsid w:val="699022E9"/>
    <w:rsid w:val="6A714498"/>
    <w:rsid w:val="6A733ACA"/>
    <w:rsid w:val="6B2C60D8"/>
    <w:rsid w:val="6B675506"/>
    <w:rsid w:val="6B6B18DF"/>
    <w:rsid w:val="6DD80AAA"/>
    <w:rsid w:val="6F9C671E"/>
    <w:rsid w:val="723853F6"/>
    <w:rsid w:val="73B175BA"/>
    <w:rsid w:val="73D32A7F"/>
    <w:rsid w:val="741B606E"/>
    <w:rsid w:val="745919C6"/>
    <w:rsid w:val="74702A9A"/>
    <w:rsid w:val="761C2BBB"/>
    <w:rsid w:val="776A1DE8"/>
    <w:rsid w:val="78262669"/>
    <w:rsid w:val="785D00CA"/>
    <w:rsid w:val="78BD12F6"/>
    <w:rsid w:val="7C657767"/>
    <w:rsid w:val="7DD36414"/>
    <w:rsid w:val="7DDD6CEA"/>
    <w:rsid w:val="7E064E23"/>
    <w:rsid w:val="7E636E14"/>
    <w:rsid w:val="7F99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semiHidden/>
    <w:unhideWhenUsed/>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4">
    <w:name w:val="List Number"/>
    <w:basedOn w:val="1"/>
    <w:qFormat/>
    <w:uiPriority w:val="0"/>
    <w:pPr>
      <w:numPr>
        <w:ilvl w:val="0"/>
        <w:numId w:val="1"/>
      </w:numPr>
    </w:pPr>
  </w:style>
  <w:style w:type="paragraph" w:styleId="5">
    <w:name w:val="annotation text"/>
    <w:basedOn w:val="1"/>
    <w:link w:val="36"/>
    <w:qFormat/>
    <w:uiPriority w:val="0"/>
    <w:pPr>
      <w:jc w:val="left"/>
    </w:pPr>
  </w:style>
  <w:style w:type="paragraph" w:styleId="6">
    <w:name w:val="Body Text 3"/>
    <w:basedOn w:val="1"/>
    <w:qFormat/>
    <w:uiPriority w:val="0"/>
    <w:pPr>
      <w:widowControl w:val="0"/>
      <w:spacing w:before="156" w:beforeLines="50" w:line="400" w:lineRule="exact"/>
      <w:jc w:val="left"/>
    </w:pPr>
    <w:rPr>
      <w:rFonts w:ascii="Times New Roman" w:hAnsi="Times New Roman" w:eastAsia="宋体" w:cs="Times New Roman"/>
      <w:b/>
      <w:color w:val="FF6600"/>
      <w:kern w:val="2"/>
      <w:sz w:val="24"/>
      <w:szCs w:val="24"/>
      <w:lang w:val="en-US" w:eastAsia="zh-CN" w:bidi="ar-SA"/>
    </w:rPr>
  </w:style>
  <w:style w:type="paragraph" w:styleId="7">
    <w:name w:val="Body Text"/>
    <w:basedOn w:val="1"/>
    <w:qFormat/>
    <w:uiPriority w:val="0"/>
    <w:pPr>
      <w:spacing w:line="360" w:lineRule="exact"/>
    </w:pPr>
    <w:rPr>
      <w:sz w:val="24"/>
    </w:rPr>
  </w:style>
  <w:style w:type="paragraph" w:styleId="8">
    <w:name w:val="Body Text Indent"/>
    <w:basedOn w:val="1"/>
    <w:link w:val="39"/>
    <w:qFormat/>
    <w:uiPriority w:val="0"/>
    <w:pPr>
      <w:spacing w:after="120"/>
      <w:ind w:left="420" w:leftChars="200"/>
    </w:pPr>
  </w:style>
  <w:style w:type="paragraph" w:styleId="9">
    <w:name w:val="Plain Text"/>
    <w:basedOn w:val="1"/>
    <w:qFormat/>
    <w:uiPriority w:val="0"/>
    <w:rPr>
      <w:rFonts w:ascii="宋体" w:hAnsi="Courier New" w:cstheme="minorBidi"/>
    </w:rPr>
  </w:style>
  <w:style w:type="paragraph" w:styleId="10">
    <w:name w:val="Date"/>
    <w:basedOn w:val="1"/>
    <w:next w:val="1"/>
    <w:qFormat/>
    <w:uiPriority w:val="0"/>
    <w:pPr>
      <w:ind w:left="2500" w:leftChars="2500"/>
    </w:pPr>
    <w:rPr>
      <w:rFonts w:eastAsia="楷体_GB2312" w:asciiTheme="minorHAnsi" w:hAnsiTheme="minorHAnsi" w:cstheme="minorBidi"/>
      <w:sz w:val="32"/>
      <w:szCs w:val="22"/>
    </w:rPr>
  </w:style>
  <w:style w:type="paragraph" w:styleId="11">
    <w:name w:val="Balloon Text"/>
    <w:basedOn w:val="1"/>
    <w:link w:val="38"/>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5">
    <w:name w:val="annotation subject"/>
    <w:basedOn w:val="5"/>
    <w:next w:val="5"/>
    <w:link w:val="37"/>
    <w:qFormat/>
    <w:uiPriority w:val="0"/>
    <w:rPr>
      <w:b/>
      <w:bCs/>
    </w:rPr>
  </w:style>
  <w:style w:type="character" w:styleId="18">
    <w:name w:val="annotation reference"/>
    <w:basedOn w:val="17"/>
    <w:qFormat/>
    <w:uiPriority w:val="0"/>
    <w:rPr>
      <w:sz w:val="21"/>
      <w:szCs w:val="21"/>
    </w:rPr>
  </w:style>
  <w:style w:type="paragraph" w:customStyle="1" w:styleId="19">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0">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列出段落1"/>
    <w:basedOn w:val="1"/>
    <w:qFormat/>
    <w:uiPriority w:val="0"/>
    <w:pPr>
      <w:ind w:firstLine="420" w:firstLineChars="200"/>
    </w:pPr>
    <w:rPr>
      <w:rFonts w:ascii="Calibri" w:hAnsi="Calibri"/>
      <w:kern w:val="0"/>
      <w:szCs w:val="20"/>
    </w:rPr>
  </w:style>
  <w:style w:type="paragraph" w:customStyle="1" w:styleId="23">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2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_14"/>
    <w:qFormat/>
    <w:uiPriority w:val="0"/>
    <w:rPr>
      <w:rFonts w:ascii="Times New Roman" w:hAnsi="Times New Roman" w:eastAsia="宋体" w:cs="Times New Roman"/>
      <w:sz w:val="21"/>
      <w:szCs w:val="22"/>
      <w:lang w:val="en-US" w:eastAsia="zh-CN" w:bidi="ar-SA"/>
    </w:rPr>
  </w:style>
  <w:style w:type="paragraph" w:customStyle="1" w:styleId="27">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纯文本_3"/>
    <w:basedOn w:val="29"/>
    <w:qFormat/>
    <w:uiPriority w:val="0"/>
    <w:pPr>
      <w:widowControl/>
      <w:jc w:val="left"/>
    </w:pPr>
    <w:rPr>
      <w:rFonts w:ascii="宋体" w:hAnsi="Courier New" w:eastAsiaTheme="minorEastAsia" w:cstheme="minorBidi"/>
      <w:szCs w:val="21"/>
    </w:rPr>
  </w:style>
  <w:style w:type="paragraph" w:customStyle="1" w:styleId="31">
    <w:name w:val="纯文本_0_1"/>
    <w:basedOn w:val="1"/>
    <w:qFormat/>
    <w:uiPriority w:val="0"/>
    <w:pPr>
      <w:widowControl/>
      <w:jc w:val="left"/>
    </w:pPr>
    <w:rPr>
      <w:rFonts w:ascii="宋体" w:hAnsi="Courier New" w:eastAsiaTheme="minorEastAsia" w:cstheme="minorBidi"/>
      <w:szCs w:val="21"/>
    </w:rPr>
  </w:style>
  <w:style w:type="paragraph" w:customStyle="1" w:styleId="3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36">
    <w:name w:val="批注文字 Char"/>
    <w:basedOn w:val="17"/>
    <w:link w:val="5"/>
    <w:qFormat/>
    <w:uiPriority w:val="0"/>
    <w:rPr>
      <w:rFonts w:ascii="Times New Roman" w:hAnsi="Times New Roman" w:eastAsia="宋体" w:cs="Times New Roman"/>
      <w:kern w:val="2"/>
      <w:sz w:val="21"/>
      <w:szCs w:val="24"/>
    </w:rPr>
  </w:style>
  <w:style w:type="character" w:customStyle="1" w:styleId="37">
    <w:name w:val="批注主题 Char"/>
    <w:basedOn w:val="36"/>
    <w:link w:val="15"/>
    <w:qFormat/>
    <w:uiPriority w:val="0"/>
    <w:rPr>
      <w:b/>
      <w:bCs/>
    </w:rPr>
  </w:style>
  <w:style w:type="character" w:customStyle="1" w:styleId="38">
    <w:name w:val="批注框文本 Char"/>
    <w:basedOn w:val="17"/>
    <w:link w:val="11"/>
    <w:qFormat/>
    <w:uiPriority w:val="0"/>
    <w:rPr>
      <w:rFonts w:ascii="Times New Roman" w:hAnsi="Times New Roman" w:eastAsia="宋体" w:cs="Times New Roman"/>
      <w:kern w:val="2"/>
      <w:sz w:val="18"/>
      <w:szCs w:val="18"/>
    </w:rPr>
  </w:style>
  <w:style w:type="character" w:customStyle="1" w:styleId="39">
    <w:name w:val="正文文本缩进 Char"/>
    <w:basedOn w:val="17"/>
    <w:link w:val="8"/>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59</Pages>
  <Words>4169</Words>
  <Characters>23767</Characters>
  <Lines>198</Lines>
  <Paragraphs>55</Paragraphs>
  <TotalTime>4</TotalTime>
  <ScaleCrop>false</ScaleCrop>
  <LinksUpToDate>false</LinksUpToDate>
  <CharactersWithSpaces>27881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2018-06-19T13:33:00Z</dcterms:created>
  <dc:creator>沁橙</dc:creator>
  <cp:lastModifiedBy>沁橙</cp:lastModifiedBy>
  <cp:lastPrinted>2021-09-30T09:47:00Z</cp:lastPrinted>
  <dcterms:modified xsi:type="dcterms:W3CDTF">2021-10-15T08:16:38Z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63314D3A966A4A579D11719B1B5E33FB</vt:lpwstr>
  </property>
</Properties>
</file>