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kern w:val="0"/>
          <w:sz w:val="72"/>
          <w:szCs w:val="72"/>
        </w:rPr>
      </w:pPr>
    </w:p>
    <w:p>
      <w:pPr>
        <w:adjustRightInd w:val="0"/>
        <w:snapToGrid w:val="0"/>
        <w:spacing w:line="1200" w:lineRule="exact"/>
        <w:jc w:val="center"/>
        <w:rPr>
          <w:rFonts w:ascii="宋体" w:hAnsi="宋体" w:cs="宋体"/>
          <w:b/>
          <w:bCs/>
          <w:sz w:val="72"/>
        </w:rPr>
      </w:pPr>
      <w:r>
        <w:rPr>
          <w:rFonts w:hint="eastAsia" w:ascii="宋体" w:hAnsi="宋体" w:cs="宋体"/>
          <w:b/>
          <w:bCs/>
          <w:sz w:val="72"/>
        </w:rPr>
        <w:t>台州市政府采购</w:t>
      </w:r>
    </w:p>
    <w:p>
      <w:pPr>
        <w:adjustRightInd w:val="0"/>
        <w:snapToGrid w:val="0"/>
        <w:spacing w:line="1200" w:lineRule="exact"/>
        <w:jc w:val="center"/>
        <w:rPr>
          <w:rFonts w:ascii="宋体" w:hAnsi="宋体" w:cs="宋体"/>
          <w:b/>
          <w:bCs/>
          <w:sz w:val="84"/>
          <w:szCs w:val="84"/>
        </w:rPr>
      </w:pPr>
      <w:r>
        <w:rPr>
          <w:rFonts w:hint="eastAsia" w:ascii="宋体" w:hAnsi="宋体" w:cs="宋体"/>
          <w:b/>
          <w:bCs/>
          <w:sz w:val="84"/>
          <w:szCs w:val="84"/>
        </w:rPr>
        <w:t>招  标  文  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kern w:val="0"/>
          <w:sz w:val="36"/>
          <w:szCs w:val="36"/>
        </w:rPr>
      </w:pPr>
      <w:r>
        <w:rPr>
          <w:rFonts w:hint="eastAsia" w:ascii="宋体"/>
          <w:b/>
          <w:bCs/>
          <w:kern w:val="0"/>
          <w:sz w:val="36"/>
          <w:szCs w:val="36"/>
        </w:rPr>
        <w:t xml:space="preserve">   （电子招投标方式）</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kern w:val="0"/>
          <w:sz w:val="28"/>
          <w:szCs w:val="28"/>
        </w:rPr>
      </w:pPr>
      <w:r>
        <w:rPr>
          <w:rFonts w:hint="eastAsia" w:ascii="宋体"/>
          <w:kern w:val="0"/>
          <w:sz w:val="28"/>
          <w:szCs w:val="28"/>
        </w:rPr>
        <w:t xml:space="preserve">   编号：</w:t>
      </w:r>
      <w:r>
        <w:rPr>
          <w:rFonts w:hint="eastAsia" w:ascii="宋体" w:hAnsi="宋体" w:cs="宋体"/>
          <w:color w:val="000000" w:themeColor="text1"/>
          <w:kern w:val="0"/>
          <w:sz w:val="28"/>
          <w:szCs w:val="28"/>
          <w:lang w:eastAsia="zh-CN"/>
          <w14:textFill>
            <w14:solidFill>
              <w14:schemeClr w14:val="tx1"/>
            </w14:solidFill>
          </w14:textFill>
        </w:rPr>
        <w:t>JC-GK2024-004</w:t>
      </w:r>
      <w:r>
        <w:rPr>
          <w:rFonts w:hint="eastAsia" w:ascii="宋体" w:hAnsi="宋体" w:cs="宋体"/>
          <w:color w:val="000000" w:themeColor="text1"/>
          <w:kern w:val="0"/>
          <w:sz w:val="28"/>
          <w:szCs w:val="28"/>
          <w14:textFill>
            <w14:solidFill>
              <w14:schemeClr w14:val="tx1"/>
            </w14:solidFill>
          </w14:textFill>
        </w:rPr>
        <w:t>号</w:t>
      </w:r>
      <w:r>
        <w:rPr>
          <w:rFonts w:hint="eastAsia" w:ascii="宋体" w:hAnsi="宋体" w:cs="宋体"/>
          <w:kern w:val="0"/>
          <w:sz w:val="28"/>
          <w:szCs w:val="28"/>
        </w:rPr>
        <w:t xml:space="preserve"> </w:t>
      </w:r>
    </w:p>
    <w:p>
      <w:pPr>
        <w:pStyle w:val="21"/>
        <w:jc w:val="center"/>
      </w:pPr>
    </w:p>
    <w:p>
      <w:pPr>
        <w:pStyle w:val="22"/>
        <w:ind w:firstLine="0" w:firstLineChars="0"/>
        <w:rPr>
          <w:color w:val="auto"/>
        </w:rPr>
      </w:pPr>
    </w:p>
    <w:p>
      <w:pPr>
        <w:pStyle w:val="21"/>
        <w:jc w:val="center"/>
      </w:pPr>
    </w:p>
    <w:p>
      <w:pPr>
        <w:spacing w:line="600" w:lineRule="auto"/>
        <w:ind w:left="1600" w:hanging="1600" w:hangingChars="500"/>
        <w:jc w:val="center"/>
        <w:rPr>
          <w:rFonts w:ascii="宋体" w:hAnsi="宋体" w:cs="宋体"/>
          <w:kern w:val="0"/>
          <w:sz w:val="32"/>
        </w:rPr>
      </w:pPr>
    </w:p>
    <w:p>
      <w:pPr>
        <w:spacing w:line="600" w:lineRule="auto"/>
        <w:ind w:left="1600" w:hanging="1600" w:hangingChars="500"/>
        <w:jc w:val="center"/>
        <w:rPr>
          <w:rFonts w:hint="eastAsia" w:eastAsia="宋体"/>
          <w:sz w:val="22"/>
          <w:szCs w:val="28"/>
          <w:lang w:eastAsia="zh-CN"/>
        </w:rPr>
      </w:pPr>
      <w:r>
        <w:rPr>
          <w:rFonts w:hint="eastAsia" w:ascii="宋体"/>
          <w:kern w:val="0"/>
          <w:sz w:val="32"/>
          <w:szCs w:val="32"/>
        </w:rPr>
        <w:t>采购项目：</w:t>
      </w:r>
      <w:r>
        <w:rPr>
          <w:rFonts w:hint="eastAsia" w:ascii="宋体"/>
          <w:kern w:val="0"/>
          <w:sz w:val="32"/>
          <w:szCs w:val="32"/>
          <w:u w:val="single"/>
          <w:lang w:eastAsia="zh-CN"/>
        </w:rPr>
        <w:t>台州市三梅中学网络及安全设备采购项目</w:t>
      </w:r>
    </w:p>
    <w:p>
      <w:pPr>
        <w:spacing w:line="600" w:lineRule="auto"/>
        <w:jc w:val="center"/>
        <w:rPr>
          <w:rFonts w:ascii="宋体"/>
          <w:kern w:val="0"/>
          <w:sz w:val="32"/>
          <w:szCs w:val="32"/>
          <w:u w:val="single"/>
        </w:rPr>
      </w:pPr>
      <w:r>
        <w:rPr>
          <w:rFonts w:hint="eastAsia" w:ascii="宋体"/>
          <w:kern w:val="0"/>
          <w:sz w:val="32"/>
          <w:szCs w:val="32"/>
        </w:rPr>
        <w:t>采 购 人：</w:t>
      </w:r>
      <w:r>
        <w:rPr>
          <w:rFonts w:hint="eastAsia" w:ascii="宋体"/>
          <w:kern w:val="0"/>
          <w:sz w:val="32"/>
          <w:szCs w:val="32"/>
          <w:u w:val="single"/>
        </w:rPr>
        <w:t xml:space="preserve"> 台州市三梅中学</w:t>
      </w:r>
    </w:p>
    <w:p>
      <w:pPr>
        <w:pStyle w:val="21"/>
      </w:pPr>
    </w:p>
    <w:p>
      <w:pPr>
        <w:spacing w:line="360" w:lineRule="auto"/>
        <w:jc w:val="center"/>
        <w:rPr>
          <w:rFonts w:ascii="宋体"/>
          <w:kern w:val="0"/>
          <w:sz w:val="28"/>
          <w:szCs w:val="28"/>
        </w:rPr>
      </w:pPr>
    </w:p>
    <w:p>
      <w:pPr>
        <w:pStyle w:val="21"/>
      </w:pPr>
    </w:p>
    <w:p>
      <w:pPr>
        <w:spacing w:line="360" w:lineRule="auto"/>
        <w:rPr>
          <w:rFonts w:ascii="宋体"/>
          <w:kern w:val="0"/>
          <w:sz w:val="28"/>
          <w:szCs w:val="28"/>
        </w:rPr>
      </w:pPr>
    </w:p>
    <w:p>
      <w:pPr>
        <w:pStyle w:val="21"/>
      </w:pPr>
    </w:p>
    <w:p>
      <w:pPr>
        <w:spacing w:line="360" w:lineRule="auto"/>
        <w:jc w:val="center"/>
        <w:rPr>
          <w:rFonts w:ascii="宋体"/>
          <w:kern w:val="0"/>
          <w:sz w:val="28"/>
          <w:szCs w:val="28"/>
        </w:rPr>
      </w:pPr>
      <w:r>
        <w:rPr>
          <w:rFonts w:hint="eastAsia" w:ascii="宋体"/>
          <w:kern w:val="0"/>
          <w:sz w:val="28"/>
          <w:szCs w:val="28"/>
        </w:rPr>
        <w:t>台州市玖诚工程管理有限公司</w:t>
      </w:r>
    </w:p>
    <w:p>
      <w:pPr>
        <w:pStyle w:val="21"/>
      </w:pPr>
    </w:p>
    <w:p>
      <w:pPr>
        <w:pStyle w:val="22"/>
        <w:ind w:firstLine="304"/>
        <w:jc w:val="center"/>
        <w:rPr>
          <w:color w:val="auto"/>
        </w:rPr>
      </w:pPr>
      <w:r>
        <w:rPr>
          <w:rFonts w:hint="eastAsia" w:ascii="宋体"/>
          <w:color w:val="auto"/>
          <w:szCs w:val="28"/>
        </w:rPr>
        <w:t>二0二四年</w:t>
      </w:r>
      <w:r>
        <w:rPr>
          <w:rFonts w:hint="eastAsia" w:ascii="宋体"/>
          <w:color w:val="auto"/>
          <w:szCs w:val="28"/>
          <w:lang w:val="en-US" w:eastAsia="zh-CN"/>
        </w:rPr>
        <w:t>四</w:t>
      </w:r>
      <w:r>
        <w:rPr>
          <w:rFonts w:hint="eastAsia" w:ascii="宋体"/>
          <w:color w:val="auto"/>
          <w:szCs w:val="28"/>
        </w:rPr>
        <w:t>月</w:t>
      </w:r>
    </w:p>
    <w:p>
      <w:pP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目    录</w:t>
      </w:r>
    </w:p>
    <w:p>
      <w:pPr>
        <w:spacing w:line="360" w:lineRule="auto"/>
        <w:rPr>
          <w:rFonts w:ascii="宋体" w:hAnsi="宋体" w:cs="宋体"/>
          <w:sz w:val="28"/>
          <w:szCs w:val="28"/>
        </w:rPr>
      </w:pPr>
    </w:p>
    <w:p>
      <w:pPr>
        <w:numPr>
          <w:ilvl w:val="0"/>
          <w:numId w:val="8"/>
        </w:numPr>
        <w:spacing w:line="360" w:lineRule="auto"/>
        <w:rPr>
          <w:rFonts w:ascii="宋体" w:hAnsi="宋体" w:cs="宋体"/>
          <w:b/>
          <w:sz w:val="28"/>
          <w:szCs w:val="28"/>
        </w:rPr>
      </w:pPr>
      <w:r>
        <w:rPr>
          <w:rFonts w:hint="eastAsia" w:ascii="宋体" w:hAnsi="宋体" w:cs="宋体"/>
          <w:b/>
          <w:sz w:val="28"/>
          <w:szCs w:val="28"/>
        </w:rPr>
        <w:t>公开招标采购公告</w:t>
      </w:r>
    </w:p>
    <w:p>
      <w:pPr>
        <w:numPr>
          <w:ilvl w:val="0"/>
          <w:numId w:val="8"/>
        </w:numPr>
        <w:spacing w:line="360" w:lineRule="auto"/>
        <w:rPr>
          <w:rFonts w:ascii="宋体" w:hAnsi="宋体" w:cs="宋体"/>
          <w:b/>
          <w:sz w:val="28"/>
          <w:szCs w:val="28"/>
        </w:rPr>
      </w:pPr>
      <w:r>
        <w:rPr>
          <w:rFonts w:hint="eastAsia" w:ascii="宋体" w:hAnsi="宋体" w:cs="宋体"/>
          <w:b/>
          <w:sz w:val="28"/>
          <w:szCs w:val="28"/>
        </w:rPr>
        <w:t>投标人须知</w:t>
      </w:r>
    </w:p>
    <w:p>
      <w:pPr>
        <w:numPr>
          <w:ilvl w:val="0"/>
          <w:numId w:val="8"/>
        </w:numPr>
        <w:spacing w:line="360" w:lineRule="auto"/>
        <w:rPr>
          <w:rFonts w:ascii="宋体" w:hAnsi="宋体" w:cs="宋体"/>
          <w:b/>
          <w:sz w:val="28"/>
          <w:szCs w:val="28"/>
        </w:rPr>
      </w:pPr>
      <w:r>
        <w:rPr>
          <w:rFonts w:hint="eastAsia" w:ascii="宋体" w:hAnsi="宋体" w:cs="宋体"/>
          <w:b/>
          <w:sz w:val="28"/>
          <w:szCs w:val="28"/>
        </w:rPr>
        <w:t>评标办法及评分标准</w:t>
      </w:r>
    </w:p>
    <w:p>
      <w:pPr>
        <w:numPr>
          <w:ilvl w:val="0"/>
          <w:numId w:val="8"/>
        </w:numPr>
        <w:spacing w:line="360" w:lineRule="auto"/>
        <w:rPr>
          <w:rFonts w:ascii="宋体" w:hAnsi="宋体" w:cs="宋体"/>
          <w:b/>
          <w:sz w:val="28"/>
          <w:szCs w:val="28"/>
        </w:rPr>
      </w:pPr>
      <w:r>
        <w:rPr>
          <w:rFonts w:hint="eastAsia" w:ascii="宋体" w:hAnsi="宋体" w:cs="宋体"/>
          <w:b/>
          <w:sz w:val="28"/>
          <w:szCs w:val="28"/>
        </w:rPr>
        <w:t>公开招标需求</w:t>
      </w:r>
    </w:p>
    <w:p>
      <w:pPr>
        <w:numPr>
          <w:ilvl w:val="0"/>
          <w:numId w:val="8"/>
        </w:numPr>
        <w:spacing w:line="360" w:lineRule="auto"/>
        <w:rPr>
          <w:rFonts w:ascii="宋体" w:hAnsi="宋体" w:cs="宋体"/>
          <w:b/>
          <w:sz w:val="28"/>
          <w:szCs w:val="28"/>
        </w:rPr>
      </w:pPr>
      <w:r>
        <w:rPr>
          <w:rFonts w:hint="eastAsia" w:ascii="宋体" w:hAnsi="宋体" w:cs="宋体"/>
          <w:b/>
          <w:sz w:val="28"/>
          <w:szCs w:val="28"/>
        </w:rPr>
        <w:t>政府采购合同主要条款指引</w:t>
      </w:r>
    </w:p>
    <w:p>
      <w:pPr>
        <w:numPr>
          <w:ilvl w:val="0"/>
          <w:numId w:val="8"/>
        </w:numPr>
        <w:spacing w:line="360" w:lineRule="auto"/>
        <w:rPr>
          <w:rFonts w:ascii="宋体" w:hAnsi="宋体" w:cs="宋体"/>
          <w:b/>
          <w:sz w:val="28"/>
          <w:szCs w:val="28"/>
        </w:rPr>
      </w:pPr>
      <w:r>
        <w:rPr>
          <w:rFonts w:hint="eastAsia" w:ascii="宋体" w:hAnsi="宋体" w:cs="宋体"/>
          <w:b/>
          <w:sz w:val="28"/>
          <w:szCs w:val="28"/>
        </w:rPr>
        <w:t>电子投标文件格式附件</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45"/>
      </w:pPr>
    </w:p>
    <w:p/>
    <w:p>
      <w:pPr>
        <w:pStyle w:val="15"/>
      </w:pPr>
    </w:p>
    <w:p/>
    <w:p>
      <w:pPr>
        <w:rPr>
          <w:rFonts w:ascii="宋体" w:hAnsi="宋体" w:cs="宋体"/>
          <w:b/>
          <w:sz w:val="36"/>
          <w:szCs w:val="36"/>
        </w:rPr>
      </w:pPr>
      <w:r>
        <w:rPr>
          <w:rFonts w:hint="eastAsia" w:ascii="宋体" w:hAnsi="宋体" w:cs="宋体"/>
          <w:b/>
          <w:kern w:val="0"/>
          <w:sz w:val="36"/>
          <w:szCs w:val="36"/>
        </w:rPr>
        <w:br w:type="page"/>
      </w:r>
    </w:p>
    <w:p>
      <w:pPr>
        <w:numPr>
          <w:ilvl w:val="0"/>
          <w:numId w:val="9"/>
        </w:numPr>
        <w:jc w:val="center"/>
        <w:rPr>
          <w:rFonts w:ascii="宋体" w:hAnsi="宋体" w:cs="宋体"/>
          <w:b/>
          <w:sz w:val="36"/>
          <w:szCs w:val="36"/>
        </w:rPr>
      </w:pPr>
      <w:r>
        <w:rPr>
          <w:rFonts w:hint="eastAsia" w:ascii="宋体" w:hAnsi="宋体" w:cs="宋体"/>
          <w:b/>
          <w:kern w:val="0"/>
          <w:sz w:val="36"/>
          <w:szCs w:val="36"/>
        </w:rPr>
        <w:t xml:space="preserve"> 公开</w:t>
      </w:r>
      <w:r>
        <w:rPr>
          <w:rFonts w:hint="eastAsia" w:ascii="宋体" w:hAnsi="宋体" w:cs="宋体"/>
          <w:b/>
          <w:sz w:val="36"/>
          <w:szCs w:val="36"/>
        </w:rPr>
        <w:t>招标采购公告</w:t>
      </w:r>
    </w:p>
    <w:p>
      <w:pPr>
        <w:pStyle w:val="63"/>
      </w:pPr>
    </w:p>
    <w:p>
      <w:pPr>
        <w:spacing w:line="360" w:lineRule="auto"/>
        <w:ind w:firstLine="480" w:firstLineChars="200"/>
        <w:rPr>
          <w:rFonts w:ascii="宋体" w:hAnsi="宋体" w:cs="宋体"/>
          <w:sz w:val="24"/>
        </w:rPr>
      </w:pPr>
      <w:r>
        <w:rPr>
          <w:rFonts w:hint="eastAsia" w:ascii="宋体" w:hAnsi="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sz w:val="24"/>
          <w:szCs w:val="32"/>
        </w:rPr>
        <w:t>台州市玖诚工程管理有限公司</w:t>
      </w:r>
      <w:r>
        <w:rPr>
          <w:rFonts w:hint="eastAsia" w:ascii="宋体" w:hAnsi="宋体" w:cs="宋体"/>
          <w:sz w:val="24"/>
          <w:szCs w:val="32"/>
        </w:rPr>
        <w:t>受</w:t>
      </w:r>
      <w:r>
        <w:rPr>
          <w:rFonts w:hint="eastAsia" w:ascii="宋体" w:hAnsi="宋体" w:cs="宋体"/>
          <w:b/>
          <w:bCs/>
          <w:sz w:val="24"/>
          <w:szCs w:val="32"/>
        </w:rPr>
        <w:t>台州市三梅中学</w:t>
      </w:r>
      <w:r>
        <w:rPr>
          <w:rFonts w:hint="eastAsia" w:ascii="宋体" w:hAnsi="宋体" w:cs="宋体"/>
          <w:sz w:val="24"/>
          <w:szCs w:val="32"/>
        </w:rPr>
        <w:t>委托，现就其</w:t>
      </w:r>
      <w:r>
        <w:rPr>
          <w:rFonts w:hint="eastAsia" w:ascii="宋体" w:hAnsi="宋体" w:cs="宋体"/>
          <w:b/>
          <w:bCs/>
          <w:sz w:val="24"/>
          <w:szCs w:val="32"/>
          <w:lang w:eastAsia="zh-CN"/>
        </w:rPr>
        <w:t>台州市三梅中学网络及安全设备采购项目</w:t>
      </w:r>
      <w:r>
        <w:rPr>
          <w:rFonts w:hint="eastAsia" w:ascii="宋体" w:hAnsi="宋体" w:cs="宋体"/>
          <w:sz w:val="24"/>
          <w:szCs w:val="32"/>
        </w:rPr>
        <w:t>进行公开招标采购，欢迎合格供应商前来投标</w:t>
      </w:r>
      <w:r>
        <w:rPr>
          <w:rFonts w:hint="eastAsia" w:ascii="宋体" w:hAnsi="宋体" w:cs="宋体"/>
          <w:kern w:val="0"/>
          <w:sz w:val="24"/>
        </w:rPr>
        <w:t>（电子招投标）。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kern w:val="0"/>
          <w:sz w:val="24"/>
        </w:rPr>
      </w:pPr>
      <w:r>
        <w:rPr>
          <w:rFonts w:hint="eastAsia" w:ascii="宋体" w:hAnsi="宋体" w:cs="宋体"/>
          <w:b/>
          <w:kern w:val="0"/>
          <w:sz w:val="24"/>
        </w:rPr>
        <w:t>一、项目编号：</w:t>
      </w:r>
      <w:r>
        <w:rPr>
          <w:rFonts w:hint="eastAsia" w:ascii="宋体" w:hAnsi="宋体" w:cs="宋体"/>
          <w:b/>
          <w:kern w:val="0"/>
          <w:sz w:val="24"/>
          <w:lang w:eastAsia="zh-CN"/>
        </w:rPr>
        <w:t>JC-GK2024-004</w:t>
      </w:r>
      <w:r>
        <w:rPr>
          <w:rFonts w:hint="eastAsia" w:ascii="宋体" w:hAnsi="宋体" w:cs="宋体"/>
          <w:b/>
          <w:kern w:val="0"/>
          <w:sz w:val="24"/>
        </w:rPr>
        <w:t xml:space="preserve">号 </w:t>
      </w:r>
    </w:p>
    <w:p>
      <w:pPr>
        <w:tabs>
          <w:tab w:val="left" w:pos="180"/>
          <w:tab w:val="left" w:pos="360"/>
          <w:tab w:val="left" w:pos="54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kern w:val="0"/>
          <w:sz w:val="24"/>
        </w:rPr>
        <w:t>二、招标项目概况：</w:t>
      </w:r>
    </w:p>
    <w:p>
      <w:pPr>
        <w:tabs>
          <w:tab w:val="left" w:pos="8280"/>
        </w:tabs>
        <w:autoSpaceDE w:val="0"/>
        <w:autoSpaceDN w:val="0"/>
        <w:adjustRightInd w:val="0"/>
        <w:spacing w:line="360" w:lineRule="auto"/>
        <w:ind w:right="25" w:firstLine="280"/>
        <w:rPr>
          <w:rFonts w:ascii="宋体" w:hAnsi="宋体" w:cs="宋体"/>
          <w:sz w:val="24"/>
        </w:rPr>
      </w:pPr>
      <w:r>
        <w:rPr>
          <w:rFonts w:hint="eastAsia" w:ascii="宋体" w:hAnsi="宋体" w:cs="宋体"/>
          <w:sz w:val="24"/>
        </w:rPr>
        <w:t>本次招标共</w:t>
      </w:r>
      <w:r>
        <w:rPr>
          <w:rFonts w:hint="eastAsia" w:ascii="宋体" w:hAnsi="宋体" w:cs="宋体"/>
          <w:sz w:val="24"/>
          <w:u w:val="single"/>
        </w:rPr>
        <w:t xml:space="preserve"> 1 </w:t>
      </w:r>
      <w:r>
        <w:rPr>
          <w:rFonts w:hint="eastAsia" w:ascii="宋体" w:hAnsi="宋体" w:cs="宋体"/>
          <w:sz w:val="24"/>
        </w:rPr>
        <w:t>个标段，具体内容如下表：</w:t>
      </w:r>
    </w:p>
    <w:tbl>
      <w:tblPr>
        <w:tblStyle w:val="48"/>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标段号</w:t>
            </w:r>
          </w:p>
        </w:tc>
        <w:tc>
          <w:tcPr>
            <w:tcW w:w="3090"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sz w:val="24"/>
              </w:rPr>
            </w:pPr>
            <w:r>
              <w:rPr>
                <w:rFonts w:hint="eastAsia" w:ascii="宋体" w:hAnsi="宋体" w:cs="宋体"/>
                <w:b/>
                <w:sz w:val="24"/>
              </w:rPr>
              <w:t>项目名称</w:t>
            </w:r>
          </w:p>
        </w:tc>
        <w:tc>
          <w:tcPr>
            <w:tcW w:w="172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内容</w:t>
            </w:r>
          </w:p>
        </w:tc>
        <w:tc>
          <w:tcPr>
            <w:tcW w:w="76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数量</w:t>
            </w:r>
          </w:p>
        </w:tc>
        <w:tc>
          <w:tcPr>
            <w:tcW w:w="1020"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单位</w:t>
            </w:r>
          </w:p>
        </w:tc>
        <w:tc>
          <w:tcPr>
            <w:tcW w:w="121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预算</w:t>
            </w:r>
          </w:p>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color w:val="auto"/>
                <w:sz w:val="24"/>
              </w:rPr>
              <w:t>（万元）</w:t>
            </w:r>
          </w:p>
        </w:tc>
        <w:tc>
          <w:tcPr>
            <w:tcW w:w="1054"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sz w:val="24"/>
              </w:rPr>
            </w:pPr>
            <w:r>
              <w:rPr>
                <w:rFonts w:hint="eastAsia" w:ascii="宋体" w:hAnsi="宋体" w:cs="宋体"/>
                <w:sz w:val="24"/>
              </w:rPr>
              <w:t>1</w:t>
            </w:r>
          </w:p>
        </w:tc>
        <w:tc>
          <w:tcPr>
            <w:tcW w:w="3090" w:type="dxa"/>
            <w:vAlign w:val="center"/>
          </w:tcPr>
          <w:p>
            <w:pPr>
              <w:jc w:val="center"/>
              <w:rPr>
                <w:rFonts w:hint="eastAsia" w:ascii="宋体" w:hAnsi="宋体" w:eastAsia="宋体" w:cs="宋体"/>
                <w:sz w:val="24"/>
                <w:lang w:eastAsia="zh-CN"/>
              </w:rPr>
            </w:pPr>
            <w:r>
              <w:rPr>
                <w:rFonts w:hint="eastAsia" w:hAnsi="宋体" w:cs="仿宋_GB2312"/>
                <w:sz w:val="24"/>
                <w:lang w:eastAsia="zh-CN"/>
              </w:rPr>
              <w:t>台州市三梅中学网络及安全设备采购项目</w:t>
            </w:r>
          </w:p>
        </w:tc>
        <w:tc>
          <w:tcPr>
            <w:tcW w:w="1725" w:type="dxa"/>
            <w:vAlign w:val="center"/>
          </w:tcPr>
          <w:p>
            <w:pPr>
              <w:jc w:val="center"/>
              <w:rPr>
                <w:rFonts w:ascii="宋体" w:hAnsi="宋体" w:cs="宋体"/>
                <w:sz w:val="24"/>
              </w:rPr>
            </w:pPr>
            <w:r>
              <w:rPr>
                <w:rFonts w:hint="eastAsia" w:ascii="宋体" w:hAnsi="宋体" w:cs="宋体"/>
                <w:sz w:val="24"/>
              </w:rPr>
              <w:t>详见具体技术需求</w:t>
            </w:r>
          </w:p>
        </w:tc>
        <w:tc>
          <w:tcPr>
            <w:tcW w:w="765" w:type="dxa"/>
            <w:vAlign w:val="center"/>
          </w:tcPr>
          <w:p>
            <w:pPr>
              <w:jc w:val="center"/>
              <w:rPr>
                <w:rFonts w:ascii="宋体" w:hAnsi="宋体" w:cs="宋体"/>
                <w:sz w:val="24"/>
              </w:rPr>
            </w:pPr>
            <w:r>
              <w:rPr>
                <w:rFonts w:hint="eastAsia" w:ascii="宋体" w:hAnsi="宋体" w:cs="宋体"/>
                <w:sz w:val="24"/>
              </w:rPr>
              <w:t>1</w:t>
            </w:r>
          </w:p>
        </w:tc>
        <w:tc>
          <w:tcPr>
            <w:tcW w:w="1020" w:type="dxa"/>
            <w:vAlign w:val="center"/>
          </w:tcPr>
          <w:p>
            <w:pPr>
              <w:jc w:val="center"/>
              <w:rPr>
                <w:rFonts w:ascii="宋体" w:hAnsi="宋体" w:cs="宋体"/>
                <w:sz w:val="24"/>
              </w:rPr>
            </w:pPr>
            <w:r>
              <w:rPr>
                <w:rFonts w:hint="eastAsia" w:ascii="宋体" w:hAnsi="宋体" w:cs="宋体"/>
                <w:sz w:val="24"/>
              </w:rPr>
              <w:t>项</w:t>
            </w:r>
          </w:p>
        </w:tc>
        <w:tc>
          <w:tcPr>
            <w:tcW w:w="121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340</w:t>
            </w:r>
          </w:p>
        </w:tc>
        <w:tc>
          <w:tcPr>
            <w:tcW w:w="1054" w:type="dxa"/>
            <w:vAlign w:val="center"/>
          </w:tcPr>
          <w:p>
            <w:pPr>
              <w:jc w:val="center"/>
              <w:rPr>
                <w:rFonts w:ascii="宋体" w:hAnsi="宋体" w:cs="宋体"/>
                <w:sz w:val="24"/>
              </w:rPr>
            </w:pPr>
          </w:p>
        </w:tc>
      </w:tr>
    </w:tbl>
    <w:p>
      <w:pPr>
        <w:widowControl/>
        <w:tabs>
          <w:tab w:val="left" w:pos="0"/>
        </w:tabs>
        <w:spacing w:line="360" w:lineRule="auto"/>
        <w:rPr>
          <w:rFonts w:ascii="宋体" w:hAnsi="宋体" w:cs="宋体"/>
          <w:b/>
          <w:sz w:val="24"/>
        </w:rPr>
      </w:pPr>
      <w:r>
        <w:rPr>
          <w:rFonts w:hint="eastAsia" w:ascii="宋体" w:hAnsi="宋体" w:cs="宋体"/>
          <w:b/>
          <w:sz w:val="24"/>
          <w:u w:val="single"/>
        </w:rPr>
        <w:t>本项目采用“电子交易”的方式提交投标文件，请各供应商按照要求进行。</w:t>
      </w:r>
    </w:p>
    <w:p>
      <w:pPr>
        <w:tabs>
          <w:tab w:val="left" w:pos="180"/>
          <w:tab w:val="left" w:pos="360"/>
          <w:tab w:val="left" w:pos="54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sz w:val="24"/>
        </w:rPr>
        <w:t>三、合格投标人的资格条件：</w:t>
      </w:r>
    </w:p>
    <w:p>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cs="宋体"/>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z w:val="24"/>
        </w:rPr>
      </w:pPr>
      <w:bookmarkStart w:id="0" w:name="OLE_LINK10"/>
      <w:r>
        <w:rPr>
          <w:rFonts w:hint="eastAsia" w:ascii="宋体" w:hAnsi="宋体" w:cs="宋体"/>
          <w:sz w:val="24"/>
        </w:rPr>
        <w:t>2、</w:t>
      </w:r>
      <w:r>
        <w:rPr>
          <w:rFonts w:hint="eastAsia" w:ascii="宋体" w:hAnsi="宋体"/>
          <w:bCs/>
          <w:sz w:val="24"/>
        </w:rPr>
        <w:t>落实政府采购政策需满足的资格要求：</w:t>
      </w:r>
      <w:r>
        <w:rPr>
          <w:rFonts w:hint="eastAsia" w:ascii="宋体" w:hAnsi="宋体" w:cs="宋体"/>
          <w:b/>
          <w:sz w:val="24"/>
        </w:rPr>
        <w:t>无。</w:t>
      </w:r>
    </w:p>
    <w:p>
      <w:pPr>
        <w:spacing w:line="360" w:lineRule="auto"/>
        <w:ind w:firstLine="480" w:firstLineChars="200"/>
        <w:rPr>
          <w:rFonts w:ascii="宋体" w:hAnsi="宋体" w:cs="宋体"/>
          <w:sz w:val="24"/>
        </w:rPr>
      </w:pPr>
      <w:r>
        <w:rPr>
          <w:rFonts w:hint="eastAsia" w:ascii="宋体" w:hAnsi="宋体" w:cs="宋体"/>
          <w:sz w:val="24"/>
        </w:rPr>
        <w:t>3、本项目不接受联合体投标。</w:t>
      </w:r>
      <w:bookmarkEnd w:id="0"/>
    </w:p>
    <w:p>
      <w:pPr>
        <w:tabs>
          <w:tab w:val="left" w:pos="180"/>
          <w:tab w:val="left" w:pos="360"/>
          <w:tab w:val="left" w:pos="540"/>
          <w:tab w:val="left" w:pos="8280"/>
        </w:tabs>
        <w:autoSpaceDE w:val="0"/>
        <w:autoSpaceDN w:val="0"/>
        <w:spacing w:line="360" w:lineRule="auto"/>
        <w:ind w:firstLine="482" w:firstLineChars="200"/>
        <w:rPr>
          <w:rFonts w:ascii="宋体" w:hAnsi="宋体" w:cs="宋体"/>
          <w:b/>
          <w:sz w:val="24"/>
        </w:rPr>
      </w:pPr>
      <w:r>
        <w:rPr>
          <w:rFonts w:hint="eastAsia" w:ascii="宋体" w:hAnsi="宋体" w:cs="宋体"/>
          <w:b/>
          <w:sz w:val="24"/>
        </w:rPr>
        <w:t>四、招标文件获取的方式、时间：</w:t>
      </w:r>
    </w:p>
    <w:p>
      <w:pPr>
        <w:spacing w:line="360" w:lineRule="auto"/>
        <w:ind w:left="420"/>
        <w:rPr>
          <w:rFonts w:ascii="宋体" w:hAnsi="宋体" w:cs="宋体"/>
          <w:sz w:val="24"/>
        </w:rPr>
      </w:pPr>
      <w:r>
        <w:rPr>
          <w:rFonts w:hint="eastAsia" w:ascii="宋体" w:hAnsi="宋体" w:cs="宋体"/>
          <w:sz w:val="24"/>
        </w:rPr>
        <w:t>1、获取时间：2024年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日至2024年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 ，每天上午00:00至12:00 ，下午12:00至23:59（北京时间，线上获取法定节假日均可）</w:t>
      </w:r>
    </w:p>
    <w:p>
      <w:pPr>
        <w:spacing w:line="360" w:lineRule="auto"/>
        <w:ind w:left="420"/>
        <w:rPr>
          <w:rFonts w:ascii="宋体" w:hAnsi="宋体" w:cs="宋体"/>
          <w:sz w:val="24"/>
        </w:rPr>
      </w:pPr>
      <w:r>
        <w:rPr>
          <w:rFonts w:hint="eastAsia" w:ascii="宋体" w:hAnsi="宋体" w:cs="宋体"/>
          <w:sz w:val="24"/>
        </w:rPr>
        <w:t>2、获取地点（网址）：政府采购云平台（www.zcygov.cn）</w:t>
      </w:r>
    </w:p>
    <w:p>
      <w:pPr>
        <w:spacing w:line="360" w:lineRule="auto"/>
        <w:ind w:left="420"/>
        <w:rPr>
          <w:rFonts w:ascii="宋体" w:hAnsi="宋体" w:cs="宋体"/>
          <w:b/>
          <w:bCs/>
          <w:sz w:val="24"/>
        </w:rPr>
      </w:pPr>
      <w:r>
        <w:rPr>
          <w:rFonts w:hint="eastAsia" w:ascii="宋体" w:hAnsi="宋体" w:cs="宋体"/>
          <w:sz w:val="24"/>
        </w:rPr>
        <w:t>3、获取方式：</w:t>
      </w:r>
      <w:r>
        <w:rPr>
          <w:rFonts w:hint="eastAsia" w:ascii="宋体" w:hAnsi="宋体" w:cs="宋体"/>
          <w:b/>
          <w:bCs/>
          <w:sz w:val="24"/>
        </w:rPr>
        <w:t>在线获取，</w:t>
      </w:r>
      <w:r>
        <w:rPr>
          <w:rFonts w:hint="eastAsia" w:ascii="宋体" w:hAnsi="宋体" w:cs="宋体"/>
          <w:b/>
          <w:sz w:val="24"/>
        </w:rPr>
        <w:t>不提供招标文件纸质版。</w:t>
      </w:r>
      <w:r>
        <w:rPr>
          <w:rFonts w:hint="eastAsia" w:ascii="宋体" w:hAnsi="宋体" w:cs="宋体"/>
          <w:b/>
          <w:bCs/>
          <w:sz w:val="24"/>
        </w:rPr>
        <w:t>供应商获取招标文件前应先完成“浙江政府采购网”的账号注册。</w:t>
      </w:r>
    </w:p>
    <w:p>
      <w:pPr>
        <w:spacing w:line="360" w:lineRule="auto"/>
        <w:ind w:left="420" w:firstLine="480" w:firstLineChars="200"/>
        <w:rPr>
          <w:rFonts w:ascii="宋体" w:hAnsi="宋体" w:cs="宋体"/>
          <w:sz w:val="24"/>
        </w:rPr>
      </w:pPr>
      <w:r>
        <w:rPr>
          <w:rFonts w:hint="eastAsia" w:ascii="宋体" w:hAnsi="宋体" w:cs="宋体"/>
          <w:sz w:val="24"/>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left="420"/>
        <w:rPr>
          <w:rFonts w:ascii="宋体" w:hAnsi="宋体" w:cs="宋体"/>
          <w:sz w:val="24"/>
        </w:rPr>
      </w:pPr>
      <w:r>
        <w:rPr>
          <w:rFonts w:hint="eastAsia" w:ascii="宋体" w:hAnsi="宋体" w:cs="宋体"/>
          <w:sz w:val="24"/>
        </w:rPr>
        <w:t xml:space="preserve">4、售价（元）：0 </w:t>
      </w:r>
    </w:p>
    <w:p>
      <w:pPr>
        <w:spacing w:line="360" w:lineRule="auto"/>
        <w:ind w:firstLine="480" w:firstLineChars="200"/>
        <w:rPr>
          <w:rFonts w:ascii="宋体" w:hAnsi="宋体" w:cs="宋体"/>
          <w:sz w:val="24"/>
        </w:rPr>
      </w:pPr>
      <w:r>
        <w:rPr>
          <w:rFonts w:hint="eastAsia" w:ascii="宋体" w:hAnsi="宋体" w:cs="宋体"/>
          <w:sz w:val="24"/>
        </w:rPr>
        <w:t>5、</w:t>
      </w:r>
      <w:r>
        <w:rPr>
          <w:rStyle w:val="51"/>
          <w:rFonts w:hint="eastAsia" w:ascii="宋体" w:hAnsi="宋体" w:cs="宋体"/>
          <w:b w:val="0"/>
          <w:sz w:val="24"/>
        </w:rPr>
        <w:t>供应商网上报名操作指南：“浙江政府采购网-办事指南-省采中心-网上报名”（http://zfcg.czt.zj.gov.cn/bs_other/2018-03-30/12002.html）。</w:t>
      </w:r>
    </w:p>
    <w:p>
      <w:pPr>
        <w:pStyle w:val="44"/>
        <w:spacing w:before="0" w:beforeAutospacing="0" w:after="0" w:afterAutospacing="0" w:line="360" w:lineRule="auto"/>
        <w:ind w:firstLine="480" w:firstLineChars="200"/>
        <w:rPr>
          <w:rFonts w:hint="default" w:cs="宋体"/>
        </w:rPr>
      </w:pPr>
      <w:r>
        <w:rPr>
          <w:rStyle w:val="51"/>
          <w:rFonts w:cs="宋体"/>
          <w:b w:val="0"/>
        </w:rPr>
        <w:t>6、供应商获取招标文件时须提交的文件资料：无；</w:t>
      </w:r>
    </w:p>
    <w:p>
      <w:pPr>
        <w:pStyle w:val="44"/>
        <w:spacing w:before="0" w:beforeAutospacing="0" w:after="0" w:afterAutospacing="0" w:line="360" w:lineRule="auto"/>
        <w:ind w:firstLine="482" w:firstLineChars="200"/>
        <w:rPr>
          <w:rStyle w:val="51"/>
          <w:rFonts w:hint="default" w:cs="宋体"/>
        </w:rPr>
      </w:pPr>
      <w:r>
        <w:rPr>
          <w:rStyle w:val="51"/>
          <w:rFonts w:cs="宋体"/>
        </w:rPr>
        <w:t>7、提示：</w:t>
      </w:r>
    </w:p>
    <w:p>
      <w:pPr>
        <w:pStyle w:val="44"/>
        <w:spacing w:before="0" w:beforeAutospacing="0" w:after="0" w:afterAutospacing="0" w:line="360" w:lineRule="auto"/>
        <w:ind w:firstLine="482" w:firstLineChars="200"/>
        <w:rPr>
          <w:rFonts w:hint="default" w:cs="宋体"/>
        </w:rPr>
      </w:pPr>
      <w:r>
        <w:rPr>
          <w:rStyle w:val="51"/>
          <w:rFonts w:cs="宋体"/>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44"/>
        <w:spacing w:before="0" w:beforeAutospacing="0" w:after="0" w:afterAutospacing="0" w:line="360" w:lineRule="auto"/>
        <w:ind w:firstLine="480"/>
        <w:rPr>
          <w:rStyle w:val="51"/>
          <w:rFonts w:hint="default" w:cs="宋体"/>
        </w:rPr>
      </w:pPr>
      <w:r>
        <w:rPr>
          <w:rStyle w:val="51"/>
          <w:rFonts w:cs="宋体"/>
        </w:rPr>
        <w:t>（2）采购人、采购机构将依托政采云平台完成本项目的电子交易活动，平台不接受未按上述方式获取招标文件的供应商进行投标活动；</w:t>
      </w:r>
    </w:p>
    <w:p>
      <w:pPr>
        <w:pStyle w:val="44"/>
        <w:spacing w:before="0" w:beforeAutospacing="0" w:after="0" w:afterAutospacing="0" w:line="360" w:lineRule="auto"/>
        <w:ind w:firstLine="480"/>
        <w:rPr>
          <w:rStyle w:val="51"/>
          <w:rFonts w:hint="default" w:cs="宋体"/>
        </w:rPr>
      </w:pPr>
      <w:r>
        <w:rPr>
          <w:rStyle w:val="51"/>
          <w:rFonts w:cs="宋体"/>
        </w:rPr>
        <w:t>（3）对未按上述方式获取招标文件的供应商对该文件提出的质疑，采购人或采购代理机构将不予处理；</w:t>
      </w:r>
    </w:p>
    <w:p>
      <w:pPr>
        <w:pStyle w:val="44"/>
        <w:spacing w:before="0" w:beforeAutospacing="0" w:after="0" w:afterAutospacing="0" w:line="360" w:lineRule="auto"/>
        <w:ind w:firstLine="480"/>
        <w:rPr>
          <w:rStyle w:val="51"/>
          <w:rFonts w:hint="default" w:cs="宋体"/>
        </w:rPr>
      </w:pPr>
      <w:r>
        <w:rPr>
          <w:rStyle w:val="51"/>
          <w:rFonts w:cs="宋体"/>
        </w:rPr>
        <w:t>（4）请供应商按上述要求获取招标文件，如未在“政府采购云平台”系统内完成相关流程，引起的投标无效责任自负。</w:t>
      </w:r>
    </w:p>
    <w:p>
      <w:pPr>
        <w:spacing w:line="360" w:lineRule="auto"/>
        <w:ind w:firstLine="482" w:firstLineChars="200"/>
        <w:rPr>
          <w:rStyle w:val="51"/>
          <w:rFonts w:ascii="宋体" w:hAnsi="宋体" w:cs="宋体"/>
          <w:kern w:val="0"/>
          <w:sz w:val="24"/>
        </w:rPr>
      </w:pPr>
      <w:r>
        <w:rPr>
          <w:rStyle w:val="51"/>
          <w:rFonts w:hint="eastAsia" w:ascii="宋体" w:hAnsi="宋体" w:cs="宋体"/>
          <w:kern w:val="0"/>
          <w:sz w:val="24"/>
        </w:rPr>
        <w:t>注：在网上报名过程中如有任何疑问，请及时联系“政采云”平台客服：400-881-7190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sz w:val="24"/>
        </w:rPr>
      </w:pPr>
      <w:r>
        <w:rPr>
          <w:rFonts w:hint="eastAsia" w:ascii="宋体" w:hAnsi="宋体" w:cs="宋体"/>
          <w:b/>
          <w:bCs/>
          <w:sz w:val="24"/>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sz w:val="24"/>
        </w:rPr>
      </w:pPr>
      <w:r>
        <w:rPr>
          <w:rFonts w:hint="eastAsia" w:ascii="宋体" w:hAnsi="宋体" w:cs="宋体"/>
          <w:sz w:val="24"/>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kern w:val="0"/>
          <w:sz w:val="24"/>
        </w:rPr>
      </w:pPr>
      <w:r>
        <w:rPr>
          <w:rFonts w:hint="eastAsia" w:ascii="宋体" w:hAnsi="宋体" w:cs="宋体"/>
          <w:b/>
          <w:sz w:val="24"/>
        </w:rPr>
        <w:t>六、</w:t>
      </w:r>
      <w:r>
        <w:rPr>
          <w:rFonts w:hint="eastAsia" w:ascii="宋体" w:hAnsi="宋体" w:cs="宋体"/>
          <w:b/>
          <w:kern w:val="0"/>
          <w:sz w:val="24"/>
        </w:rPr>
        <w:t>投标截止及开标时间、地点：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
          <w:bCs/>
          <w:sz w:val="24"/>
        </w:rPr>
        <w:t>提交投标文件截止时间及地点</w:t>
      </w:r>
      <w:r>
        <w:rPr>
          <w:rFonts w:hint="eastAsia" w:ascii="宋体" w:hAnsi="宋体" w:cs="宋体"/>
          <w:sz w:val="24"/>
        </w:rPr>
        <w:t>：</w:t>
      </w:r>
      <w:r>
        <w:rPr>
          <w:rFonts w:hint="eastAsia" w:cs="宋体"/>
          <w:sz w:val="24"/>
        </w:rPr>
        <w:t>2024年</w:t>
      </w:r>
      <w:r>
        <w:rPr>
          <w:rFonts w:hint="eastAsia" w:cs="宋体"/>
          <w:sz w:val="24"/>
          <w:lang w:val="en-US" w:eastAsia="zh-CN"/>
        </w:rPr>
        <w:t>5</w:t>
      </w:r>
      <w:r>
        <w:rPr>
          <w:rFonts w:hint="eastAsia" w:cs="宋体"/>
          <w:sz w:val="24"/>
        </w:rPr>
        <w:t>月</w:t>
      </w:r>
      <w:r>
        <w:rPr>
          <w:rFonts w:hint="eastAsia" w:cs="宋体"/>
          <w:sz w:val="24"/>
          <w:lang w:val="en-US" w:eastAsia="zh-CN"/>
        </w:rPr>
        <w:t>17</w:t>
      </w:r>
      <w:r>
        <w:rPr>
          <w:rFonts w:hint="eastAsia" w:cs="宋体"/>
          <w:sz w:val="24"/>
        </w:rPr>
        <w:t>日 9:00</w:t>
      </w:r>
      <w:r>
        <w:rPr>
          <w:rFonts w:hint="eastAsia" w:ascii="宋体" w:hAnsi="宋体" w:cs="宋体"/>
          <w:sz w:val="24"/>
        </w:rPr>
        <w:t>（北京时间），地点（网址）：政府采购云平台（www.zcygov.cn）实行在线投标响应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sz w:val="24"/>
        </w:rPr>
      </w:pPr>
      <w:r>
        <w:rPr>
          <w:rFonts w:hint="eastAsia" w:cs="宋体"/>
          <w:b/>
          <w:bCs/>
          <w:sz w:val="24"/>
        </w:rPr>
        <w:t>2、</w:t>
      </w:r>
      <w:r>
        <w:rPr>
          <w:rFonts w:hint="eastAsia" w:ascii="宋体" w:hAnsi="宋体" w:cs="宋体"/>
          <w:b/>
          <w:bCs/>
          <w:sz w:val="24"/>
        </w:rPr>
        <w:t>开标时间及地点</w:t>
      </w:r>
      <w:r>
        <w:rPr>
          <w:rFonts w:hint="eastAsia" w:ascii="宋体" w:hAnsi="宋体" w:cs="宋体"/>
          <w:sz w:val="24"/>
        </w:rPr>
        <w:t>：</w:t>
      </w:r>
      <w:r>
        <w:rPr>
          <w:rFonts w:hint="eastAsia" w:cs="宋体"/>
          <w:sz w:val="24"/>
        </w:rPr>
        <w:t>2024年</w:t>
      </w:r>
      <w:r>
        <w:rPr>
          <w:rFonts w:hint="eastAsia" w:cs="宋体"/>
          <w:sz w:val="24"/>
          <w:lang w:val="en-US" w:eastAsia="zh-CN"/>
        </w:rPr>
        <w:t>5</w:t>
      </w:r>
      <w:r>
        <w:rPr>
          <w:rFonts w:hint="eastAsia" w:cs="宋体"/>
          <w:sz w:val="24"/>
        </w:rPr>
        <w:t>月</w:t>
      </w:r>
      <w:r>
        <w:rPr>
          <w:rFonts w:hint="eastAsia" w:cs="宋体"/>
          <w:sz w:val="24"/>
          <w:lang w:val="en-US" w:eastAsia="zh-CN"/>
        </w:rPr>
        <w:t>17</w:t>
      </w:r>
      <w:r>
        <w:rPr>
          <w:rFonts w:hint="eastAsia" w:cs="宋体"/>
          <w:sz w:val="24"/>
        </w:rPr>
        <w:t>日9:00</w:t>
      </w:r>
      <w:r>
        <w:rPr>
          <w:rFonts w:hint="eastAsia" w:ascii="宋体" w:hAnsi="宋体" w:cs="宋体"/>
          <w:sz w:val="24"/>
        </w:rPr>
        <w:t>（北京时间），地点（网址）：政府采购云平台（www.zcygov.cn）实行在线投标响应</w:t>
      </w:r>
    </w:p>
    <w:p>
      <w:pPr>
        <w:pStyle w:val="44"/>
        <w:spacing w:line="360" w:lineRule="auto"/>
        <w:ind w:firstLine="482" w:firstLineChars="200"/>
        <w:rPr>
          <w:rFonts w:hint="default" w:cs="宋体"/>
        </w:rPr>
      </w:pPr>
      <w:r>
        <w:rPr>
          <w:rFonts w:cs="宋体"/>
          <w:b/>
          <w:bCs/>
        </w:rPr>
        <w:t>3、解密截止时间</w:t>
      </w:r>
      <w:r>
        <w:rPr>
          <w:rFonts w:cs="宋体"/>
        </w:rPr>
        <w:t>：</w:t>
      </w:r>
      <w:r>
        <w:rPr>
          <w:rFonts w:cs="宋体"/>
          <w:b/>
          <w:bCs/>
          <w:u w:val="single"/>
        </w:rPr>
        <w:t>开标时间后30分钟内（即2024年</w:t>
      </w:r>
      <w:r>
        <w:rPr>
          <w:rFonts w:hint="eastAsia" w:cs="宋体"/>
          <w:b/>
          <w:bCs/>
          <w:u w:val="single"/>
          <w:lang w:val="en-US" w:eastAsia="zh-CN"/>
        </w:rPr>
        <w:t>5</w:t>
      </w:r>
      <w:r>
        <w:rPr>
          <w:rFonts w:cs="宋体"/>
          <w:b/>
          <w:bCs/>
          <w:u w:val="single"/>
        </w:rPr>
        <w:t>月</w:t>
      </w:r>
      <w:r>
        <w:rPr>
          <w:rFonts w:hint="eastAsia" w:cs="宋体"/>
          <w:b/>
          <w:bCs/>
          <w:u w:val="single"/>
          <w:lang w:val="en-US" w:eastAsia="zh-CN"/>
        </w:rPr>
        <w:t>17</w:t>
      </w:r>
      <w:r>
        <w:rPr>
          <w:rFonts w:cs="宋体"/>
          <w:b/>
          <w:bCs/>
          <w:u w:val="single"/>
        </w:rPr>
        <w:t>日9:30前），供应商须登录“政采云”平台，用“项目采购-开标评标”功能解密投标文件，投标人未按时解密或解密失败的，其投标文件为无效标。</w:t>
      </w:r>
    </w:p>
    <w:p>
      <w:pPr>
        <w:pStyle w:val="15"/>
        <w:spacing w:line="360" w:lineRule="auto"/>
        <w:ind w:firstLine="436" w:firstLineChars="181"/>
        <w:rPr>
          <w:rFonts w:ascii="宋体" w:hAnsi="宋体" w:cs="宋体"/>
          <w:b/>
          <w:sz w:val="24"/>
          <w:szCs w:val="24"/>
        </w:rPr>
      </w:pPr>
      <w:r>
        <w:rPr>
          <w:rFonts w:hint="eastAsia" w:ascii="宋体" w:hAnsi="宋体" w:cs="宋体"/>
          <w:b/>
          <w:sz w:val="24"/>
          <w:szCs w:val="24"/>
        </w:rPr>
        <w:t>七、投标保证金：</w:t>
      </w:r>
    </w:p>
    <w:p>
      <w:pPr>
        <w:pStyle w:val="15"/>
        <w:spacing w:line="360" w:lineRule="auto"/>
        <w:ind w:firstLine="470" w:firstLineChars="196"/>
        <w:rPr>
          <w:rFonts w:ascii="宋体" w:hAnsi="宋体" w:cs="宋体"/>
          <w:sz w:val="24"/>
          <w:szCs w:val="24"/>
        </w:rPr>
      </w:pPr>
      <w:r>
        <w:rPr>
          <w:rFonts w:hint="eastAsia" w:ascii="宋体" w:hAnsi="宋体" w:cs="宋体"/>
          <w:sz w:val="24"/>
          <w:szCs w:val="24"/>
        </w:rPr>
        <w:t>本项目不需要交纳投标保证金。</w:t>
      </w:r>
    </w:p>
    <w:p>
      <w:pPr>
        <w:pStyle w:val="21"/>
        <w:ind w:firstLine="482" w:firstLineChars="200"/>
        <w:rPr>
          <w:rFonts w:ascii="宋体" w:hAnsi="宋体" w:cs="宋体"/>
        </w:rPr>
      </w:pPr>
      <w:r>
        <w:rPr>
          <w:rFonts w:hint="eastAsia" w:ascii="宋体" w:hAnsi="宋体" w:cs="宋体"/>
          <w:b/>
          <w:snapToGrid w:val="0"/>
          <w:kern w:val="28"/>
        </w:rPr>
        <w:t>八、电子招投标的说明</w:t>
      </w:r>
    </w:p>
    <w:p>
      <w:pPr>
        <w:snapToGrid w:val="0"/>
        <w:spacing w:line="440" w:lineRule="exact"/>
        <w:ind w:firstLine="480" w:firstLineChars="200"/>
        <w:rPr>
          <w:rFonts w:ascii="宋体" w:hAnsi="宋体" w:cs="宋体"/>
          <w:sz w:val="24"/>
        </w:rPr>
      </w:pPr>
      <w:r>
        <w:rPr>
          <w:rFonts w:hint="eastAsia" w:ascii="宋体" w:hAnsi="宋体" w:cs="宋体"/>
          <w:sz w:val="24"/>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sz w:val="24"/>
        </w:rPr>
        <w:t>供应商未按规定加密的投标文件，“政府采购云平台”将予以拒收。</w:t>
      </w:r>
      <w:r>
        <w:rPr>
          <w:rFonts w:hint="eastAsia" w:ascii="宋体" w:hAnsi="宋体" w:cs="宋体"/>
          <w:sz w:val="24"/>
        </w:rPr>
        <w:t>通过“政府采购云平台”参与在线投标时如遇平台技术问题详询400-881-7190。</w:t>
      </w:r>
    </w:p>
    <w:p>
      <w:pPr>
        <w:snapToGrid w:val="0"/>
        <w:spacing w:line="440" w:lineRule="exact"/>
        <w:ind w:firstLine="480" w:firstLineChars="200"/>
        <w:rPr>
          <w:rFonts w:ascii="宋体" w:hAnsi="宋体" w:cs="宋体"/>
          <w:sz w:val="24"/>
        </w:rPr>
      </w:pPr>
      <w:r>
        <w:rPr>
          <w:rFonts w:hint="eastAsia" w:ascii="宋体" w:hAnsi="宋体" w:cs="宋体"/>
          <w:sz w:val="24"/>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sz w:val="24"/>
        </w:rPr>
        <w:t>完成CA数字证书办理时间预计一周左右，请各投标人自行把握时间。</w:t>
      </w:r>
    </w:p>
    <w:p>
      <w:pPr>
        <w:snapToGrid w:val="0"/>
        <w:spacing w:line="440" w:lineRule="exact"/>
        <w:ind w:firstLine="480" w:firstLineChars="200"/>
        <w:rPr>
          <w:rFonts w:ascii="宋体" w:hAnsi="宋体" w:cs="宋体"/>
          <w:sz w:val="24"/>
        </w:rPr>
      </w:pPr>
      <w:r>
        <w:rPr>
          <w:rFonts w:hint="eastAsia" w:ascii="宋体" w:hAnsi="宋体" w:cs="宋体"/>
          <w:sz w:val="24"/>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napToGrid w:val="0"/>
        <w:spacing w:line="440" w:lineRule="exact"/>
        <w:ind w:firstLine="480" w:firstLineChars="200"/>
        <w:rPr>
          <w:rFonts w:ascii="宋体" w:hAnsi="宋体" w:cs="宋体"/>
          <w:b/>
          <w:bCs/>
          <w:sz w:val="24"/>
        </w:rPr>
      </w:pPr>
      <w:r>
        <w:rPr>
          <w:rFonts w:hint="eastAsia" w:ascii="宋体" w:hAnsi="宋体" w:cs="宋体"/>
          <w:sz w:val="24"/>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sz w:val="24"/>
        </w:rPr>
        <w:t>投标截止时间后传输、递交的投标文件，将被拒收。</w:t>
      </w:r>
    </w:p>
    <w:p>
      <w:pPr>
        <w:snapToGrid w:val="0"/>
        <w:spacing w:line="440" w:lineRule="exact"/>
        <w:ind w:firstLine="480" w:firstLineChars="200"/>
        <w:rPr>
          <w:rFonts w:ascii="宋体" w:hAnsi="宋体" w:cs="宋体"/>
          <w:b/>
          <w:bCs/>
          <w:sz w:val="24"/>
        </w:rPr>
      </w:pPr>
      <w:r>
        <w:rPr>
          <w:rFonts w:hint="eastAsia" w:ascii="宋体" w:hAnsi="宋体" w:cs="宋体"/>
          <w:sz w:val="24"/>
        </w:rPr>
        <w:t>5、现阶段为电子交易试运行阶段，为保证项目顺利开展，</w:t>
      </w:r>
      <w:r>
        <w:rPr>
          <w:rFonts w:hint="eastAsia" w:ascii="宋体" w:hAnsi="宋体" w:cs="宋体"/>
          <w:b/>
          <w:bCs/>
          <w:sz w:val="24"/>
        </w:rPr>
        <w:t>本项目需要投标人同时提供电子备份标书（后缀名为“.bfbs”，以U盘或光盘等形式提供）和纸质投标文件</w:t>
      </w:r>
      <w:r>
        <w:rPr>
          <w:rStyle w:val="55"/>
          <w:rFonts w:hint="eastAsia" w:cs="Arial" w:asciiTheme="minorEastAsia" w:hAnsiTheme="minorEastAsia" w:eastAsiaTheme="minorEastAsia"/>
          <w:b/>
          <w:bCs/>
          <w:color w:val="auto"/>
          <w:sz w:val="24"/>
        </w:rPr>
        <w:t>（自愿提供，非实质性要求，因无法读取的后果由投标人自行承担）</w:t>
      </w:r>
      <w:r>
        <w:rPr>
          <w:rFonts w:hint="eastAsia" w:ascii="宋体" w:hAnsi="宋体" w:cs="宋体"/>
          <w:b/>
          <w:bCs/>
          <w:sz w:val="24"/>
        </w:rPr>
        <w:t>，</w:t>
      </w:r>
      <w:r>
        <w:rPr>
          <w:rFonts w:hint="eastAsia" w:ascii="宋体" w:hAnsi="宋体" w:cs="宋体"/>
          <w:sz w:val="24"/>
        </w:rPr>
        <w:t>按要求各自装袋密封并在投标截止日期前一天下午16：00之前通过邮寄方式送至台州市玖诚工程管理有限公司（地址：浙江省台州市椒江区解放南路道台里文创院），</w:t>
      </w:r>
      <w:r>
        <w:rPr>
          <w:rFonts w:hint="eastAsia" w:ascii="宋体" w:hAnsi="宋体" w:cs="宋体"/>
          <w:b/>
          <w:bCs/>
          <w:sz w:val="24"/>
        </w:rPr>
        <w:t>请充分考虑快递运输所需的时间，确保在投标截止时间前送达，逾期寄达或未按要求密封将被拒收。</w:t>
      </w:r>
    </w:p>
    <w:p>
      <w:pPr>
        <w:pStyle w:val="21"/>
        <w:spacing w:line="360" w:lineRule="auto"/>
        <w:ind w:firstLine="480" w:firstLineChars="200"/>
        <w:rPr>
          <w:rFonts w:ascii="宋体" w:hAnsi="宋体" w:cs="宋体"/>
        </w:rPr>
      </w:pPr>
      <w:r>
        <w:rPr>
          <w:rFonts w:hint="eastAsia"/>
        </w:rPr>
        <w:t>▲</w:t>
      </w:r>
      <w:r>
        <w:rPr>
          <w:rFonts w:hint="eastAsia" w:ascii="宋体" w:hAnsi="宋体" w:cs="宋体"/>
        </w:rPr>
        <w:t>6、投标文件启用顺序和效力：</w:t>
      </w:r>
      <w:r>
        <w:rPr>
          <w:rFonts w:hint="eastAsia" w:ascii="宋体" w:hAnsi="宋体" w:cs="宋体"/>
          <w:b/>
          <w:bCs/>
        </w:rPr>
        <w:t>投标文件的启用，按先后顺位分别为电子投标文件、备份投标文件。</w:t>
      </w:r>
      <w:r>
        <w:rPr>
          <w:rFonts w:hint="eastAsia" w:ascii="宋体" w:hAnsi="宋体" w:cs="宋体"/>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u w:val="single"/>
        </w:rPr>
        <w:t>投标人仅提交备份投标文件，没有在电子交易平台传输递交“电子加密投标文件”的，投标无效。</w:t>
      </w:r>
    </w:p>
    <w:p>
      <w:pPr>
        <w:spacing w:line="360" w:lineRule="auto"/>
        <w:ind w:firstLine="482" w:firstLineChars="200"/>
        <w:rPr>
          <w:rFonts w:ascii="宋体" w:hAnsi="宋体" w:cs="宋体"/>
          <w:b/>
          <w:sz w:val="24"/>
        </w:rPr>
      </w:pPr>
      <w:r>
        <w:rPr>
          <w:rFonts w:hint="eastAsia" w:ascii="宋体" w:hAnsi="宋体" w:cs="宋体"/>
          <w:b/>
          <w:sz w:val="24"/>
        </w:rPr>
        <w:t>九、投标人信用信息查询渠道及截止时点、信用信息查询记录和证据留存的具体方式、信用信息的使用规则：</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查询渠道：信用中国（www.creditchina.gov.cn）、中国政府采购网（www.ccgp.gov.cn）、信用浙江（credit.zj.gov.cn)。</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截止时点：开标后评标前。</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信用信息查询记录和证据留存的具体方式：由采购组织机构在规定查询时间内查询信用信息记录并归入项目档案。</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使用规则：对列入失信被执行人、重大税收违法案件当事人名单、政府采购严重违法失信行为记录名单及其他不符合《中华人民共和国政府采购法》第二十二条规定条件的供应商，将被拒绝其参与采购活动。</w:t>
      </w:r>
    </w:p>
    <w:p>
      <w:pPr>
        <w:spacing w:line="360" w:lineRule="auto"/>
        <w:ind w:firstLine="482" w:firstLineChars="200"/>
        <w:rPr>
          <w:rFonts w:ascii="宋体" w:hAnsi="宋体" w:cs="宋体"/>
          <w:sz w:val="24"/>
        </w:rPr>
      </w:pPr>
      <w:r>
        <w:rPr>
          <w:rFonts w:hint="eastAsia" w:ascii="宋体" w:hAnsi="宋体" w:cs="宋体"/>
          <w:b/>
          <w:bCs/>
          <w:sz w:val="24"/>
        </w:rPr>
        <w:t>十、</w:t>
      </w:r>
      <w:r>
        <w:rPr>
          <w:rFonts w:hint="eastAsia" w:ascii="宋体" w:hAnsi="宋体" w:cs="宋体"/>
          <w:b/>
          <w:sz w:val="24"/>
        </w:rPr>
        <w:t>相关注意事项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1、本项目公告期限为5个工作日，</w:t>
      </w:r>
      <w:r>
        <w:rPr>
          <w:rFonts w:hint="eastAsia" w:ascii="宋体" w:hAnsi="宋体" w:cs="宋体"/>
          <w:sz w:val="24"/>
        </w:rPr>
        <w:t>供应商认为采购文件使自己的权益受到损害的，</w:t>
      </w:r>
      <w:r>
        <w:rPr>
          <w:rFonts w:hint="eastAsia" w:ascii="宋体" w:hAnsi="宋体" w:cs="宋体"/>
          <w:kern w:val="0"/>
          <w:sz w:val="24"/>
        </w:rPr>
        <w:t>可以自获取采购文件之日或者采购文件公告期限届满之日（公告期限届满后获取采购文件的，以公告期限届满之日为准）起7个工作日内</w:t>
      </w:r>
      <w:r>
        <w:rPr>
          <w:rFonts w:hint="eastAsia" w:ascii="宋体" w:hAnsi="宋体" w:cs="宋体"/>
          <w:sz w:val="24"/>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rPr>
          <w:rFonts w:ascii="宋体" w:hAnsi="宋体" w:cs="宋体"/>
          <w:sz w:val="24"/>
        </w:rPr>
      </w:pPr>
      <w:r>
        <w:rPr>
          <w:rFonts w:hint="eastAsia" w:ascii="宋体" w:hAnsi="宋体" w:cs="宋体"/>
          <w:sz w:val="24"/>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pPr>
        <w:spacing w:line="360" w:lineRule="auto"/>
        <w:ind w:firstLine="480" w:firstLineChars="200"/>
        <w:rPr>
          <w:rFonts w:ascii="宋体" w:hAnsi="宋体" w:cs="宋体"/>
          <w:sz w:val="24"/>
        </w:rPr>
      </w:pPr>
      <w:r>
        <w:rPr>
          <w:rFonts w:hint="eastAsia" w:ascii="宋体" w:hAnsi="宋体" w:cs="宋体"/>
          <w:sz w:val="24"/>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pPr>
        <w:spacing w:line="360" w:lineRule="auto"/>
        <w:ind w:firstLine="480" w:firstLineChars="200"/>
        <w:rPr>
          <w:rFonts w:ascii="宋体" w:hAnsi="宋体" w:cs="宋体"/>
          <w:sz w:val="24"/>
        </w:rPr>
      </w:pPr>
      <w:r>
        <w:rPr>
          <w:rFonts w:hint="eastAsia" w:ascii="宋体" w:hAnsi="宋体" w:cs="宋体"/>
          <w:sz w:val="24"/>
        </w:rPr>
        <w:t>5、本项目所有公告发布网站：“浙江政府采购网”（http://www.zjzfcg.gov.cn）。项目如有更正或澄清公告，请各供应商自行及时登陆上述网站查看，采购代理机构不再作出书面通知。</w:t>
      </w:r>
    </w:p>
    <w:p>
      <w:pPr>
        <w:spacing w:line="360" w:lineRule="auto"/>
        <w:ind w:firstLine="480" w:firstLineChars="200"/>
        <w:rPr>
          <w:rFonts w:ascii="宋体" w:hAnsi="宋体" w:cs="宋体"/>
          <w:sz w:val="24"/>
        </w:rPr>
      </w:pPr>
      <w:r>
        <w:rPr>
          <w:rFonts w:hint="eastAsia" w:ascii="宋体" w:hAnsi="宋体" w:cs="宋体"/>
          <w:sz w:val="24"/>
        </w:rPr>
        <w:t>6、本项目资格审查方式：资格后审。</w:t>
      </w:r>
    </w:p>
    <w:p>
      <w:pPr>
        <w:spacing w:line="360" w:lineRule="auto"/>
        <w:ind w:firstLine="482" w:firstLineChars="200"/>
        <w:rPr>
          <w:rFonts w:ascii="宋体" w:hAnsi="宋体" w:cs="宋体"/>
          <w:b/>
          <w:sz w:val="24"/>
        </w:rPr>
      </w:pPr>
      <w:r>
        <w:rPr>
          <w:rFonts w:hint="eastAsia" w:ascii="宋体" w:hAnsi="宋体" w:cs="宋体"/>
          <w:b/>
          <w:sz w:val="24"/>
        </w:rPr>
        <w:t>十一、联系方式：</w:t>
      </w:r>
    </w:p>
    <w:p>
      <w:pPr>
        <w:spacing w:line="360" w:lineRule="auto"/>
        <w:ind w:firstLine="480" w:firstLineChars="200"/>
        <w:rPr>
          <w:rFonts w:ascii="宋体" w:hAnsi="宋体" w:cs="宋体"/>
          <w:sz w:val="24"/>
        </w:rPr>
      </w:pPr>
      <w:r>
        <w:rPr>
          <w:rFonts w:hint="eastAsia" w:ascii="宋体" w:hAnsi="宋体" w:cs="宋体"/>
          <w:sz w:val="24"/>
        </w:rPr>
        <w:t>名    称：台州市玖诚工程管理有限公司</w:t>
      </w:r>
    </w:p>
    <w:p>
      <w:pPr>
        <w:spacing w:line="360" w:lineRule="auto"/>
        <w:ind w:firstLine="480" w:firstLineChars="200"/>
        <w:rPr>
          <w:rFonts w:ascii="宋体" w:hAnsi="宋体" w:cs="宋体"/>
          <w:sz w:val="24"/>
        </w:rPr>
      </w:pPr>
      <w:r>
        <w:rPr>
          <w:rFonts w:hint="eastAsia" w:ascii="宋体" w:hAnsi="宋体" w:cs="宋体"/>
          <w:sz w:val="24"/>
        </w:rPr>
        <w:t>联 系 人：辛赛珠</w:t>
      </w:r>
    </w:p>
    <w:p>
      <w:pPr>
        <w:spacing w:line="360" w:lineRule="auto"/>
        <w:ind w:firstLine="480" w:firstLineChars="200"/>
        <w:rPr>
          <w:rFonts w:ascii="宋体" w:hAnsi="宋体" w:cs="宋体"/>
          <w:sz w:val="24"/>
        </w:rPr>
      </w:pPr>
      <w:r>
        <w:rPr>
          <w:rFonts w:hint="eastAsia" w:ascii="宋体" w:hAnsi="宋体" w:cs="宋体"/>
          <w:sz w:val="24"/>
        </w:rPr>
        <w:t>联系电话：18042466090</w:t>
      </w:r>
    </w:p>
    <w:p>
      <w:pPr>
        <w:spacing w:line="360" w:lineRule="auto"/>
        <w:ind w:firstLine="480" w:firstLineChars="200"/>
        <w:rPr>
          <w:rFonts w:ascii="宋体" w:hAnsi="宋体" w:cs="宋体"/>
          <w:sz w:val="24"/>
        </w:rPr>
      </w:pPr>
      <w:r>
        <w:rPr>
          <w:rFonts w:hint="eastAsia" w:ascii="宋体" w:hAnsi="宋体" w:cs="宋体"/>
          <w:sz w:val="24"/>
        </w:rPr>
        <w:t>联 系 人：鲍丹芬（受理质疑）　</w:t>
      </w:r>
    </w:p>
    <w:p>
      <w:pPr>
        <w:spacing w:line="360" w:lineRule="auto"/>
        <w:ind w:firstLine="480" w:firstLineChars="200"/>
        <w:rPr>
          <w:rFonts w:ascii="宋体" w:hAnsi="宋体" w:cs="宋体"/>
          <w:sz w:val="24"/>
        </w:rPr>
      </w:pPr>
      <w:r>
        <w:rPr>
          <w:rFonts w:hint="eastAsia" w:ascii="宋体" w:hAnsi="宋体" w:cs="宋体"/>
          <w:sz w:val="24"/>
        </w:rPr>
        <w:t>联系电话：17852397152</w:t>
      </w:r>
    </w:p>
    <w:p>
      <w:pPr>
        <w:spacing w:line="360" w:lineRule="auto"/>
        <w:ind w:firstLine="480" w:firstLineChars="200"/>
        <w:rPr>
          <w:rFonts w:ascii="宋体" w:hAnsi="宋体" w:cs="宋体"/>
          <w:sz w:val="24"/>
        </w:rPr>
      </w:pPr>
      <w:r>
        <w:rPr>
          <w:rFonts w:hint="eastAsia" w:ascii="宋体" w:hAnsi="宋体" w:cs="宋体"/>
          <w:sz w:val="24"/>
        </w:rPr>
        <w:t>地    址：浙江省台州市椒江区海门街道解放南路291弄道台里文创园</w:t>
      </w:r>
    </w:p>
    <w:p>
      <w:pPr>
        <w:spacing w:line="360" w:lineRule="auto"/>
        <w:ind w:firstLine="482" w:firstLineChars="200"/>
        <w:rPr>
          <w:rFonts w:ascii="宋体" w:hAnsi="宋体" w:cs="宋体"/>
          <w:b/>
          <w:sz w:val="24"/>
        </w:rPr>
      </w:pPr>
      <w:r>
        <w:rPr>
          <w:rFonts w:hint="eastAsia" w:ascii="宋体" w:hAnsi="宋体" w:cs="宋体"/>
          <w:b/>
          <w:sz w:val="24"/>
        </w:rPr>
        <w:t>（二）采购人</w:t>
      </w:r>
    </w:p>
    <w:p>
      <w:pPr>
        <w:spacing w:line="360" w:lineRule="auto"/>
        <w:ind w:firstLine="480" w:firstLineChars="200"/>
        <w:rPr>
          <w:rFonts w:ascii="宋体" w:hAnsi="宋体" w:cs="宋体"/>
          <w:sz w:val="24"/>
        </w:rPr>
      </w:pPr>
      <w:r>
        <w:rPr>
          <w:rFonts w:hint="eastAsia" w:ascii="宋体" w:hAnsi="宋体" w:cs="宋体"/>
          <w:sz w:val="24"/>
        </w:rPr>
        <w:t>名    称：台州市三梅中学</w:t>
      </w:r>
    </w:p>
    <w:p>
      <w:pPr>
        <w:spacing w:line="360" w:lineRule="auto"/>
        <w:ind w:firstLine="480" w:firstLineChars="200"/>
        <w:rPr>
          <w:rFonts w:ascii="宋体" w:hAnsi="宋体" w:cs="宋体"/>
          <w:sz w:val="24"/>
        </w:rPr>
      </w:pPr>
      <w:r>
        <w:rPr>
          <w:rFonts w:hint="eastAsia" w:ascii="宋体" w:hAnsi="宋体" w:cs="宋体"/>
          <w:sz w:val="24"/>
        </w:rPr>
        <w:t>联 系 人：叶老师</w:t>
      </w:r>
    </w:p>
    <w:p>
      <w:pPr>
        <w:spacing w:line="360" w:lineRule="auto"/>
        <w:ind w:firstLine="480" w:firstLineChars="200"/>
        <w:rPr>
          <w:rFonts w:ascii="宋体" w:hAnsi="宋体" w:cs="宋体"/>
          <w:sz w:val="24"/>
        </w:rPr>
      </w:pPr>
      <w:r>
        <w:rPr>
          <w:rFonts w:hint="eastAsia" w:ascii="宋体" w:hAnsi="宋体" w:cs="宋体"/>
          <w:sz w:val="24"/>
        </w:rPr>
        <w:t>联系电话：13515766511</w:t>
      </w:r>
    </w:p>
    <w:p>
      <w:pPr>
        <w:spacing w:line="360" w:lineRule="auto"/>
        <w:ind w:firstLine="480" w:firstLineChars="200"/>
        <w:rPr>
          <w:rFonts w:hint="eastAsia" w:ascii="宋体" w:hAnsi="宋体" w:cs="宋体"/>
          <w:sz w:val="24"/>
        </w:rPr>
      </w:pPr>
      <w:r>
        <w:rPr>
          <w:rFonts w:hint="eastAsia" w:ascii="宋体" w:hAnsi="宋体" w:cs="宋体"/>
          <w:sz w:val="24"/>
        </w:rPr>
        <w:t>联 系 人：叶老师　</w:t>
      </w:r>
    </w:p>
    <w:p>
      <w:pPr>
        <w:spacing w:line="360" w:lineRule="auto"/>
        <w:ind w:firstLine="480" w:firstLineChars="200"/>
        <w:rPr>
          <w:rFonts w:hint="eastAsia" w:ascii="宋体" w:hAnsi="宋体" w:cs="宋体"/>
          <w:sz w:val="24"/>
        </w:rPr>
      </w:pPr>
      <w:r>
        <w:rPr>
          <w:rFonts w:hint="eastAsia" w:ascii="宋体" w:hAnsi="宋体" w:cs="宋体"/>
          <w:sz w:val="24"/>
        </w:rPr>
        <w:t>联系电话：13515766511</w:t>
      </w:r>
    </w:p>
    <w:p>
      <w:pPr>
        <w:spacing w:line="360" w:lineRule="auto"/>
        <w:ind w:firstLine="480" w:firstLineChars="200"/>
        <w:rPr>
          <w:rFonts w:hint="eastAsia" w:ascii="宋体" w:hAnsi="宋体" w:cs="宋体"/>
          <w:sz w:val="24"/>
        </w:rPr>
      </w:pPr>
      <w:r>
        <w:rPr>
          <w:rFonts w:hint="eastAsia" w:ascii="宋体" w:hAnsi="宋体" w:cs="宋体"/>
          <w:sz w:val="24"/>
        </w:rPr>
        <w:t>地    址：台州市椒江区</w:t>
      </w:r>
    </w:p>
    <w:p>
      <w:pPr>
        <w:spacing w:line="360" w:lineRule="auto"/>
        <w:ind w:firstLine="482" w:firstLineChars="200"/>
        <w:rPr>
          <w:rFonts w:ascii="宋体" w:hAnsi="宋体" w:cs="宋体"/>
          <w:b/>
          <w:sz w:val="24"/>
        </w:rPr>
      </w:pPr>
      <w:r>
        <w:rPr>
          <w:rFonts w:hint="eastAsia" w:ascii="宋体" w:hAnsi="宋体" w:cs="宋体"/>
          <w:b/>
          <w:sz w:val="24"/>
        </w:rPr>
        <w:t>（三）同级政府采购监督管理部门</w:t>
      </w:r>
    </w:p>
    <w:p>
      <w:pPr>
        <w:widowControl/>
        <w:spacing w:line="360" w:lineRule="auto"/>
        <w:ind w:firstLine="480" w:firstLineChars="200"/>
        <w:rPr>
          <w:rFonts w:ascii="宋体" w:hAnsi="宋体" w:cs="宋体"/>
          <w:sz w:val="24"/>
        </w:rPr>
      </w:pPr>
      <w:r>
        <w:rPr>
          <w:rFonts w:hint="eastAsia" w:ascii="宋体" w:hAnsi="宋体" w:cs="宋体"/>
          <w:sz w:val="24"/>
        </w:rPr>
        <w:t>名    称：台州市财政局</w:t>
      </w:r>
    </w:p>
    <w:p>
      <w:pPr>
        <w:widowControl/>
        <w:spacing w:line="360" w:lineRule="auto"/>
        <w:ind w:firstLine="480" w:firstLineChars="200"/>
        <w:rPr>
          <w:rFonts w:ascii="宋体" w:hAnsi="宋体" w:cs="宋体"/>
          <w:sz w:val="24"/>
        </w:rPr>
      </w:pPr>
      <w:r>
        <w:rPr>
          <w:rFonts w:hint="eastAsia" w:ascii="宋体" w:hAnsi="宋体" w:cs="宋体"/>
          <w:sz w:val="24"/>
        </w:rPr>
        <w:t xml:space="preserve">联 系 人：陈老师/李女士                   </w:t>
      </w:r>
    </w:p>
    <w:p>
      <w:pPr>
        <w:widowControl/>
        <w:spacing w:line="360" w:lineRule="auto"/>
        <w:ind w:firstLine="480" w:firstLineChars="200"/>
        <w:rPr>
          <w:rFonts w:ascii="宋体" w:hAnsi="宋体" w:cs="宋体"/>
          <w:sz w:val="24"/>
        </w:rPr>
      </w:pPr>
      <w:r>
        <w:rPr>
          <w:rFonts w:hint="eastAsia" w:ascii="宋体" w:hAnsi="宋体" w:cs="宋体"/>
          <w:sz w:val="24"/>
        </w:rPr>
        <w:t>监督电话：</w:t>
      </w:r>
      <w:r>
        <w:rPr>
          <w:rFonts w:hint="eastAsia" w:asciiTheme="minorEastAsia" w:hAnsiTheme="minorEastAsia" w:eastAsiaTheme="minorEastAsia" w:cstheme="minorEastAsia"/>
          <w:sz w:val="24"/>
        </w:rPr>
        <w:t>0576-88206705/0576-88206731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址：浙江省台州市高新区纬一路66号</w:t>
      </w:r>
    </w:p>
    <w:p>
      <w:pPr>
        <w:pStyle w:val="44"/>
        <w:rPr>
          <w:rFonts w:hint="default" w:cs="宋体"/>
          <w:kern w:val="2"/>
        </w:rPr>
      </w:pPr>
      <w:r>
        <w:rPr>
          <w:rFonts w:cs="宋体"/>
          <w:kern w:val="2"/>
        </w:rPr>
        <w:t>若对项目采购电子交易系统操作有疑问，可登录政采云（https://www.zcygov.cn/），点击右侧咨询小采，获取采小蜜智能服务管家帮助，或拨打政采云服务热线400-881-7190获取热线服务帮助。       </w:t>
      </w:r>
    </w:p>
    <w:p>
      <w:pPr>
        <w:pStyle w:val="63"/>
        <w:rPr>
          <w:rFonts w:cs="宋体"/>
          <w:kern w:val="2"/>
          <w:szCs w:val="24"/>
          <w:lang w:val="en-US"/>
        </w:rPr>
      </w:pPr>
      <w:r>
        <w:rPr>
          <w:rFonts w:hint="eastAsia" w:cs="宋体"/>
          <w:kern w:val="2"/>
          <w:szCs w:val="24"/>
          <w:lang w:val="en-US"/>
        </w:rPr>
        <w:t>CA问题联系电话（人工）：汇信CA 400-888-4636；天谷CA 400-087-8198。</w:t>
      </w:r>
    </w:p>
    <w:p>
      <w:pPr>
        <w:pStyle w:val="63"/>
        <w:rPr>
          <w:rFonts w:cs="宋体"/>
          <w:szCs w:val="24"/>
        </w:rPr>
      </w:pPr>
    </w:p>
    <w:p>
      <w:pPr>
        <w:pStyle w:val="63"/>
        <w:rPr>
          <w:rFonts w:cs="宋体"/>
          <w:szCs w:val="24"/>
        </w:rPr>
      </w:pPr>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第二章  投标人须知</w:t>
      </w:r>
    </w:p>
    <w:p>
      <w:pPr>
        <w:spacing w:line="360" w:lineRule="auto"/>
        <w:jc w:val="center"/>
        <w:rPr>
          <w:rFonts w:ascii="宋体" w:hAnsi="宋体" w:cs="宋体"/>
          <w:b/>
          <w:sz w:val="24"/>
        </w:rPr>
      </w:pPr>
      <w:r>
        <w:rPr>
          <w:rFonts w:hint="eastAsia" w:ascii="宋体" w:hAnsi="宋体" w:cs="宋体"/>
          <w:b/>
          <w:sz w:val="24"/>
        </w:rPr>
        <w:t>前  附  表</w:t>
      </w:r>
    </w:p>
    <w:tbl>
      <w:tblPr>
        <w:tblStyle w:val="4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    目</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kern w:val="0"/>
                <w:szCs w:val="21"/>
              </w:rPr>
              <w:t>答疑会或</w:t>
            </w:r>
            <w:r>
              <w:rPr>
                <w:rFonts w:hint="eastAsia" w:ascii="宋体" w:hAnsi="宋体" w:cs="宋体"/>
                <w:szCs w:val="21"/>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投标人须按照招标文件和电子交易平台的要求</w:t>
            </w:r>
            <w:r>
              <w:rPr>
                <w:rFonts w:hint="eastAsia" w:ascii="宋体" w:hAnsi="宋体" w:cs="宋体"/>
                <w:szCs w:val="21"/>
              </w:rPr>
              <w:t>编制、加密并提交</w:t>
            </w:r>
            <w:r>
              <w:rPr>
                <w:rFonts w:hint="eastAsia"/>
                <w:szCs w:val="21"/>
              </w:rPr>
              <w:t>投标文件。未按规定加密的投标文件，将被拒收。</w:t>
            </w:r>
          </w:p>
          <w:p>
            <w:pPr>
              <w:spacing w:line="360" w:lineRule="auto"/>
              <w:rPr>
                <w:b/>
                <w:bCs/>
                <w:szCs w:val="21"/>
                <w:u w:val="single"/>
              </w:rPr>
            </w:pPr>
            <w:r>
              <w:rPr>
                <w:rFonts w:hint="eastAsia"/>
                <w:b/>
                <w:bCs/>
                <w:szCs w:val="21"/>
                <w:u w:val="single"/>
              </w:rPr>
              <w:t>截止时间：北京时间2024年</w:t>
            </w:r>
            <w:r>
              <w:rPr>
                <w:rFonts w:hint="eastAsia"/>
                <w:b/>
                <w:bCs/>
                <w:szCs w:val="21"/>
                <w:u w:val="single"/>
                <w:lang w:val="en-US" w:eastAsia="zh-CN"/>
              </w:rPr>
              <w:t>5</w:t>
            </w:r>
            <w:r>
              <w:rPr>
                <w:rFonts w:hint="eastAsia"/>
                <w:b/>
                <w:bCs/>
                <w:szCs w:val="21"/>
                <w:u w:val="single"/>
              </w:rPr>
              <w:t>月</w:t>
            </w:r>
            <w:r>
              <w:rPr>
                <w:rFonts w:hint="eastAsia"/>
                <w:b/>
                <w:bCs/>
                <w:szCs w:val="21"/>
                <w:u w:val="single"/>
                <w:lang w:val="en-US" w:eastAsia="zh-CN"/>
              </w:rPr>
              <w:t>17</w:t>
            </w:r>
            <w:r>
              <w:rPr>
                <w:rFonts w:hint="eastAsia"/>
                <w:b/>
                <w:bCs/>
                <w:szCs w:val="21"/>
                <w:u w:val="single"/>
              </w:rPr>
              <w:t>日9:00</w:t>
            </w:r>
          </w:p>
          <w:p>
            <w:pPr>
              <w:spacing w:line="360" w:lineRule="auto"/>
              <w:rPr>
                <w:szCs w:val="21"/>
              </w:rPr>
            </w:pPr>
            <w:r>
              <w:rPr>
                <w:rFonts w:hint="eastAsia"/>
                <w:szCs w:val="21"/>
              </w:rPr>
              <w:t>投标人应当在投标截止时间前完成投标文件的传输递交，</w:t>
            </w:r>
            <w:r>
              <w:rPr>
                <w:rFonts w:hint="eastAsia" w:ascii="宋体" w:hAnsi="宋体" w:cs="宋体"/>
                <w:szCs w:val="21"/>
              </w:rPr>
              <w:t>投标截止时间前可以补充、修改或者撤回电子投标文件。补充或者修改电子投标文件的，应当先行撤回原文件，补充、修改后重新传输递交。投标截止时间前未完成传输的，视为撤回投标文件</w:t>
            </w:r>
            <w:r>
              <w:rPr>
                <w:rFonts w:hint="eastAsia"/>
                <w:szCs w:val="21"/>
              </w:rPr>
              <w:t>。逾期上传的投标文件恕不接受。</w:t>
            </w:r>
          </w:p>
          <w:p>
            <w:pPr>
              <w:pStyle w:val="21"/>
              <w:spacing w:line="360" w:lineRule="auto"/>
              <w:rPr>
                <w:sz w:val="21"/>
                <w:szCs w:val="21"/>
              </w:rPr>
            </w:pPr>
            <w:r>
              <w:rPr>
                <w:rFonts w:hint="eastAsia"/>
                <w:b/>
                <w:bCs/>
                <w:sz w:val="21"/>
                <w:szCs w:val="21"/>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cs="Arial" w:asciiTheme="minorEastAsia" w:hAnsiTheme="minorEastAsia" w:eastAsiaTheme="minorEastAsia"/>
                <w:b/>
                <w:bCs/>
                <w:szCs w:val="21"/>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pPr>
              <w:pStyle w:val="62"/>
              <w:spacing w:line="360" w:lineRule="auto"/>
              <w:rPr>
                <w:rFonts w:ascii="宋体" w:hAnsi="宋体" w:cs="宋体"/>
                <w:szCs w:val="21"/>
              </w:rPr>
            </w:pPr>
            <w:r>
              <w:rPr>
                <w:rFonts w:hint="eastAsia" w:ascii="宋体" w:hAnsi="宋体" w:cs="宋体"/>
                <w:szCs w:val="21"/>
              </w:rPr>
              <w:t>投标人在投标截止时间前将备份电子投标文件</w:t>
            </w:r>
            <w:r>
              <w:rPr>
                <w:rFonts w:hint="eastAsia" w:ascii="宋体" w:hAnsi="宋体" w:cs="宋体"/>
                <w:b/>
                <w:bCs/>
                <w:szCs w:val="21"/>
              </w:rPr>
              <w:t>（自愿提供，非实质性要求，因无法读取的后果由投标人自行承担）</w:t>
            </w:r>
            <w:r>
              <w:rPr>
                <w:rFonts w:hint="eastAsia"/>
                <w:szCs w:val="21"/>
              </w:rPr>
              <w:t>以介质（U盘）存储形式按要求密封邮寄到指定地点或</w:t>
            </w:r>
            <w:r>
              <w:rPr>
                <w:rFonts w:hint="eastAsia" w:ascii="宋体" w:hAnsi="宋体" w:cs="宋体"/>
                <w:szCs w:val="21"/>
              </w:rPr>
              <w:t>以电子邮件的方式发送至项目负责人邮箱872868454@qq.com，以收到时间为准，逾期或不符合规定的投标文件恕不接受。</w:t>
            </w:r>
          </w:p>
          <w:p>
            <w:pPr>
              <w:pStyle w:val="62"/>
              <w:spacing w:line="360" w:lineRule="auto"/>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szCs w:val="21"/>
              </w:rPr>
              <w:t>备份电子投标文件：通过“政采云”平台电子投标工具制作电子投标文件产生的备份文件（后缀名为“.bfbs”），投标人自行确定是否提交；若提交请将备份投标文件以U盘、光盘或电子邮件（发送至872868454@qq.com）的形式递交，备份投标文件在“电子加密投标文件”在线解密异常或失败后启用，否则不予以启用；投标人确认“电子加密投标文件”在线解密异常或失败后，可以申请由采购代理机构使用电子备份标书上传处理，未在规定时间内发送造成的投标无效或失败由投标人自行承担。提交备份电子投标文件时，应写明投标人名称和所投项目名称。</w:t>
            </w:r>
          </w:p>
          <w:p>
            <w:pPr>
              <w:spacing w:line="360" w:lineRule="auto"/>
              <w:ind w:firstLine="422" w:firstLineChars="200"/>
              <w:rPr>
                <w:rFonts w:ascii="宋体" w:hAnsi="宋体" w:cs="宋体"/>
                <w:b/>
                <w:bCs/>
                <w:szCs w:val="21"/>
              </w:rPr>
            </w:pPr>
            <w:r>
              <w:rPr>
                <w:rFonts w:hint="eastAsia" w:ascii="宋体" w:hAnsi="宋体" w:cs="宋体"/>
                <w:b/>
                <w:bCs/>
                <w:szCs w:val="21"/>
              </w:rPr>
              <w:t>提示：</w:t>
            </w:r>
          </w:p>
          <w:p>
            <w:pPr>
              <w:spacing w:line="360" w:lineRule="auto"/>
              <w:ind w:firstLine="422" w:firstLineChars="200"/>
              <w:rPr>
                <w:rFonts w:ascii="宋体" w:hAnsi="宋体" w:cs="宋体"/>
                <w:b/>
                <w:bCs/>
                <w:szCs w:val="21"/>
              </w:rPr>
            </w:pPr>
            <w:r>
              <w:rPr>
                <w:rFonts w:hint="eastAsia" w:ascii="宋体" w:hAnsi="宋体" w:cs="宋体"/>
                <w:b/>
                <w:bCs/>
                <w:szCs w:val="21"/>
              </w:rPr>
              <w:t>1.投标文件已按时解密的，备份投标文件自动失效。</w:t>
            </w:r>
          </w:p>
          <w:p>
            <w:pPr>
              <w:spacing w:line="360" w:lineRule="auto"/>
              <w:ind w:firstLine="422" w:firstLineChars="200"/>
              <w:rPr>
                <w:rFonts w:ascii="宋体" w:hAnsi="宋体" w:cs="宋体"/>
                <w:b/>
                <w:bCs/>
                <w:szCs w:val="21"/>
              </w:rPr>
            </w:pPr>
            <w:r>
              <w:rPr>
                <w:rFonts w:hint="eastAsia" w:ascii="宋体" w:hAnsi="宋体" w:cs="宋体"/>
                <w:b/>
                <w:bCs/>
                <w:szCs w:val="21"/>
              </w:rPr>
              <w:t>2.投标文件未按时解密，供应商提供了备份投标文件的，以备份投标文件作为依据，否则视为投标文件撤回。</w:t>
            </w:r>
          </w:p>
          <w:p>
            <w:pPr>
              <w:spacing w:line="360" w:lineRule="auto"/>
              <w:ind w:firstLine="422" w:firstLineChars="200"/>
              <w:rPr>
                <w:rFonts w:ascii="宋体" w:hAnsi="宋体" w:cs="宋体"/>
                <w:b/>
                <w:bCs/>
                <w:szCs w:val="21"/>
              </w:rPr>
            </w:pPr>
            <w:r>
              <w:rPr>
                <w:rFonts w:hint="eastAsia" w:ascii="宋体" w:hAnsi="宋体" w:cs="宋体"/>
                <w:b/>
                <w:bCs/>
                <w:szCs w:val="21"/>
              </w:rPr>
              <w:t>3.投标文件未按时解密，又未提供备份投标文件的，视为放弃投标。</w:t>
            </w:r>
          </w:p>
          <w:p>
            <w:pPr>
              <w:spacing w:line="360" w:lineRule="auto"/>
              <w:ind w:firstLine="422" w:firstLineChars="200"/>
              <w:rPr>
                <w:rFonts w:ascii="宋体" w:hAnsi="宋体" w:cs="宋体"/>
                <w:szCs w:val="21"/>
              </w:rPr>
            </w:pPr>
            <w:r>
              <w:rPr>
                <w:rFonts w:hint="eastAsia" w:ascii="宋体" w:hAnsi="宋体" w:cs="宋体"/>
                <w:b/>
                <w:bCs/>
                <w:szCs w:val="21"/>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本项目为电子投标项目，授权代表不需要参加现场投标和开标。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投标有效期为开标后90天，</w:t>
            </w:r>
            <w:r>
              <w:rPr>
                <w:rFonts w:hint="eastAsia" w:ascii="宋体" w:hAnsi="宋体" w:cs="宋体"/>
                <w:kern w:val="0"/>
                <w:szCs w:val="21"/>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时间：北京时间2024年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日9:00</w:t>
            </w:r>
          </w:p>
          <w:p>
            <w:pPr>
              <w:spacing w:line="360" w:lineRule="auto"/>
              <w:rPr>
                <w:rFonts w:ascii="宋体" w:hAnsi="宋体" w:cs="宋体"/>
                <w:szCs w:val="21"/>
              </w:rPr>
            </w:pPr>
            <w:r>
              <w:rPr>
                <w:rFonts w:hint="eastAsia" w:ascii="宋体" w:hAnsi="宋体" w:cs="宋体"/>
                <w:szCs w:val="21"/>
              </w:rPr>
              <w:t>地点：政府采购云平台（www.zcygov.cn）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6467"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left="0" w:leftChars="0"/>
              <w:rPr>
                <w:rFonts w:ascii="宋体" w:hAnsi="宋体" w:eastAsia="宋体" w:cs="宋体"/>
                <w:sz w:val="21"/>
                <w:szCs w:val="21"/>
              </w:rPr>
            </w:pPr>
            <w:r>
              <w:rPr>
                <w:rFonts w:hint="eastAsia" w:ascii="宋体" w:hAnsi="宋体" w:eastAsia="宋体" w:cs="宋体"/>
                <w:sz w:val="21"/>
                <w:szCs w:val="21"/>
              </w:rPr>
              <w:t>在合同签订前，中标单位应交纳合同金额1%的履约保证金，如未按规定提交履约保证金，招标人有权拒签合同。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10</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lang w:val="zh-CN"/>
              </w:rPr>
            </w:pPr>
            <w:r>
              <w:rPr>
                <w:rFonts w:hint="eastAsia" w:ascii="宋体" w:hAnsi="宋体" w:cs="宋体"/>
                <w:b/>
                <w:szCs w:val="21"/>
              </w:rPr>
              <w:t>电子投标文件中所须加盖公章部分均采用CA签章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b/>
                <w:bCs/>
                <w:kern w:val="0"/>
                <w:szCs w:val="21"/>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（1）为方便评审委员会评审，请供应商提供纸质投标文件（指商务与技术文件）一份给招标代理机构，纸质投标文件系电子投标文件纸质版，两者内容应一致。本项非实质性要求，供应商自愿提供。</w:t>
            </w:r>
          </w:p>
          <w:p>
            <w:pPr>
              <w:spacing w:line="360" w:lineRule="auto"/>
              <w:rPr>
                <w:rFonts w:ascii="宋体" w:hAnsi="宋体" w:cs="宋体"/>
                <w:szCs w:val="21"/>
              </w:rPr>
            </w:pPr>
            <w:r>
              <w:rPr>
                <w:rFonts w:hint="eastAsia" w:ascii="宋体" w:hAnsi="宋体" w:cs="宋体"/>
                <w:szCs w:val="21"/>
              </w:rPr>
              <w:t>在</w:t>
            </w:r>
            <w:r>
              <w:rPr>
                <w:rFonts w:hint="eastAsia" w:ascii="宋体" w:hAnsi="宋体" w:cs="宋体"/>
                <w:szCs w:val="21"/>
                <w:lang w:val="en-US" w:eastAsia="zh-CN"/>
              </w:rPr>
              <w:t>2024年5月17日（投标截止日期）</w:t>
            </w:r>
            <w:r>
              <w:rPr>
                <w:rFonts w:hint="eastAsia" w:ascii="宋体" w:hAnsi="宋体" w:cs="宋体"/>
                <w:szCs w:val="21"/>
              </w:rPr>
              <w:t>之前邮寄（送达）至以下地点，以签收时间为准，逾期或不符合规定的投标文件恕不接受。</w:t>
            </w:r>
          </w:p>
          <w:p>
            <w:pPr>
              <w:spacing w:line="360" w:lineRule="auto"/>
              <w:rPr>
                <w:rFonts w:ascii="宋体" w:hAnsi="宋体" w:cs="宋体"/>
                <w:szCs w:val="21"/>
              </w:rPr>
            </w:pPr>
            <w:r>
              <w:rPr>
                <w:rFonts w:hint="eastAsia" w:ascii="宋体" w:hAnsi="宋体" w:cs="宋体"/>
                <w:szCs w:val="21"/>
              </w:rPr>
              <w:t>收 件 人：陈先生（台州市玖诚工程管理有限公司）</w:t>
            </w:r>
          </w:p>
          <w:p>
            <w:pPr>
              <w:spacing w:line="360" w:lineRule="auto"/>
              <w:rPr>
                <w:rFonts w:ascii="宋体" w:hAnsi="宋体" w:cs="宋体"/>
                <w:szCs w:val="21"/>
              </w:rPr>
            </w:pPr>
            <w:r>
              <w:rPr>
                <w:rFonts w:hint="eastAsia" w:ascii="宋体" w:hAnsi="宋体" w:cs="宋体"/>
                <w:szCs w:val="21"/>
              </w:rPr>
              <w:t>联系电话：13486810088</w:t>
            </w:r>
          </w:p>
          <w:p>
            <w:pPr>
              <w:spacing w:line="360" w:lineRule="auto"/>
              <w:rPr>
                <w:rFonts w:ascii="宋体" w:hAnsi="宋体" w:cs="宋体"/>
                <w:szCs w:val="21"/>
              </w:rPr>
            </w:pPr>
            <w:r>
              <w:rPr>
                <w:rFonts w:hint="eastAsia" w:ascii="宋体" w:hAnsi="宋体" w:cs="宋体"/>
                <w:szCs w:val="21"/>
              </w:rPr>
              <w:t>地    址：浙江省台州市椒江区解放南路道台里文创院。</w:t>
            </w:r>
          </w:p>
          <w:p>
            <w:pPr>
              <w:pStyle w:val="21"/>
              <w:spacing w:line="360" w:lineRule="auto"/>
              <w:rPr>
                <w:rFonts w:ascii="宋体" w:hAnsi="宋体" w:cs="宋体"/>
                <w:b/>
                <w:bCs/>
                <w:sz w:val="21"/>
                <w:szCs w:val="21"/>
                <w:lang w:val="zh-CN"/>
              </w:rPr>
            </w:pPr>
            <w:r>
              <w:rPr>
                <w:rFonts w:hint="eastAsia" w:ascii="宋体" w:hAnsi="宋体" w:cs="宋体"/>
                <w:b/>
                <w:bCs/>
                <w:sz w:val="21"/>
                <w:szCs w:val="21"/>
                <w:lang w:val="zh-CN"/>
              </w:rPr>
              <w:t>（2）中标供应商中标后需提供纸质投标文件给招标代理机构作为备案存档，纸质投标文件系电子投标文件纸质版，两者内容应一致；数量为：资格证明文件</w:t>
            </w:r>
            <w:r>
              <w:rPr>
                <w:rFonts w:hint="eastAsia" w:ascii="宋体" w:hAnsi="宋体" w:cs="宋体"/>
                <w:b/>
                <w:bCs/>
                <w:sz w:val="21"/>
                <w:szCs w:val="21"/>
              </w:rPr>
              <w:t>3</w:t>
            </w:r>
            <w:r>
              <w:rPr>
                <w:rFonts w:hint="eastAsia" w:ascii="宋体" w:hAnsi="宋体" w:cs="宋体"/>
                <w:b/>
                <w:bCs/>
                <w:sz w:val="21"/>
                <w:szCs w:val="21"/>
                <w:lang w:val="zh-CN"/>
              </w:rPr>
              <w:t>份；商务与技术文件</w:t>
            </w:r>
            <w:r>
              <w:rPr>
                <w:rFonts w:hint="eastAsia" w:ascii="宋体" w:hAnsi="宋体" w:cs="宋体"/>
                <w:b/>
                <w:bCs/>
                <w:sz w:val="21"/>
                <w:szCs w:val="21"/>
              </w:rPr>
              <w:t>3</w:t>
            </w:r>
            <w:r>
              <w:rPr>
                <w:rFonts w:hint="eastAsia" w:ascii="宋体" w:hAnsi="宋体" w:cs="宋体"/>
                <w:b/>
                <w:bCs/>
                <w:sz w:val="21"/>
                <w:szCs w:val="21"/>
                <w:lang w:val="zh-CN"/>
              </w:rPr>
              <w:t>份；报价文件</w:t>
            </w:r>
            <w:r>
              <w:rPr>
                <w:rFonts w:hint="eastAsia" w:ascii="宋体" w:hAnsi="宋体" w:cs="宋体"/>
                <w:b/>
                <w:bCs/>
                <w:sz w:val="21"/>
                <w:szCs w:val="21"/>
              </w:rPr>
              <w:t>3</w:t>
            </w:r>
            <w:r>
              <w:rPr>
                <w:rFonts w:hint="eastAsia" w:ascii="宋体" w:hAnsi="宋体" w:cs="宋体"/>
                <w:b/>
                <w:bCs/>
                <w:sz w:val="21"/>
                <w:szCs w:val="21"/>
                <w:lang w:val="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lang w:val="zh-CN"/>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w:t>
            </w:r>
          </w:p>
        </w:tc>
        <w:tc>
          <w:tcPr>
            <w:tcW w:w="22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解释权</w:t>
            </w:r>
          </w:p>
        </w:tc>
        <w:tc>
          <w:tcPr>
            <w:tcW w:w="64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本采购文件解释权属于采购人和采购代理机构</w:t>
            </w:r>
          </w:p>
        </w:tc>
      </w:tr>
    </w:tbl>
    <w:p>
      <w:pPr>
        <w:autoSpaceDE w:val="0"/>
        <w:autoSpaceDN w:val="0"/>
        <w:adjustRightInd w:val="0"/>
        <w:spacing w:before="31" w:beforeLines="10" w:line="264" w:lineRule="auto"/>
        <w:rPr>
          <w:rFonts w:ascii="仿宋" w:hAnsi="仿宋" w:eastAsia="仿宋" w:cs="仿宋"/>
          <w:b/>
          <w:bCs/>
          <w:szCs w:val="21"/>
        </w:rPr>
      </w:pPr>
    </w:p>
    <w:p>
      <w:pPr>
        <w:autoSpaceDE w:val="0"/>
        <w:autoSpaceDN w:val="0"/>
        <w:adjustRightInd w:val="0"/>
        <w:spacing w:before="31" w:beforeLines="10" w:line="264" w:lineRule="auto"/>
        <w:rPr>
          <w:rFonts w:ascii="仿宋" w:hAnsi="仿宋" w:eastAsia="仿宋" w:cs="仿宋"/>
          <w:b/>
          <w:bCs/>
          <w:szCs w:val="21"/>
        </w:rPr>
      </w:pPr>
      <w:r>
        <w:rPr>
          <w:rFonts w:hint="eastAsia" w:ascii="仿宋" w:hAnsi="仿宋" w:eastAsia="仿宋" w:cs="仿宋"/>
          <w:b/>
          <w:bCs/>
          <w:szCs w:val="21"/>
        </w:rPr>
        <w:t>其余事项：中标供应商如有融资需求，可使用以下银行的政采贷服务。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1866"/>
        <w:gridCol w:w="1877"/>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银行</w:t>
            </w:r>
          </w:p>
        </w:tc>
        <w:tc>
          <w:tcPr>
            <w:tcW w:w="1866"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贷款年利率</w:t>
            </w:r>
          </w:p>
        </w:tc>
        <w:tc>
          <w:tcPr>
            <w:tcW w:w="1877"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2999" w:type="dxa"/>
            <w:vAlign w:val="center"/>
          </w:tcPr>
          <w:p>
            <w:pPr>
              <w:spacing w:line="460" w:lineRule="exact"/>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中国工商银行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王霖</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中国农业银行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龚盛</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中国建设银行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梅晶晶</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中国银行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3.75%起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任茜</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浦发银行台州分行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王渊</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浦发银行椒江分行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孙瑞华</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交通银行台州分行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3.75%起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周翔宇</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招商银行台州分行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4.32%起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王海玲</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浙商银行台州分行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5.01%起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章涉漪</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中信银行台州分行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4.15%起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陈金园</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华夏银行台州分行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邱明达</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泰隆银行开发区支行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5.6%起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梁宛莉</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民泰银行椒江支行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5.8%起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陈慧珠</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绍兴银行台州分行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5.1%起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郭庭斌</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温州银行台州分行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4.55%起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王晓波</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平安银行台州分行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6.53%起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李俊丽</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宁波银行台州分行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4.35%起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戴莉丽</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金华银行台州分行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4.05%起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金雪婷</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台州银行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5.6%起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洪婷</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7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邮储银行台州分行</w:t>
            </w:r>
          </w:p>
        </w:tc>
        <w:tc>
          <w:tcPr>
            <w:tcW w:w="1866"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3.85%起</w:t>
            </w:r>
          </w:p>
        </w:tc>
        <w:tc>
          <w:tcPr>
            <w:tcW w:w="1877"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董庆</w:t>
            </w:r>
          </w:p>
        </w:tc>
        <w:tc>
          <w:tcPr>
            <w:tcW w:w="2999" w:type="dxa"/>
            <w:vAlign w:val="center"/>
          </w:tcPr>
          <w:p>
            <w:pPr>
              <w:spacing w:line="460" w:lineRule="exact"/>
              <w:jc w:val="center"/>
              <w:rPr>
                <w:rFonts w:ascii="仿宋" w:hAnsi="仿宋" w:eastAsia="仿宋" w:cs="仿宋"/>
                <w:sz w:val="22"/>
                <w:szCs w:val="22"/>
              </w:rPr>
            </w:pPr>
            <w:r>
              <w:rPr>
                <w:rFonts w:hint="eastAsia" w:ascii="仿宋" w:hAnsi="仿宋" w:eastAsia="仿宋" w:cs="仿宋"/>
                <w:sz w:val="22"/>
                <w:szCs w:val="22"/>
              </w:rPr>
              <w:t>81888982/18957683735</w:t>
            </w:r>
          </w:p>
        </w:tc>
      </w:tr>
    </w:tbl>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合同履约保函联系方式</w:t>
      </w:r>
    </w:p>
    <w:tbl>
      <w:tblPr>
        <w:tblStyle w:val="48"/>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34"/>
        <w:gridCol w:w="2339"/>
        <w:gridCol w:w="2352"/>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blHeader/>
        </w:trPr>
        <w:tc>
          <w:tcPr>
            <w:tcW w:w="3334"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保险公司名称</w:t>
            </w:r>
          </w:p>
        </w:tc>
        <w:tc>
          <w:tcPr>
            <w:tcW w:w="2339"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保费率</w:t>
            </w:r>
          </w:p>
        </w:tc>
        <w:tc>
          <w:tcPr>
            <w:tcW w:w="2352"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1672"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中国人寿财产保险股份有限公司台州中心支公司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徐凌</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永诚财产保险股份有限公司台州分公司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尹刚强</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华泰财产保险有限公司台州中心支公司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年费率0.5%，最低保费1000元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王灵芳</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中国大地财产保险股份有限公司台州中心支公司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年费率1.5%，最低保费1000元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徐小明</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阳光保险台州中心支公司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林高明</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中华联合财产保险股份有限公司台州中心支公司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年费率2%，最低保费500元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王仙高</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中国人民财产保险股份有限公司台州中心支公司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年费率0.3%，最低保费1000元</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王仙春</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334" w:type="dxa"/>
            <w:vAlign w:val="center"/>
          </w:tcPr>
          <w:p>
            <w:pPr>
              <w:jc w:val="center"/>
              <w:rPr>
                <w:rFonts w:ascii="仿宋" w:hAnsi="仿宋" w:eastAsia="仿宋" w:cs="仿宋"/>
                <w:sz w:val="22"/>
                <w:szCs w:val="22"/>
              </w:rPr>
            </w:pPr>
            <w:r>
              <w:rPr>
                <w:rFonts w:hint="eastAsia" w:ascii="仿宋" w:hAnsi="仿宋" w:eastAsia="仿宋" w:cs="仿宋"/>
                <w:sz w:val="22"/>
                <w:szCs w:val="22"/>
              </w:rPr>
              <w:t>永安财产保险股份有限公司台州中心支公司</w:t>
            </w:r>
          </w:p>
        </w:tc>
        <w:tc>
          <w:tcPr>
            <w:tcW w:w="2339" w:type="dxa"/>
            <w:vAlign w:val="center"/>
          </w:tcPr>
          <w:p>
            <w:pPr>
              <w:jc w:val="center"/>
              <w:rPr>
                <w:rFonts w:ascii="仿宋" w:hAnsi="仿宋" w:eastAsia="仿宋" w:cs="仿宋"/>
                <w:sz w:val="22"/>
                <w:szCs w:val="22"/>
              </w:rPr>
            </w:pPr>
            <w:r>
              <w:rPr>
                <w:rFonts w:hint="eastAsia" w:ascii="仿宋" w:hAnsi="仿宋" w:eastAsia="仿宋" w:cs="仿宋"/>
                <w:sz w:val="22"/>
                <w:szCs w:val="22"/>
              </w:rPr>
              <w:t>年费率0.3%，最低保费1000</w:t>
            </w:r>
          </w:p>
        </w:tc>
        <w:tc>
          <w:tcPr>
            <w:tcW w:w="2352"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王春宇</w:t>
            </w:r>
          </w:p>
        </w:tc>
        <w:tc>
          <w:tcPr>
            <w:tcW w:w="1672" w:type="dxa"/>
            <w:vAlign w:val="center"/>
          </w:tcPr>
          <w:p>
            <w:pPr>
              <w:jc w:val="center"/>
              <w:rPr>
                <w:rFonts w:ascii="仿宋" w:hAnsi="仿宋" w:eastAsia="仿宋" w:cs="仿宋"/>
                <w:sz w:val="22"/>
                <w:szCs w:val="22"/>
              </w:rPr>
            </w:pPr>
            <w:r>
              <w:rPr>
                <w:rFonts w:hint="eastAsia" w:ascii="仿宋" w:hAnsi="仿宋" w:eastAsia="仿宋" w:cs="仿宋"/>
                <w:sz w:val="22"/>
                <w:szCs w:val="22"/>
              </w:rPr>
              <w:t>13676675331</w:t>
            </w:r>
          </w:p>
        </w:tc>
      </w:tr>
    </w:tbl>
    <w:p>
      <w:pPr>
        <w:spacing w:line="360" w:lineRule="auto"/>
        <w:jc w:val="center"/>
        <w:rPr>
          <w:rFonts w:ascii="仿宋" w:hAnsi="仿宋" w:eastAsia="仿宋" w:cs="仿宋"/>
          <w:sz w:val="22"/>
          <w:szCs w:val="22"/>
        </w:rPr>
      </w:pPr>
      <w:r>
        <w:rPr>
          <w:rFonts w:hint="eastAsia" w:ascii="仿宋" w:hAnsi="仿宋" w:eastAsia="仿宋" w:cs="仿宋"/>
          <w:b/>
          <w:bCs/>
          <w:sz w:val="22"/>
          <w:szCs w:val="22"/>
        </w:rPr>
        <w:t>预付款保函联系方式</w:t>
      </w:r>
    </w:p>
    <w:tbl>
      <w:tblPr>
        <w:tblStyle w:val="48"/>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27"/>
        <w:gridCol w:w="2358"/>
        <w:gridCol w:w="2369"/>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327"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保险公司名称</w:t>
            </w:r>
          </w:p>
        </w:tc>
        <w:tc>
          <w:tcPr>
            <w:tcW w:w="2358"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保费率</w:t>
            </w:r>
          </w:p>
        </w:tc>
        <w:tc>
          <w:tcPr>
            <w:tcW w:w="2369"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联系人</w:t>
            </w:r>
          </w:p>
        </w:tc>
        <w:tc>
          <w:tcPr>
            <w:tcW w:w="1684" w:type="dxa"/>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中国人寿财产保险股份有限公司台州中心支公司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年费率3%，最低保费500元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徐凌</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阳光保险台州中心支公司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林高明</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3327" w:type="dxa"/>
            <w:vAlign w:val="center"/>
          </w:tcPr>
          <w:p>
            <w:pPr>
              <w:jc w:val="center"/>
              <w:rPr>
                <w:rFonts w:ascii="仿宋" w:hAnsi="仿宋" w:eastAsia="仿宋" w:cs="仿宋"/>
                <w:sz w:val="22"/>
                <w:szCs w:val="22"/>
              </w:rPr>
            </w:pPr>
            <w:r>
              <w:rPr>
                <w:rFonts w:hint="eastAsia" w:ascii="仿宋" w:hAnsi="仿宋" w:eastAsia="仿宋" w:cs="仿宋"/>
                <w:sz w:val="22"/>
                <w:szCs w:val="22"/>
              </w:rPr>
              <w:t>天安财产保险股份有限公司台州中心支公司</w:t>
            </w:r>
          </w:p>
        </w:tc>
        <w:tc>
          <w:tcPr>
            <w:tcW w:w="2358" w:type="dxa"/>
            <w:vAlign w:val="center"/>
          </w:tcPr>
          <w:p>
            <w:pPr>
              <w:jc w:val="center"/>
              <w:rPr>
                <w:rFonts w:ascii="仿宋" w:hAnsi="仿宋" w:eastAsia="仿宋" w:cs="仿宋"/>
                <w:sz w:val="22"/>
                <w:szCs w:val="22"/>
              </w:rPr>
            </w:pPr>
            <w:r>
              <w:rPr>
                <w:rFonts w:hint="eastAsia" w:ascii="仿宋" w:hAnsi="仿宋" w:eastAsia="仿宋" w:cs="仿宋"/>
                <w:sz w:val="22"/>
                <w:szCs w:val="22"/>
              </w:rPr>
              <w:t>年费率1%—2%，最低保费500元</w:t>
            </w:r>
          </w:p>
        </w:tc>
        <w:tc>
          <w:tcPr>
            <w:tcW w:w="2369"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罗赛</w:t>
            </w:r>
          </w:p>
        </w:tc>
        <w:tc>
          <w:tcPr>
            <w:tcW w:w="1684" w:type="dxa"/>
            <w:vAlign w:val="center"/>
          </w:tcPr>
          <w:p>
            <w:pPr>
              <w:spacing w:line="360" w:lineRule="auto"/>
              <w:jc w:val="center"/>
              <w:rPr>
                <w:rFonts w:ascii="仿宋" w:hAnsi="仿宋" w:eastAsia="仿宋" w:cs="仿宋"/>
                <w:sz w:val="22"/>
                <w:szCs w:val="22"/>
              </w:rPr>
            </w:pPr>
            <w:r>
              <w:rPr>
                <w:rFonts w:hint="eastAsia" w:ascii="仿宋" w:hAnsi="仿宋" w:eastAsia="仿宋" w:cs="仿宋"/>
                <w:sz w:val="22"/>
                <w:szCs w:val="22"/>
              </w:rPr>
              <w:t>13736605643</w:t>
            </w:r>
          </w:p>
        </w:tc>
      </w:tr>
    </w:tbl>
    <w:p>
      <w:pPr>
        <w:spacing w:line="360" w:lineRule="auto"/>
        <w:rPr>
          <w:rFonts w:ascii="仿宋" w:hAnsi="仿宋" w:eastAsia="仿宋" w:cs="仿宋"/>
          <w:b/>
          <w:bCs/>
          <w:color w:val="000000"/>
          <w:sz w:val="24"/>
          <w:szCs w:val="32"/>
        </w:rPr>
      </w:pPr>
    </w:p>
    <w:p>
      <w:pPr>
        <w:pStyle w:val="27"/>
        <w:snapToGrid w:val="0"/>
        <w:spacing w:before="120" w:after="12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 、总  则</w:t>
      </w:r>
    </w:p>
    <w:p>
      <w:pPr>
        <w:snapToGrid w:val="0"/>
        <w:spacing w:line="360" w:lineRule="auto"/>
        <w:ind w:firstLine="413" w:firstLineChars="196"/>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 适用范围</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本采购文件适用于</w:t>
      </w:r>
      <w:r>
        <w:rPr>
          <w:rFonts w:hint="eastAsia" w:asciiTheme="minorEastAsia" w:hAnsiTheme="minorEastAsia" w:eastAsiaTheme="minorEastAsia" w:cstheme="minorEastAsia"/>
          <w:bCs/>
          <w:szCs w:val="21"/>
        </w:rPr>
        <w:t>本次</w:t>
      </w:r>
      <w:r>
        <w:rPr>
          <w:rFonts w:hint="eastAsia" w:asciiTheme="minorEastAsia" w:hAnsiTheme="minorEastAsia" w:eastAsiaTheme="minorEastAsia" w:cstheme="minorEastAsia"/>
          <w:szCs w:val="21"/>
        </w:rPr>
        <w:t>项目的招标、投标、评标、定标、验收、合同履约、付款等行为（法律、法规另有规定的，从其规定）。</w:t>
      </w:r>
    </w:p>
    <w:p>
      <w:pPr>
        <w:snapToGrid w:val="0"/>
        <w:spacing w:before="159" w:beforeLines="50" w:line="360" w:lineRule="auto"/>
        <w:ind w:firstLine="310" w:firstLineChars="147"/>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（二）定义</w:t>
      </w:r>
    </w:p>
    <w:p>
      <w:pPr>
        <w:pStyle w:val="5"/>
        <w:keepNext w:val="0"/>
        <w:keepLines w:val="0"/>
        <w:numPr>
          <w:ilvl w:val="0"/>
          <w:numId w:val="11"/>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zh-CN"/>
        </w:rPr>
        <w:t>“采购组织机构”指采购人委托组织招标的采购代理机构。</w:t>
      </w:r>
    </w:p>
    <w:p>
      <w:pPr>
        <w:pStyle w:val="5"/>
        <w:keepNext w:val="0"/>
        <w:keepLines w:val="0"/>
        <w:numPr>
          <w:ilvl w:val="0"/>
          <w:numId w:val="11"/>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采购人：是指委托采购代理机构采购本次项目的国家机关、事业单位和团体组织。</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投标人：是指向采购</w:t>
      </w:r>
      <w:r>
        <w:rPr>
          <w:rFonts w:hint="eastAsia" w:asciiTheme="minorEastAsia" w:hAnsiTheme="minorEastAsia" w:eastAsiaTheme="minorEastAsia" w:cstheme="minorEastAsia"/>
          <w:szCs w:val="21"/>
          <w:lang w:val="zh-CN"/>
        </w:rPr>
        <w:t>组织</w:t>
      </w:r>
      <w:r>
        <w:rPr>
          <w:rFonts w:hint="eastAsia" w:asciiTheme="minorEastAsia" w:hAnsiTheme="minorEastAsia" w:eastAsiaTheme="minorEastAsia" w:cstheme="minorEastAsia"/>
          <w:szCs w:val="21"/>
        </w:rPr>
        <w:t>机构提交投标文件的单位或个人。</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货物：是指各种形态和种类的物品，包括原材料、燃料、设备、产品等。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服务：是指除货物和工程以外的政府采购对象，包括各类专业服务、信息网络开发服务、金融保险服务、运输服务，以及维修与维护服务等。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“书面形式”包括信函、传真等。</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本采购文件所称公章是指单位法定名称章或者CA签章。</w:t>
      </w:r>
    </w:p>
    <w:p>
      <w:pPr>
        <w:numPr>
          <w:ilvl w:val="0"/>
          <w:numId w:val="11"/>
        </w:numPr>
        <w:snapToGrid w:val="0"/>
        <w:spacing w:line="360" w:lineRule="auto"/>
        <w:ind w:left="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“▲”系指实质性要求条款。</w:t>
      </w:r>
    </w:p>
    <w:p>
      <w:pPr>
        <w:snapToGrid w:val="0"/>
        <w:spacing w:before="159" w:beforeLines="50" w:line="360" w:lineRule="auto"/>
        <w:ind w:firstLine="413" w:firstLineChars="196"/>
        <w:jc w:val="left"/>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（三）投标费用</w:t>
      </w:r>
    </w:p>
    <w:p>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不论投标结果如何，投标人均应自行承担所有与投标有关的全部费用（采购文件有相关规定除外）。</w:t>
      </w:r>
    </w:p>
    <w:p>
      <w:pPr>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2.招标代理服务费：按照下列表格中</w:t>
      </w:r>
      <w:r>
        <w:rPr>
          <w:rFonts w:hint="eastAsia" w:asciiTheme="minorEastAsia" w:hAnsiTheme="minorEastAsia" w:eastAsiaTheme="minorEastAsia" w:cstheme="minorEastAsia"/>
          <w:szCs w:val="21"/>
          <w:lang w:val="en-US" w:eastAsia="zh-CN"/>
        </w:rPr>
        <w:t>货物招标</w:t>
      </w:r>
      <w:r>
        <w:rPr>
          <w:rFonts w:hint="eastAsia" w:asciiTheme="minorEastAsia" w:hAnsiTheme="minorEastAsia" w:eastAsiaTheme="minorEastAsia" w:cstheme="minorEastAsia"/>
          <w:szCs w:val="21"/>
        </w:rPr>
        <w:t>类计算标准（差额定率累进法）</w:t>
      </w:r>
      <w:r>
        <w:rPr>
          <w:rFonts w:hint="eastAsia" w:asciiTheme="minorEastAsia" w:hAnsiTheme="minorEastAsia" w:eastAsiaTheme="minorEastAsia" w:cstheme="minorEastAsia"/>
          <w:szCs w:val="21"/>
          <w:lang w:val="en-US" w:eastAsia="zh-CN"/>
        </w:rPr>
        <w:t>的85%</w:t>
      </w:r>
      <w:r>
        <w:rPr>
          <w:rFonts w:hint="eastAsia" w:asciiTheme="minorEastAsia" w:hAnsiTheme="minorEastAsia" w:eastAsiaTheme="minorEastAsia" w:cstheme="minorEastAsia"/>
          <w:szCs w:val="21"/>
        </w:rPr>
        <w:t>向中标单位收取招标代理费（不足陆仟元按陆仟元计取）代理服务费结算时不足8000元的，按定额8000收取。该费用中标方须在领取中标通知书时一次性付清。</w:t>
      </w:r>
    </w:p>
    <w:tbl>
      <w:tblPr>
        <w:tblStyle w:val="48"/>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pPr>
              <w:jc w:val="center"/>
              <w:rPr>
                <w:rFonts w:ascii="宋体" w:hAnsi="宋体" w:cs="宋体"/>
                <w:color w:val="auto"/>
              </w:rPr>
            </w:pPr>
            <w:r>
              <w:rPr>
                <w:rFonts w:hint="eastAsia" w:ascii="宋体" w:hAnsi="宋体" w:cs="宋体"/>
                <w:color w:val="auto"/>
              </w:rPr>
              <w:t>服务类型、费率、中标金额（万元）</w:t>
            </w:r>
          </w:p>
        </w:tc>
        <w:tc>
          <w:tcPr>
            <w:tcW w:w="1777" w:type="dxa"/>
            <w:vAlign w:val="center"/>
          </w:tcPr>
          <w:p>
            <w:pPr>
              <w:jc w:val="center"/>
              <w:rPr>
                <w:rFonts w:ascii="宋体" w:hAnsi="宋体" w:cs="宋体"/>
                <w:color w:val="auto"/>
              </w:rPr>
            </w:pPr>
            <w:r>
              <w:rPr>
                <w:rFonts w:hint="eastAsia" w:ascii="宋体" w:hAnsi="宋体" w:cs="宋体"/>
                <w:color w:val="auto"/>
              </w:rPr>
              <w:t>货物招标</w:t>
            </w:r>
          </w:p>
        </w:tc>
        <w:tc>
          <w:tcPr>
            <w:tcW w:w="1640" w:type="dxa"/>
            <w:vAlign w:val="center"/>
          </w:tcPr>
          <w:p>
            <w:pPr>
              <w:jc w:val="center"/>
              <w:rPr>
                <w:rFonts w:ascii="宋体" w:hAnsi="宋体" w:cs="宋体"/>
                <w:color w:val="auto"/>
              </w:rPr>
            </w:pPr>
            <w:r>
              <w:rPr>
                <w:rFonts w:hint="eastAsia" w:ascii="宋体" w:hAnsi="宋体" w:cs="宋体"/>
                <w:color w:val="auto"/>
              </w:rPr>
              <w:t>服务招标</w:t>
            </w:r>
          </w:p>
        </w:tc>
        <w:tc>
          <w:tcPr>
            <w:tcW w:w="2119" w:type="dxa"/>
            <w:vAlign w:val="center"/>
          </w:tcPr>
          <w:p>
            <w:pPr>
              <w:jc w:val="center"/>
              <w:rPr>
                <w:rFonts w:ascii="宋体" w:hAnsi="宋体" w:cs="宋体"/>
                <w:color w:val="auto"/>
              </w:rPr>
            </w:pPr>
            <w:r>
              <w:rPr>
                <w:rFonts w:hint="eastAsia" w:ascii="宋体" w:hAnsi="宋体" w:cs="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pPr>
              <w:jc w:val="center"/>
              <w:rPr>
                <w:rFonts w:ascii="宋体" w:hAnsi="宋体" w:cs="宋体"/>
                <w:color w:val="auto"/>
              </w:rPr>
            </w:pPr>
            <w:r>
              <w:rPr>
                <w:rFonts w:ascii="宋体" w:hAnsi="宋体" w:cs="宋体"/>
                <w:color w:val="auto"/>
              </w:rPr>
              <w:t>100</w:t>
            </w:r>
            <w:r>
              <w:rPr>
                <w:rFonts w:hint="eastAsia" w:ascii="宋体" w:hAnsi="宋体" w:cs="宋体"/>
                <w:color w:val="auto"/>
              </w:rPr>
              <w:t>以下</w:t>
            </w:r>
          </w:p>
        </w:tc>
        <w:tc>
          <w:tcPr>
            <w:tcW w:w="1777" w:type="dxa"/>
            <w:vAlign w:val="center"/>
          </w:tcPr>
          <w:p>
            <w:pPr>
              <w:jc w:val="center"/>
              <w:rPr>
                <w:rFonts w:ascii="宋体" w:hAnsi="宋体" w:cs="宋体"/>
                <w:color w:val="auto"/>
              </w:rPr>
            </w:pPr>
            <w:r>
              <w:rPr>
                <w:rFonts w:ascii="宋体" w:hAnsi="宋体" w:cs="宋体"/>
                <w:color w:val="auto"/>
              </w:rPr>
              <w:t>1.50%</w:t>
            </w:r>
          </w:p>
        </w:tc>
        <w:tc>
          <w:tcPr>
            <w:tcW w:w="1640" w:type="dxa"/>
            <w:vAlign w:val="center"/>
          </w:tcPr>
          <w:p>
            <w:pPr>
              <w:jc w:val="center"/>
              <w:rPr>
                <w:rFonts w:ascii="宋体" w:hAnsi="宋体" w:cs="宋体"/>
                <w:color w:val="auto"/>
              </w:rPr>
            </w:pPr>
            <w:r>
              <w:rPr>
                <w:rFonts w:ascii="宋体" w:hAnsi="宋体" w:cs="宋体"/>
                <w:color w:val="auto"/>
              </w:rPr>
              <w:t>1.50%</w:t>
            </w:r>
          </w:p>
        </w:tc>
        <w:tc>
          <w:tcPr>
            <w:tcW w:w="2119" w:type="dxa"/>
            <w:vAlign w:val="center"/>
          </w:tcPr>
          <w:p>
            <w:pPr>
              <w:jc w:val="center"/>
              <w:rPr>
                <w:rFonts w:ascii="宋体" w:hAnsi="宋体" w:cs="宋体"/>
                <w:color w:val="auto"/>
              </w:rPr>
            </w:pPr>
            <w:r>
              <w:rPr>
                <w:rFonts w:ascii="宋体" w:hAnsi="宋体" w:cs="宋体"/>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pPr>
              <w:jc w:val="center"/>
              <w:rPr>
                <w:rFonts w:ascii="宋体" w:hAnsi="宋体" w:cs="宋体"/>
                <w:color w:val="auto"/>
              </w:rPr>
            </w:pPr>
            <w:r>
              <w:rPr>
                <w:rFonts w:ascii="宋体" w:hAnsi="宋体" w:cs="宋体"/>
                <w:color w:val="auto"/>
              </w:rPr>
              <w:t>100-500</w:t>
            </w:r>
          </w:p>
        </w:tc>
        <w:tc>
          <w:tcPr>
            <w:tcW w:w="1777" w:type="dxa"/>
            <w:vAlign w:val="center"/>
          </w:tcPr>
          <w:p>
            <w:pPr>
              <w:jc w:val="center"/>
              <w:rPr>
                <w:rFonts w:ascii="宋体" w:hAnsi="宋体" w:cs="宋体"/>
                <w:color w:val="auto"/>
              </w:rPr>
            </w:pPr>
            <w:r>
              <w:rPr>
                <w:rFonts w:ascii="宋体" w:hAnsi="宋体" w:cs="宋体"/>
                <w:color w:val="auto"/>
              </w:rPr>
              <w:t>1.10%</w:t>
            </w:r>
          </w:p>
        </w:tc>
        <w:tc>
          <w:tcPr>
            <w:tcW w:w="1640" w:type="dxa"/>
            <w:vAlign w:val="center"/>
          </w:tcPr>
          <w:p>
            <w:pPr>
              <w:jc w:val="center"/>
              <w:rPr>
                <w:rFonts w:ascii="宋体" w:hAnsi="宋体" w:cs="宋体"/>
                <w:color w:val="auto"/>
              </w:rPr>
            </w:pPr>
            <w:r>
              <w:rPr>
                <w:rFonts w:ascii="宋体" w:hAnsi="宋体" w:cs="宋体"/>
                <w:color w:val="auto"/>
              </w:rPr>
              <w:t>0.80%</w:t>
            </w:r>
          </w:p>
        </w:tc>
        <w:tc>
          <w:tcPr>
            <w:tcW w:w="2119" w:type="dxa"/>
            <w:vAlign w:val="center"/>
          </w:tcPr>
          <w:p>
            <w:pPr>
              <w:jc w:val="center"/>
              <w:rPr>
                <w:rFonts w:ascii="宋体" w:hAnsi="宋体" w:cs="宋体"/>
                <w:color w:val="auto"/>
              </w:rPr>
            </w:pPr>
            <w:r>
              <w:rPr>
                <w:rFonts w:ascii="宋体" w:hAnsi="宋体" w:cs="宋体"/>
                <w:color w:val="auto"/>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539" w:type="dxa"/>
            <w:vAlign w:val="center"/>
          </w:tcPr>
          <w:p>
            <w:pPr>
              <w:jc w:val="center"/>
              <w:rPr>
                <w:rFonts w:ascii="宋体" w:hAnsi="宋体" w:cs="宋体"/>
                <w:color w:val="auto"/>
              </w:rPr>
            </w:pPr>
            <w:r>
              <w:rPr>
                <w:rFonts w:ascii="宋体" w:hAnsi="宋体" w:cs="宋体"/>
                <w:color w:val="auto"/>
              </w:rPr>
              <w:t>500-1000</w:t>
            </w:r>
          </w:p>
        </w:tc>
        <w:tc>
          <w:tcPr>
            <w:tcW w:w="1777" w:type="dxa"/>
            <w:vAlign w:val="center"/>
          </w:tcPr>
          <w:p>
            <w:pPr>
              <w:jc w:val="center"/>
              <w:rPr>
                <w:rFonts w:ascii="宋体" w:hAnsi="宋体" w:cs="宋体"/>
                <w:color w:val="auto"/>
              </w:rPr>
            </w:pPr>
            <w:r>
              <w:rPr>
                <w:rFonts w:ascii="宋体" w:hAnsi="宋体" w:cs="宋体"/>
                <w:color w:val="auto"/>
              </w:rPr>
              <w:t>0.80%</w:t>
            </w:r>
          </w:p>
        </w:tc>
        <w:tc>
          <w:tcPr>
            <w:tcW w:w="1640" w:type="dxa"/>
            <w:vAlign w:val="center"/>
          </w:tcPr>
          <w:p>
            <w:pPr>
              <w:jc w:val="center"/>
              <w:rPr>
                <w:rFonts w:ascii="宋体" w:hAnsi="宋体" w:cs="宋体"/>
                <w:color w:val="auto"/>
              </w:rPr>
            </w:pPr>
            <w:r>
              <w:rPr>
                <w:rFonts w:ascii="宋体" w:hAnsi="宋体" w:cs="宋体"/>
                <w:color w:val="auto"/>
              </w:rPr>
              <w:t>0.45%</w:t>
            </w:r>
          </w:p>
        </w:tc>
        <w:tc>
          <w:tcPr>
            <w:tcW w:w="2119" w:type="dxa"/>
            <w:vAlign w:val="center"/>
          </w:tcPr>
          <w:p>
            <w:pPr>
              <w:jc w:val="center"/>
              <w:rPr>
                <w:rFonts w:ascii="宋体" w:hAnsi="宋体" w:cs="宋体"/>
                <w:color w:val="auto"/>
              </w:rPr>
            </w:pPr>
            <w:r>
              <w:rPr>
                <w:rFonts w:ascii="宋体" w:hAnsi="宋体" w:cs="宋体"/>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pPr>
              <w:jc w:val="center"/>
              <w:rPr>
                <w:rFonts w:ascii="宋体" w:hAnsi="宋体" w:cs="宋体"/>
                <w:color w:val="auto"/>
              </w:rPr>
            </w:pPr>
            <w:r>
              <w:rPr>
                <w:rFonts w:ascii="宋体" w:hAnsi="宋体" w:cs="宋体"/>
                <w:color w:val="auto"/>
              </w:rPr>
              <w:t>1000-5000</w:t>
            </w:r>
          </w:p>
        </w:tc>
        <w:tc>
          <w:tcPr>
            <w:tcW w:w="1777" w:type="dxa"/>
            <w:vAlign w:val="center"/>
          </w:tcPr>
          <w:p>
            <w:pPr>
              <w:jc w:val="center"/>
              <w:rPr>
                <w:rFonts w:ascii="宋体" w:hAnsi="宋体" w:cs="宋体"/>
                <w:color w:val="auto"/>
              </w:rPr>
            </w:pPr>
            <w:r>
              <w:rPr>
                <w:rFonts w:ascii="宋体" w:hAnsi="宋体" w:cs="宋体"/>
                <w:color w:val="auto"/>
              </w:rPr>
              <w:t>0.50%</w:t>
            </w:r>
          </w:p>
        </w:tc>
        <w:tc>
          <w:tcPr>
            <w:tcW w:w="1640" w:type="dxa"/>
            <w:vAlign w:val="center"/>
          </w:tcPr>
          <w:p>
            <w:pPr>
              <w:jc w:val="center"/>
              <w:rPr>
                <w:rFonts w:ascii="宋体" w:hAnsi="宋体" w:cs="宋体"/>
                <w:color w:val="auto"/>
              </w:rPr>
            </w:pPr>
            <w:r>
              <w:rPr>
                <w:rFonts w:ascii="宋体" w:hAnsi="宋体" w:cs="宋体"/>
                <w:color w:val="auto"/>
              </w:rPr>
              <w:t>0.25%</w:t>
            </w:r>
          </w:p>
        </w:tc>
        <w:tc>
          <w:tcPr>
            <w:tcW w:w="2119" w:type="dxa"/>
            <w:vAlign w:val="center"/>
          </w:tcPr>
          <w:p>
            <w:pPr>
              <w:jc w:val="center"/>
              <w:rPr>
                <w:rFonts w:ascii="宋体" w:hAnsi="宋体" w:cs="宋体"/>
                <w:color w:val="auto"/>
              </w:rPr>
            </w:pPr>
            <w:r>
              <w:rPr>
                <w:rFonts w:ascii="宋体" w:hAnsi="宋体" w:cs="宋体"/>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pPr>
              <w:jc w:val="center"/>
              <w:rPr>
                <w:rFonts w:ascii="宋体" w:hAnsi="宋体" w:cs="宋体"/>
                <w:color w:val="auto"/>
              </w:rPr>
            </w:pPr>
            <w:r>
              <w:rPr>
                <w:rFonts w:ascii="宋体" w:hAnsi="宋体" w:cs="宋体"/>
                <w:color w:val="auto"/>
              </w:rPr>
              <w:t>5000-10000</w:t>
            </w:r>
          </w:p>
        </w:tc>
        <w:tc>
          <w:tcPr>
            <w:tcW w:w="1777" w:type="dxa"/>
            <w:vAlign w:val="center"/>
          </w:tcPr>
          <w:p>
            <w:pPr>
              <w:jc w:val="center"/>
              <w:rPr>
                <w:rFonts w:ascii="宋体" w:hAnsi="宋体" w:cs="宋体"/>
                <w:color w:val="auto"/>
              </w:rPr>
            </w:pPr>
            <w:r>
              <w:rPr>
                <w:rFonts w:ascii="宋体" w:hAnsi="宋体" w:cs="宋体"/>
                <w:color w:val="auto"/>
              </w:rPr>
              <w:t>0.25%</w:t>
            </w:r>
          </w:p>
        </w:tc>
        <w:tc>
          <w:tcPr>
            <w:tcW w:w="1640" w:type="dxa"/>
            <w:vAlign w:val="center"/>
          </w:tcPr>
          <w:p>
            <w:pPr>
              <w:jc w:val="center"/>
              <w:rPr>
                <w:rFonts w:ascii="宋体" w:hAnsi="宋体" w:cs="宋体"/>
                <w:color w:val="auto"/>
              </w:rPr>
            </w:pPr>
            <w:r>
              <w:rPr>
                <w:rFonts w:ascii="宋体" w:hAnsi="宋体" w:cs="宋体"/>
                <w:color w:val="auto"/>
              </w:rPr>
              <w:t>0.10%</w:t>
            </w:r>
          </w:p>
        </w:tc>
        <w:tc>
          <w:tcPr>
            <w:tcW w:w="2119" w:type="dxa"/>
            <w:vAlign w:val="center"/>
          </w:tcPr>
          <w:p>
            <w:pPr>
              <w:jc w:val="center"/>
              <w:rPr>
                <w:rFonts w:ascii="宋体" w:hAnsi="宋体" w:cs="宋体"/>
                <w:color w:val="auto"/>
              </w:rPr>
            </w:pPr>
            <w:r>
              <w:rPr>
                <w:rFonts w:ascii="宋体" w:hAnsi="宋体" w:cs="宋体"/>
                <w:color w:val="auto"/>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39" w:type="dxa"/>
            <w:vAlign w:val="center"/>
          </w:tcPr>
          <w:p>
            <w:pPr>
              <w:jc w:val="center"/>
              <w:rPr>
                <w:rFonts w:ascii="宋体" w:hAnsi="宋体" w:cs="宋体"/>
                <w:color w:val="auto"/>
              </w:rPr>
            </w:pPr>
            <w:r>
              <w:rPr>
                <w:rFonts w:ascii="宋体" w:hAnsi="宋体" w:cs="宋体"/>
                <w:color w:val="auto"/>
              </w:rPr>
              <w:t>10000-100000</w:t>
            </w:r>
          </w:p>
        </w:tc>
        <w:tc>
          <w:tcPr>
            <w:tcW w:w="1777" w:type="dxa"/>
            <w:vAlign w:val="center"/>
          </w:tcPr>
          <w:p>
            <w:pPr>
              <w:jc w:val="center"/>
              <w:rPr>
                <w:rFonts w:ascii="宋体" w:hAnsi="宋体" w:cs="宋体"/>
                <w:color w:val="auto"/>
              </w:rPr>
            </w:pPr>
            <w:r>
              <w:rPr>
                <w:rFonts w:ascii="宋体" w:hAnsi="宋体" w:cs="宋体"/>
                <w:color w:val="auto"/>
              </w:rPr>
              <w:t>0.05%</w:t>
            </w:r>
          </w:p>
        </w:tc>
        <w:tc>
          <w:tcPr>
            <w:tcW w:w="1640" w:type="dxa"/>
            <w:vAlign w:val="center"/>
          </w:tcPr>
          <w:p>
            <w:pPr>
              <w:jc w:val="center"/>
              <w:rPr>
                <w:rFonts w:ascii="宋体" w:hAnsi="宋体" w:cs="宋体"/>
                <w:color w:val="auto"/>
              </w:rPr>
            </w:pPr>
            <w:r>
              <w:rPr>
                <w:rFonts w:ascii="宋体" w:hAnsi="宋体" w:cs="宋体"/>
                <w:color w:val="auto"/>
              </w:rPr>
              <w:t>0.05%</w:t>
            </w:r>
          </w:p>
        </w:tc>
        <w:tc>
          <w:tcPr>
            <w:tcW w:w="2119" w:type="dxa"/>
            <w:vAlign w:val="center"/>
          </w:tcPr>
          <w:p>
            <w:pPr>
              <w:jc w:val="center"/>
              <w:rPr>
                <w:rFonts w:ascii="宋体" w:hAnsi="宋体" w:cs="宋体"/>
                <w:color w:val="auto"/>
              </w:rPr>
            </w:pPr>
            <w:r>
              <w:rPr>
                <w:rFonts w:ascii="宋体" w:hAnsi="宋体" w:cs="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539" w:type="dxa"/>
            <w:vAlign w:val="center"/>
          </w:tcPr>
          <w:p>
            <w:pPr>
              <w:jc w:val="center"/>
              <w:rPr>
                <w:rFonts w:ascii="宋体" w:hAnsi="宋体" w:cs="宋体"/>
                <w:color w:val="auto"/>
              </w:rPr>
            </w:pPr>
            <w:r>
              <w:rPr>
                <w:rFonts w:ascii="宋体" w:hAnsi="宋体" w:cs="宋体"/>
                <w:color w:val="auto"/>
              </w:rPr>
              <w:t>100000</w:t>
            </w:r>
            <w:r>
              <w:rPr>
                <w:rFonts w:hint="eastAsia" w:ascii="宋体" w:hAnsi="宋体" w:cs="宋体"/>
                <w:color w:val="auto"/>
              </w:rPr>
              <w:t>以上</w:t>
            </w:r>
          </w:p>
        </w:tc>
        <w:tc>
          <w:tcPr>
            <w:tcW w:w="1777" w:type="dxa"/>
            <w:vAlign w:val="center"/>
          </w:tcPr>
          <w:p>
            <w:pPr>
              <w:jc w:val="center"/>
              <w:rPr>
                <w:rFonts w:ascii="宋体" w:hAnsi="宋体" w:cs="宋体"/>
                <w:color w:val="auto"/>
              </w:rPr>
            </w:pPr>
            <w:r>
              <w:rPr>
                <w:rFonts w:ascii="宋体" w:hAnsi="宋体" w:cs="宋体"/>
                <w:color w:val="auto"/>
              </w:rPr>
              <w:t>0.01%</w:t>
            </w:r>
          </w:p>
        </w:tc>
        <w:tc>
          <w:tcPr>
            <w:tcW w:w="1640" w:type="dxa"/>
            <w:vAlign w:val="center"/>
          </w:tcPr>
          <w:p>
            <w:pPr>
              <w:jc w:val="center"/>
              <w:rPr>
                <w:rFonts w:ascii="宋体" w:hAnsi="宋体" w:cs="宋体"/>
                <w:color w:val="auto"/>
              </w:rPr>
            </w:pPr>
            <w:r>
              <w:rPr>
                <w:rFonts w:ascii="宋体" w:hAnsi="宋体" w:cs="宋体"/>
                <w:color w:val="auto"/>
              </w:rPr>
              <w:t>0.01%</w:t>
            </w:r>
          </w:p>
        </w:tc>
        <w:tc>
          <w:tcPr>
            <w:tcW w:w="2119" w:type="dxa"/>
            <w:vAlign w:val="center"/>
          </w:tcPr>
          <w:p>
            <w:pPr>
              <w:jc w:val="center"/>
              <w:rPr>
                <w:rFonts w:ascii="宋体" w:hAnsi="宋体" w:cs="宋体"/>
                <w:color w:val="auto"/>
              </w:rPr>
            </w:pPr>
            <w:r>
              <w:rPr>
                <w:rFonts w:ascii="宋体" w:hAnsi="宋体" w:cs="宋体"/>
                <w:color w:val="auto"/>
              </w:rPr>
              <w:t>0.01%</w:t>
            </w:r>
          </w:p>
        </w:tc>
      </w:tr>
    </w:tbl>
    <w:p>
      <w:pPr>
        <w:snapToGrid w:val="0"/>
        <w:spacing w:line="360" w:lineRule="auto"/>
        <w:ind w:firstLine="420" w:firstLineChars="200"/>
        <w:rPr>
          <w:rFonts w:hAnsi="宋体" w:cs="宋体"/>
          <w:szCs w:val="21"/>
        </w:rPr>
      </w:pPr>
    </w:p>
    <w:p>
      <w:pPr>
        <w:pStyle w:val="27"/>
        <w:snapToGrid w:val="0"/>
        <w:spacing w:line="360" w:lineRule="auto"/>
        <w:ind w:left="2" w:leftChars="1"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（四）特别说明</w:t>
      </w:r>
    </w:p>
    <w:p>
      <w:pPr>
        <w:pStyle w:val="27"/>
        <w:numPr>
          <w:ilvl w:val="0"/>
          <w:numId w:val="12"/>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投标人投标所使用的资格、信誉、荣誉、业绩与企业认证必须为本法人所拥有。投标人投标所使用的采购项目实施人员必须为本法人员工（指本法人或控股公司正式员工）。</w:t>
      </w:r>
    </w:p>
    <w:p>
      <w:pPr>
        <w:numPr>
          <w:ilvl w:val="0"/>
          <w:numId w:val="12"/>
        </w:num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szCs w:val="21"/>
        </w:rPr>
        <w:tab/>
      </w:r>
    </w:p>
    <w:p>
      <w:pPr>
        <w:pStyle w:val="66"/>
        <w:numPr>
          <w:ilvl w:val="0"/>
          <w:numId w:val="12"/>
        </w:numPr>
        <w:snapToGrid w:val="0"/>
        <w:spacing w:line="360" w:lineRule="auto"/>
        <w:ind w:left="0"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numPr>
          <w:ilvl w:val="0"/>
          <w:numId w:val="12"/>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numPr>
          <w:ilvl w:val="0"/>
          <w:numId w:val="12"/>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为采购项目提供整体设计、规范编制或者项目管理、监理、检测等服务的供应商，不得再参加该采购项目的其他采购活动。</w:t>
      </w:r>
    </w:p>
    <w:p>
      <w:pPr>
        <w:pStyle w:val="5"/>
        <w:keepNext w:val="0"/>
        <w:keepLines w:val="0"/>
        <w:numPr>
          <w:ilvl w:val="0"/>
          <w:numId w:val="12"/>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投标文件格式中的表格式样可以根据项目差别做适当调整,但应当保持表格样式基本形态不变。</w:t>
      </w:r>
    </w:p>
    <w:p>
      <w:pPr>
        <w:pStyle w:val="5"/>
        <w:keepNext w:val="0"/>
        <w:keepLines w:val="0"/>
        <w:numPr>
          <w:ilvl w:val="0"/>
          <w:numId w:val="12"/>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▲单位负责人为同一人或者存在直接控股、管理关系的不同供应商，不得参加同一合同项下的政府采购活动，否则，相关供应商均按无效标处理。</w:t>
      </w:r>
    </w:p>
    <w:p>
      <w:pPr>
        <w:pStyle w:val="5"/>
        <w:keepNext w:val="0"/>
        <w:keepLines w:val="0"/>
        <w:numPr>
          <w:ilvl w:val="0"/>
          <w:numId w:val="12"/>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▲法定代表人或者负责人有夫妻、直系血亲、三代以内旁系血亲或者近姻亲关系的不同供应商，不得参加同一合同项下的政府采购活动，否则，相关供应商均按无效标处理。</w:t>
      </w:r>
    </w:p>
    <w:p>
      <w:pPr>
        <w:pStyle w:val="5"/>
        <w:keepNext w:val="0"/>
        <w:keepLines w:val="0"/>
        <w:numPr>
          <w:ilvl w:val="0"/>
          <w:numId w:val="12"/>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公益一类事业单位不属于政府购买服务的承接主体，不得参与承接政府购买服务。</w:t>
      </w:r>
    </w:p>
    <w:p>
      <w:pPr>
        <w:pStyle w:val="62"/>
        <w:numPr>
          <w:ilvl w:val="0"/>
          <w:numId w:val="12"/>
        </w:numPr>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二、招标文件</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（一）招标文件由招标文件总目录所列内容组成。</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（二）招标文件的澄清或修改</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   3、当招标文件与招标文件的澄清、修改、补充等在同一内容的表述上不一致时，以最后发出的书面文件为准。</w:t>
      </w:r>
    </w:p>
    <w:p>
      <w:pPr>
        <w:tabs>
          <w:tab w:val="left" w:pos="1418"/>
        </w:tabs>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 xml:space="preserve"> 三、投标文件</w:t>
      </w:r>
    </w:p>
    <w:p>
      <w:pPr>
        <w:autoSpaceDE w:val="0"/>
        <w:autoSpaceDN w:val="0"/>
        <w:adjustRightInd w:val="0"/>
        <w:spacing w:line="440" w:lineRule="exact"/>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lang w:val="zh-CN"/>
        </w:rPr>
        <w:t>（一）</w:t>
      </w:r>
      <w:r>
        <w:rPr>
          <w:rFonts w:hint="eastAsia" w:asciiTheme="minorEastAsia" w:hAnsiTheme="minorEastAsia" w:eastAsiaTheme="minorEastAsia" w:cstheme="minorEastAsia"/>
          <w:b/>
          <w:bCs/>
          <w:kern w:val="0"/>
          <w:szCs w:val="21"/>
        </w:rPr>
        <w:t>投标文件的形式</w:t>
      </w:r>
      <w:r>
        <w:rPr>
          <w:rFonts w:hint="eastAsia" w:asciiTheme="minorEastAsia" w:hAnsiTheme="minorEastAsia" w:eastAsiaTheme="minorEastAsia" w:cstheme="minorEastAsia"/>
          <w:b/>
          <w:szCs w:val="21"/>
        </w:rPr>
        <w:t>和使用规则</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1、电子加密标书（</w:t>
      </w:r>
      <w:r>
        <w:rPr>
          <w:rFonts w:hint="eastAsia" w:asciiTheme="minorEastAsia" w:hAnsiTheme="minorEastAsia" w:eastAsiaTheme="minorEastAsia" w:cstheme="minorEastAsia"/>
          <w:szCs w:val="21"/>
        </w:rPr>
        <w:t>供应商须通过政采云平台的政采云电子交易客户端制作投标文件，电子投标相关操作详见</w:t>
      </w:r>
      <w:r>
        <w:fldChar w:fldCharType="begin"/>
      </w:r>
      <w:r>
        <w:instrText xml:space="preserve"> HYPERLINK "https://service.zcygov.cn/" \l "/help/superior" </w:instrText>
      </w:r>
      <w:r>
        <w:fldChar w:fldCharType="separate"/>
      </w:r>
      <w:r>
        <w:rPr>
          <w:rStyle w:val="55"/>
          <w:rFonts w:hint="eastAsia" w:asciiTheme="minorEastAsia" w:hAnsiTheme="minorEastAsia" w:eastAsiaTheme="minorEastAsia" w:cstheme="minorEastAsia"/>
          <w:color w:val="auto"/>
          <w:szCs w:val="21"/>
        </w:rPr>
        <w:t>https://service.zcygov.cn/#/help/superior</w:t>
      </w:r>
      <w:r>
        <w:rPr>
          <w:rStyle w:val="55"/>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zh-CN"/>
        </w:rPr>
        <w:t>在政采云系统平台上传）。</w:t>
      </w:r>
    </w:p>
    <w:p>
      <w:pPr>
        <w:autoSpaceDE w:val="0"/>
        <w:autoSpaceDN w:val="0"/>
        <w:adjustRightInd w:val="0"/>
        <w:spacing w:line="44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2、电子备份标书一份（后缀名为“.bfbs”，以U盘或光盘等形式提供），单独密封包装。</w:t>
      </w:r>
    </w:p>
    <w:p>
      <w:pPr>
        <w:autoSpaceDE w:val="0"/>
        <w:autoSpaceDN w:val="0"/>
        <w:adjustRightInd w:val="0"/>
        <w:spacing w:line="44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lang w:val="zh-CN"/>
        </w:rPr>
        <w:t>3、纸质投标文件（商务与技术文件）一份，密封包装。</w:t>
      </w:r>
    </w:p>
    <w:p>
      <w:pPr>
        <w:pStyle w:val="21"/>
        <w:ind w:firstLine="422" w:firstLineChars="200"/>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注：</w:t>
      </w:r>
      <w:r>
        <w:rPr>
          <w:rFonts w:hint="eastAsia" w:asciiTheme="minorEastAsia" w:hAnsiTheme="minorEastAsia" w:eastAsiaTheme="minorEastAsia" w:cstheme="minorEastAsia"/>
          <w:b/>
          <w:sz w:val="21"/>
          <w:szCs w:val="21"/>
          <w:lang w:val="zh-CN"/>
        </w:rPr>
        <w:t>投标文件启用顺序和效力：投标文件的启用，按先后顺位分别为电子投标文件、备份投标文件。</w:t>
      </w:r>
    </w:p>
    <w:p>
      <w:pPr>
        <w:pStyle w:val="21"/>
        <w:ind w:firstLine="422" w:firstLineChars="200"/>
        <w:rPr>
          <w:rFonts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autoSpaceDE w:val="0"/>
        <w:autoSpaceDN w:val="0"/>
        <w:adjustRightIn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b/>
          <w:szCs w:val="21"/>
          <w:lang w:val="zh-CN"/>
        </w:rPr>
        <w:t>）</w:t>
      </w:r>
      <w:r>
        <w:rPr>
          <w:rFonts w:hint="eastAsia" w:asciiTheme="minorEastAsia" w:hAnsiTheme="minorEastAsia" w:eastAsiaTheme="minorEastAsia" w:cstheme="minorEastAsia"/>
          <w:b/>
          <w:bCs/>
          <w:kern w:val="0"/>
          <w:szCs w:val="21"/>
        </w:rPr>
        <w:t>投标文件的组成</w:t>
      </w:r>
    </w:p>
    <w:p>
      <w:pPr>
        <w:snapToGri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pPr>
        <w:snapToGrid w:val="0"/>
        <w:spacing w:line="360"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▲1、资格证明文件的组成：</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（1）投标声明书（附件2）；</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（2）授权委托书（附件3，法定代表人亲自办理投标事宜的，则无需提交本证明书)；</w:t>
      </w:r>
    </w:p>
    <w:p>
      <w:pPr>
        <w:snapToGrid w:val="0"/>
        <w:spacing w:line="360" w:lineRule="auto"/>
        <w:ind w:left="420" w:left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（3）法人或者其他组织的营业执照等证明文件，自然人的身份证明；</w:t>
      </w:r>
    </w:p>
    <w:p>
      <w:pPr>
        <w:snapToGrid w:val="0"/>
        <w:spacing w:line="360" w:lineRule="auto"/>
        <w:ind w:left="420" w:left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（4）具有良好的商业信誉和健全的财务会计制度的承诺（附件5）；</w:t>
      </w:r>
    </w:p>
    <w:p>
      <w:pPr>
        <w:snapToGrid w:val="0"/>
        <w:spacing w:line="360" w:lineRule="auto"/>
        <w:ind w:left="420" w:left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（5）依法缴纳税收和社会保障资金的承诺（附件6）；</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（6）参加政府采购活动前三年内，在经营活动中没有重大违法记录（附件7）；</w:t>
      </w:r>
    </w:p>
    <w:p>
      <w:pPr>
        <w:snapToGri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（7）提供采购公告中符合供应商特定条件的有效资质证书复印件（投标供应商特定条件中有要求的必须提供），以及需要说明的其他资料。</w:t>
      </w:r>
    </w:p>
    <w:p>
      <w:pPr>
        <w:tabs>
          <w:tab w:val="left" w:pos="840"/>
        </w:tabs>
        <w:snapToGrid w:val="0"/>
        <w:spacing w:line="360" w:lineRule="auto"/>
        <w:ind w:left="420" w:left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2、商务与技术文件的组成：</w:t>
      </w:r>
    </w:p>
    <w:p>
      <w:pPr>
        <w:spacing w:line="360" w:lineRule="auto"/>
        <w:ind w:firstLine="420" w:firstLineChars="200"/>
        <w:rPr>
          <w:rFonts w:ascii="宋体" w:hAnsi="宋体" w:cs="宋体"/>
          <w:szCs w:val="21"/>
        </w:rPr>
      </w:pPr>
      <w:r>
        <w:rPr>
          <w:rFonts w:hint="eastAsia" w:ascii="宋体" w:hAnsi="宋体" w:cs="宋体"/>
          <w:szCs w:val="21"/>
        </w:rPr>
        <w:t>（1）评分响应表</w:t>
      </w:r>
    </w:p>
    <w:p>
      <w:pPr>
        <w:spacing w:line="360" w:lineRule="auto"/>
        <w:ind w:firstLine="420" w:firstLineChars="200"/>
        <w:rPr>
          <w:rFonts w:ascii="宋体" w:hAnsi="宋体" w:cs="宋体"/>
          <w:szCs w:val="21"/>
        </w:rPr>
      </w:pPr>
      <w:r>
        <w:rPr>
          <w:rFonts w:hint="eastAsia" w:ascii="宋体" w:hAnsi="宋体" w:cs="宋体"/>
          <w:szCs w:val="21"/>
        </w:rPr>
        <w:t>（2）项目技术规范和服务要求实质性内容响应表</w:t>
      </w:r>
    </w:p>
    <w:p>
      <w:pPr>
        <w:spacing w:line="360" w:lineRule="auto"/>
        <w:ind w:firstLine="420" w:firstLineChars="200"/>
        <w:rPr>
          <w:rFonts w:ascii="宋体" w:hAnsi="宋体" w:cs="宋体"/>
          <w:szCs w:val="21"/>
        </w:rPr>
      </w:pPr>
      <w:r>
        <w:rPr>
          <w:rFonts w:hint="eastAsia" w:ascii="宋体" w:hAnsi="宋体" w:cs="宋体"/>
          <w:szCs w:val="21"/>
        </w:rPr>
        <w:t>（3）投标人基本情况表</w:t>
      </w:r>
    </w:p>
    <w:p>
      <w:pPr>
        <w:spacing w:line="360" w:lineRule="auto"/>
        <w:ind w:firstLine="420" w:firstLineChars="200"/>
        <w:rPr>
          <w:rFonts w:ascii="宋体" w:hAnsi="宋体" w:cs="宋体"/>
          <w:szCs w:val="21"/>
        </w:rPr>
      </w:pPr>
      <w:r>
        <w:rPr>
          <w:rFonts w:hint="eastAsia" w:ascii="宋体" w:hAnsi="宋体" w:cs="宋体"/>
          <w:szCs w:val="21"/>
        </w:rPr>
        <w:t>（4）本项目完整的实施方案</w:t>
      </w:r>
    </w:p>
    <w:p>
      <w:pPr>
        <w:spacing w:line="360" w:lineRule="auto"/>
        <w:ind w:firstLine="420" w:firstLineChars="200"/>
        <w:rPr>
          <w:rFonts w:ascii="宋体" w:hAnsi="宋体" w:cs="宋体"/>
          <w:szCs w:val="21"/>
        </w:rPr>
      </w:pPr>
      <w:r>
        <w:rPr>
          <w:rFonts w:hint="eastAsia" w:ascii="宋体" w:hAnsi="宋体" w:cs="宋体"/>
          <w:szCs w:val="21"/>
        </w:rPr>
        <w:t>（5）技术偏离表</w:t>
      </w:r>
    </w:p>
    <w:p>
      <w:pPr>
        <w:spacing w:line="360" w:lineRule="auto"/>
        <w:ind w:firstLine="420" w:firstLineChars="200"/>
        <w:rPr>
          <w:rFonts w:ascii="宋体" w:hAnsi="宋体" w:cs="宋体"/>
          <w:szCs w:val="21"/>
        </w:rPr>
      </w:pPr>
      <w:r>
        <w:rPr>
          <w:rFonts w:hint="eastAsia" w:ascii="宋体" w:hAnsi="宋体" w:cs="宋体"/>
          <w:szCs w:val="21"/>
        </w:rPr>
        <w:t>（6）对应评分细则提供相关证明资料</w:t>
      </w:r>
    </w:p>
    <w:p>
      <w:pPr>
        <w:spacing w:line="360" w:lineRule="auto"/>
        <w:ind w:firstLine="420" w:firstLineChars="200"/>
        <w:rPr>
          <w:rFonts w:ascii="宋体" w:hAnsi="宋体" w:cs="宋体"/>
          <w:sz w:val="24"/>
          <w:szCs w:val="32"/>
        </w:rPr>
      </w:pPr>
      <w:r>
        <w:rPr>
          <w:rFonts w:hint="eastAsia" w:ascii="宋体" w:hAnsi="宋体" w:cs="宋体"/>
          <w:szCs w:val="21"/>
        </w:rPr>
        <w:t>（7）投标人认为需要提供的与本项目有关的其他文件和说明</w:t>
      </w:r>
    </w:p>
    <w:p>
      <w:pPr>
        <w:spacing w:line="360" w:lineRule="auto"/>
        <w:ind w:firstLine="420" w:firstLineChars="200"/>
        <w:rPr>
          <w:rFonts w:ascii="宋体" w:hAnsi="宋体" w:cs="宋体"/>
          <w:sz w:val="24"/>
          <w:szCs w:val="32"/>
        </w:rPr>
      </w:pPr>
      <w:r>
        <w:rPr>
          <w:rFonts w:hint="eastAsia" w:ascii="宋体" w:hAnsi="宋体" w:cs="宋体"/>
          <w:szCs w:val="21"/>
        </w:rPr>
        <w:t>（8）投标人资料真实性承诺书</w:t>
      </w:r>
    </w:p>
    <w:p>
      <w:pPr>
        <w:spacing w:line="41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line="360" w:lineRule="auto"/>
        <w:ind w:left="426" w:firstLine="57" w:firstLineChars="2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3、报价文件的组成</w:t>
      </w:r>
    </w:p>
    <w:p>
      <w:pPr>
        <w:spacing w:line="360" w:lineRule="auto"/>
        <w:ind w:firstLine="420" w:firstLineChars="200"/>
        <w:rPr>
          <w:rFonts w:ascii="宋体" w:hAnsi="宋体" w:cs="宋体"/>
          <w:szCs w:val="21"/>
        </w:rPr>
      </w:pPr>
      <w:r>
        <w:rPr>
          <w:rFonts w:hint="eastAsia" w:ascii="宋体" w:hAnsi="宋体" w:cs="宋体"/>
          <w:szCs w:val="21"/>
        </w:rPr>
        <w:t>（1）报价文件由开标一览表、报价明细表以及投标人认为其他需要说明的内容组成。</w:t>
      </w:r>
    </w:p>
    <w:p>
      <w:pPr>
        <w:spacing w:line="360" w:lineRule="auto"/>
        <w:ind w:firstLine="420" w:firstLineChars="200"/>
        <w:rPr>
          <w:rFonts w:ascii="宋体" w:hAnsi="宋体" w:cs="宋体"/>
          <w:szCs w:val="21"/>
        </w:rPr>
      </w:pPr>
      <w:r>
        <w:rPr>
          <w:rFonts w:hint="eastAsia" w:ascii="宋体" w:hAnsi="宋体" w:cs="宋体"/>
          <w:szCs w:val="21"/>
        </w:rPr>
        <w:t>（2）此报价为投标人一次性报出唯一的最终价格，包含其它一切所要涉及到的费用，有选择的报价将被拒绝。</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投标报价包括必备的附件、服务费、人工费、技术支持、招标代理费、税金、完成本项目的其它费用和政策性文件规定及合同包含的所有风险、责任等所有费用，投标人所投报的投标报价为投标人所能承受的整个项目的一次性最终最低报价（为本采购项目总价），如有漏项，视同已包含在其它项目中，合同总价和单价不做调整。</w:t>
      </w:r>
    </w:p>
    <w:p>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政府采购优惠政策相关资料（如有）。</w:t>
      </w:r>
    </w:p>
    <w:p>
      <w:pPr>
        <w:spacing w:line="360" w:lineRule="auto"/>
        <w:ind w:firstLine="420" w:firstLineChars="200"/>
        <w:rPr>
          <w:rFonts w:ascii="宋体" w:hAnsi="宋体" w:cs="宋体"/>
          <w:szCs w:val="21"/>
        </w:rPr>
      </w:pPr>
      <w:r>
        <w:rPr>
          <w:rFonts w:hint="eastAsia" w:ascii="宋体" w:hAnsi="宋体" w:cs="宋体"/>
          <w:szCs w:val="21"/>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宋体" w:hAnsi="宋体" w:cs="宋体"/>
          <w:szCs w:val="21"/>
        </w:rPr>
        <w:t>（6）投标报价应按招标文件中相关附表格式填写。</w:t>
      </w:r>
    </w:p>
    <w:p>
      <w:pPr>
        <w:numPr>
          <w:ilvl w:val="0"/>
          <w:numId w:val="13"/>
        </w:numPr>
        <w:spacing w:line="360" w:lineRule="auto"/>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投标文件的制作及递交要求</w:t>
      </w:r>
    </w:p>
    <w:p>
      <w:pPr>
        <w:snapToGrid w:val="0"/>
        <w:spacing w:before="159" w:beforeLines="50" w:line="360" w:lineRule="auto"/>
        <w:ind w:firstLine="413" w:firstLineChars="196"/>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1、投标文件的签署和份数</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电子投标文件如内容不完整、编排混乱导致投标文件被误读、漏读，或者在按采购文件规定的部位查找不到相关内容的，由投标人自行承担。</w:t>
      </w:r>
    </w:p>
    <w:p>
      <w:pPr>
        <w:numPr>
          <w:ilvl w:val="0"/>
          <w:numId w:val="14"/>
        </w:numPr>
        <w:snapToGrid w:val="0"/>
        <w:spacing w:line="360" w:lineRule="auto"/>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温馨提醒：</w:t>
      </w:r>
      <w:r>
        <w:rPr>
          <w:rFonts w:hint="eastAsia" w:asciiTheme="minorEastAsia" w:hAnsiTheme="minorEastAsia" w:eastAsiaTheme="minorEastAsia" w:cstheme="minorEastAsia"/>
          <w:szCs w:val="21"/>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pStyle w:val="21"/>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sz w:val="21"/>
          <w:szCs w:val="21"/>
        </w:rPr>
        <w:t>（发送至872868454@qq.com）</w:t>
      </w:r>
      <w:r>
        <w:rPr>
          <w:rFonts w:hint="eastAsia" w:asciiTheme="minorEastAsia" w:hAnsiTheme="minorEastAsia" w:eastAsiaTheme="minorEastAsia" w:cstheme="minorEastAsia"/>
          <w:sz w:val="21"/>
          <w:szCs w:val="21"/>
        </w:rPr>
        <w:t>等形式提供），并按要求装袋密封并在投标截止时间前一天16：00之前通过邮寄方式送至台州市玖诚工程管理有限公司（地址：浙江省台州市椒江区解放南路道台里文创院），逾期寄达或未按要求密封将被拒收。</w:t>
      </w:r>
    </w:p>
    <w:p>
      <w:pPr>
        <w:snapToGrid w:val="0"/>
        <w:spacing w:line="360" w:lineRule="auto"/>
        <w:ind w:firstLine="411" w:firstLineChars="196"/>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w:t>
      </w:r>
      <w:r>
        <w:rPr>
          <w:rFonts w:hint="eastAsia"/>
          <w:szCs w:val="21"/>
        </w:rPr>
        <w:t>为方便评审委员会评审，请供应商提供纸质投标文件（指商务与技术文件）一份给招标代理机构，纸质投标文件系电子投标文件纸质版，两者内容应一致。</w:t>
      </w:r>
      <w:r>
        <w:rPr>
          <w:rFonts w:hint="eastAsia"/>
          <w:b/>
          <w:bCs/>
          <w:szCs w:val="21"/>
        </w:rPr>
        <w:t>本项非实质性要求，供应商自愿提供</w:t>
      </w:r>
      <w:r>
        <w:rPr>
          <w:rFonts w:hint="eastAsia"/>
          <w:szCs w:val="21"/>
        </w:rPr>
        <w:t>。</w:t>
      </w:r>
      <w:r>
        <w:rPr>
          <w:rFonts w:hint="eastAsia" w:asciiTheme="minorEastAsia" w:hAnsiTheme="minorEastAsia" w:eastAsiaTheme="minorEastAsia" w:cstheme="minorEastAsia"/>
          <w:bCs/>
          <w:szCs w:val="21"/>
        </w:rPr>
        <w:t>在投标截止时间前送达（以邮寄形式）到指定地点，</w:t>
      </w:r>
      <w:r>
        <w:rPr>
          <w:rFonts w:hint="eastAsia" w:asciiTheme="minorEastAsia" w:hAnsiTheme="minorEastAsia" w:eastAsiaTheme="minorEastAsia" w:cstheme="minorEastAsia"/>
          <w:szCs w:val="21"/>
        </w:rPr>
        <w:t>逾期寄达或未按要求密封将被拒收。</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szCs w:val="21"/>
        </w:rPr>
        <w:t>投标文件未按照招标文件要求签署、盖章的，其投标无效；</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（6）投标文件不得涂改，若有修改错漏处，须加盖单位公章或者法定代表人或授权委托人签字或盖章。投标文件因字迹潦草或表达不清所引起的后果由投标人负责。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投标文件的制作要求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（1）投标人应按照投标文件组成内容及项目招标需求和政采云平台制作投标文件，不按招标文件要求制作投标文件的将视情处理（拒收、扣分等），由此产生的责任由投标人自行承担。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szCs w:val="21"/>
        </w:rPr>
        <w:t>投标人应对所提供的全部资料的真实性承担法律责任，</w:t>
      </w:r>
      <w:r>
        <w:rPr>
          <w:rFonts w:hint="eastAsia" w:asciiTheme="minorEastAsia" w:hAnsiTheme="minorEastAsia" w:eastAsiaTheme="minorEastAsia" w:cstheme="minorEastAsia"/>
          <w:b/>
          <w:bCs/>
          <w:szCs w:val="21"/>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bCs/>
          <w:szCs w:val="21"/>
        </w:rPr>
        <w:t>其中电子投标文件中所须加盖公章部分均采用CA签章（此为实质性条款）</w:t>
      </w:r>
      <w:r>
        <w:rPr>
          <w:rFonts w:hint="eastAsia" w:asciiTheme="minorEastAsia" w:hAnsiTheme="minorEastAsia" w:eastAsiaTheme="minorEastAsia" w:cstheme="minorEastAsia"/>
          <w:b/>
          <w:bCs/>
          <w:szCs w:val="21"/>
          <w:lang w:val="zh-CN"/>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3、投标文件的封装要求</w:t>
      </w:r>
    </w:p>
    <w:p>
      <w:pPr>
        <w:pStyle w:val="127"/>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lang w:val="zh-CN"/>
        </w:rPr>
        <w:t>商务与技术文件）以纸质形式编制，装订成册：商务与技术文件共一份，封装成一袋</w:t>
      </w:r>
      <w:r>
        <w:rPr>
          <w:rFonts w:hint="eastAsia" w:asciiTheme="minorEastAsia" w:hAnsiTheme="minorEastAsia" w:eastAsiaTheme="minorEastAsia" w:cstheme="minorEastAsia"/>
        </w:rPr>
        <w:t>。</w:t>
      </w:r>
      <w:r>
        <w:rPr>
          <w:rFonts w:hint="eastAsia"/>
        </w:rPr>
        <w:t>纸质投标文件系电子投标文件纸质版，两者内容应一致。</w:t>
      </w:r>
      <w:r>
        <w:rPr>
          <w:rFonts w:hint="eastAsia" w:asciiTheme="minorEastAsia" w:hAnsiTheme="minorEastAsia" w:eastAsiaTheme="minorEastAsia" w:cstheme="minorEastAsia"/>
        </w:rPr>
        <w:t>②③</w:t>
      </w:r>
      <w:r>
        <w:rPr>
          <w:rFonts w:hint="eastAsia"/>
          <w:b/>
          <w:bCs/>
        </w:rPr>
        <w:t>非实质性要求，供应商自愿提供。</w:t>
      </w:r>
      <w:r>
        <w:rPr>
          <w:rFonts w:hint="eastAsia" w:asciiTheme="minorEastAsia" w:hAnsiTheme="minorEastAsia" w:eastAsiaTheme="minorEastAsia" w:cstheme="minorEastAsia"/>
        </w:rPr>
        <w:t>如有不同标项，请按标项号分别装订，密封要求同上。</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中标供应商</w:t>
      </w:r>
      <w:r>
        <w:rPr>
          <w:rFonts w:hint="eastAsia" w:asciiTheme="minorEastAsia" w:hAnsiTheme="minorEastAsia" w:eastAsiaTheme="minorEastAsia" w:cstheme="minorEastAsia"/>
          <w:szCs w:val="21"/>
        </w:rPr>
        <w:t>中标后需提供纸质投标文件给招标代理机构作为备案存档，纸质投标文件系电子投标文件纸质版，两者内容应一致；资格证明文件、商务与技术文件、报价文件必须分别编制并分开单独装订成册：资格证明文件共三份（一份正本，两份副本，封装成一袋），商务与技术文件共三份（一份正本，两份副本，封装成一袋），报价文件共三份（一份正本，两份副本，封装成一袋）。投标文件的正本封面必须注明“正本”字样，副本可以采用正本的复印件。除报价文件外其余一律不准出现数字报价。如有不同标段，请按标段号分别装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（3）所有投标资料按投标文件的组成所列内容及顺序装订成册，</w:t>
      </w:r>
      <w:r>
        <w:rPr>
          <w:rFonts w:hint="eastAsia" w:asciiTheme="minorEastAsia" w:hAnsiTheme="minorEastAsia" w:eastAsiaTheme="minorEastAsia" w:cstheme="minorEastAsia"/>
          <w:szCs w:val="21"/>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szCs w:val="21"/>
          <w:lang w:val="zh-CN"/>
        </w:rPr>
        <w:t>资格及商务技术文件</w:t>
      </w:r>
      <w:r>
        <w:rPr>
          <w:rFonts w:hint="eastAsia" w:asciiTheme="minorEastAsia" w:hAnsiTheme="minorEastAsia" w:eastAsiaTheme="minorEastAsia" w:cstheme="minorEastAsia"/>
          <w:szCs w:val="21"/>
        </w:rPr>
        <w:t>、报价文件）”、“开标时启封”字样，未按上述要求密封及加写标记，采购代理机构对投标文件的误投和提前启封不负责任。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（5）项目如分标项，各标项投标文件必须分开编制，并按上述份数要求单独密封包装。</w:t>
      </w:r>
    </w:p>
    <w:p>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4、投标文件的递交要求</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kern w:val="0"/>
          <w:szCs w:val="21"/>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kern w:val="0"/>
          <w:szCs w:val="21"/>
        </w:rPr>
        <w:t>。</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（2）若供应商未提交备份投标文件，其后果由供应商自行承担。投标人仅提交备份投标文件，未在投标截止时间前在电子交易系统中完成电子投标文件上传的，其电子备份标书和纸质备份投标文件也将无效。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5、投标文件的补充、修改和撤回。</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（1）投标人如需对已上传的电子投标文件进行补充或者修改的，应当在政采云平台上先行撤回原文件，补充、修改后重新传输递交。投标截止时间前未完成传输的，视为撤回投标文件。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（2）投标人如需对上交的纸质投标文件进行补充、修改或撤回的，必须在投标截止时间前将书面的修改文件或撤消通知送达采购代理机构。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（3）投标修改文件必须密封，在密封袋上写明项目编号、标段、招标项目名称、投标人名称、并注明“修改文件”、“开标时启封”字样，其作为投标文件的组成部份。</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（三）投标文件的有效期</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GB"/>
        </w:rPr>
        <w:t>在特殊情况下，采购人可与投标人协商延长投标文件的有效期，这种要求和答复均以书面形式进行。</w:t>
      </w:r>
    </w:p>
    <w:p>
      <w:pP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GB"/>
        </w:rPr>
        <w:t>投标人可拒绝接受延期要求。同意延长有效期的投标人</w:t>
      </w:r>
      <w:r>
        <w:rPr>
          <w:rFonts w:hint="eastAsia" w:asciiTheme="minorEastAsia" w:hAnsiTheme="minorEastAsia" w:eastAsiaTheme="minorEastAsia" w:cstheme="minorEastAsia"/>
          <w:szCs w:val="21"/>
        </w:rPr>
        <w:t>不能修改投标文件。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四、投标保证金</w:t>
      </w:r>
    </w:p>
    <w:p>
      <w:pPr>
        <w:snapToGrid w:val="0"/>
        <w:spacing w:line="4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本项目不收取投标保证金。</w:t>
      </w:r>
    </w:p>
    <w:p>
      <w:pPr>
        <w:snapToGrid w:val="0"/>
        <w:spacing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五、开标</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（一）开标事项</w:t>
      </w:r>
    </w:p>
    <w:p>
      <w:pPr>
        <w:autoSpaceDE w:val="0"/>
        <w:autoSpaceDN w:val="0"/>
        <w:adjustRightInd w:val="0"/>
        <w:spacing w:line="4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采购组织机构在“招标公告”规定的时间和地点公开开标，</w:t>
      </w:r>
      <w:r>
        <w:rPr>
          <w:rFonts w:hint="eastAsia" w:asciiTheme="minorEastAsia" w:hAnsiTheme="minorEastAsia" w:eastAsiaTheme="minorEastAsia" w:cstheme="minorEastAsia"/>
          <w:szCs w:val="21"/>
        </w:rPr>
        <w:t>本项目采用政采云平台线上开标，</w:t>
      </w:r>
      <w:r>
        <w:rPr>
          <w:rFonts w:hint="eastAsia" w:asciiTheme="minorEastAsia" w:hAnsiTheme="minorEastAsia" w:eastAsiaTheme="minorEastAsia" w:cstheme="minorEastAsia"/>
          <w:b/>
          <w:bCs/>
          <w:szCs w:val="21"/>
          <w:u w:val="single"/>
        </w:rPr>
        <w:t>所有投标人均应当准时在线参加</w:t>
      </w:r>
      <w:r>
        <w:rPr>
          <w:rFonts w:hint="eastAsia" w:asciiTheme="minorEastAsia" w:hAnsiTheme="minorEastAsia" w:eastAsiaTheme="minorEastAsia" w:cstheme="minorEastAsia"/>
          <w:szCs w:val="21"/>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szCs w:val="21"/>
        </w:rPr>
        <w:t>评标委员会成员不得参加开标活动。</w:t>
      </w:r>
      <w:r>
        <w:rPr>
          <w:rFonts w:hint="eastAsia" w:asciiTheme="minorEastAsia" w:hAnsiTheme="minorEastAsia" w:eastAsiaTheme="minorEastAsia" w:cstheme="minorEastAsia"/>
          <w:szCs w:val="21"/>
        </w:rPr>
        <w:t>（本次招标采用先评审商务资格和技术服务方案，后公开并评审商务报价的办法实施）。</w:t>
      </w:r>
    </w:p>
    <w:p>
      <w:pPr>
        <w:autoSpaceDE w:val="0"/>
        <w:autoSpaceDN w:val="0"/>
        <w:adjustRightInd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 开标程序：</w:t>
      </w:r>
    </w:p>
    <w:p>
      <w:pPr>
        <w:pStyle w:val="27"/>
        <w:snapToGrid w:val="0"/>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1、开标会由招标项目负责人主持，主持人宣布开标会议开始；</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3、采购人和采购代理机构依法对投标人的资格进行审查，未通过资格审查的不进入下阶段评审。</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4、商务与技术文件评审结束后，公布商务与技术文件评审无效投标人名称及理由，同时公布经商务与技术文件评审符合采购需求的投标人名单以及商务与技术文件得分情况。</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5、开启报价文件，由评标委员会对报价的合理性、准确性等进行审查核实。</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6、评审结束后，公布报价文件得分、综合得分以及中标候选人排序名单。</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7、开标会议结束。</w:t>
      </w:r>
    </w:p>
    <w:p>
      <w:pPr>
        <w:snapToGrid w:val="0"/>
        <w:spacing w:line="44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六、评标</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（一）组建评标委员会</w:t>
      </w:r>
    </w:p>
    <w:p>
      <w:pPr>
        <w:pStyle w:val="27"/>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本项目评标委员会由政府采购评审专家和采购单位评审代表共5人组成。</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b/>
          <w:bCs/>
          <w:szCs w:val="21"/>
        </w:rPr>
        <w:t>评标程序</w:t>
      </w:r>
    </w:p>
    <w:p>
      <w:pPr>
        <w:numPr>
          <w:ilvl w:val="0"/>
          <w:numId w:val="15"/>
        </w:numPr>
        <w:snapToGrid w:val="0"/>
        <w:spacing w:line="360" w:lineRule="auto"/>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资格审查</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44"/>
        <w:numPr>
          <w:ilvl w:val="0"/>
          <w:numId w:val="15"/>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符合性审查</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评标委员会应当对符合资格的投标人的投标文件进行符合性审查，以确定其是否满足采购文件的实质性要求，对审查发现无效的进行必要的询标，结束后公布无效投标的投标人名单、投标无效的原因。</w:t>
      </w:r>
    </w:p>
    <w:p>
      <w:pPr>
        <w:pStyle w:val="44"/>
        <w:numPr>
          <w:ilvl w:val="0"/>
          <w:numId w:val="15"/>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b/>
          <w:bCs/>
          <w:sz w:val="21"/>
          <w:szCs w:val="21"/>
        </w:rPr>
        <w:t>综合比较与评价</w:t>
      </w:r>
    </w:p>
    <w:p>
      <w:pPr>
        <w:pStyle w:val="44"/>
        <w:spacing w:before="0" w:beforeAutospacing="0" w:after="0" w:afterAutospacing="0" w:line="360" w:lineRule="auto"/>
        <w:ind w:firstLine="315" w:firstLineChars="15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sz w:val="21"/>
          <w:szCs w:val="21"/>
        </w:rPr>
        <w:t>给予供应商提交澄清说明或补正的时间不得少于半小时，供应商已经明确表示澄清说明或补正完毕的除外</w:t>
      </w:r>
      <w:r>
        <w:rPr>
          <w:rFonts w:asciiTheme="minorEastAsia" w:hAnsiTheme="minorEastAsia" w:eastAsiaTheme="minorEastAsia" w:cstheme="minorEastAsia"/>
          <w:sz w:val="21"/>
          <w:szCs w:val="21"/>
        </w:rPr>
        <w:t>）。</w:t>
      </w:r>
    </w:p>
    <w:p>
      <w:pPr>
        <w:pStyle w:val="44"/>
        <w:spacing w:before="0" w:beforeAutospacing="0" w:after="0" w:afterAutospacing="0" w:line="360" w:lineRule="auto"/>
        <w:ind w:firstLine="315" w:firstLineChars="15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（2）评标委员会应当按照采购文件中规定的评标方法和标准，对符合性审查合格的投标文件进行商务和技术评估，综合比较与评价。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（3）评标时，评标委员会各成员应当独立对每个投标人的投标文件进行评价，并汇总每个投标人的得分。</w:t>
      </w:r>
    </w:p>
    <w:p>
      <w:pPr>
        <w:numPr>
          <w:ilvl w:val="0"/>
          <w:numId w:val="15"/>
        </w:numPr>
        <w:snapToGrid w:val="0"/>
        <w:spacing w:line="360" w:lineRule="auto"/>
        <w:ind w:left="0"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得分确认及评审报告编写</w:t>
      </w:r>
    </w:p>
    <w:p>
      <w:pPr>
        <w:pStyle w:val="27"/>
        <w:snapToGrid w:val="0"/>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（1）评标委员会对报价文件进行复核，对于系统计算出的价格分及总得分进行确认；</w:t>
      </w:r>
    </w:p>
    <w:p>
      <w:pPr>
        <w:pStyle w:val="27"/>
        <w:snapToGrid w:val="0"/>
        <w:spacing w:line="360" w:lineRule="auto"/>
        <w:ind w:firstLine="367" w:firstLine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（3）评标委员会按评标原则及得分情况编写评审报告。</w:t>
      </w:r>
    </w:p>
    <w:p>
      <w:pPr>
        <w:numPr>
          <w:ilvl w:val="0"/>
          <w:numId w:val="15"/>
        </w:numPr>
        <w:snapToGrid w:val="0"/>
        <w:spacing w:line="360" w:lineRule="auto"/>
        <w:ind w:left="0"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评价</w:t>
      </w:r>
    </w:p>
    <w:p>
      <w:pPr>
        <w:snapToGrid w:val="0"/>
        <w:spacing w:line="360" w:lineRule="auto"/>
        <w:ind w:firstLine="420"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采购组织机构对评标委员会评审专家进行评价。</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（三）澄清问题的形式</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pStyle w:val="27"/>
        <w:snapToGrid w:val="0"/>
        <w:spacing w:line="360" w:lineRule="auto"/>
        <w:ind w:left="690" w:leftChars="228" w:hanging="211" w:hangingChars="1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（四）错误修正</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投标文件报价出现前后不一致的，除采购文件另有规定外，按照下列规定修正：</w:t>
      </w:r>
    </w:p>
    <w:p>
      <w:pPr>
        <w:pStyle w:val="44"/>
        <w:numPr>
          <w:ilvl w:val="0"/>
          <w:numId w:val="16"/>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投标文件中开标一览表（报价表）内容与投标文件中相应内容不一致的，以开标一览表（报价表）为准；</w:t>
      </w:r>
    </w:p>
    <w:p>
      <w:pPr>
        <w:pStyle w:val="44"/>
        <w:numPr>
          <w:ilvl w:val="0"/>
          <w:numId w:val="16"/>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大写金额和小写金额不一致的，以大写金额为准；</w:t>
      </w:r>
    </w:p>
    <w:p>
      <w:pPr>
        <w:pStyle w:val="44"/>
        <w:numPr>
          <w:ilvl w:val="0"/>
          <w:numId w:val="16"/>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单价金额小数点或者百分比有明显错位的，以开标一览表的总价为准，并修改单价；</w:t>
      </w:r>
    </w:p>
    <w:p>
      <w:pPr>
        <w:pStyle w:val="44"/>
        <w:numPr>
          <w:ilvl w:val="0"/>
          <w:numId w:val="16"/>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总价金额与按单价汇总金额不一致的，以单价金额计算结果为准。</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pPr>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（五）采购过程中出现以下情形，导致电子交易平台无法正常运行，或者无法保证电子交易的公平、公正和安全时，采购组织机构可中止电子交易活动：</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1.电子交易平台发生故障而无法登录访问的； </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2.电子交易平台应用或数据库出现错误，不能进行正常操作的；</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3.电子交易平台发现严重安全漏洞，有潜在泄密危险的；</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4.病毒发作导致不能进行正常操作的； </w:t>
      </w:r>
    </w:p>
    <w:p>
      <w:pPr>
        <w:snapToGrid w:val="0"/>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5.其他无法保证电子交易的公平、公正和安全的情况。</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出现上述情形，在不影响采购公平、公正性的前提下，采购组织机构可以待上述情形消除后继续组织电子交易活动，也可以决定某些环节以纸质形式进行；影响或可能影响采购公平、公正性的，应当重新采购。</w:t>
      </w:r>
    </w:p>
    <w:p>
      <w:pPr>
        <w:pStyle w:val="44"/>
        <w:spacing w:before="0" w:beforeAutospacing="0" w:after="0" w:afterAutospacing="0" w:line="360" w:lineRule="auto"/>
        <w:ind w:firstLine="316" w:firstLineChars="150"/>
        <w:jc w:val="both"/>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bCs/>
          <w:sz w:val="21"/>
          <w:szCs w:val="21"/>
        </w:rPr>
        <w:t>（六）</w:t>
      </w:r>
      <w:r>
        <w:rPr>
          <w:rFonts w:asciiTheme="minorEastAsia" w:hAnsiTheme="minorEastAsia" w:eastAsiaTheme="minorEastAsia" w:cstheme="minorEastAsia"/>
          <w:b/>
          <w:sz w:val="21"/>
          <w:szCs w:val="21"/>
        </w:rPr>
        <w:t>投标人存在下列情况之一的，投标无效</w:t>
      </w:r>
    </w:p>
    <w:p>
      <w:pPr>
        <w:numPr>
          <w:ilvl w:val="0"/>
          <w:numId w:val="17"/>
        </w:numPr>
        <w:adjustRightInd w:val="0"/>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pPr>
        <w:numPr>
          <w:ilvl w:val="0"/>
          <w:numId w:val="17"/>
        </w:numPr>
        <w:adjustRightInd w:val="0"/>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不具备采购文件中规定的资格要求的；</w:t>
      </w:r>
      <w:r>
        <w:rPr>
          <w:rFonts w:hint="eastAsia" w:asciiTheme="minorEastAsia" w:hAnsiTheme="minorEastAsia" w:eastAsiaTheme="minorEastAsia" w:cstheme="minorEastAsia"/>
          <w:szCs w:val="21"/>
        </w:rPr>
        <w:tab/>
      </w:r>
    </w:p>
    <w:p>
      <w:pPr>
        <w:pStyle w:val="44"/>
        <w:numPr>
          <w:ilvl w:val="0"/>
          <w:numId w:val="17"/>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投标文件含有采购人不能接受的附加条件的；</w:t>
      </w:r>
    </w:p>
    <w:p>
      <w:pPr>
        <w:numPr>
          <w:ilvl w:val="0"/>
          <w:numId w:val="17"/>
        </w:numPr>
        <w:adjustRightInd w:val="0"/>
        <w:snapToGrid w:val="0"/>
        <w:spacing w:line="360" w:lineRule="auto"/>
        <w:ind w:left="0"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投标代表人未能出具身份证明或与法定代表人授权委托人身份不符的；</w:t>
      </w:r>
    </w:p>
    <w:p>
      <w:pPr>
        <w:pStyle w:val="44"/>
        <w:numPr>
          <w:ilvl w:val="0"/>
          <w:numId w:val="17"/>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0"/>
          <w:numId w:val="17"/>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报价超过采购文件中规定的预算金额或最高限价；</w:t>
      </w:r>
    </w:p>
    <w:p>
      <w:pPr>
        <w:pStyle w:val="44"/>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7.主要性能参数指标（打“▲”的）存在负偏离的。</w:t>
      </w:r>
    </w:p>
    <w:p>
      <w:pPr>
        <w:pStyle w:val="44"/>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8.投标文件提供虚假材料的；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9.未上传</w:t>
      </w:r>
      <w:r>
        <w:rPr>
          <w:rFonts w:hint="eastAsia" w:asciiTheme="minorEastAsia" w:hAnsiTheme="minorEastAsia" w:eastAsiaTheme="minorEastAsia" w:cstheme="minorEastAsia"/>
          <w:szCs w:val="21"/>
        </w:rPr>
        <w:t>电子加密标书，或者非系统平台自身解密异常情况下电子加密标书和电子备份标书均解密失败或未按时解密的；</w:t>
      </w:r>
    </w:p>
    <w:p>
      <w:pPr>
        <w:pStyle w:val="44"/>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（1）不同投标人的投标文件由同一单位或者个人编制；</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（2）不同投标人委托同一单位或者个人办理投标事宜；</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（3）不同投标人的投标文件载明的项目管理成员或者联系人员为同一人；</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（4）不同投标人的投标文件异常一致或者投标报价呈规律性差异；</w:t>
      </w:r>
    </w:p>
    <w:p>
      <w:pPr>
        <w:pStyle w:val="44"/>
        <w:spacing w:before="0" w:beforeAutospacing="0" w:after="0" w:afterAutospacing="0" w:line="360" w:lineRule="auto"/>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（5）不同投标人的投标文件相互混装。</w:t>
      </w:r>
    </w:p>
    <w:p>
      <w:pPr>
        <w:autoSpaceDE w:val="0"/>
        <w:autoSpaceDN w:val="0"/>
        <w:adjustRightIn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11.投标文件制作机器码一致的；</w:t>
      </w:r>
    </w:p>
    <w:p>
      <w:pPr>
        <w:autoSpaceDE w:val="0"/>
        <w:autoSpaceDN w:val="0"/>
        <w:adjustRightInd w:val="0"/>
        <w:spacing w:line="360" w:lineRule="auto"/>
        <w:ind w:left="420" w:left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12.不符合法律、法规和采购文件中规定的其他实质性要求的（采购文件中打“▲”内容及被拒绝的条款）。</w:t>
      </w:r>
    </w:p>
    <w:p>
      <w:pPr>
        <w:autoSpaceDE w:val="0"/>
        <w:autoSpaceDN w:val="0"/>
        <w:adjustRightInd w:val="0"/>
        <w:spacing w:line="360" w:lineRule="auto"/>
        <w:ind w:left="48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（七）有下列情况之一的，本次招标作为废标处理</w:t>
      </w:r>
    </w:p>
    <w:p>
      <w:pPr>
        <w:pStyle w:val="44"/>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出现影响采购公正的违法、违规行为的；</w:t>
      </w:r>
    </w:p>
    <w:p>
      <w:pPr>
        <w:pStyle w:val="44"/>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sz w:val="21"/>
          <w:szCs w:val="21"/>
        </w:rPr>
      </w:pPr>
      <w:r>
        <w:rPr>
          <w:rFonts w:asciiTheme="minorEastAsia" w:hAnsiTheme="minorEastAsia" w:eastAsiaTheme="minorEastAsia" w:cstheme="minorEastAsia"/>
          <w:sz w:val="21"/>
          <w:szCs w:val="21"/>
        </w:rPr>
        <w:t xml:space="preserve">评标委员会发现采购文件存在歧义、重大缺陷导致评标工作无法进行，或者采购文件内容违反国家有关强制性规定的； </w:t>
      </w:r>
    </w:p>
    <w:p>
      <w:pPr>
        <w:pStyle w:val="44"/>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因重大变故，采购任务取消的；</w:t>
      </w:r>
    </w:p>
    <w:p>
      <w:pPr>
        <w:pStyle w:val="44"/>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法律、法规和采购文件规定的其他导致评标结果无效的。</w:t>
      </w:r>
    </w:p>
    <w:p>
      <w:pPr>
        <w:pStyle w:val="27"/>
        <w:tabs>
          <w:tab w:val="left" w:pos="630"/>
        </w:tabs>
        <w:snapToGrid w:val="0"/>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（八）评标原则和评标办法</w:t>
      </w:r>
    </w:p>
    <w:p>
      <w:pPr>
        <w:pStyle w:val="27"/>
        <w:numPr>
          <w:ilvl w:val="0"/>
          <w:numId w:val="19"/>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numPr>
          <w:ilvl w:val="0"/>
          <w:numId w:val="19"/>
        </w:numPr>
        <w:snapToGrid w:val="0"/>
        <w:spacing w:line="360" w:lineRule="auto"/>
        <w:ind w:left="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评标办法。具体评标内容及评分标准等详见《第三章：评标方法及评分标准》。</w:t>
      </w:r>
    </w:p>
    <w:p>
      <w:pPr>
        <w:pStyle w:val="27"/>
        <w:snapToGrid w:val="0"/>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（九）评标过程的监控</w:t>
      </w:r>
    </w:p>
    <w:p>
      <w:pPr>
        <w:pStyle w:val="44"/>
        <w:spacing w:before="0" w:beforeAutospacing="0" w:after="0" w:afterAutospacing="0" w:line="360" w:lineRule="auto"/>
        <w:ind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44"/>
        <w:spacing w:before="0" w:beforeAutospacing="0" w:after="0" w:afterAutospacing="0" w:line="360" w:lineRule="auto"/>
        <w:ind w:firstLine="316" w:firstLineChars="150"/>
        <w:jc w:val="both"/>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七、定标</w:t>
      </w:r>
    </w:p>
    <w:p>
      <w:pPr>
        <w:pStyle w:val="44"/>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numPr>
          <w:ilvl w:val="0"/>
          <w:numId w:val="20"/>
        </w:numPr>
        <w:spacing w:line="360" w:lineRule="auto"/>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发布</w:t>
      </w:r>
      <w:r>
        <w:rPr>
          <w:rFonts w:hint="eastAsia" w:asciiTheme="minorEastAsia" w:hAnsiTheme="minorEastAsia" w:eastAsiaTheme="minorEastAsia" w:cstheme="minorEastAsia"/>
          <w:szCs w:val="21"/>
        </w:rPr>
        <w:t>中标</w:t>
      </w:r>
      <w:r>
        <w:rPr>
          <w:rFonts w:hint="eastAsia" w:asciiTheme="minorEastAsia" w:hAnsiTheme="minorEastAsia" w:eastAsiaTheme="minorEastAsia" w:cstheme="minorEastAsia"/>
          <w:kern w:val="0"/>
          <w:szCs w:val="21"/>
        </w:rPr>
        <w:t>结果公告。采购组织机构应当自中标人确定之日起2个工作日内，在省级以上财政部门指定的媒体及相关网站上公告中标结果。</w:t>
      </w:r>
    </w:p>
    <w:p>
      <w:pPr>
        <w:numPr>
          <w:ilvl w:val="0"/>
          <w:numId w:val="20"/>
        </w:numPr>
        <w:spacing w:line="360" w:lineRule="auto"/>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发出中标通知书。采购组织机构在发布中标结果的同时，向中标人发出中标通知书。</w:t>
      </w:r>
    </w:p>
    <w:p>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八、</w:t>
      </w:r>
      <w:r>
        <w:rPr>
          <w:rFonts w:hint="eastAsia" w:asciiTheme="minorEastAsia" w:hAnsiTheme="minorEastAsia" w:eastAsiaTheme="minorEastAsia" w:cstheme="minorEastAsia"/>
          <w:b/>
          <w:kern w:val="0"/>
          <w:szCs w:val="21"/>
        </w:rPr>
        <w:t>合同签订及公告</w:t>
      </w:r>
    </w:p>
    <w:p>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（一）签订合同</w:t>
      </w:r>
    </w:p>
    <w:p>
      <w:pPr>
        <w:pStyle w:val="44"/>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采购人应当自中标通知书发出之日起30日内，按照采购文件和中标人投标文件的规定，与中标人签订书面合同。所签订的合同不得对采购文件确定的事项和中标人投标文件作实质性修改。</w:t>
      </w:r>
    </w:p>
    <w:p>
      <w:pPr>
        <w:pStyle w:val="44"/>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采购人不得向中标人提出任何不合理的要求作为签订合同的条件。</w:t>
      </w:r>
    </w:p>
    <w:p>
      <w:pPr>
        <w:pStyle w:val="44"/>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中标供应商无故拖延、拒签合同的,取消中标资格。</w:t>
      </w:r>
    </w:p>
    <w:p>
      <w:pPr>
        <w:pStyle w:val="44"/>
        <w:numPr>
          <w:ilvl w:val="0"/>
          <w:numId w:val="21"/>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44"/>
        <w:numPr>
          <w:ilvl w:val="0"/>
          <w:numId w:val="21"/>
        </w:numPr>
        <w:spacing w:line="360" w:lineRule="auto"/>
        <w:ind w:left="0" w:firstLine="420" w:firstLineChars="200"/>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询问或者质疑事项可能影响中标结果的，采购人应当暂停签订合同，已经签订合同的，应当中止履行合同（中标结果的质疑期为中标结果公告期限届满之日起七个工作日）。</w:t>
      </w:r>
    </w:p>
    <w:p>
      <w:pPr>
        <w:pStyle w:val="44"/>
        <w:spacing w:line="360" w:lineRule="auto"/>
        <w:ind w:firstLine="371" w:firstLineChars="176"/>
        <w:rPr>
          <w:rFonts w:hint="default" w:asciiTheme="minorEastAsia" w:hAnsiTheme="minorEastAsia" w:eastAsiaTheme="minorEastAsia" w:cstheme="minorEastAsia"/>
          <w:b/>
          <w:sz w:val="21"/>
          <w:szCs w:val="21"/>
        </w:rPr>
      </w:pPr>
      <w:r>
        <w:rPr>
          <w:rFonts w:asciiTheme="minorEastAsia" w:hAnsiTheme="minorEastAsia" w:eastAsiaTheme="minorEastAsia" w:cstheme="minorEastAsia"/>
          <w:b/>
          <w:sz w:val="21"/>
          <w:szCs w:val="21"/>
        </w:rPr>
        <w:t>（二）合同公告及备案</w:t>
      </w:r>
    </w:p>
    <w:p>
      <w:pPr>
        <w:pStyle w:val="23"/>
        <w:numPr>
          <w:ilvl w:val="0"/>
          <w:numId w:val="22"/>
        </w:numPr>
        <w:spacing w:line="360" w:lineRule="auto"/>
        <w:ind w:left="0" w:leftChars="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采购人应当自政府采购合同签订之日起2个工作日内，</w:t>
      </w:r>
      <w:r>
        <w:rPr>
          <w:rFonts w:hint="eastAsia" w:asciiTheme="minorEastAsia" w:hAnsiTheme="minorEastAsia" w:eastAsiaTheme="minorEastAsia" w:cstheme="minorEastAsia"/>
          <w:kern w:val="0"/>
          <w:szCs w:val="21"/>
        </w:rPr>
        <w:t>在省级以上财政部门指定的政府采购信息发布媒体及相关网站上公告</w:t>
      </w:r>
      <w:r>
        <w:rPr>
          <w:rFonts w:hint="eastAsia" w:asciiTheme="minorEastAsia" w:hAnsiTheme="minorEastAsia" w:eastAsiaTheme="minorEastAsia" w:cstheme="minorEastAsia"/>
          <w:szCs w:val="21"/>
        </w:rPr>
        <w:t>。</w:t>
      </w:r>
    </w:p>
    <w:p>
      <w:pPr>
        <w:pStyle w:val="23"/>
        <w:numPr>
          <w:ilvl w:val="0"/>
          <w:numId w:val="22"/>
        </w:numPr>
        <w:spacing w:line="360" w:lineRule="auto"/>
        <w:ind w:left="0" w:leftChars="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采购人应当自政府采购合同签订之日起7个工作日内，将政府采购合同副本报同级人民政府财政部门备案以及采购组织机构存档。</w:t>
      </w:r>
    </w:p>
    <w:p>
      <w:pPr>
        <w:pStyle w:val="23"/>
        <w:spacing w:line="360" w:lineRule="auto"/>
        <w:ind w:left="0" w:leftChars="0"/>
        <w:rPr>
          <w:rFonts w:ascii="宋体" w:hAnsi="宋体" w:cs="宋体"/>
          <w:sz w:val="24"/>
        </w:rPr>
      </w:pPr>
    </w:p>
    <w:p>
      <w:pPr>
        <w:rPr>
          <w:rFonts w:ascii="宋体" w:hAnsi="宋体" w:cs="宋体"/>
          <w:sz w:val="24"/>
        </w:rPr>
      </w:pPr>
    </w:p>
    <w:p>
      <w:pPr>
        <w:pStyle w:val="15"/>
        <w:rPr>
          <w:rFonts w:ascii="宋体" w:hAnsi="宋体" w:cs="宋体"/>
          <w:sz w:val="24"/>
        </w:rPr>
      </w:pPr>
    </w:p>
    <w:p>
      <w:pPr>
        <w:rPr>
          <w:rFonts w:ascii="宋体" w:hAnsi="宋体" w:cs="宋体"/>
          <w:sz w:val="24"/>
        </w:rPr>
      </w:pPr>
    </w:p>
    <w:p/>
    <w:p>
      <w:pPr>
        <w:rPr>
          <w:rFonts w:ascii="宋体" w:hAnsi="宋体" w:cs="宋体"/>
          <w:b/>
          <w:sz w:val="36"/>
          <w:szCs w:val="36"/>
        </w:rPr>
      </w:pPr>
      <w:r>
        <w:rPr>
          <w:rFonts w:hint="eastAsia" w:ascii="宋体" w:hAnsi="宋体" w:cs="宋体"/>
          <w:b/>
          <w:sz w:val="36"/>
          <w:szCs w:val="36"/>
        </w:rPr>
        <w:br w:type="page"/>
      </w:r>
    </w:p>
    <w:p>
      <w:pPr>
        <w:numPr>
          <w:ilvl w:val="0"/>
          <w:numId w:val="23"/>
        </w:numPr>
        <w:spacing w:line="360" w:lineRule="auto"/>
        <w:jc w:val="center"/>
        <w:rPr>
          <w:rFonts w:ascii="宋体" w:hAnsi="宋体" w:cs="宋体"/>
          <w:b/>
          <w:sz w:val="36"/>
          <w:szCs w:val="36"/>
        </w:rPr>
      </w:pPr>
      <w:r>
        <w:rPr>
          <w:rFonts w:hint="eastAsia" w:ascii="宋体" w:hAnsi="宋体" w:cs="宋体"/>
          <w:b/>
          <w:sz w:val="36"/>
          <w:szCs w:val="36"/>
        </w:rPr>
        <w:t>评标办法及评分标准</w:t>
      </w:r>
    </w:p>
    <w:p>
      <w:pPr>
        <w:autoSpaceDE w:val="0"/>
        <w:autoSpaceDN w:val="0"/>
        <w:spacing w:line="360" w:lineRule="auto"/>
        <w:ind w:firstLine="480" w:firstLineChars="200"/>
        <w:rPr>
          <w:rFonts w:ascii="宋体" w:hAnsi="宋体" w:cs="宋体"/>
          <w:b/>
          <w:i/>
          <w:kern w:val="0"/>
          <w:sz w:val="24"/>
        </w:rPr>
      </w:pPr>
      <w:r>
        <w:rPr>
          <w:rFonts w:hint="eastAsia" w:ascii="宋体" w:hAnsi="宋体" w:cs="宋体"/>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cs="宋体"/>
          <w:sz w:val="24"/>
        </w:rPr>
      </w:pPr>
      <w:r>
        <w:rPr>
          <w:rFonts w:hint="eastAsia" w:ascii="宋体" w:hAnsi="宋体" w:cs="宋体"/>
          <w:sz w:val="24"/>
        </w:rPr>
        <w:t>二、本次招标项目的评标方法为综合评分法，总计100分，其中</w:t>
      </w:r>
      <w:r>
        <w:rPr>
          <w:rFonts w:hint="eastAsia" w:ascii="宋体" w:hAnsi="宋体" w:cs="宋体"/>
          <w:bCs/>
          <w:sz w:val="24"/>
          <w:lang w:val="zh-CN"/>
        </w:rPr>
        <w:t>商务技术文件分值</w:t>
      </w:r>
      <w:r>
        <w:rPr>
          <w:rFonts w:hint="eastAsia" w:ascii="宋体" w:hAnsi="宋体" w:cs="宋体"/>
          <w:bCs/>
          <w:sz w:val="24"/>
        </w:rPr>
        <w:t>70</w:t>
      </w:r>
      <w:r>
        <w:rPr>
          <w:rFonts w:hint="eastAsia" w:ascii="宋体" w:hAnsi="宋体" w:cs="宋体"/>
          <w:bCs/>
          <w:sz w:val="24"/>
          <w:lang w:val="zh-CN"/>
        </w:rPr>
        <w:t>分，投标报价分值</w:t>
      </w:r>
      <w:r>
        <w:rPr>
          <w:rFonts w:hint="eastAsia" w:ascii="宋体" w:hAnsi="宋体" w:cs="宋体"/>
          <w:bCs/>
          <w:sz w:val="24"/>
        </w:rPr>
        <w:t>30</w:t>
      </w:r>
      <w:r>
        <w:rPr>
          <w:rFonts w:hint="eastAsia" w:ascii="宋体" w:hAnsi="宋体" w:cs="宋体"/>
          <w:bCs/>
          <w:sz w:val="24"/>
          <w:lang w:val="zh-CN"/>
        </w:rPr>
        <w:t>分</w:t>
      </w:r>
      <w:r>
        <w:rPr>
          <w:rFonts w:hint="eastAsia" w:ascii="宋体" w:hAnsi="宋体" w:cs="宋体"/>
          <w:sz w:val="24"/>
        </w:rPr>
        <w:t>。评标标准按评分细化条款及分值进行评审。</w:t>
      </w:r>
    </w:p>
    <w:p>
      <w:pPr>
        <w:autoSpaceDE w:val="0"/>
        <w:autoSpaceDN w:val="0"/>
        <w:adjustRightInd w:val="0"/>
        <w:spacing w:line="360" w:lineRule="auto"/>
        <w:ind w:firstLine="472"/>
        <w:rPr>
          <w:rFonts w:ascii="宋体" w:hAnsi="宋体" w:cs="宋体"/>
          <w:bCs/>
          <w:sz w:val="24"/>
          <w:lang w:val="zh-CN"/>
        </w:rPr>
      </w:pPr>
      <w:r>
        <w:rPr>
          <w:rFonts w:hint="eastAsia" w:ascii="宋体" w:hAnsi="宋体" w:cs="宋体"/>
          <w:bCs/>
          <w:sz w:val="24"/>
          <w:lang w:val="zh-CN"/>
        </w:rPr>
        <w:t>（一）商务技术文件中的客观分由评标委员会讨论后统一打分；其余在规定的分值内单独评定打分</w:t>
      </w:r>
      <w:r>
        <w:rPr>
          <w:rFonts w:hint="eastAsia" w:ascii="宋体" w:hAnsi="宋体" w:cs="宋体"/>
          <w:sz w:val="24"/>
        </w:rPr>
        <w:t>（小数点后保留1位）</w:t>
      </w:r>
      <w:r>
        <w:rPr>
          <w:rFonts w:hint="eastAsia" w:ascii="宋体" w:hAnsi="宋体" w:cs="宋体"/>
          <w:bCs/>
          <w:sz w:val="24"/>
          <w:lang w:val="zh-CN"/>
        </w:rPr>
        <w:t>。</w:t>
      </w:r>
    </w:p>
    <w:p>
      <w:pPr>
        <w:autoSpaceDE w:val="0"/>
        <w:autoSpaceDN w:val="0"/>
        <w:adjustRightInd w:val="0"/>
        <w:spacing w:line="360" w:lineRule="auto"/>
        <w:ind w:firstLine="472"/>
        <w:rPr>
          <w:rFonts w:ascii="宋体" w:hAnsi="宋体" w:cs="宋体"/>
          <w:bCs/>
          <w:sz w:val="24"/>
          <w:shd w:val="clear" w:color="FFFFFF" w:fill="D9D9D9"/>
          <w:lang w:val="zh-CN"/>
        </w:rPr>
      </w:pPr>
      <w:r>
        <w:rPr>
          <w:rFonts w:hint="eastAsia" w:ascii="宋体" w:hAnsi="宋体" w:cs="宋体"/>
          <w:bCs/>
          <w:sz w:val="24"/>
          <w:lang w:val="zh-CN"/>
        </w:rPr>
        <w:t>（二）各投标人商务技术文件</w:t>
      </w:r>
      <w:r>
        <w:rPr>
          <w:rFonts w:hint="eastAsia" w:ascii="宋体" w:hAnsi="宋体" w:cs="宋体"/>
          <w:sz w:val="24"/>
          <w:lang w:val="zh-CN"/>
        </w:rPr>
        <w:t>得分按照评标委员会成</w:t>
      </w:r>
      <w:r>
        <w:rPr>
          <w:rFonts w:hint="eastAsia" w:ascii="宋体" w:hAnsi="宋体" w:cs="宋体"/>
          <w:bCs/>
          <w:sz w:val="24"/>
          <w:lang w:val="zh-CN"/>
        </w:rPr>
        <w:t>员的独立评分结果汇总后的算术平均分计算</w:t>
      </w:r>
      <w:r>
        <w:rPr>
          <w:rFonts w:hint="eastAsia" w:ascii="宋体" w:hAnsi="宋体" w:cs="宋体"/>
          <w:sz w:val="24"/>
        </w:rPr>
        <w:t>（小数点后保留2位）</w:t>
      </w:r>
      <w:r>
        <w:rPr>
          <w:rFonts w:hint="eastAsia" w:ascii="宋体" w:hAnsi="宋体" w:cs="宋体"/>
          <w:bCs/>
          <w:sz w:val="24"/>
          <w:lang w:val="zh-CN"/>
        </w:rPr>
        <w:t>，计算公式为：</w:t>
      </w:r>
    </w:p>
    <w:p>
      <w:pPr>
        <w:autoSpaceDE w:val="0"/>
        <w:autoSpaceDN w:val="0"/>
        <w:adjustRightInd w:val="0"/>
        <w:spacing w:line="360" w:lineRule="auto"/>
        <w:ind w:firstLine="472"/>
        <w:rPr>
          <w:rFonts w:ascii="宋体" w:hAnsi="宋体" w:cs="宋体"/>
          <w:bCs/>
          <w:sz w:val="24"/>
          <w:shd w:val="clear" w:color="FFFFFF" w:fill="D9D9D9"/>
          <w:lang w:val="zh-CN"/>
        </w:rPr>
      </w:pPr>
      <w:r>
        <w:rPr>
          <w:rFonts w:hint="eastAsia" w:ascii="宋体" w:hAnsi="宋体" w:cs="宋体"/>
          <w:bCs/>
          <w:sz w:val="24"/>
          <w:lang w:val="zh-CN"/>
        </w:rPr>
        <w:t>商务技术文件</w:t>
      </w:r>
      <w:r>
        <w:rPr>
          <w:rFonts w:hint="eastAsia" w:ascii="宋体" w:hAnsi="宋体" w:cs="宋体"/>
          <w:sz w:val="24"/>
        </w:rPr>
        <w:t>得分</w:t>
      </w:r>
      <w:r>
        <w:rPr>
          <w:rFonts w:hint="eastAsia" w:ascii="宋体" w:hAnsi="宋体" w:cs="宋体"/>
          <w:bCs/>
          <w:sz w:val="24"/>
          <w:lang w:val="zh-CN"/>
        </w:rPr>
        <w:t>=评标委员会所有成员评分合计数/评标委员会组成人员数。</w:t>
      </w:r>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bCs/>
          <w:sz w:val="24"/>
          <w:lang w:val="zh-CN"/>
        </w:rPr>
        <w:t>（三）</w:t>
      </w:r>
      <w:r>
        <w:rPr>
          <w:rFonts w:hint="eastAsia" w:ascii="宋体" w:hAnsi="宋体" w:cs="宋体"/>
          <w:sz w:val="24"/>
          <w:lang w:val="zh-CN"/>
        </w:rPr>
        <w:t>投标报价得分采用低价优先法计算</w:t>
      </w:r>
      <w:r>
        <w:rPr>
          <w:rFonts w:hint="eastAsia" w:ascii="宋体" w:hAnsi="宋体" w:cs="宋体"/>
          <w:sz w:val="24"/>
        </w:rPr>
        <w:t>（小数点后保留2位）</w:t>
      </w:r>
      <w:r>
        <w:rPr>
          <w:rFonts w:hint="eastAsia" w:ascii="宋体" w:hAnsi="宋体" w:cs="宋体"/>
          <w:sz w:val="24"/>
          <w:lang w:val="zh-CN"/>
        </w:rPr>
        <w:t>，即满足招标文件要求且投标价格最低的投标报价为评标基准价，其报价得满分。其他投标人的投标报价得分按下列公式计算：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sz w:val="24"/>
          <w:u w:val="single"/>
        </w:rPr>
      </w:pPr>
      <w:r>
        <w:rPr>
          <w:rFonts w:hint="eastAsia" w:ascii="宋体" w:hAnsi="宋体" w:cs="宋体"/>
          <w:sz w:val="24"/>
          <w:u w:val="single"/>
        </w:rPr>
        <w:t>投标报价得分=(评标基准价／投标报价)×30%×100。</w:t>
      </w:r>
    </w:p>
    <w:p>
      <w:pPr>
        <w:numPr>
          <w:ilvl w:val="0"/>
          <w:numId w:val="24"/>
        </w:numPr>
        <w:autoSpaceDE w:val="0"/>
        <w:autoSpaceDN w:val="0"/>
        <w:spacing w:line="360" w:lineRule="auto"/>
        <w:ind w:firstLine="480" w:firstLineChars="200"/>
        <w:rPr>
          <w:rFonts w:ascii="宋体" w:hAnsi="宋体" w:cs="宋体"/>
          <w:sz w:val="24"/>
        </w:rPr>
      </w:pPr>
      <w:r>
        <w:rPr>
          <w:rFonts w:hint="eastAsia" w:ascii="宋体" w:hAnsi="宋体" w:cs="宋体"/>
          <w:sz w:val="24"/>
        </w:rPr>
        <w:t>投标人综合得分＝资格及</w:t>
      </w:r>
      <w:r>
        <w:rPr>
          <w:rFonts w:hint="eastAsia" w:ascii="宋体" w:hAnsi="宋体" w:cs="宋体"/>
          <w:bCs/>
          <w:sz w:val="24"/>
          <w:lang w:val="zh-CN"/>
        </w:rPr>
        <w:t>商务技术文件</w:t>
      </w:r>
      <w:r>
        <w:rPr>
          <w:rFonts w:hint="eastAsia" w:ascii="宋体" w:hAnsi="宋体" w:cs="宋体"/>
          <w:sz w:val="24"/>
        </w:rPr>
        <w:t>得分＋投标报价得分。</w:t>
      </w:r>
    </w:p>
    <w:p>
      <w:pPr>
        <w:autoSpaceDE w:val="0"/>
        <w:autoSpaceDN w:val="0"/>
        <w:spacing w:line="360" w:lineRule="auto"/>
        <w:ind w:firstLine="480" w:firstLineChars="200"/>
        <w:rPr>
          <w:b/>
          <w:bCs/>
        </w:rPr>
      </w:pPr>
      <w:r>
        <w:rPr>
          <w:rFonts w:hint="eastAsia" w:ascii="宋体" w:hAnsi="宋体" w:cs="宋体"/>
          <w:kern w:val="0"/>
          <w:sz w:val="24"/>
          <w:lang w:val="zh-CN"/>
        </w:rPr>
        <w:t>注：得分以系统计算为准，保留2位小数。</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（五）政府采购政策及优惠：</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1、</w:t>
      </w:r>
      <w:r>
        <w:rPr>
          <w:rFonts w:hint="eastAsia" w:ascii="宋体" w:hAnsi="宋体" w:cs="宋体"/>
          <w:kern w:val="0"/>
          <w:sz w:val="24"/>
          <w:lang w:val="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支持绿色发展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2.1采购人拟采购的产品如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2.2 纳入政府采购管理的修缮、装修类项目采购建材的，鼓励采购单位将绿色建材性能、指标等作为实质性条件纳入采购文件和合同，具体性能指标要求参考相关绿色建材政府采购需求标准。</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 w:name="_Hlk107568539"/>
      <w:r>
        <w:rPr>
          <w:rFonts w:hint="eastAsia" w:ascii="宋体" w:hAnsi="宋体" w:cs="宋体"/>
          <w:kern w:val="0"/>
          <w:sz w:val="24"/>
          <w:lang w:val="zh-CN"/>
        </w:rPr>
        <w:t>鼓励采购单位优先采购秸秆环保板材等资源综合利用产品。鼓励采购单位优先采购绿色物流配送服务、提供新能源交通工具的租赁服务。</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3、支持中小企业发展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符合中小企业划分标准的个体工商户，在政府采购活动中视同中小企业。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以联合体形式参加政府采购活动，联合体各方均为中小企业的，联合体视同中小企业。其中，联合体各方均为小微企业的，联合体视同小微企业。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 w:name="_Hlk101132181"/>
      <w:r>
        <w:rPr>
          <w:rFonts w:hint="eastAsia" w:ascii="宋体" w:hAnsi="宋体" w:cs="宋体"/>
          <w:kern w:val="0"/>
          <w:sz w:val="24"/>
          <w:lang w:val="zh-CN"/>
        </w:rPr>
        <w:t>联合协议或者分包意向协议约定小微企业的合同份额占到合同总金额30%以上的</w:t>
      </w:r>
      <w:bookmarkEnd w:id="2"/>
      <w:r>
        <w:rPr>
          <w:rFonts w:hint="eastAsia" w:ascii="宋体" w:hAnsi="宋体" w:cs="宋体"/>
          <w:kern w:val="0"/>
          <w:sz w:val="24"/>
          <w:lang w:val="zh-CN"/>
        </w:rPr>
        <w:t>，对联合体或者大中型企业的报价给予6%的扣除，用扣除后的价格参加评审。组成联合体或者接受分包的小微企业与联合体内其他企业、分包企业之间存在直接控股、管理关系的，不享受价格扣除优惠政策。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3.4符合《关于促进残疾人就业政府采购政策的通知》（财库〔2017〕141号）规定的条件并提供《残疾人福利性单位声明函》（附件1）的残疾人福利性单位视同小型、微型企业；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3.7中小企业享受扶持政策获得政府采购合同的，小微企业不得将合同分包给大中型企业，中型企业不得将合同分包给大型企业。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3.8 本项目非专门面向中小企业采购，执行价格评审优惠的扶持政策。</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4、</w:t>
      </w:r>
      <w:r>
        <w:rPr>
          <w:rFonts w:hint="eastAsia" w:ascii="宋体" w:hAnsi="宋体" w:cs="宋体"/>
          <w:kern w:val="0"/>
          <w:sz w:val="24"/>
          <w:lang w:val="zh-CN"/>
        </w:rPr>
        <w:t>支持创新发展</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4.1 采购人优先采购被认定为首台套产品和“制造精品”的自主创新产品。</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5、平等对待内外资企业和符合条件的破产重整企业</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平等对待内外资企业和符合条件的破产重整企业，切实保障企业公平竞争，平等维护企业的合法利益。</w:t>
      </w:r>
    </w:p>
    <w:p>
      <w:pPr>
        <w:spacing w:line="360" w:lineRule="auto"/>
        <w:ind w:firstLine="480" w:firstLineChars="200"/>
        <w:rPr>
          <w:rFonts w:ascii="宋体" w:hAnsi="宋体" w:cs="宋体"/>
          <w:sz w:val="24"/>
          <w:lang w:val="zh-CN"/>
        </w:rPr>
      </w:pPr>
      <w:r>
        <w:rPr>
          <w:rFonts w:hint="eastAsia" w:ascii="宋体" w:hAnsi="宋体" w:cs="宋体"/>
          <w:sz w:val="24"/>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sz w:val="24"/>
          <w:lang w:val="zh-CN"/>
        </w:rPr>
      </w:pPr>
      <w:r>
        <w:rPr>
          <w:rFonts w:hint="eastAsia" w:ascii="宋体" w:hAnsi="宋体" w:cs="宋体"/>
          <w:sz w:val="24"/>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sz w:val="24"/>
          <w:lang w:val="zh-CN"/>
        </w:rPr>
      </w:pPr>
      <w:r>
        <w:rPr>
          <w:rFonts w:hint="eastAsia" w:ascii="宋体" w:hAnsi="宋体" w:cs="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rPr>
          <w:rFonts w:ascii="宋体" w:hAnsi="宋体" w:cs="宋体"/>
          <w:sz w:val="24"/>
          <w:lang w:val="zh-CN"/>
        </w:rPr>
      </w:pPr>
      <w:r>
        <w:rPr>
          <w:rFonts w:hint="eastAsia" w:ascii="宋体" w:hAnsi="宋体" w:cs="宋体"/>
          <w:sz w:val="24"/>
          <w:lang w:val="zh-CN"/>
        </w:rPr>
        <w:t>六、</w:t>
      </w:r>
      <w:r>
        <w:rPr>
          <w:rFonts w:hint="eastAsia" w:ascii="宋体" w:hAnsi="宋体" w:cs="宋体"/>
          <w:color w:val="000000" w:themeColor="text1"/>
          <w:sz w:val="24"/>
          <w:lang w:val="zh-CN"/>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资格及</w:t>
      </w:r>
      <w:r>
        <w:rPr>
          <w:rFonts w:hint="eastAsia" w:ascii="宋体" w:hAnsi="宋体" w:cs="宋体"/>
          <w:bCs/>
          <w:color w:val="000000" w:themeColor="text1"/>
          <w:sz w:val="24"/>
          <w:lang w:val="zh-CN"/>
          <w14:textFill>
            <w14:solidFill>
              <w14:schemeClr w14:val="tx1"/>
            </w14:solidFill>
          </w14:textFill>
        </w:rPr>
        <w:t>商务技术部分</w:t>
      </w:r>
      <w:r>
        <w:rPr>
          <w:rFonts w:hint="eastAsia" w:ascii="宋体" w:hAnsi="宋体" w:cs="宋体"/>
          <w:color w:val="000000" w:themeColor="text1"/>
          <w:sz w:val="24"/>
          <w:lang w:val="zh-CN"/>
          <w14:textFill>
            <w14:solidFill>
              <w14:schemeClr w14:val="tx1"/>
            </w14:solidFill>
          </w14:textFill>
        </w:rPr>
        <w:t>评分具体分值细化条款如下表：</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64"/>
        <w:gridCol w:w="6636"/>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名称</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评审内容</w:t>
            </w:r>
          </w:p>
        </w:tc>
        <w:tc>
          <w:tcPr>
            <w:tcW w:w="6636"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评分标准</w:t>
            </w:r>
          </w:p>
        </w:tc>
        <w:tc>
          <w:tcPr>
            <w:tcW w:w="972"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restart"/>
            <w:vAlign w:val="center"/>
          </w:tcPr>
          <w:p>
            <w:pPr>
              <w:widowControl/>
              <w:spacing w:line="288" w:lineRule="auto"/>
              <w:jc w:val="center"/>
              <w:rPr>
                <w:rFonts w:ascii="宋体" w:hAnsi="宋体" w:cs="宋体"/>
                <w:b/>
                <w:szCs w:val="21"/>
              </w:rPr>
            </w:pPr>
            <w:r>
              <w:rPr>
                <w:rFonts w:hint="eastAsia" w:ascii="宋体" w:hAnsi="宋体" w:cs="宋体"/>
                <w:b/>
                <w:bCs/>
                <w:kern w:val="0"/>
                <w:szCs w:val="21"/>
              </w:rPr>
              <w:t>企业实力</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认证证书</w:t>
            </w:r>
          </w:p>
        </w:tc>
        <w:tc>
          <w:tcPr>
            <w:tcW w:w="6636" w:type="dxa"/>
            <w:vAlign w:val="center"/>
          </w:tcPr>
          <w:p>
            <w:pPr>
              <w:spacing w:line="288" w:lineRule="auto"/>
              <w:rPr>
                <w:rFonts w:ascii="宋体" w:hAnsi="宋体" w:cs="宋体"/>
                <w:bCs/>
                <w:szCs w:val="21"/>
                <w:lang w:val="zh-CN"/>
              </w:rPr>
            </w:pPr>
            <w:r>
              <w:rPr>
                <w:rFonts w:hint="eastAsia" w:ascii="宋体" w:hAnsi="宋体" w:cs="宋体"/>
                <w:bCs/>
                <w:szCs w:val="21"/>
                <w:lang w:val="zh-CN"/>
              </w:rPr>
              <w:t>投标人具有有效期内的质量管理体系认证证书、信息安全管理体系认证证书、环境管理体系认证证书、职业健康安全管理体系认证证书的，每提供一个认证证书得</w:t>
            </w:r>
            <w:r>
              <w:rPr>
                <w:rFonts w:hint="eastAsia" w:ascii="宋体" w:hAnsi="宋体" w:cs="宋体"/>
                <w:bCs/>
                <w:szCs w:val="21"/>
              </w:rPr>
              <w:t>1</w:t>
            </w:r>
            <w:r>
              <w:rPr>
                <w:rFonts w:hint="eastAsia" w:ascii="宋体" w:hAnsi="宋体" w:cs="宋体"/>
                <w:bCs/>
                <w:szCs w:val="21"/>
                <w:lang w:val="zh-CN"/>
              </w:rPr>
              <w:t>分，最高得</w:t>
            </w:r>
            <w:r>
              <w:rPr>
                <w:rFonts w:hint="eastAsia" w:ascii="宋体" w:hAnsi="宋体" w:cs="宋体"/>
                <w:bCs/>
                <w:szCs w:val="21"/>
                <w:lang w:val="en-US" w:eastAsia="zh-CN"/>
              </w:rPr>
              <w:t>4</w:t>
            </w:r>
            <w:r>
              <w:rPr>
                <w:rFonts w:hint="eastAsia" w:ascii="宋体" w:hAnsi="宋体" w:cs="宋体"/>
                <w:bCs/>
                <w:szCs w:val="21"/>
                <w:lang w:val="zh-CN"/>
              </w:rPr>
              <w:t>分；</w:t>
            </w:r>
          </w:p>
          <w:p>
            <w:pPr>
              <w:widowControl/>
              <w:spacing w:line="288" w:lineRule="auto"/>
              <w:jc w:val="left"/>
              <w:rPr>
                <w:rFonts w:ascii="宋体" w:hAnsi="宋体" w:cs="宋体"/>
                <w:szCs w:val="21"/>
              </w:rPr>
            </w:pPr>
            <w:r>
              <w:rPr>
                <w:rFonts w:hint="eastAsia" w:ascii="宋体" w:hAnsi="宋体" w:cs="宋体"/>
                <w:bCs/>
                <w:szCs w:val="21"/>
                <w:lang w:val="zh-CN"/>
              </w:rPr>
              <w:t>（</w:t>
            </w:r>
            <w:r>
              <w:rPr>
                <w:rFonts w:hint="eastAsia" w:ascii="宋体" w:hAnsi="宋体" w:cs="宋体"/>
                <w:bCs/>
                <w:szCs w:val="21"/>
              </w:rPr>
              <w:t>须</w:t>
            </w:r>
            <w:r>
              <w:rPr>
                <w:rFonts w:hint="eastAsia" w:ascii="宋体" w:hAnsi="宋体" w:cs="宋体"/>
                <w:bCs/>
                <w:szCs w:val="21"/>
                <w:lang w:val="zh-CN"/>
              </w:rPr>
              <w:t>提供认证证书复印件</w:t>
            </w:r>
            <w:r>
              <w:rPr>
                <w:rFonts w:hint="eastAsia" w:ascii="宋体" w:hAnsi="宋体" w:cs="宋体"/>
                <w:bCs/>
                <w:szCs w:val="21"/>
              </w:rPr>
              <w:t>并加盖公章）</w:t>
            </w:r>
          </w:p>
        </w:tc>
        <w:tc>
          <w:tcPr>
            <w:tcW w:w="972" w:type="dxa"/>
            <w:vAlign w:val="center"/>
          </w:tcPr>
          <w:p>
            <w:pPr>
              <w:widowControl/>
              <w:spacing w:line="288" w:lineRule="auto"/>
              <w:jc w:val="center"/>
              <w:rPr>
                <w:rFonts w:ascii="宋体" w:hAnsi="宋体" w:cs="宋体"/>
                <w:b/>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szCs w:val="21"/>
              </w:rPr>
            </w:pPr>
            <w:r>
              <w:rPr>
                <w:rFonts w:hint="eastAsia" w:ascii="宋体" w:hAnsi="宋体" w:cs="宋体"/>
                <w:b/>
                <w:bCs/>
                <w:kern w:val="0"/>
                <w:szCs w:val="21"/>
              </w:rPr>
              <w:t>项目业绩</w:t>
            </w:r>
          </w:p>
        </w:tc>
        <w:tc>
          <w:tcPr>
            <w:tcW w:w="6636" w:type="dxa"/>
            <w:vAlign w:val="center"/>
          </w:tcPr>
          <w:p>
            <w:pPr>
              <w:pStyle w:val="23"/>
              <w:ind w:left="0" w:leftChars="0"/>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en-US" w:eastAsia="zh-CN" w:bidi="ar-SA"/>
              </w:rPr>
              <w:t>自</w:t>
            </w:r>
            <w:r>
              <w:rPr>
                <w:rFonts w:hint="eastAsia" w:ascii="Times New Roman" w:hAnsi="Times New Roman" w:eastAsia="宋体" w:cs="Times New Roman"/>
                <w:kern w:val="2"/>
                <w:sz w:val="21"/>
                <w:szCs w:val="24"/>
                <w:lang w:val="zh-CN" w:eastAsia="zh-CN" w:bidi="ar-SA"/>
              </w:rPr>
              <w:t>2021年1月以来（以合同签订时间为准）投标单位承建类似项目案例，每个得</w:t>
            </w:r>
            <w:r>
              <w:rPr>
                <w:rFonts w:hint="eastAsia" w:cs="Times New Roman"/>
                <w:kern w:val="2"/>
                <w:sz w:val="21"/>
                <w:szCs w:val="24"/>
                <w:lang w:val="en-US" w:eastAsia="zh-CN" w:bidi="ar-SA"/>
              </w:rPr>
              <w:t>0.5</w:t>
            </w:r>
            <w:r>
              <w:rPr>
                <w:rFonts w:hint="eastAsia" w:ascii="Times New Roman" w:hAnsi="Times New Roman" w:eastAsia="宋体" w:cs="Times New Roman"/>
                <w:kern w:val="2"/>
                <w:sz w:val="21"/>
                <w:szCs w:val="24"/>
                <w:lang w:val="zh-CN" w:eastAsia="zh-CN" w:bidi="ar-SA"/>
              </w:rPr>
              <w:t>分，最高得</w:t>
            </w:r>
            <w:r>
              <w:rPr>
                <w:rFonts w:hint="eastAsia" w:cs="Times New Roman"/>
                <w:kern w:val="2"/>
                <w:sz w:val="21"/>
                <w:szCs w:val="24"/>
                <w:lang w:val="en-US" w:eastAsia="zh-CN" w:bidi="ar-SA"/>
              </w:rPr>
              <w:t>1.5</w:t>
            </w:r>
            <w:r>
              <w:rPr>
                <w:rFonts w:hint="eastAsia" w:ascii="Times New Roman" w:hAnsi="Times New Roman" w:eastAsia="宋体" w:cs="Times New Roman"/>
                <w:kern w:val="2"/>
                <w:sz w:val="21"/>
                <w:szCs w:val="24"/>
                <w:lang w:val="zh-CN" w:eastAsia="zh-CN" w:bidi="ar-SA"/>
              </w:rPr>
              <w:t>分。（须提供合同复印件加盖公章，未提供不得分）</w:t>
            </w:r>
          </w:p>
        </w:tc>
        <w:tc>
          <w:tcPr>
            <w:tcW w:w="972" w:type="dxa"/>
            <w:vAlign w:val="center"/>
          </w:tcPr>
          <w:p>
            <w:pPr>
              <w:widowControl/>
              <w:spacing w:line="288" w:lineRule="auto"/>
              <w:jc w:val="center"/>
              <w:rPr>
                <w:rFonts w:ascii="宋体" w:hAnsi="宋体" w:cs="宋体"/>
                <w:b/>
                <w:szCs w:val="21"/>
              </w:rPr>
            </w:pPr>
            <w:r>
              <w:rPr>
                <w:rFonts w:hint="eastAsia" w:ascii="宋体" w:hAnsi="宋体" w:cs="宋体"/>
                <w:kern w:val="0"/>
                <w:szCs w:val="21"/>
                <w:lang w:val="en-US" w:eastAsia="zh-CN"/>
              </w:rPr>
              <w:t>1.5</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4" w:type="dxa"/>
            <w:vMerge w:val="restart"/>
            <w:vAlign w:val="center"/>
          </w:tcPr>
          <w:p>
            <w:pPr>
              <w:widowControl/>
              <w:spacing w:line="288" w:lineRule="auto"/>
              <w:jc w:val="left"/>
              <w:rPr>
                <w:rFonts w:ascii="宋体" w:hAnsi="宋体" w:cs="宋体"/>
                <w:b/>
                <w:szCs w:val="21"/>
              </w:rPr>
            </w:pPr>
            <w:r>
              <w:rPr>
                <w:rFonts w:hint="eastAsia" w:ascii="宋体" w:hAnsi="宋体" w:cs="宋体"/>
                <w:b/>
                <w:szCs w:val="21"/>
              </w:rPr>
              <w:t>人员组成</w:t>
            </w:r>
          </w:p>
        </w:tc>
        <w:tc>
          <w:tcPr>
            <w:tcW w:w="1364" w:type="dxa"/>
            <w:vAlign w:val="center"/>
          </w:tcPr>
          <w:p>
            <w:pPr>
              <w:widowControl/>
              <w:spacing w:line="288" w:lineRule="auto"/>
              <w:jc w:val="center"/>
              <w:rPr>
                <w:rFonts w:hint="eastAsia" w:ascii="宋体" w:hAnsi="宋体" w:cs="宋体"/>
                <w:b/>
                <w:bCs/>
                <w:kern w:val="0"/>
                <w:szCs w:val="21"/>
              </w:rPr>
            </w:pPr>
            <w:r>
              <w:rPr>
                <w:rFonts w:hint="eastAsia" w:ascii="宋体" w:hAnsi="宋体" w:cs="宋体"/>
                <w:b/>
                <w:bCs/>
                <w:kern w:val="0"/>
                <w:szCs w:val="21"/>
              </w:rPr>
              <w:t>项目负责人</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项目负责人具备信息系统项目管理师、信息安全工程师</w:t>
            </w:r>
            <w:r>
              <w:rPr>
                <w:rFonts w:hint="eastAsia" w:ascii="Times New Roman" w:hAnsi="Times New Roman" w:eastAsia="宋体" w:cs="Times New Roman"/>
                <w:kern w:val="2"/>
                <w:sz w:val="21"/>
                <w:szCs w:val="24"/>
                <w:lang w:val="en-US" w:eastAsia="zh-CN" w:bidi="ar-SA"/>
              </w:rPr>
              <w:t>每个得1分，最高得</w:t>
            </w: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分。</w:t>
            </w: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hint="eastAsia" w:ascii="宋体" w:hAnsi="宋体" w:cs="宋体"/>
                <w:b/>
                <w:bCs/>
                <w:kern w:val="0"/>
                <w:szCs w:val="21"/>
                <w:lang w:val="zh-CN" w:eastAsia="zh-CN"/>
              </w:rPr>
            </w:pPr>
            <w:r>
              <w:rPr>
                <w:rFonts w:hint="eastAsia" w:ascii="宋体" w:hAnsi="宋体" w:cs="宋体"/>
                <w:b/>
                <w:bCs/>
                <w:kern w:val="0"/>
                <w:szCs w:val="21"/>
                <w:lang w:val="zh-CN" w:eastAsia="zh-CN"/>
              </w:rPr>
              <w:t>技术负责人</w:t>
            </w:r>
          </w:p>
        </w:tc>
        <w:tc>
          <w:tcPr>
            <w:tcW w:w="6636" w:type="dxa"/>
            <w:vAlign w:val="center"/>
          </w:tcPr>
          <w:p>
            <w:pPr>
              <w:widowControl/>
              <w:spacing w:line="288" w:lineRule="auto"/>
              <w:jc w:val="left"/>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b w:val="0"/>
                <w:bCs w:val="0"/>
                <w:kern w:val="2"/>
                <w:sz w:val="21"/>
                <w:szCs w:val="24"/>
                <w:highlight w:val="none"/>
                <w:lang w:val="zh-CN" w:eastAsia="zh-CN" w:bidi="ar-SA"/>
              </w:rPr>
              <w:t>技术负责人具有二级或以上建造师（机电）、系统集成项目管理工程师</w:t>
            </w:r>
            <w:r>
              <w:rPr>
                <w:rFonts w:hint="eastAsia" w:cs="Times New Roman"/>
                <w:b w:val="0"/>
                <w:bCs w:val="0"/>
                <w:kern w:val="2"/>
                <w:sz w:val="21"/>
                <w:szCs w:val="24"/>
                <w:highlight w:val="none"/>
                <w:lang w:val="zh-CN" w:eastAsia="zh-CN" w:bidi="ar-SA"/>
              </w:rPr>
              <w:t>（</w:t>
            </w:r>
            <w:r>
              <w:rPr>
                <w:rFonts w:hint="eastAsia" w:cs="Times New Roman"/>
                <w:b w:val="0"/>
                <w:bCs w:val="0"/>
                <w:kern w:val="2"/>
                <w:sz w:val="21"/>
                <w:szCs w:val="24"/>
                <w:highlight w:val="none"/>
                <w:lang w:val="en-US" w:eastAsia="zh-CN" w:bidi="ar-SA"/>
              </w:rPr>
              <w:t>或相关专业中级及以上证书</w:t>
            </w:r>
            <w:r>
              <w:rPr>
                <w:rFonts w:hint="eastAsia" w:cs="Times New Roman"/>
                <w:b w:val="0"/>
                <w:bCs w:val="0"/>
                <w:kern w:val="2"/>
                <w:sz w:val="21"/>
                <w:szCs w:val="24"/>
                <w:highlight w:val="none"/>
                <w:lang w:val="zh-CN" w:eastAsia="zh-CN" w:bidi="ar-SA"/>
              </w:rPr>
              <w:t>）</w:t>
            </w:r>
            <w:r>
              <w:rPr>
                <w:rFonts w:hint="eastAsia" w:ascii="Times New Roman" w:hAnsi="Times New Roman" w:eastAsia="宋体" w:cs="Times New Roman"/>
                <w:b w:val="0"/>
                <w:bCs w:val="0"/>
                <w:kern w:val="2"/>
                <w:sz w:val="21"/>
                <w:szCs w:val="24"/>
                <w:highlight w:val="none"/>
                <w:lang w:val="zh-CN" w:eastAsia="zh-CN" w:bidi="ar-SA"/>
              </w:rPr>
              <w:t>，</w:t>
            </w:r>
            <w:r>
              <w:rPr>
                <w:rFonts w:hint="eastAsia" w:ascii="Times New Roman" w:hAnsi="Times New Roman" w:eastAsia="宋体" w:cs="Times New Roman"/>
                <w:kern w:val="2"/>
                <w:sz w:val="21"/>
                <w:szCs w:val="24"/>
                <w:highlight w:val="none"/>
                <w:lang w:val="en-US" w:eastAsia="zh-CN" w:bidi="ar-SA"/>
              </w:rPr>
              <w:t>每个得1分，最</w:t>
            </w:r>
            <w:r>
              <w:rPr>
                <w:rFonts w:hint="eastAsia" w:ascii="Times New Roman" w:hAnsi="Times New Roman" w:eastAsia="宋体" w:cs="Times New Roman"/>
                <w:kern w:val="2"/>
                <w:sz w:val="21"/>
                <w:szCs w:val="24"/>
                <w:lang w:val="en-US" w:eastAsia="zh-CN" w:bidi="ar-SA"/>
              </w:rPr>
              <w:t>高得2分。</w:t>
            </w:r>
            <w:r>
              <w:rPr>
                <w:rFonts w:hint="eastAsia" w:ascii="Times New Roman" w:hAnsi="Times New Roman" w:eastAsia="宋体" w:cs="Times New Roman"/>
                <w:kern w:val="2"/>
                <w:sz w:val="21"/>
                <w:szCs w:val="24"/>
                <w:lang w:val="zh-CN" w:eastAsia="zh-CN" w:bidi="ar-SA"/>
              </w:rPr>
              <w:t>（须提供相应的资质证书复印件和投标截止日近</w:t>
            </w:r>
            <w:r>
              <w:rPr>
                <w:rFonts w:hint="eastAsia" w:ascii="Times New Roman" w:hAnsi="Times New Roman" w:eastAsia="宋体" w:cs="Times New Roman"/>
                <w:kern w:val="2"/>
                <w:sz w:val="21"/>
                <w:szCs w:val="24"/>
                <w:lang w:val="en-US" w:eastAsia="zh-CN" w:bidi="ar-SA"/>
              </w:rPr>
              <w:t>三个月</w:t>
            </w:r>
            <w:r>
              <w:rPr>
                <w:rFonts w:hint="eastAsia" w:ascii="Times New Roman" w:hAnsi="Times New Roman" w:eastAsia="宋体" w:cs="Times New Roman"/>
                <w:kern w:val="2"/>
                <w:sz w:val="21"/>
                <w:szCs w:val="24"/>
                <w:lang w:val="zh-CN" w:eastAsia="zh-CN" w:bidi="ar-SA"/>
              </w:rPr>
              <w:t>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项目组实施人员</w:t>
            </w:r>
          </w:p>
        </w:tc>
        <w:tc>
          <w:tcPr>
            <w:tcW w:w="6636" w:type="dxa"/>
            <w:vAlign w:val="center"/>
          </w:tcPr>
          <w:p>
            <w:pPr>
              <w:widowControl/>
              <w:spacing w:line="288" w:lineRule="auto"/>
              <w:jc w:val="left"/>
            </w:pPr>
            <w:r>
              <w:rPr>
                <w:rFonts w:hint="eastAsia" w:ascii="Times New Roman" w:hAnsi="Times New Roman" w:eastAsia="宋体" w:cs="Times New Roman"/>
                <w:kern w:val="2"/>
                <w:sz w:val="21"/>
                <w:szCs w:val="24"/>
                <w:lang w:val="en-US" w:eastAsia="zh-CN" w:bidi="ar-SA"/>
              </w:rPr>
              <w:t>项目实施团队中有信息系统项目管理师、网络规划设计师、网络工程师、系统集成项目管理工程师、信息安全</w:t>
            </w:r>
            <w:r>
              <w:rPr>
                <w:rFonts w:hint="eastAsia" w:ascii="Times New Roman" w:hAnsi="Times New Roman" w:eastAsia="宋体" w:cs="Times New Roman"/>
                <w:kern w:val="2"/>
                <w:sz w:val="21"/>
                <w:szCs w:val="24"/>
                <w:highlight w:val="none"/>
                <w:lang w:val="en-US" w:eastAsia="zh-CN" w:bidi="ar-SA"/>
              </w:rPr>
              <w:t>工程师、</w:t>
            </w:r>
            <w:r>
              <w:rPr>
                <w:rFonts w:hint="eastAsia" w:cs="Times New Roman"/>
                <w:b w:val="0"/>
                <w:bCs w:val="0"/>
                <w:kern w:val="2"/>
                <w:sz w:val="21"/>
                <w:szCs w:val="24"/>
                <w:highlight w:val="none"/>
                <w:lang w:val="en-US" w:eastAsia="zh-CN" w:bidi="ar-SA"/>
              </w:rPr>
              <w:t>交换技术</w:t>
            </w:r>
            <w:r>
              <w:rPr>
                <w:rFonts w:hint="eastAsia" w:ascii="Times New Roman" w:hAnsi="Times New Roman" w:eastAsia="宋体" w:cs="Times New Roman"/>
                <w:b w:val="0"/>
                <w:bCs w:val="0"/>
                <w:kern w:val="2"/>
                <w:sz w:val="21"/>
                <w:szCs w:val="24"/>
                <w:highlight w:val="none"/>
                <w:lang w:val="en-US" w:eastAsia="zh-CN" w:bidi="ar-SA"/>
              </w:rPr>
              <w:t>、</w:t>
            </w:r>
            <w:r>
              <w:rPr>
                <w:rFonts w:hint="eastAsia" w:ascii="Times New Roman" w:hAnsi="Times New Roman" w:eastAsia="宋体" w:cs="Times New Roman"/>
                <w:kern w:val="2"/>
                <w:sz w:val="21"/>
                <w:szCs w:val="24"/>
                <w:highlight w:val="none"/>
                <w:lang w:val="en-US" w:eastAsia="zh-CN" w:bidi="ar-SA"/>
              </w:rPr>
              <w:t>信息系统管理工程师、信息技术支持工程师证书的，有个证书得0.8分，如同</w:t>
            </w:r>
            <w:r>
              <w:rPr>
                <w:rFonts w:hint="eastAsia" w:ascii="Times New Roman" w:hAnsi="Times New Roman" w:eastAsia="宋体" w:cs="Times New Roman"/>
                <w:kern w:val="2"/>
                <w:sz w:val="21"/>
                <w:szCs w:val="24"/>
                <w:lang w:val="en-US" w:eastAsia="zh-CN" w:bidi="ar-SA"/>
              </w:rPr>
              <w:t>一个人有多本证书的，不重复计分，本项最高4分。（须提供相应的资质证书复印件和投标截止日近三个月的社会保险缴纳证明复印件并加盖投标人公章，社保缴纳单位必须与投标人单位名称一致，未提供、提供不全或未按要求提供的不得分）。</w:t>
            </w:r>
          </w:p>
        </w:tc>
        <w:tc>
          <w:tcPr>
            <w:tcW w:w="972" w:type="dxa"/>
            <w:vAlign w:val="center"/>
          </w:tcPr>
          <w:p>
            <w:pPr>
              <w:widowControl/>
              <w:spacing w:line="288" w:lineRule="auto"/>
              <w:jc w:val="center"/>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4" w:type="dxa"/>
            <w:vAlign w:val="center"/>
          </w:tcPr>
          <w:p>
            <w:pPr>
              <w:widowControl/>
              <w:spacing w:line="288"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厂商实力</w:t>
            </w:r>
          </w:p>
        </w:tc>
        <w:tc>
          <w:tcPr>
            <w:tcW w:w="1364" w:type="dxa"/>
            <w:vAlign w:val="center"/>
          </w:tcPr>
          <w:p>
            <w:pPr>
              <w:widowControl/>
              <w:spacing w:line="288" w:lineRule="auto"/>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厂商实力</w:t>
            </w:r>
          </w:p>
        </w:tc>
        <w:tc>
          <w:tcPr>
            <w:tcW w:w="6636" w:type="dxa"/>
            <w:vAlign w:val="center"/>
          </w:tcPr>
          <w:p>
            <w:pPr>
              <w:widowControl/>
              <w:spacing w:line="288" w:lineRule="auto"/>
              <w:jc w:val="left"/>
              <w:rPr>
                <w:rFonts w:hint="eastAsia" w:ascii="Times New Roman" w:hAnsi="Times New Roman" w:eastAsia="宋体" w:cs="Times New Roman"/>
                <w:b w:val="0"/>
                <w:bCs w:val="0"/>
                <w:kern w:val="2"/>
                <w:sz w:val="21"/>
                <w:szCs w:val="24"/>
                <w:highlight w:val="none"/>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为保证产品制造厂商所提供的产品是经过严格测试，具备高可靠性保障能力。制造厂商需具备一定的试验能力，可独立完成从元器件到整机，从信号质量、安全性、电磁兼容性、环境适应性等丰富的测试环境。</w:t>
            </w:r>
          </w:p>
          <w:p>
            <w:pPr>
              <w:widowControl/>
              <w:spacing w:line="288" w:lineRule="auto"/>
              <w:jc w:val="left"/>
              <w:rPr>
                <w:rFonts w:hint="eastAsia" w:ascii="Times New Roman" w:hAnsi="Times New Roman" w:eastAsia="宋体" w:cs="Times New Roman"/>
                <w:b w:val="0"/>
                <w:bCs w:val="0"/>
                <w:kern w:val="2"/>
                <w:sz w:val="21"/>
                <w:szCs w:val="24"/>
                <w:highlight w:val="none"/>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①厂商测试机构获得国家认监委认可，得1分，提供证书复印件和中国合格评定国家认可委员会官网截图并加盖设备厂商公章；</w:t>
            </w:r>
          </w:p>
          <w:p>
            <w:pPr>
              <w:widowControl/>
              <w:spacing w:line="288"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②厂商测试机构获得中国质量认证中心CCC现场检测实验室认证，得1分，提供证书复印件并加盖设备厂商公章。</w:t>
            </w:r>
          </w:p>
        </w:tc>
        <w:tc>
          <w:tcPr>
            <w:tcW w:w="972" w:type="dxa"/>
            <w:vAlign w:val="center"/>
          </w:tcPr>
          <w:p>
            <w:pPr>
              <w:widowControl/>
              <w:spacing w:line="288" w:lineRule="auto"/>
              <w:jc w:val="center"/>
              <w:rPr>
                <w:rFonts w:hint="default"/>
                <w:lang w:val="en-US" w:eastAsia="zh-CN"/>
              </w:rPr>
            </w:pPr>
            <w:r>
              <w:rPr>
                <w:rFonts w:hint="eastAsia"/>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4" w:type="dxa"/>
            <w:vMerge w:val="restart"/>
            <w:vAlign w:val="center"/>
          </w:tcPr>
          <w:p>
            <w:pPr>
              <w:widowControl/>
              <w:spacing w:line="288" w:lineRule="auto"/>
              <w:jc w:val="center"/>
              <w:rPr>
                <w:rFonts w:ascii="宋体" w:hAnsi="宋体" w:cs="宋体"/>
                <w:b/>
                <w:szCs w:val="21"/>
              </w:rPr>
            </w:pPr>
            <w:r>
              <w:rPr>
                <w:rFonts w:hint="eastAsia" w:ascii="宋体" w:hAnsi="宋体" w:cs="宋体"/>
                <w:b/>
                <w:bCs/>
                <w:kern w:val="0"/>
                <w:szCs w:val="21"/>
              </w:rPr>
              <w:t>性能及技术指标要求</w:t>
            </w: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技术要求响应情况</w:t>
            </w:r>
          </w:p>
        </w:tc>
        <w:tc>
          <w:tcPr>
            <w:tcW w:w="6636" w:type="dxa"/>
            <w:vAlign w:val="center"/>
          </w:tcPr>
          <w:p>
            <w:pPr>
              <w:widowControl/>
              <w:spacing w:line="288" w:lineRule="auto"/>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投标所选用产品与招标需求的偏差情况（包括所投标产品的规格型号、详细配置、主要技术参数），是否能满足采购文件的要求。</w:t>
            </w:r>
          </w:p>
          <w:p>
            <w:pPr>
              <w:widowControl/>
              <w:spacing w:line="288" w:lineRule="auto"/>
              <w:jc w:val="left"/>
              <w:rPr>
                <w:rFonts w:hint="default"/>
                <w:lang w:val="en-US"/>
              </w:rPr>
            </w:pPr>
            <w:r>
              <w:rPr>
                <w:rFonts w:hint="eastAsia" w:ascii="Times New Roman" w:hAnsi="Times New Roman" w:eastAsia="宋体" w:cs="Times New Roman"/>
                <w:kern w:val="2"/>
                <w:sz w:val="21"/>
                <w:szCs w:val="24"/>
                <w:highlight w:val="none"/>
                <w:lang w:val="en-US" w:eastAsia="zh-CN" w:bidi="ar-SA"/>
              </w:rPr>
              <w:t>技术指标全部符合得2</w:t>
            </w:r>
            <w:r>
              <w:rPr>
                <w:rFonts w:hint="eastAsia" w:cs="Times New Roman"/>
                <w:kern w:val="2"/>
                <w:sz w:val="21"/>
                <w:szCs w:val="24"/>
                <w:highlight w:val="none"/>
                <w:lang w:val="en-US" w:eastAsia="zh-CN" w:bidi="ar-SA"/>
              </w:rPr>
              <w:t>8</w:t>
            </w:r>
            <w:r>
              <w:rPr>
                <w:rFonts w:hint="eastAsia" w:ascii="Times New Roman" w:hAnsi="Times New Roman" w:eastAsia="宋体" w:cs="Times New Roman"/>
                <w:kern w:val="2"/>
                <w:sz w:val="21"/>
                <w:szCs w:val="24"/>
                <w:highlight w:val="none"/>
                <w:lang w:val="en-US" w:eastAsia="zh-CN" w:bidi="ar-SA"/>
              </w:rPr>
              <w:t>分，对于标★的关键技术指标负偏离（或不按招标文件规定提供相关材料的）每一项扣减1分，其余技术指标负偏离（或不按招标文件规定提供相关材料的）每一项扣减0.5分；本项最高28分。</w:t>
            </w:r>
          </w:p>
        </w:tc>
        <w:tc>
          <w:tcPr>
            <w:tcW w:w="972" w:type="dxa"/>
            <w:vAlign w:val="center"/>
          </w:tcPr>
          <w:p>
            <w:pPr>
              <w:widowControl/>
              <w:spacing w:line="288" w:lineRule="auto"/>
              <w:jc w:val="center"/>
            </w:pPr>
            <w:r>
              <w:rPr>
                <w:rFonts w:hint="eastAsia"/>
                <w:lang w:val="en-US" w:eastAsia="zh-CN"/>
              </w:rPr>
              <w:t>28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4" w:type="dxa"/>
            <w:vMerge w:val="restart"/>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项目方案</w:t>
            </w: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总体</w:t>
            </w:r>
            <w:r>
              <w:rPr>
                <w:rFonts w:hint="eastAsia" w:ascii="宋体" w:hAnsi="宋体" w:cs="宋体"/>
                <w:b/>
                <w:bCs/>
                <w:kern w:val="0"/>
                <w:szCs w:val="21"/>
                <w:lang w:val="en-US" w:eastAsia="zh-CN"/>
              </w:rPr>
              <w:t>设计</w:t>
            </w:r>
            <w:r>
              <w:rPr>
                <w:rFonts w:hint="eastAsia" w:ascii="宋体" w:hAnsi="宋体" w:cs="宋体"/>
                <w:b/>
                <w:bCs/>
                <w:kern w:val="0"/>
                <w:szCs w:val="21"/>
              </w:rPr>
              <w:t>方案</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提供项目总体设计方案且详细、完善、科学合理，包括整体规划，根据方案与本项目需求的吻合程度进行综合评分。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1.方案合理，内容详细，与项目吻合的，得3.6-5分；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2.方案较合理，内容较详细，与项目较吻合的，得2.1-3.5分；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3.方案内容一般的，得0-2分。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694" w:type="dxa"/>
            <w:vMerge w:val="continue"/>
            <w:vAlign w:val="center"/>
          </w:tcPr>
          <w:p>
            <w:pPr>
              <w:widowControl/>
              <w:spacing w:line="288" w:lineRule="auto"/>
              <w:jc w:val="cente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实施方案</w:t>
            </w:r>
          </w:p>
        </w:tc>
        <w:tc>
          <w:tcPr>
            <w:tcW w:w="6636" w:type="dxa"/>
            <w:vAlign w:val="center"/>
          </w:tcPr>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根据投标人针对本项目组织实施方案（包括项目施工组织、项目工期、项目供货方案、项目实施进度安排等）的科学性、合理性，综合上述要求等进行评定。</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投标人针对本项目的组织实施方案（包括项目施工组织、项目工期、项目供货方案、项目实施进度安排等）科学、合理得3.6-5分；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投标人针对本项目的组织实施方案（包括项目施工组织、项目工期、项目供货方案、项目实施进度安排等）较科学、合理得2.1-3.5分；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投标人针对本项目的组织实施方案（包括项目施工组织、项目工期、项目供货方案、项目实施进度安排等）不科学、合理得0-2分；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continue"/>
            <w:vAlign w:val="center"/>
          </w:tcPr>
          <w:p>
            <w:pPr>
              <w:widowControl/>
              <w:spacing w:line="288" w:lineRule="auto"/>
              <w:jc w:val="center"/>
              <w:rPr>
                <w:rFonts w:ascii="宋体" w:hAnsi="宋体" w:cs="宋体"/>
                <w:b/>
                <w:bCs/>
                <w:kern w:val="0"/>
                <w:szCs w:val="21"/>
              </w:rPr>
            </w:pPr>
          </w:p>
        </w:tc>
        <w:tc>
          <w:tcPr>
            <w:tcW w:w="1364" w:type="dxa"/>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lang w:val="en-US" w:eastAsia="zh-CN"/>
              </w:rPr>
              <w:t>技术</w:t>
            </w:r>
            <w:r>
              <w:rPr>
                <w:rFonts w:hint="eastAsia" w:ascii="宋体" w:hAnsi="宋体" w:cs="宋体"/>
                <w:b/>
                <w:bCs/>
                <w:kern w:val="0"/>
                <w:szCs w:val="21"/>
              </w:rPr>
              <w:t>方案</w:t>
            </w:r>
          </w:p>
        </w:tc>
        <w:tc>
          <w:tcPr>
            <w:tcW w:w="6636" w:type="dxa"/>
            <w:vAlign w:val="center"/>
          </w:tcPr>
          <w:p>
            <w:pPr>
              <w:widowControl/>
              <w:spacing w:line="288" w:lineRule="auto"/>
              <w:ind w:left="0" w:leftChars="0" w:firstLine="0" w:firstLineChars="0"/>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根据投标人针对本项目设备位置布局图及整体网络拓扑图设计的合理性进行评分。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1.设备位置布局图及整体网络拓扑图设计合理，能完全满足采购需求的得3.6-5分；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2.布局图及拓扑图设置较合理，基本满足采购需求的得2.1-3.5分；</w:t>
            </w:r>
          </w:p>
          <w:p>
            <w:pPr>
              <w:widowControl/>
              <w:spacing w:line="288" w:lineRule="auto"/>
              <w:ind w:left="0" w:leftChars="0" w:firstLine="0" w:firstLineChars="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3.布局图及拓扑图设置不太科学、合理得0.1-2分；未提供不得分。</w:t>
            </w:r>
          </w:p>
        </w:tc>
        <w:tc>
          <w:tcPr>
            <w:tcW w:w="972" w:type="dxa"/>
            <w:vAlign w:val="center"/>
          </w:tcPr>
          <w:p>
            <w:pPr>
              <w:widowControl/>
              <w:spacing w:line="288" w:lineRule="auto"/>
              <w:jc w:val="center"/>
            </w:pP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Merge w:val="restart"/>
            <w:vAlign w:val="center"/>
          </w:tcPr>
          <w:p>
            <w:pPr>
              <w:widowControl/>
              <w:spacing w:line="288" w:lineRule="auto"/>
              <w:jc w:val="left"/>
              <w:rPr>
                <w:rFonts w:ascii="宋体" w:hAnsi="宋体" w:cs="宋体"/>
                <w:b/>
                <w:szCs w:val="21"/>
              </w:rPr>
            </w:pPr>
            <w:r>
              <w:rPr>
                <w:rFonts w:hint="eastAsia" w:ascii="宋体" w:hAnsi="宋体" w:cs="宋体"/>
                <w:b/>
                <w:szCs w:val="21"/>
              </w:rPr>
              <w:t>售后服务方案</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售后方案</w:t>
            </w:r>
          </w:p>
        </w:tc>
        <w:tc>
          <w:tcPr>
            <w:tcW w:w="6636" w:type="dxa"/>
            <w:vAlign w:val="center"/>
          </w:tcPr>
          <w:p>
            <w:r>
              <w:rPr>
                <w:rFonts w:hint="eastAsia"/>
              </w:rPr>
              <w:t>根据投标人提供的售后服务方案进行综合比较后评分。包括：1、售后服务期内服务内容情况；2、售后服务体系、售后服务部门及维修网点联系电话3、服务响应及时情况（满足文件要求基础上）；4、故障处理服务针对性程度。</w:t>
            </w:r>
          </w:p>
          <w:p>
            <w:r>
              <w:rPr>
                <w:rFonts w:hint="eastAsia"/>
              </w:rPr>
              <w:t>售后服务内容全面、响应时间短、可能故障考虑周到且处理针对性强得3.1-4分；</w:t>
            </w:r>
          </w:p>
          <w:p>
            <w:r>
              <w:rPr>
                <w:rFonts w:hint="eastAsia"/>
              </w:rPr>
              <w:t>售后服务内容较全面、响应时间较短、可能故障考虑较周到且处理针对性较强得1.6-3分；</w:t>
            </w:r>
          </w:p>
          <w:p>
            <w:r>
              <w:rPr>
                <w:rFonts w:hint="eastAsia"/>
              </w:rPr>
              <w:t>售后服务内容一般、响应时间一般、可能故障考虑且处理针对性一般得0-1.5分；</w:t>
            </w:r>
          </w:p>
        </w:tc>
        <w:tc>
          <w:tcPr>
            <w:tcW w:w="972" w:type="dxa"/>
            <w:vAlign w:val="center"/>
          </w:tcPr>
          <w:p>
            <w:pPr>
              <w:widowControl/>
              <w:spacing w:line="288" w:lineRule="auto"/>
              <w:jc w:val="center"/>
            </w:pPr>
            <w:r>
              <w:rPr>
                <w:rFonts w:hint="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94" w:type="dxa"/>
            <w:vMerge w:val="continue"/>
            <w:vAlign w:val="center"/>
          </w:tcPr>
          <w:p>
            <w:pPr>
              <w:widowControl/>
              <w:spacing w:line="288" w:lineRule="auto"/>
              <w:jc w:val="left"/>
              <w:rPr>
                <w:rFonts w:ascii="宋体" w:hAnsi="宋体" w:cs="宋体"/>
                <w:b/>
                <w:szCs w:val="21"/>
              </w:rPr>
            </w:pP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质保期</w:t>
            </w:r>
          </w:p>
        </w:tc>
        <w:tc>
          <w:tcPr>
            <w:tcW w:w="6636" w:type="dxa"/>
            <w:vAlign w:val="center"/>
          </w:tcPr>
          <w:p>
            <w:pPr>
              <w:widowControl/>
              <w:spacing w:line="288" w:lineRule="auto"/>
              <w:jc w:val="left"/>
            </w:pPr>
            <w:r>
              <w:rPr>
                <w:rFonts w:hint="eastAsia"/>
              </w:rPr>
              <w:t>投标人承诺</w:t>
            </w:r>
            <w:r>
              <w:rPr>
                <w:rFonts w:hint="eastAsia" w:ascii="Times New Roman" w:hAnsi="Times New Roman" w:cs="Times New Roman"/>
              </w:rPr>
              <w:t>提供不少于3年的</w:t>
            </w:r>
            <w:r>
              <w:rPr>
                <w:rFonts w:hint="eastAsia" w:ascii="Times New Roman" w:hAnsi="Times New Roman" w:cs="Times New Roman"/>
                <w:lang w:val="en-US" w:eastAsia="zh-CN"/>
              </w:rPr>
              <w:t>免费</w:t>
            </w:r>
            <w:r>
              <w:rPr>
                <w:rFonts w:hint="eastAsia" w:ascii="Times New Roman" w:hAnsi="Times New Roman" w:cs="Times New Roman"/>
              </w:rPr>
              <w:t>质保期</w:t>
            </w:r>
            <w:r>
              <w:rPr>
                <w:rFonts w:hint="eastAsia" w:ascii="Times New Roman" w:hAnsi="Times New Roman" w:cs="Times New Roman"/>
                <w:lang w:val="en-US" w:eastAsia="zh-CN"/>
              </w:rPr>
              <w:t>及免费软件特征库升级</w:t>
            </w:r>
            <w:r>
              <w:rPr>
                <w:rFonts w:hint="eastAsia" w:ascii="Times New Roman" w:hAnsi="Times New Roman" w:cs="Times New Roman"/>
              </w:rPr>
              <w:t>，</w:t>
            </w:r>
            <w:r>
              <w:rPr>
                <w:rFonts w:hint="eastAsia" w:ascii="Times New Roman" w:hAnsi="Times New Roman" w:cs="Times New Roman"/>
                <w:lang w:val="en-US" w:eastAsia="zh-CN"/>
              </w:rPr>
              <w:t>免费质保期</w:t>
            </w:r>
            <w:r>
              <w:rPr>
                <w:rFonts w:hint="eastAsia" w:ascii="Times New Roman" w:hAnsi="Times New Roman" w:cs="Times New Roman"/>
              </w:rPr>
              <w:t>在3年基础上每增加1年得1分，</w:t>
            </w:r>
            <w:r>
              <w:rPr>
                <w:rFonts w:hint="eastAsia" w:ascii="Times New Roman" w:hAnsi="Times New Roman" w:cs="Times New Roman"/>
                <w:lang w:val="en-US" w:eastAsia="zh-CN"/>
              </w:rPr>
              <w:t>免费软件特征库升级（须同时包含下一代防火墙、上网行为管理器）在3年基础上每增加1年得0.1分，</w:t>
            </w:r>
            <w:r>
              <w:rPr>
                <w:rFonts w:hint="eastAsia" w:ascii="Times New Roman" w:hAnsi="Times New Roman" w:cs="Times New Roman"/>
              </w:rPr>
              <w:t>本项最高得2</w:t>
            </w:r>
            <w:r>
              <w:rPr>
                <w:rFonts w:hint="eastAsia" w:ascii="Times New Roman" w:hAnsi="Times New Roman" w:cs="Times New Roman"/>
                <w:lang w:val="en-US" w:eastAsia="zh-CN"/>
              </w:rPr>
              <w:t>.5</w:t>
            </w:r>
            <w:r>
              <w:rPr>
                <w:rFonts w:hint="eastAsia" w:ascii="Times New Roman" w:hAnsi="Times New Roman" w:cs="Times New Roman"/>
              </w:rPr>
              <w:t>分。</w:t>
            </w:r>
          </w:p>
        </w:tc>
        <w:tc>
          <w:tcPr>
            <w:tcW w:w="972" w:type="dxa"/>
            <w:vAlign w:val="center"/>
          </w:tcPr>
          <w:p>
            <w:pPr>
              <w:widowControl/>
              <w:spacing w:line="288" w:lineRule="auto"/>
              <w:jc w:val="center"/>
              <w:rPr>
                <w:rFonts w:hint="eastAsia" w:eastAsia="宋体"/>
                <w:lang w:val="en-US" w:eastAsia="zh-CN"/>
              </w:rPr>
            </w:pPr>
            <w:r>
              <w:t>2</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Align w:val="center"/>
          </w:tcPr>
          <w:p>
            <w:pPr>
              <w:widowControl/>
              <w:spacing w:line="288" w:lineRule="auto"/>
              <w:jc w:val="left"/>
              <w:rPr>
                <w:rFonts w:ascii="宋体" w:hAnsi="宋体" w:cs="宋体"/>
                <w:b/>
                <w:bCs/>
                <w:kern w:val="0"/>
                <w:szCs w:val="21"/>
              </w:rPr>
            </w:pPr>
            <w:r>
              <w:rPr>
                <w:rFonts w:hint="eastAsia" w:ascii="宋体" w:hAnsi="宋体" w:cs="宋体"/>
                <w:b/>
                <w:bCs/>
                <w:kern w:val="0"/>
                <w:szCs w:val="21"/>
              </w:rPr>
              <w:t>培训方案</w:t>
            </w:r>
          </w:p>
        </w:tc>
        <w:tc>
          <w:tcPr>
            <w:tcW w:w="1364" w:type="dxa"/>
            <w:vAlign w:val="center"/>
          </w:tcPr>
          <w:p>
            <w:pPr>
              <w:widowControl/>
              <w:spacing w:line="288" w:lineRule="auto"/>
              <w:jc w:val="center"/>
              <w:rPr>
                <w:rFonts w:ascii="宋体" w:hAnsi="宋体" w:cs="宋体"/>
                <w:b/>
                <w:szCs w:val="21"/>
              </w:rPr>
            </w:pPr>
            <w:r>
              <w:rPr>
                <w:rFonts w:hint="eastAsia" w:ascii="宋体" w:hAnsi="宋体" w:cs="宋体"/>
                <w:b/>
                <w:szCs w:val="21"/>
              </w:rPr>
              <w:t>培训方案</w:t>
            </w:r>
          </w:p>
        </w:tc>
        <w:tc>
          <w:tcPr>
            <w:tcW w:w="6636" w:type="dxa"/>
            <w:vAlign w:val="center"/>
          </w:tcPr>
          <w:p>
            <w:pPr>
              <w:widowControl/>
              <w:spacing w:line="288" w:lineRule="auto"/>
              <w:jc w:val="left"/>
            </w:pPr>
            <w:r>
              <w:rPr>
                <w:rFonts w:hint="eastAsia"/>
              </w:rPr>
              <w:t>根据投标人向受培训人员提供设备日常的维护保养、能对一般故障维修的培训方案及对实际操作人员进行技术操作培训方案综合比较后打分。</w:t>
            </w:r>
          </w:p>
          <w:p>
            <w:pPr>
              <w:widowControl/>
              <w:spacing w:line="288" w:lineRule="auto"/>
              <w:jc w:val="left"/>
            </w:pPr>
            <w:r>
              <w:rPr>
                <w:rFonts w:hint="eastAsia"/>
              </w:rPr>
              <w:t>培训内容详实、时间安排合理，培训人员专业性强得2.1-</w:t>
            </w:r>
            <w:r>
              <w:rPr>
                <w:rFonts w:hint="eastAsia"/>
                <w:lang w:val="en-US" w:eastAsia="zh-CN"/>
              </w:rPr>
              <w:t>4</w:t>
            </w:r>
            <w:r>
              <w:rPr>
                <w:rFonts w:hint="eastAsia"/>
              </w:rPr>
              <w:t>分；</w:t>
            </w:r>
          </w:p>
          <w:p>
            <w:pPr>
              <w:widowControl/>
              <w:spacing w:line="288" w:lineRule="auto"/>
              <w:jc w:val="left"/>
            </w:pPr>
            <w:r>
              <w:rPr>
                <w:rFonts w:hint="eastAsia"/>
              </w:rPr>
              <w:t>培训内容较详实、时间安排较合理，培训人员专业性较强得1.1-2分；</w:t>
            </w:r>
          </w:p>
          <w:p>
            <w:pPr>
              <w:widowControl/>
              <w:spacing w:line="288" w:lineRule="auto"/>
              <w:jc w:val="left"/>
            </w:pPr>
            <w:r>
              <w:rPr>
                <w:rFonts w:hint="eastAsia"/>
              </w:rPr>
              <w:t>培训内容不详实、时间安排不合理，培训人员专业性不强得0-1分；</w:t>
            </w:r>
          </w:p>
        </w:tc>
        <w:tc>
          <w:tcPr>
            <w:tcW w:w="972" w:type="dxa"/>
            <w:vAlign w:val="center"/>
          </w:tcPr>
          <w:p>
            <w:pPr>
              <w:widowControl/>
              <w:spacing w:line="288" w:lineRule="auto"/>
              <w:jc w:val="center"/>
            </w:pP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4" w:type="dxa"/>
            <w:vAlign w:val="center"/>
          </w:tcPr>
          <w:p>
            <w:pPr>
              <w:widowControl/>
              <w:spacing w:line="288" w:lineRule="auto"/>
              <w:jc w:val="center"/>
              <w:rPr>
                <w:rFonts w:hint="eastAsia" w:ascii="宋体" w:hAnsi="宋体" w:cs="宋体"/>
                <w:b/>
                <w:szCs w:val="21"/>
              </w:rPr>
            </w:pPr>
            <w:r>
              <w:rPr>
                <w:rFonts w:hint="eastAsia" w:ascii="宋体" w:hAnsi="宋体" w:cs="宋体"/>
                <w:b/>
                <w:szCs w:val="21"/>
                <w:lang w:val="en-US" w:eastAsia="zh-CN"/>
              </w:rPr>
              <w:t>政策性加分</w:t>
            </w:r>
          </w:p>
        </w:tc>
        <w:tc>
          <w:tcPr>
            <w:tcW w:w="1364" w:type="dxa"/>
            <w:vAlign w:val="center"/>
          </w:tcPr>
          <w:p>
            <w:pPr>
              <w:widowControl/>
              <w:spacing w:line="288" w:lineRule="auto"/>
              <w:jc w:val="center"/>
              <w:rPr>
                <w:rFonts w:hint="eastAsia" w:ascii="宋体" w:hAnsi="宋体" w:cs="宋体"/>
                <w:b/>
                <w:szCs w:val="21"/>
              </w:rPr>
            </w:pPr>
            <w:r>
              <w:rPr>
                <w:rFonts w:hint="eastAsia" w:ascii="宋体" w:hAnsi="宋体" w:cs="宋体"/>
                <w:b/>
                <w:szCs w:val="21"/>
                <w:lang w:val="en-US" w:eastAsia="zh-CN"/>
              </w:rPr>
              <w:t>政策性加分</w:t>
            </w:r>
          </w:p>
        </w:tc>
        <w:tc>
          <w:tcPr>
            <w:tcW w:w="663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投标产品均为节能产品的，提供有效期内节能产品认证证书的加0.5分。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投标产品均为环境标志产品的，提供有效期内环境标志产品认证证书的加0.5分。</w:t>
            </w:r>
          </w:p>
          <w:p>
            <w:pPr>
              <w:widowControl/>
              <w:spacing w:line="288" w:lineRule="auto"/>
              <w:jc w:val="left"/>
              <w:rPr>
                <w:rFonts w:hint="eastAsia"/>
              </w:rPr>
            </w:pPr>
            <w:r>
              <w:rPr>
                <w:rFonts w:hint="eastAsia" w:ascii="宋体" w:hAnsi="宋体" w:eastAsia="宋体" w:cs="Times New Roman"/>
                <w:color w:val="auto"/>
                <w:szCs w:val="21"/>
                <w:highlight w:val="none"/>
                <w:lang w:val="en-US" w:eastAsia="zh-CN"/>
              </w:rPr>
              <w:t>（提供证明文件复印件并加盖投标人公章）。</w:t>
            </w:r>
          </w:p>
        </w:tc>
        <w:tc>
          <w:tcPr>
            <w:tcW w:w="972" w:type="dxa"/>
            <w:vAlign w:val="center"/>
          </w:tcPr>
          <w:p>
            <w:pPr>
              <w:widowControl/>
              <w:spacing w:line="288" w:lineRule="auto"/>
              <w:jc w:val="center"/>
              <w:rPr>
                <w:rFonts w:hint="default"/>
                <w:lang w:val="en-US" w:eastAsia="zh-CN"/>
              </w:rPr>
            </w:pPr>
            <w:r>
              <w:rPr>
                <w:rFonts w:hint="eastAsia"/>
                <w:lang w:val="en-US" w:eastAsia="zh-CN"/>
              </w:rPr>
              <w:t>1分</w:t>
            </w:r>
          </w:p>
        </w:tc>
      </w:tr>
    </w:tbl>
    <w:p>
      <w:pPr>
        <w:pStyle w:val="15"/>
      </w:pPr>
    </w:p>
    <w:p>
      <w:pPr>
        <w:rPr>
          <w:rFonts w:ascii="宋体" w:hAnsi="宋体" w:cs="宋体"/>
          <w:b/>
          <w:sz w:val="36"/>
          <w:szCs w:val="36"/>
        </w:rPr>
      </w:pPr>
      <w:r>
        <w:rPr>
          <w:rFonts w:hint="eastAsia" w:ascii="宋体" w:hAnsi="宋体" w:cs="宋体"/>
          <w:b/>
          <w:sz w:val="36"/>
          <w:szCs w:val="36"/>
        </w:rPr>
        <w:br w:type="page"/>
      </w:r>
    </w:p>
    <w:p>
      <w:pPr>
        <w:numPr>
          <w:ilvl w:val="0"/>
          <w:numId w:val="23"/>
        </w:numPr>
        <w:spacing w:line="360" w:lineRule="auto"/>
        <w:jc w:val="center"/>
        <w:rPr>
          <w:rFonts w:ascii="宋体" w:hAnsi="宋体" w:cs="宋体"/>
          <w:b/>
          <w:sz w:val="36"/>
          <w:szCs w:val="36"/>
        </w:rPr>
      </w:pPr>
      <w:r>
        <w:rPr>
          <w:rFonts w:hint="eastAsia" w:ascii="宋体" w:hAnsi="宋体" w:cs="宋体"/>
          <w:b/>
          <w:sz w:val="36"/>
          <w:szCs w:val="36"/>
        </w:rPr>
        <w:t>公开招标需求</w:t>
      </w:r>
    </w:p>
    <w:p>
      <w:pPr>
        <w:tabs>
          <w:tab w:val="left" w:pos="8280"/>
        </w:tabs>
        <w:autoSpaceDE w:val="0"/>
        <w:autoSpaceDN w:val="0"/>
        <w:adjustRightInd w:val="0"/>
        <w:spacing w:line="360" w:lineRule="auto"/>
        <w:ind w:firstLine="482" w:firstLineChars="200"/>
        <w:rPr>
          <w:rFonts w:ascii="宋体" w:hAnsi="宋体" w:cs="宋体"/>
          <w:sz w:val="24"/>
        </w:rPr>
      </w:pPr>
      <w:r>
        <w:rPr>
          <w:rFonts w:hint="eastAsia" w:ascii="宋体" w:hAnsi="宋体" w:cs="宋体"/>
          <w:b/>
          <w:sz w:val="24"/>
        </w:rPr>
        <w:t>一、招标项目一览表</w:t>
      </w:r>
    </w:p>
    <w:p>
      <w:pPr>
        <w:tabs>
          <w:tab w:val="left" w:pos="8280"/>
        </w:tabs>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本次招标共</w:t>
      </w:r>
      <w:r>
        <w:rPr>
          <w:rFonts w:hint="eastAsia" w:ascii="宋体" w:hAnsi="宋体" w:cs="宋体"/>
          <w:sz w:val="24"/>
          <w:u w:val="single"/>
        </w:rPr>
        <w:t xml:space="preserve"> 1 </w:t>
      </w:r>
      <w:r>
        <w:rPr>
          <w:rFonts w:hint="eastAsia" w:ascii="宋体" w:hAnsi="宋体" w:cs="宋体"/>
          <w:sz w:val="24"/>
        </w:rPr>
        <w:t>个标段，具体内容如下表：</w:t>
      </w:r>
    </w:p>
    <w:tbl>
      <w:tblPr>
        <w:tblStyle w:val="4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75"/>
        <w:gridCol w:w="1305"/>
        <w:gridCol w:w="795"/>
        <w:gridCol w:w="795"/>
        <w:gridCol w:w="19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27"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序号</w:t>
            </w:r>
          </w:p>
        </w:tc>
        <w:tc>
          <w:tcPr>
            <w:tcW w:w="2175"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sz w:val="24"/>
              </w:rPr>
            </w:pPr>
            <w:r>
              <w:rPr>
                <w:rFonts w:hint="eastAsia" w:ascii="宋体" w:hAnsi="宋体" w:cs="宋体"/>
                <w:b/>
                <w:sz w:val="24"/>
              </w:rPr>
              <w:t>项目名称</w:t>
            </w:r>
          </w:p>
        </w:tc>
        <w:tc>
          <w:tcPr>
            <w:tcW w:w="130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内容</w:t>
            </w:r>
          </w:p>
        </w:tc>
        <w:tc>
          <w:tcPr>
            <w:tcW w:w="79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数量</w:t>
            </w:r>
          </w:p>
        </w:tc>
        <w:tc>
          <w:tcPr>
            <w:tcW w:w="795" w:type="dxa"/>
            <w:vAlign w:val="center"/>
          </w:tcPr>
          <w:p>
            <w:pPr>
              <w:tabs>
                <w:tab w:val="left" w:pos="8280"/>
              </w:tabs>
              <w:autoSpaceDE w:val="0"/>
              <w:autoSpaceDN w:val="0"/>
              <w:adjustRightInd w:val="0"/>
              <w:spacing w:line="360" w:lineRule="auto"/>
              <w:ind w:right="25"/>
              <w:jc w:val="center"/>
              <w:rPr>
                <w:rFonts w:ascii="宋体" w:hAnsi="宋体" w:cs="宋体"/>
                <w:b/>
                <w:sz w:val="24"/>
              </w:rPr>
            </w:pPr>
            <w:r>
              <w:rPr>
                <w:rFonts w:hint="eastAsia" w:ascii="宋体" w:hAnsi="宋体" w:cs="宋体"/>
                <w:b/>
                <w:sz w:val="24"/>
              </w:rPr>
              <w:t>单位</w:t>
            </w:r>
          </w:p>
        </w:tc>
        <w:tc>
          <w:tcPr>
            <w:tcW w:w="193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预算/最高限价</w:t>
            </w:r>
          </w:p>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（万元）</w:t>
            </w:r>
          </w:p>
        </w:tc>
        <w:tc>
          <w:tcPr>
            <w:tcW w:w="1425" w:type="dxa"/>
            <w:vAlign w:val="center"/>
          </w:tcPr>
          <w:p>
            <w:pPr>
              <w:tabs>
                <w:tab w:val="left" w:pos="8280"/>
              </w:tabs>
              <w:autoSpaceDE w:val="0"/>
              <w:autoSpaceDN w:val="0"/>
              <w:adjustRightInd w:val="0"/>
              <w:spacing w:line="300" w:lineRule="auto"/>
              <w:ind w:right="25"/>
              <w:jc w:val="center"/>
              <w:rPr>
                <w:rFonts w:ascii="宋体" w:hAnsi="宋体" w:cs="宋体"/>
                <w:b/>
                <w:color w:val="auto"/>
                <w:sz w:val="24"/>
                <w:highlight w:val="yellow"/>
              </w:rPr>
            </w:pPr>
            <w:r>
              <w:rPr>
                <w:rFonts w:hint="eastAsia" w:ascii="宋体" w:hAnsi="宋体" w:cs="宋体"/>
                <w:b/>
                <w:bCs/>
                <w:color w:val="auto"/>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27"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75" w:type="dxa"/>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台州市三梅中学网络及安全设备采购项目</w:t>
            </w:r>
          </w:p>
        </w:tc>
        <w:tc>
          <w:tcPr>
            <w:tcW w:w="130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详见具体技术需求</w:t>
            </w:r>
          </w:p>
        </w:tc>
        <w:tc>
          <w:tcPr>
            <w:tcW w:w="79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9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1935"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340</w:t>
            </w:r>
          </w:p>
        </w:tc>
        <w:tc>
          <w:tcPr>
            <w:tcW w:w="1425" w:type="dxa"/>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rPr>
              <w:t>合同签订后60天内完成供货、安装及调试</w:t>
            </w:r>
            <w:r>
              <w:rPr>
                <w:rFonts w:hint="eastAsia" w:ascii="宋体" w:hAnsi="宋体" w:cs="宋体"/>
                <w:color w:val="auto"/>
                <w:sz w:val="24"/>
                <w:lang w:eastAsia="zh-CN"/>
              </w:rPr>
              <w:t>，</w:t>
            </w:r>
            <w:r>
              <w:rPr>
                <w:rFonts w:hint="eastAsia" w:ascii="宋体" w:hAnsi="宋体" w:cs="宋体"/>
                <w:color w:val="auto"/>
                <w:sz w:val="24"/>
                <w:lang w:val="en-US" w:eastAsia="zh-CN"/>
              </w:rPr>
              <w:t>施工时须配合总包及智能化安装进度。</w:t>
            </w:r>
          </w:p>
        </w:tc>
      </w:tr>
    </w:tbl>
    <w:p>
      <w:pPr>
        <w:pStyle w:val="21"/>
        <w:numPr>
          <w:ilvl w:val="0"/>
          <w:numId w:val="25"/>
        </w:numPr>
        <w:ind w:firstLine="482" w:firstLineChars="200"/>
        <w:rPr>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项目清单</w:t>
      </w:r>
    </w:p>
    <w:p>
      <w:pPr>
        <w:numPr>
          <w:ilvl w:val="0"/>
          <w:numId w:val="26"/>
        </w:numPr>
        <w:rPr>
          <w:color w:val="000000" w:themeColor="text1"/>
          <w14:textFill>
            <w14:solidFill>
              <w14:schemeClr w14:val="tx1"/>
            </w14:solidFill>
          </w14:textFill>
        </w:rPr>
      </w:pPr>
      <w:r>
        <w:rPr>
          <w:rFonts w:hint="eastAsia"/>
          <w:color w:val="000000" w:themeColor="text1"/>
          <w14:textFill>
            <w14:solidFill>
              <w14:schemeClr w14:val="tx1"/>
            </w14:solidFill>
          </w14:textFill>
        </w:rPr>
        <w:t>核心机房</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210"/>
        <w:gridCol w:w="196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21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6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13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核心交换机</w:t>
            </w:r>
          </w:p>
        </w:tc>
        <w:tc>
          <w:tcPr>
            <w:tcW w:w="1963" w:type="dxa"/>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下一代防火墙</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1.3</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上网行为管理器</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无线控制器</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网络管理平台</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3210" w:type="dxa"/>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万兆单模光模块</w:t>
            </w:r>
          </w:p>
        </w:tc>
        <w:tc>
          <w:tcPr>
            <w:tcW w:w="1963"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130" w:type="dxa"/>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bl>
    <w:p>
      <w:pPr>
        <w:numPr>
          <w:ilvl w:val="0"/>
          <w:numId w:val="26"/>
        </w:numPr>
        <w:rPr>
          <w:color w:val="000000" w:themeColor="text1"/>
          <w14:textFill>
            <w14:solidFill>
              <w14:schemeClr w14:val="tx1"/>
            </w14:solidFill>
          </w14:textFill>
        </w:rPr>
      </w:pPr>
      <w:r>
        <w:rPr>
          <w:rFonts w:hint="eastAsia"/>
          <w:color w:val="000000" w:themeColor="text1"/>
          <w14:textFill>
            <w14:solidFill>
              <w14:schemeClr w14:val="tx1"/>
            </w14:solidFill>
          </w14:textFill>
        </w:rPr>
        <w:t>主教学楼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210"/>
        <w:gridCol w:w="196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21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63"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13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172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77</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115</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放装AP（高密）</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2</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3</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321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63"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6</w:t>
            </w:r>
          </w:p>
        </w:tc>
        <w:tc>
          <w:tcPr>
            <w:tcW w:w="2130" w:type="dxa"/>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台</w:t>
            </w:r>
          </w:p>
        </w:tc>
      </w:tr>
    </w:tbl>
    <w:p>
      <w:pPr>
        <w:numPr>
          <w:ilvl w:val="0"/>
          <w:numId w:val="26"/>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音乐楼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113</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放装AP（高密）</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3.6</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室外AP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3.7</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3.8</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bl>
    <w:p>
      <w:pPr>
        <w:pStyle w:val="22"/>
        <w:numPr>
          <w:ilvl w:val="0"/>
          <w:numId w:val="26"/>
        </w:numPr>
        <w:ind w:left="0" w:leftChars="0" w:firstLine="0" w:firstLineChars="0"/>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美术楼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60</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8口POE交换机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50</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2070"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台</w:t>
            </w:r>
          </w:p>
        </w:tc>
      </w:tr>
    </w:tbl>
    <w:p>
      <w:pPr>
        <w:numPr>
          <w:ilvl w:val="0"/>
          <w:numId w:val="26"/>
        </w:numPr>
        <w:ind w:left="0" w:leftChars="0" w:firstLine="0" w:firstLineChars="0"/>
        <w:rPr>
          <w:rFonts w:hint="default"/>
          <w:lang w:val="en-US" w:eastAsia="zh-CN"/>
        </w:rPr>
      </w:pPr>
      <w:r>
        <w:rPr>
          <w:rFonts w:hint="eastAsia"/>
          <w:lang w:val="en-US" w:eastAsia="zh-CN"/>
        </w:rPr>
        <w:t>宿舍楼</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3127"/>
        <w:gridCol w:w="191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127"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916"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2070"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5.1</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楼栋汇聚交换机</w:t>
            </w:r>
          </w:p>
        </w:tc>
        <w:tc>
          <w:tcPr>
            <w:tcW w:w="1916" w:type="dxa"/>
            <w:vAlign w:val="center"/>
          </w:tcPr>
          <w:p>
            <w:pPr>
              <w:keepNext w:val="0"/>
              <w:keepLines w:val="0"/>
              <w:widowControl/>
              <w:suppressLineNumbers w:val="0"/>
              <w:jc w:val="center"/>
              <w:textAlignment w:val="center"/>
              <w:rPr>
                <w:rFonts w:hint="default"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5.2</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万兆单模光模块</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5.3</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放装AP</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5.4</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24口POE交换机</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5.5</w:t>
            </w:r>
          </w:p>
        </w:tc>
        <w:tc>
          <w:tcPr>
            <w:tcW w:w="3127" w:type="dxa"/>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48口交换机</w:t>
            </w:r>
          </w:p>
        </w:tc>
        <w:tc>
          <w:tcPr>
            <w:tcW w:w="1916"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070" w:type="dxa"/>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bl>
    <w:p>
      <w:pPr>
        <w:widowControl/>
        <w:numPr>
          <w:ilvl w:val="0"/>
          <w:numId w:val="25"/>
        </w:numPr>
        <w:spacing w:line="360" w:lineRule="auto"/>
        <w:ind w:firstLine="482" w:firstLineChars="200"/>
        <w:jc w:val="left"/>
      </w:pPr>
      <w:r>
        <w:rPr>
          <w:rFonts w:hint="eastAsia" w:ascii="宋体" w:hAnsi="宋体" w:cs="宋体"/>
          <w:b/>
          <w:bCs/>
          <w:color w:val="000000" w:themeColor="text1"/>
          <w:kern w:val="0"/>
          <w:sz w:val="24"/>
          <w:szCs w:val="22"/>
          <w14:textFill>
            <w14:solidFill>
              <w14:schemeClr w14:val="tx1"/>
            </w14:solidFill>
          </w14:textFill>
        </w:rPr>
        <w:t>参数要求</w:t>
      </w:r>
    </w:p>
    <w:tbl>
      <w:tblPr>
        <w:tblStyle w:val="48"/>
        <w:tblW w:w="4997" w:type="pct"/>
        <w:tblInd w:w="0" w:type="dxa"/>
        <w:tblLayout w:type="autofit"/>
        <w:tblCellMar>
          <w:top w:w="0" w:type="dxa"/>
          <w:left w:w="108" w:type="dxa"/>
          <w:bottom w:w="0" w:type="dxa"/>
          <w:right w:w="108" w:type="dxa"/>
        </w:tblCellMar>
      </w:tblPr>
      <w:tblGrid>
        <w:gridCol w:w="440"/>
        <w:gridCol w:w="1074"/>
        <w:gridCol w:w="5031"/>
        <w:gridCol w:w="767"/>
        <w:gridCol w:w="569"/>
        <w:gridCol w:w="636"/>
      </w:tblGrid>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序号</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设备名称</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技术参数</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备注</w:t>
            </w: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核心交换机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1、硬件架构：采用CLOS 无中板交换架构，线卡与交换网板完全正交(90度)设计，主控板槽位数≥2，独立交换网板槽位数≥6，业务板槽位数≥8，电源模块槽位数≥6，提供官网公开链接和截图证明；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2、★设备性能：交换容量≥645Tbp，转发性能≥230400Mpps，官网较低值为准，提供官网截图及链接证明。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3、接口要求：支持高密GE/10GE/25GE/40GE/100GE及400G高速以太网端口；</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4、支持融合AC及统一管理功能，最大可管理AP为12K，提供第三方权威机构测试报告证明；</w:t>
            </w:r>
          </w:p>
          <w:p>
            <w:pPr>
              <w:widowControl/>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出厂预置管理软件，可实现批量导入或通过楼栋交换机，绑定设备区域位置，完成交换机自动上线获取正确的配置；支持自适应不同接入设备替换，同时支持端口盲插，可自适应端口接错线，端口配置自动跟随业务走，支持终端管理</w:t>
            </w:r>
            <w:r>
              <w:rPr>
                <w:rFonts w:hint="eastAsia" w:ascii="宋体" w:hAnsi="宋体" w:cs="宋体"/>
                <w:b w:val="0"/>
                <w:bCs w:val="0"/>
                <w:color w:val="000000" w:themeColor="text1"/>
                <w:kern w:val="0"/>
                <w:szCs w:val="21"/>
                <w:lang w:bidi="ar"/>
                <w14:textFill>
                  <w14:solidFill>
                    <w14:schemeClr w14:val="tx1"/>
                  </w14:solidFill>
                </w14:textFill>
              </w:rPr>
              <w:t>；提供第三方权威机构检验报告证明。</w:t>
            </w:r>
            <w:r>
              <w:rPr>
                <w:rFonts w:hint="eastAsia" w:ascii="宋体" w:hAnsi="宋体" w:cs="宋体"/>
                <w:b w:val="0"/>
                <w:bCs w:val="0"/>
                <w:color w:val="000000" w:themeColor="text1"/>
                <w:kern w:val="0"/>
                <w:szCs w:val="21"/>
                <w:lang w:eastAsia="zh-CN" w:bidi="ar"/>
                <w14:textFill>
                  <w14:solidFill>
                    <w14:schemeClr w14:val="tx1"/>
                  </w14:solidFill>
                </w14:textFill>
              </w:rPr>
              <w:t>（</w:t>
            </w:r>
            <w:r>
              <w:rPr>
                <w:rFonts w:hint="eastAsia" w:ascii="宋体" w:hAnsi="宋体" w:cs="宋体"/>
                <w:b w:val="0"/>
                <w:bCs w:val="0"/>
                <w:color w:val="000000" w:themeColor="text1"/>
                <w:kern w:val="0"/>
                <w:szCs w:val="21"/>
                <w:lang w:val="en-US" w:eastAsia="zh-CN" w:bidi="ar"/>
                <w14:textFill>
                  <w14:solidFill>
                    <w14:schemeClr w14:val="tx1"/>
                  </w14:solidFill>
                </w14:textFill>
              </w:rPr>
              <w:t>可为类似功能</w:t>
            </w:r>
            <w:r>
              <w:rPr>
                <w:rFonts w:hint="eastAsia" w:ascii="宋体" w:hAnsi="宋体" w:cs="宋体"/>
                <w:b w:val="0"/>
                <w:bCs w:val="0"/>
                <w:color w:val="000000" w:themeColor="text1"/>
                <w:kern w:val="0"/>
                <w:szCs w:val="21"/>
                <w:lang w:eastAsia="zh-CN" w:bidi="ar"/>
                <w14:textFill>
                  <w14:solidFill>
                    <w14:schemeClr w14:val="tx1"/>
                  </w14:solidFill>
                </w14:textFill>
              </w:rPr>
              <w:t>）</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6、支持流量无损功能（</w:t>
            </w:r>
            <w:r>
              <w:rPr>
                <w:rFonts w:hint="eastAsia" w:ascii="宋体" w:hAnsi="宋体" w:cs="宋体"/>
                <w:b/>
                <w:bCs/>
                <w:color w:val="000000" w:themeColor="text1"/>
                <w:kern w:val="0"/>
                <w:szCs w:val="21"/>
                <w:lang w:val="en-US" w:eastAsia="zh-CN" w:bidi="ar"/>
                <w14:textFill>
                  <w14:solidFill>
                    <w14:schemeClr w14:val="tx1"/>
                  </w14:solidFill>
                </w14:textFill>
              </w:rPr>
              <w:t>如</w:t>
            </w:r>
            <w:r>
              <w:rPr>
                <w:rFonts w:hint="eastAsia" w:ascii="宋体" w:hAnsi="宋体" w:cs="宋体"/>
                <w:color w:val="000000" w:themeColor="text1"/>
                <w:kern w:val="0"/>
                <w:szCs w:val="21"/>
                <w:lang w:bidi="ar"/>
                <w14:textFill>
                  <w14:solidFill>
                    <w14:schemeClr w14:val="tx1"/>
                  </w14:solidFill>
                </w14:textFill>
              </w:rPr>
              <w:t>FCOE、RoCE、DCB），支持IP分片和重组，支持缓存突发监控，提供第三方权威机构测试报告证明；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7、支持VXLAN over IPv6；支持IPv6 VXLAN over IPv4；支持VxLAN OAM: VxLAN ping, VxLAN tracert；支持BGP EVPN协议；支持分布式网关，支持VXLAN Fabric 的自动化部署；</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8、配置要求：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双主控，双交换网板，双电源模块,冗余风扇模块，万兆以太网光接口≥20个、千兆以太网光接口≥8个 、千兆以太网电接口≥24个。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themeColor="text1"/>
                <w:kern w:val="0"/>
                <w:sz w:val="22"/>
                <w:szCs w:val="22"/>
                <w:lang w:val="en-US" w:eastAsia="zh-CN" w:bidi="ar"/>
                <w14:textFill>
                  <w14:solidFill>
                    <w14:schemeClr w14:val="tx1"/>
                  </w14:solidFill>
                </w14:textFill>
              </w:rPr>
            </w:pPr>
            <w:r>
              <w:rPr>
                <w:rFonts w:hint="eastAsia" w:ascii="宋体" w:hAnsi="宋体" w:cs="宋体"/>
                <w:color w:val="000000"/>
                <w:kern w:val="0"/>
                <w:sz w:val="22"/>
                <w:szCs w:val="22"/>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kern w:val="0"/>
                <w:sz w:val="22"/>
                <w:szCs w:val="22"/>
                <w:lang w:bidi="ar"/>
                <w14:textFill>
                  <w14:solidFill>
                    <w14:schemeClr w14:val="tx1"/>
                  </w14:solidFill>
                </w14:textFill>
              </w:rPr>
            </w:pPr>
            <w:r>
              <w:rPr>
                <w:rFonts w:hint="eastAsia" w:ascii="宋体" w:hAnsi="宋体" w:cs="宋体"/>
                <w:color w:val="000000"/>
                <w:kern w:val="0"/>
                <w:sz w:val="22"/>
                <w:szCs w:val="22"/>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下一代防火墙</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1、★接口规格：千兆电口≥14，千兆光口≥8，万兆光口≥8，硬盘扩展槽≥2，接口扩展槽≥4；支持可插拔冗余余电源模块，可插拔冗余风扇模块；</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2、硬件性能: 防火墙吞吐量≥20Gbps，并发连接数≥1000万，每秒新建连接数≥12万。</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3、路由实现：支持静态路由、策略路由、RIP、OSPF、BGP、IS-IS等路由协议（提供功能截图）；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4、VPN：可基于每个SSL VPN用户的会话连接数、连接时间和流量阀值进行细颗粒度的管控。（提供功能截图）；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安全策略：支持基于域名的安全策略模糊匹配；支持策略风险调优，支持安全策略优化分析，支持策略数冗余及命中分析，支持基于应用风险的自动批量和手动逐条策略调优，可根据流量、应用、风险类型等方面展示。（提供功能截图）；</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6、URL过滤：设备提供海量预分类的URL地址库，支持根据URL类别实现URL过滤；</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7、威胁可视化：僵尸网络分析，攻击链推导及资产安全风险等级的可视化呈现；基于应用的数据分析 ；</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加密流量检测：支持HTTPS加密流量的安全检测，支持TCP代理和SSL代理，且代理策略中可同时配置多类过滤条件，具体包括：源安全域、目的安全域、源地址、目的地址、用户和服务。一类过滤条件可以配置多个匹配项；</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9、产品资质：★具备中国网络安全审查技术与认证中心颁发的EAL4增强级认证证书；须提供加盖制造厂商公章的证书扫描件；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10、配置要求：实配冗余电源，实配入侵防御、防病毒、应用识别特征库三年升级授权。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auto"/>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kern w:val="0"/>
                <w:szCs w:val="21"/>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Style w:val="120"/>
                <w:rFonts w:hint="eastAsia" w:ascii="宋体" w:hAnsi="宋体" w:eastAsia="宋体" w:cs="宋体"/>
                <w:i w:val="0"/>
                <w:iCs w:val="0"/>
                <w:color w:val="auto"/>
                <w:sz w:val="24"/>
                <w:szCs w:val="24"/>
                <w:lang w:val="en-US" w:eastAsia="zh-CN" w:bidi="ar"/>
              </w:rPr>
              <w:t>上网行为管理器</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1、★尺寸大小：1U,整机支持12GE（光）+12GE（电），支持2TB的硬盘存储，支持双电源。</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2、★网络吞吐量≥5GbpsGbps，最大并发连接数≥120万，最大新建连接数≥6万；</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3、部署模式：支持路由模式、透明（网桥）模式、混合模式，支持镜像接口，部署模式切换无需重启设备；</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4、IPv6：支持接入IPv6网络；支持全IPV6能力，产品能力包含上网行为审计、上网行为控制、流量控制、认证、日志、报表等，并提供web配置界面截图；</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5、网络状态监控：支持黑名单用户显示、SSL VPN在线用户显示、实时用户/应用流速统计</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6、策略分析与清理：支持分析冗余策略、隐藏策略、冲突策略、可合并策略、空策略、过期策略，提供界面截图；支持策略分组，进行区分化管理和运维，提供功能截图</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7、用户行为控制：支持用户应用的精细化控制，例如微信的：“微信”“微信语音”“微信发消息”“微信收消息”“微信登录”“微信发文件”“微信收文件”并提供web配置截图</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8、配置要求：实配双电源，2TB的硬盘存储，3年得ACG特征库升级服务授权；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无线控制器</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（单独物理无线控制器设备，非集成化产品)</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1、★管理AP数：要求所投产品满足常规AP最大数量≥512（提供管理授权），提供官网公开链接和截图证明;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2、★转发性能：要求所投产品集中转发性能≥10Gbps;</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3、★端口要求：要求所投产品提供≥8个千兆GE端口，≥2个万兆SFP+端口，≥2个2.5GE端口，提供官网公开链接和截图证明;</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4、★为了满足设备的稳定性，要求所投产品满足双电源冗余供电;实配冗余风扇模块，</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5、满足AC内漫游，满足跨AC间漫游，满足跨VLAN的三层漫游;</w:t>
            </w:r>
          </w:p>
          <w:p>
            <w:pPr>
              <w:widowControl/>
              <w:jc w:val="left"/>
              <w:textAlignment w:val="center"/>
              <w:rPr>
                <w:rFonts w:hint="eastAsia" w:ascii="宋体" w:hAnsi="宋体" w:eastAsia="宋体" w:cs="宋体"/>
                <w:b w:val="0"/>
                <w:bCs w:val="0"/>
                <w:color w:val="000000"/>
                <w:kern w:val="0"/>
                <w:szCs w:val="21"/>
                <w:lang w:eastAsia="zh-CN" w:bidi="ar"/>
              </w:rPr>
            </w:pPr>
            <w:r>
              <w:rPr>
                <w:rFonts w:hint="eastAsia" w:ascii="宋体" w:hAnsi="宋体" w:cs="宋体"/>
                <w:color w:val="000000"/>
                <w:kern w:val="0"/>
                <w:szCs w:val="21"/>
                <w:lang w:bidi="ar"/>
              </w:rPr>
              <w:t>6、满足基于802.11k/802.11v/802.11r协议的智能漫游，要求提供第三方测试报告关键页扫描件证明</w:t>
            </w:r>
            <w:r>
              <w:rPr>
                <w:rFonts w:hint="eastAsia" w:ascii="宋体" w:hAnsi="宋体" w:cs="宋体"/>
                <w:b w:val="0"/>
                <w:bCs w:val="0"/>
                <w:color w:val="000000"/>
                <w:kern w:val="0"/>
                <w:szCs w:val="21"/>
                <w:lang w:bidi="ar"/>
              </w:rPr>
              <w:t>（可为类似功能）</w:t>
            </w:r>
            <w:r>
              <w:rPr>
                <w:rFonts w:hint="eastAsia" w:ascii="宋体" w:hAnsi="宋体" w:cs="宋体"/>
                <w:b w:val="0"/>
                <w:bCs w:val="0"/>
                <w:color w:val="000000"/>
                <w:kern w:val="0"/>
                <w:szCs w:val="21"/>
                <w:lang w:eastAsia="zh-CN" w:bidi="ar"/>
              </w:rPr>
              <w:t>；</w:t>
            </w:r>
          </w:p>
          <w:p>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7、为了保障无线网络的用户体验，所投产品需要满足对弱信号接入、乒乓漫游等常见无线网络问题的识别，并给出问题分布趋势图、该问题所影响的具体终端、涉及的AP以及该AP发生该异常的数量统计，需要提供第三方认证报告证明（可为类似功能）；</w:t>
            </w:r>
          </w:p>
          <w:p>
            <w:pPr>
              <w:widowControl/>
              <w:jc w:val="left"/>
              <w:textAlignment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8、满足雷达检测SSID逃生功能：AC、AP满足SSID自主逃生，当AP射频检测到雷达信号时，会将本射频的SSID迁移到其他射频，保障关键业务正常通信。要求提供第三方测试</w:t>
            </w:r>
            <w:r>
              <w:rPr>
                <w:rFonts w:hint="eastAsia" w:ascii="宋体" w:hAnsi="宋体" w:cs="宋体"/>
                <w:b w:val="0"/>
                <w:bCs w:val="0"/>
                <w:color w:val="000000"/>
                <w:kern w:val="0"/>
                <w:szCs w:val="21"/>
                <w:lang w:bidi="ar"/>
              </w:rPr>
              <w:t>报告关键页复印件证明（可为类似功能）；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9、满足Portal在线用户与DHCP租约联动功能：AC满足根据DHCP租约信息联动Portal用户自动下线，可以提高DHCP地址池的利用率，降低Portal重复认证开销。要求提供第三方测试报告关键页扫描件证明。</w:t>
            </w:r>
            <w:r>
              <w:rPr>
                <w:rFonts w:hint="eastAsia" w:ascii="宋体" w:hAnsi="宋体" w:cs="宋体"/>
                <w:b w:val="0"/>
                <w:bCs w:val="0"/>
                <w:color w:val="000000"/>
                <w:kern w:val="0"/>
                <w:szCs w:val="21"/>
                <w:lang w:bidi="ar"/>
              </w:rPr>
              <w:t>（可为类似功能）</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网络管理平台</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1、支持设备面板的显示、定时刷新、面板缩放功能，通过面板管理，网络管理人员可以直观地看到设备、板卡、端口、指示灯、电源、风扇的工作状态；支持以路由方式、arp、IPsec VPN、网段、ppp等5种方式自动发现网</w:t>
            </w:r>
            <w:r>
              <w:rPr>
                <w:rFonts w:hint="eastAsia" w:ascii="宋体" w:hAnsi="宋体" w:cs="宋体"/>
                <w:b w:val="0"/>
                <w:bCs w:val="0"/>
                <w:color w:val="000000"/>
                <w:kern w:val="0"/>
                <w:szCs w:val="21"/>
                <w:lang w:bidi="ar"/>
              </w:rPr>
              <w:t>络设备，提供产品功能截图证明</w:t>
            </w:r>
            <w:r>
              <w:rPr>
                <w:rFonts w:hint="eastAsia" w:ascii="宋体" w:hAnsi="宋体" w:cs="宋体"/>
                <w:b w:val="0"/>
                <w:bCs w:val="0"/>
                <w:color w:val="000000"/>
                <w:kern w:val="0"/>
                <w:szCs w:val="21"/>
                <w:lang w:eastAsia="zh-CN" w:bidi="ar"/>
              </w:rPr>
              <w:t>；（可为类似功能）</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2、自动发现拓扑：自动发现网络中的所有网络设备，并在拓扑中显示出来，支持拓扑图自定义修改，包括设备、链路等；</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故障管理：系统支持将告警信息转发到设置的E-mail邮箱、移动电话或目的IP地址对应的网管服务器。转发方式分为邮件通知转发、短信通知转发、告警转发、微信和企业微信转发，便于及时通知维护人员，提供产品功能截图证明；</w:t>
            </w:r>
            <w:r>
              <w:rPr>
                <w:rFonts w:hint="eastAsia" w:ascii="宋体" w:hAnsi="宋体" w:cs="宋体"/>
                <w:b w:val="0"/>
                <w:bCs w:val="0"/>
                <w:color w:val="000000"/>
                <w:kern w:val="0"/>
                <w:szCs w:val="21"/>
                <w:lang w:bidi="ar"/>
              </w:rPr>
              <w:t>（可为类似功能）</w:t>
            </w:r>
          </w:p>
          <w:p>
            <w:pPr>
              <w:widowControl/>
              <w:jc w:val="left"/>
              <w:textAlignment w:val="center"/>
              <w:rPr>
                <w:rFonts w:hint="eastAsia" w:ascii="宋体" w:hAnsi="宋体" w:cs="宋体"/>
                <w:b w:val="0"/>
                <w:bCs w:val="0"/>
                <w:color w:val="000000"/>
                <w:kern w:val="0"/>
                <w:szCs w:val="21"/>
                <w:lang w:bidi="ar"/>
              </w:rPr>
            </w:pPr>
            <w:r>
              <w:rPr>
                <w:rFonts w:hint="eastAsia" w:ascii="宋体" w:hAnsi="宋体" w:cs="宋体"/>
                <w:color w:val="000000"/>
                <w:kern w:val="0"/>
                <w:szCs w:val="21"/>
                <w:lang w:bidi="ar"/>
              </w:rPr>
              <w:t>4、★性能管理：可以针对单个或者多个网元设备进行实时性能监视，并且支持对于管理员自定义的监视项进行监视，系统可以通过学习设备某性能指标的历史数据，计算出设备该性能指标的最佳阈值。提供产品功能截图证明；</w:t>
            </w:r>
            <w:r>
              <w:rPr>
                <w:rFonts w:hint="eastAsia" w:ascii="宋体" w:hAnsi="宋体" w:cs="宋体"/>
                <w:b w:val="0"/>
                <w:bCs w:val="0"/>
                <w:color w:val="000000"/>
                <w:kern w:val="0"/>
                <w:szCs w:val="21"/>
                <w:lang w:bidi="ar"/>
              </w:rPr>
              <w:t>（可为类似功能）</w:t>
            </w:r>
          </w:p>
          <w:p>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5、ACL管理：系统提供对单设备ACL配置定义、应用ACL定义和包过滤等业务，并提供设备配置历史查看的功能；对于大量设备的批量ACL配置，提供友好的向导方式，利用灵活、便捷的批量部署模板，简化管理员为多台设备配置ACL的步骤；能够提供强大的部署处理机制和多角度的任务视图，方便管理员进行管理和任务部署，使其更加灵活，提供产品功能截图证明；（可为类似功能）</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IP地址绑定：对绑定的IP/MAC进行监控，如果该MAC地址对应的设备更换了IP地址，或者其它设备冒用了本IP地址，则系统会立即发送相关告警，通知管理员发生了IP使用违规现象，从而管理员能够及时采取措施应对。IP/MAC绑定，能有效防止网络IP地址使用冲突或盗用的现象，提供产品功能截图证明；</w:t>
            </w:r>
            <w:r>
              <w:rPr>
                <w:rFonts w:hint="eastAsia" w:ascii="宋体" w:hAnsi="宋体" w:cs="宋体"/>
                <w:b w:val="0"/>
                <w:bCs w:val="0"/>
                <w:color w:val="000000"/>
                <w:kern w:val="0"/>
                <w:szCs w:val="21"/>
                <w:lang w:bidi="ar"/>
              </w:rPr>
              <w:t>（可为类似功能）</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非法接入设备监控：对接入设备MAC地址进行监控，如果其它MAC地址接入到该接口，或者该MAC从其它设备接口接入网络，系统会立即发送相关告警，通知管理员发生了MAC接入违规现象，从而管理员能够及时采取措施应对；</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网络资产自动发现：在设备增加到网络资产管理的同时，系统还会自动发现该设备上可以管理的配件信息，并将这些配件加入到网络资产中进行管理，网管员可以根据不同的查询条件查询网络资产信息；对资产进行变更审计；</w:t>
            </w:r>
          </w:p>
          <w:p>
            <w:pPr>
              <w:widowControl/>
              <w:jc w:val="left"/>
              <w:textAlignment w:val="center"/>
              <w:rPr>
                <w:rFonts w:hint="eastAsia" w:ascii="宋体" w:hAnsi="宋体" w:cs="宋体"/>
                <w:b w:val="0"/>
                <w:bCs w:val="0"/>
                <w:color w:val="000000"/>
                <w:kern w:val="0"/>
                <w:szCs w:val="21"/>
                <w:lang w:bidi="ar"/>
              </w:rPr>
            </w:pPr>
            <w:r>
              <w:rPr>
                <w:rFonts w:hint="eastAsia" w:ascii="宋体" w:hAnsi="宋体" w:cs="宋体"/>
                <w:color w:val="000000"/>
                <w:kern w:val="0"/>
                <w:szCs w:val="21"/>
                <w:lang w:bidi="ar"/>
              </w:rPr>
              <w:t>9、支持有线无线一体化管理，可统一管理AC、AP、无线终端、PoE交换机等设备，支持在拓扑上支持展示设备告警、状态，可以十分逼真的展示全网的网络结构，提供产品功能截图证明；</w:t>
            </w:r>
            <w:r>
              <w:rPr>
                <w:rFonts w:hint="eastAsia" w:ascii="宋体" w:hAnsi="宋体" w:cs="宋体"/>
                <w:b w:val="0"/>
                <w:bCs w:val="0"/>
                <w:color w:val="000000"/>
                <w:kern w:val="0"/>
                <w:szCs w:val="21"/>
                <w:lang w:bidi="ar"/>
              </w:rPr>
              <w:t>（可为类似功能）</w:t>
            </w:r>
          </w:p>
          <w:p>
            <w:pPr>
              <w:widowControl/>
              <w:jc w:val="left"/>
              <w:textAlignment w:val="center"/>
              <w:rPr>
                <w:rFonts w:hint="eastAsia" w:ascii="宋体" w:hAnsi="宋体" w:cs="宋体"/>
                <w:b w:val="0"/>
                <w:bCs w:val="0"/>
                <w:color w:val="000000"/>
                <w:kern w:val="0"/>
                <w:szCs w:val="21"/>
                <w:lang w:bidi="ar"/>
              </w:rPr>
            </w:pPr>
            <w:r>
              <w:rPr>
                <w:rFonts w:hint="eastAsia" w:ascii="宋体" w:hAnsi="宋体" w:cs="宋体"/>
                <w:b w:val="0"/>
                <w:bCs w:val="0"/>
                <w:color w:val="000000"/>
                <w:kern w:val="0"/>
                <w:szCs w:val="21"/>
                <w:lang w:bidi="ar"/>
              </w:rPr>
              <w:t>10、在拓扑上支持查看AP当前在线Station及详细信息，可以实现设备和用户的统一管理，支持进行Station上线历史记录浏览，提供产品功能截图证明；（可为类似功能）</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11、配置要求：交换机管理授权≥200节点，无线AP管理授权≥512；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微软雅黑" w:hAnsi="微软雅黑" w:eastAsia="微软雅黑" w:cs="微软雅黑"/>
                <w:color w:val="000000"/>
                <w:kern w:val="0"/>
                <w:sz w:val="20"/>
                <w:szCs w:val="20"/>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kern w:val="0"/>
                <w:sz w:val="20"/>
                <w:szCs w:val="20"/>
                <w:lang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lang w:bidi="ar"/>
              </w:rPr>
              <w:t>6</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万兆单模光模块</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Cs w:val="21"/>
                <w:lang w:bidi="ar"/>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光模块-SFP+-10G-单模模块(1310nm,10km,LC)</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微软雅黑"/>
                <w:color w:val="000000"/>
                <w:kern w:val="0"/>
                <w:sz w:val="20"/>
                <w:szCs w:val="20"/>
                <w:lang w:val="en-US" w:eastAsia="zh-CN" w:bidi="ar"/>
              </w:rPr>
              <w:t>346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微软雅黑"/>
                <w:color w:val="000000"/>
                <w:kern w:val="0"/>
                <w:sz w:val="20"/>
                <w:szCs w:val="20"/>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themeColor="text1"/>
                <w:kern w:val="0"/>
                <w:szCs w:val="21"/>
                <w:lang w:val="en-US" w:eastAsia="zh-CN" w:bidi="ar"/>
                <w14:textFill>
                  <w14:solidFill>
                    <w14:schemeClr w14:val="tx1"/>
                  </w14:solidFill>
                </w14:textFill>
              </w:rPr>
              <w:t>楼栋汇聚交换机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硬件架构：符合业界主流机柜尺寸规范要求，主控槽位（全宽）≥2、业务槽位≥6；</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2、★交换容量：交换容量≥384Tbps、包转发率≥57600Mpps，提供官网截图和链接证明；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3、可视化：支持Telemetry流量可视化功能，提供第三方权威机构测试报告；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4、支持一虚多技术，通过该功能可以实现创建、删除、单板划入、单板划出交换机的特性，至少支持6个虚拟交换机，提供第三方权威机构测试报告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5、VXLAN：支持基于IPv4\IPv6的 VXLAN 二三层互通(包括分布式网关或集中式网关)，支持 EVPN，与非 VXLAN 网络互通，支持 VxLAN OAM ping 和tracert，提供第三方权威机构测试报告；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6、★可靠性：支持IPv4\Pv6 BFD功能,支持BFD与OSPF/VRRP/ BGP4+联动,提供第三方权威机构测试报告；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7、★安全特性：支持CPU防攻击能力，提供第三方权威机构测试报告；</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8、支持内置智能图形化管理功能，对于下联设备具备统一管理的功能能够通过图形化界面对组内设备进行配置文件一键下发；对拓扑内的设备或设备组批量进行版本升级，提供第三方权威机构测试报告；</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9、配置要求：实配双主控，双电源模块,万兆以太网光接口≥96个，千兆电口≥24个，千兆光口≥8个。</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8口POE交换机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1、★设备性能：交换容量≥430Gbps，包转发率≥80Mpps，以官网所列最低参数为准；</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2、硬件规格：符合业界主流机柜尺寸规范要求，工作环境温度-5ºC～45ºC，</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3、端口：10/100/1000BASE-T PoE+端口≥6个，1G/2.5G/5GBase-T PoE+多速率端口≥2个，10/100/1000Base-T端口≥2，10G/1G SFP+端口≥2个，提供官网截图及链接证明；</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4、要求采用静音设计</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5、三层功能：支持IPv4静态路由、RIP、OSPF，支持IPv6静态路由、RIPng、OSPFv3；</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6、绿色节能：符合IEEE 802.3az（EEE）节能标准，支持端口自动节能；</w:t>
            </w:r>
          </w:p>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7、交换机支持图形化操作的方式，实现对网络的统一运维及管理，支持Telemetry技术，实现网络精准运维，提供官网截图及链接证明；</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8、内置防雷：支持10KV业务端口防雷能力。</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0"/>
                <w:szCs w:val="20"/>
                <w:lang w:val="en-US" w:eastAsia="zh-CN" w:bidi="ar"/>
                <w14:textFill>
                  <w14:solidFill>
                    <w14:schemeClr w14:val="tx1"/>
                  </w14:solidFill>
                </w14:textFill>
              </w:rPr>
              <w:t>109</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9</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eastAsia="宋体" w:cs="宋体"/>
                <w:i w:val="0"/>
                <w:iCs w:val="0"/>
                <w:color w:val="auto"/>
                <w:kern w:val="0"/>
                <w:sz w:val="24"/>
                <w:szCs w:val="24"/>
                <w:u w:val="none"/>
                <w:lang w:val="en-US" w:eastAsia="zh-CN" w:bidi="ar"/>
              </w:rPr>
              <w:t>放装AP</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工作模式：支持802.11ax协议；整机支持≥4条空间流；整机最大无线速率≥2.97Gbps。同时支持5G、4G射频，提供官网公开链接和截图证明；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2、接口设计：固化接口数≥2个，包括1个100/1000M/2.5G光口，1个10M/100M/1000M电口，提供官网公开链接和截图证明；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3、内置物联网：支持内置物联网功能模块；</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4、安装方式：满足业主实际使用需求。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themeColor="text1"/>
                <w:kern w:val="0"/>
                <w:sz w:val="22"/>
                <w:szCs w:val="22"/>
                <w:lang w:val="en-US" w:eastAsia="zh-CN" w:bidi="ar"/>
                <w14:textFill>
                  <w14:solidFill>
                    <w14:schemeClr w14:val="tx1"/>
                  </w14:solidFill>
                </w14:textFill>
              </w:rPr>
            </w:pPr>
            <w:r>
              <w:rPr>
                <w:rFonts w:hint="eastAsia" w:cs="微软雅黑" w:asciiTheme="minorEastAsia" w:hAnsiTheme="minorEastAsia" w:eastAsiaTheme="minorEastAsia"/>
                <w:color w:val="000000" w:themeColor="text1"/>
                <w:kern w:val="0"/>
                <w:sz w:val="20"/>
                <w:szCs w:val="20"/>
                <w:lang w:val="en-US" w:eastAsia="zh-CN" w:bidi="ar"/>
                <w14:textFill>
                  <w14:solidFill>
                    <w14:schemeClr w14:val="tx1"/>
                  </w14:solidFill>
                </w14:textFill>
              </w:rPr>
              <w:t>376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asciiTheme="minorEastAsia" w:hAnsiTheme="minorEastAsia" w:eastAsiaTheme="minorEastAsia"/>
                <w:color w:val="000000" w:themeColor="text1"/>
                <w:kern w:val="0"/>
                <w:sz w:val="22"/>
                <w:szCs w:val="22"/>
                <w:lang w:eastAsia="zh-CN" w:bidi="ar"/>
                <w14:textFill>
                  <w14:solidFill>
                    <w14:schemeClr w14:val="tx1"/>
                  </w14:solidFill>
                </w14:textFill>
              </w:rPr>
            </w:pPr>
            <w:r>
              <w:rPr>
                <w:rFonts w:hint="eastAsia" w:cs="微软雅黑" w:asciiTheme="minorEastAsia" w:hAnsiTheme="minorEastAsia" w:eastAsiaTheme="minorEastAsia"/>
                <w:color w:val="000000" w:themeColor="text1"/>
                <w:kern w:val="0"/>
                <w:sz w:val="20"/>
                <w:szCs w:val="20"/>
                <w:lang w:val="en-US" w:eastAsia="zh-CN" w:bidi="ar"/>
                <w14:textFill>
                  <w14:solidFill>
                    <w14:schemeClr w14:val="tx1"/>
                  </w14:solidFill>
                </w14:textFill>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i w:val="0"/>
                <w:iCs w:val="0"/>
                <w:color w:val="auto"/>
                <w:kern w:val="0"/>
                <w:sz w:val="24"/>
                <w:szCs w:val="24"/>
                <w:u w:val="none"/>
                <w:lang w:val="en-US" w:eastAsia="zh-CN" w:bidi="ar"/>
              </w:rPr>
              <w:t>放装AP（高密）</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★工作模式:支持802.11ax标准。采用三射频设计，至少保证2条5GHz射频。 整机支持≥8条空间流，整机最大无线速率≥9.6Gbps。</w:t>
            </w:r>
          </w:p>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★整机协商速率：整机最大速率≥9.6Gbps，提供官网公开链接和截图证明；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3、★接口设计≥2个接口，其中1个100/1000M/2.5G/5G电口，1个10M/100M/1000M电口，提供官网公开链接和截图证明；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空间流数 为保证高密用户接入，整机5GHz射频空间流≥8，2.4GHz射频空间流≥2；</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4、空间流和覆盖效果：支持工作在4*4 MIMO。</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微软雅黑" w:cs="宋体"/>
                <w:color w:val="000000" w:themeColor="text1"/>
                <w:kern w:val="0"/>
                <w:sz w:val="22"/>
                <w:szCs w:val="2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bidi="ar"/>
                <w14:textFill>
                  <w14:solidFill>
                    <w14:schemeClr w14:val="tx1"/>
                  </w14:solidFill>
                </w14:textFill>
              </w:rPr>
              <w:t>1</w:t>
            </w: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lang w:val="en-US" w:eastAsia="zh-CN" w:bidi="ar"/>
                <w14:textFill>
                  <w14:solidFill>
                    <w14:schemeClr w14:val="tx1"/>
                  </w14:solidFill>
                </w14:textFill>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24口POE交换机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1、设备性能≥672Gbps ，转发性能≥171Mpps ，提供官网截图证明。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2、★硬件规格：10/100/1000Base-T端口≥24个，万兆SFP+口≥4个，带外管理网口≥1个，</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USB接口≥1个，Console口≥1个，提供官网截图及链接证明；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3、PoE供电:支持802.3at/POE+供电标准；</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4、支持链路聚合基本功能及聚合零丢包；</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5、交换机支持图形化操作的方式，支持Telemetry技术，实现网络精准运维；支持Telemetry技术，实现网络精准运维，提供官网截图及链接证明；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6、支持OpenFlow 1.3标准，提供官网截图和链接证明;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14:textFill>
                  <w14:solidFill>
                    <w14:schemeClr w14:val="tx1"/>
                  </w14:solidFill>
                </w14:textFill>
              </w:rPr>
            </w:pPr>
          </w:p>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9</w:t>
            </w:r>
          </w:p>
          <w:p>
            <w:pPr>
              <w:jc w:val="center"/>
              <w:rPr>
                <w:rFonts w:ascii="宋体" w:hAnsi="宋体" w:cs="宋体"/>
                <w:color w:val="000000" w:themeColor="text1"/>
                <w:kern w:val="0"/>
                <w:sz w:val="22"/>
                <w:szCs w:val="22"/>
                <w:lang w:bidi="ar"/>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lang w:bidi="ar"/>
              </w:rPr>
            </w:pPr>
            <w:r>
              <w:rPr>
                <w:rFonts w:hint="eastAsia" w:ascii="宋体" w:hAnsi="宋体" w:cs="宋体"/>
                <w:color w:val="000000" w:themeColor="text1"/>
                <w:kern w:val="0"/>
                <w:sz w:val="22"/>
                <w:szCs w:val="22"/>
                <w:lang w:bidi="ar"/>
                <w14:textFill>
                  <w14:solidFill>
                    <w14:schemeClr w14:val="tx1"/>
                  </w14:solidFill>
                </w14:textFill>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48口交换机</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1、交换容量：≥672Gbp ，转发性能≥207Mpps，提供官网截图证明。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2、★硬件规格：10/100/1000Base-T端口≥48个，万兆SFP+口≥4个，带外管理网口≥1个，</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USB接口≥1个，Console口≥1个，提供官网截图及链接证明；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3、支持链路聚合基本功能及聚合零丢包；</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4、交换机支持图形化操作的方式，实现对网络的统一运维及管理，支持Telemetry技术，实现网络精准运维，提供官网截图及链接证明；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6、支持OpenFlow 1.3标准，基于Openflow通过将网络的控制层和数据转发层进行分离，简化网络的管理及维护，实现网络流量的灵活控制，提供官网截图和链接证明;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微软雅黑" w:cs="宋体"/>
                <w:color w:val="000000"/>
                <w:kern w:val="0"/>
                <w:sz w:val="22"/>
                <w:szCs w:val="22"/>
                <w:lang w:val="en-US" w:eastAsia="zh-CN" w:bidi="ar"/>
              </w:rPr>
            </w:pPr>
            <w:r>
              <w:rPr>
                <w:rFonts w:hint="eastAsia" w:ascii="微软雅黑" w:hAnsi="微软雅黑" w:eastAsia="微软雅黑" w:cs="微软雅黑"/>
                <w:color w:val="000000"/>
                <w:kern w:val="0"/>
                <w:sz w:val="20"/>
                <w:szCs w:val="20"/>
                <w:lang w:bidi="ar"/>
              </w:rPr>
              <w:t>3</w:t>
            </w:r>
            <w:r>
              <w:rPr>
                <w:rFonts w:hint="eastAsia" w:ascii="微软雅黑" w:hAnsi="微软雅黑" w:eastAsia="微软雅黑" w:cs="微软雅黑"/>
                <w:color w:val="000000"/>
                <w:kern w:val="0"/>
                <w:sz w:val="20"/>
                <w:szCs w:val="20"/>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微软雅黑" w:hAnsi="微软雅黑" w:eastAsia="微软雅黑" w:cs="微软雅黑"/>
                <w:color w:val="000000"/>
                <w:kern w:val="0"/>
                <w:sz w:val="20"/>
                <w:szCs w:val="20"/>
                <w:lang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室外AP</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★1.支持802.11ax标准，整机双射频，4条空间流，整机最大无线接入速率≥2.97Gbps，提供官网截图和链接证明。</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2.设备支持全向天线信号覆盖，提供更广阔的无线覆盖范围，提供官网截图。</w:t>
            </w:r>
          </w:p>
          <w:p>
            <w:pPr>
              <w:widowControl/>
              <w:jc w:val="left"/>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3.支持IP68防护等级。</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4.所投产品其中一个固定5GHz射频，另外一个可以灵活选择2.4GHz或5GHz，同时可部署5GHz射频数量≥2,提供官网截图。</w:t>
            </w:r>
            <w:r>
              <w:rPr>
                <w:rFonts w:hint="eastAsia" w:ascii="宋体" w:hAnsi="宋体" w:cs="宋体"/>
                <w:color w:val="000000" w:themeColor="text1"/>
                <w:kern w:val="0"/>
                <w:szCs w:val="21"/>
                <w:lang w:val="en-US" w:eastAsia="zh-CN" w:bidi="ar"/>
                <w14:textFill>
                  <w14:solidFill>
                    <w14:schemeClr w14:val="tx1"/>
                  </w14:solidFill>
                </w14:textFill>
              </w:rPr>
              <w:br w:type="textWrapping"/>
            </w:r>
            <w:r>
              <w:rPr>
                <w:rFonts w:hint="eastAsia" w:ascii="宋体" w:hAnsi="宋体" w:cs="宋体"/>
                <w:color w:val="000000" w:themeColor="text1"/>
                <w:kern w:val="0"/>
                <w:szCs w:val="21"/>
                <w:lang w:val="en-US" w:eastAsia="zh-CN" w:bidi="ar"/>
                <w14:textFill>
                  <w14:solidFill>
                    <w14:schemeClr w14:val="tx1"/>
                  </w14:solidFill>
                </w14:textFill>
              </w:rPr>
              <w:t>5.支持对不同协议的扩展功能，提供官网截图证明。</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微软雅黑" w:hAnsi="微软雅黑" w:eastAsia="微软雅黑" w:cs="微软雅黑"/>
                <w:color w:val="000000"/>
                <w:kern w:val="0"/>
                <w:sz w:val="20"/>
                <w:szCs w:val="20"/>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kern w:val="0"/>
                <w:sz w:val="22"/>
                <w:szCs w:val="22"/>
                <w:lang w:bidi="ar"/>
                <w14:textFill>
                  <w14:solidFill>
                    <w14:schemeClr w14:val="tx1"/>
                  </w14:solidFill>
                </w14:textFill>
              </w:rPr>
            </w:pPr>
          </w:p>
        </w:tc>
      </w:tr>
    </w:tbl>
    <w:p>
      <w:pPr>
        <w:widowControl/>
        <w:spacing w:line="360" w:lineRule="auto"/>
        <w:jc w:val="left"/>
        <w:rPr>
          <w:rFonts w:hint="eastAsia" w:ascii="宋体" w:hAnsi="宋体" w:cs="宋体"/>
          <w:b/>
          <w:bCs/>
          <w:kern w:val="0"/>
          <w:sz w:val="24"/>
          <w:szCs w:val="22"/>
          <w:lang w:val="en-US" w:eastAsia="zh-CN"/>
        </w:rPr>
      </w:pPr>
      <w:r>
        <w:rPr>
          <w:rFonts w:hint="eastAsia" w:ascii="宋体" w:hAnsi="宋体" w:cs="宋体"/>
          <w:b/>
          <w:bCs/>
          <w:kern w:val="0"/>
          <w:sz w:val="24"/>
          <w:szCs w:val="22"/>
          <w:lang w:val="en-US" w:eastAsia="zh-CN"/>
        </w:rPr>
        <w:t>注：▲1.所有交换机须为同一品牌，且均须提供工信部入网证明。</w:t>
      </w:r>
    </w:p>
    <w:p>
      <w:pPr>
        <w:widowControl/>
        <w:spacing w:line="360" w:lineRule="auto"/>
        <w:ind w:firstLine="482" w:firstLineChars="200"/>
        <w:jc w:val="left"/>
        <w:rPr>
          <w:rFonts w:hint="eastAsia" w:ascii="宋体" w:hAnsi="宋体" w:cs="宋体"/>
          <w:b/>
          <w:bCs/>
          <w:kern w:val="0"/>
          <w:sz w:val="24"/>
          <w:szCs w:val="22"/>
          <w:lang w:val="en-US" w:eastAsia="zh-CN"/>
        </w:rPr>
      </w:pPr>
      <w:r>
        <w:rPr>
          <w:rFonts w:hint="eastAsia" w:ascii="宋体" w:hAnsi="宋体" w:cs="宋体"/>
          <w:b/>
          <w:bCs/>
          <w:kern w:val="0"/>
          <w:sz w:val="24"/>
          <w:szCs w:val="22"/>
          <w:lang w:val="en-US" w:eastAsia="zh-CN"/>
        </w:rPr>
        <w:t>▲2.所有AP均须提供工信部型号核准证。</w:t>
      </w:r>
    </w:p>
    <w:p>
      <w:pPr>
        <w:pStyle w:val="58"/>
        <w:keepNext w:val="0"/>
        <w:keepLines w:val="0"/>
        <w:pageBreakBefore w:val="0"/>
        <w:widowControl/>
        <w:kinsoku/>
        <w:wordWrap/>
        <w:overflowPunct/>
        <w:topLinePunct w:val="0"/>
        <w:autoSpaceDE w:val="0"/>
        <w:autoSpaceDN w:val="0"/>
        <w:bidi w:val="0"/>
        <w:adjustRightInd w:val="0"/>
        <w:snapToGrid/>
        <w:ind w:firstLine="482" w:firstLineChars="200"/>
        <w:textAlignment w:val="auto"/>
        <w:rPr>
          <w:rFonts w:hint="default" w:ascii="宋体" w:hAnsi="宋体" w:eastAsia="宋体" w:cs="宋体"/>
          <w:b/>
          <w:bCs/>
          <w:color w:val="auto"/>
          <w:kern w:val="0"/>
          <w:sz w:val="24"/>
          <w:szCs w:val="22"/>
          <w:highlight w:val="none"/>
          <w:lang w:val="en-US" w:eastAsia="zh-CN" w:bidi="ar-SA"/>
        </w:rPr>
      </w:pPr>
      <w:r>
        <w:rPr>
          <w:rFonts w:hint="eastAsia" w:ascii="宋体" w:hAnsi="宋体" w:eastAsia="宋体" w:cs="宋体"/>
          <w:b/>
          <w:bCs/>
          <w:color w:val="auto"/>
          <w:kern w:val="0"/>
          <w:sz w:val="24"/>
          <w:szCs w:val="22"/>
          <w:highlight w:val="none"/>
          <w:lang w:val="en-US" w:eastAsia="zh-CN" w:bidi="ar-SA"/>
        </w:rPr>
        <w:t>3.可为类似功能指</w:t>
      </w:r>
      <w:r>
        <w:rPr>
          <w:rFonts w:hint="eastAsia" w:ascii="宋体" w:hAnsi="宋体" w:cs="宋体"/>
          <w:b/>
          <w:bCs/>
          <w:color w:val="auto"/>
          <w:kern w:val="0"/>
          <w:sz w:val="24"/>
          <w:szCs w:val="22"/>
          <w:highlight w:val="none"/>
          <w:lang w:val="en-US" w:eastAsia="zh-CN" w:bidi="ar-SA"/>
        </w:rPr>
        <w:t>投标人投标产品具有</w:t>
      </w:r>
      <w:r>
        <w:rPr>
          <w:rFonts w:hint="eastAsia" w:ascii="宋体" w:hAnsi="宋体" w:eastAsia="宋体" w:cs="宋体"/>
          <w:b/>
          <w:bCs/>
          <w:color w:val="auto"/>
          <w:kern w:val="0"/>
          <w:sz w:val="24"/>
          <w:szCs w:val="22"/>
          <w:highlight w:val="none"/>
          <w:lang w:val="en-US" w:eastAsia="zh-CN" w:bidi="ar-SA"/>
        </w:rPr>
        <w:t>类似功能</w:t>
      </w:r>
      <w:r>
        <w:rPr>
          <w:rFonts w:hint="eastAsia" w:ascii="宋体" w:hAnsi="宋体" w:cs="宋体"/>
          <w:b/>
          <w:bCs/>
          <w:color w:val="auto"/>
          <w:kern w:val="0"/>
          <w:sz w:val="24"/>
          <w:szCs w:val="22"/>
          <w:highlight w:val="none"/>
          <w:lang w:val="en-US" w:eastAsia="zh-CN" w:bidi="ar-SA"/>
        </w:rPr>
        <w:t>，</w:t>
      </w:r>
      <w:r>
        <w:rPr>
          <w:rFonts w:hint="eastAsia" w:ascii="宋体" w:hAnsi="宋体" w:eastAsia="宋体" w:cs="宋体"/>
          <w:b/>
          <w:bCs/>
          <w:color w:val="auto"/>
          <w:kern w:val="0"/>
          <w:sz w:val="24"/>
          <w:szCs w:val="22"/>
          <w:highlight w:val="none"/>
          <w:lang w:val="en-US" w:eastAsia="zh-CN" w:bidi="ar-SA"/>
        </w:rPr>
        <w:t>并备注说明</w:t>
      </w:r>
      <w:r>
        <w:rPr>
          <w:rFonts w:hint="eastAsia" w:ascii="宋体" w:hAnsi="宋体" w:cs="宋体"/>
          <w:b/>
          <w:bCs/>
          <w:color w:val="auto"/>
          <w:kern w:val="0"/>
          <w:sz w:val="24"/>
          <w:szCs w:val="22"/>
          <w:highlight w:val="none"/>
          <w:lang w:val="en-US" w:eastAsia="zh-CN" w:bidi="ar-SA"/>
        </w:rPr>
        <w:t>该类似功能实现招标功能的描述。</w:t>
      </w:r>
    </w:p>
    <w:p>
      <w:pPr>
        <w:widowControl/>
        <w:spacing w:line="360" w:lineRule="auto"/>
        <w:jc w:val="left"/>
        <w:rPr>
          <w:rFonts w:ascii="宋体" w:hAnsi="宋体" w:cs="宋体"/>
          <w:b/>
          <w:bCs/>
          <w:kern w:val="0"/>
          <w:sz w:val="24"/>
          <w:szCs w:val="22"/>
        </w:rPr>
      </w:pPr>
      <w:r>
        <w:rPr>
          <w:rFonts w:hint="eastAsia" w:ascii="宋体" w:hAnsi="宋体" w:cs="宋体"/>
          <w:b/>
          <w:bCs/>
          <w:kern w:val="0"/>
          <w:sz w:val="24"/>
          <w:szCs w:val="22"/>
        </w:rPr>
        <w:t>四、技术要求</w:t>
      </w:r>
    </w:p>
    <w:p>
      <w:pPr>
        <w:widowControl/>
        <w:spacing w:line="360" w:lineRule="auto"/>
        <w:ind w:firstLine="480" w:firstLineChars="200"/>
        <w:jc w:val="left"/>
        <w:rPr>
          <w:rFonts w:ascii="宋体" w:hAnsi="宋体" w:cs="宋体"/>
          <w:kern w:val="0"/>
          <w:sz w:val="24"/>
          <w:szCs w:val="22"/>
        </w:rPr>
      </w:pPr>
      <w:r>
        <w:rPr>
          <w:rFonts w:hint="eastAsia" w:ascii="宋体" w:hAnsi="宋体" w:cs="宋体"/>
          <w:sz w:val="24"/>
          <w:lang w:eastAsia="zh-CN"/>
        </w:rPr>
        <w:t>台州市三梅中学网络及安全设备采购项目</w:t>
      </w:r>
      <w:r>
        <w:rPr>
          <w:rFonts w:hint="eastAsia" w:ascii="宋体" w:hAnsi="宋体" w:cs="宋体"/>
          <w:kern w:val="0"/>
          <w:sz w:val="24"/>
          <w:szCs w:val="22"/>
        </w:rPr>
        <w:t>，包括设备的供货、运输、安装、总体调试、技术培训、验收直至交付使用。</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1、招标内容及技术要求中有的条款已加粗、带★的形式强调,这些特别强调的条款是重要条款，将在评标过程中重点评审。</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2、投标方对每小项都必须按附件格式报价,含设备、材料、人工、安装调试、运费及税费等。业主方可根据实际情况对分项做相应的调整。</w:t>
      </w:r>
    </w:p>
    <w:p>
      <w:pPr>
        <w:spacing w:line="360" w:lineRule="auto"/>
        <w:ind w:firstLine="482" w:firstLineChars="200"/>
        <w:rPr>
          <w:rFonts w:hint="eastAsia" w:ascii="宋体" w:hAnsi="宋体" w:cs="仿宋"/>
          <w:b/>
          <w:bCs/>
          <w:sz w:val="24"/>
          <w:lang w:val="en-US" w:eastAsia="zh-CN"/>
        </w:rPr>
      </w:pPr>
      <w:r>
        <w:rPr>
          <w:rFonts w:hint="eastAsia" w:ascii="宋体" w:hAnsi="宋体" w:cs="仿宋"/>
          <w:b/>
          <w:bCs/>
          <w:sz w:val="24"/>
          <w:lang w:val="en-US" w:eastAsia="zh-CN"/>
        </w:rPr>
        <w:t>3、本项目属于“交钥匙”工程，即所提供的所有设备产品按招标方的要求采购，安装、调试等工作需要由中标方提供实施和不低于三年的免费维保服务及不低于三年的免费特征库升级，中标方须对设备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w:t>
      </w:r>
    </w:p>
    <w:p>
      <w:pPr>
        <w:spacing w:line="360" w:lineRule="auto"/>
        <w:ind w:firstLine="480" w:firstLineChars="200"/>
        <w:rPr>
          <w:rFonts w:hint="eastAsia" w:ascii="宋体" w:hAnsi="宋体" w:cs="仿宋"/>
          <w:sz w:val="24"/>
          <w:lang w:val="en-US" w:eastAsia="zh-CN"/>
        </w:rPr>
      </w:pPr>
      <w:r>
        <w:rPr>
          <w:rFonts w:hint="eastAsia" w:ascii="宋体" w:hAnsi="宋体" w:cs="仿宋"/>
          <w:sz w:val="24"/>
          <w:lang w:val="en-US" w:eastAsia="zh-CN"/>
        </w:rPr>
        <w:t>4、以上产品由采购人邀请相关人员参与共同验收，验收时需提供相应产品、设备的检测报告和合格证明。</w:t>
      </w:r>
    </w:p>
    <w:p>
      <w:pPr>
        <w:spacing w:line="360" w:lineRule="auto"/>
        <w:rPr>
          <w:rFonts w:ascii="宋体" w:hAnsi="宋体" w:cs="宋体"/>
          <w:b/>
          <w:sz w:val="24"/>
        </w:rPr>
      </w:pPr>
      <w:r>
        <w:rPr>
          <w:rFonts w:hint="eastAsia" w:ascii="宋体" w:hAnsi="宋体" w:cs="宋体"/>
          <w:b/>
          <w:sz w:val="24"/>
        </w:rPr>
        <w:t>五、</w:t>
      </w:r>
      <w:r>
        <w:rPr>
          <w:rFonts w:hint="eastAsia" w:ascii="宋体" w:hAnsi="宋体" w:cs="宋体"/>
          <w:b/>
          <w:sz w:val="24"/>
          <w:lang w:val="en-US" w:eastAsia="zh-CN"/>
        </w:rPr>
        <w:t>商务</w:t>
      </w:r>
      <w:r>
        <w:rPr>
          <w:rFonts w:hint="eastAsia" w:ascii="宋体" w:hAnsi="宋体" w:cs="宋体"/>
          <w:b/>
          <w:sz w:val="24"/>
        </w:rPr>
        <w:t>要求：</w:t>
      </w:r>
    </w:p>
    <w:p>
      <w:pPr>
        <w:pStyle w:val="62"/>
        <w:spacing w:line="360" w:lineRule="auto"/>
        <w:ind w:firstLine="482"/>
        <w:rPr>
          <w:rFonts w:hint="default" w:ascii="宋体" w:hAnsi="宋体" w:cs="宋体"/>
          <w:b/>
          <w:sz w:val="24"/>
          <w:lang w:val="en-US" w:eastAsia="zh-CN"/>
        </w:rPr>
      </w:pPr>
      <w:r>
        <w:rPr>
          <w:rFonts w:hint="eastAsia" w:ascii="宋体" w:hAnsi="宋体" w:cs="宋体"/>
          <w:b/>
          <w:sz w:val="24"/>
          <w:lang w:val="en-US" w:eastAsia="zh-CN"/>
        </w:rPr>
        <w:t>1、</w:t>
      </w:r>
      <w:r>
        <w:rPr>
          <w:rFonts w:hint="eastAsia" w:ascii="宋体" w:hAnsi="宋体" w:cs="仿宋"/>
          <w:b/>
          <w:bCs/>
          <w:sz w:val="24"/>
        </w:rPr>
        <w:t>交货时间及地点：</w:t>
      </w:r>
      <w:r>
        <w:rPr>
          <w:rFonts w:hint="eastAsia" w:ascii="宋体" w:hAnsi="宋体" w:cs="宋体"/>
          <w:color w:val="auto"/>
          <w:sz w:val="24"/>
        </w:rPr>
        <w:t>合同签订后60天内完成供货、安装及调试，施工时须配合总包及智能化安装进度</w:t>
      </w:r>
      <w:r>
        <w:rPr>
          <w:rFonts w:hint="eastAsia" w:ascii="宋体" w:hAnsi="宋体" w:cs="仿宋"/>
          <w:color w:val="auto"/>
          <w:sz w:val="24"/>
        </w:rPr>
        <w:t>。在安装、调试、检验时，应派遣授权委托代理人参加并加以指导，如发现质量问题，授权委托代理人必须负责处理至采购人满意为止；交货地点：业主方指定地点。</w:t>
      </w:r>
    </w:p>
    <w:p>
      <w:pPr>
        <w:pStyle w:val="62"/>
        <w:spacing w:line="360" w:lineRule="auto"/>
        <w:ind w:firstLine="482"/>
        <w:rPr>
          <w:rFonts w:hint="eastAsia" w:ascii="宋体" w:hAnsi="宋体" w:cs="仿宋"/>
          <w:color w:val="000000" w:themeColor="text1"/>
          <w:sz w:val="24"/>
          <w14:textFill>
            <w14:solidFill>
              <w14:schemeClr w14:val="tx1"/>
            </w14:solidFill>
          </w14:textFill>
        </w:rPr>
      </w:pPr>
      <w:r>
        <w:rPr>
          <w:rFonts w:hint="eastAsia" w:ascii="宋体" w:hAnsi="宋体" w:cs="宋体"/>
          <w:b/>
          <w:sz w:val="24"/>
          <w:lang w:val="en-US" w:eastAsia="zh-CN"/>
        </w:rPr>
        <w:t>2、质保期要求：</w:t>
      </w:r>
      <w:r>
        <w:rPr>
          <w:rFonts w:hint="eastAsia" w:ascii="宋体" w:hAnsi="宋体" w:cs="仿宋"/>
          <w:color w:val="000000" w:themeColor="text1"/>
          <w:sz w:val="24"/>
          <w:lang w:val="en-US" w:eastAsia="zh-CN"/>
          <w14:textFill>
            <w14:solidFill>
              <w14:schemeClr w14:val="tx1"/>
            </w14:solidFill>
          </w14:textFill>
        </w:rPr>
        <w:t>免费</w:t>
      </w:r>
      <w:r>
        <w:rPr>
          <w:rFonts w:hint="eastAsia" w:ascii="宋体" w:hAnsi="宋体" w:cs="仿宋"/>
          <w:color w:val="000000" w:themeColor="text1"/>
          <w:sz w:val="24"/>
          <w14:textFill>
            <w14:solidFill>
              <w14:schemeClr w14:val="tx1"/>
            </w14:solidFill>
          </w14:textFill>
        </w:rPr>
        <w:t>质保期三年，时间从通过最终验收通过后算起，其中试运行时间至少3个月。具体设备原厂商质保期为3年以上的，根据该设备原厂商质保期执行。</w:t>
      </w:r>
    </w:p>
    <w:p>
      <w:pPr>
        <w:pStyle w:val="62"/>
        <w:spacing w:line="360" w:lineRule="auto"/>
        <w:ind w:firstLine="482"/>
        <w:rPr>
          <w:rFonts w:hint="eastAsia" w:ascii="宋体" w:hAnsi="宋体" w:eastAsia="宋体" w:cs="仿宋"/>
          <w:color w:val="000000" w:themeColor="text1"/>
          <w:sz w:val="24"/>
          <w:lang w:val="en-US" w:eastAsia="zh-CN"/>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3、特征库升级要求：下一代防火墙</w:t>
      </w:r>
      <w:r>
        <w:rPr>
          <w:rFonts w:hint="eastAsia" w:ascii="宋体" w:hAnsi="宋体" w:cs="仿宋"/>
          <w:color w:val="000000" w:themeColor="text1"/>
          <w:sz w:val="24"/>
          <w14:textFill>
            <w14:solidFill>
              <w14:schemeClr w14:val="tx1"/>
            </w14:solidFill>
          </w14:textFill>
        </w:rPr>
        <w:t>实</w:t>
      </w:r>
      <w:r>
        <w:rPr>
          <w:rFonts w:hint="eastAsia" w:ascii="宋体" w:hAnsi="宋体" w:cs="仿宋"/>
          <w:color w:val="000000" w:themeColor="text1"/>
          <w:sz w:val="24"/>
          <w:lang w:val="en-US" w:eastAsia="zh-CN"/>
          <w14:textFill>
            <w14:solidFill>
              <w14:schemeClr w14:val="tx1"/>
            </w14:solidFill>
          </w14:textFill>
        </w:rPr>
        <w:t>配备</w:t>
      </w:r>
      <w:r>
        <w:rPr>
          <w:rFonts w:hint="eastAsia" w:ascii="宋体" w:hAnsi="宋体" w:cs="仿宋"/>
          <w:color w:val="000000" w:themeColor="text1"/>
          <w:sz w:val="24"/>
          <w14:textFill>
            <w14:solidFill>
              <w14:schemeClr w14:val="tx1"/>
            </w14:solidFill>
          </w14:textFill>
        </w:rPr>
        <w:t>侵防御、防病毒、应用识别特征库三年升级授权</w:t>
      </w:r>
      <w:r>
        <w:rPr>
          <w:rFonts w:hint="eastAsia" w:ascii="宋体" w:hAnsi="宋体" w:cs="仿宋"/>
          <w:color w:val="000000" w:themeColor="text1"/>
          <w:sz w:val="24"/>
          <w:lang w:eastAsia="zh-CN"/>
          <w14:textFill>
            <w14:solidFill>
              <w14:schemeClr w14:val="tx1"/>
            </w14:solidFill>
          </w14:textFill>
        </w:rPr>
        <w:t>，</w:t>
      </w:r>
      <w:r>
        <w:rPr>
          <w:rFonts w:hint="eastAsia" w:ascii="宋体" w:hAnsi="宋体" w:cs="仿宋"/>
          <w:color w:val="000000" w:themeColor="text1"/>
          <w:sz w:val="24"/>
          <w:lang w:val="en-US" w:eastAsia="zh-CN"/>
          <w14:textFill>
            <w14:solidFill>
              <w14:schemeClr w14:val="tx1"/>
            </w14:solidFill>
          </w14:textFill>
        </w:rPr>
        <w:t>上网行为管理器配备</w:t>
      </w:r>
      <w:r>
        <w:rPr>
          <w:rFonts w:hint="eastAsia" w:ascii="宋体" w:hAnsi="宋体" w:cs="仿宋"/>
          <w:color w:val="000000" w:themeColor="text1"/>
          <w:sz w:val="24"/>
          <w14:textFill>
            <w14:solidFill>
              <w14:schemeClr w14:val="tx1"/>
            </w14:solidFill>
          </w14:textFill>
        </w:rPr>
        <w:t>ACG特征库升级服务授权</w:t>
      </w:r>
      <w:r>
        <w:rPr>
          <w:rFonts w:hint="eastAsia" w:ascii="宋体" w:hAnsi="宋体" w:cs="仿宋"/>
          <w:color w:val="000000" w:themeColor="text1"/>
          <w:sz w:val="24"/>
          <w:lang w:eastAsia="zh-CN"/>
          <w14:textFill>
            <w14:solidFill>
              <w14:schemeClr w14:val="tx1"/>
            </w14:solidFill>
          </w14:textFill>
        </w:rPr>
        <w:t>。</w:t>
      </w:r>
    </w:p>
    <w:p>
      <w:pPr>
        <w:pStyle w:val="62"/>
        <w:spacing w:line="360" w:lineRule="auto"/>
        <w:ind w:firstLine="482"/>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、售后服务</w:t>
      </w:r>
    </w:p>
    <w:p>
      <w:pPr>
        <w:spacing w:line="360" w:lineRule="auto"/>
        <w:ind w:firstLine="480" w:firstLineChars="200"/>
        <w:rPr>
          <w:rFonts w:hint="eastAsia" w:ascii="宋体" w:hAnsi="宋体" w:cs="仿宋"/>
          <w:bCs/>
          <w:sz w:val="24"/>
          <w:lang w:eastAsia="zh-CN"/>
        </w:rPr>
      </w:pPr>
      <w:r>
        <w:rPr>
          <w:rFonts w:hint="eastAsia" w:ascii="宋体" w:hAnsi="宋体" w:cs="仿宋"/>
          <w:sz w:val="24"/>
          <w:lang w:val="en-US" w:eastAsia="zh-CN"/>
        </w:rPr>
        <w:t>4</w:t>
      </w:r>
      <w:r>
        <w:rPr>
          <w:rFonts w:hint="eastAsia" w:ascii="宋体" w:hAnsi="宋体" w:cs="仿宋"/>
          <w:sz w:val="24"/>
        </w:rPr>
        <w:t>.1</w:t>
      </w:r>
      <w:r>
        <w:rPr>
          <w:rFonts w:hint="eastAsia" w:ascii="宋体" w:hAnsi="宋体" w:cs="仿宋"/>
          <w:bCs/>
          <w:sz w:val="24"/>
        </w:rPr>
        <w:t>提供产品保修卡，并按厂家产品规定保修期限及内容以及供应商的其它承诺条款实行保修</w:t>
      </w:r>
      <w:r>
        <w:rPr>
          <w:rFonts w:hint="eastAsia" w:ascii="宋体" w:hAnsi="宋体" w:cs="仿宋"/>
          <w:bCs/>
          <w:sz w:val="24"/>
          <w:lang w:eastAsia="zh-CN"/>
        </w:rPr>
        <w:t>；</w:t>
      </w:r>
    </w:p>
    <w:p>
      <w:pPr>
        <w:spacing w:line="360" w:lineRule="auto"/>
        <w:ind w:firstLine="480" w:firstLineChars="200"/>
        <w:rPr>
          <w:rFonts w:hint="eastAsia" w:ascii="宋体" w:hAnsi="宋体" w:cs="仿宋"/>
          <w:sz w:val="24"/>
        </w:rPr>
      </w:pPr>
      <w:r>
        <w:rPr>
          <w:rFonts w:hint="eastAsia" w:ascii="宋体" w:hAnsi="宋体" w:cs="仿宋"/>
          <w:bCs/>
          <w:sz w:val="24"/>
          <w:lang w:val="en-US" w:eastAsia="zh-CN"/>
        </w:rPr>
        <w:t>4.2</w:t>
      </w:r>
      <w:r>
        <w:rPr>
          <w:rFonts w:hint="eastAsia" w:ascii="宋体" w:hAnsi="宋体" w:cs="仿宋"/>
          <w:bCs/>
          <w:sz w:val="24"/>
        </w:rPr>
        <w:t>投标人需承诺提供7×24技术支持，对于影响网络正常运行的严重故障，投标人工程师及其它相关技术人员必须在1小时内赶到现场，查找原因，提出解决方案，并工作直至故障修妥完全恢复正常服务为止，一般要求保证系统在12小时之内修复，并需要提供确保承诺实现的措施；</w:t>
      </w:r>
    </w:p>
    <w:p>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sz w:val="24"/>
          <w:lang w:val="en-US" w:eastAsia="zh-CN"/>
        </w:rPr>
        <w:t>4.3</w:t>
      </w:r>
      <w:r>
        <w:rPr>
          <w:rFonts w:hint="eastAsia" w:ascii="宋体" w:hAnsi="宋体" w:cs="仿宋"/>
          <w:bCs/>
          <w:sz w:val="24"/>
        </w:rPr>
        <w:t>投标人需对机房线路进行整理、分类、标注，提高机房今后解决故障的时</w:t>
      </w:r>
      <w:r>
        <w:rPr>
          <w:rFonts w:hint="eastAsia" w:ascii="宋体" w:hAnsi="宋体" w:cs="仿宋"/>
          <w:bCs/>
          <w:color w:val="auto"/>
          <w:sz w:val="24"/>
        </w:rPr>
        <w:t>效性</w:t>
      </w:r>
      <w:r>
        <w:rPr>
          <w:rFonts w:hint="eastAsia" w:ascii="宋体" w:hAnsi="宋体" w:cs="仿宋"/>
          <w:bCs/>
          <w:color w:val="auto"/>
          <w:sz w:val="24"/>
          <w:highlight w:val="none"/>
        </w:rPr>
        <w:t>、准确性</w:t>
      </w:r>
      <w:r>
        <w:rPr>
          <w:rFonts w:hint="eastAsia" w:ascii="宋体" w:hAnsi="宋体" w:cs="仿宋"/>
          <w:bCs/>
          <w:color w:val="auto"/>
          <w:sz w:val="24"/>
          <w:highlight w:val="none"/>
          <w:lang w:eastAsia="zh-CN"/>
        </w:rPr>
        <w:t>；</w:t>
      </w:r>
    </w:p>
    <w:p>
      <w:pPr>
        <w:spacing w:line="360" w:lineRule="auto"/>
        <w:ind w:firstLine="480" w:firstLineChars="200"/>
        <w:rPr>
          <w:rFonts w:hint="eastAsia" w:ascii="宋体" w:hAnsi="宋体" w:cs="仿宋"/>
          <w:color w:val="auto"/>
          <w:sz w:val="24"/>
          <w:highlight w:val="none"/>
          <w:lang w:val="en-US"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4投标人应承诺在货物验收合格后，以优惠价格供应零配件。</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投标人必须明确作出服务承诺，详细阐述维修、维护内容及服务方式和范围。</w:t>
      </w:r>
    </w:p>
    <w:p>
      <w:pPr>
        <w:adjustRightInd w:val="0"/>
        <w:snapToGrid w:val="0"/>
        <w:spacing w:line="360" w:lineRule="auto"/>
        <w:ind w:firstLine="482" w:firstLineChars="200"/>
        <w:rPr>
          <w:rFonts w:hint="eastAsia" w:ascii="宋体" w:hAnsi="宋体" w:eastAsia="宋体" w:cs="仿宋"/>
          <w:b/>
          <w:bCs/>
          <w:color w:val="auto"/>
          <w:sz w:val="24"/>
          <w:highlight w:val="none"/>
          <w:lang w:eastAsia="zh-CN"/>
        </w:rPr>
      </w:pPr>
      <w:r>
        <w:rPr>
          <w:rFonts w:hint="eastAsia" w:ascii="宋体" w:hAnsi="宋体" w:cs="仿宋"/>
          <w:b/>
          <w:bCs/>
          <w:color w:val="auto"/>
          <w:sz w:val="24"/>
          <w:highlight w:val="none"/>
          <w:lang w:val="en-US" w:eastAsia="zh-CN"/>
        </w:rPr>
        <w:t>5</w:t>
      </w:r>
      <w:r>
        <w:rPr>
          <w:rFonts w:hint="eastAsia" w:ascii="宋体" w:hAnsi="宋体" w:cs="仿宋"/>
          <w:b/>
          <w:bCs/>
          <w:color w:val="auto"/>
          <w:sz w:val="24"/>
          <w:highlight w:val="none"/>
        </w:rPr>
        <w:t>、履约保证金：</w:t>
      </w:r>
      <w:r>
        <w:rPr>
          <w:rFonts w:hint="eastAsia" w:cs="宋体"/>
          <w:color w:val="auto"/>
          <w:sz w:val="24"/>
          <w:highlight w:val="none"/>
        </w:rPr>
        <w:t>中标方在合同签订前，需向业主方提供合同总金额的</w:t>
      </w:r>
      <w:r>
        <w:rPr>
          <w:rFonts w:cs="宋体"/>
          <w:color w:val="auto"/>
          <w:sz w:val="24"/>
          <w:highlight w:val="none"/>
          <w:u w:val="single"/>
        </w:rPr>
        <w:t>1</w:t>
      </w:r>
      <w:r>
        <w:rPr>
          <w:rFonts w:hint="eastAsia" w:cs="宋体"/>
          <w:color w:val="auto"/>
          <w:sz w:val="24"/>
          <w:highlight w:val="none"/>
          <w:u w:val="single"/>
        </w:rPr>
        <w:t>%</w:t>
      </w:r>
      <w:r>
        <w:rPr>
          <w:rFonts w:hint="eastAsia" w:cs="宋体"/>
          <w:color w:val="auto"/>
          <w:sz w:val="24"/>
          <w:highlight w:val="none"/>
        </w:rPr>
        <w:t>为履约保证金。中标方以银行、保险公司出具保函形式提交履约保证金</w:t>
      </w:r>
      <w:r>
        <w:rPr>
          <w:rFonts w:hint="eastAsia" w:cs="宋体"/>
          <w:color w:val="auto"/>
          <w:sz w:val="24"/>
          <w:highlight w:val="none"/>
          <w:lang w:eastAsia="zh-CN"/>
        </w:rPr>
        <w:t>。</w:t>
      </w:r>
    </w:p>
    <w:p>
      <w:pPr>
        <w:adjustRightInd w:val="0"/>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lang w:val="en-US" w:eastAsia="zh-CN"/>
        </w:rPr>
        <w:t>6</w:t>
      </w:r>
      <w:r>
        <w:rPr>
          <w:rFonts w:hint="eastAsia" w:ascii="宋体" w:hAnsi="宋体" w:cs="仿宋"/>
          <w:b/>
          <w:bCs/>
          <w:color w:val="auto"/>
          <w:sz w:val="24"/>
          <w:highlight w:val="none"/>
        </w:rPr>
        <w:t>、付款方式：</w:t>
      </w:r>
    </w:p>
    <w:p>
      <w:pPr>
        <w:adjustRightInd w:val="0"/>
        <w:snapToGrid w:val="0"/>
        <w:spacing w:line="360" w:lineRule="auto"/>
        <w:ind w:firstLine="480" w:firstLineChars="200"/>
        <w:rPr>
          <w:rFonts w:cs="宋体"/>
          <w:sz w:val="24"/>
          <w:highlight w:val="none"/>
        </w:rPr>
      </w:pPr>
      <w:r>
        <w:rPr>
          <w:rFonts w:hint="eastAsia" w:cs="宋体"/>
          <w:color w:val="auto"/>
          <w:sz w:val="24"/>
          <w:highlight w:val="none"/>
          <w:lang w:val="en-US" w:eastAsia="zh-CN"/>
        </w:rPr>
        <w:t>6.1</w:t>
      </w:r>
      <w:r>
        <w:rPr>
          <w:rFonts w:hint="eastAsia" w:cs="宋体"/>
          <w:color w:val="auto"/>
          <w:sz w:val="24"/>
          <w:highlight w:val="none"/>
        </w:rPr>
        <w:t>合同生效后7个工作日内向</w:t>
      </w:r>
      <w:r>
        <w:rPr>
          <w:rFonts w:hint="eastAsia" w:cs="宋体"/>
          <w:color w:val="auto"/>
          <w:sz w:val="24"/>
          <w:highlight w:val="none"/>
          <w:lang w:val="en-US" w:eastAsia="zh-CN"/>
        </w:rPr>
        <w:t>乙方</w:t>
      </w:r>
      <w:r>
        <w:rPr>
          <w:rFonts w:hint="eastAsia" w:cs="宋体"/>
          <w:color w:val="auto"/>
          <w:sz w:val="24"/>
          <w:highlight w:val="none"/>
        </w:rPr>
        <w:t>支付合同总价款的40 %作为预付款；</w:t>
      </w:r>
      <w:r>
        <w:rPr>
          <w:rFonts w:hint="eastAsia" w:ascii="宋体" w:hAnsi="宋体" w:cs="宋体"/>
          <w:color w:val="auto"/>
          <w:kern w:val="0"/>
          <w:sz w:val="24"/>
          <w:highlight w:val="none"/>
        </w:rPr>
        <w:t>设备到货经验收无误后支付40%</w:t>
      </w:r>
      <w:r>
        <w:rPr>
          <w:rFonts w:hint="eastAsia" w:cs="宋体"/>
          <w:color w:val="auto"/>
          <w:sz w:val="24"/>
          <w:highlight w:val="none"/>
        </w:rPr>
        <w:t>；最终验收合格后，支付合同总价款的20%</w:t>
      </w:r>
      <w:r>
        <w:rPr>
          <w:rFonts w:hint="eastAsia" w:cs="宋体"/>
          <w:sz w:val="24"/>
          <w:highlight w:val="none"/>
        </w:rPr>
        <w:t>。</w:t>
      </w:r>
    </w:p>
    <w:p>
      <w:pPr>
        <w:adjustRightInd w:val="0"/>
        <w:snapToGrid w:val="0"/>
        <w:spacing w:line="360" w:lineRule="auto"/>
        <w:ind w:firstLine="480" w:firstLineChars="200"/>
        <w:rPr>
          <w:rFonts w:cs="宋体"/>
          <w:sz w:val="24"/>
          <w:highlight w:val="none"/>
        </w:rPr>
      </w:pPr>
      <w:r>
        <w:rPr>
          <w:rFonts w:hint="eastAsia" w:cs="宋体"/>
          <w:sz w:val="24"/>
          <w:highlight w:val="none"/>
          <w:lang w:val="en-US" w:eastAsia="zh-CN"/>
        </w:rPr>
        <w:t>6.</w:t>
      </w:r>
      <w:r>
        <w:rPr>
          <w:rFonts w:hint="eastAsia" w:cs="宋体"/>
          <w:sz w:val="24"/>
          <w:highlight w:val="none"/>
        </w:rPr>
        <w:t>2当采购数量与实际使用数量不一致时，乙方应根据实际使用量供货，合同的最终结算金额按实际使用量乘以成交单价进行计算。</w:t>
      </w:r>
    </w:p>
    <w:p>
      <w:pPr>
        <w:adjustRightInd w:val="0"/>
        <w:snapToGrid w:val="0"/>
        <w:spacing w:line="360" w:lineRule="auto"/>
        <w:ind w:firstLine="480" w:firstLineChars="200"/>
        <w:rPr>
          <w:rFonts w:hint="eastAsia" w:cs="宋体"/>
          <w:sz w:val="24"/>
          <w:highlight w:val="none"/>
        </w:rPr>
      </w:pPr>
      <w:r>
        <w:rPr>
          <w:rFonts w:hint="eastAsia" w:cs="宋体"/>
          <w:sz w:val="24"/>
          <w:highlight w:val="none"/>
          <w:lang w:val="en-US" w:eastAsia="zh-CN"/>
        </w:rPr>
        <w:t>6.</w:t>
      </w:r>
      <w:r>
        <w:rPr>
          <w:rFonts w:hint="eastAsia" w:cs="宋体"/>
          <w:sz w:val="24"/>
          <w:highlight w:val="none"/>
        </w:rPr>
        <w:t>3甲方付款前，乙方应向甲方开具等额有效的增值税发票，甲方未收到发票的，有权不予支付相应款项直至乙方提供合格发票，并不承担延迟付款责任。发票认证通过是付款的必要前提之一。</w:t>
      </w:r>
    </w:p>
    <w:p>
      <w:pPr>
        <w:pStyle w:val="62"/>
        <w:spacing w:line="360" w:lineRule="auto"/>
        <w:ind w:firstLine="482"/>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、其他要求</w:t>
      </w:r>
    </w:p>
    <w:p>
      <w:pPr>
        <w:spacing w:line="360" w:lineRule="auto"/>
        <w:ind w:firstLine="480" w:firstLineChars="200"/>
        <w:rPr>
          <w:rFonts w:ascii="宋体" w:hAnsi="宋体" w:cs="仿宋"/>
          <w:sz w:val="24"/>
          <w:highlight w:val="none"/>
        </w:rPr>
      </w:pPr>
      <w:r>
        <w:rPr>
          <w:rFonts w:hint="eastAsia" w:ascii="宋体" w:hAnsi="宋体" w:cs="仿宋"/>
          <w:sz w:val="24"/>
          <w:highlight w:val="none"/>
          <w:lang w:val="en-US" w:eastAsia="zh-CN"/>
        </w:rPr>
        <w:t>7</w:t>
      </w:r>
      <w:r>
        <w:rPr>
          <w:rFonts w:hint="eastAsia" w:ascii="宋体" w:hAnsi="宋体" w:cs="仿宋"/>
          <w:sz w:val="24"/>
          <w:highlight w:val="none"/>
        </w:rPr>
        <w:t>.1卖方应保证，买方在中华人民共和国使用该产品任何一部分时，免受第三方提出的侵犯其专利权、商标权或其他知识产权的起诉。如发生此类纠纷，由卖方承担一切责任。</w:t>
      </w:r>
    </w:p>
    <w:p>
      <w:pPr>
        <w:spacing w:line="360" w:lineRule="auto"/>
        <w:ind w:firstLine="480" w:firstLineChars="200"/>
        <w:rPr>
          <w:rFonts w:ascii="宋体" w:hAnsi="宋体" w:cs="仿宋"/>
          <w:sz w:val="24"/>
          <w:highlight w:val="none"/>
        </w:rPr>
      </w:pPr>
      <w:r>
        <w:rPr>
          <w:rFonts w:hint="eastAsia" w:ascii="宋体" w:hAnsi="宋体" w:cs="仿宋"/>
          <w:sz w:val="24"/>
          <w:highlight w:val="none"/>
          <w:lang w:val="en-US" w:eastAsia="zh-CN"/>
        </w:rPr>
        <w:t>7.</w:t>
      </w:r>
      <w:r>
        <w:rPr>
          <w:rFonts w:hint="eastAsia" w:ascii="宋体" w:hAnsi="宋体" w:cs="仿宋"/>
          <w:sz w:val="24"/>
          <w:highlight w:val="none"/>
        </w:rPr>
        <w:t>2卖方为执行本合同而提供的技术资料的使用权归买方所有。</w:t>
      </w:r>
    </w:p>
    <w:p>
      <w:pPr>
        <w:spacing w:line="360" w:lineRule="auto"/>
        <w:ind w:firstLine="480" w:firstLineChars="200"/>
        <w:rPr>
          <w:rFonts w:hint="eastAsia"/>
        </w:rPr>
      </w:pPr>
      <w:r>
        <w:rPr>
          <w:rFonts w:hint="eastAsia" w:ascii="宋体" w:hAnsi="宋体" w:cs="仿宋"/>
          <w:sz w:val="24"/>
          <w:highlight w:val="none"/>
          <w:lang w:val="en-US" w:eastAsia="zh-CN"/>
        </w:rPr>
        <w:t>7</w:t>
      </w:r>
      <w:r>
        <w:rPr>
          <w:rFonts w:hint="eastAsia" w:ascii="宋体" w:hAnsi="宋体" w:cs="仿宋"/>
          <w:sz w:val="24"/>
          <w:highlight w:val="none"/>
        </w:rPr>
        <w:t>.3投标人必须承诺</w:t>
      </w:r>
      <w:r>
        <w:rPr>
          <w:rFonts w:hint="eastAsia" w:ascii="宋体" w:hAnsi="宋体" w:cs="仿宋"/>
          <w:sz w:val="24"/>
          <w:highlight w:val="none"/>
          <w:lang w:val="en-US" w:eastAsia="zh-CN"/>
        </w:rPr>
        <w:t>响应</w:t>
      </w:r>
      <w:r>
        <w:rPr>
          <w:rFonts w:hint="eastAsia" w:ascii="宋体" w:hAnsi="宋体" w:cs="仿宋"/>
          <w:sz w:val="24"/>
          <w:highlight w:val="none"/>
        </w:rPr>
        <w:t>招标文件中提出的全部技术要求；如果以其中某些条款不响应时，应在投标文件中逐条列出，未列</w:t>
      </w:r>
      <w:r>
        <w:rPr>
          <w:rFonts w:hint="eastAsia" w:ascii="宋体" w:hAnsi="宋体" w:cs="仿宋"/>
          <w:sz w:val="24"/>
        </w:rPr>
        <w:t>出的视同响应。</w:t>
      </w:r>
    </w:p>
    <w:p>
      <w:pPr>
        <w:keepNext/>
        <w:spacing w:line="360" w:lineRule="auto"/>
        <w:ind w:right="210" w:rightChars="100"/>
        <w:outlineLvl w:val="1"/>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、相关说明</w:t>
      </w:r>
    </w:p>
    <w:p>
      <w:pPr>
        <w:autoSpaceDE w:val="0"/>
        <w:autoSpaceDN w:val="0"/>
        <w:adjustRightInd w:val="0"/>
        <w:snapToGrid w:val="0"/>
        <w:spacing w:line="360" w:lineRule="auto"/>
        <w:ind w:firstLine="481"/>
        <w:rPr>
          <w:rFonts w:ascii="宋体" w:hAnsi="宋体" w:cs="宋体"/>
          <w:sz w:val="24"/>
        </w:rPr>
      </w:pPr>
      <w:r>
        <w:rPr>
          <w:rFonts w:ascii="宋体" w:hAnsi="宋体" w:cs="宋体"/>
          <w:b/>
          <w:sz w:val="24"/>
        </w:rPr>
        <w:t>1</w:t>
      </w:r>
      <w:r>
        <w:rPr>
          <w:rFonts w:hint="eastAsia" w:ascii="宋体" w:hAnsi="宋体" w:cs="宋体"/>
          <w:b/>
          <w:sz w:val="24"/>
        </w:rPr>
        <w:t>、现场勘察：</w:t>
      </w:r>
      <w:r>
        <w:rPr>
          <w:rFonts w:hint="eastAsia" w:ascii="宋体" w:hAnsi="宋体" w:cs="宋体"/>
          <w:sz w:val="24"/>
        </w:rPr>
        <w:t>本项目不组织答疑会或现场踏勘，如投标人认为有必要可自行前往现场踏勘。</w:t>
      </w:r>
    </w:p>
    <w:p>
      <w:pPr>
        <w:autoSpaceDE w:val="0"/>
        <w:autoSpaceDN w:val="0"/>
        <w:adjustRightInd w:val="0"/>
        <w:snapToGrid w:val="0"/>
        <w:spacing w:line="360" w:lineRule="auto"/>
        <w:ind w:firstLine="481"/>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本采购项目的核心产品为：</w:t>
      </w:r>
      <w:r>
        <w:rPr>
          <w:rFonts w:hint="eastAsia" w:ascii="宋体" w:hAnsi="宋体" w:cs="宋体"/>
          <w:sz w:val="24"/>
          <w:lang w:val="en-US" w:eastAsia="zh-CN"/>
        </w:rPr>
        <w:t>核心交换机</w:t>
      </w:r>
      <w:r>
        <w:rPr>
          <w:rFonts w:hint="eastAsia" w:ascii="宋体" w:hAnsi="宋体" w:cs="宋体"/>
          <w:sz w:val="24"/>
        </w:rPr>
        <w:t>。</w:t>
      </w:r>
    </w:p>
    <w:p>
      <w:pPr>
        <w:autoSpaceDE w:val="0"/>
        <w:autoSpaceDN w:val="0"/>
        <w:adjustRightInd w:val="0"/>
        <w:snapToGrid w:val="0"/>
        <w:spacing w:line="360" w:lineRule="auto"/>
        <w:ind w:firstLine="481"/>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本采购标的对应的中小企业划分标准所属行业为：工业。</w:t>
      </w:r>
    </w:p>
    <w:p>
      <w:pPr>
        <w:pStyle w:val="15"/>
        <w:rPr>
          <w:rFonts w:ascii="宋体" w:hAnsi="宋体" w:cs="宋体"/>
          <w:b/>
          <w:bCs/>
          <w:szCs w:val="21"/>
        </w:rPr>
      </w:pPr>
    </w:p>
    <w:p>
      <w:bookmarkStart w:id="38" w:name="_GoBack"/>
      <w:bookmarkEnd w:id="38"/>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政府采购合同主要条款指引</w:t>
      </w:r>
    </w:p>
    <w:p>
      <w:pPr>
        <w:pStyle w:val="27"/>
        <w:snapToGrid w:val="0"/>
        <w:spacing w:before="120" w:after="120" w:line="360" w:lineRule="auto"/>
        <w:rPr>
          <w:rFonts w:hAnsi="宋体" w:cs="宋体"/>
          <w:color w:val="000000"/>
          <w:sz w:val="24"/>
        </w:rPr>
      </w:pPr>
      <w:r>
        <w:rPr>
          <w:rFonts w:hint="eastAsia" w:hAnsi="宋体" w:cs="宋体"/>
          <w:color w:val="000000"/>
          <w:sz w:val="24"/>
        </w:rPr>
        <w:t xml:space="preserve">甲方：（采购单位）                                                          </w:t>
      </w:r>
    </w:p>
    <w:p>
      <w:pPr>
        <w:pStyle w:val="27"/>
        <w:snapToGrid w:val="0"/>
        <w:spacing w:before="120" w:after="120" w:line="360" w:lineRule="auto"/>
        <w:rPr>
          <w:rFonts w:hAnsi="宋体" w:cs="宋体"/>
          <w:color w:val="000000"/>
          <w:sz w:val="24"/>
        </w:rPr>
      </w:pPr>
      <w:r>
        <w:rPr>
          <w:rFonts w:hint="eastAsia" w:hAnsi="宋体" w:cs="宋体"/>
          <w:color w:val="000000"/>
          <w:sz w:val="24"/>
        </w:rPr>
        <w:t xml:space="preserve">乙方：（中标供应商）                          </w:t>
      </w:r>
    </w:p>
    <w:p>
      <w:pPr>
        <w:widowControl/>
        <w:shd w:val="clear" w:color="auto" w:fill="FFFFFF"/>
        <w:spacing w:line="375" w:lineRule="atLeast"/>
        <w:ind w:firstLine="480" w:firstLineChars="200"/>
        <w:jc w:val="left"/>
        <w:rPr>
          <w:rFonts w:ascii="宋体" w:hAnsi="宋体" w:cs="宋体"/>
          <w:sz w:val="24"/>
        </w:rPr>
      </w:pPr>
      <w:r>
        <w:rPr>
          <w:rFonts w:hint="eastAsia" w:ascii="宋体" w:hAnsi="宋体" w:cs="宋体"/>
          <w:sz w:val="24"/>
        </w:rPr>
        <w:t>甲、乙双方根据</w:t>
      </w:r>
      <w:r>
        <w:rPr>
          <w:rFonts w:hint="eastAsia" w:ascii="宋体" w:hAnsi="宋体" w:cs="宋体"/>
          <w:b/>
          <w:bCs/>
          <w:sz w:val="24"/>
          <w:u w:val="single"/>
        </w:rPr>
        <w:t xml:space="preserve">      </w:t>
      </w:r>
      <w:r>
        <w:rPr>
          <w:rFonts w:hint="eastAsia" w:ascii="宋体" w:hAnsi="宋体" w:cs="宋体"/>
          <w:sz w:val="24"/>
        </w:rPr>
        <w:t>公开招标的结果，签署本合同。</w:t>
      </w:r>
    </w:p>
    <w:p>
      <w:pPr>
        <w:numPr>
          <w:ilvl w:val="0"/>
          <w:numId w:val="27"/>
        </w:numPr>
        <w:spacing w:line="360" w:lineRule="auto"/>
        <w:outlineLvl w:val="1"/>
        <w:rPr>
          <w:rFonts w:ascii="宋体"/>
          <w:b/>
          <w:color w:val="000000"/>
          <w:sz w:val="24"/>
          <w:lang w:val="zh-CN"/>
        </w:rPr>
      </w:pPr>
      <w:bookmarkStart w:id="3" w:name="_Toc14053"/>
      <w:bookmarkStart w:id="4" w:name="_Toc14348"/>
      <w:r>
        <w:rPr>
          <w:rFonts w:hint="eastAsia" w:ascii="宋体"/>
          <w:b/>
          <w:color w:val="000000"/>
          <w:sz w:val="24"/>
          <w:lang w:val="zh-CN"/>
        </w:rPr>
        <w:t>合同文件：</w:t>
      </w:r>
      <w:bookmarkEnd w:id="3"/>
      <w:bookmarkEnd w:id="4"/>
      <w:r>
        <w:rPr>
          <w:rFonts w:hint="eastAsia" w:ascii="宋体"/>
          <w:b/>
          <w:color w:val="000000"/>
          <w:sz w:val="24"/>
          <w:lang w:val="zh-CN"/>
        </w:rPr>
        <w:t xml:space="preserve"> </w:t>
      </w:r>
    </w:p>
    <w:p>
      <w:pPr>
        <w:numPr>
          <w:ilvl w:val="0"/>
          <w:numId w:val="28"/>
        </w:numPr>
        <w:spacing w:line="360" w:lineRule="auto"/>
        <w:ind w:firstLine="480" w:firstLineChars="200"/>
        <w:rPr>
          <w:rFonts w:ascii="宋体"/>
          <w:color w:val="000000"/>
          <w:sz w:val="24"/>
          <w:lang w:val="zh-CN"/>
        </w:rPr>
      </w:pPr>
      <w:r>
        <w:rPr>
          <w:rFonts w:hint="eastAsia" w:ascii="宋体"/>
          <w:color w:val="000000"/>
          <w:sz w:val="24"/>
          <w:lang w:val="zh-CN"/>
        </w:rPr>
        <w:t>合同条款。</w:t>
      </w:r>
    </w:p>
    <w:p>
      <w:pPr>
        <w:numPr>
          <w:ilvl w:val="0"/>
          <w:numId w:val="28"/>
        </w:numPr>
        <w:spacing w:line="360" w:lineRule="auto"/>
        <w:ind w:firstLine="480" w:firstLineChars="200"/>
        <w:rPr>
          <w:rFonts w:ascii="宋体"/>
          <w:color w:val="000000"/>
          <w:sz w:val="24"/>
          <w:lang w:val="zh-CN"/>
        </w:rPr>
      </w:pPr>
      <w:r>
        <w:rPr>
          <w:rFonts w:hint="eastAsia" w:ascii="宋体"/>
          <w:color w:val="000000"/>
          <w:sz w:val="24"/>
          <w:lang w:val="zh-CN"/>
        </w:rPr>
        <w:t>中标通知书。</w:t>
      </w:r>
    </w:p>
    <w:p>
      <w:pPr>
        <w:numPr>
          <w:ilvl w:val="0"/>
          <w:numId w:val="28"/>
        </w:numPr>
        <w:spacing w:line="360" w:lineRule="auto"/>
        <w:ind w:firstLine="480" w:firstLineChars="200"/>
        <w:rPr>
          <w:rFonts w:ascii="宋体"/>
          <w:color w:val="000000"/>
          <w:sz w:val="24"/>
          <w:lang w:val="zh-CN"/>
        </w:rPr>
      </w:pPr>
      <w:r>
        <w:rPr>
          <w:rFonts w:hint="eastAsia" w:ascii="宋体"/>
          <w:color w:val="000000"/>
          <w:sz w:val="24"/>
          <w:lang w:val="zh-CN"/>
        </w:rPr>
        <w:t>更正补充文件。</w:t>
      </w:r>
    </w:p>
    <w:p>
      <w:pPr>
        <w:numPr>
          <w:ilvl w:val="0"/>
          <w:numId w:val="28"/>
        </w:numPr>
        <w:spacing w:line="360" w:lineRule="auto"/>
        <w:ind w:firstLine="480" w:firstLineChars="200"/>
        <w:rPr>
          <w:rFonts w:ascii="宋体"/>
          <w:color w:val="000000"/>
          <w:sz w:val="24"/>
          <w:lang w:val="zh-CN"/>
        </w:rPr>
      </w:pPr>
      <w:r>
        <w:rPr>
          <w:rFonts w:hint="eastAsia" w:ascii="宋体"/>
          <w:color w:val="000000"/>
          <w:sz w:val="24"/>
          <w:lang w:val="zh-CN"/>
        </w:rPr>
        <w:t>招标文件。</w:t>
      </w:r>
    </w:p>
    <w:p>
      <w:pPr>
        <w:numPr>
          <w:ilvl w:val="0"/>
          <w:numId w:val="28"/>
        </w:numPr>
        <w:spacing w:line="360" w:lineRule="auto"/>
        <w:ind w:firstLine="480" w:firstLineChars="200"/>
        <w:rPr>
          <w:rFonts w:ascii="宋体"/>
          <w:color w:val="000000"/>
          <w:sz w:val="24"/>
          <w:lang w:val="zh-CN"/>
        </w:rPr>
      </w:pPr>
      <w:r>
        <w:rPr>
          <w:rFonts w:hint="eastAsia" w:ascii="宋体"/>
          <w:color w:val="000000"/>
          <w:sz w:val="24"/>
          <w:lang w:val="zh-CN"/>
        </w:rPr>
        <w:t>中标供应商投标文件。</w:t>
      </w:r>
    </w:p>
    <w:p>
      <w:pPr>
        <w:numPr>
          <w:ilvl w:val="0"/>
          <w:numId w:val="28"/>
        </w:numPr>
        <w:spacing w:line="360" w:lineRule="auto"/>
        <w:ind w:firstLine="480" w:firstLineChars="200"/>
        <w:rPr>
          <w:rFonts w:ascii="宋体"/>
          <w:color w:val="000000"/>
          <w:sz w:val="24"/>
          <w:lang w:val="zh-CN"/>
        </w:rPr>
      </w:pPr>
      <w:r>
        <w:rPr>
          <w:rFonts w:hint="eastAsia" w:ascii="宋体"/>
          <w:color w:val="000000"/>
          <w:sz w:val="24"/>
          <w:lang w:val="zh-CN"/>
        </w:rPr>
        <w:t>其他。</w:t>
      </w:r>
    </w:p>
    <w:p>
      <w:pPr>
        <w:widowControl/>
        <w:shd w:val="clear" w:color="auto" w:fill="FFFFFF"/>
        <w:spacing w:after="150" w:line="375" w:lineRule="atLeast"/>
        <w:ind w:firstLine="480" w:firstLineChars="200"/>
        <w:jc w:val="left"/>
        <w:rPr>
          <w:rFonts w:ascii="宋体" w:hAnsi="宋体" w:cs="宋体"/>
          <w:b/>
          <w:color w:val="333333"/>
          <w:kern w:val="0"/>
          <w:sz w:val="24"/>
        </w:rPr>
      </w:pPr>
      <w:r>
        <w:rPr>
          <w:rFonts w:hint="eastAsia"/>
          <w:color w:val="000000"/>
          <w:sz w:val="24"/>
          <w:lang w:val="zh-CN"/>
        </w:rPr>
        <w:t>上述所指合同文件应认为是互相补充和解释的，但是有模棱两可或互相矛盾之处，以其所列内容顺序为准。</w:t>
      </w:r>
    </w:p>
    <w:p>
      <w:pPr>
        <w:widowControl/>
        <w:numPr>
          <w:ilvl w:val="0"/>
          <w:numId w:val="27"/>
        </w:numPr>
        <w:shd w:val="clear" w:color="auto" w:fill="FFFFFF"/>
        <w:spacing w:after="150" w:line="375" w:lineRule="atLeast"/>
        <w:jc w:val="left"/>
        <w:outlineLvl w:val="1"/>
        <w:rPr>
          <w:rFonts w:ascii="宋体" w:hAnsi="宋体" w:cs="宋体"/>
          <w:b/>
          <w:color w:val="333333"/>
          <w:kern w:val="0"/>
          <w:sz w:val="24"/>
        </w:rPr>
      </w:pPr>
      <w:bookmarkStart w:id="5" w:name="_Toc26657"/>
      <w:bookmarkStart w:id="6" w:name="_Toc25574"/>
      <w:r>
        <w:rPr>
          <w:rFonts w:hint="eastAsia" w:ascii="宋体" w:hAnsi="宋体" w:cs="宋体"/>
          <w:b/>
          <w:color w:val="333333"/>
          <w:kern w:val="0"/>
          <w:sz w:val="24"/>
        </w:rPr>
        <w:t>合同内容及服务标准</w:t>
      </w:r>
      <w:bookmarkEnd w:id="5"/>
      <w:bookmarkEnd w:id="6"/>
    </w:p>
    <w:p>
      <w:pPr>
        <w:widowControl/>
        <w:shd w:val="clear" w:color="auto" w:fill="FFFFFF"/>
        <w:spacing w:after="150" w:line="375" w:lineRule="atLeast"/>
        <w:ind w:firstLine="480"/>
        <w:jc w:val="left"/>
        <w:rPr>
          <w:rFonts w:ascii="宋体" w:hAnsi="宋体" w:cs="宋体"/>
          <w:color w:val="333333"/>
          <w:kern w:val="0"/>
          <w:sz w:val="24"/>
        </w:rPr>
      </w:pPr>
      <w:r>
        <w:rPr>
          <w:rFonts w:hint="eastAsia" w:ascii="宋体" w:hAnsi="宋体" w:cs="宋体"/>
          <w:color w:val="333333"/>
          <w:kern w:val="0"/>
          <w:sz w:val="24"/>
        </w:rPr>
        <w:t>（具体见项目需求）</w:t>
      </w:r>
    </w:p>
    <w:p>
      <w:pPr>
        <w:pStyle w:val="27"/>
        <w:numPr>
          <w:ilvl w:val="0"/>
          <w:numId w:val="27"/>
        </w:numPr>
        <w:snapToGrid w:val="0"/>
        <w:spacing w:before="120" w:after="120" w:line="360" w:lineRule="auto"/>
        <w:outlineLvl w:val="1"/>
        <w:rPr>
          <w:rFonts w:hAnsi="宋体" w:cs="宋体"/>
          <w:b/>
          <w:sz w:val="24"/>
        </w:rPr>
      </w:pPr>
      <w:bookmarkStart w:id="7" w:name="_Toc15125"/>
      <w:bookmarkStart w:id="8" w:name="_Toc7882"/>
      <w:r>
        <w:rPr>
          <w:rFonts w:hint="eastAsia" w:hAnsi="宋体" w:cs="宋体"/>
          <w:b/>
          <w:sz w:val="24"/>
        </w:rPr>
        <w:t>合同金额</w:t>
      </w:r>
      <w:bookmarkEnd w:id="7"/>
      <w:bookmarkEnd w:id="8"/>
    </w:p>
    <w:p>
      <w:pPr>
        <w:pStyle w:val="27"/>
        <w:snapToGrid w:val="0"/>
        <w:spacing w:line="360" w:lineRule="auto"/>
        <w:ind w:firstLine="480" w:firstLineChars="200"/>
        <w:rPr>
          <w:rFonts w:hAnsi="宋体" w:cs="宋体"/>
          <w:sz w:val="24"/>
        </w:rPr>
      </w:pPr>
      <w:r>
        <w:rPr>
          <w:rFonts w:hint="eastAsia" w:hAnsi="宋体" w:cs="宋体"/>
          <w:sz w:val="24"/>
        </w:rPr>
        <w:t>本合同金额为（大写）：______________元（￥__________元）人民币。</w:t>
      </w:r>
      <w:r>
        <w:rPr>
          <w:rFonts w:hint="eastAsia" w:hAnsi="宋体"/>
          <w:sz w:val="24"/>
        </w:rPr>
        <w:t>在本合同履行期间乙方不得再以任何理由向甲方计取除违约责任外的任何费用。</w:t>
      </w:r>
    </w:p>
    <w:p>
      <w:pPr>
        <w:pStyle w:val="27"/>
        <w:numPr>
          <w:ilvl w:val="0"/>
          <w:numId w:val="27"/>
        </w:numPr>
        <w:adjustRightInd w:val="0"/>
        <w:snapToGrid w:val="0"/>
        <w:spacing w:line="360" w:lineRule="auto"/>
        <w:ind w:firstLine="482" w:firstLineChars="200"/>
        <w:outlineLvl w:val="1"/>
        <w:rPr>
          <w:rFonts w:hAnsi="宋体" w:cs="宋体"/>
          <w:b/>
          <w:sz w:val="24"/>
        </w:rPr>
      </w:pPr>
      <w:bookmarkStart w:id="9" w:name="_Toc15833"/>
      <w:bookmarkStart w:id="10" w:name="_Toc28111"/>
      <w:r>
        <w:rPr>
          <w:rFonts w:hint="eastAsia" w:hAnsi="宋体" w:cs="宋体"/>
          <w:b/>
          <w:sz w:val="24"/>
        </w:rPr>
        <w:t>技术资料</w:t>
      </w:r>
      <w:bookmarkEnd w:id="9"/>
      <w:bookmarkEnd w:id="10"/>
    </w:p>
    <w:p>
      <w:pPr>
        <w:pStyle w:val="27"/>
        <w:numPr>
          <w:ilvl w:val="0"/>
          <w:numId w:val="29"/>
        </w:numPr>
        <w:adjustRightInd w:val="0"/>
        <w:snapToGrid w:val="0"/>
        <w:spacing w:line="360" w:lineRule="auto"/>
        <w:ind w:firstLine="480" w:firstLineChars="200"/>
        <w:rPr>
          <w:rFonts w:hAnsi="宋体" w:cs="宋体"/>
          <w:sz w:val="24"/>
        </w:rPr>
      </w:pPr>
      <w:r>
        <w:rPr>
          <w:rFonts w:hint="eastAsia" w:hAnsi="宋体" w:cs="宋体"/>
          <w:sz w:val="24"/>
        </w:rPr>
        <w:t>乙方应按采购文件规定的时间向甲方提供有关技术资料。</w:t>
      </w:r>
    </w:p>
    <w:p>
      <w:pPr>
        <w:pStyle w:val="27"/>
        <w:numPr>
          <w:ilvl w:val="0"/>
          <w:numId w:val="29"/>
        </w:numPr>
        <w:adjustRightInd w:val="0"/>
        <w:snapToGrid w:val="0"/>
        <w:spacing w:line="360" w:lineRule="auto"/>
        <w:ind w:firstLine="480" w:firstLineChars="200"/>
        <w:rPr>
          <w:rFonts w:hAnsi="宋体" w:cs="宋体"/>
          <w:sz w:val="24"/>
        </w:rPr>
      </w:pPr>
      <w:r>
        <w:rPr>
          <w:rFonts w:hint="eastAsia"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numPr>
          <w:ilvl w:val="0"/>
          <w:numId w:val="27"/>
        </w:numPr>
        <w:adjustRightInd w:val="0"/>
        <w:snapToGrid w:val="0"/>
        <w:spacing w:line="360" w:lineRule="auto"/>
        <w:ind w:firstLine="482" w:firstLineChars="200"/>
        <w:outlineLvl w:val="1"/>
        <w:rPr>
          <w:rFonts w:hAnsi="宋体" w:cs="宋体"/>
          <w:b/>
          <w:sz w:val="24"/>
        </w:rPr>
      </w:pPr>
      <w:bookmarkStart w:id="11" w:name="_Toc28968"/>
      <w:bookmarkStart w:id="12" w:name="_Toc4945"/>
      <w:r>
        <w:rPr>
          <w:rFonts w:hint="eastAsia" w:hAnsi="宋体" w:cs="宋体"/>
          <w:b/>
          <w:sz w:val="24"/>
        </w:rPr>
        <w:t>知识产权</w:t>
      </w:r>
      <w:bookmarkEnd w:id="11"/>
      <w:bookmarkEnd w:id="12"/>
    </w:p>
    <w:p>
      <w:pPr>
        <w:pStyle w:val="27"/>
        <w:adjustRightInd w:val="0"/>
        <w:snapToGrid w:val="0"/>
        <w:spacing w:line="360" w:lineRule="auto"/>
        <w:ind w:firstLine="480" w:firstLineChars="200"/>
        <w:rPr>
          <w:rFonts w:hAnsi="宋体" w:cs="宋体"/>
          <w:b/>
          <w:bCs/>
          <w:sz w:val="24"/>
        </w:rPr>
      </w:pPr>
      <w:r>
        <w:rPr>
          <w:rFonts w:hint="eastAsia" w:hAnsi="宋体" w:cs="宋体"/>
          <w:sz w:val="24"/>
        </w:rPr>
        <w:t>乙方应保证提供服务过程中不会侵犯任何第三方的知识产权,否则甲方有权要求乙方承担本合同金额5％的违约金。同时</w:t>
      </w:r>
      <w:r>
        <w:rPr>
          <w:rFonts w:hint="eastAsia" w:hAnsi="宋体"/>
          <w:bCs/>
          <w:sz w:val="24"/>
        </w:rPr>
        <w:t>由此可能发生的一切法律责任及费用均由乙方承担，与甲方无关。</w:t>
      </w:r>
    </w:p>
    <w:p>
      <w:pPr>
        <w:pStyle w:val="27"/>
        <w:numPr>
          <w:ilvl w:val="0"/>
          <w:numId w:val="27"/>
        </w:numPr>
        <w:adjustRightInd w:val="0"/>
        <w:snapToGrid w:val="0"/>
        <w:spacing w:line="360" w:lineRule="auto"/>
        <w:ind w:firstLine="482" w:firstLineChars="200"/>
        <w:outlineLvl w:val="1"/>
        <w:rPr>
          <w:rFonts w:hAnsi="宋体" w:cs="宋体"/>
          <w:b/>
          <w:sz w:val="24"/>
        </w:rPr>
      </w:pPr>
      <w:bookmarkStart w:id="13" w:name="_Toc26295"/>
      <w:bookmarkStart w:id="14" w:name="_Toc26731"/>
      <w:r>
        <w:rPr>
          <w:rFonts w:hint="eastAsia" w:hAnsi="宋体" w:cs="宋体"/>
          <w:b/>
          <w:sz w:val="24"/>
        </w:rPr>
        <w:t>履约保证金</w:t>
      </w:r>
      <w:bookmarkEnd w:id="13"/>
      <w:bookmarkEnd w:id="14"/>
    </w:p>
    <w:p>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在合同签订前，中标单位应</w:t>
      </w:r>
      <w:r>
        <w:rPr>
          <w:rFonts w:hint="eastAsia" w:ascii="宋体" w:hAnsi="宋体" w:cs="宋体"/>
          <w:sz w:val="24"/>
          <w:lang w:val="en-US" w:eastAsia="zh-CN"/>
        </w:rPr>
        <w:t>以银行、保险公司出具保函形式</w:t>
      </w:r>
      <w:r>
        <w:rPr>
          <w:rFonts w:hint="eastAsia" w:ascii="宋体" w:hAnsi="宋体" w:cs="宋体"/>
          <w:sz w:val="24"/>
        </w:rPr>
        <w:t>交纳合同金额1 %的履约保证金，如未按规定提交履约保证金，招标人有权拒签合同。</w:t>
      </w:r>
    </w:p>
    <w:p>
      <w:pPr>
        <w:numPr>
          <w:ilvl w:val="0"/>
          <w:numId w:val="27"/>
        </w:numPr>
        <w:adjustRightInd w:val="0"/>
        <w:snapToGrid w:val="0"/>
        <w:spacing w:line="360" w:lineRule="auto"/>
        <w:ind w:firstLine="482" w:firstLineChars="200"/>
        <w:outlineLvl w:val="1"/>
        <w:rPr>
          <w:rFonts w:ascii="宋体" w:hAnsi="宋体" w:cs="宋体"/>
          <w:b/>
          <w:sz w:val="24"/>
        </w:rPr>
      </w:pPr>
      <w:bookmarkStart w:id="15" w:name="_Toc23596"/>
      <w:bookmarkStart w:id="16" w:name="_Toc21699"/>
      <w:r>
        <w:rPr>
          <w:rFonts w:hint="eastAsia" w:ascii="宋体" w:hAnsi="宋体" w:cs="宋体"/>
          <w:b/>
          <w:sz w:val="24"/>
        </w:rPr>
        <w:t>转包或分包</w:t>
      </w:r>
      <w:bookmarkEnd w:id="15"/>
      <w:bookmarkEnd w:id="16"/>
    </w:p>
    <w:p>
      <w:pPr>
        <w:numPr>
          <w:ilvl w:val="0"/>
          <w:numId w:val="30"/>
        </w:numPr>
        <w:snapToGrid w:val="0"/>
        <w:spacing w:line="360" w:lineRule="auto"/>
        <w:ind w:firstLine="480" w:firstLineChars="200"/>
        <w:rPr>
          <w:rFonts w:ascii="宋体" w:hAnsi="宋体" w:cs="宋体"/>
          <w:sz w:val="24"/>
        </w:rPr>
      </w:pPr>
      <w:r>
        <w:rPr>
          <w:rFonts w:hint="eastAsia" w:ascii="宋体" w:hAnsi="宋体" w:cs="宋体"/>
          <w:sz w:val="24"/>
        </w:rPr>
        <w:t>本合同范围的服务，应由乙方直接供应，不得转让他人供应；</w:t>
      </w:r>
    </w:p>
    <w:p>
      <w:pPr>
        <w:numPr>
          <w:ilvl w:val="0"/>
          <w:numId w:val="30"/>
        </w:numPr>
        <w:snapToGrid w:val="0"/>
        <w:spacing w:line="360" w:lineRule="auto"/>
        <w:ind w:firstLine="480" w:firstLineChars="200"/>
        <w:rPr>
          <w:rFonts w:ascii="宋体" w:hAnsi="宋体" w:cs="宋体"/>
          <w:sz w:val="24"/>
        </w:rPr>
      </w:pPr>
      <w:r>
        <w:rPr>
          <w:rFonts w:hint="eastAsia" w:ascii="宋体" w:hAnsi="宋体" w:cs="宋体"/>
          <w:sz w:val="24"/>
        </w:rPr>
        <w:t>除非得到甲方的书面同意，乙方不得将本合同范围的服务全部或部分分包给他人供应；</w:t>
      </w:r>
    </w:p>
    <w:p>
      <w:pPr>
        <w:numPr>
          <w:ilvl w:val="0"/>
          <w:numId w:val="30"/>
        </w:numPr>
        <w:snapToGrid w:val="0"/>
        <w:spacing w:line="360" w:lineRule="auto"/>
        <w:ind w:firstLine="480" w:firstLineChars="200"/>
        <w:rPr>
          <w:rFonts w:ascii="宋体" w:hAnsi="宋体" w:cs="宋体"/>
          <w:sz w:val="24"/>
        </w:rPr>
      </w:pPr>
      <w:r>
        <w:rPr>
          <w:rFonts w:hint="eastAsia" w:ascii="宋体" w:hAnsi="宋体" w:cs="宋体"/>
          <w:sz w:val="24"/>
        </w:rPr>
        <w:t>如有转让和未经甲方同意的分包行为，甲方有权解除合同，要求乙方承担本合同金额5％的违约金，同时要求乙方赔偿损失。</w:t>
      </w:r>
    </w:p>
    <w:p>
      <w:pPr>
        <w:pStyle w:val="27"/>
        <w:numPr>
          <w:ilvl w:val="0"/>
          <w:numId w:val="27"/>
        </w:numPr>
        <w:snapToGrid w:val="0"/>
        <w:spacing w:line="360" w:lineRule="auto"/>
        <w:ind w:firstLine="482" w:firstLineChars="200"/>
        <w:outlineLvl w:val="1"/>
        <w:rPr>
          <w:rFonts w:hAnsi="宋体" w:cs="宋体"/>
          <w:b/>
          <w:sz w:val="24"/>
        </w:rPr>
      </w:pPr>
      <w:bookmarkStart w:id="17" w:name="_Toc28441"/>
      <w:bookmarkStart w:id="18" w:name="_Toc591"/>
      <w:r>
        <w:rPr>
          <w:rFonts w:hint="eastAsia" w:hAnsi="宋体" w:cs="宋体"/>
          <w:b/>
          <w:sz w:val="24"/>
        </w:rPr>
        <w:t>质保期</w:t>
      </w:r>
      <w:r>
        <w:rPr>
          <w:rFonts w:hint="eastAsia" w:hAnsi="宋体" w:cs="宋体"/>
          <w:b/>
          <w:sz w:val="24"/>
          <w:lang w:val="en-US" w:eastAsia="zh-CN"/>
        </w:rPr>
        <w:t>及特征库升级</w:t>
      </w:r>
    </w:p>
    <w:p>
      <w:pPr>
        <w:numPr>
          <w:ilvl w:val="0"/>
          <w:numId w:val="31"/>
        </w:numPr>
        <w:snapToGrid w:val="0"/>
        <w:spacing w:line="360" w:lineRule="auto"/>
        <w:ind w:firstLine="480" w:firstLineChars="200"/>
        <w:rPr>
          <w:rFonts w:hint="eastAsia" w:ascii="宋体" w:hAnsi="宋体" w:cs="宋体"/>
          <w:sz w:val="24"/>
        </w:rPr>
      </w:pP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年，时间从通过最终验收通过后算起，其中试运行时间至少3个月。具体设备原厂商质保期为3年以上的，根据该设备原厂商质保期执行。</w:t>
      </w:r>
    </w:p>
    <w:p>
      <w:pPr>
        <w:numPr>
          <w:ilvl w:val="0"/>
          <w:numId w:val="31"/>
        </w:numPr>
        <w:snapToGrid w:val="0"/>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特征库升级</w:t>
      </w:r>
      <w:r>
        <w:rPr>
          <w:rFonts w:hint="eastAsia" w:ascii="宋体" w:hAnsi="宋体" w:cs="宋体"/>
          <w:sz w:val="24"/>
          <w:u w:val="single"/>
          <w:lang w:val="en-US" w:eastAsia="zh-CN"/>
        </w:rPr>
        <w:t xml:space="preserve">   </w:t>
      </w:r>
      <w:r>
        <w:rPr>
          <w:rFonts w:hint="eastAsia" w:ascii="宋体" w:hAnsi="宋体" w:cs="宋体"/>
          <w:sz w:val="24"/>
          <w:lang w:val="en-US" w:eastAsia="zh-CN"/>
        </w:rPr>
        <w:t>年，包括</w:t>
      </w:r>
      <w:r>
        <w:rPr>
          <w:rFonts w:hint="eastAsia" w:ascii="宋体" w:hAnsi="宋体" w:cs="仿宋"/>
          <w:color w:val="000000" w:themeColor="text1"/>
          <w:sz w:val="24"/>
          <w:lang w:val="en-US" w:eastAsia="zh-CN"/>
          <w14:textFill>
            <w14:solidFill>
              <w14:schemeClr w14:val="tx1"/>
            </w14:solidFill>
          </w14:textFill>
        </w:rPr>
        <w:t>下一代防火墙</w:t>
      </w:r>
      <w:r>
        <w:rPr>
          <w:rFonts w:hint="eastAsia" w:ascii="宋体" w:hAnsi="宋体" w:cs="仿宋"/>
          <w:color w:val="000000" w:themeColor="text1"/>
          <w:sz w:val="24"/>
          <w14:textFill>
            <w14:solidFill>
              <w14:schemeClr w14:val="tx1"/>
            </w14:solidFill>
          </w14:textFill>
        </w:rPr>
        <w:t>实</w:t>
      </w:r>
      <w:r>
        <w:rPr>
          <w:rFonts w:hint="eastAsia" w:ascii="宋体" w:hAnsi="宋体" w:cs="仿宋"/>
          <w:color w:val="000000" w:themeColor="text1"/>
          <w:sz w:val="24"/>
          <w:lang w:val="en-US" w:eastAsia="zh-CN"/>
          <w14:textFill>
            <w14:solidFill>
              <w14:schemeClr w14:val="tx1"/>
            </w14:solidFill>
          </w14:textFill>
        </w:rPr>
        <w:t>配备</w:t>
      </w:r>
      <w:r>
        <w:rPr>
          <w:rFonts w:hint="eastAsia" w:ascii="宋体" w:hAnsi="宋体" w:cs="仿宋"/>
          <w:color w:val="000000" w:themeColor="text1"/>
          <w:sz w:val="24"/>
          <w14:textFill>
            <w14:solidFill>
              <w14:schemeClr w14:val="tx1"/>
            </w14:solidFill>
          </w14:textFill>
        </w:rPr>
        <w:t>侵防御、防病毒、应用识别特征库</w:t>
      </w:r>
      <w:r>
        <w:rPr>
          <w:rFonts w:hint="eastAsia" w:ascii="宋体" w:hAnsi="宋体" w:cs="仿宋"/>
          <w:color w:val="000000" w:themeColor="text1"/>
          <w:sz w:val="24"/>
          <w:lang w:val="en-US" w:eastAsia="zh-CN"/>
          <w14:textFill>
            <w14:solidFill>
              <w14:schemeClr w14:val="tx1"/>
            </w14:solidFill>
          </w14:textFill>
        </w:rPr>
        <w:t>及上网行为管理器配备</w:t>
      </w:r>
      <w:r>
        <w:rPr>
          <w:rFonts w:hint="eastAsia" w:ascii="宋体" w:hAnsi="宋体" w:cs="仿宋"/>
          <w:color w:val="000000" w:themeColor="text1"/>
          <w:sz w:val="24"/>
          <w14:textFill>
            <w14:solidFill>
              <w14:schemeClr w14:val="tx1"/>
            </w14:solidFill>
          </w14:textFill>
        </w:rPr>
        <w:t>ACG特征库</w:t>
      </w:r>
      <w:r>
        <w:rPr>
          <w:rFonts w:hint="eastAsia" w:ascii="宋体" w:hAnsi="宋体" w:cs="仿宋"/>
          <w:color w:val="000000" w:themeColor="text1"/>
          <w:sz w:val="24"/>
          <w:lang w:eastAsia="zh-CN"/>
          <w14:textFill>
            <w14:solidFill>
              <w14:schemeClr w14:val="tx1"/>
            </w14:solidFill>
          </w14:textFill>
        </w:rPr>
        <w:t>。</w:t>
      </w:r>
    </w:p>
    <w:p>
      <w:pPr>
        <w:pStyle w:val="27"/>
        <w:numPr>
          <w:ilvl w:val="0"/>
          <w:numId w:val="27"/>
        </w:numPr>
        <w:snapToGrid w:val="0"/>
        <w:spacing w:line="360" w:lineRule="auto"/>
        <w:ind w:firstLine="482" w:firstLineChars="200"/>
        <w:outlineLvl w:val="1"/>
        <w:rPr>
          <w:rFonts w:hAnsi="宋体" w:cs="宋体"/>
          <w:b/>
          <w:sz w:val="24"/>
        </w:rPr>
      </w:pPr>
      <w:r>
        <w:rPr>
          <w:rFonts w:hint="eastAsia" w:hAnsi="宋体" w:cs="宋体"/>
          <w:b/>
          <w:sz w:val="24"/>
        </w:rPr>
        <w:t>合同履行时间及履行地点</w:t>
      </w:r>
      <w:bookmarkEnd w:id="17"/>
      <w:bookmarkEnd w:id="18"/>
    </w:p>
    <w:p>
      <w:pPr>
        <w:pStyle w:val="27"/>
        <w:numPr>
          <w:ilvl w:val="0"/>
          <w:numId w:val="32"/>
        </w:numPr>
        <w:snapToGrid w:val="0"/>
        <w:spacing w:line="360" w:lineRule="auto"/>
        <w:ind w:firstLine="480" w:firstLineChars="200"/>
        <w:rPr>
          <w:rFonts w:hAnsi="宋体" w:cs="宋体"/>
          <w:color w:val="000000"/>
          <w:sz w:val="24"/>
        </w:rPr>
      </w:pPr>
      <w:r>
        <w:rPr>
          <w:rFonts w:hint="eastAsia" w:hAnsi="宋体" w:cs="宋体"/>
          <w:sz w:val="24"/>
        </w:rPr>
        <w:t>履行时间</w:t>
      </w:r>
      <w:r>
        <w:rPr>
          <w:rFonts w:hint="eastAsia" w:hAnsi="宋体" w:cs="宋体"/>
          <w:bCs/>
          <w:sz w:val="24"/>
        </w:rPr>
        <w:t>：</w:t>
      </w:r>
      <w:r>
        <w:rPr>
          <w:rFonts w:hint="eastAsia" w:hAnsi="宋体" w:cs="宋体"/>
          <w:sz w:val="24"/>
        </w:rPr>
        <w:t>合同签订后60天内完成供货、安装及调试。</w:t>
      </w:r>
    </w:p>
    <w:p>
      <w:pPr>
        <w:pStyle w:val="27"/>
        <w:numPr>
          <w:ilvl w:val="0"/>
          <w:numId w:val="32"/>
        </w:numPr>
        <w:snapToGrid w:val="0"/>
        <w:spacing w:line="360" w:lineRule="auto"/>
        <w:ind w:firstLine="480" w:firstLineChars="200"/>
        <w:rPr>
          <w:rFonts w:hAnsi="宋体" w:cs="宋体"/>
          <w:color w:val="000000"/>
          <w:sz w:val="24"/>
        </w:rPr>
      </w:pPr>
      <w:r>
        <w:rPr>
          <w:rFonts w:hint="eastAsia" w:hAnsi="宋体" w:cs="宋体"/>
          <w:sz w:val="24"/>
        </w:rPr>
        <w:t>履行地点</w:t>
      </w:r>
      <w:r>
        <w:rPr>
          <w:rFonts w:hint="eastAsia" w:hAnsi="宋体" w:cs="宋体"/>
          <w:bCs/>
          <w:color w:val="000000"/>
          <w:sz w:val="24"/>
        </w:rPr>
        <w:t>：业主指定地点。</w:t>
      </w:r>
    </w:p>
    <w:p>
      <w:pPr>
        <w:pStyle w:val="27"/>
        <w:numPr>
          <w:ilvl w:val="0"/>
          <w:numId w:val="27"/>
        </w:numPr>
        <w:snapToGrid w:val="0"/>
        <w:spacing w:line="360" w:lineRule="auto"/>
        <w:ind w:firstLine="482" w:firstLineChars="200"/>
        <w:outlineLvl w:val="1"/>
        <w:rPr>
          <w:rFonts w:hAnsi="宋体" w:cs="宋体"/>
          <w:b/>
          <w:color w:val="000000"/>
          <w:sz w:val="24"/>
        </w:rPr>
      </w:pPr>
      <w:bookmarkStart w:id="19" w:name="_Toc21504"/>
      <w:bookmarkStart w:id="20" w:name="_Toc18065"/>
      <w:r>
        <w:rPr>
          <w:rFonts w:hint="eastAsia" w:hAnsi="宋体" w:cs="宋体"/>
          <w:b/>
          <w:color w:val="000000"/>
          <w:sz w:val="24"/>
        </w:rPr>
        <w:t>款项支付</w:t>
      </w:r>
      <w:bookmarkEnd w:id="19"/>
      <w:bookmarkEnd w:id="20"/>
    </w:p>
    <w:p>
      <w:pPr>
        <w:spacing w:line="360" w:lineRule="auto"/>
        <w:ind w:firstLine="480" w:firstLineChars="200"/>
        <w:rPr>
          <w:rFonts w:ascii="宋体" w:hAnsi="宋体" w:cs="宋体"/>
          <w:bCs/>
          <w:sz w:val="24"/>
        </w:rPr>
      </w:pPr>
      <w:r>
        <w:rPr>
          <w:rFonts w:hint="eastAsia" w:ascii="宋体" w:hAnsi="宋体" w:cs="宋体"/>
          <w:bCs/>
          <w:sz w:val="24"/>
        </w:rPr>
        <w:t>付款方式：</w:t>
      </w:r>
      <w:r>
        <w:rPr>
          <w:rFonts w:hint="eastAsia" w:cs="宋体"/>
          <w:sz w:val="24"/>
        </w:rPr>
        <w:t>合同生效后7个工作日内向</w:t>
      </w:r>
      <w:r>
        <w:rPr>
          <w:rFonts w:hint="eastAsia" w:cs="宋体"/>
          <w:sz w:val="24"/>
          <w:highlight w:val="yellow"/>
          <w:lang w:val="en-US" w:eastAsia="zh-CN"/>
        </w:rPr>
        <w:t>乙方</w:t>
      </w:r>
      <w:r>
        <w:rPr>
          <w:rFonts w:hint="eastAsia" w:cs="宋体"/>
          <w:sz w:val="24"/>
        </w:rPr>
        <w:t>支付合同总价款的40 %作为预付款；</w:t>
      </w:r>
      <w:r>
        <w:rPr>
          <w:rFonts w:hint="eastAsia" w:ascii="宋体" w:hAnsi="宋体" w:cs="宋体"/>
          <w:kern w:val="0"/>
          <w:sz w:val="24"/>
        </w:rPr>
        <w:t>设备到货经验收无误后支付40%</w:t>
      </w:r>
      <w:r>
        <w:rPr>
          <w:rFonts w:hint="eastAsia" w:cs="宋体"/>
          <w:sz w:val="24"/>
        </w:rPr>
        <w:t>；最终验收合格后，支付合同总价款的20%。</w:t>
      </w:r>
    </w:p>
    <w:p>
      <w:pPr>
        <w:numPr>
          <w:ilvl w:val="0"/>
          <w:numId w:val="27"/>
        </w:numPr>
        <w:snapToGrid w:val="0"/>
        <w:spacing w:line="360" w:lineRule="auto"/>
        <w:ind w:firstLine="482" w:firstLineChars="200"/>
        <w:outlineLvl w:val="1"/>
        <w:rPr>
          <w:rFonts w:ascii="宋体" w:hAnsi="宋体" w:cs="宋体"/>
          <w:b/>
          <w:sz w:val="24"/>
        </w:rPr>
      </w:pPr>
      <w:bookmarkStart w:id="21" w:name="_Toc2274"/>
      <w:bookmarkStart w:id="22" w:name="_Toc21135"/>
      <w:r>
        <w:rPr>
          <w:rFonts w:hint="eastAsia" w:ascii="宋体" w:hAnsi="宋体" w:cs="宋体"/>
          <w:b/>
          <w:sz w:val="24"/>
        </w:rPr>
        <w:t>税费</w:t>
      </w:r>
      <w:bookmarkEnd w:id="21"/>
      <w:bookmarkEnd w:id="22"/>
    </w:p>
    <w:p>
      <w:pPr>
        <w:snapToGrid w:val="0"/>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pPr>
        <w:pStyle w:val="27"/>
        <w:numPr>
          <w:ilvl w:val="0"/>
          <w:numId w:val="27"/>
        </w:numPr>
        <w:snapToGrid w:val="0"/>
        <w:spacing w:line="360" w:lineRule="auto"/>
        <w:ind w:firstLine="482" w:firstLineChars="200"/>
        <w:outlineLvl w:val="1"/>
        <w:rPr>
          <w:rFonts w:hAnsi="宋体" w:cs="宋体"/>
          <w:b/>
          <w:sz w:val="24"/>
        </w:rPr>
      </w:pPr>
      <w:bookmarkStart w:id="23" w:name="_Toc679"/>
      <w:bookmarkStart w:id="24" w:name="_Toc4023"/>
      <w:r>
        <w:rPr>
          <w:rFonts w:hint="eastAsia" w:hAnsi="宋体" w:cs="宋体"/>
          <w:b/>
          <w:sz w:val="24"/>
        </w:rPr>
        <w:t>质量保证及后续服务</w:t>
      </w:r>
      <w:bookmarkEnd w:id="23"/>
      <w:bookmarkEnd w:id="24"/>
    </w:p>
    <w:p>
      <w:pPr>
        <w:pStyle w:val="27"/>
        <w:numPr>
          <w:ilvl w:val="0"/>
          <w:numId w:val="33"/>
        </w:numPr>
        <w:snapToGrid w:val="0"/>
        <w:spacing w:line="360" w:lineRule="auto"/>
        <w:ind w:firstLine="480" w:firstLineChars="200"/>
        <w:rPr>
          <w:rFonts w:hAnsi="宋体" w:cs="宋体"/>
          <w:sz w:val="24"/>
        </w:rPr>
      </w:pPr>
      <w:r>
        <w:rPr>
          <w:rFonts w:hint="eastAsia" w:hAnsi="宋体" w:cs="宋体"/>
          <w:sz w:val="24"/>
        </w:rPr>
        <w:t>乙方应按采购文件规定向甲方提供服务。</w:t>
      </w:r>
    </w:p>
    <w:p>
      <w:pPr>
        <w:pStyle w:val="27"/>
        <w:numPr>
          <w:ilvl w:val="0"/>
          <w:numId w:val="33"/>
        </w:numPr>
        <w:snapToGrid w:val="0"/>
        <w:spacing w:line="360" w:lineRule="auto"/>
        <w:ind w:firstLine="480" w:firstLineChars="200"/>
        <w:rPr>
          <w:rFonts w:hAnsi="宋体" w:cs="宋体"/>
          <w:sz w:val="24"/>
        </w:rPr>
      </w:pPr>
      <w:r>
        <w:rPr>
          <w:rFonts w:hint="eastAsia" w:hAnsi="宋体" w:cs="宋体"/>
          <w:sz w:val="24"/>
        </w:rPr>
        <w:t>乙方提供的服务成果在服务质量保证期内发生故障，乙方应负责免费提供后续服务。对达不到要求者，根据实际情况，经双方协商，可按以下</w:t>
      </w:r>
      <w:r>
        <w:rPr>
          <w:rFonts w:hint="eastAsia" w:hAnsi="宋体" w:cs="宋体"/>
          <w:sz w:val="24"/>
          <w:u w:val="single"/>
        </w:rPr>
        <w:t xml:space="preserve"> ① </w:t>
      </w:r>
      <w:r>
        <w:rPr>
          <w:rFonts w:hint="eastAsia" w:hAnsi="宋体" w:cs="宋体"/>
          <w:sz w:val="24"/>
        </w:rPr>
        <w:t>办法处理：</w:t>
      </w:r>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重做：由乙方承担所发生的全部费用。</w:t>
      </w:r>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贬值处理：由甲乙双方合议定价。</w:t>
      </w:r>
    </w:p>
    <w:p>
      <w:pPr>
        <w:pStyle w:val="27"/>
        <w:numPr>
          <w:ilvl w:val="0"/>
          <w:numId w:val="34"/>
        </w:numPr>
        <w:snapToGrid w:val="0"/>
        <w:spacing w:line="360" w:lineRule="auto"/>
        <w:ind w:firstLine="480" w:firstLineChars="200"/>
        <w:rPr>
          <w:rFonts w:hAnsi="宋体" w:cs="宋体"/>
          <w:sz w:val="24"/>
        </w:rPr>
      </w:pPr>
      <w:r>
        <w:rPr>
          <w:rFonts w:hint="eastAsia" w:hAnsi="宋体" w:cs="宋体"/>
          <w:sz w:val="24"/>
        </w:rPr>
        <w:t>解除合同。</w:t>
      </w:r>
    </w:p>
    <w:p>
      <w:pPr>
        <w:pStyle w:val="27"/>
        <w:numPr>
          <w:ilvl w:val="0"/>
          <w:numId w:val="33"/>
        </w:numPr>
        <w:snapToGrid w:val="0"/>
        <w:spacing w:line="360" w:lineRule="auto"/>
        <w:ind w:firstLine="480" w:firstLineChars="200"/>
        <w:rPr>
          <w:rFonts w:hAnsi="宋体" w:cs="宋体"/>
          <w:sz w:val="24"/>
        </w:rPr>
      </w:pPr>
      <w:r>
        <w:rPr>
          <w:rFonts w:hint="eastAsia" w:hAnsi="宋体" w:cs="宋体"/>
          <w:sz w:val="24"/>
        </w:rPr>
        <w:t xml:space="preserve"> 如在使用过程中发生质量问题，乙方在接到甲方通知后在</w:t>
      </w:r>
      <w:r>
        <w:rPr>
          <w:rFonts w:hint="eastAsia" w:hAnsi="宋体" w:cs="宋体"/>
          <w:sz w:val="24"/>
          <w:u w:val="single"/>
        </w:rPr>
        <w:t xml:space="preserve">  </w:t>
      </w:r>
      <w:r>
        <w:rPr>
          <w:rFonts w:hint="eastAsia" w:hAnsi="宋体" w:cs="宋体"/>
          <w:sz w:val="24"/>
        </w:rPr>
        <w:t>小时内到达甲方现场。</w:t>
      </w:r>
    </w:p>
    <w:p>
      <w:pPr>
        <w:pStyle w:val="27"/>
        <w:numPr>
          <w:ilvl w:val="0"/>
          <w:numId w:val="33"/>
        </w:numPr>
        <w:snapToGrid w:val="0"/>
        <w:spacing w:line="360" w:lineRule="auto"/>
        <w:ind w:firstLine="480" w:firstLineChars="200"/>
      </w:pPr>
      <w:r>
        <w:rPr>
          <w:rFonts w:hint="eastAsia" w:hAnsi="宋体" w:cs="宋体"/>
          <w:sz w:val="24"/>
        </w:rPr>
        <w:t xml:space="preserve"> 在质保期内，乙方应对货物出现的质量及安全问题负责处理解决并承担一切费用。  </w:t>
      </w:r>
    </w:p>
    <w:p>
      <w:pPr>
        <w:pStyle w:val="27"/>
        <w:numPr>
          <w:ilvl w:val="0"/>
          <w:numId w:val="27"/>
        </w:numPr>
        <w:snapToGrid w:val="0"/>
        <w:spacing w:line="360" w:lineRule="auto"/>
        <w:ind w:firstLine="482" w:firstLineChars="200"/>
        <w:outlineLvl w:val="1"/>
        <w:rPr>
          <w:rFonts w:hAnsi="宋体" w:cs="宋体"/>
          <w:b/>
          <w:sz w:val="24"/>
        </w:rPr>
      </w:pPr>
      <w:bookmarkStart w:id="25" w:name="_Toc12933"/>
      <w:bookmarkStart w:id="26" w:name="_Toc17032"/>
      <w:r>
        <w:rPr>
          <w:rFonts w:hint="eastAsia" w:hAnsi="宋体" w:cs="宋体"/>
          <w:b/>
          <w:sz w:val="24"/>
        </w:rPr>
        <w:t>违约责任</w:t>
      </w:r>
      <w:bookmarkEnd w:id="25"/>
      <w:bookmarkEnd w:id="26"/>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甲方无正当理由拒收接受服务的，甲方向乙方偿付合同款项</w:t>
      </w:r>
      <w:r>
        <w:rPr>
          <w:rFonts w:hint="eastAsia" w:hAnsi="宋体" w:cs="宋体"/>
          <w:color w:val="FF66CC"/>
          <w:sz w:val="24"/>
        </w:rPr>
        <w:t>百分之五</w:t>
      </w:r>
      <w:r>
        <w:rPr>
          <w:rFonts w:hint="eastAsia" w:hAnsi="宋体" w:cs="宋体"/>
          <w:sz w:val="24"/>
        </w:rPr>
        <w:t>作为违约金。</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甲方无故逾期验收和办理款项支付手续的,甲方应按逾期付款总额</w:t>
      </w:r>
      <w:r>
        <w:rPr>
          <w:rFonts w:hint="eastAsia" w:hAnsi="宋体" w:cs="宋体"/>
          <w:color w:val="FF66CC"/>
          <w:sz w:val="24"/>
        </w:rPr>
        <w:t>每日万分之五</w:t>
      </w:r>
      <w:r>
        <w:rPr>
          <w:rFonts w:hint="eastAsia" w:hAnsi="宋体" w:cs="宋体"/>
          <w:sz w:val="24"/>
        </w:rPr>
        <w:t>向乙方支付违约金。</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7"/>
        <w:numPr>
          <w:ilvl w:val="0"/>
          <w:numId w:val="35"/>
        </w:numPr>
        <w:snapToGrid w:val="0"/>
        <w:spacing w:line="360" w:lineRule="auto"/>
        <w:ind w:firstLine="480" w:firstLineChars="200"/>
        <w:rPr>
          <w:rFonts w:hAnsi="宋体" w:cs="宋体"/>
          <w:sz w:val="24"/>
        </w:rPr>
      </w:pPr>
      <w:r>
        <w:rPr>
          <w:rFonts w:hint="eastAsia" w:hAnsi="宋体" w:cs="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numPr>
          <w:ilvl w:val="0"/>
          <w:numId w:val="27"/>
        </w:numPr>
        <w:snapToGrid w:val="0"/>
        <w:spacing w:line="360" w:lineRule="auto"/>
        <w:ind w:firstLine="482" w:firstLineChars="200"/>
        <w:outlineLvl w:val="1"/>
        <w:rPr>
          <w:rFonts w:hAnsi="宋体" w:cs="宋体"/>
          <w:b/>
          <w:sz w:val="24"/>
        </w:rPr>
      </w:pPr>
      <w:bookmarkStart w:id="27" w:name="_Toc571"/>
      <w:bookmarkStart w:id="28" w:name="_Toc22535"/>
      <w:r>
        <w:rPr>
          <w:rFonts w:hint="eastAsia" w:hAnsi="宋体" w:cs="宋体"/>
          <w:b/>
          <w:sz w:val="24"/>
        </w:rPr>
        <w:t>不可抗力事件处理</w:t>
      </w:r>
      <w:bookmarkEnd w:id="27"/>
      <w:bookmarkEnd w:id="28"/>
    </w:p>
    <w:p>
      <w:pPr>
        <w:pStyle w:val="27"/>
        <w:snapToGrid w:val="0"/>
        <w:spacing w:line="360" w:lineRule="auto"/>
        <w:ind w:firstLine="480" w:firstLineChars="200"/>
        <w:rPr>
          <w:rFonts w:hAnsi="宋体" w:cs="宋体"/>
          <w:sz w:val="24"/>
        </w:rPr>
      </w:pPr>
      <w:r>
        <w:rPr>
          <w:rFonts w:hint="eastAsia" w:hAnsi="宋体" w:cs="宋体"/>
          <w:sz w:val="24"/>
        </w:rPr>
        <w:t>在合同有效期内，任何一方因不可抗力事件导致不能履行合同，双方应通过友好协商，确定是否继续履行合同。</w:t>
      </w:r>
    </w:p>
    <w:p>
      <w:pPr>
        <w:pStyle w:val="27"/>
        <w:numPr>
          <w:ilvl w:val="0"/>
          <w:numId w:val="27"/>
        </w:numPr>
        <w:snapToGrid w:val="0"/>
        <w:spacing w:line="360" w:lineRule="auto"/>
        <w:ind w:firstLine="482" w:firstLineChars="200"/>
        <w:outlineLvl w:val="1"/>
        <w:rPr>
          <w:rFonts w:hAnsi="宋体" w:cs="宋体"/>
          <w:b/>
          <w:sz w:val="24"/>
        </w:rPr>
      </w:pPr>
      <w:bookmarkStart w:id="29" w:name="_Toc21992"/>
      <w:bookmarkStart w:id="30" w:name="_Toc16918"/>
      <w:r>
        <w:rPr>
          <w:rFonts w:hint="eastAsia" w:hAnsi="宋体" w:cs="宋体"/>
          <w:b/>
          <w:sz w:val="24"/>
        </w:rPr>
        <w:t>解决争议的方法</w:t>
      </w:r>
      <w:bookmarkEnd w:id="29"/>
      <w:bookmarkEnd w:id="30"/>
    </w:p>
    <w:p>
      <w:pPr>
        <w:pStyle w:val="27"/>
        <w:snapToGrid w:val="0"/>
        <w:spacing w:line="360" w:lineRule="auto"/>
        <w:ind w:firstLine="480" w:firstLineChars="200"/>
        <w:rPr>
          <w:rFonts w:hAnsi="宋体" w:cs="宋体"/>
          <w:kern w:val="0"/>
          <w:sz w:val="24"/>
        </w:rPr>
      </w:pPr>
      <w:r>
        <w:rPr>
          <w:rFonts w:hint="eastAsia" w:hAnsi="宋体" w:cs="宋体"/>
          <w:kern w:val="0"/>
          <w:sz w:val="24"/>
        </w:rPr>
        <w:t>如双方在履行合同时发生纠纷，应协商解决；</w:t>
      </w:r>
      <w:r>
        <w:rPr>
          <w:rFonts w:hAnsi="宋体" w:cs="宋体"/>
          <w:kern w:val="0"/>
          <w:sz w:val="24"/>
        </w:rPr>
        <w:t>协商不成时，可通过</w:t>
      </w:r>
      <w:r>
        <w:rPr>
          <w:rFonts w:hint="eastAsia" w:hAnsi="宋体" w:cs="宋体"/>
          <w:kern w:val="0"/>
          <w:sz w:val="24"/>
        </w:rPr>
        <w:t>第（2）种</w:t>
      </w:r>
      <w:r>
        <w:rPr>
          <w:rFonts w:hAnsi="宋体" w:cs="宋体"/>
          <w:kern w:val="0"/>
          <w:sz w:val="24"/>
        </w:rPr>
        <w:t>方式解决：</w:t>
      </w:r>
    </w:p>
    <w:p>
      <w:pPr>
        <w:pStyle w:val="27"/>
        <w:snapToGrid w:val="0"/>
        <w:spacing w:line="360" w:lineRule="auto"/>
        <w:ind w:firstLine="480" w:firstLineChars="200"/>
        <w:rPr>
          <w:rFonts w:hAnsi="宋体" w:cs="宋体"/>
          <w:kern w:val="0"/>
          <w:sz w:val="24"/>
        </w:rPr>
      </w:pPr>
      <w:r>
        <w:rPr>
          <w:rFonts w:hAnsi="宋体" w:cs="宋体"/>
          <w:kern w:val="0"/>
          <w:sz w:val="24"/>
        </w:rPr>
        <w:t>（1） 提交</w:t>
      </w:r>
      <w:r>
        <w:rPr>
          <w:rFonts w:hAnsi="宋体"/>
          <w:color w:val="FF66CC"/>
          <w:sz w:val="24"/>
          <w:u w:val="single"/>
        </w:rPr>
        <w:t>台州</w:t>
      </w:r>
      <w:r>
        <w:rPr>
          <w:rFonts w:hAnsi="宋体" w:cs="宋体"/>
          <w:kern w:val="0"/>
          <w:sz w:val="24"/>
        </w:rPr>
        <w:t>仲裁委员会仲裁。</w:t>
      </w:r>
    </w:p>
    <w:p>
      <w:pPr>
        <w:pStyle w:val="27"/>
        <w:snapToGrid w:val="0"/>
        <w:spacing w:line="360" w:lineRule="auto"/>
        <w:ind w:firstLine="480" w:firstLineChars="200"/>
        <w:rPr>
          <w:rFonts w:hAnsi="宋体" w:cs="宋体"/>
          <w:kern w:val="0"/>
          <w:sz w:val="24"/>
        </w:rPr>
      </w:pPr>
      <w:r>
        <w:rPr>
          <w:rFonts w:hAnsi="宋体" w:cs="宋体"/>
          <w:kern w:val="0"/>
          <w:sz w:val="24"/>
        </w:rPr>
        <w:t>（2） 依法向</w:t>
      </w:r>
      <w:r>
        <w:rPr>
          <w:rFonts w:hint="eastAsia" w:hAnsi="宋体" w:cs="宋体"/>
          <w:kern w:val="0"/>
          <w:sz w:val="24"/>
        </w:rPr>
        <w:t>甲方所在地</w:t>
      </w:r>
      <w:r>
        <w:rPr>
          <w:rFonts w:hAnsi="宋体" w:cs="宋体"/>
          <w:kern w:val="0"/>
          <w:sz w:val="24"/>
        </w:rPr>
        <w:t>人民法院提起诉讼</w:t>
      </w:r>
      <w:r>
        <w:rPr>
          <w:rFonts w:hint="eastAsia" w:hAnsi="宋体" w:cs="宋体"/>
          <w:kern w:val="0"/>
          <w:sz w:val="24"/>
        </w:rPr>
        <w:t>。</w:t>
      </w:r>
    </w:p>
    <w:p>
      <w:pPr>
        <w:pStyle w:val="27"/>
        <w:numPr>
          <w:ilvl w:val="0"/>
          <w:numId w:val="27"/>
        </w:numPr>
        <w:snapToGrid w:val="0"/>
        <w:spacing w:line="360" w:lineRule="auto"/>
        <w:ind w:firstLine="482" w:firstLineChars="200"/>
        <w:outlineLvl w:val="1"/>
        <w:rPr>
          <w:rFonts w:hAnsi="宋体" w:cs="宋体"/>
          <w:b/>
          <w:sz w:val="24"/>
        </w:rPr>
      </w:pPr>
      <w:bookmarkStart w:id="31" w:name="_Toc4330"/>
      <w:bookmarkStart w:id="32" w:name="_Toc18041"/>
      <w:r>
        <w:rPr>
          <w:rFonts w:hint="eastAsia" w:hAnsi="宋体" w:cs="宋体"/>
          <w:b/>
          <w:sz w:val="24"/>
        </w:rPr>
        <w:t>合同生效及其它</w:t>
      </w:r>
      <w:bookmarkEnd w:id="31"/>
      <w:bookmarkEnd w:id="32"/>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合同经双方法定代表人或授权代表签字并加盖单位公章后生效。</w:t>
      </w:r>
    </w:p>
    <w:p>
      <w:pPr>
        <w:pStyle w:val="27"/>
        <w:numPr>
          <w:ilvl w:val="0"/>
          <w:numId w:val="36"/>
        </w:numPr>
        <w:snapToGrid w:val="0"/>
        <w:spacing w:line="360" w:lineRule="auto"/>
        <w:ind w:firstLine="480" w:firstLineChars="200"/>
        <w:rPr>
          <w:rFonts w:hAnsi="宋体" w:cs="宋体"/>
          <w:sz w:val="24"/>
        </w:rPr>
      </w:pPr>
      <w:r>
        <w:rPr>
          <w:rFonts w:hint="eastAsia" w:hAnsi="宋体" w:cs="宋体"/>
          <w:sz w:val="24"/>
        </w:rPr>
        <w:t>本合同未尽事宜，遵照《中华人民共和国民法典》有关条文执行。</w:t>
      </w:r>
    </w:p>
    <w:p>
      <w:pPr>
        <w:widowControl/>
        <w:numPr>
          <w:ilvl w:val="0"/>
          <w:numId w:val="36"/>
        </w:numPr>
        <w:spacing w:line="360" w:lineRule="auto"/>
        <w:ind w:firstLine="480" w:firstLineChars="200"/>
        <w:rPr>
          <w:rFonts w:ascii="宋体" w:hAnsi="宋体" w:cs="宋体"/>
          <w:bCs/>
          <w:sz w:val="24"/>
        </w:rPr>
      </w:pPr>
      <w:r>
        <w:rPr>
          <w:rFonts w:hint="eastAsia" w:ascii="宋体" w:hAnsi="宋体" w:cs="宋体"/>
          <w:sz w:val="24"/>
        </w:rPr>
        <w:t>本合同一式四份。甲、乙双方各执二份</w:t>
      </w:r>
      <w:r>
        <w:rPr>
          <w:rFonts w:hint="eastAsia" w:ascii="宋体" w:hAnsi="宋体" w:cs="宋体"/>
          <w:bCs/>
          <w:sz w:val="24"/>
        </w:rPr>
        <w:t>。本项目未尽事宜以采购文件、投标文件及澄清文件等为准。</w:t>
      </w:r>
    </w:p>
    <w:p>
      <w:pPr>
        <w:widowControl/>
        <w:spacing w:line="360" w:lineRule="auto"/>
        <w:rPr>
          <w:rFonts w:ascii="宋体" w:hAnsi="宋体" w:cs="宋体"/>
          <w:kern w:val="0"/>
          <w:sz w:val="24"/>
        </w:rPr>
      </w:pPr>
      <w:r>
        <w:rPr>
          <w:rFonts w:hint="eastAsia" w:ascii="宋体" w:hAnsi="宋体" w:cs="宋体"/>
          <w:kern w:val="0"/>
          <w:sz w:val="24"/>
        </w:rPr>
        <w:t>以下无内容：</w:t>
      </w:r>
    </w:p>
    <w:tbl>
      <w:tblPr>
        <w:tblStyle w:val="48"/>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tcPr>
          <w:p>
            <w:pPr>
              <w:pStyle w:val="87"/>
              <w:spacing w:line="334" w:lineRule="exact"/>
              <w:ind w:left="50"/>
              <w:rPr>
                <w:sz w:val="24"/>
              </w:rPr>
            </w:pPr>
            <w:r>
              <w:rPr>
                <w:rFonts w:hint="eastAsia" w:eastAsia="宋体"/>
                <w:sz w:val="24"/>
              </w:rPr>
              <w:t>甲</w:t>
            </w:r>
            <w:r>
              <w:rPr>
                <w:sz w:val="24"/>
              </w:rPr>
              <w:t>方：</w:t>
            </w:r>
          </w:p>
        </w:tc>
        <w:tc>
          <w:tcPr>
            <w:tcW w:w="600" w:type="dxa"/>
          </w:tcPr>
          <w:p>
            <w:pPr>
              <w:pStyle w:val="87"/>
              <w:rPr>
                <w:rFonts w:ascii="Times New Roman"/>
                <w:sz w:val="22"/>
              </w:rPr>
            </w:pPr>
          </w:p>
        </w:tc>
        <w:tc>
          <w:tcPr>
            <w:tcW w:w="600" w:type="dxa"/>
          </w:tcPr>
          <w:p>
            <w:pPr>
              <w:pStyle w:val="87"/>
              <w:rPr>
                <w:rFonts w:ascii="Times New Roman"/>
                <w:sz w:val="22"/>
              </w:rPr>
            </w:pPr>
          </w:p>
        </w:tc>
        <w:tc>
          <w:tcPr>
            <w:tcW w:w="1620" w:type="dxa"/>
          </w:tcPr>
          <w:p>
            <w:pPr>
              <w:pStyle w:val="87"/>
              <w:rPr>
                <w:rFonts w:ascii="Times New Roman"/>
                <w:sz w:val="22"/>
              </w:rPr>
            </w:pPr>
          </w:p>
        </w:tc>
        <w:tc>
          <w:tcPr>
            <w:tcW w:w="3890" w:type="dxa"/>
          </w:tcPr>
          <w:p>
            <w:pPr>
              <w:pStyle w:val="87"/>
              <w:spacing w:line="334" w:lineRule="exact"/>
              <w:rPr>
                <w:sz w:val="24"/>
              </w:rPr>
            </w:pPr>
            <w:r>
              <w:rPr>
                <w:rFonts w:hint="eastAsia" w:eastAsia="宋体"/>
                <w:sz w:val="24"/>
              </w:rPr>
              <w:t>乙</w:t>
            </w:r>
            <w:r>
              <w:rPr>
                <w:sz w:val="24"/>
              </w:rPr>
              <w:t>方：</w:t>
            </w:r>
          </w:p>
        </w:tc>
      </w:tr>
      <w:tr>
        <w:tblPrEx>
          <w:tblCellMar>
            <w:top w:w="0" w:type="dxa"/>
            <w:left w:w="0" w:type="dxa"/>
            <w:bottom w:w="0" w:type="dxa"/>
            <w:right w:w="0" w:type="dxa"/>
          </w:tblCellMar>
        </w:tblPrEx>
        <w:trPr>
          <w:trHeight w:val="467" w:hRule="atLeast"/>
        </w:trPr>
        <w:tc>
          <w:tcPr>
            <w:tcW w:w="1670" w:type="dxa"/>
          </w:tcPr>
          <w:p>
            <w:pPr>
              <w:pStyle w:val="87"/>
              <w:spacing w:line="448" w:lineRule="exact"/>
              <w:ind w:left="50"/>
              <w:rPr>
                <w:sz w:val="24"/>
              </w:rPr>
            </w:pPr>
            <w:r>
              <w:rPr>
                <w:sz w:val="24"/>
              </w:rPr>
              <w:t>地址：</w:t>
            </w:r>
          </w:p>
        </w:tc>
        <w:tc>
          <w:tcPr>
            <w:tcW w:w="600" w:type="dxa"/>
          </w:tcPr>
          <w:p>
            <w:pPr>
              <w:pStyle w:val="87"/>
              <w:rPr>
                <w:rFonts w:ascii="Times New Roman"/>
                <w:sz w:val="22"/>
              </w:rPr>
            </w:pPr>
          </w:p>
        </w:tc>
        <w:tc>
          <w:tcPr>
            <w:tcW w:w="600" w:type="dxa"/>
          </w:tcPr>
          <w:p>
            <w:pPr>
              <w:pStyle w:val="87"/>
              <w:rPr>
                <w:rFonts w:ascii="Times New Roman"/>
                <w:sz w:val="22"/>
              </w:rPr>
            </w:pPr>
          </w:p>
        </w:tc>
        <w:tc>
          <w:tcPr>
            <w:tcW w:w="1620" w:type="dxa"/>
          </w:tcPr>
          <w:p>
            <w:pPr>
              <w:pStyle w:val="87"/>
              <w:rPr>
                <w:rFonts w:ascii="Times New Roman"/>
                <w:sz w:val="22"/>
              </w:rPr>
            </w:pPr>
          </w:p>
        </w:tc>
        <w:tc>
          <w:tcPr>
            <w:tcW w:w="3890" w:type="dxa"/>
          </w:tcPr>
          <w:p>
            <w:pPr>
              <w:pStyle w:val="87"/>
              <w:spacing w:line="448" w:lineRule="exact"/>
              <w:jc w:val="left"/>
              <w:rPr>
                <w:sz w:val="24"/>
              </w:rPr>
            </w:pPr>
            <w:r>
              <w:rPr>
                <w:sz w:val="24"/>
              </w:rPr>
              <w:t>地址：</w:t>
            </w:r>
          </w:p>
        </w:tc>
      </w:tr>
      <w:tr>
        <w:tblPrEx>
          <w:tblCellMar>
            <w:top w:w="0" w:type="dxa"/>
            <w:left w:w="0" w:type="dxa"/>
            <w:bottom w:w="0" w:type="dxa"/>
            <w:right w:w="0" w:type="dxa"/>
          </w:tblCellMar>
        </w:tblPrEx>
        <w:trPr>
          <w:trHeight w:val="468" w:hRule="atLeast"/>
        </w:trPr>
        <w:tc>
          <w:tcPr>
            <w:tcW w:w="1670" w:type="dxa"/>
          </w:tcPr>
          <w:p>
            <w:pPr>
              <w:pStyle w:val="87"/>
              <w:spacing w:line="448" w:lineRule="exact"/>
              <w:ind w:left="50"/>
              <w:rPr>
                <w:sz w:val="24"/>
              </w:rPr>
            </w:pPr>
            <w:r>
              <w:rPr>
                <w:sz w:val="24"/>
              </w:rPr>
              <w:t>法定代表人：</w:t>
            </w:r>
          </w:p>
        </w:tc>
        <w:tc>
          <w:tcPr>
            <w:tcW w:w="600" w:type="dxa"/>
          </w:tcPr>
          <w:p>
            <w:pPr>
              <w:pStyle w:val="87"/>
              <w:rPr>
                <w:rFonts w:ascii="Times New Roman"/>
                <w:sz w:val="22"/>
              </w:rPr>
            </w:pPr>
          </w:p>
        </w:tc>
        <w:tc>
          <w:tcPr>
            <w:tcW w:w="600" w:type="dxa"/>
          </w:tcPr>
          <w:p>
            <w:pPr>
              <w:pStyle w:val="87"/>
              <w:rPr>
                <w:rFonts w:ascii="Times New Roman"/>
                <w:sz w:val="22"/>
              </w:rPr>
            </w:pPr>
          </w:p>
        </w:tc>
        <w:tc>
          <w:tcPr>
            <w:tcW w:w="1620" w:type="dxa"/>
          </w:tcPr>
          <w:p>
            <w:pPr>
              <w:pStyle w:val="87"/>
              <w:rPr>
                <w:rFonts w:ascii="Times New Roman"/>
                <w:sz w:val="22"/>
              </w:rPr>
            </w:pPr>
          </w:p>
        </w:tc>
        <w:tc>
          <w:tcPr>
            <w:tcW w:w="3890" w:type="dxa"/>
          </w:tcPr>
          <w:p>
            <w:pPr>
              <w:pStyle w:val="87"/>
              <w:spacing w:line="448" w:lineRule="exact"/>
              <w:rPr>
                <w:sz w:val="24"/>
              </w:rPr>
            </w:pPr>
            <w:r>
              <w:rPr>
                <w:sz w:val="24"/>
              </w:rPr>
              <w:t>法定代表人：</w:t>
            </w:r>
          </w:p>
        </w:tc>
      </w:tr>
      <w:tr>
        <w:tblPrEx>
          <w:tblCellMar>
            <w:top w:w="0" w:type="dxa"/>
            <w:left w:w="0" w:type="dxa"/>
            <w:bottom w:w="0" w:type="dxa"/>
            <w:right w:w="0" w:type="dxa"/>
          </w:tblCellMar>
        </w:tblPrEx>
        <w:trPr>
          <w:trHeight w:val="468" w:hRule="atLeast"/>
        </w:trPr>
        <w:tc>
          <w:tcPr>
            <w:tcW w:w="1670" w:type="dxa"/>
          </w:tcPr>
          <w:p>
            <w:pPr>
              <w:pStyle w:val="87"/>
              <w:spacing w:line="448" w:lineRule="exact"/>
              <w:ind w:left="50"/>
              <w:rPr>
                <w:sz w:val="24"/>
              </w:rPr>
            </w:pPr>
            <w:r>
              <w:rPr>
                <w:rFonts w:hint="eastAsia"/>
                <w:sz w:val="24"/>
              </w:rPr>
              <w:t>或授权代表:</w:t>
            </w:r>
          </w:p>
        </w:tc>
        <w:tc>
          <w:tcPr>
            <w:tcW w:w="600" w:type="dxa"/>
          </w:tcPr>
          <w:p>
            <w:pPr>
              <w:pStyle w:val="87"/>
              <w:rPr>
                <w:rFonts w:ascii="Times New Roman"/>
                <w:sz w:val="22"/>
              </w:rPr>
            </w:pPr>
          </w:p>
        </w:tc>
        <w:tc>
          <w:tcPr>
            <w:tcW w:w="600" w:type="dxa"/>
          </w:tcPr>
          <w:p>
            <w:pPr>
              <w:pStyle w:val="87"/>
              <w:rPr>
                <w:rFonts w:ascii="Times New Roman"/>
                <w:sz w:val="22"/>
              </w:rPr>
            </w:pPr>
          </w:p>
        </w:tc>
        <w:tc>
          <w:tcPr>
            <w:tcW w:w="1620" w:type="dxa"/>
          </w:tcPr>
          <w:p>
            <w:pPr>
              <w:pStyle w:val="87"/>
              <w:rPr>
                <w:rFonts w:ascii="Times New Roman"/>
                <w:sz w:val="22"/>
              </w:rPr>
            </w:pPr>
          </w:p>
        </w:tc>
        <w:tc>
          <w:tcPr>
            <w:tcW w:w="3890" w:type="dxa"/>
          </w:tcPr>
          <w:p>
            <w:pPr>
              <w:pStyle w:val="87"/>
              <w:spacing w:line="448" w:lineRule="exact"/>
              <w:rPr>
                <w:sz w:val="24"/>
              </w:rPr>
            </w:pPr>
            <w:r>
              <w:rPr>
                <w:rFonts w:hint="eastAsia"/>
                <w:sz w:val="24"/>
              </w:rPr>
              <w:t>或授权代表:</w:t>
            </w:r>
          </w:p>
        </w:tc>
      </w:tr>
      <w:tr>
        <w:tblPrEx>
          <w:tblCellMar>
            <w:top w:w="0" w:type="dxa"/>
            <w:left w:w="0" w:type="dxa"/>
            <w:bottom w:w="0" w:type="dxa"/>
            <w:right w:w="0" w:type="dxa"/>
          </w:tblCellMar>
        </w:tblPrEx>
        <w:trPr>
          <w:trHeight w:val="468" w:hRule="atLeast"/>
        </w:trPr>
        <w:tc>
          <w:tcPr>
            <w:tcW w:w="1670" w:type="dxa"/>
          </w:tcPr>
          <w:p>
            <w:pPr>
              <w:pStyle w:val="87"/>
              <w:spacing w:line="448" w:lineRule="exact"/>
              <w:ind w:left="50"/>
              <w:rPr>
                <w:sz w:val="24"/>
              </w:rPr>
            </w:pPr>
            <w:r>
              <w:rPr>
                <w:sz w:val="24"/>
              </w:rPr>
              <w:t>联系方式：</w:t>
            </w:r>
          </w:p>
        </w:tc>
        <w:tc>
          <w:tcPr>
            <w:tcW w:w="600" w:type="dxa"/>
          </w:tcPr>
          <w:p>
            <w:pPr>
              <w:pStyle w:val="87"/>
              <w:rPr>
                <w:rFonts w:ascii="Times New Roman"/>
                <w:sz w:val="22"/>
              </w:rPr>
            </w:pPr>
          </w:p>
        </w:tc>
        <w:tc>
          <w:tcPr>
            <w:tcW w:w="600" w:type="dxa"/>
          </w:tcPr>
          <w:p>
            <w:pPr>
              <w:pStyle w:val="87"/>
              <w:rPr>
                <w:rFonts w:ascii="Times New Roman"/>
                <w:sz w:val="22"/>
              </w:rPr>
            </w:pPr>
          </w:p>
        </w:tc>
        <w:tc>
          <w:tcPr>
            <w:tcW w:w="1620" w:type="dxa"/>
          </w:tcPr>
          <w:p>
            <w:pPr>
              <w:pStyle w:val="87"/>
              <w:rPr>
                <w:rFonts w:ascii="Times New Roman"/>
                <w:sz w:val="22"/>
              </w:rPr>
            </w:pPr>
          </w:p>
        </w:tc>
        <w:tc>
          <w:tcPr>
            <w:tcW w:w="3890" w:type="dxa"/>
          </w:tcPr>
          <w:p>
            <w:pPr>
              <w:pStyle w:val="87"/>
              <w:spacing w:line="448" w:lineRule="exact"/>
              <w:rPr>
                <w:sz w:val="24"/>
              </w:rPr>
            </w:pPr>
            <w:r>
              <w:rPr>
                <w:sz w:val="24"/>
              </w:rPr>
              <w:t>联系方式：</w:t>
            </w:r>
          </w:p>
        </w:tc>
      </w:tr>
      <w:tr>
        <w:tblPrEx>
          <w:tblCellMar>
            <w:top w:w="0" w:type="dxa"/>
            <w:left w:w="0" w:type="dxa"/>
            <w:bottom w:w="0" w:type="dxa"/>
            <w:right w:w="0" w:type="dxa"/>
          </w:tblCellMar>
        </w:tblPrEx>
        <w:trPr>
          <w:trHeight w:val="467" w:hRule="atLeast"/>
        </w:trPr>
        <w:tc>
          <w:tcPr>
            <w:tcW w:w="1670" w:type="dxa"/>
          </w:tcPr>
          <w:p>
            <w:pPr>
              <w:pStyle w:val="87"/>
              <w:spacing w:line="448" w:lineRule="exact"/>
              <w:ind w:left="50"/>
              <w:rPr>
                <w:sz w:val="24"/>
              </w:rPr>
            </w:pPr>
            <w:r>
              <w:rPr>
                <w:sz w:val="24"/>
              </w:rPr>
              <w:t>开户行：</w:t>
            </w:r>
          </w:p>
        </w:tc>
        <w:tc>
          <w:tcPr>
            <w:tcW w:w="600" w:type="dxa"/>
          </w:tcPr>
          <w:p>
            <w:pPr>
              <w:pStyle w:val="87"/>
              <w:rPr>
                <w:rFonts w:ascii="Times New Roman"/>
                <w:sz w:val="22"/>
              </w:rPr>
            </w:pPr>
          </w:p>
        </w:tc>
        <w:tc>
          <w:tcPr>
            <w:tcW w:w="600" w:type="dxa"/>
          </w:tcPr>
          <w:p>
            <w:pPr>
              <w:pStyle w:val="87"/>
              <w:rPr>
                <w:rFonts w:ascii="Times New Roman"/>
                <w:sz w:val="22"/>
              </w:rPr>
            </w:pPr>
          </w:p>
        </w:tc>
        <w:tc>
          <w:tcPr>
            <w:tcW w:w="1620" w:type="dxa"/>
          </w:tcPr>
          <w:p>
            <w:pPr>
              <w:pStyle w:val="87"/>
              <w:rPr>
                <w:rFonts w:ascii="Times New Roman"/>
                <w:sz w:val="22"/>
              </w:rPr>
            </w:pPr>
          </w:p>
        </w:tc>
        <w:tc>
          <w:tcPr>
            <w:tcW w:w="3890" w:type="dxa"/>
          </w:tcPr>
          <w:p>
            <w:pPr>
              <w:pStyle w:val="87"/>
              <w:spacing w:line="448" w:lineRule="exact"/>
              <w:rPr>
                <w:sz w:val="24"/>
              </w:rPr>
            </w:pPr>
            <w:r>
              <w:rPr>
                <w:sz w:val="24"/>
              </w:rPr>
              <w:t>开户行：</w:t>
            </w:r>
          </w:p>
        </w:tc>
      </w:tr>
      <w:tr>
        <w:tblPrEx>
          <w:tblCellMar>
            <w:top w:w="0" w:type="dxa"/>
            <w:left w:w="0" w:type="dxa"/>
            <w:bottom w:w="0" w:type="dxa"/>
            <w:right w:w="0" w:type="dxa"/>
          </w:tblCellMar>
        </w:tblPrEx>
        <w:trPr>
          <w:trHeight w:val="468" w:hRule="atLeast"/>
        </w:trPr>
        <w:tc>
          <w:tcPr>
            <w:tcW w:w="1670" w:type="dxa"/>
          </w:tcPr>
          <w:p>
            <w:pPr>
              <w:pStyle w:val="87"/>
              <w:spacing w:line="448" w:lineRule="exact"/>
              <w:ind w:left="50"/>
              <w:rPr>
                <w:sz w:val="24"/>
              </w:rPr>
            </w:pPr>
            <w:r>
              <w:rPr>
                <w:sz w:val="24"/>
              </w:rPr>
              <w:t>账号：</w:t>
            </w:r>
          </w:p>
        </w:tc>
        <w:tc>
          <w:tcPr>
            <w:tcW w:w="600" w:type="dxa"/>
          </w:tcPr>
          <w:p>
            <w:pPr>
              <w:pStyle w:val="87"/>
              <w:rPr>
                <w:rFonts w:ascii="Times New Roman"/>
                <w:sz w:val="22"/>
              </w:rPr>
            </w:pPr>
          </w:p>
        </w:tc>
        <w:tc>
          <w:tcPr>
            <w:tcW w:w="600" w:type="dxa"/>
          </w:tcPr>
          <w:p>
            <w:pPr>
              <w:pStyle w:val="87"/>
              <w:rPr>
                <w:rFonts w:ascii="Times New Roman"/>
                <w:sz w:val="22"/>
              </w:rPr>
            </w:pPr>
          </w:p>
        </w:tc>
        <w:tc>
          <w:tcPr>
            <w:tcW w:w="1620" w:type="dxa"/>
          </w:tcPr>
          <w:p>
            <w:pPr>
              <w:pStyle w:val="87"/>
              <w:rPr>
                <w:rFonts w:ascii="Times New Roman"/>
                <w:sz w:val="22"/>
              </w:rPr>
            </w:pPr>
          </w:p>
        </w:tc>
        <w:tc>
          <w:tcPr>
            <w:tcW w:w="3890" w:type="dxa"/>
          </w:tcPr>
          <w:p>
            <w:pPr>
              <w:pStyle w:val="87"/>
              <w:spacing w:line="448" w:lineRule="exact"/>
              <w:rPr>
                <w:sz w:val="24"/>
              </w:rPr>
            </w:pPr>
            <w:r>
              <w:rPr>
                <w:sz w:val="24"/>
              </w:rPr>
              <w:t>账号：</w:t>
            </w:r>
          </w:p>
        </w:tc>
      </w:tr>
      <w:tr>
        <w:tblPrEx>
          <w:tblCellMar>
            <w:top w:w="0" w:type="dxa"/>
            <w:left w:w="0" w:type="dxa"/>
            <w:bottom w:w="0" w:type="dxa"/>
            <w:right w:w="0" w:type="dxa"/>
          </w:tblCellMar>
        </w:tblPrEx>
        <w:trPr>
          <w:trHeight w:val="354" w:hRule="atLeast"/>
        </w:trPr>
        <w:tc>
          <w:tcPr>
            <w:tcW w:w="1670" w:type="dxa"/>
          </w:tcPr>
          <w:p>
            <w:pPr>
              <w:pStyle w:val="87"/>
              <w:spacing w:line="334" w:lineRule="exact"/>
              <w:ind w:left="50"/>
              <w:rPr>
                <w:sz w:val="24"/>
              </w:rPr>
            </w:pPr>
            <w:r>
              <w:rPr>
                <w:sz w:val="24"/>
              </w:rPr>
              <w:t>签字日期：</w:t>
            </w:r>
          </w:p>
        </w:tc>
        <w:tc>
          <w:tcPr>
            <w:tcW w:w="600" w:type="dxa"/>
          </w:tcPr>
          <w:p>
            <w:pPr>
              <w:pStyle w:val="87"/>
              <w:spacing w:line="334" w:lineRule="exact"/>
              <w:ind w:left="179"/>
              <w:rPr>
                <w:sz w:val="24"/>
              </w:rPr>
            </w:pPr>
            <w:r>
              <w:rPr>
                <w:sz w:val="24"/>
              </w:rPr>
              <w:t>年</w:t>
            </w:r>
          </w:p>
        </w:tc>
        <w:tc>
          <w:tcPr>
            <w:tcW w:w="600" w:type="dxa"/>
          </w:tcPr>
          <w:p>
            <w:pPr>
              <w:pStyle w:val="87"/>
              <w:spacing w:line="334" w:lineRule="exact"/>
              <w:ind w:left="179"/>
              <w:rPr>
                <w:sz w:val="24"/>
              </w:rPr>
            </w:pPr>
            <w:r>
              <w:rPr>
                <w:sz w:val="24"/>
              </w:rPr>
              <w:t>月</w:t>
            </w:r>
          </w:p>
        </w:tc>
        <w:tc>
          <w:tcPr>
            <w:tcW w:w="1620" w:type="dxa"/>
          </w:tcPr>
          <w:p>
            <w:pPr>
              <w:pStyle w:val="87"/>
              <w:spacing w:line="334" w:lineRule="exact"/>
              <w:ind w:left="179"/>
              <w:rPr>
                <w:sz w:val="24"/>
              </w:rPr>
            </w:pPr>
            <w:r>
              <w:rPr>
                <w:sz w:val="24"/>
              </w:rPr>
              <w:t>日</w:t>
            </w:r>
          </w:p>
        </w:tc>
        <w:tc>
          <w:tcPr>
            <w:tcW w:w="3890" w:type="dxa"/>
          </w:tcPr>
          <w:p>
            <w:pPr>
              <w:pStyle w:val="87"/>
              <w:rPr>
                <w:rFonts w:ascii="Times New Roman"/>
                <w:sz w:val="22"/>
              </w:rPr>
            </w:pPr>
          </w:p>
        </w:tc>
      </w:tr>
    </w:tbl>
    <w:p>
      <w:pPr>
        <w:rPr>
          <w:rFonts w:ascii="宋体" w:hAnsi="宋体" w:cs="宋体"/>
          <w:b/>
          <w:sz w:val="36"/>
          <w:szCs w:val="36"/>
        </w:rPr>
      </w:pPr>
      <w:r>
        <w:rPr>
          <w:rFonts w:hint="eastAsia" w:ascii="宋体" w:hAnsi="宋体" w:cs="宋体"/>
          <w:b/>
          <w:sz w:val="36"/>
          <w:szCs w:val="36"/>
        </w:rPr>
        <w:br w:type="page"/>
      </w:r>
    </w:p>
    <w:p>
      <w:pPr>
        <w:numPr>
          <w:ilvl w:val="0"/>
          <w:numId w:val="23"/>
        </w:numPr>
        <w:spacing w:line="360" w:lineRule="auto"/>
        <w:jc w:val="center"/>
        <w:rPr>
          <w:rFonts w:ascii="宋体" w:hAnsi="宋体" w:cs="宋体"/>
          <w:b/>
          <w:sz w:val="36"/>
          <w:szCs w:val="36"/>
        </w:rPr>
      </w:pPr>
      <w:r>
        <w:rPr>
          <w:rFonts w:hint="eastAsia" w:ascii="宋体" w:hAnsi="宋体" w:cs="宋体"/>
          <w:b/>
          <w:sz w:val="36"/>
          <w:szCs w:val="36"/>
        </w:rPr>
        <w:t>投标文件格式附件</w:t>
      </w:r>
    </w:p>
    <w:p>
      <w:pPr>
        <w:rPr>
          <w:rFonts w:ascii="宋体" w:hAnsi="宋体" w:cs="宋体"/>
          <w:b/>
          <w:sz w:val="30"/>
          <w:szCs w:val="30"/>
        </w:rPr>
      </w:pPr>
      <w:r>
        <w:rPr>
          <w:rFonts w:hint="eastAsia" w:ascii="宋体" w:hAnsi="宋体" w:cs="宋体"/>
          <w:b/>
          <w:kern w:val="0"/>
          <w:sz w:val="28"/>
          <w:szCs w:val="28"/>
        </w:rPr>
        <w:t>附件1</w:t>
      </w:r>
      <w:r>
        <w:rPr>
          <w:rFonts w:hint="eastAsia" w:ascii="宋体" w:hAnsi="宋体" w:cs="宋体"/>
          <w:sz w:val="30"/>
          <w:szCs w:val="30"/>
        </w:rPr>
        <w:t xml:space="preserve"> 　　　</w:t>
      </w:r>
    </w:p>
    <w:p>
      <w:pPr>
        <w:spacing w:before="319" w:beforeLines="100" w:line="360" w:lineRule="auto"/>
        <w:ind w:right="-108"/>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cs="宋体"/>
          <w:b/>
          <w:spacing w:val="40"/>
          <w:sz w:val="28"/>
          <w:szCs w:val="28"/>
        </w:rPr>
      </w:pPr>
      <w:r>
        <w:rPr>
          <w:rFonts w:hint="eastAsia" w:ascii="宋体" w:hAnsi="宋体" w:cs="宋体"/>
          <w:sz w:val="28"/>
          <w:szCs w:val="28"/>
          <w:lang w:val="zh-CN"/>
        </w:rPr>
        <w:t>（</w:t>
      </w:r>
      <w:r>
        <w:rPr>
          <w:rFonts w:hint="eastAsia" w:ascii="宋体" w:hAnsi="宋体" w:cs="宋体"/>
          <w:b/>
          <w:spacing w:val="40"/>
          <w:sz w:val="28"/>
          <w:szCs w:val="28"/>
        </w:rPr>
        <w:t>资格证明文件）</w:t>
      </w:r>
    </w:p>
    <w:p>
      <w:pPr>
        <w:spacing w:line="360" w:lineRule="auto"/>
        <w:ind w:right="532" w:firstLine="720" w:firstLineChars="200"/>
        <w:rPr>
          <w:rFonts w:ascii="宋体" w:hAnsi="宋体" w:cs="宋体"/>
          <w:sz w:val="36"/>
          <w:szCs w:val="36"/>
        </w:rPr>
      </w:pPr>
      <w:r>
        <w:rPr>
          <w:rFonts w:hint="eastAsia" w:ascii="宋体" w:hAnsi="宋体" w:cs="宋体"/>
          <w:sz w:val="36"/>
          <w:szCs w:val="36"/>
        </w:rPr>
        <w:t>投标人全称（公章或CA签章）：</w:t>
      </w:r>
    </w:p>
    <w:p>
      <w:pPr>
        <w:spacing w:line="360" w:lineRule="auto"/>
        <w:ind w:right="532"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before="50" w:after="50" w:line="360" w:lineRule="auto"/>
        <w:rPr>
          <w:rFonts w:ascii="宋体" w:hAnsi="宋体" w:cs="宋体"/>
          <w:b/>
          <w:sz w:val="36"/>
          <w:szCs w:val="36"/>
        </w:rPr>
      </w:pPr>
    </w:p>
    <w:p>
      <w:pPr>
        <w:snapToGrid w:val="0"/>
        <w:spacing w:before="50" w:after="50" w:line="360" w:lineRule="auto"/>
        <w:rPr>
          <w:rFonts w:ascii="宋体" w:hAnsi="宋体" w:cs="宋体"/>
          <w:b/>
          <w:sz w:val="36"/>
          <w:szCs w:val="36"/>
        </w:rPr>
      </w:pPr>
    </w:p>
    <w:p>
      <w:pPr>
        <w:snapToGrid w:val="0"/>
        <w:spacing w:before="50" w:after="50" w:line="360" w:lineRule="auto"/>
        <w:rPr>
          <w:rFonts w:ascii="宋体" w:hAnsi="宋体" w:cs="宋体"/>
          <w:b/>
          <w:sz w:val="36"/>
          <w:szCs w:val="36"/>
        </w:rPr>
      </w:pPr>
    </w:p>
    <w:p>
      <w:pPr>
        <w:snapToGrid w:val="0"/>
        <w:spacing w:before="50" w:after="50" w:line="360" w:lineRule="auto"/>
        <w:jc w:val="center"/>
        <w:rPr>
          <w:rFonts w:ascii="宋体" w:hAnsi="宋体" w:cs="宋体"/>
          <w:b/>
          <w:bCs/>
          <w:sz w:val="36"/>
          <w:szCs w:val="36"/>
        </w:rPr>
      </w:pPr>
      <w:r>
        <w:rPr>
          <w:rFonts w:hint="eastAsia" w:ascii="宋体" w:hAnsi="宋体" w:cs="宋体"/>
          <w:b/>
          <w:bCs/>
          <w:sz w:val="36"/>
          <w:szCs w:val="36"/>
        </w:rPr>
        <w:t>资格证明文件目录</w:t>
      </w:r>
    </w:p>
    <w:p>
      <w:pPr>
        <w:snapToGrid w:val="0"/>
        <w:spacing w:before="50" w:after="50" w:line="360" w:lineRule="auto"/>
        <w:jc w:val="center"/>
        <w:rPr>
          <w:rFonts w:ascii="宋体" w:hAnsi="宋体" w:cs="宋体"/>
          <w:b/>
          <w:bCs/>
          <w:sz w:val="36"/>
          <w:szCs w:val="36"/>
        </w:rPr>
      </w:pP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（1）投标声明书（附件2）；</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（2）授权委托书（附件3，法定代表人亲自办理投标事宜的，则无需提交本证明书)；</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（3）法人或者其他组织的营业执照等证明文件，自然人的身份证明；</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（4）具有良好的商业信誉和健全的财务会计制度的承诺（附件4）；</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（5）依法缴纳税收和社会保障资金的承诺（附件5）；</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（6）参加政府采购活动前三年内，在经营活动中没有重大违法记录（附件6）；</w:t>
      </w:r>
    </w:p>
    <w:p>
      <w:pPr>
        <w:snapToGrid w:val="0"/>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（7）提供采购公告中符合供应商特定条件的有效资质证书复印件（投标供应商特定条件中有要求的必须提供），以及需要说明的其他资料。</w:t>
      </w:r>
    </w:p>
    <w:p/>
    <w:p>
      <w:pPr>
        <w:spacing w:line="360" w:lineRule="auto"/>
        <w:ind w:firstLine="281" w:firstLineChars="100"/>
        <w:rPr>
          <w:rFonts w:ascii="宋体" w:hAnsi="宋体" w:cs="宋体"/>
          <w:b/>
          <w:sz w:val="28"/>
        </w:rPr>
      </w:pPr>
    </w:p>
    <w:p>
      <w:pPr>
        <w:pStyle w:val="45"/>
        <w:rPr>
          <w:rFonts w:ascii="宋体" w:hAnsi="宋体" w:cs="宋体"/>
          <w:sz w:val="28"/>
        </w:rPr>
      </w:pPr>
    </w:p>
    <w:p>
      <w:pPr>
        <w:rPr>
          <w:rFonts w:ascii="宋体" w:hAnsi="宋体" w:cs="宋体"/>
          <w:b/>
          <w:sz w:val="28"/>
        </w:rPr>
      </w:pPr>
    </w:p>
    <w:p>
      <w:pPr>
        <w:pStyle w:val="45"/>
        <w:rPr>
          <w:rFonts w:ascii="宋体" w:hAnsi="宋体" w:cs="宋体"/>
          <w:sz w:val="28"/>
        </w:rPr>
      </w:pPr>
    </w:p>
    <w:p/>
    <w:p>
      <w:pPr>
        <w:spacing w:line="360" w:lineRule="auto"/>
        <w:ind w:left="420"/>
        <w:rPr>
          <w:rFonts w:ascii="宋体" w:hAnsi="宋体" w:cs="宋体"/>
          <w:b/>
          <w:sz w:val="28"/>
        </w:rPr>
      </w:pPr>
    </w:p>
    <w:p>
      <w:pPr>
        <w:spacing w:line="360" w:lineRule="auto"/>
        <w:ind w:left="420"/>
        <w:rPr>
          <w:rFonts w:ascii="宋体" w:hAnsi="宋体" w:cs="宋体"/>
          <w:b/>
          <w:sz w:val="28"/>
        </w:rPr>
      </w:pPr>
    </w:p>
    <w:p>
      <w:pPr>
        <w:spacing w:line="360" w:lineRule="auto"/>
        <w:ind w:left="420"/>
        <w:rPr>
          <w:rFonts w:ascii="宋体" w:hAnsi="宋体" w:cs="宋体"/>
          <w:b/>
          <w:sz w:val="28"/>
        </w:rPr>
      </w:pPr>
    </w:p>
    <w:p>
      <w:pPr>
        <w:pStyle w:val="21"/>
      </w:pPr>
    </w:p>
    <w:p>
      <w:pPr>
        <w:spacing w:line="360" w:lineRule="auto"/>
        <w:ind w:left="420"/>
        <w:rPr>
          <w:rFonts w:ascii="宋体" w:hAnsi="宋体" w:cs="宋体"/>
          <w:b/>
          <w:sz w:val="28"/>
        </w:rPr>
      </w:pPr>
    </w:p>
    <w:p>
      <w:pPr>
        <w:pStyle w:val="62"/>
      </w:pPr>
    </w:p>
    <w:p>
      <w:r>
        <w:br w:type="page"/>
      </w:r>
    </w:p>
    <w:p>
      <w:pPr>
        <w:pStyle w:val="62"/>
      </w:pPr>
    </w:p>
    <w:p>
      <w:pPr>
        <w:spacing w:line="360" w:lineRule="auto"/>
        <w:rPr>
          <w:rFonts w:ascii="宋体" w:hAnsi="宋体" w:cs="宋体"/>
          <w:b/>
          <w:sz w:val="28"/>
        </w:rPr>
      </w:pPr>
      <w:r>
        <w:rPr>
          <w:rFonts w:hint="eastAsia" w:ascii="宋体" w:hAnsi="宋体" w:cs="宋体"/>
          <w:b/>
          <w:sz w:val="28"/>
        </w:rPr>
        <w:t>附件2</w:t>
      </w:r>
    </w:p>
    <w:p>
      <w:pPr>
        <w:adjustRightInd w:val="0"/>
        <w:snapToGrid w:val="0"/>
        <w:spacing w:line="360" w:lineRule="auto"/>
        <w:ind w:right="480"/>
        <w:jc w:val="center"/>
        <w:rPr>
          <w:rFonts w:ascii="宋体" w:hAnsi="宋体" w:cs="宋体"/>
          <w:b/>
          <w:kern w:val="0"/>
          <w:sz w:val="32"/>
          <w:szCs w:val="32"/>
          <w:lang w:val="zh-CN"/>
        </w:rPr>
      </w:pPr>
      <w:r>
        <w:rPr>
          <w:rFonts w:hint="eastAsia" w:ascii="宋体" w:hAnsi="宋体" w:cs="宋体"/>
          <w:b/>
          <w:kern w:val="0"/>
          <w:sz w:val="32"/>
          <w:szCs w:val="32"/>
          <w:lang w:val="zh-CN"/>
        </w:rPr>
        <w:t>投标声明书</w:t>
      </w:r>
    </w:p>
    <w:p>
      <w:pPr>
        <w:snapToGrid w:val="0"/>
        <w:spacing w:line="288" w:lineRule="auto"/>
        <w:ind w:firstLine="480" w:firstLineChars="200"/>
        <w:rPr>
          <w:rFonts w:ascii="宋体" w:hAnsi="宋体" w:cs="宋体"/>
          <w:kern w:val="0"/>
          <w:sz w:val="24"/>
        </w:rPr>
      </w:pPr>
      <w:r>
        <w:rPr>
          <w:rFonts w:hint="eastAsia" w:ascii="宋体" w:hAnsi="宋体" w:cs="宋体"/>
          <w:kern w:val="0"/>
          <w:sz w:val="24"/>
        </w:rPr>
        <w:t>台州市玖诚工程管理有限公司：</w:t>
      </w:r>
    </w:p>
    <w:p>
      <w:pPr>
        <w:snapToGrid w:val="0"/>
        <w:spacing w:line="324"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lang w:eastAsia="zh-CN"/>
        </w:rPr>
        <w:t>台州市三梅中学网络及安全设备采购项目</w:t>
      </w:r>
      <w:r>
        <w:rPr>
          <w:rFonts w:hint="eastAsia" w:ascii="宋体" w:hAnsi="宋体" w:cs="宋体"/>
          <w:kern w:val="0"/>
          <w:sz w:val="24"/>
        </w:rPr>
        <w:t>（编号为</w:t>
      </w:r>
      <w:r>
        <w:rPr>
          <w:rFonts w:hint="eastAsia" w:ascii="宋体" w:hAnsi="宋体" w:cs="宋体"/>
          <w:kern w:val="0"/>
          <w:sz w:val="24"/>
          <w:lang w:eastAsia="zh-CN"/>
        </w:rPr>
        <w:t>JC-GK2024-004</w:t>
      </w:r>
      <w:r>
        <w:rPr>
          <w:rFonts w:hint="eastAsia" w:ascii="宋体" w:hAnsi="宋体" w:cs="宋体"/>
          <w:kern w:val="0"/>
          <w:sz w:val="24"/>
        </w:rPr>
        <w:t>号）的投标，为此，我公司就本次投标有关事项郑重声明如下：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宋体" w:hAnsi="宋体" w:cs="宋体"/>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3、我</w:t>
      </w:r>
      <w:r>
        <w:rPr>
          <w:rFonts w:hint="eastAsia" w:ascii="宋体" w:hAnsi="宋体" w:cs="宋体"/>
          <w:kern w:val="0"/>
          <w:sz w:val="24"/>
          <w:lang w:val="zh-CN"/>
        </w:rPr>
        <w:t>公司</w:t>
      </w:r>
      <w:r>
        <w:rPr>
          <w:rFonts w:hint="eastAsia" w:ascii="宋体" w:hAnsi="宋体" w:cs="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kern w:val="0"/>
          <w:sz w:val="24"/>
          <w:lang w:val="af-ZA"/>
        </w:rPr>
      </w:pPr>
      <w:r>
        <w:rPr>
          <w:rFonts w:hint="eastAsia" w:ascii="宋体" w:hAnsi="宋体" w:cs="宋体"/>
          <w:sz w:val="24"/>
        </w:rPr>
        <w:t>4、</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保证，</w:t>
      </w:r>
      <w:r>
        <w:rPr>
          <w:rFonts w:hint="eastAsia" w:ascii="宋体" w:hAnsi="宋体" w:cs="宋体"/>
          <w:kern w:val="0"/>
          <w:sz w:val="24"/>
          <w:lang w:val="af-ZA"/>
        </w:rPr>
        <w:t>采购人在中华人民共和国境内使用</w:t>
      </w: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宋体" w:hAnsi="宋体" w:cs="宋体"/>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ascii="宋体" w:hAnsi="宋体" w:cs="宋体"/>
          <w:sz w:val="24"/>
        </w:rPr>
      </w:pPr>
      <w:r>
        <w:rPr>
          <w:rFonts w:hint="eastAsia" w:ascii="宋体" w:hAnsi="宋体" w:cs="宋体"/>
          <w:sz w:val="24"/>
        </w:rPr>
        <w:t>6、以上事项如有虚假或隐瞒，我</w:t>
      </w:r>
      <w:r>
        <w:rPr>
          <w:rFonts w:hint="eastAsia" w:ascii="宋体" w:hAnsi="宋体" w:cs="宋体"/>
          <w:kern w:val="0"/>
          <w:sz w:val="24"/>
          <w:lang w:val="zh-CN"/>
        </w:rPr>
        <w:t>公司</w:t>
      </w:r>
      <w:r>
        <w:rPr>
          <w:rFonts w:hint="eastAsia" w:ascii="宋体" w:hAnsi="宋体" w:cs="宋体"/>
          <w:sz w:val="24"/>
        </w:rPr>
        <w:t>愿意承担一切后果，并不再寻求任何旨在减轻或免除法律责任的辩解。</w:t>
      </w:r>
    </w:p>
    <w:p>
      <w:pPr>
        <w:adjustRightInd w:val="0"/>
        <w:snapToGrid w:val="0"/>
        <w:spacing w:line="360" w:lineRule="auto"/>
        <w:ind w:firstLine="480"/>
        <w:rPr>
          <w:rFonts w:ascii="宋体" w:hAnsi="宋体" w:cs="宋体"/>
          <w:kern w:val="0"/>
          <w:sz w:val="24"/>
        </w:rPr>
      </w:pPr>
    </w:p>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投标人名称（公章或CA签章）：</w:t>
      </w:r>
    </w:p>
    <w:p>
      <w:pPr>
        <w:adjustRightInd w:val="0"/>
        <w:snapToGrid w:val="0"/>
        <w:spacing w:line="360" w:lineRule="auto"/>
        <w:rPr>
          <w:rFonts w:ascii="宋体" w:hAnsi="宋体" w:cs="宋体"/>
          <w:kern w:val="0"/>
          <w:sz w:val="24"/>
          <w:lang w:val="zh-CN"/>
        </w:rPr>
      </w:pPr>
      <w:r>
        <w:rPr>
          <w:rFonts w:hint="eastAsia" w:ascii="宋体" w:hAnsi="宋体" w:cs="宋体"/>
          <w:sz w:val="24"/>
        </w:rPr>
        <w:t>法定代表人或授权委托人(签字或盖章)</w:t>
      </w:r>
      <w:r>
        <w:rPr>
          <w:rFonts w:hint="eastAsia" w:ascii="宋体" w:hAnsi="宋体" w:cs="宋体"/>
          <w:kern w:val="0"/>
          <w:sz w:val="24"/>
          <w:lang w:val="zh-CN"/>
        </w:rPr>
        <w:t>：</w:t>
      </w:r>
    </w:p>
    <w:p>
      <w:pPr>
        <w:adjustRightInd w:val="0"/>
        <w:snapToGrid w:val="0"/>
        <w:spacing w:line="360" w:lineRule="auto"/>
        <w:ind w:right="480"/>
        <w:rPr>
          <w:rFonts w:ascii="宋体" w:hAnsi="宋体" w:cs="宋体"/>
          <w:kern w:val="0"/>
          <w:sz w:val="24"/>
          <w:lang w:val="zh-CN"/>
        </w:rPr>
      </w:pPr>
      <w:r>
        <w:rPr>
          <w:rFonts w:hint="eastAsia" w:ascii="宋体" w:hAnsi="宋体" w:cs="宋体"/>
          <w:kern w:val="0"/>
          <w:sz w:val="24"/>
          <w:lang w:val="zh-CN"/>
        </w:rPr>
        <w:t>日期：年 月 日</w:t>
      </w:r>
    </w:p>
    <w:p>
      <w:pPr>
        <w:adjustRightInd w:val="0"/>
        <w:snapToGrid w:val="0"/>
        <w:spacing w:line="360" w:lineRule="auto"/>
        <w:ind w:right="480"/>
        <w:rPr>
          <w:rFonts w:ascii="宋体" w:hAnsi="宋体" w:cs="宋体"/>
          <w:b/>
          <w:sz w:val="30"/>
          <w:szCs w:val="30"/>
        </w:rPr>
      </w:pPr>
      <w:r>
        <w:rPr>
          <w:rFonts w:hint="eastAsia" w:ascii="宋体" w:hAnsi="宋体" w:cs="宋体"/>
          <w:b/>
          <w:sz w:val="28"/>
        </w:rPr>
        <w:t>附件3</w:t>
      </w:r>
    </w:p>
    <w:p>
      <w:pPr>
        <w:spacing w:line="360" w:lineRule="auto"/>
        <w:ind w:firstLine="321" w:firstLineChars="100"/>
        <w:jc w:val="center"/>
        <w:rPr>
          <w:rFonts w:ascii="宋体" w:hAnsi="宋体" w:cs="宋体"/>
          <w:b/>
          <w:sz w:val="32"/>
          <w:szCs w:val="32"/>
          <w:u w:val="single"/>
        </w:rPr>
      </w:pPr>
      <w:r>
        <w:rPr>
          <w:rFonts w:hint="eastAsia" w:ascii="宋体" w:hAnsi="宋体" w:cs="宋体"/>
          <w:b/>
          <w:sz w:val="32"/>
          <w:szCs w:val="32"/>
        </w:rPr>
        <w:t>授权委托书</w:t>
      </w:r>
    </w:p>
    <w:p>
      <w:pPr>
        <w:pStyle w:val="27"/>
        <w:spacing w:line="500" w:lineRule="exact"/>
        <w:rPr>
          <w:rFonts w:hAnsi="宋体" w:cs="宋体"/>
          <w:b/>
          <w:sz w:val="24"/>
        </w:rPr>
      </w:pPr>
      <w:r>
        <w:rPr>
          <w:rFonts w:hint="eastAsia" w:hAnsi="宋体" w:cs="宋体"/>
          <w:kern w:val="0"/>
          <w:sz w:val="24"/>
        </w:rPr>
        <w:t>台州市玖诚工程管理有限公司</w:t>
      </w:r>
      <w:r>
        <w:rPr>
          <w:rFonts w:hint="eastAsia" w:hAnsi="宋体" w:cs="宋体"/>
          <w:b/>
          <w:sz w:val="24"/>
        </w:rPr>
        <w:t>：</w:t>
      </w:r>
    </w:p>
    <w:p>
      <w:pPr>
        <w:pStyle w:val="27"/>
        <w:spacing w:line="500" w:lineRule="exact"/>
        <w:ind w:left="240" w:hanging="240" w:hangingChars="100"/>
        <w:rPr>
          <w:rFonts w:hAnsi="宋体" w:cs="宋体"/>
          <w:sz w:val="24"/>
        </w:rPr>
      </w:pPr>
      <w:r>
        <w:rPr>
          <w:rFonts w:hint="eastAsia" w:hAnsi="宋体" w:cs="宋体"/>
          <w:sz w:val="24"/>
          <w:u w:val="single"/>
        </w:rPr>
        <w:t xml:space="preserve">  （投标人全称）  </w:t>
      </w:r>
      <w:r>
        <w:rPr>
          <w:rFonts w:hint="eastAsia" w:hAnsi="宋体" w:cs="宋体"/>
          <w:sz w:val="24"/>
        </w:rPr>
        <w:t>法定代表人（或营业执照中单位负责人）</w:t>
      </w:r>
      <w:r>
        <w:rPr>
          <w:rFonts w:hint="eastAsia" w:hAnsi="宋体" w:cs="宋体"/>
          <w:sz w:val="24"/>
          <w:u w:val="single"/>
        </w:rPr>
        <w:tab/>
      </w:r>
      <w:r>
        <w:rPr>
          <w:rFonts w:hint="eastAsia" w:hAnsi="宋体" w:cs="宋体"/>
          <w:sz w:val="24"/>
          <w:u w:val="single"/>
        </w:rPr>
        <w:t xml:space="preserve">（法定代表人或营业执照中单位负责人姓名） </w:t>
      </w:r>
      <w:r>
        <w:rPr>
          <w:rFonts w:hint="eastAsia" w:hAnsi="宋体" w:cs="宋体"/>
          <w:sz w:val="24"/>
        </w:rPr>
        <w:t>授权</w:t>
      </w:r>
      <w:r>
        <w:rPr>
          <w:rFonts w:hint="eastAsia" w:hAnsi="宋体" w:cs="宋体"/>
          <w:sz w:val="24"/>
          <w:u w:val="single"/>
        </w:rPr>
        <w:t xml:space="preserve">   （全权代表姓名） </w:t>
      </w:r>
      <w:r>
        <w:rPr>
          <w:rFonts w:hint="eastAsia" w:hAnsi="宋体" w:cs="宋体"/>
          <w:sz w:val="24"/>
        </w:rPr>
        <w:t>为全权代表，参加贵单位组织</w:t>
      </w:r>
      <w:r>
        <w:rPr>
          <w:rFonts w:hint="eastAsia" w:hAnsi="宋体" w:cs="宋体"/>
          <w:kern w:val="0"/>
          <w:sz w:val="24"/>
        </w:rPr>
        <w:t>的</w:t>
      </w:r>
      <w:r>
        <w:rPr>
          <w:rFonts w:hint="eastAsia" w:hAnsi="宋体" w:cs="宋体"/>
          <w:kern w:val="0"/>
          <w:sz w:val="24"/>
          <w:lang w:eastAsia="zh-CN"/>
        </w:rPr>
        <w:t>台州市三梅中学网络及安全设备采购项目</w:t>
      </w:r>
      <w:r>
        <w:rPr>
          <w:rFonts w:hint="eastAsia" w:hAnsi="宋体" w:cs="宋体"/>
          <w:sz w:val="24"/>
        </w:rPr>
        <w:t>的采购活动，并代表我方全权办理针对上述项目的投标、开标、评标、签约等具体事务和签署相关文件。我方对全权代表的签字事项负全部责任。</w:t>
      </w:r>
    </w:p>
    <w:p>
      <w:pPr>
        <w:pStyle w:val="27"/>
        <w:spacing w:line="500" w:lineRule="exact"/>
        <w:ind w:left="139" w:leftChars="66" w:firstLine="480" w:firstLineChars="200"/>
        <w:rPr>
          <w:rFonts w:hAnsi="宋体" w:cs="宋体"/>
          <w:sz w:val="24"/>
        </w:rPr>
      </w:pPr>
      <w:r>
        <w:rPr>
          <w:rFonts w:hint="eastAsia" w:hAnsi="宋体" w:cs="宋体"/>
          <w:sz w:val="24"/>
        </w:rPr>
        <w:t>在撤销授权的书面通知以前，本授权书一直有效。全权代表在授权委托书有效期内签署的所有文件不因授权的撤销而失效。</w:t>
      </w:r>
    </w:p>
    <w:p>
      <w:pPr>
        <w:pStyle w:val="27"/>
        <w:spacing w:line="500" w:lineRule="exact"/>
        <w:ind w:left="139" w:leftChars="66" w:firstLine="480" w:firstLineChars="200"/>
        <w:rPr>
          <w:rFonts w:hAnsi="宋体" w:cs="宋体"/>
          <w:sz w:val="24"/>
        </w:rPr>
      </w:pPr>
      <w:r>
        <w:rPr>
          <w:rFonts w:hint="eastAsia" w:hAnsi="宋体" w:cs="宋体"/>
          <w:sz w:val="24"/>
        </w:rPr>
        <w:t>全权代表无转委托权，特此委托。</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法定代表人（签字或盖章）：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投标人全称（公章或CA签章）：                         日期：</w:t>
      </w:r>
    </w:p>
    <w:p>
      <w:pPr>
        <w:spacing w:line="360" w:lineRule="auto"/>
        <w:rPr>
          <w:rFonts w:ascii="宋体" w:hAnsi="宋体" w:cs="宋体"/>
          <w:sz w:val="24"/>
        </w:rPr>
      </w:pPr>
      <w:r>
        <w:rPr>
          <w:rFonts w:hint="eastAsia" w:ascii="宋体" w:hAnsi="宋体" w:cs="宋体"/>
          <w:sz w:val="24"/>
        </w:rPr>
        <w:t>附：</w:t>
      </w: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法定代表人身份证复印件粘贴处</w:t>
            </w:r>
          </w:p>
        </w:tc>
      </w:tr>
    </w:tbl>
    <w:p>
      <w:pPr>
        <w:spacing w:line="360" w:lineRule="auto"/>
        <w:rPr>
          <w:rFonts w:ascii="宋体" w:hAnsi="宋体" w:cs="宋体"/>
          <w:sz w:val="24"/>
        </w:rPr>
      </w:pPr>
      <w:r>
        <w:rPr>
          <w:rFonts w:hint="eastAsia" w:ascii="宋体" w:hAnsi="宋体" w:cs="宋体"/>
          <w:sz w:val="24"/>
        </w:rPr>
        <w:t xml:space="preserve">法定代表人姓名：                                 </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详细通讯地址：</w:t>
      </w:r>
    </w:p>
    <w:p>
      <w:pPr>
        <w:spacing w:line="360" w:lineRule="auto"/>
        <w:rPr>
          <w:rFonts w:ascii="宋体" w:hAnsi="宋体" w:cs="宋体"/>
          <w:sz w:val="24"/>
        </w:rPr>
      </w:pPr>
      <w:r>
        <w:rPr>
          <w:rFonts w:hint="eastAsia" w:ascii="宋体" w:hAnsi="宋体" w:cs="宋体"/>
          <w:sz w:val="24"/>
        </w:rPr>
        <w:t>邮政编码：</w:t>
      </w:r>
    </w:p>
    <w:p>
      <w:pPr>
        <w:spacing w:line="360" w:lineRule="auto"/>
        <w:rPr>
          <w:rFonts w:ascii="宋体" w:hAnsi="宋体" w:cs="宋体"/>
          <w:sz w:val="24"/>
        </w:rPr>
      </w:pPr>
    </w:p>
    <w:tbl>
      <w:tblPr>
        <w:tblStyle w:val="4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b/>
                <w:bCs/>
                <w:sz w:val="24"/>
              </w:rPr>
              <w:t>全权代表身份证复印件粘贴处</w:t>
            </w:r>
          </w:p>
        </w:tc>
      </w:tr>
    </w:tbl>
    <w:p>
      <w:pPr>
        <w:spacing w:line="360" w:lineRule="auto"/>
        <w:rPr>
          <w:rFonts w:ascii="宋体" w:hAnsi="宋体" w:cs="宋体"/>
          <w:sz w:val="24"/>
        </w:rPr>
      </w:pPr>
      <w:r>
        <w:rPr>
          <w:rFonts w:hint="eastAsia" w:ascii="宋体" w:hAnsi="宋体" w:cs="宋体"/>
          <w:sz w:val="24"/>
        </w:rPr>
        <w:t xml:space="preserve">全权代表姓名：       </w:t>
      </w:r>
    </w:p>
    <w:p>
      <w:pPr>
        <w:spacing w:line="360" w:lineRule="auto"/>
        <w:rPr>
          <w:rFonts w:ascii="宋体" w:hAnsi="宋体" w:cs="宋体"/>
          <w:sz w:val="24"/>
        </w:rPr>
      </w:pPr>
      <w:r>
        <w:rPr>
          <w:rFonts w:hint="eastAsia" w:ascii="宋体" w:hAnsi="宋体" w:cs="宋体"/>
          <w:sz w:val="24"/>
        </w:rPr>
        <w:t xml:space="preserve">职务：                           </w:t>
      </w:r>
    </w:p>
    <w:p>
      <w:pPr>
        <w:spacing w:line="360" w:lineRule="auto"/>
        <w:rPr>
          <w:rFonts w:ascii="宋体" w:hAnsi="宋体" w:cs="宋体"/>
          <w:sz w:val="24"/>
        </w:rPr>
      </w:pPr>
      <w:r>
        <w:rPr>
          <w:rFonts w:hint="eastAsia" w:ascii="宋体" w:hAnsi="宋体" w:cs="宋体"/>
          <w:sz w:val="24"/>
        </w:rPr>
        <w:t>传真：</w:t>
      </w:r>
    </w:p>
    <w:p>
      <w:pPr>
        <w:spacing w:line="360" w:lineRule="auto"/>
        <w:rPr>
          <w:rFonts w:ascii="宋体" w:hAnsi="宋体" w:cs="宋体"/>
          <w:sz w:val="24"/>
        </w:rPr>
      </w:pPr>
      <w:r>
        <w:rPr>
          <w:rFonts w:hint="eastAsia" w:ascii="宋体" w:hAnsi="宋体" w:cs="宋体"/>
          <w:sz w:val="24"/>
        </w:rPr>
        <w:t>电话：</w:t>
      </w:r>
    </w:p>
    <w:p>
      <w:pPr>
        <w:spacing w:line="360" w:lineRule="auto"/>
        <w:rPr>
          <w:rFonts w:ascii="宋体" w:hAnsi="宋体" w:cs="宋体"/>
          <w:sz w:val="24"/>
        </w:rPr>
      </w:pPr>
      <w:r>
        <w:rPr>
          <w:rFonts w:hint="eastAsia" w:ascii="宋体" w:hAnsi="宋体" w:cs="宋体"/>
          <w:sz w:val="24"/>
        </w:rPr>
        <w:t>详细通讯地址：</w:t>
      </w:r>
    </w:p>
    <w:p>
      <w:pPr>
        <w:spacing w:line="360" w:lineRule="auto"/>
        <w:rPr>
          <w:rFonts w:ascii="宋体" w:hAnsi="宋体" w:cs="宋体"/>
          <w:b/>
          <w:bCs/>
          <w:sz w:val="32"/>
          <w:szCs w:val="32"/>
          <w:lang w:val="zh-CN"/>
        </w:rPr>
      </w:pPr>
      <w:r>
        <w:rPr>
          <w:rFonts w:hint="eastAsia" w:ascii="宋体" w:hAnsi="宋体" w:cs="宋体"/>
          <w:sz w:val="24"/>
        </w:rPr>
        <w:t>邮政编码</w:t>
      </w:r>
      <w:r>
        <w:rPr>
          <w:rFonts w:hint="eastAsia" w:ascii="宋体" w:hAnsi="宋体" w:cs="宋体"/>
        </w:rPr>
        <w:t>：</w:t>
      </w:r>
    </w:p>
    <w:p>
      <w:pPr>
        <w:rPr>
          <w:rFonts w:ascii="宋体" w:hAnsi="宋体" w:cs="宋体"/>
          <w:b/>
          <w:sz w:val="28"/>
        </w:rPr>
      </w:pPr>
      <w:r>
        <w:rPr>
          <w:rFonts w:hint="eastAsia" w:ascii="宋体" w:hAnsi="宋体" w:cs="宋体"/>
          <w:b/>
          <w:sz w:val="28"/>
        </w:rPr>
        <w:br w:type="page"/>
      </w:r>
    </w:p>
    <w:p>
      <w:pPr>
        <w:spacing w:after="319" w:afterLines="100" w:line="480" w:lineRule="auto"/>
        <w:ind w:firstLine="482"/>
        <w:jc w:val="left"/>
        <w:rPr>
          <w:rFonts w:asciiTheme="minorEastAsia" w:hAnsiTheme="minorEastAsia" w:eastAsiaTheme="minorEastAsia" w:cstheme="minorEastAsia"/>
          <w:b/>
          <w:bCs/>
          <w:kern w:val="0"/>
          <w:sz w:val="28"/>
          <w:szCs w:val="36"/>
        </w:rPr>
      </w:pPr>
      <w:r>
        <w:rPr>
          <w:rFonts w:hint="eastAsia" w:asciiTheme="minorEastAsia" w:hAnsiTheme="minorEastAsia" w:eastAsiaTheme="minorEastAsia" w:cstheme="minorEastAsia"/>
          <w:b/>
          <w:bCs/>
          <w:kern w:val="0"/>
          <w:sz w:val="28"/>
          <w:szCs w:val="36"/>
        </w:rPr>
        <w:t>附件4</w:t>
      </w:r>
    </w:p>
    <w:p>
      <w:pPr>
        <w:spacing w:after="319" w:afterLines="100" w:line="480" w:lineRule="auto"/>
        <w:ind w:firstLine="482"/>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b/>
          <w:bCs/>
          <w:kern w:val="0"/>
          <w:sz w:val="28"/>
          <w:szCs w:val="36"/>
          <w:lang w:val="zh-CN"/>
        </w:rPr>
        <w:t>具备健全的财务会计制度的承诺函</w:t>
      </w:r>
    </w:p>
    <w:p>
      <w:pPr>
        <w:widowControl/>
        <w:spacing w:line="600" w:lineRule="exact"/>
        <w:ind w:firstLine="480"/>
        <w:rPr>
          <w:rFonts w:asciiTheme="minorEastAsia" w:hAnsiTheme="minorEastAsia" w:eastAsiaTheme="minorEastAsia" w:cstheme="minorEastAsia"/>
          <w:kern w:val="0"/>
        </w:rPr>
      </w:pPr>
    </w:p>
    <w:p>
      <w:pPr>
        <w:widowControl/>
        <w:spacing w:line="600" w:lineRule="exact"/>
        <w:ind w:firstLine="480"/>
        <w:rPr>
          <w:rFonts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pPr>
        <w:pStyle w:val="21"/>
        <w:spacing w:line="600" w:lineRule="exact"/>
        <w:ind w:firstLine="480"/>
        <w:rPr>
          <w:rFonts w:ascii="宋体" w:hAnsi="宋体" w:cs="宋体"/>
        </w:rPr>
      </w:pPr>
      <w:r>
        <w:rPr>
          <w:rFonts w:hint="eastAsia" w:ascii="宋体" w:hAnsi="宋体" w:cs="宋体"/>
        </w:rPr>
        <w:t>我公司参加</w:t>
      </w:r>
      <w:r>
        <w:rPr>
          <w:rFonts w:hint="eastAsia" w:ascii="宋体" w:hAnsi="宋体" w:cs="宋体"/>
          <w:u w:val="single"/>
          <w:lang w:eastAsia="zh-CN"/>
        </w:rPr>
        <w:t>台州市三梅中学网络及安全设备采购项目</w:t>
      </w:r>
      <w:r>
        <w:rPr>
          <w:rFonts w:hint="eastAsia" w:ascii="宋体" w:hAnsi="宋体" w:cs="宋体"/>
          <w:u w:val="single"/>
        </w:rPr>
        <w:t>（编号为</w:t>
      </w:r>
      <w:r>
        <w:rPr>
          <w:rFonts w:hint="eastAsia" w:ascii="宋体" w:hAnsi="宋体" w:cs="宋体"/>
          <w:u w:val="single"/>
          <w:lang w:eastAsia="zh-CN"/>
        </w:rPr>
        <w:t>JC-GK2024-004</w:t>
      </w:r>
      <w:r>
        <w:rPr>
          <w:rFonts w:hint="eastAsia" w:ascii="宋体" w:hAnsi="宋体" w:cs="宋体"/>
          <w:u w:val="single"/>
        </w:rPr>
        <w:t>号）</w:t>
      </w:r>
      <w:r>
        <w:rPr>
          <w:rFonts w:hint="eastAsia" w:ascii="宋体" w:hAnsi="宋体" w:cs="宋体"/>
        </w:rPr>
        <w:t>的投标活动，作如下承诺：</w:t>
      </w:r>
    </w:p>
    <w:p>
      <w:pPr>
        <w:pStyle w:val="21"/>
        <w:spacing w:line="600" w:lineRule="exact"/>
        <w:ind w:firstLine="480"/>
        <w:rPr>
          <w:rFonts w:ascii="宋体" w:hAnsi="宋体" w:cs="宋体"/>
        </w:rPr>
      </w:pPr>
      <w:r>
        <w:rPr>
          <w:rFonts w:hint="eastAsia" w:ascii="宋体" w:hAnsi="宋体" w:cs="宋体"/>
        </w:rPr>
        <w:t>我公司在参加本项目政府采购活动前，</w:t>
      </w:r>
      <w:r>
        <w:rPr>
          <w:rFonts w:hint="eastAsia" w:ascii="宋体" w:hAnsi="宋体" w:cs="宋体"/>
          <w:kern w:val="0"/>
        </w:rPr>
        <w:t>没有处于被责令停产、财产被接管、冻结或破产状态，具有足够的流动资金，有能力履行合同；我公司</w:t>
      </w:r>
      <w:r>
        <w:rPr>
          <w:rFonts w:hint="eastAsia" w:ascii="宋体" w:hAnsi="宋体" w:cs="宋体"/>
        </w:rPr>
        <w:t>具有良好的商业信誉和健全的财务会计制度。</w:t>
      </w:r>
    </w:p>
    <w:p>
      <w:pPr>
        <w:spacing w:line="600" w:lineRule="exact"/>
        <w:ind w:firstLine="480"/>
        <w:jc w:val="left"/>
        <w:rPr>
          <w:rFonts w:ascii="宋体" w:hAnsi="宋体" w:cs="宋体"/>
          <w:sz w:val="24"/>
        </w:rPr>
      </w:pPr>
      <w:r>
        <w:rPr>
          <w:rFonts w:hint="eastAsia" w:ascii="宋体" w:hAnsi="宋体" w:cs="宋体"/>
          <w:sz w:val="24"/>
        </w:rPr>
        <w:t>如违反以上承诺，本公司愿承担一切法律责任。</w:t>
      </w:r>
    </w:p>
    <w:p>
      <w:pPr>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sz w:val="28"/>
          <w:szCs w:val="28"/>
          <w:lang w:val="zh-CN"/>
        </w:rPr>
      </w:pPr>
    </w:p>
    <w:p>
      <w:pPr>
        <w:widowControl/>
        <w:wordWrap w:val="0"/>
        <w:ind w:firstLine="480"/>
        <w:jc w:val="righ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sz w:val="24"/>
          <w:szCs w:val="32"/>
        </w:rPr>
        <w:t>投标人名称</w:t>
      </w:r>
      <w:r>
        <w:rPr>
          <w:rFonts w:hint="eastAsia" w:asciiTheme="minorEastAsia" w:hAnsiTheme="minorEastAsia" w:eastAsiaTheme="minorEastAsia" w:cstheme="minorEastAsia"/>
          <w:kern w:val="0"/>
          <w:sz w:val="24"/>
          <w:szCs w:val="32"/>
        </w:rPr>
        <w:t>(</w:t>
      </w:r>
      <w:r>
        <w:rPr>
          <w:rFonts w:hint="eastAsia" w:asciiTheme="minorEastAsia" w:hAnsiTheme="minorEastAsia" w:eastAsiaTheme="minorEastAsia" w:cstheme="minorEastAsia"/>
          <w:sz w:val="24"/>
          <w:szCs w:val="32"/>
        </w:rPr>
        <w:t xml:space="preserve">公章或CA签章)： </w:t>
      </w:r>
      <w:r>
        <w:rPr>
          <w:rFonts w:hint="eastAsia" w:asciiTheme="minorEastAsia" w:hAnsiTheme="minorEastAsia" w:eastAsiaTheme="minorEastAsia" w:cstheme="minorEastAsia"/>
          <w:kern w:val="0"/>
          <w:sz w:val="24"/>
          <w:szCs w:val="32"/>
        </w:rPr>
        <w:t xml:space="preserve">            </w:t>
      </w:r>
    </w:p>
    <w:p>
      <w:pPr>
        <w:widowControl/>
        <w:ind w:firstLine="480"/>
        <w:jc w:val="left"/>
        <w:rPr>
          <w:rFonts w:asciiTheme="minorEastAsia" w:hAnsiTheme="minorEastAsia" w:eastAsiaTheme="minorEastAsia" w:cstheme="minorEastAsia"/>
          <w:kern w:val="0"/>
          <w:sz w:val="28"/>
          <w:szCs w:val="36"/>
        </w:rPr>
      </w:pPr>
    </w:p>
    <w:p>
      <w:pPr>
        <w:widowControl/>
        <w:ind w:firstLine="480"/>
        <w:jc w:val="right"/>
        <w:rPr>
          <w:rFonts w:asciiTheme="minorEastAsia" w:hAnsiTheme="minorEastAsia" w:eastAsiaTheme="minorEastAsia" w:cstheme="minorEastAsia"/>
          <w:kern w:val="0"/>
          <w:sz w:val="24"/>
          <w:szCs w:val="32"/>
        </w:rPr>
      </w:pPr>
      <w:r>
        <w:rPr>
          <w:rFonts w:hint="eastAsia" w:asciiTheme="minorEastAsia" w:hAnsiTheme="minorEastAsia" w:eastAsiaTheme="minorEastAsia" w:cstheme="minorEastAsia"/>
          <w:kern w:val="0"/>
          <w:sz w:val="24"/>
          <w:szCs w:val="32"/>
        </w:rPr>
        <w:t>法定代表人(签字或盖章)或授权委托代理人(签字)：</w:t>
      </w:r>
    </w:p>
    <w:p>
      <w:pPr>
        <w:widowControl/>
        <w:ind w:firstLine="480"/>
        <w:jc w:val="left"/>
        <w:rPr>
          <w:rFonts w:asciiTheme="minorEastAsia" w:hAnsiTheme="minorEastAsia" w:eastAsiaTheme="minorEastAsia" w:cstheme="minorEastAsia"/>
          <w:kern w:val="0"/>
          <w:sz w:val="24"/>
          <w:szCs w:val="32"/>
        </w:rPr>
      </w:pPr>
    </w:p>
    <w:p>
      <w:pPr>
        <w:ind w:firstLine="480"/>
        <w:jc w:val="right"/>
        <w:rPr>
          <w:rFonts w:asciiTheme="minorEastAsia" w:hAnsiTheme="minorEastAsia" w:eastAsiaTheme="minorEastAsia" w:cstheme="minorEastAsia"/>
          <w:sz w:val="22"/>
          <w:szCs w:val="28"/>
        </w:rPr>
      </w:pPr>
      <w:r>
        <w:rPr>
          <w:rFonts w:hint="eastAsia" w:asciiTheme="minorEastAsia" w:hAnsiTheme="minorEastAsia" w:eastAsiaTheme="minorEastAsia" w:cstheme="minorEastAsia"/>
          <w:kern w:val="0"/>
          <w:sz w:val="24"/>
          <w:szCs w:val="32"/>
        </w:rPr>
        <w:t>日期：</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年</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月</w:t>
      </w:r>
      <w:r>
        <w:rPr>
          <w:rFonts w:hint="eastAsia" w:asciiTheme="minorEastAsia" w:hAnsiTheme="minorEastAsia" w:eastAsiaTheme="minorEastAsia" w:cstheme="minorEastAsia"/>
          <w:sz w:val="24"/>
          <w:szCs w:val="32"/>
          <w:u w:val="single"/>
        </w:rPr>
        <w:t xml:space="preserve">     </w:t>
      </w:r>
      <w:r>
        <w:rPr>
          <w:rFonts w:hint="eastAsia" w:asciiTheme="minorEastAsia" w:hAnsiTheme="minorEastAsia" w:eastAsiaTheme="minorEastAsia" w:cstheme="minorEastAsia"/>
          <w:kern w:val="0"/>
          <w:sz w:val="24"/>
          <w:szCs w:val="32"/>
          <w:lang w:val="zh-CN"/>
        </w:rPr>
        <w:t>日</w:t>
      </w:r>
    </w:p>
    <w:p>
      <w:pPr>
        <w:ind w:firstLine="562"/>
        <w:rPr>
          <w:b/>
          <w:bCs/>
          <w:sz w:val="32"/>
          <w:szCs w:val="32"/>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spacing w:line="360" w:lineRule="auto"/>
        <w:ind w:right="-110"/>
        <w:rPr>
          <w:rFonts w:ascii="宋体" w:hAnsi="宋体"/>
          <w:b/>
          <w:sz w:val="32"/>
          <w:szCs w:val="32"/>
        </w:rPr>
      </w:pPr>
      <w:r>
        <w:rPr>
          <w:rFonts w:hint="eastAsia" w:ascii="宋体" w:hAnsi="宋体"/>
          <w:b/>
          <w:sz w:val="32"/>
          <w:szCs w:val="32"/>
        </w:rPr>
        <w:t>附件5：</w:t>
      </w:r>
    </w:p>
    <w:p>
      <w:pPr>
        <w:spacing w:after="319" w:afterLines="100" w:line="480" w:lineRule="auto"/>
        <w:ind w:firstLine="482"/>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b/>
          <w:bCs/>
          <w:kern w:val="0"/>
          <w:sz w:val="28"/>
          <w:szCs w:val="36"/>
          <w:lang w:val="zh-CN"/>
        </w:rPr>
        <w:t>无税收缴纳、社会保障等方面的失信记录的承诺函</w:t>
      </w:r>
    </w:p>
    <w:p>
      <w:pPr>
        <w:widowControl/>
        <w:spacing w:line="600" w:lineRule="exact"/>
        <w:ind w:firstLine="480"/>
        <w:rPr>
          <w:rFonts w:ascii="宋体" w:hAnsi="宋体" w:cs="宋体"/>
          <w:kern w:val="0"/>
        </w:rPr>
      </w:pPr>
    </w:p>
    <w:p>
      <w:pPr>
        <w:widowControl/>
        <w:spacing w:line="480" w:lineRule="auto"/>
        <w:ind w:firstLine="480"/>
        <w:rPr>
          <w:rFonts w:ascii="宋体" w:hAnsi="宋体" w:cs="宋体"/>
          <w:sz w:val="24"/>
        </w:rPr>
      </w:pPr>
      <w:r>
        <w:rPr>
          <w:rFonts w:hint="eastAsia" w:ascii="宋体" w:hAnsi="宋体" w:cs="宋体"/>
          <w:kern w:val="0"/>
          <w:sz w:val="24"/>
        </w:rPr>
        <w:t>致：</w:t>
      </w:r>
      <w:r>
        <w:rPr>
          <w:rFonts w:hint="eastAsia" w:ascii="宋体" w:hAnsi="宋体" w:cs="宋体"/>
          <w:sz w:val="24"/>
          <w:u w:val="single"/>
        </w:rPr>
        <w:t>台州市玖诚工程管理有限公司</w:t>
      </w:r>
    </w:p>
    <w:p>
      <w:pPr>
        <w:pStyle w:val="21"/>
        <w:spacing w:line="480" w:lineRule="auto"/>
        <w:ind w:firstLine="480"/>
        <w:rPr>
          <w:rFonts w:ascii="宋体" w:hAnsi="宋体" w:cs="宋体"/>
        </w:rPr>
      </w:pPr>
      <w:r>
        <w:rPr>
          <w:rFonts w:hint="eastAsia" w:ascii="宋体" w:hAnsi="宋体" w:cs="宋体"/>
        </w:rPr>
        <w:t>我公司参加</w:t>
      </w:r>
      <w:r>
        <w:rPr>
          <w:rFonts w:hint="eastAsia" w:ascii="宋体" w:hAnsi="宋体" w:cs="宋体"/>
          <w:u w:val="single"/>
          <w:lang w:eastAsia="zh-CN"/>
        </w:rPr>
        <w:t>台州市三梅中学网络及安全设备采购项目</w:t>
      </w:r>
      <w:r>
        <w:rPr>
          <w:rFonts w:hint="eastAsia" w:ascii="宋体" w:hAnsi="宋体" w:cs="宋体"/>
          <w:u w:val="single"/>
        </w:rPr>
        <w:t>（编号为</w:t>
      </w:r>
      <w:r>
        <w:rPr>
          <w:rFonts w:hint="eastAsia" w:ascii="宋体" w:hAnsi="宋体" w:cs="宋体"/>
          <w:u w:val="single"/>
          <w:lang w:eastAsia="zh-CN"/>
        </w:rPr>
        <w:t>JC-GK2024-004</w:t>
      </w:r>
      <w:r>
        <w:rPr>
          <w:rFonts w:hint="eastAsia" w:ascii="宋体" w:hAnsi="宋体" w:cs="宋体"/>
          <w:u w:val="single"/>
        </w:rPr>
        <w:t>号）</w:t>
      </w:r>
      <w:r>
        <w:rPr>
          <w:rFonts w:hint="eastAsia" w:ascii="宋体" w:hAnsi="宋体" w:cs="宋体"/>
        </w:rPr>
        <w:t>的投标活动，作如下承诺：</w:t>
      </w:r>
    </w:p>
    <w:p>
      <w:pPr>
        <w:pStyle w:val="21"/>
        <w:spacing w:line="480" w:lineRule="auto"/>
        <w:ind w:firstLine="480"/>
        <w:rPr>
          <w:rFonts w:ascii="宋体" w:hAnsi="宋体" w:cs="宋体"/>
        </w:rPr>
      </w:pPr>
      <w:r>
        <w:rPr>
          <w:rFonts w:hint="eastAsia" w:ascii="宋体" w:hAnsi="宋体" w:cs="宋体"/>
        </w:rPr>
        <w:t>我公司在参加本项目政府采购活动前，符合参与政府采购活动的资格条件，有依法缴纳税收（享受免税政策的则无欠税）和社会保障资金的良好记录，不存在税收缴纳、社会保障等方面的失信记录。</w:t>
      </w:r>
    </w:p>
    <w:p>
      <w:pPr>
        <w:spacing w:line="48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如违反以上承诺，本公司愿承担一切法律责任。</w:t>
      </w:r>
    </w:p>
    <w:p>
      <w:pPr>
        <w:ind w:firstLine="480"/>
        <w:rPr>
          <w:rFonts w:asciiTheme="minorEastAsia" w:hAnsiTheme="minorEastAsia" w:eastAsiaTheme="minorEastAsia" w:cstheme="minorEastAsia"/>
          <w:sz w:val="24"/>
          <w:lang w:val="zh-CN"/>
        </w:rPr>
      </w:pPr>
    </w:p>
    <w:p>
      <w:pPr>
        <w:pStyle w:val="21"/>
        <w:ind w:firstLine="480"/>
        <w:rPr>
          <w:rFonts w:asciiTheme="minorEastAsia" w:hAnsiTheme="minorEastAsia" w:eastAsiaTheme="minorEastAsia" w:cstheme="minorEastAsia"/>
          <w:lang w:val="zh-CN"/>
        </w:rPr>
      </w:pPr>
    </w:p>
    <w:p>
      <w:pPr>
        <w:pStyle w:val="21"/>
        <w:ind w:firstLine="480"/>
        <w:rPr>
          <w:rFonts w:asciiTheme="minorEastAsia" w:hAnsiTheme="minorEastAsia" w:eastAsiaTheme="minorEastAsia" w:cstheme="minorEastAsia"/>
          <w:lang w:val="zh-CN"/>
        </w:rPr>
      </w:pPr>
    </w:p>
    <w:p>
      <w:pPr>
        <w:widowControl/>
        <w:wordWrap w:val="0"/>
        <w:ind w:firstLine="48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 xml:space="preserve">投标人名称(公章或CA签章)： </w:t>
      </w:r>
      <w:r>
        <w:rPr>
          <w:rFonts w:hint="eastAsia" w:asciiTheme="minorEastAsia" w:hAnsiTheme="minorEastAsia" w:eastAsiaTheme="minorEastAsia" w:cstheme="minorEastAsia"/>
          <w:kern w:val="0"/>
          <w:sz w:val="24"/>
        </w:rPr>
        <w:t xml:space="preserve">            </w:t>
      </w:r>
    </w:p>
    <w:p>
      <w:pPr>
        <w:widowControl/>
        <w:ind w:firstLine="480"/>
        <w:jc w:val="left"/>
        <w:rPr>
          <w:rFonts w:asciiTheme="minorEastAsia" w:hAnsiTheme="minorEastAsia" w:eastAsiaTheme="minorEastAsia" w:cstheme="minorEastAsia"/>
          <w:kern w:val="0"/>
          <w:sz w:val="24"/>
        </w:rPr>
      </w:pPr>
    </w:p>
    <w:p>
      <w:pPr>
        <w:widowControl/>
        <w:ind w:firstLine="48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法定代表人(签字或盖章)或授权委托代理人(签字)：</w:t>
      </w:r>
    </w:p>
    <w:p>
      <w:pPr>
        <w:widowControl/>
        <w:ind w:firstLine="480"/>
        <w:jc w:val="left"/>
        <w:rPr>
          <w:rFonts w:asciiTheme="minorEastAsia" w:hAnsiTheme="minorEastAsia" w:eastAsiaTheme="minorEastAsia" w:cstheme="minorEastAsia"/>
          <w:kern w:val="0"/>
          <w:sz w:val="24"/>
        </w:rPr>
      </w:pPr>
    </w:p>
    <w:p>
      <w:pPr>
        <w:ind w:firstLine="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lang w:val="zh-CN"/>
        </w:rPr>
        <w:t>日</w:t>
      </w: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spacing w:line="360" w:lineRule="auto"/>
        <w:ind w:right="-110"/>
        <w:rPr>
          <w:rFonts w:ascii="宋体" w:hAnsi="宋体"/>
          <w:b/>
          <w:sz w:val="32"/>
          <w:szCs w:val="32"/>
        </w:rPr>
      </w:pPr>
    </w:p>
    <w:p>
      <w:pPr>
        <w:spacing w:line="360" w:lineRule="auto"/>
        <w:ind w:right="-110"/>
        <w:rPr>
          <w:rFonts w:ascii="宋体" w:hAnsi="宋体"/>
          <w:b/>
          <w:sz w:val="32"/>
          <w:szCs w:val="32"/>
        </w:rPr>
      </w:pPr>
      <w:r>
        <w:rPr>
          <w:rFonts w:hint="eastAsia" w:ascii="宋体" w:hAnsi="宋体"/>
          <w:b/>
          <w:sz w:val="32"/>
          <w:szCs w:val="32"/>
        </w:rPr>
        <w:t>附件6：</w:t>
      </w:r>
    </w:p>
    <w:p>
      <w:pPr>
        <w:widowControl/>
        <w:spacing w:line="360" w:lineRule="auto"/>
        <w:ind w:firstLine="458"/>
        <w:jc w:val="center"/>
        <w:outlineLvl w:val="2"/>
        <w:rPr>
          <w:rFonts w:asciiTheme="minorEastAsia" w:hAnsiTheme="minorEastAsia" w:eastAsiaTheme="minorEastAsia" w:cstheme="minorEastAsia"/>
          <w:b/>
          <w:spacing w:val="-6"/>
          <w:sz w:val="24"/>
          <w:szCs w:val="32"/>
        </w:rPr>
      </w:pPr>
      <w:r>
        <w:rPr>
          <w:rFonts w:hint="eastAsia" w:asciiTheme="minorEastAsia" w:hAnsiTheme="minorEastAsia" w:eastAsiaTheme="minorEastAsia" w:cstheme="minorEastAsia"/>
          <w:b/>
          <w:spacing w:val="-6"/>
          <w:sz w:val="24"/>
          <w:szCs w:val="32"/>
        </w:rPr>
        <w:t>参加政府采购活动前3年内在经营活动中没有重大违法记录的书面声明</w:t>
      </w:r>
    </w:p>
    <w:p>
      <w:pPr>
        <w:pStyle w:val="36"/>
        <w:spacing w:line="360" w:lineRule="auto"/>
        <w:ind w:left="199" w:hanging="199" w:hangingChars="74"/>
        <w:jc w:val="center"/>
        <w:rPr>
          <w:rFonts w:asciiTheme="minorEastAsia" w:hAnsiTheme="minorEastAsia" w:eastAsiaTheme="minorEastAsia" w:cstheme="minorEastAsia"/>
          <w:b/>
          <w:spacing w:val="-6"/>
          <w:sz w:val="28"/>
          <w:szCs w:val="36"/>
        </w:rPr>
      </w:pPr>
      <w:r>
        <w:rPr>
          <w:rFonts w:hint="eastAsia" w:asciiTheme="minorEastAsia" w:hAnsiTheme="minorEastAsia" w:eastAsiaTheme="minorEastAsia" w:cstheme="minorEastAsia"/>
          <w:b/>
          <w:spacing w:val="-6"/>
          <w:sz w:val="28"/>
          <w:szCs w:val="36"/>
        </w:rPr>
        <w:t>声明函</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致：</w:t>
      </w:r>
      <w:r>
        <w:rPr>
          <w:rFonts w:hint="eastAsia" w:asciiTheme="minorEastAsia" w:hAnsiTheme="minorEastAsia" w:eastAsiaTheme="minorEastAsia" w:cstheme="minorEastAsia"/>
          <w:spacing w:val="-6"/>
          <w:sz w:val="24"/>
          <w:u w:val="single"/>
        </w:rPr>
        <w:t>台州市玖诚工程管理有限公司</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我公司郑重承诺在参加本项目政府采购活动前三年内，在经营活动中</w:t>
      </w:r>
      <w:r>
        <w:rPr>
          <w:rFonts w:hint="eastAsia" w:asciiTheme="minorEastAsia" w:hAnsiTheme="minorEastAsia" w:eastAsiaTheme="minorEastAsia" w:cstheme="minorEastAsia"/>
          <w:b/>
          <w:spacing w:val="-6"/>
          <w:sz w:val="24"/>
          <w:u w:val="single"/>
        </w:rPr>
        <w:t xml:space="preserve">     </w:t>
      </w:r>
      <w:r>
        <w:rPr>
          <w:rFonts w:hint="eastAsia" w:asciiTheme="minorEastAsia" w:hAnsiTheme="minorEastAsia" w:eastAsiaTheme="minorEastAsia" w:cstheme="minorEastAsia"/>
          <w:b/>
          <w:spacing w:val="-6"/>
          <w:sz w:val="24"/>
        </w:rPr>
        <w:t>（填写“有”或“没有”，如实填写，如不填写视同未提供本声明函）</w:t>
      </w:r>
      <w:r>
        <w:rPr>
          <w:rFonts w:hint="eastAsia" w:asciiTheme="minorEastAsia" w:hAnsiTheme="minorEastAsia" w:eastAsiaTheme="minorEastAsia" w:cstheme="minorEastAsia"/>
          <w:spacing w:val="-6"/>
          <w:sz w:val="24"/>
        </w:rPr>
        <w:t>重大违法记录，重大违法记录是指供应商因违法经营受到刑事处罚或者责令停产停业、吊销许可证或者执照、较大数额罚款等行政处罚。</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以上事项如有虚假或隐瞒，我方愿意承担一切后果和责任。</w:t>
      </w: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特此声明。</w:t>
      </w:r>
    </w:p>
    <w:p>
      <w:pPr>
        <w:spacing w:line="480" w:lineRule="auto"/>
        <w:ind w:firstLine="456"/>
        <w:rPr>
          <w:rFonts w:asciiTheme="minorEastAsia" w:hAnsiTheme="minorEastAsia" w:eastAsiaTheme="minorEastAsia" w:cstheme="minorEastAsia"/>
          <w:spacing w:val="-6"/>
          <w:sz w:val="24"/>
        </w:rPr>
      </w:pPr>
    </w:p>
    <w:p>
      <w:pPr>
        <w:pStyle w:val="58"/>
        <w:spacing w:line="480" w:lineRule="auto"/>
        <w:rPr>
          <w:rFonts w:asciiTheme="minorEastAsia" w:hAnsiTheme="minorEastAsia" w:eastAsiaTheme="minorEastAsia" w:cstheme="minorEastAsia"/>
          <w:color w:val="auto"/>
          <w:spacing w:val="-6"/>
        </w:rPr>
      </w:pPr>
    </w:p>
    <w:p>
      <w:pPr>
        <w:pStyle w:val="428"/>
        <w:spacing w:line="480" w:lineRule="auto"/>
        <w:ind w:left="0"/>
        <w:rPr>
          <w:rFonts w:asciiTheme="minorEastAsia" w:hAnsiTheme="minorEastAsia" w:eastAsiaTheme="minorEastAsia" w:cstheme="minorEastAsia"/>
          <w:sz w:val="24"/>
          <w:szCs w:val="24"/>
        </w:rPr>
      </w:pPr>
    </w:p>
    <w:p>
      <w:pPr>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供应商名称（</w:t>
      </w:r>
      <w:r>
        <w:rPr>
          <w:rFonts w:hint="eastAsia" w:ascii="宋体" w:hAnsi="宋体" w:cs="宋体"/>
          <w:sz w:val="24"/>
        </w:rPr>
        <w:t>公章或CA签章</w:t>
      </w:r>
      <w:r>
        <w:rPr>
          <w:rFonts w:hint="eastAsia" w:asciiTheme="minorEastAsia" w:hAnsiTheme="minorEastAsia" w:eastAsiaTheme="minorEastAsia" w:cstheme="minorEastAsia"/>
          <w:spacing w:val="-6"/>
          <w:sz w:val="24"/>
        </w:rPr>
        <w:t>）：</w:t>
      </w:r>
    </w:p>
    <w:p>
      <w:pPr>
        <w:spacing w:line="480" w:lineRule="auto"/>
        <w:ind w:firstLine="48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kern w:val="0"/>
          <w:sz w:val="24"/>
        </w:rPr>
        <w:t>法定代表人(签字或盖章)或授权委托代理人(签字)</w:t>
      </w:r>
      <w:r>
        <w:rPr>
          <w:rFonts w:hint="eastAsia" w:asciiTheme="minorEastAsia" w:hAnsiTheme="minorEastAsia" w:eastAsiaTheme="minorEastAsia" w:cstheme="minorEastAsia"/>
          <w:spacing w:val="-6"/>
          <w:sz w:val="24"/>
        </w:rPr>
        <w:t>：</w:t>
      </w:r>
    </w:p>
    <w:p>
      <w:pPr>
        <w:widowControl/>
        <w:tabs>
          <w:tab w:val="left" w:pos="3225"/>
        </w:tabs>
        <w:spacing w:line="480" w:lineRule="auto"/>
        <w:ind w:firstLine="45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日期：     年   月   日</w:t>
      </w:r>
    </w:p>
    <w:p>
      <w:pPr>
        <w:snapToGrid w:val="0"/>
        <w:spacing w:before="159" w:beforeLines="50" w:after="50" w:line="360" w:lineRule="auto"/>
        <w:rPr>
          <w:rFonts w:ascii="宋体" w:hAnsi="宋体" w:cs="宋体"/>
          <w:b/>
          <w:sz w:val="28"/>
        </w:rPr>
      </w:pPr>
    </w:p>
    <w:p>
      <w:pPr>
        <w:snapToGrid w:val="0"/>
        <w:spacing w:before="159" w:beforeLines="50" w:after="50" w:line="360" w:lineRule="auto"/>
        <w:rPr>
          <w:rFonts w:ascii="宋体" w:hAnsi="宋体" w:cs="宋体"/>
          <w:b/>
          <w:sz w:val="28"/>
        </w:rPr>
      </w:pPr>
    </w:p>
    <w:p>
      <w:pPr>
        <w:snapToGrid w:val="0"/>
        <w:spacing w:before="159" w:beforeLines="50" w:after="50" w:line="360" w:lineRule="auto"/>
        <w:rPr>
          <w:rFonts w:ascii="宋体" w:hAnsi="宋体" w:cs="宋体"/>
          <w:b/>
          <w:sz w:val="28"/>
        </w:rPr>
        <w:sectPr>
          <w:footerReference r:id="rId4" w:type="default"/>
          <w:pgSz w:w="11906" w:h="16838"/>
          <w:pgMar w:top="1440" w:right="1800" w:bottom="1440" w:left="1800" w:header="851" w:footer="992" w:gutter="0"/>
          <w:cols w:space="0" w:num="1"/>
          <w:docGrid w:type="lines" w:linePitch="319" w:charSpace="0"/>
        </w:sectPr>
      </w:pPr>
    </w:p>
    <w:p>
      <w:pPr>
        <w:spacing w:line="360" w:lineRule="auto"/>
        <w:ind w:right="-110"/>
        <w:rPr>
          <w:rFonts w:ascii="宋体" w:hAnsi="宋体"/>
          <w:b/>
          <w:sz w:val="32"/>
          <w:szCs w:val="32"/>
        </w:rPr>
      </w:pPr>
      <w:r>
        <w:rPr>
          <w:rFonts w:hint="eastAsia" w:ascii="宋体" w:hAnsi="宋体"/>
          <w:b/>
          <w:sz w:val="32"/>
          <w:szCs w:val="32"/>
        </w:rPr>
        <w:t>附件7：</w:t>
      </w:r>
    </w:p>
    <w:p>
      <w:pPr>
        <w:spacing w:line="360" w:lineRule="auto"/>
        <w:ind w:firstLine="482"/>
        <w:jc w:val="center"/>
        <w:rPr>
          <w:rFonts w:asciiTheme="minorEastAsia" w:hAnsiTheme="minorEastAsia" w:eastAsiaTheme="minorEastAsia" w:cstheme="minorEastAsia"/>
          <w:b/>
          <w:bCs/>
          <w:kern w:val="0"/>
          <w:sz w:val="28"/>
          <w:szCs w:val="36"/>
          <w:lang w:val="zh-CN"/>
        </w:rPr>
      </w:pPr>
      <w:r>
        <w:rPr>
          <w:rFonts w:hint="eastAsia" w:asciiTheme="minorEastAsia" w:hAnsiTheme="minorEastAsia" w:eastAsiaTheme="minorEastAsia" w:cstheme="minorEastAsia"/>
          <w:b/>
          <w:bCs/>
          <w:kern w:val="0"/>
          <w:sz w:val="28"/>
          <w:szCs w:val="36"/>
          <w:lang w:val="zh-CN"/>
        </w:rPr>
        <w:t>政府采购活动现场确认声明书</w:t>
      </w:r>
    </w:p>
    <w:p>
      <w:pPr>
        <w:pStyle w:val="431"/>
        <w:tabs>
          <w:tab w:val="left" w:pos="8231"/>
        </w:tabs>
        <w:snapToGrid w:val="0"/>
        <w:spacing w:line="360" w:lineRule="auto"/>
        <w:rPr>
          <w:rFonts w:hAnsi="宋体" w:eastAsia="宋体" w:cs="宋体"/>
          <w:b/>
          <w:sz w:val="24"/>
          <w:szCs w:val="24"/>
        </w:rPr>
      </w:pPr>
      <w:r>
        <w:rPr>
          <w:rFonts w:hint="eastAsia" w:hAnsi="宋体" w:eastAsia="宋体" w:cs="宋体"/>
          <w:kern w:val="0"/>
          <w:sz w:val="24"/>
          <w:szCs w:val="24"/>
          <w:u w:val="single"/>
        </w:rPr>
        <w:t>台州市玖诚工程管理有限公司</w:t>
      </w:r>
      <w:r>
        <w:rPr>
          <w:rFonts w:hint="eastAsia" w:hAnsi="宋体" w:eastAsia="宋体" w:cs="宋体"/>
          <w:kern w:val="0"/>
          <w:sz w:val="24"/>
          <w:szCs w:val="24"/>
        </w:rPr>
        <w:t>（采购组织机构名称）：</w:t>
      </w:r>
      <w:r>
        <w:rPr>
          <w:rFonts w:hint="eastAsia" w:hAnsi="宋体" w:eastAsia="宋体" w:cs="宋体"/>
          <w:kern w:val="0"/>
          <w:sz w:val="24"/>
          <w:szCs w:val="24"/>
        </w:rPr>
        <w:tab/>
      </w:r>
    </w:p>
    <w:p>
      <w:pPr>
        <w:pStyle w:val="431"/>
        <w:snapToGrid w:val="0"/>
        <w:spacing w:line="360" w:lineRule="auto"/>
        <w:ind w:firstLine="504" w:firstLineChars="200"/>
        <w:rPr>
          <w:rFonts w:hAnsi="宋体" w:eastAsia="宋体" w:cs="宋体"/>
          <w:spacing w:val="6"/>
          <w:sz w:val="24"/>
          <w:szCs w:val="24"/>
        </w:rPr>
      </w:pPr>
      <w:r>
        <w:rPr>
          <w:rFonts w:hint="eastAsia" w:hAnsi="宋体" w:eastAsia="宋体" w:cs="宋体"/>
          <w:spacing w:val="6"/>
          <w:sz w:val="24"/>
          <w:szCs w:val="24"/>
        </w:rPr>
        <w:t>本人经由</w:t>
      </w:r>
      <w:r>
        <w:rPr>
          <w:rFonts w:hint="eastAsia" w:hAnsi="宋体" w:eastAsia="宋体" w:cs="宋体"/>
          <w:spacing w:val="6"/>
          <w:sz w:val="24"/>
          <w:szCs w:val="24"/>
          <w:u w:val="single"/>
        </w:rPr>
        <w:t xml:space="preserve">                  （单位）</w:t>
      </w:r>
      <w:r>
        <w:rPr>
          <w:rFonts w:hint="eastAsia" w:hAnsi="宋体" w:eastAsia="宋体" w:cs="宋体"/>
          <w:spacing w:val="6"/>
          <w:sz w:val="24"/>
          <w:szCs w:val="24"/>
        </w:rPr>
        <w:t>负责人</w:t>
      </w:r>
      <w:r>
        <w:rPr>
          <w:rFonts w:hint="eastAsia" w:hAnsi="宋体" w:eastAsia="宋体" w:cs="宋体"/>
          <w:spacing w:val="6"/>
          <w:sz w:val="24"/>
          <w:szCs w:val="24"/>
          <w:u w:val="single"/>
        </w:rPr>
        <w:t xml:space="preserve">        （姓名）</w:t>
      </w:r>
      <w:r>
        <w:rPr>
          <w:rFonts w:hint="eastAsia" w:hAnsi="宋体" w:eastAsia="宋体" w:cs="宋体"/>
          <w:spacing w:val="6"/>
          <w:sz w:val="24"/>
          <w:szCs w:val="24"/>
        </w:rPr>
        <w:t xml:space="preserve">合法授权参加（编号：）政府采购活动，经与本单位法人代表（负责人）联系确认，现就有关公平竞争事项郑重声明如下： </w:t>
      </w:r>
    </w:p>
    <w:p>
      <w:pPr>
        <w:pStyle w:val="127"/>
        <w:numPr>
          <w:ilvl w:val="0"/>
          <w:numId w:val="37"/>
        </w:numPr>
        <w:snapToGrid w:val="0"/>
        <w:spacing w:line="360" w:lineRule="auto"/>
        <w:ind w:firstLine="453" w:firstLineChars="189"/>
        <w:rPr>
          <w:rFonts w:ascii="宋体" w:hAnsi="宋体" w:cs="宋体"/>
          <w:kern w:val="0"/>
          <w:sz w:val="24"/>
          <w:szCs w:val="24"/>
        </w:rPr>
      </w:pPr>
      <w:r>
        <w:rPr>
          <w:rFonts w:ascii="宋体" w:hAnsi="宋体" w:cs="宋体"/>
          <w:kern w:val="0"/>
          <w:sz w:val="24"/>
          <w:szCs w:val="24"/>
        </w:rPr>
        <w:t>本单位与采购人之间 □不存在利害关系 □存在下列利害关系：</w:t>
      </w:r>
    </w:p>
    <w:p>
      <w:pPr>
        <w:pStyle w:val="127"/>
        <w:snapToGrid w:val="0"/>
        <w:spacing w:line="360" w:lineRule="auto"/>
        <w:rPr>
          <w:rFonts w:ascii="宋体" w:hAnsi="宋体" w:cs="宋体"/>
          <w:kern w:val="0"/>
          <w:sz w:val="24"/>
          <w:szCs w:val="24"/>
        </w:rPr>
      </w:pPr>
      <w:r>
        <w:rPr>
          <w:rFonts w:ascii="宋体" w:hAnsi="宋体" w:cs="宋体"/>
          <w:kern w:val="0"/>
          <w:sz w:val="24"/>
          <w:szCs w:val="24"/>
        </w:rPr>
        <w:t xml:space="preserve">  A.投资关系    B.行政隶属关系    C.业务指导关系</w:t>
      </w:r>
    </w:p>
    <w:p>
      <w:pPr>
        <w:pStyle w:val="127"/>
        <w:snapToGrid w:val="0"/>
        <w:spacing w:line="360" w:lineRule="auto"/>
        <w:rPr>
          <w:rFonts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pPr>
        <w:pStyle w:val="127"/>
        <w:snapToGrid w:val="0"/>
        <w:spacing w:line="360" w:lineRule="auto"/>
        <w:rPr>
          <w:rFonts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p>
    <w:p>
      <w:pPr>
        <w:pStyle w:val="431"/>
        <w:snapToGrid w:val="0"/>
        <w:spacing w:line="360" w:lineRule="auto"/>
        <w:rPr>
          <w:rFonts w:hAnsi="宋体" w:eastAsia="宋体" w:cs="宋体"/>
          <w:kern w:val="0"/>
          <w:sz w:val="24"/>
          <w:szCs w:val="24"/>
        </w:rPr>
      </w:pPr>
      <w:r>
        <w:rPr>
          <w:rFonts w:hint="eastAsia" w:hAnsi="宋体" w:eastAsia="宋体" w:cs="宋体"/>
          <w:kern w:val="0"/>
          <w:sz w:val="24"/>
          <w:szCs w:val="24"/>
        </w:rPr>
        <w:t xml:space="preserve">  A.法定代表人或负责人或实际控制人是同一人</w:t>
      </w:r>
    </w:p>
    <w:p>
      <w:pPr>
        <w:pStyle w:val="431"/>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B.法定代表人或负责人或实际控制人是夫妻关系</w:t>
      </w:r>
    </w:p>
    <w:p>
      <w:pPr>
        <w:pStyle w:val="431"/>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C.法定代表人或负责人或实际控制人是直系血亲关系</w:t>
      </w:r>
    </w:p>
    <w:p>
      <w:pPr>
        <w:pStyle w:val="431"/>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D.法定代表人或负责人或实际控制人存在三代以内旁系血亲关系</w:t>
      </w:r>
    </w:p>
    <w:p>
      <w:pPr>
        <w:pStyle w:val="431"/>
        <w:snapToGrid w:val="0"/>
        <w:spacing w:line="360" w:lineRule="auto"/>
        <w:rPr>
          <w:rFonts w:hAnsi="宋体" w:eastAsia="宋体" w:cs="宋体"/>
          <w:kern w:val="0"/>
          <w:sz w:val="24"/>
          <w:szCs w:val="24"/>
        </w:rPr>
      </w:pPr>
      <w:r>
        <w:rPr>
          <w:rFonts w:hint="eastAsia" w:hAnsi="宋体" w:eastAsia="宋体" w:cs="宋体"/>
          <w:kern w:val="0"/>
          <w:sz w:val="24"/>
          <w:szCs w:val="24"/>
        </w:rPr>
        <w:t xml:space="preserve">  E.法定代表人或负责人或实际控制人存在近姻亲关系</w:t>
      </w:r>
    </w:p>
    <w:p>
      <w:pPr>
        <w:pStyle w:val="431"/>
        <w:snapToGrid w:val="0"/>
        <w:spacing w:line="360" w:lineRule="auto"/>
        <w:rPr>
          <w:rFonts w:hAnsi="宋体" w:eastAsia="宋体" w:cs="宋体"/>
          <w:kern w:val="0"/>
          <w:sz w:val="24"/>
          <w:szCs w:val="24"/>
        </w:rPr>
      </w:pPr>
      <w:r>
        <w:rPr>
          <w:rFonts w:hint="eastAsia" w:hAnsi="宋体" w:eastAsia="宋体" w:cs="宋体"/>
          <w:kern w:val="0"/>
          <w:sz w:val="24"/>
          <w:szCs w:val="24"/>
        </w:rPr>
        <w:t xml:space="preserve">  F.法定代表人或负责人或实际控制人存在股份控制或实际控制关系</w:t>
      </w:r>
    </w:p>
    <w:p>
      <w:pPr>
        <w:pStyle w:val="431"/>
        <w:snapToGrid w:val="0"/>
        <w:spacing w:line="360" w:lineRule="auto"/>
        <w:ind w:firstLine="240" w:firstLineChars="100"/>
        <w:rPr>
          <w:rFonts w:hAnsi="宋体" w:eastAsia="宋体" w:cs="宋体"/>
          <w:kern w:val="0"/>
          <w:sz w:val="24"/>
          <w:szCs w:val="24"/>
        </w:rPr>
      </w:pPr>
      <w:r>
        <w:rPr>
          <w:rFonts w:hint="eastAsia" w:hAnsi="宋体" w:eastAsia="宋体" w:cs="宋体"/>
          <w:kern w:val="0"/>
          <w:sz w:val="24"/>
          <w:szCs w:val="24"/>
        </w:rPr>
        <w:t>G.存在共同直接或间接投资设立子公司、联营企业和合营企业情况</w:t>
      </w:r>
    </w:p>
    <w:p>
      <w:pPr>
        <w:pStyle w:val="431"/>
        <w:snapToGrid w:val="0"/>
        <w:spacing w:line="360" w:lineRule="auto"/>
        <w:rPr>
          <w:rFonts w:hAnsi="宋体" w:eastAsia="宋体" w:cs="宋体"/>
          <w:sz w:val="24"/>
          <w:szCs w:val="24"/>
        </w:rPr>
      </w:pPr>
      <w:r>
        <w:rPr>
          <w:rFonts w:hint="eastAsia" w:hAnsi="宋体" w:eastAsia="宋体" w:cs="宋体"/>
          <w:kern w:val="0"/>
          <w:sz w:val="24"/>
          <w:szCs w:val="24"/>
        </w:rPr>
        <w:t xml:space="preserve">  H.存在分级代理或代销关系、同一生产制造商关系、</w:t>
      </w:r>
      <w:r>
        <w:rPr>
          <w:rFonts w:hint="eastAsia" w:hAnsi="宋体" w:eastAsia="宋体" w:cs="宋体"/>
          <w:sz w:val="24"/>
          <w:szCs w:val="24"/>
        </w:rPr>
        <w:t>管理关系、重要业务（占主营业务收入50%以上）或重要财务往来关系（如融资）等其他实质性控制关系</w:t>
      </w:r>
    </w:p>
    <w:p>
      <w:pPr>
        <w:pStyle w:val="431"/>
        <w:snapToGrid w:val="0"/>
        <w:spacing w:line="360" w:lineRule="auto"/>
        <w:rPr>
          <w:rFonts w:hAnsi="宋体" w:eastAsia="宋体" w:cs="宋体"/>
          <w:spacing w:val="6"/>
          <w:sz w:val="24"/>
          <w:szCs w:val="24"/>
        </w:rPr>
      </w:pPr>
      <w:r>
        <w:rPr>
          <w:rFonts w:hint="eastAsia" w:hAnsi="宋体" w:eastAsia="宋体" w:cs="宋体"/>
          <w:sz w:val="24"/>
          <w:szCs w:val="24"/>
        </w:rPr>
        <w:t xml:space="preserve">  I</w:t>
      </w:r>
      <w:r>
        <w:rPr>
          <w:rFonts w:hint="eastAsia" w:hAnsi="宋体" w:eastAsia="宋体" w:cs="宋体"/>
          <w:kern w:val="0"/>
          <w:sz w:val="24"/>
          <w:szCs w:val="24"/>
        </w:rPr>
        <w:t>.</w:t>
      </w:r>
      <w:r>
        <w:rPr>
          <w:rFonts w:hint="eastAsia" w:hAnsi="宋体" w:eastAsia="宋体" w:cs="宋体"/>
          <w:sz w:val="24"/>
          <w:szCs w:val="24"/>
        </w:rPr>
        <w:t>其他利害关系情况</w:t>
      </w:r>
      <w:r>
        <w:rPr>
          <w:rFonts w:hint="eastAsia" w:hAnsi="宋体" w:eastAsia="宋体" w:cs="宋体"/>
          <w:kern w:val="0"/>
          <w:sz w:val="24"/>
          <w:szCs w:val="24"/>
        </w:rPr>
        <w:t>。</w:t>
      </w:r>
    </w:p>
    <w:p>
      <w:pPr>
        <w:pStyle w:val="127"/>
        <w:numPr>
          <w:ilvl w:val="0"/>
          <w:numId w:val="38"/>
        </w:numPr>
        <w:snapToGrid w:val="0"/>
        <w:spacing w:line="360" w:lineRule="auto"/>
        <w:ind w:firstLine="453" w:firstLineChars="189"/>
        <w:rPr>
          <w:rFonts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pPr>
        <w:pStyle w:val="127"/>
        <w:numPr>
          <w:ilvl w:val="0"/>
          <w:numId w:val="38"/>
        </w:numPr>
        <w:snapToGrid w:val="0"/>
        <w:spacing w:line="360" w:lineRule="auto"/>
        <w:ind w:firstLine="453" w:firstLineChars="189"/>
        <w:rPr>
          <w:rFonts w:ascii="宋体" w:hAnsi="宋体" w:cs="宋体"/>
          <w:kern w:val="0"/>
          <w:sz w:val="24"/>
          <w:szCs w:val="24"/>
        </w:rPr>
      </w:pPr>
      <w:r>
        <w:rPr>
          <w:rFonts w:ascii="宋体" w:hAnsi="宋体" w:cs="宋体"/>
          <w:kern w:val="0"/>
          <w:sz w:val="24"/>
          <w:szCs w:val="24"/>
        </w:rPr>
        <w:t>我发现供应商之间存在或可能存在上述第二条第项利害关系。</w:t>
      </w:r>
    </w:p>
    <w:p>
      <w:pPr>
        <w:pStyle w:val="431"/>
        <w:snapToGrid w:val="0"/>
        <w:spacing w:line="360" w:lineRule="auto"/>
        <w:ind w:firstLine="480" w:firstLineChars="200"/>
        <w:jc w:val="right"/>
        <w:rPr>
          <w:rFonts w:hAnsi="宋体" w:cs="宋体"/>
          <w:sz w:val="24"/>
        </w:rPr>
      </w:pPr>
      <w:r>
        <w:rPr>
          <w:rFonts w:hint="eastAsia" w:hAnsi="宋体" w:eastAsia="宋体" w:cs="宋体"/>
          <w:sz w:val="24"/>
          <w:szCs w:val="24"/>
        </w:rPr>
        <w:t xml:space="preserve">                         </w:t>
      </w:r>
      <w:r>
        <w:rPr>
          <w:rFonts w:hint="eastAsia" w:hAnsi="宋体" w:eastAsia="宋体" w:cs="宋体"/>
          <w:sz w:val="22"/>
          <w:szCs w:val="22"/>
        </w:rPr>
        <w:t xml:space="preserve">         （供应商代表签名）                         年   月   日</w:t>
      </w:r>
    </w:p>
    <w:p>
      <w:pPr>
        <w:spacing w:line="420" w:lineRule="exact"/>
        <w:sectPr>
          <w:pgSz w:w="11906" w:h="16838"/>
          <w:pgMar w:top="1440" w:right="1800" w:bottom="1440" w:left="1800" w:header="851" w:footer="992" w:gutter="0"/>
          <w:cols w:space="425" w:num="1"/>
          <w:docGrid w:type="lines" w:linePitch="312" w:charSpace="0"/>
        </w:sect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kern w:val="0"/>
          <w:sz w:val="22"/>
          <w:szCs w:val="22"/>
        </w:rPr>
        <w:t>872868454@qq.com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pPr>
        <w:snapToGrid w:val="0"/>
        <w:spacing w:before="159" w:beforeLines="50" w:after="50" w:line="360" w:lineRule="auto"/>
        <w:rPr>
          <w:rFonts w:ascii="宋体" w:hAnsi="宋体" w:cs="宋体"/>
          <w:bCs/>
          <w:sz w:val="30"/>
          <w:szCs w:val="30"/>
        </w:rPr>
      </w:pPr>
      <w:r>
        <w:rPr>
          <w:rFonts w:hint="eastAsia" w:ascii="宋体" w:hAnsi="宋体" w:cs="宋体"/>
          <w:b/>
          <w:sz w:val="28"/>
        </w:rPr>
        <w:t>附件8：</w:t>
      </w:r>
    </w:p>
    <w:p>
      <w:pPr>
        <w:spacing w:line="360" w:lineRule="auto"/>
        <w:ind w:right="-110"/>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pStyle w:val="63"/>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pStyle w:val="63"/>
      </w:pPr>
    </w:p>
    <w:p>
      <w:pPr>
        <w:spacing w:after="100" w:afterAutospacing="1" w:line="360" w:lineRule="auto"/>
        <w:ind w:right="-108"/>
        <w:jc w:val="center"/>
        <w:rPr>
          <w:rFonts w:ascii="宋体" w:hAnsi="宋体" w:cs="宋体"/>
          <w:b/>
          <w:spacing w:val="40"/>
          <w:sz w:val="28"/>
          <w:szCs w:val="28"/>
        </w:rPr>
      </w:pPr>
      <w:r>
        <w:rPr>
          <w:rFonts w:hint="eastAsia" w:ascii="宋体" w:hAnsi="宋体" w:cs="宋体"/>
          <w:sz w:val="28"/>
          <w:szCs w:val="28"/>
          <w:lang w:val="zh-CN"/>
        </w:rPr>
        <w:t>（</w:t>
      </w:r>
      <w:r>
        <w:rPr>
          <w:rFonts w:hint="eastAsia" w:ascii="宋体" w:hAnsi="宋体" w:cs="宋体"/>
          <w:bCs/>
          <w:sz w:val="24"/>
          <w:lang w:val="zh-CN"/>
        </w:rPr>
        <w:t>商务与技术文件</w:t>
      </w:r>
      <w:r>
        <w:rPr>
          <w:rFonts w:hint="eastAsia" w:ascii="宋体" w:hAnsi="宋体" w:cs="宋体"/>
          <w:b/>
          <w:spacing w:val="40"/>
          <w:sz w:val="28"/>
          <w:szCs w:val="28"/>
        </w:rPr>
        <w:t>）</w:t>
      </w:r>
    </w:p>
    <w:p>
      <w:pPr>
        <w:spacing w:line="360" w:lineRule="auto"/>
        <w:ind w:right="532" w:firstLine="720" w:firstLineChars="200"/>
        <w:rPr>
          <w:rFonts w:ascii="宋体" w:hAnsi="宋体" w:cs="宋体"/>
          <w:sz w:val="36"/>
          <w:szCs w:val="36"/>
        </w:rPr>
      </w:pPr>
      <w:r>
        <w:rPr>
          <w:rFonts w:hint="eastAsia" w:ascii="宋体" w:hAnsi="宋体" w:cs="宋体"/>
          <w:sz w:val="36"/>
          <w:szCs w:val="36"/>
        </w:rPr>
        <w:t>投标人全称（公章或CA签章）：</w:t>
      </w:r>
    </w:p>
    <w:p>
      <w:pPr>
        <w:spacing w:line="360" w:lineRule="auto"/>
        <w:ind w:right="532"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ascii="宋体" w:hAnsi="宋体" w:cs="宋体"/>
          <w:sz w:val="36"/>
          <w:szCs w:val="36"/>
        </w:rPr>
      </w:pPr>
      <w:r>
        <w:rPr>
          <w:rFonts w:hint="eastAsia" w:ascii="宋体" w:hAnsi="宋体" w:cs="宋体"/>
          <w:sz w:val="36"/>
          <w:szCs w:val="36"/>
        </w:rPr>
        <w:t>时    间：</w:t>
      </w:r>
    </w:p>
    <w:p>
      <w:pPr>
        <w:snapToGrid w:val="0"/>
        <w:spacing w:before="50" w:after="50" w:line="360" w:lineRule="auto"/>
        <w:rPr>
          <w:rFonts w:ascii="宋体" w:hAnsi="宋体" w:cs="宋体"/>
          <w:b/>
          <w:sz w:val="36"/>
          <w:szCs w:val="36"/>
        </w:rPr>
      </w:pPr>
    </w:p>
    <w:p>
      <w:pPr>
        <w:rPr>
          <w:rFonts w:ascii="宋体" w:hAnsi="宋体" w:cs="宋体"/>
          <w:b/>
          <w:sz w:val="28"/>
        </w:rPr>
      </w:pPr>
    </w:p>
    <w:p>
      <w:pPr>
        <w:rPr>
          <w:rFonts w:ascii="宋体" w:hAnsi="宋体"/>
          <w:b/>
          <w:sz w:val="28"/>
        </w:rPr>
      </w:pPr>
      <w:r>
        <w:rPr>
          <w:rFonts w:hint="eastAsia" w:ascii="宋体" w:hAnsi="宋体"/>
          <w:b/>
          <w:sz w:val="28"/>
        </w:rPr>
        <w:t>附件9</w:t>
      </w:r>
    </w:p>
    <w:p>
      <w:pPr>
        <w:spacing w:before="156" w:after="156"/>
        <w:jc w:val="center"/>
        <w:rPr>
          <w:rFonts w:ascii="宋体" w:hAnsi="宋体"/>
          <w:b/>
          <w:sz w:val="44"/>
        </w:rPr>
      </w:pPr>
      <w:r>
        <w:rPr>
          <w:rFonts w:hint="eastAsia" w:ascii="宋体" w:hAnsi="宋体"/>
          <w:b/>
          <w:sz w:val="44"/>
        </w:rPr>
        <w:t>评分索引表</w:t>
      </w:r>
    </w:p>
    <w:tbl>
      <w:tblPr>
        <w:tblStyle w:val="48"/>
        <w:tblW w:w="0" w:type="auto"/>
        <w:jc w:val="center"/>
        <w:tblLayout w:type="fixed"/>
        <w:tblCellMar>
          <w:top w:w="0" w:type="dxa"/>
          <w:left w:w="0" w:type="dxa"/>
          <w:bottom w:w="0" w:type="dxa"/>
          <w:right w:w="0" w:type="dxa"/>
        </w:tblCellMar>
      </w:tblPr>
      <w:tblGrid>
        <w:gridCol w:w="837"/>
        <w:gridCol w:w="4661"/>
        <w:gridCol w:w="1141"/>
        <w:gridCol w:w="2060"/>
      </w:tblGrid>
      <w:tr>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序号</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szCs w:val="21"/>
              </w:rPr>
              <w:t>评分项目和评分细则</w:t>
            </w: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b/>
              </w:rPr>
            </w:pPr>
            <w:r>
              <w:rPr>
                <w:rFonts w:hint="eastAsia" w:ascii="宋体" w:hAnsi="宋体"/>
                <w:b/>
              </w:rPr>
              <w:t>在投标文件中所对应的</w:t>
            </w:r>
            <w:r>
              <w:rPr>
                <w:rFonts w:ascii="宋体" w:hAnsi="宋体"/>
                <w:b/>
              </w:rPr>
              <w:t>页码</w:t>
            </w: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r>
              <w:rPr>
                <w:rFonts w:ascii="宋体" w:hAnsi="宋体"/>
                <w:b/>
                <w:sz w:val="24"/>
              </w:rPr>
              <w:t>…</w:t>
            </w: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r>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sz w:val="24"/>
              </w:rPr>
            </w:pPr>
          </w:p>
        </w:tc>
        <w:tc>
          <w:tcPr>
            <w:tcW w:w="4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90" w:lineRule="exact"/>
              <w:jc w:val="center"/>
              <w:rPr>
                <w:rFonts w:ascii="宋体" w:hAnsi="宋体"/>
                <w:b/>
              </w:rPr>
            </w:pPr>
          </w:p>
        </w:tc>
        <w:tc>
          <w:tcPr>
            <w:tcW w:w="11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rPr>
                <w:rFonts w:ascii="宋体" w:hAnsi="宋体"/>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rPr>
            </w:pPr>
          </w:p>
        </w:tc>
      </w:tr>
    </w:tbl>
    <w:p>
      <w:pPr>
        <w:spacing w:line="400" w:lineRule="exact"/>
        <w:ind w:firstLine="413"/>
        <w:rPr>
          <w:rFonts w:ascii="宋体" w:hAnsi="宋体"/>
          <w:b/>
        </w:rPr>
      </w:pPr>
      <w:r>
        <w:rPr>
          <w:rFonts w:ascii="宋体" w:hAnsi="宋体"/>
          <w:b/>
        </w:rPr>
        <w:t>注：</w:t>
      </w:r>
      <w:r>
        <w:rPr>
          <w:rFonts w:hint="eastAsia" w:ascii="宋体" w:hAnsi="宋体"/>
          <w:b/>
        </w:rPr>
        <w:t>1、投标供应商应结合本招标文件评分细则认真填制相关内容，以及在投标文件中所对应的页码，如未提供，评委有权认为不具备或不符合，有可能影响投标人的得分。</w:t>
      </w:r>
    </w:p>
    <w:p>
      <w:pPr>
        <w:numPr>
          <w:ilvl w:val="0"/>
          <w:numId w:val="39"/>
        </w:numPr>
        <w:rPr>
          <w:rFonts w:ascii="宋体" w:hAnsi="宋体"/>
          <w:b/>
        </w:rPr>
      </w:pPr>
      <w:r>
        <w:rPr>
          <w:rFonts w:hint="eastAsia" w:ascii="宋体" w:hAnsi="宋体"/>
          <w:b/>
        </w:rPr>
        <w:t>如本表格不适合投标单位的实际情况，可根据本表格式自行制表填写。</w:t>
      </w: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p>
    <w:p>
      <w:pPr>
        <w:rPr>
          <w:rFonts w:ascii="宋体" w:hAnsi="宋体" w:cs="宋体"/>
          <w:b/>
          <w:sz w:val="28"/>
        </w:rPr>
      </w:pPr>
    </w:p>
    <w:p>
      <w:pPr>
        <w:pStyle w:val="73"/>
        <w:tabs>
          <w:tab w:val="left" w:pos="1050"/>
        </w:tabs>
        <w:spacing w:line="360" w:lineRule="auto"/>
        <w:rPr>
          <w:rFonts w:ascii="宋体" w:hAnsi="宋体" w:cs="宋体"/>
          <w:b/>
          <w:sz w:val="28"/>
        </w:rPr>
      </w:pPr>
    </w:p>
    <w:p>
      <w:pPr>
        <w:pStyle w:val="73"/>
        <w:tabs>
          <w:tab w:val="left" w:pos="1050"/>
        </w:tabs>
        <w:spacing w:line="360" w:lineRule="auto"/>
        <w:rPr>
          <w:rFonts w:ascii="宋体" w:hAnsi="宋体" w:cs="Arial"/>
          <w:sz w:val="28"/>
          <w:szCs w:val="28"/>
        </w:rPr>
      </w:pPr>
      <w:r>
        <w:rPr>
          <w:rFonts w:hint="eastAsia" w:ascii="宋体" w:hAnsi="宋体" w:cs="宋体"/>
          <w:b/>
          <w:sz w:val="28"/>
        </w:rPr>
        <w:t>附件10：</w:t>
      </w:r>
    </w:p>
    <w:p>
      <w:pPr>
        <w:spacing w:line="360" w:lineRule="auto"/>
        <w:ind w:left="549" w:hanging="549" w:hangingChars="171"/>
        <w:jc w:val="center"/>
        <w:rPr>
          <w:rFonts w:ascii="宋体" w:hAnsi="宋体" w:cs="宋体"/>
          <w:b/>
          <w:sz w:val="18"/>
          <w:szCs w:val="18"/>
        </w:rPr>
      </w:pPr>
      <w:r>
        <w:rPr>
          <w:rFonts w:hint="eastAsia" w:ascii="宋体" w:hAnsi="宋体" w:cs="宋体"/>
          <w:b/>
          <w:sz w:val="32"/>
          <w:szCs w:val="32"/>
          <w:lang w:val="en-US" w:eastAsia="zh-CN"/>
        </w:rPr>
        <w:t>技术/</w:t>
      </w:r>
      <w:r>
        <w:rPr>
          <w:rFonts w:hint="eastAsia" w:ascii="宋体" w:hAnsi="宋体" w:cs="宋体"/>
          <w:b/>
          <w:sz w:val="32"/>
          <w:szCs w:val="32"/>
        </w:rPr>
        <w:t xml:space="preserve">商务需求响应表 </w:t>
      </w:r>
    </w:p>
    <w:tbl>
      <w:tblPr>
        <w:tblStyle w:val="4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sz w:val="24"/>
              </w:rPr>
            </w:pPr>
            <w:r>
              <w:rPr>
                <w:rFonts w:hint="eastAsia" w:ascii="宋体" w:hAnsi="宋体" w:cs="宋体"/>
                <w:b/>
                <w:sz w:val="24"/>
              </w:rPr>
              <w:t>序号</w:t>
            </w:r>
          </w:p>
        </w:tc>
        <w:tc>
          <w:tcPr>
            <w:tcW w:w="1785" w:type="dxa"/>
            <w:vAlign w:val="center"/>
          </w:tcPr>
          <w:p>
            <w:pPr>
              <w:rPr>
                <w:rFonts w:ascii="宋体" w:hAnsi="宋体" w:cs="宋体"/>
                <w:b/>
                <w:sz w:val="24"/>
              </w:rPr>
            </w:pPr>
            <w:r>
              <w:rPr>
                <w:rFonts w:hint="eastAsia" w:ascii="宋体" w:hAnsi="宋体" w:cs="宋体"/>
                <w:b/>
                <w:sz w:val="24"/>
              </w:rPr>
              <w:t xml:space="preserve">   内容</w:t>
            </w:r>
          </w:p>
        </w:tc>
        <w:tc>
          <w:tcPr>
            <w:tcW w:w="1785" w:type="dxa"/>
            <w:vAlign w:val="center"/>
          </w:tcPr>
          <w:p>
            <w:pPr>
              <w:ind w:left="53" w:leftChars="25" w:firstLine="241" w:firstLineChars="100"/>
              <w:rPr>
                <w:rFonts w:ascii="宋体" w:hAnsi="宋体" w:cs="宋体"/>
                <w:b/>
                <w:sz w:val="24"/>
              </w:rPr>
            </w:pPr>
            <w:r>
              <w:rPr>
                <w:rFonts w:hint="eastAsia" w:ascii="宋体" w:hAnsi="宋体" w:cs="宋体"/>
                <w:b/>
                <w:sz w:val="24"/>
              </w:rPr>
              <w:t>招标需求</w:t>
            </w:r>
          </w:p>
        </w:tc>
        <w:tc>
          <w:tcPr>
            <w:tcW w:w="1365" w:type="dxa"/>
            <w:vAlign w:val="center"/>
          </w:tcPr>
          <w:p>
            <w:pPr>
              <w:ind w:left="152"/>
              <w:rPr>
                <w:rFonts w:ascii="宋体" w:hAnsi="宋体" w:cs="宋体"/>
                <w:b/>
                <w:sz w:val="24"/>
              </w:rPr>
            </w:pPr>
            <w:r>
              <w:rPr>
                <w:rFonts w:hint="eastAsia" w:ascii="宋体" w:hAnsi="宋体" w:cs="宋体"/>
                <w:b/>
                <w:sz w:val="24"/>
              </w:rPr>
              <w:t>是否响应</w:t>
            </w:r>
          </w:p>
        </w:tc>
        <w:tc>
          <w:tcPr>
            <w:tcW w:w="2625" w:type="dxa"/>
            <w:vAlign w:val="center"/>
          </w:tcPr>
          <w:p>
            <w:pPr>
              <w:jc w:val="center"/>
              <w:rPr>
                <w:rFonts w:ascii="宋体" w:hAnsi="宋体" w:cs="宋体"/>
                <w:b/>
                <w:sz w:val="24"/>
              </w:rPr>
            </w:pPr>
            <w:r>
              <w:rPr>
                <w:rFonts w:hint="eastAsia" w:ascii="宋体" w:hAnsi="宋体" w:cs="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r>
              <w:rPr>
                <w:rFonts w:hint="eastAsia" w:ascii="宋体" w:cs="宋体"/>
                <w:sz w:val="24"/>
              </w:rPr>
              <w:t>……</w:t>
            </w: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sz w:val="24"/>
              </w:rPr>
            </w:pPr>
          </w:p>
        </w:tc>
        <w:tc>
          <w:tcPr>
            <w:tcW w:w="1785" w:type="dxa"/>
          </w:tcPr>
          <w:p>
            <w:pPr>
              <w:snapToGrid w:val="0"/>
              <w:rPr>
                <w:rFonts w:ascii="宋体" w:cs="宋体"/>
                <w:sz w:val="24"/>
              </w:rPr>
            </w:pPr>
          </w:p>
        </w:tc>
        <w:tc>
          <w:tcPr>
            <w:tcW w:w="1785" w:type="dxa"/>
            <w:vAlign w:val="center"/>
          </w:tcPr>
          <w:p>
            <w:pPr>
              <w:rPr>
                <w:rFonts w:ascii="宋体" w:hAnsi="宋体" w:cs="宋体"/>
                <w:sz w:val="24"/>
              </w:rPr>
            </w:pPr>
          </w:p>
        </w:tc>
        <w:tc>
          <w:tcPr>
            <w:tcW w:w="1365" w:type="dxa"/>
            <w:vAlign w:val="center"/>
          </w:tcPr>
          <w:p>
            <w:pPr>
              <w:rPr>
                <w:rFonts w:ascii="宋体" w:hAnsi="宋体" w:cs="宋体"/>
                <w:sz w:val="24"/>
              </w:rPr>
            </w:pPr>
          </w:p>
        </w:tc>
        <w:tc>
          <w:tcPr>
            <w:tcW w:w="2625" w:type="dxa"/>
            <w:vAlign w:val="center"/>
          </w:tcPr>
          <w:p>
            <w:pPr>
              <w:rPr>
                <w:rFonts w:ascii="宋体" w:hAnsi="宋体" w:cs="宋体"/>
                <w:sz w:val="24"/>
              </w:rPr>
            </w:pPr>
          </w:p>
        </w:tc>
      </w:tr>
    </w:tbl>
    <w:p>
      <w:pPr>
        <w:spacing w:line="360" w:lineRule="auto"/>
        <w:rPr>
          <w:rFonts w:ascii="宋体" w:hAnsi="宋体" w:cs="宋体"/>
          <w:sz w:val="24"/>
        </w:rPr>
      </w:pPr>
    </w:p>
    <w:p>
      <w:pPr>
        <w:spacing w:line="360" w:lineRule="auto"/>
        <w:ind w:left="420"/>
        <w:rPr>
          <w:rFonts w:ascii="宋体" w:hAnsi="宋体" w:cs="宋体"/>
          <w:sz w:val="24"/>
          <w:u w:val="single"/>
        </w:rPr>
      </w:pPr>
      <w:r>
        <w:rPr>
          <w:rFonts w:hint="eastAsia" w:ascii="宋体" w:hAnsi="宋体" w:cs="宋体"/>
          <w:sz w:val="24"/>
        </w:rPr>
        <w:t>投标人名称</w:t>
      </w:r>
      <w:r>
        <w:rPr>
          <w:rFonts w:hint="eastAsia" w:ascii="宋体" w:hAnsi="宋体" w:cs="宋体"/>
          <w:spacing w:val="6"/>
          <w:sz w:val="24"/>
        </w:rPr>
        <w:t>（公章或CA签章）</w:t>
      </w:r>
      <w:r>
        <w:rPr>
          <w:rFonts w:hint="eastAsia" w:ascii="宋体" w:hAnsi="宋体" w:cs="宋体"/>
          <w:sz w:val="24"/>
        </w:rPr>
        <w:t>：</w:t>
      </w:r>
    </w:p>
    <w:p>
      <w:pPr>
        <w:spacing w:line="360" w:lineRule="auto"/>
        <w:ind w:left="420"/>
        <w:rPr>
          <w:rFonts w:ascii="宋体" w:hAnsi="宋体" w:cs="宋体"/>
          <w:sz w:val="24"/>
        </w:rPr>
      </w:pPr>
    </w:p>
    <w:p>
      <w:pPr>
        <w:spacing w:line="360" w:lineRule="auto"/>
        <w:ind w:firstLine="435"/>
        <w:rPr>
          <w:rFonts w:ascii="宋体" w:hAnsi="宋体" w:cs="宋体"/>
          <w:sz w:val="24"/>
        </w:rPr>
      </w:pPr>
      <w:r>
        <w:rPr>
          <w:rFonts w:hint="eastAsia" w:ascii="宋体" w:hAnsi="宋体" w:cs="宋体"/>
          <w:sz w:val="24"/>
        </w:rPr>
        <w:t>法定代表人(签字或盖章)或授权委托代理人(签字)：</w:t>
      </w:r>
    </w:p>
    <w:p>
      <w:pPr>
        <w:spacing w:line="360" w:lineRule="auto"/>
        <w:ind w:firstLine="435"/>
        <w:rPr>
          <w:rFonts w:ascii="宋体" w:hAnsi="宋体" w:cs="宋体"/>
          <w:sz w:val="24"/>
        </w:rPr>
      </w:pPr>
    </w:p>
    <w:p>
      <w:pPr>
        <w:spacing w:line="360" w:lineRule="auto"/>
        <w:ind w:firstLine="435"/>
        <w:rPr>
          <w:rFonts w:ascii="宋体" w:hAnsi="宋体" w:cs="宋体"/>
          <w:sz w:val="24"/>
          <w:u w:val="single"/>
        </w:rPr>
      </w:pPr>
      <w:r>
        <w:rPr>
          <w:rFonts w:hint="eastAsia" w:ascii="宋体" w:hAnsi="宋体" w:cs="宋体"/>
          <w:sz w:val="24"/>
        </w:rPr>
        <w:t>日        期：</w:t>
      </w:r>
    </w:p>
    <w:p>
      <w:pPr>
        <w:rPr>
          <w:rFonts w:ascii="宋体" w:hAnsi="宋体" w:cs="宋体"/>
          <w:b/>
          <w:sz w:val="28"/>
        </w:rPr>
      </w:pPr>
      <w:r>
        <w:rPr>
          <w:rFonts w:hint="eastAsia" w:ascii="宋体" w:hAnsi="宋体" w:cs="宋体"/>
          <w:b/>
          <w:sz w:val="28"/>
        </w:rPr>
        <w:br w:type="page"/>
      </w:r>
    </w:p>
    <w:p>
      <w:pPr>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4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企业名称</w:t>
            </w:r>
          </w:p>
        </w:tc>
        <w:tc>
          <w:tcPr>
            <w:tcW w:w="3765" w:type="dxa"/>
            <w:gridSpan w:val="6"/>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法人代表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pPr>
              <w:jc w:val="center"/>
              <w:rPr>
                <w:rFonts w:ascii="宋体" w:hAnsi="宋体" w:cs="宋体"/>
                <w:sz w:val="24"/>
              </w:rPr>
            </w:pPr>
            <w:r>
              <w:rPr>
                <w:rFonts w:hint="eastAsia" w:ascii="宋体" w:hAnsi="宋体" w:cs="宋体"/>
                <w:sz w:val="24"/>
              </w:rPr>
              <w:t>地址</w:t>
            </w:r>
          </w:p>
        </w:tc>
        <w:tc>
          <w:tcPr>
            <w:tcW w:w="3765" w:type="dxa"/>
            <w:gridSpan w:val="6"/>
            <w:tcBorders>
              <w:bottom w:val="single" w:color="auto" w:sz="4" w:space="0"/>
            </w:tcBorders>
            <w:shd w:val="clear" w:color="auto" w:fill="auto"/>
            <w:vAlign w:val="center"/>
          </w:tcPr>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企业性质</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股东姓名</w:t>
            </w:r>
          </w:p>
        </w:tc>
        <w:tc>
          <w:tcPr>
            <w:tcW w:w="690" w:type="dxa"/>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股权结构（%）</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股东关系</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联系人姓名</w:t>
            </w:r>
          </w:p>
        </w:tc>
        <w:tc>
          <w:tcPr>
            <w:tcW w:w="690" w:type="dxa"/>
            <w:vMerge w:val="restart"/>
            <w:tcBorders>
              <w:top w:val="nil"/>
            </w:tcBorders>
            <w:shd w:val="clear" w:color="auto" w:fill="auto"/>
            <w:vAlign w:val="center"/>
          </w:tcPr>
          <w:p>
            <w:pPr>
              <w:jc w:val="center"/>
              <w:rPr>
                <w:rFonts w:ascii="宋体" w:hAnsi="宋体" w:cs="宋体"/>
                <w:sz w:val="24"/>
              </w:rPr>
            </w:pPr>
          </w:p>
        </w:tc>
        <w:tc>
          <w:tcPr>
            <w:tcW w:w="960" w:type="dxa"/>
            <w:gridSpan w:val="2"/>
            <w:tcBorders>
              <w:top w:val="nil"/>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固定电话</w:t>
            </w:r>
          </w:p>
        </w:tc>
        <w:tc>
          <w:tcPr>
            <w:tcW w:w="2115" w:type="dxa"/>
            <w:gridSpan w:val="3"/>
            <w:tcBorders>
              <w:top w:val="nil"/>
              <w:bottom w:val="single" w:color="auto" w:sz="4" w:space="0"/>
            </w:tcBorders>
            <w:shd w:val="clear" w:color="auto" w:fill="auto"/>
            <w:vAlign w:val="center"/>
          </w:tcPr>
          <w:p>
            <w:pPr>
              <w:jc w:val="center"/>
              <w:rPr>
                <w:rFonts w:ascii="宋体" w:hAnsi="宋体" w:cs="宋体"/>
                <w:sz w:val="24"/>
              </w:rPr>
            </w:pPr>
          </w:p>
          <w:p>
            <w:pPr>
              <w:jc w:val="center"/>
              <w:rPr>
                <w:rFonts w:ascii="宋体" w:hAnsi="宋体" w:cs="宋体"/>
                <w:sz w:val="24"/>
              </w:rPr>
            </w:pPr>
          </w:p>
        </w:tc>
        <w:tc>
          <w:tcPr>
            <w:tcW w:w="1560" w:type="dxa"/>
            <w:vMerge w:val="restart"/>
            <w:shd w:val="clear" w:color="auto" w:fill="auto"/>
            <w:vAlign w:val="center"/>
          </w:tcPr>
          <w:p>
            <w:pPr>
              <w:jc w:val="center"/>
              <w:rPr>
                <w:rFonts w:ascii="宋体" w:hAnsi="宋体" w:cs="宋体"/>
                <w:sz w:val="24"/>
              </w:rPr>
            </w:pPr>
            <w:r>
              <w:rPr>
                <w:rFonts w:hint="eastAsia" w:ascii="宋体" w:hAnsi="宋体" w:cs="宋体"/>
                <w:sz w:val="24"/>
              </w:rPr>
              <w:t>传真</w:t>
            </w:r>
          </w:p>
        </w:tc>
        <w:tc>
          <w:tcPr>
            <w:tcW w:w="2608" w:type="dxa"/>
            <w:gridSpan w:val="3"/>
            <w:vMerge w:val="restart"/>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pPr>
              <w:jc w:val="center"/>
              <w:rPr>
                <w:rFonts w:ascii="宋体" w:hAnsi="宋体" w:cs="宋体"/>
                <w:sz w:val="24"/>
              </w:rPr>
            </w:pPr>
          </w:p>
        </w:tc>
        <w:tc>
          <w:tcPr>
            <w:tcW w:w="690" w:type="dxa"/>
            <w:vMerge w:val="continue"/>
            <w:tcBorders>
              <w:bottom w:val="single" w:color="auto" w:sz="4" w:space="0"/>
            </w:tcBorders>
            <w:shd w:val="clear" w:color="auto" w:fill="auto"/>
            <w:vAlign w:val="center"/>
          </w:tcPr>
          <w:p>
            <w:pPr>
              <w:jc w:val="center"/>
              <w:rPr>
                <w:rFonts w:ascii="宋体" w:hAnsi="宋体" w:cs="宋体"/>
                <w:sz w:val="24"/>
              </w:rPr>
            </w:pPr>
          </w:p>
        </w:tc>
        <w:tc>
          <w:tcPr>
            <w:tcW w:w="960" w:type="dxa"/>
            <w:gridSpan w:val="2"/>
            <w:tcBorders>
              <w:bottom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手机</w:t>
            </w:r>
          </w:p>
        </w:tc>
        <w:tc>
          <w:tcPr>
            <w:tcW w:w="2115" w:type="dxa"/>
            <w:gridSpan w:val="3"/>
            <w:tcBorders>
              <w:bottom w:val="single" w:color="auto" w:sz="4" w:space="0"/>
            </w:tcBorders>
            <w:shd w:val="clear" w:color="auto" w:fill="auto"/>
            <w:vAlign w:val="center"/>
          </w:tcPr>
          <w:p>
            <w:pPr>
              <w:jc w:val="center"/>
              <w:rPr>
                <w:rFonts w:ascii="宋体" w:hAnsi="宋体" w:cs="宋体"/>
                <w:sz w:val="24"/>
              </w:rPr>
            </w:pPr>
          </w:p>
        </w:tc>
        <w:tc>
          <w:tcPr>
            <w:tcW w:w="1560" w:type="dxa"/>
            <w:vMerge w:val="continue"/>
            <w:shd w:val="clear" w:color="auto" w:fill="auto"/>
            <w:vAlign w:val="center"/>
          </w:tcPr>
          <w:p>
            <w:pPr>
              <w:jc w:val="center"/>
              <w:rPr>
                <w:rFonts w:ascii="宋体" w:hAnsi="宋体" w:cs="宋体"/>
                <w:sz w:val="24"/>
              </w:rPr>
            </w:pPr>
          </w:p>
        </w:tc>
        <w:tc>
          <w:tcPr>
            <w:tcW w:w="2608" w:type="dxa"/>
            <w:gridSpan w:val="3"/>
            <w:vMerge w:val="continue"/>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1.</w:t>
            </w:r>
          </w:p>
          <w:p>
            <w:pPr>
              <w:jc w:val="center"/>
              <w:rPr>
                <w:rFonts w:ascii="宋体" w:hAnsi="宋体" w:cs="宋体"/>
                <w:sz w:val="24"/>
              </w:rPr>
            </w:pPr>
            <w:r>
              <w:rPr>
                <w:rFonts w:hint="eastAsia" w:ascii="宋体" w:hAnsi="宋体" w:cs="宋体"/>
                <w:sz w:val="24"/>
              </w:rPr>
              <w:t>企</w:t>
            </w:r>
          </w:p>
          <w:p>
            <w:pPr>
              <w:jc w:val="center"/>
              <w:rPr>
                <w:rFonts w:ascii="宋体" w:hAnsi="宋体" w:cs="宋体"/>
                <w:sz w:val="24"/>
              </w:rPr>
            </w:pPr>
            <w:r>
              <w:rPr>
                <w:rFonts w:hint="eastAsia" w:ascii="宋体" w:hAnsi="宋体" w:cs="宋体"/>
                <w:sz w:val="24"/>
              </w:rPr>
              <w:t>业</w:t>
            </w:r>
          </w:p>
          <w:p>
            <w:pPr>
              <w:jc w:val="center"/>
              <w:rPr>
                <w:rFonts w:ascii="宋体" w:hAnsi="宋体" w:cs="宋体"/>
                <w:sz w:val="24"/>
              </w:rPr>
            </w:pPr>
            <w:r>
              <w:rPr>
                <w:rFonts w:hint="eastAsia" w:ascii="宋体" w:hAnsi="宋体" w:cs="宋体"/>
                <w:sz w:val="24"/>
              </w:rPr>
              <w:t>概</w:t>
            </w:r>
          </w:p>
          <w:p>
            <w:pPr>
              <w:jc w:val="center"/>
              <w:rPr>
                <w:rFonts w:ascii="宋体" w:hAnsi="宋体" w:cs="宋体"/>
                <w:sz w:val="24"/>
              </w:rPr>
            </w:pPr>
            <w:r>
              <w:rPr>
                <w:rFonts w:hint="eastAsia" w:ascii="宋体" w:hAnsi="宋体" w:cs="宋体"/>
                <w:sz w:val="24"/>
              </w:rPr>
              <w:t>况</w:t>
            </w:r>
          </w:p>
        </w:tc>
        <w:tc>
          <w:tcPr>
            <w:tcW w:w="690"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职工人数</w:t>
            </w:r>
          </w:p>
        </w:tc>
        <w:tc>
          <w:tcPr>
            <w:tcW w:w="960" w:type="dxa"/>
            <w:gridSpan w:val="2"/>
            <w:tcBorders>
              <w:top w:val="nil"/>
            </w:tcBorders>
            <w:shd w:val="clear" w:color="auto" w:fill="auto"/>
            <w:vAlign w:val="center"/>
          </w:tcPr>
          <w:p>
            <w:pPr>
              <w:jc w:val="center"/>
              <w:rPr>
                <w:rFonts w:ascii="宋体" w:hAnsi="宋体" w:cs="宋体"/>
                <w:sz w:val="24"/>
              </w:rPr>
            </w:pPr>
          </w:p>
        </w:tc>
        <w:tc>
          <w:tcPr>
            <w:tcW w:w="926" w:type="dxa"/>
            <w:tcBorders>
              <w:top w:val="nil"/>
            </w:tcBorders>
            <w:shd w:val="clear" w:color="auto" w:fill="auto"/>
            <w:vAlign w:val="center"/>
          </w:tcPr>
          <w:p>
            <w:pPr>
              <w:jc w:val="center"/>
              <w:rPr>
                <w:rFonts w:ascii="宋体" w:hAnsi="宋体" w:cs="宋体"/>
                <w:sz w:val="24"/>
              </w:rPr>
            </w:pPr>
            <w:r>
              <w:rPr>
                <w:rFonts w:hint="eastAsia" w:ascii="宋体" w:hAnsi="宋体" w:cs="宋体"/>
                <w:sz w:val="24"/>
              </w:rPr>
              <w:t>具备大专以上学历人数</w:t>
            </w:r>
          </w:p>
        </w:tc>
        <w:tc>
          <w:tcPr>
            <w:tcW w:w="1189" w:type="dxa"/>
            <w:gridSpan w:val="2"/>
            <w:tcBorders>
              <w:top w:val="nil"/>
            </w:tcBorders>
            <w:shd w:val="clear" w:color="auto" w:fill="auto"/>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1560" w:type="dxa"/>
            <w:shd w:val="clear" w:color="auto" w:fill="auto"/>
            <w:vAlign w:val="center"/>
          </w:tcPr>
          <w:p>
            <w:pPr>
              <w:jc w:val="center"/>
              <w:rPr>
                <w:rFonts w:ascii="宋体" w:hAnsi="宋体" w:cs="宋体"/>
                <w:sz w:val="24"/>
              </w:rPr>
            </w:pPr>
            <w:r>
              <w:rPr>
                <w:rFonts w:hint="eastAsia" w:ascii="宋体" w:hAnsi="宋体" w:cs="宋体"/>
                <w:sz w:val="24"/>
              </w:rPr>
              <w:t>国家授予技术职称人数</w:t>
            </w:r>
          </w:p>
        </w:tc>
        <w:tc>
          <w:tcPr>
            <w:tcW w:w="2608"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占地面积</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建筑面积</w:t>
            </w:r>
          </w:p>
        </w:tc>
        <w:tc>
          <w:tcPr>
            <w:tcW w:w="1189" w:type="dxa"/>
            <w:gridSpan w:val="2"/>
            <w:shd w:val="clear" w:color="auto" w:fill="auto"/>
            <w:vAlign w:val="center"/>
          </w:tcPr>
          <w:p>
            <w:pPr>
              <w:jc w:val="center"/>
              <w:rPr>
                <w:rFonts w:ascii="宋体" w:hAnsi="宋体" w:cs="宋体"/>
                <w:sz w:val="24"/>
              </w:rPr>
            </w:pPr>
            <w:r>
              <w:rPr>
                <w:rFonts w:hint="eastAsia" w:ascii="宋体" w:hAnsi="宋体" w:cs="宋体"/>
                <w:sz w:val="24"/>
              </w:rPr>
              <w:t>平方米</w:t>
            </w:r>
          </w:p>
          <w:p>
            <w:pPr>
              <w:jc w:val="center"/>
              <w:rPr>
                <w:rFonts w:ascii="宋体" w:hAnsi="宋体" w:cs="宋体"/>
                <w:sz w:val="24"/>
              </w:rPr>
            </w:pPr>
            <w:r>
              <w:rPr>
                <w:rFonts w:hint="eastAsia" w:ascii="宋体" w:hAnsi="宋体" w:cs="宋体"/>
                <w:sz w:val="24"/>
              </w:rPr>
              <w:t>□自有</w:t>
            </w:r>
          </w:p>
          <w:p>
            <w:pPr>
              <w:jc w:val="center"/>
              <w:rPr>
                <w:rFonts w:ascii="宋体" w:hAnsi="宋体" w:cs="宋体"/>
                <w:sz w:val="24"/>
              </w:rPr>
            </w:pPr>
            <w:r>
              <w:rPr>
                <w:rFonts w:hint="eastAsia" w:ascii="宋体" w:hAnsi="宋体" w:cs="宋体"/>
                <w:sz w:val="24"/>
              </w:rPr>
              <w:t>□租赁</w:t>
            </w:r>
          </w:p>
        </w:tc>
        <w:tc>
          <w:tcPr>
            <w:tcW w:w="1560" w:type="dxa"/>
            <w:shd w:val="clear" w:color="auto" w:fill="auto"/>
            <w:vAlign w:val="center"/>
          </w:tcPr>
          <w:p>
            <w:pPr>
              <w:jc w:val="center"/>
              <w:rPr>
                <w:rFonts w:ascii="宋体" w:hAnsi="宋体" w:cs="宋体"/>
                <w:sz w:val="24"/>
              </w:rPr>
            </w:pPr>
            <w:r>
              <w:rPr>
                <w:rFonts w:hint="eastAsia" w:ascii="宋体" w:hAnsi="宋体" w:cs="宋体"/>
                <w:sz w:val="24"/>
              </w:rPr>
              <w:t>生产经营场所及场所的设施与设备</w:t>
            </w:r>
          </w:p>
        </w:tc>
        <w:tc>
          <w:tcPr>
            <w:tcW w:w="2608" w:type="dxa"/>
            <w:gridSpan w:val="3"/>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注册资金</w:t>
            </w:r>
          </w:p>
        </w:tc>
        <w:tc>
          <w:tcPr>
            <w:tcW w:w="960" w:type="dxa"/>
            <w:gridSpan w:val="2"/>
            <w:shd w:val="clear" w:color="auto" w:fill="auto"/>
            <w:vAlign w:val="center"/>
          </w:tcPr>
          <w:p>
            <w:pPr>
              <w:jc w:val="center"/>
              <w:rPr>
                <w:rFonts w:ascii="宋体" w:hAnsi="宋体" w:cs="宋体"/>
                <w:sz w:val="24"/>
              </w:rPr>
            </w:pPr>
          </w:p>
        </w:tc>
        <w:tc>
          <w:tcPr>
            <w:tcW w:w="926" w:type="dxa"/>
            <w:shd w:val="clear" w:color="auto" w:fill="auto"/>
            <w:vAlign w:val="center"/>
          </w:tcPr>
          <w:p>
            <w:pPr>
              <w:jc w:val="center"/>
              <w:rPr>
                <w:rFonts w:ascii="宋体" w:hAnsi="宋体" w:cs="宋体"/>
                <w:sz w:val="24"/>
              </w:rPr>
            </w:pPr>
            <w:r>
              <w:rPr>
                <w:rFonts w:hint="eastAsia" w:ascii="宋体" w:hAnsi="宋体" w:cs="宋体"/>
                <w:sz w:val="24"/>
              </w:rPr>
              <w:t>注册发证机关</w:t>
            </w:r>
          </w:p>
        </w:tc>
        <w:tc>
          <w:tcPr>
            <w:tcW w:w="2749" w:type="dxa"/>
            <w:gridSpan w:val="3"/>
            <w:shd w:val="clear" w:color="auto" w:fill="auto"/>
            <w:vAlign w:val="center"/>
          </w:tcPr>
          <w:p>
            <w:pPr>
              <w:jc w:val="center"/>
              <w:rPr>
                <w:rFonts w:ascii="宋体" w:hAnsi="宋体" w:cs="宋体"/>
                <w:sz w:val="24"/>
              </w:rPr>
            </w:pPr>
          </w:p>
          <w:p>
            <w:pPr>
              <w:jc w:val="center"/>
              <w:rPr>
                <w:rFonts w:ascii="宋体" w:hAnsi="宋体" w:cs="宋体"/>
                <w:sz w:val="24"/>
              </w:rPr>
            </w:pPr>
          </w:p>
        </w:tc>
        <w:tc>
          <w:tcPr>
            <w:tcW w:w="1675" w:type="dxa"/>
            <w:gridSpan w:val="2"/>
            <w:shd w:val="clear" w:color="auto" w:fill="auto"/>
            <w:vAlign w:val="center"/>
          </w:tcPr>
          <w:p>
            <w:pPr>
              <w:jc w:val="center"/>
              <w:rPr>
                <w:rFonts w:ascii="宋体" w:hAnsi="宋体" w:cs="宋体"/>
                <w:sz w:val="24"/>
              </w:rPr>
            </w:pPr>
            <w:r>
              <w:rPr>
                <w:rFonts w:hint="eastAsia" w:ascii="宋体" w:hAnsi="宋体" w:cs="宋体"/>
                <w:sz w:val="24"/>
              </w:rPr>
              <w:t>公司成立时间</w:t>
            </w:r>
          </w:p>
        </w:tc>
        <w:tc>
          <w:tcPr>
            <w:tcW w:w="933" w:type="dxa"/>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pPr>
              <w:jc w:val="center"/>
              <w:rPr>
                <w:rFonts w:ascii="宋体" w:hAnsi="宋体" w:cs="宋体"/>
                <w:sz w:val="24"/>
              </w:rPr>
            </w:pPr>
          </w:p>
        </w:tc>
        <w:tc>
          <w:tcPr>
            <w:tcW w:w="690" w:type="dxa"/>
            <w:shd w:val="clear" w:color="auto" w:fill="auto"/>
            <w:vAlign w:val="center"/>
          </w:tcPr>
          <w:p>
            <w:pPr>
              <w:jc w:val="center"/>
              <w:rPr>
                <w:rFonts w:ascii="宋体" w:hAnsi="宋体" w:cs="宋体"/>
                <w:sz w:val="24"/>
              </w:rPr>
            </w:pPr>
            <w:r>
              <w:rPr>
                <w:rFonts w:hint="eastAsia" w:ascii="宋体" w:hAnsi="宋体" w:cs="宋体"/>
                <w:sz w:val="24"/>
              </w:rPr>
              <w:t>核准经营范围</w:t>
            </w:r>
          </w:p>
        </w:tc>
        <w:tc>
          <w:tcPr>
            <w:tcW w:w="7243" w:type="dxa"/>
            <w:gridSpan w:val="9"/>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pPr>
              <w:jc w:val="center"/>
              <w:rPr>
                <w:rFonts w:ascii="宋体" w:hAnsi="宋体" w:cs="宋体"/>
                <w:sz w:val="24"/>
              </w:rPr>
            </w:pPr>
          </w:p>
        </w:tc>
        <w:tc>
          <w:tcPr>
            <w:tcW w:w="7933" w:type="dxa"/>
            <w:gridSpan w:val="10"/>
            <w:shd w:val="clear" w:color="auto" w:fill="auto"/>
            <w:vAlign w:val="center"/>
          </w:tcPr>
          <w:p>
            <w:pPr>
              <w:jc w:val="center"/>
              <w:rPr>
                <w:rFonts w:ascii="宋体" w:hAnsi="宋体" w:cs="宋体"/>
                <w:sz w:val="24"/>
              </w:rPr>
            </w:pPr>
            <w:r>
              <w:rPr>
                <w:rFonts w:hint="eastAsia" w:ascii="宋体" w:hAnsi="宋体" w:cs="宋体"/>
                <w:sz w:val="24"/>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pPr>
              <w:jc w:val="center"/>
              <w:rPr>
                <w:rFonts w:ascii="宋体" w:hAnsi="宋体" w:cs="宋体"/>
                <w:sz w:val="24"/>
              </w:rPr>
            </w:pPr>
            <w:r>
              <w:rPr>
                <w:rFonts w:hint="eastAsia" w:ascii="宋体" w:hAnsi="宋体" w:cs="宋体"/>
                <w:sz w:val="24"/>
              </w:rPr>
              <w:t>2．</w:t>
            </w:r>
          </w:p>
          <w:p>
            <w:pPr>
              <w:jc w:val="center"/>
              <w:rPr>
                <w:rFonts w:ascii="宋体" w:hAnsi="宋体" w:cs="宋体"/>
                <w:sz w:val="24"/>
              </w:rPr>
            </w:pPr>
            <w:r>
              <w:rPr>
                <w:rFonts w:hint="eastAsia" w:ascii="宋体" w:hAnsi="宋体" w:cs="宋体"/>
                <w:sz w:val="24"/>
              </w:rPr>
              <w:t>企业有关资质获证情况</w:t>
            </w:r>
          </w:p>
        </w:tc>
        <w:tc>
          <w:tcPr>
            <w:tcW w:w="1355" w:type="dxa"/>
            <w:gridSpan w:val="2"/>
            <w:vMerge w:val="restart"/>
            <w:shd w:val="clear" w:color="auto" w:fill="auto"/>
            <w:vAlign w:val="center"/>
          </w:tcPr>
          <w:p>
            <w:pPr>
              <w:jc w:val="center"/>
              <w:rPr>
                <w:rFonts w:ascii="宋体" w:hAnsi="宋体" w:cs="宋体"/>
                <w:sz w:val="24"/>
              </w:rPr>
            </w:pPr>
            <w:r>
              <w:rPr>
                <w:rFonts w:hint="eastAsia" w:ascii="宋体" w:hAnsi="宋体" w:cs="宋体"/>
                <w:sz w:val="24"/>
              </w:rPr>
              <w:t>产品生产许可证情况（对需获得生产许可证的产品要填写此栏）</w:t>
            </w:r>
          </w:p>
        </w:tc>
        <w:tc>
          <w:tcPr>
            <w:tcW w:w="1333" w:type="dxa"/>
            <w:gridSpan w:val="3"/>
            <w:shd w:val="clear" w:color="auto" w:fill="auto"/>
            <w:vAlign w:val="center"/>
          </w:tcPr>
          <w:p>
            <w:pPr>
              <w:jc w:val="center"/>
              <w:rPr>
                <w:rFonts w:ascii="宋体" w:hAnsi="宋体" w:cs="宋体"/>
                <w:sz w:val="24"/>
              </w:rPr>
            </w:pPr>
            <w:r>
              <w:rPr>
                <w:rFonts w:hint="eastAsia" w:ascii="宋体" w:hAnsi="宋体" w:cs="宋体"/>
                <w:sz w:val="24"/>
              </w:rPr>
              <w:t>产品名称</w:t>
            </w:r>
          </w:p>
        </w:tc>
        <w:tc>
          <w:tcPr>
            <w:tcW w:w="1077" w:type="dxa"/>
            <w:shd w:val="clear" w:color="auto" w:fill="auto"/>
            <w:vAlign w:val="center"/>
          </w:tcPr>
          <w:p>
            <w:pPr>
              <w:jc w:val="center"/>
              <w:rPr>
                <w:rFonts w:ascii="宋体" w:hAnsi="宋体" w:cs="宋体"/>
                <w:sz w:val="24"/>
              </w:rPr>
            </w:pPr>
            <w:r>
              <w:rPr>
                <w:rFonts w:hint="eastAsia" w:ascii="宋体" w:hAnsi="宋体" w:cs="宋体"/>
                <w:sz w:val="24"/>
              </w:rPr>
              <w:t>发证机关</w:t>
            </w:r>
          </w:p>
        </w:tc>
        <w:tc>
          <w:tcPr>
            <w:tcW w:w="1617" w:type="dxa"/>
            <w:gridSpan w:val="2"/>
            <w:shd w:val="clear" w:color="auto" w:fill="auto"/>
            <w:vAlign w:val="center"/>
          </w:tcPr>
          <w:p>
            <w:pPr>
              <w:jc w:val="center"/>
              <w:rPr>
                <w:rFonts w:ascii="宋体" w:hAnsi="宋体" w:cs="宋体"/>
                <w:sz w:val="24"/>
              </w:rPr>
            </w:pPr>
            <w:r>
              <w:rPr>
                <w:rFonts w:hint="eastAsia" w:ascii="宋体" w:hAnsi="宋体" w:cs="宋体"/>
                <w:sz w:val="24"/>
              </w:rPr>
              <w:t>编号</w:t>
            </w:r>
          </w:p>
        </w:tc>
        <w:tc>
          <w:tcPr>
            <w:tcW w:w="1618" w:type="dxa"/>
            <w:shd w:val="clear" w:color="auto" w:fill="auto"/>
            <w:vAlign w:val="center"/>
          </w:tcPr>
          <w:p>
            <w:pPr>
              <w:jc w:val="center"/>
              <w:rPr>
                <w:rFonts w:ascii="宋体" w:hAnsi="宋体" w:cs="宋体"/>
                <w:sz w:val="24"/>
              </w:rPr>
            </w:pPr>
            <w:r>
              <w:rPr>
                <w:rFonts w:hint="eastAsia" w:ascii="宋体" w:hAnsi="宋体" w:cs="宋体"/>
                <w:sz w:val="24"/>
              </w:rPr>
              <w:t>发证时间</w:t>
            </w:r>
          </w:p>
        </w:tc>
        <w:tc>
          <w:tcPr>
            <w:tcW w:w="933" w:type="dxa"/>
            <w:shd w:val="clear" w:color="auto" w:fill="auto"/>
            <w:vAlign w:val="center"/>
          </w:tcPr>
          <w:p>
            <w:pPr>
              <w:jc w:val="center"/>
              <w:rPr>
                <w:rFonts w:ascii="宋体" w:hAnsi="宋体" w:cs="宋体"/>
                <w:sz w:val="24"/>
              </w:rPr>
            </w:pPr>
            <w:r>
              <w:rPr>
                <w:rFonts w:hint="eastAsia" w:ascii="宋体" w:hAnsi="宋体" w:cs="宋体"/>
                <w:sz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vMerge w:val="continue"/>
            <w:shd w:val="clear" w:color="auto" w:fill="auto"/>
            <w:vAlign w:val="center"/>
          </w:tcPr>
          <w:p>
            <w:pPr>
              <w:jc w:val="center"/>
              <w:rPr>
                <w:rFonts w:ascii="宋体" w:hAnsi="宋体" w:cs="宋体"/>
                <w:sz w:val="24"/>
              </w:rPr>
            </w:pPr>
          </w:p>
        </w:tc>
        <w:tc>
          <w:tcPr>
            <w:tcW w:w="1333" w:type="dxa"/>
            <w:gridSpan w:val="3"/>
            <w:shd w:val="clear" w:color="auto" w:fill="auto"/>
            <w:vAlign w:val="center"/>
          </w:tcPr>
          <w:p>
            <w:pPr>
              <w:jc w:val="center"/>
              <w:rPr>
                <w:rFonts w:ascii="宋体" w:hAnsi="宋体" w:cs="宋体"/>
                <w:sz w:val="24"/>
              </w:rPr>
            </w:pPr>
          </w:p>
        </w:tc>
        <w:tc>
          <w:tcPr>
            <w:tcW w:w="1077" w:type="dxa"/>
            <w:shd w:val="clear" w:color="auto" w:fill="auto"/>
            <w:vAlign w:val="center"/>
          </w:tcPr>
          <w:p>
            <w:pPr>
              <w:jc w:val="center"/>
              <w:rPr>
                <w:rFonts w:ascii="宋体" w:hAnsi="宋体" w:cs="宋体"/>
                <w:sz w:val="24"/>
              </w:rPr>
            </w:pPr>
          </w:p>
        </w:tc>
        <w:tc>
          <w:tcPr>
            <w:tcW w:w="1617" w:type="dxa"/>
            <w:gridSpan w:val="2"/>
            <w:shd w:val="clear" w:color="auto" w:fill="auto"/>
            <w:vAlign w:val="center"/>
          </w:tcPr>
          <w:p>
            <w:pPr>
              <w:jc w:val="center"/>
              <w:rPr>
                <w:rFonts w:ascii="宋体" w:hAnsi="宋体" w:cs="宋体"/>
                <w:sz w:val="24"/>
              </w:rPr>
            </w:pPr>
          </w:p>
        </w:tc>
        <w:tc>
          <w:tcPr>
            <w:tcW w:w="2551" w:type="dxa"/>
            <w:gridSpan w:val="2"/>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企业通过质量体系、环保体系、计量等认证情况</w:t>
            </w:r>
          </w:p>
        </w:tc>
        <w:tc>
          <w:tcPr>
            <w:tcW w:w="6578" w:type="dxa"/>
            <w:gridSpan w:val="8"/>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pPr>
              <w:jc w:val="center"/>
              <w:rPr>
                <w:rFonts w:ascii="宋体" w:hAnsi="宋体" w:cs="宋体"/>
                <w:sz w:val="24"/>
              </w:rPr>
            </w:pPr>
          </w:p>
        </w:tc>
        <w:tc>
          <w:tcPr>
            <w:tcW w:w="1355" w:type="dxa"/>
            <w:gridSpan w:val="2"/>
            <w:shd w:val="clear" w:color="auto" w:fill="auto"/>
            <w:vAlign w:val="center"/>
          </w:tcPr>
          <w:p>
            <w:pPr>
              <w:jc w:val="center"/>
              <w:rPr>
                <w:rFonts w:ascii="宋体" w:hAnsi="宋体" w:cs="宋体"/>
                <w:sz w:val="24"/>
              </w:rPr>
            </w:pPr>
            <w:r>
              <w:rPr>
                <w:rFonts w:hint="eastAsia" w:ascii="宋体" w:hAnsi="宋体" w:cs="宋体"/>
                <w:sz w:val="24"/>
              </w:rPr>
              <w:t>企业获得专利情况</w:t>
            </w:r>
          </w:p>
        </w:tc>
        <w:tc>
          <w:tcPr>
            <w:tcW w:w="6578" w:type="dxa"/>
            <w:gridSpan w:val="8"/>
            <w:shd w:val="clear" w:color="auto" w:fill="auto"/>
            <w:vAlign w:val="center"/>
          </w:tcPr>
          <w:p>
            <w:pPr>
              <w:jc w:val="center"/>
              <w:rPr>
                <w:rFonts w:ascii="宋体" w:hAnsi="宋体" w:cs="宋体"/>
                <w:sz w:val="24"/>
              </w:rPr>
            </w:pPr>
          </w:p>
        </w:tc>
      </w:tr>
    </w:tbl>
    <w:p>
      <w:pPr>
        <w:spacing w:line="360" w:lineRule="auto"/>
        <w:rPr>
          <w:rFonts w:ascii="宋体" w:hAnsi="宋体" w:cs="宋体"/>
          <w:sz w:val="24"/>
          <w:szCs w:val="32"/>
        </w:rPr>
      </w:pPr>
    </w:p>
    <w:p>
      <w:pPr>
        <w:spacing w:line="360" w:lineRule="auto"/>
        <w:rPr>
          <w:rFonts w:ascii="宋体" w:hAnsi="宋体" w:cs="宋体"/>
          <w:sz w:val="24"/>
          <w:szCs w:val="32"/>
        </w:rPr>
      </w:pPr>
      <w:r>
        <w:rPr>
          <w:rFonts w:hint="eastAsia"/>
          <w:b/>
          <w:bCs/>
          <w:sz w:val="24"/>
          <w:szCs w:val="32"/>
        </w:rPr>
        <w:t>要求：</w:t>
      </w:r>
      <w:r>
        <w:rPr>
          <w:rFonts w:hint="eastAsia" w:ascii="宋体" w:hAnsi="宋体" w:cs="宋体"/>
          <w:sz w:val="24"/>
          <w:szCs w:val="32"/>
        </w:rPr>
        <w:t>1.姓名栏必须将所有股东都统计在内，若非股份公司此行（第三行）无需填写；</w:t>
      </w:r>
    </w:p>
    <w:p>
      <w:pPr>
        <w:spacing w:line="360" w:lineRule="auto"/>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b/>
          <w:sz w:val="28"/>
        </w:rPr>
      </w:pPr>
    </w:p>
    <w:p>
      <w:pPr>
        <w:spacing w:line="360" w:lineRule="auto"/>
        <w:rPr>
          <w:rFonts w:ascii="宋体" w:hAnsi="宋体"/>
          <w:sz w:val="24"/>
        </w:rPr>
      </w:pPr>
      <w:r>
        <w:rPr>
          <w:rFonts w:hint="eastAsia" w:ascii="宋体" w:hAnsi="宋体"/>
          <w:b/>
          <w:sz w:val="28"/>
        </w:rPr>
        <w:t>附件12</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pPr>
        <w:spacing w:line="360" w:lineRule="auto"/>
        <w:jc w:val="center"/>
        <w:rPr>
          <w:sz w:val="24"/>
          <w:szCs w:val="32"/>
        </w:rPr>
      </w:pPr>
      <w:r>
        <w:rPr>
          <w:rFonts w:hint="eastAsia"/>
          <w:sz w:val="24"/>
          <w:szCs w:val="32"/>
        </w:rPr>
        <w:t>（主要从业人员及其技术资格）</w:t>
      </w:r>
    </w:p>
    <w:tbl>
      <w:tblPr>
        <w:tblStyle w:val="4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28"/>
              <w:snapToGrid w:val="0"/>
              <w:spacing w:before="159"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28"/>
              <w:snapToGrid w:val="0"/>
              <w:spacing w:before="159"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28"/>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kern w:val="44"/>
                <w:sz w:val="24"/>
                <w:szCs w:val="20"/>
              </w:rPr>
            </w:pPr>
          </w:p>
        </w:tc>
      </w:tr>
    </w:tbl>
    <w:p>
      <w:pPr>
        <w:spacing w:line="360" w:lineRule="auto"/>
        <w:jc w:val="left"/>
        <w:rPr>
          <w:b/>
          <w:bCs/>
          <w:sz w:val="24"/>
          <w:szCs w:val="32"/>
        </w:rPr>
      </w:pPr>
      <w:r>
        <w:rPr>
          <w:rFonts w:hint="eastAsia"/>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pPr>
        <w:spacing w:line="360" w:lineRule="auto"/>
        <w:jc w:val="left"/>
        <w:rPr>
          <w:rFonts w:ascii="宋体" w:hAnsi="宋体" w:cs="宋体"/>
          <w:sz w:val="24"/>
          <w:szCs w:val="32"/>
        </w:rPr>
      </w:pPr>
      <w:r>
        <w:rPr>
          <w:rFonts w:hint="eastAsia" w:ascii="宋体" w:hAnsi="宋体" w:cs="宋体"/>
          <w:sz w:val="24"/>
          <w:szCs w:val="32"/>
        </w:rPr>
        <w:t>　　3.出具上述人员在本单位服务的外部证明，如：投标截止日之前</w:t>
      </w:r>
      <w:r>
        <w:rPr>
          <w:rFonts w:hint="eastAsia" w:ascii="宋体" w:hAnsi="宋体" w:cs="宋体"/>
          <w:sz w:val="24"/>
          <w:szCs w:val="32"/>
          <w:lang w:val="en-US" w:eastAsia="zh-CN"/>
        </w:rPr>
        <w:t>三</w:t>
      </w:r>
      <w:r>
        <w:rPr>
          <w:rFonts w:hint="eastAsia" w:ascii="宋体" w:hAnsi="宋体" w:cs="宋体"/>
          <w:sz w:val="24"/>
          <w:szCs w:val="32"/>
        </w:rPr>
        <w:t>个月参加社会保险的《投保单》或《社会保险参保人员证明》等。</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sz w:val="24"/>
        </w:rPr>
        <w:t>投标人名称（盖章）：</w:t>
      </w:r>
    </w:p>
    <w:p>
      <w:pPr>
        <w:spacing w:line="360" w:lineRule="auto"/>
        <w:rPr>
          <w:rFonts w:ascii="宋体" w:hAnsi="宋体"/>
          <w:sz w:val="24"/>
        </w:rPr>
      </w:pPr>
      <w:r>
        <w:rPr>
          <w:rFonts w:hint="eastAsia" w:ascii="宋体" w:hAnsi="宋体"/>
          <w:sz w:val="24"/>
        </w:rPr>
        <w:t>法定代表人(签字或盖章)或授权委托代理人(签字)：</w:t>
      </w:r>
    </w:p>
    <w:p>
      <w:pPr>
        <w:spacing w:line="360" w:lineRule="auto"/>
        <w:rPr>
          <w:rFonts w:ascii="宋体" w:hAnsi="宋体"/>
          <w:sz w:val="24"/>
        </w:rPr>
      </w:pPr>
      <w:r>
        <w:rPr>
          <w:rFonts w:hint="eastAsia" w:ascii="宋体" w:hAnsi="宋体"/>
          <w:sz w:val="24"/>
        </w:rPr>
        <w:t>日期：</w:t>
      </w:r>
    </w:p>
    <w:p>
      <w:pPr>
        <w:spacing w:line="360" w:lineRule="auto"/>
        <w:rPr>
          <w:rFonts w:ascii="宋体" w:hAnsi="宋体"/>
          <w:b/>
          <w:sz w:val="28"/>
        </w:rPr>
      </w:pPr>
      <w:r>
        <w:rPr>
          <w:rFonts w:hint="eastAsia" w:ascii="宋体" w:hAnsi="宋体"/>
          <w:b/>
          <w:sz w:val="28"/>
        </w:rPr>
        <w:t>附件13</w:t>
      </w:r>
    </w:p>
    <w:p>
      <w:pPr>
        <w:spacing w:before="159" w:beforeLines="50" w:after="159"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sz w:val="24"/>
          <w:szCs w:val="32"/>
        </w:rPr>
      </w:pPr>
      <w:r>
        <w:rPr>
          <w:rFonts w:hint="eastAsia" w:ascii="宋体" w:hAnsi="宋体"/>
          <w:sz w:val="24"/>
          <w:szCs w:val="32"/>
        </w:rPr>
        <w:t>采购项目：                                        采购编号：</w:t>
      </w:r>
    </w:p>
    <w:tbl>
      <w:tblPr>
        <w:tblStyle w:val="4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sz w:val="24"/>
                <w:lang w:val="zh-CN"/>
              </w:rPr>
            </w:pPr>
            <w:r>
              <w:rPr>
                <w:rFonts w:hint="eastAsia"/>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sz w:val="24"/>
              </w:rPr>
            </w:pPr>
            <w:r>
              <w:rPr>
                <w:rFonts w:hint="eastAsia"/>
                <w:b/>
                <w:bCs/>
                <w:sz w:val="24"/>
              </w:rPr>
              <w:t>注：业绩证明应提供旁证材料</w:t>
            </w:r>
          </w:p>
          <w:p>
            <w:pPr>
              <w:jc w:val="center"/>
              <w:rPr>
                <w:b/>
                <w:bCs/>
                <w:sz w:val="24"/>
                <w:lang w:val="zh-CN"/>
              </w:rPr>
            </w:pPr>
            <w:r>
              <w:rPr>
                <w:rFonts w:hint="eastAsia"/>
                <w:b/>
                <w:bCs/>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sz w:val="24"/>
                <w:lang w:val="zh-CN"/>
              </w:rPr>
            </w:pPr>
            <w:r>
              <w:rPr>
                <w:rFonts w:hint="eastAsia"/>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sz w:val="24"/>
                <w:lang w:val="zh-CN"/>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rPr>
          <w:rFonts w:hint="eastAsia" w:ascii="宋体" w:hAnsi="宋体" w:cs="宋体"/>
          <w:b/>
          <w:bCs/>
          <w:sz w:val="28"/>
          <w:szCs w:val="36"/>
          <w:lang w:val="zh-CN"/>
        </w:rPr>
      </w:pPr>
      <w:r>
        <w:rPr>
          <w:rFonts w:hint="eastAsia" w:ascii="宋体" w:hAnsi="宋体" w:cs="宋体"/>
          <w:b/>
          <w:bCs/>
          <w:sz w:val="28"/>
          <w:szCs w:val="36"/>
          <w:lang w:val="zh-CN"/>
        </w:rPr>
        <w:br w:type="page"/>
      </w:r>
    </w:p>
    <w:p>
      <w:pPr>
        <w:spacing w:line="480" w:lineRule="exact"/>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14</w:t>
      </w:r>
    </w:p>
    <w:p>
      <w:pPr>
        <w:spacing w:line="480" w:lineRule="exact"/>
        <w:jc w:val="center"/>
        <w:rPr>
          <w:rFonts w:ascii="宋体" w:hAnsi="宋体" w:cs="宋体"/>
          <w:b/>
          <w:bCs/>
          <w:sz w:val="32"/>
          <w:szCs w:val="40"/>
          <w:lang w:val="zh-CN"/>
        </w:rPr>
      </w:pPr>
      <w:r>
        <w:rPr>
          <w:rFonts w:hint="eastAsia" w:ascii="宋体" w:hAnsi="宋体" w:cs="宋体"/>
          <w:b/>
          <w:bCs/>
          <w:sz w:val="32"/>
          <w:szCs w:val="40"/>
          <w:lang w:val="zh-CN"/>
        </w:rPr>
        <w:t>投标人提供的产品供货清单及原产地</w:t>
      </w:r>
    </w:p>
    <w:p>
      <w:pPr>
        <w:spacing w:line="480" w:lineRule="auto"/>
        <w:rPr>
          <w:rFonts w:ascii="宋体" w:hAnsi="宋体" w:cs="宋体"/>
          <w:b/>
          <w:szCs w:val="21"/>
        </w:rPr>
      </w:pPr>
      <w:r>
        <w:rPr>
          <w:rFonts w:hint="eastAsia" w:ascii="宋体" w:hAnsi="宋体"/>
          <w:sz w:val="24"/>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 号</w:t>
            </w:r>
          </w:p>
        </w:tc>
        <w:tc>
          <w:tcPr>
            <w:tcW w:w="1316" w:type="dxa"/>
            <w:vAlign w:val="center"/>
          </w:tcPr>
          <w:p>
            <w:pPr>
              <w:spacing w:line="360" w:lineRule="auto"/>
              <w:jc w:val="center"/>
              <w:rPr>
                <w:rFonts w:ascii="宋体" w:hAnsi="宋体" w:cs="宋体"/>
                <w:b/>
                <w:szCs w:val="21"/>
              </w:rPr>
            </w:pPr>
            <w:r>
              <w:rPr>
                <w:rFonts w:hint="eastAsia" w:ascii="宋体" w:hAnsi="宋体" w:cs="宋体"/>
                <w:b/>
                <w:szCs w:val="21"/>
              </w:rPr>
              <w:t>名  称</w:t>
            </w:r>
          </w:p>
        </w:tc>
        <w:tc>
          <w:tcPr>
            <w:tcW w:w="1138" w:type="dxa"/>
            <w:vAlign w:val="center"/>
          </w:tcPr>
          <w:p>
            <w:pPr>
              <w:spacing w:line="360" w:lineRule="auto"/>
              <w:jc w:val="center"/>
              <w:rPr>
                <w:rFonts w:ascii="宋体" w:hAnsi="宋体" w:cs="宋体"/>
                <w:b/>
                <w:szCs w:val="21"/>
              </w:rPr>
            </w:pPr>
            <w:r>
              <w:rPr>
                <w:rFonts w:hint="eastAsia" w:ascii="宋体" w:hAnsi="宋体" w:cs="宋体"/>
                <w:b/>
                <w:szCs w:val="21"/>
              </w:rPr>
              <w:t>型号</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制造商/原产地</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品牌</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单 位</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数 量</w:t>
            </w:r>
          </w:p>
        </w:tc>
        <w:tc>
          <w:tcPr>
            <w:tcW w:w="1139" w:type="dxa"/>
            <w:vAlign w:val="center"/>
          </w:tcPr>
          <w:p>
            <w:pPr>
              <w:spacing w:line="360" w:lineRule="auto"/>
              <w:jc w:val="center"/>
              <w:rPr>
                <w:rFonts w:ascii="宋体" w:hAnsi="宋体" w:cs="宋体"/>
                <w:b/>
                <w:szCs w:val="21"/>
              </w:rPr>
            </w:pPr>
            <w:r>
              <w:rPr>
                <w:rFonts w:hint="eastAsia" w:ascii="宋体" w:hAnsi="宋体" w:cs="宋体"/>
                <w:b/>
                <w:szCs w:val="21"/>
              </w:rPr>
              <w:t>备 注</w:t>
            </w:r>
          </w:p>
          <w:p>
            <w:pPr>
              <w:spacing w:line="360" w:lineRule="auto"/>
              <w:jc w:val="center"/>
              <w:rPr>
                <w:rFonts w:ascii="宋体" w:hAnsi="宋体" w:cs="宋体"/>
                <w:b/>
                <w:szCs w:val="21"/>
              </w:rPr>
            </w:pPr>
            <w:r>
              <w:rPr>
                <w:rFonts w:hint="eastAsia" w:ascii="宋体" w:hAnsi="宋体" w:cs="宋体"/>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16" w:type="dxa"/>
            <w:vAlign w:val="center"/>
          </w:tcPr>
          <w:p>
            <w:pPr>
              <w:spacing w:line="360" w:lineRule="auto"/>
              <w:jc w:val="center"/>
              <w:rPr>
                <w:rFonts w:ascii="宋体" w:hAnsi="宋体" w:cs="宋体"/>
                <w:szCs w:val="21"/>
              </w:rPr>
            </w:pPr>
          </w:p>
        </w:tc>
        <w:tc>
          <w:tcPr>
            <w:tcW w:w="1138"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c>
          <w:tcPr>
            <w:tcW w:w="113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2</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tcPr>
          <w:p>
            <w:pPr>
              <w:spacing w:line="360" w:lineRule="auto"/>
              <w:jc w:val="center"/>
              <w:rPr>
                <w:rFonts w:ascii="宋体" w:hAnsi="宋体" w:cs="宋体"/>
                <w:szCs w:val="21"/>
              </w:rPr>
            </w:pPr>
            <w:r>
              <w:rPr>
                <w:rFonts w:hint="eastAsia" w:ascii="宋体" w:hAnsi="宋体" w:cs="宋体"/>
                <w:szCs w:val="21"/>
              </w:rPr>
              <w:t>3</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tcPr>
          <w:p>
            <w:pPr>
              <w:spacing w:line="360" w:lineRule="auto"/>
              <w:jc w:val="center"/>
              <w:rPr>
                <w:rFonts w:ascii="宋体" w:hAnsi="宋体" w:cs="宋体"/>
                <w:szCs w:val="21"/>
              </w:rPr>
            </w:pPr>
            <w:r>
              <w:rPr>
                <w:rFonts w:hint="eastAsia" w:ascii="宋体" w:hAnsi="宋体" w:cs="宋体"/>
                <w:szCs w:val="21"/>
              </w:rPr>
              <w:t>4</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tcPr>
          <w:p>
            <w:pPr>
              <w:spacing w:line="360" w:lineRule="auto"/>
              <w:jc w:val="center"/>
              <w:rPr>
                <w:rFonts w:ascii="宋体" w:hAnsi="宋体" w:cs="宋体"/>
                <w:szCs w:val="21"/>
              </w:rPr>
            </w:pPr>
            <w:r>
              <w:rPr>
                <w:rFonts w:hint="eastAsia" w:ascii="宋体" w:hAnsi="宋体" w:cs="宋体"/>
                <w:szCs w:val="21"/>
              </w:rPr>
              <w:t>5</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6</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r>
              <w:rPr>
                <w:rFonts w:hint="eastAsia" w:ascii="宋体" w:hAnsi="宋体" w:cs="宋体"/>
                <w:szCs w:val="21"/>
              </w:rPr>
              <w:t>…</w:t>
            </w: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r>
              <w:rPr>
                <w:rFonts w:hint="eastAsia" w:ascii="宋体" w:hAnsi="宋体" w:cs="宋体"/>
                <w:szCs w:val="21"/>
              </w:rPr>
              <w:t>随产品备品备件</w:t>
            </w: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szCs w:val="21"/>
              </w:rPr>
            </w:pPr>
          </w:p>
        </w:tc>
        <w:tc>
          <w:tcPr>
            <w:tcW w:w="1316" w:type="dxa"/>
          </w:tcPr>
          <w:p>
            <w:pPr>
              <w:spacing w:line="360" w:lineRule="auto"/>
              <w:jc w:val="center"/>
              <w:rPr>
                <w:rFonts w:ascii="宋体" w:hAnsi="宋体" w:cs="宋体"/>
                <w:szCs w:val="21"/>
              </w:rPr>
            </w:pPr>
          </w:p>
        </w:tc>
        <w:tc>
          <w:tcPr>
            <w:tcW w:w="1138"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c>
          <w:tcPr>
            <w:tcW w:w="1139" w:type="dxa"/>
          </w:tcPr>
          <w:p>
            <w:pPr>
              <w:spacing w:line="360" w:lineRule="auto"/>
              <w:jc w:val="center"/>
              <w:rPr>
                <w:rFonts w:ascii="宋体" w:hAnsi="宋体" w:cs="宋体"/>
                <w:szCs w:val="21"/>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15</w:t>
      </w:r>
    </w:p>
    <w:p>
      <w:pPr>
        <w:spacing w:line="360" w:lineRule="auto"/>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 w:val="24"/>
        </w:rPr>
      </w:pPr>
    </w:p>
    <w:tbl>
      <w:tblPr>
        <w:tblStyle w:val="48"/>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52"/>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23" w:type="dxa"/>
            <w:vAlign w:val="center"/>
          </w:tcPr>
          <w:p>
            <w:pPr>
              <w:jc w:val="center"/>
              <w:rPr>
                <w:b/>
                <w:bCs/>
                <w:sz w:val="24"/>
              </w:rPr>
            </w:pPr>
            <w:r>
              <w:rPr>
                <w:rFonts w:hint="eastAsia"/>
                <w:b/>
                <w:bCs/>
                <w:sz w:val="24"/>
              </w:rPr>
              <w:t>序号</w:t>
            </w:r>
          </w:p>
        </w:tc>
        <w:tc>
          <w:tcPr>
            <w:tcW w:w="2752" w:type="dxa"/>
            <w:vAlign w:val="center"/>
          </w:tcPr>
          <w:p>
            <w:pPr>
              <w:jc w:val="center"/>
              <w:rPr>
                <w:b/>
                <w:bCs/>
                <w:sz w:val="24"/>
              </w:rPr>
            </w:pPr>
            <w:r>
              <w:rPr>
                <w:rFonts w:hint="eastAsia"/>
                <w:b/>
                <w:bCs/>
                <w:sz w:val="24"/>
              </w:rPr>
              <w:t>名称</w:t>
            </w:r>
          </w:p>
        </w:tc>
        <w:tc>
          <w:tcPr>
            <w:tcW w:w="1560" w:type="dxa"/>
            <w:vAlign w:val="center"/>
          </w:tcPr>
          <w:p>
            <w:pPr>
              <w:jc w:val="center"/>
              <w:rPr>
                <w:b/>
                <w:bCs/>
                <w:sz w:val="24"/>
              </w:rPr>
            </w:pPr>
            <w:r>
              <w:rPr>
                <w:rFonts w:hint="eastAsia"/>
                <w:b/>
                <w:bCs/>
                <w:sz w:val="24"/>
              </w:rPr>
              <w:t>招标参数</w:t>
            </w:r>
          </w:p>
        </w:tc>
        <w:tc>
          <w:tcPr>
            <w:tcW w:w="1401" w:type="dxa"/>
            <w:vAlign w:val="center"/>
          </w:tcPr>
          <w:p>
            <w:pPr>
              <w:jc w:val="center"/>
              <w:rPr>
                <w:b/>
                <w:bCs/>
                <w:sz w:val="24"/>
              </w:rPr>
            </w:pPr>
            <w:r>
              <w:rPr>
                <w:rFonts w:hint="eastAsia"/>
                <w:b/>
                <w:bCs/>
                <w:sz w:val="24"/>
              </w:rPr>
              <w:t>投标参数</w:t>
            </w:r>
          </w:p>
        </w:tc>
        <w:tc>
          <w:tcPr>
            <w:tcW w:w="1365" w:type="dxa"/>
            <w:vAlign w:val="center"/>
          </w:tcPr>
          <w:p>
            <w:pPr>
              <w:jc w:val="center"/>
              <w:rPr>
                <w:b/>
                <w:bCs/>
                <w:sz w:val="24"/>
              </w:rPr>
            </w:pPr>
            <w:r>
              <w:rPr>
                <w:rFonts w:hint="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23" w:type="dxa"/>
            <w:vAlign w:val="center"/>
          </w:tcPr>
          <w:p>
            <w:pPr>
              <w:jc w:val="center"/>
              <w:rPr>
                <w:b/>
                <w:bCs/>
                <w:sz w:val="24"/>
              </w:rPr>
            </w:pPr>
          </w:p>
        </w:tc>
        <w:tc>
          <w:tcPr>
            <w:tcW w:w="2752" w:type="dxa"/>
            <w:vAlign w:val="center"/>
          </w:tcPr>
          <w:p>
            <w:pPr>
              <w:jc w:val="center"/>
              <w:rPr>
                <w:b/>
                <w:bCs/>
                <w:sz w:val="24"/>
              </w:rPr>
            </w:pPr>
          </w:p>
        </w:tc>
        <w:tc>
          <w:tcPr>
            <w:tcW w:w="1560" w:type="dxa"/>
            <w:vAlign w:val="center"/>
          </w:tcPr>
          <w:p>
            <w:pPr>
              <w:jc w:val="center"/>
              <w:rPr>
                <w:b/>
                <w:bCs/>
                <w:sz w:val="24"/>
              </w:rPr>
            </w:pPr>
          </w:p>
        </w:tc>
        <w:tc>
          <w:tcPr>
            <w:tcW w:w="1401" w:type="dxa"/>
            <w:vAlign w:val="center"/>
          </w:tcPr>
          <w:p>
            <w:pPr>
              <w:jc w:val="center"/>
              <w:rPr>
                <w:b/>
                <w:bCs/>
                <w:sz w:val="24"/>
              </w:rPr>
            </w:pPr>
          </w:p>
        </w:tc>
        <w:tc>
          <w:tcPr>
            <w:tcW w:w="1365" w:type="dxa"/>
            <w:vAlign w:val="center"/>
          </w:tcPr>
          <w:p>
            <w:pPr>
              <w:jc w:val="center"/>
              <w:rPr>
                <w:b/>
                <w:bCs/>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1.本表参照本招标文件“第四章 公开招标需求”内容填制，对照招标文件要求在“偏离情况”栏注明“正偏离”、“负偏离”或“无偏离”。</w:t>
      </w:r>
    </w:p>
    <w:p>
      <w:pPr>
        <w:spacing w:line="360" w:lineRule="auto"/>
        <w:ind w:firstLine="480" w:firstLineChars="200"/>
        <w:rPr>
          <w:rFonts w:ascii="宋体" w:hAnsi="宋体"/>
          <w:sz w:val="24"/>
        </w:rPr>
      </w:pPr>
      <w:r>
        <w:rPr>
          <w:rFonts w:hint="eastAsia" w:ascii="宋体" w:hAnsi="宋体"/>
          <w:sz w:val="24"/>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rPr>
      </w:pPr>
      <w:r>
        <w:rPr>
          <w:rFonts w:hint="eastAsia" w:ascii="宋体" w:hAnsi="宋体" w:cs="宋体"/>
          <w:b/>
          <w:bCs/>
          <w:sz w:val="28"/>
          <w:szCs w:val="36"/>
          <w:lang w:val="zh-CN"/>
        </w:rPr>
        <w:t>附件1</w:t>
      </w:r>
      <w:r>
        <w:rPr>
          <w:rFonts w:hint="eastAsia" w:ascii="宋体" w:hAnsi="宋体" w:cs="宋体"/>
          <w:b/>
          <w:bCs/>
          <w:sz w:val="28"/>
          <w:szCs w:val="36"/>
        </w:rPr>
        <w:t>6</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p>
      <w:pPr>
        <w:spacing w:line="360" w:lineRule="auto"/>
        <w:rPr>
          <w:rFonts w:ascii="宋体" w:hAnsi="宋体"/>
          <w:b/>
          <w:bCs/>
          <w:sz w:val="24"/>
        </w:rPr>
      </w:pPr>
    </w:p>
    <w:tbl>
      <w:tblPr>
        <w:tblStyle w:val="4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ascii="宋体" w:cs="Arial"/>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1.业绩证明应提供证明材料（合同复印件可只提供首页、含金额页、盖章页并加盖投标人公章）；</w:t>
      </w:r>
    </w:p>
    <w:p>
      <w:pPr>
        <w:spacing w:line="360" w:lineRule="auto"/>
        <w:ind w:firstLine="480" w:firstLineChars="200"/>
        <w:rPr>
          <w:rFonts w:ascii="宋体" w:hAnsi="宋体"/>
          <w:sz w:val="24"/>
        </w:rPr>
      </w:pPr>
      <w:r>
        <w:rPr>
          <w:rFonts w:hint="eastAsia" w:ascii="宋体" w:hAnsi="宋体"/>
          <w:sz w:val="24"/>
        </w:rPr>
        <w:t>2.报价供应商可按此表格式复制。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tabs>
          <w:tab w:val="left" w:pos="2460"/>
        </w:tabs>
        <w:spacing w:line="360" w:lineRule="auto"/>
        <w:rPr>
          <w:rFonts w:ascii="宋体" w:hAnsi="宋体"/>
          <w:b/>
          <w:sz w:val="28"/>
        </w:rPr>
      </w:pPr>
      <w:r>
        <w:rPr>
          <w:rFonts w:hint="eastAsia" w:ascii="宋体" w:hAnsi="宋体"/>
          <w:b/>
          <w:sz w:val="28"/>
        </w:rPr>
        <w:t>附件17</w:t>
      </w:r>
    </w:p>
    <w:p>
      <w:pPr>
        <w:spacing w:line="480" w:lineRule="exact"/>
        <w:jc w:val="center"/>
        <w:rPr>
          <w:rFonts w:ascii="宋体"/>
          <w:b/>
          <w:sz w:val="32"/>
          <w:szCs w:val="32"/>
        </w:rPr>
      </w:pPr>
      <w:r>
        <w:rPr>
          <w:rFonts w:hint="eastAsia" w:ascii="宋体" w:hAnsi="宋体"/>
          <w:b/>
          <w:sz w:val="32"/>
          <w:szCs w:val="32"/>
        </w:rPr>
        <w:t>售后服务情况表</w:t>
      </w:r>
    </w:p>
    <w:p>
      <w:pPr>
        <w:spacing w:line="360" w:lineRule="auto"/>
        <w:rPr>
          <w:rFonts w:ascii="宋体"/>
          <w:b/>
          <w:sz w:val="24"/>
        </w:rPr>
      </w:pPr>
    </w:p>
    <w:tbl>
      <w:tblPr>
        <w:tblStyle w:val="4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74"/>
              <w:spacing w:line="360" w:lineRule="auto"/>
              <w:jc w:val="center"/>
              <w:rPr>
                <w:rFonts w:ascii="宋体" w:cs="Arial"/>
                <w:b/>
                <w:sz w:val="24"/>
              </w:rPr>
            </w:pPr>
            <w:r>
              <w:rPr>
                <w:rFonts w:hint="eastAsia" w:ascii="宋体" w:hAnsi="宋体" w:cs="Arial"/>
                <w:b/>
                <w:sz w:val="24"/>
              </w:rPr>
              <w:t>序号</w:t>
            </w:r>
          </w:p>
        </w:tc>
        <w:tc>
          <w:tcPr>
            <w:tcW w:w="2355" w:type="dxa"/>
            <w:tcBorders>
              <w:top w:val="single" w:color="auto" w:sz="4" w:space="0"/>
            </w:tcBorders>
            <w:vAlign w:val="center"/>
          </w:tcPr>
          <w:p>
            <w:pPr>
              <w:pStyle w:val="74"/>
              <w:spacing w:line="360" w:lineRule="auto"/>
              <w:jc w:val="center"/>
              <w:rPr>
                <w:rFonts w:ascii="宋体" w:cs="Arial"/>
                <w:b/>
                <w:sz w:val="24"/>
              </w:rPr>
            </w:pPr>
            <w:r>
              <w:rPr>
                <w:rFonts w:hint="eastAsia" w:ascii="宋体" w:hAnsi="宋体" w:cs="Arial"/>
                <w:b/>
                <w:sz w:val="24"/>
              </w:rPr>
              <w:t>项目</w:t>
            </w:r>
          </w:p>
        </w:tc>
        <w:tc>
          <w:tcPr>
            <w:tcW w:w="4061" w:type="dxa"/>
            <w:tcBorders>
              <w:top w:val="single" w:color="auto" w:sz="4" w:space="0"/>
            </w:tcBorders>
            <w:vAlign w:val="center"/>
          </w:tcPr>
          <w:p>
            <w:pPr>
              <w:pStyle w:val="74"/>
              <w:spacing w:line="360" w:lineRule="auto"/>
              <w:jc w:val="center"/>
              <w:rPr>
                <w:rFonts w:ascii="宋体" w:cs="Arial"/>
                <w:b/>
                <w:sz w:val="24"/>
              </w:rPr>
            </w:pPr>
            <w:r>
              <w:rPr>
                <w:rFonts w:hint="eastAsia" w:ascii="宋体" w:hAnsi="宋体" w:cs="Arial"/>
                <w:b/>
                <w:sz w:val="24"/>
              </w:rPr>
              <w:t>投标人情况</w:t>
            </w:r>
          </w:p>
        </w:tc>
        <w:tc>
          <w:tcPr>
            <w:tcW w:w="1373" w:type="dxa"/>
            <w:tcBorders>
              <w:top w:val="single" w:color="auto" w:sz="4" w:space="0"/>
            </w:tcBorders>
            <w:vAlign w:val="center"/>
          </w:tcPr>
          <w:p>
            <w:pPr>
              <w:pStyle w:val="74"/>
              <w:spacing w:line="360" w:lineRule="auto"/>
              <w:jc w:val="center"/>
              <w:rPr>
                <w:rFonts w:asci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74"/>
              <w:spacing w:line="360" w:lineRule="auto"/>
              <w:jc w:val="center"/>
              <w:rPr>
                <w:rFonts w:ascii="宋体" w:cs="Arial"/>
                <w:bCs/>
                <w:sz w:val="24"/>
              </w:rPr>
            </w:pPr>
            <w:r>
              <w:rPr>
                <w:rFonts w:ascii="宋体" w:hAnsi="宋体" w:cs="Arial"/>
                <w:bCs/>
                <w:sz w:val="24"/>
              </w:rPr>
              <w:t>1</w:t>
            </w:r>
          </w:p>
        </w:tc>
        <w:tc>
          <w:tcPr>
            <w:tcW w:w="2355" w:type="dxa"/>
            <w:vMerge w:val="restart"/>
            <w:vAlign w:val="center"/>
          </w:tcPr>
          <w:p>
            <w:pPr>
              <w:pStyle w:val="74"/>
              <w:widowControl/>
              <w:spacing w:line="360" w:lineRule="auto"/>
              <w:jc w:val="left"/>
              <w:rPr>
                <w:rFonts w:ascii="宋体" w:cs="Arial"/>
                <w:bCs/>
                <w:sz w:val="24"/>
              </w:rPr>
            </w:pPr>
            <w:r>
              <w:rPr>
                <w:rFonts w:hint="eastAsia" w:ascii="宋体" w:hAnsi="宋体" w:cs="Arial"/>
                <w:bCs/>
                <w:sz w:val="24"/>
              </w:rPr>
              <w:t>保修期内售后服务情况</w:t>
            </w:r>
            <w:r>
              <w:rPr>
                <w:rFonts w:ascii="宋体" w:hAnsi="宋体" w:cs="Arial"/>
                <w:bCs/>
                <w:sz w:val="24"/>
              </w:rPr>
              <w:t>(</w:t>
            </w:r>
            <w:r>
              <w:rPr>
                <w:rFonts w:hint="eastAsia" w:ascii="宋体" w:hAnsi="宋体" w:cs="Arial"/>
                <w:bCs/>
                <w:sz w:val="24"/>
              </w:rPr>
              <w:t>服务方式、服务网点、售后服务的内容和措施等等，可用附页和宣传材料</w:t>
            </w:r>
            <w:r>
              <w:rPr>
                <w:rFonts w:ascii="宋体" w:hAnsi="宋体" w:cs="Arial"/>
                <w:bCs/>
                <w:sz w:val="24"/>
              </w:rPr>
              <w:t>)</w:t>
            </w:r>
          </w:p>
        </w:tc>
        <w:tc>
          <w:tcPr>
            <w:tcW w:w="4061" w:type="dxa"/>
          </w:tcPr>
          <w:p>
            <w:pPr>
              <w:pStyle w:val="74"/>
              <w:spacing w:line="360" w:lineRule="auto"/>
              <w:rPr>
                <w:rFonts w:ascii="宋体" w:cs="Arial"/>
                <w:bCs/>
                <w:sz w:val="24"/>
              </w:rPr>
            </w:pPr>
            <w:r>
              <w:rPr>
                <w:rFonts w:hint="eastAsia" w:ascii="宋体" w:hAnsi="宋体" w:cs="Arial"/>
                <w:bCs/>
                <w:sz w:val="24"/>
              </w:rPr>
              <w:t>生产厂商售后服务情况：</w:t>
            </w:r>
          </w:p>
        </w:tc>
        <w:tc>
          <w:tcPr>
            <w:tcW w:w="1373" w:type="dxa"/>
          </w:tcPr>
          <w:p>
            <w:pPr>
              <w:pStyle w:val="74"/>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74"/>
              <w:widowControl/>
              <w:spacing w:line="360" w:lineRule="auto"/>
              <w:jc w:val="left"/>
              <w:rPr>
                <w:rFonts w:ascii="宋体" w:cs="Arial"/>
                <w:bCs/>
                <w:sz w:val="24"/>
              </w:rPr>
            </w:pPr>
          </w:p>
        </w:tc>
        <w:tc>
          <w:tcPr>
            <w:tcW w:w="2355" w:type="dxa"/>
            <w:vMerge w:val="continue"/>
            <w:vAlign w:val="center"/>
          </w:tcPr>
          <w:p>
            <w:pPr>
              <w:pStyle w:val="74"/>
              <w:widowControl/>
              <w:spacing w:line="360" w:lineRule="auto"/>
              <w:jc w:val="left"/>
              <w:rPr>
                <w:rFonts w:ascii="宋体" w:cs="Arial"/>
                <w:bCs/>
                <w:sz w:val="24"/>
              </w:rPr>
            </w:pPr>
          </w:p>
        </w:tc>
        <w:tc>
          <w:tcPr>
            <w:tcW w:w="4061" w:type="dxa"/>
          </w:tcPr>
          <w:p>
            <w:pPr>
              <w:pStyle w:val="74"/>
              <w:spacing w:line="360" w:lineRule="auto"/>
              <w:rPr>
                <w:rFonts w:ascii="宋体" w:cs="Arial"/>
                <w:bCs/>
                <w:sz w:val="24"/>
              </w:rPr>
            </w:pPr>
            <w:r>
              <w:rPr>
                <w:rFonts w:hint="eastAsia" w:ascii="宋体" w:hAnsi="宋体" w:cs="Arial"/>
                <w:bCs/>
                <w:sz w:val="24"/>
              </w:rPr>
              <w:t>投标人售后服务情况：</w:t>
            </w:r>
          </w:p>
        </w:tc>
        <w:tc>
          <w:tcPr>
            <w:tcW w:w="1373" w:type="dxa"/>
          </w:tcPr>
          <w:p>
            <w:pPr>
              <w:pStyle w:val="74"/>
              <w:spacing w:line="360" w:lineRule="auto"/>
              <w:jc w:val="left"/>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74"/>
              <w:spacing w:line="360" w:lineRule="auto"/>
              <w:jc w:val="center"/>
              <w:rPr>
                <w:rFonts w:ascii="宋体" w:cs="Arial"/>
                <w:bCs/>
                <w:sz w:val="24"/>
              </w:rPr>
            </w:pPr>
            <w:r>
              <w:rPr>
                <w:rFonts w:ascii="宋体" w:hAnsi="宋体" w:cs="Arial"/>
                <w:bCs/>
                <w:sz w:val="24"/>
              </w:rPr>
              <w:t>2</w:t>
            </w:r>
          </w:p>
        </w:tc>
        <w:tc>
          <w:tcPr>
            <w:tcW w:w="2355" w:type="dxa"/>
            <w:vAlign w:val="center"/>
          </w:tcPr>
          <w:p>
            <w:pPr>
              <w:pStyle w:val="74"/>
              <w:spacing w:line="360" w:lineRule="auto"/>
              <w:rPr>
                <w:rFonts w:ascii="宋体" w:cs="Arial"/>
                <w:bCs/>
                <w:sz w:val="24"/>
              </w:rPr>
            </w:pPr>
            <w:r>
              <w:rPr>
                <w:rFonts w:hint="eastAsia" w:ascii="宋体" w:hAnsi="宋体" w:cs="Arial"/>
                <w:bCs/>
                <w:sz w:val="24"/>
              </w:rPr>
              <w:t>保修期后售后服务</w:t>
            </w:r>
          </w:p>
        </w:tc>
        <w:tc>
          <w:tcPr>
            <w:tcW w:w="4061" w:type="dxa"/>
          </w:tcPr>
          <w:p>
            <w:pPr>
              <w:pStyle w:val="74"/>
              <w:widowControl/>
              <w:spacing w:line="360" w:lineRule="auto"/>
              <w:jc w:val="left"/>
              <w:rPr>
                <w:rFonts w:ascii="宋体" w:cs="Arial"/>
                <w:bCs/>
                <w:sz w:val="24"/>
              </w:rPr>
            </w:pPr>
          </w:p>
          <w:p>
            <w:pPr>
              <w:pStyle w:val="74"/>
              <w:widowControl/>
              <w:spacing w:line="360" w:lineRule="auto"/>
              <w:jc w:val="left"/>
              <w:rPr>
                <w:rFonts w:ascii="宋体" w:cs="Arial"/>
                <w:bCs/>
                <w:sz w:val="24"/>
              </w:rPr>
            </w:pPr>
          </w:p>
          <w:p>
            <w:pPr>
              <w:pStyle w:val="74"/>
              <w:spacing w:line="360" w:lineRule="auto"/>
              <w:rPr>
                <w:rFonts w:ascii="宋体" w:cs="Arial"/>
                <w:bCs/>
                <w:sz w:val="24"/>
              </w:rPr>
            </w:pPr>
          </w:p>
        </w:tc>
        <w:tc>
          <w:tcPr>
            <w:tcW w:w="1373" w:type="dxa"/>
          </w:tcPr>
          <w:p>
            <w:pPr>
              <w:pStyle w:val="74"/>
              <w:widowControl/>
              <w:spacing w:line="360" w:lineRule="auto"/>
              <w:jc w:val="left"/>
              <w:rPr>
                <w:rFonts w:ascii="宋体" w:cs="Arial"/>
                <w:bCs/>
                <w:sz w:val="24"/>
              </w:rPr>
            </w:pPr>
          </w:p>
          <w:p>
            <w:pPr>
              <w:pStyle w:val="74"/>
              <w:widowControl/>
              <w:spacing w:line="360" w:lineRule="auto"/>
              <w:jc w:val="left"/>
              <w:rPr>
                <w:rFonts w:ascii="宋体" w:cs="Arial"/>
                <w:bCs/>
                <w:sz w:val="24"/>
              </w:rPr>
            </w:pPr>
          </w:p>
          <w:p>
            <w:pPr>
              <w:pStyle w:val="74"/>
              <w:spacing w:line="360" w:lineRule="auto"/>
              <w:rPr>
                <w:rFonts w:asci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74"/>
              <w:widowControl/>
              <w:spacing w:line="360" w:lineRule="auto"/>
              <w:jc w:val="left"/>
              <w:rPr>
                <w:rFonts w:ascii="宋体" w:cs="Arial"/>
                <w:bCs/>
                <w:sz w:val="24"/>
              </w:rPr>
            </w:pPr>
            <w:r>
              <w:rPr>
                <w:rFonts w:ascii="宋体" w:hAnsi="宋体" w:cs="Arial"/>
                <w:bCs/>
                <w:sz w:val="24"/>
              </w:rPr>
              <w:t xml:space="preserve"> 3</w:t>
            </w:r>
          </w:p>
        </w:tc>
        <w:tc>
          <w:tcPr>
            <w:tcW w:w="2355" w:type="dxa"/>
            <w:vAlign w:val="center"/>
          </w:tcPr>
          <w:p>
            <w:pPr>
              <w:pStyle w:val="74"/>
              <w:widowControl/>
              <w:spacing w:line="360" w:lineRule="auto"/>
              <w:jc w:val="left"/>
              <w:rPr>
                <w:rFonts w:ascii="宋体" w:cs="Arial"/>
                <w:bCs/>
                <w:sz w:val="24"/>
              </w:rPr>
            </w:pPr>
            <w:r>
              <w:rPr>
                <w:rFonts w:hint="eastAsia" w:ascii="宋体" w:hAnsi="宋体" w:cs="Arial"/>
                <w:bCs/>
                <w:sz w:val="24"/>
              </w:rPr>
              <w:t>培训方案（可用附页）</w:t>
            </w:r>
          </w:p>
        </w:tc>
        <w:tc>
          <w:tcPr>
            <w:tcW w:w="4061" w:type="dxa"/>
          </w:tcPr>
          <w:p>
            <w:pPr>
              <w:pStyle w:val="74"/>
              <w:widowControl/>
              <w:spacing w:line="360" w:lineRule="auto"/>
              <w:jc w:val="left"/>
              <w:rPr>
                <w:rFonts w:ascii="宋体" w:cs="Arial"/>
                <w:bCs/>
                <w:i/>
                <w:sz w:val="24"/>
              </w:rPr>
            </w:pPr>
          </w:p>
          <w:p>
            <w:pPr>
              <w:pStyle w:val="74"/>
              <w:widowControl/>
              <w:spacing w:line="360" w:lineRule="auto"/>
              <w:jc w:val="left"/>
              <w:rPr>
                <w:rFonts w:ascii="宋体" w:cs="Arial"/>
                <w:bCs/>
                <w:i/>
                <w:sz w:val="24"/>
              </w:rPr>
            </w:pPr>
          </w:p>
        </w:tc>
        <w:tc>
          <w:tcPr>
            <w:tcW w:w="1373" w:type="dxa"/>
          </w:tcPr>
          <w:p>
            <w:pPr>
              <w:pStyle w:val="74"/>
              <w:widowControl/>
              <w:spacing w:line="360" w:lineRule="auto"/>
              <w:jc w:val="left"/>
              <w:rPr>
                <w:rFonts w:ascii="宋体" w:cs="Arial"/>
                <w:bCs/>
                <w:i/>
                <w:sz w:val="24"/>
              </w:rPr>
            </w:pPr>
          </w:p>
          <w:p>
            <w:pPr>
              <w:pStyle w:val="74"/>
              <w:widowControl/>
              <w:spacing w:line="360" w:lineRule="auto"/>
              <w:jc w:val="left"/>
              <w:rPr>
                <w:rFonts w:ascii="宋体" w:cs="Arial"/>
                <w:bCs/>
                <w:i/>
                <w:sz w:val="24"/>
              </w:rPr>
            </w:pPr>
          </w:p>
          <w:p>
            <w:pPr>
              <w:pStyle w:val="74"/>
              <w:widowControl/>
              <w:spacing w:line="360" w:lineRule="auto"/>
              <w:jc w:val="left"/>
              <w:rPr>
                <w:rFonts w:asci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74"/>
              <w:widowControl/>
              <w:spacing w:line="360" w:lineRule="auto"/>
              <w:jc w:val="left"/>
              <w:rPr>
                <w:rFonts w:ascii="宋体" w:cs="Arial"/>
                <w:bCs/>
                <w:sz w:val="24"/>
              </w:rPr>
            </w:pPr>
            <w:r>
              <w:rPr>
                <w:rFonts w:hint="eastAsia" w:ascii="宋体" w:cs="Arial"/>
                <w:bCs/>
                <w:sz w:val="24"/>
              </w:rPr>
              <w:t>……</w:t>
            </w:r>
          </w:p>
        </w:tc>
        <w:tc>
          <w:tcPr>
            <w:tcW w:w="2355" w:type="dxa"/>
            <w:tcBorders>
              <w:bottom w:val="single" w:color="auto" w:sz="4" w:space="0"/>
            </w:tcBorders>
            <w:vAlign w:val="center"/>
          </w:tcPr>
          <w:p>
            <w:pPr>
              <w:pStyle w:val="74"/>
              <w:widowControl/>
              <w:spacing w:line="360" w:lineRule="auto"/>
              <w:jc w:val="left"/>
              <w:rPr>
                <w:rFonts w:ascii="宋体" w:cs="Arial"/>
                <w:bCs/>
                <w:sz w:val="24"/>
              </w:rPr>
            </w:pPr>
            <w:r>
              <w:rPr>
                <w:rFonts w:hint="eastAsia" w:ascii="宋体" w:cs="Arial"/>
                <w:bCs/>
                <w:sz w:val="24"/>
              </w:rPr>
              <w:t>……</w:t>
            </w:r>
          </w:p>
        </w:tc>
        <w:tc>
          <w:tcPr>
            <w:tcW w:w="4061" w:type="dxa"/>
            <w:tcBorders>
              <w:bottom w:val="single" w:color="auto" w:sz="4" w:space="0"/>
            </w:tcBorders>
          </w:tcPr>
          <w:p>
            <w:pPr>
              <w:pStyle w:val="74"/>
              <w:widowControl/>
              <w:spacing w:line="360" w:lineRule="auto"/>
              <w:jc w:val="left"/>
              <w:rPr>
                <w:rFonts w:ascii="宋体" w:cs="Arial"/>
                <w:bCs/>
                <w:sz w:val="24"/>
              </w:rPr>
            </w:pPr>
          </w:p>
        </w:tc>
        <w:tc>
          <w:tcPr>
            <w:tcW w:w="1373" w:type="dxa"/>
            <w:tcBorders>
              <w:bottom w:val="single" w:color="auto" w:sz="4" w:space="0"/>
            </w:tcBorders>
          </w:tcPr>
          <w:p>
            <w:pPr>
              <w:pStyle w:val="74"/>
              <w:widowControl/>
              <w:spacing w:line="360" w:lineRule="auto"/>
              <w:jc w:val="left"/>
              <w:rPr>
                <w:rFonts w:ascii="宋体" w:cs="Arial"/>
                <w:bCs/>
                <w:sz w:val="24"/>
              </w:rPr>
            </w:pPr>
          </w:p>
        </w:tc>
      </w:tr>
    </w:tbl>
    <w:p>
      <w:pPr>
        <w:spacing w:line="360" w:lineRule="auto"/>
        <w:ind w:left="549" w:hanging="549" w:hangingChars="171"/>
        <w:jc w:val="center"/>
        <w:rPr>
          <w:rFonts w:ascii="宋体" w:hAnsi="宋体"/>
          <w:b/>
          <w:sz w:val="32"/>
          <w:szCs w:val="32"/>
        </w:rPr>
      </w:pP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pStyle w:val="5"/>
        <w:numPr>
          <w:ilvl w:val="2"/>
          <w:numId w:val="0"/>
        </w:numPr>
        <w:rPr>
          <w:rFonts w:ascii="宋体" w:hAnsi="宋体" w:cs="宋体"/>
          <w:sz w:val="28"/>
          <w:szCs w:val="24"/>
        </w:rPr>
      </w:pPr>
      <w:r>
        <w:rPr>
          <w:rFonts w:hint="eastAsia" w:ascii="宋体" w:hAnsi="宋体" w:cs="宋体"/>
          <w:sz w:val="28"/>
          <w:szCs w:val="24"/>
        </w:rPr>
        <w:t>附件18</w:t>
      </w:r>
    </w:p>
    <w:p>
      <w:pPr>
        <w:pStyle w:val="5"/>
        <w:numPr>
          <w:ilvl w:val="2"/>
          <w:numId w:val="0"/>
        </w:numPr>
        <w:jc w:val="center"/>
        <w:rPr>
          <w:rFonts w:ascii="宋体" w:hAnsi="宋体" w:cs="宋体"/>
          <w:sz w:val="28"/>
          <w:szCs w:val="24"/>
        </w:rPr>
      </w:pPr>
      <w:r>
        <w:rPr>
          <w:rFonts w:hint="eastAsia" w:ascii="宋体" w:hAnsi="宋体" w:cs="宋体"/>
          <w:sz w:val="28"/>
          <w:szCs w:val="24"/>
        </w:rPr>
        <w:t>投标人资料真实性承诺书</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bCs/>
          <w:sz w:val="24"/>
        </w:rPr>
      </w:pPr>
      <w:r>
        <w:rPr>
          <w:rFonts w:hint="eastAsia" w:ascii="宋体" w:hAnsi="宋体"/>
          <w:bCs/>
          <w:sz w:val="24"/>
        </w:rPr>
        <w:t>致:台州市三梅中学</w:t>
      </w:r>
    </w:p>
    <w:p>
      <w:pPr>
        <w:spacing w:line="360" w:lineRule="auto"/>
        <w:ind w:firstLine="480" w:firstLineChars="200"/>
        <w:jc w:val="left"/>
        <w:rPr>
          <w:rFonts w:ascii="宋体" w:hAnsi="宋体"/>
          <w:bCs/>
          <w:sz w:val="24"/>
        </w:rPr>
      </w:pPr>
      <w:r>
        <w:rPr>
          <w:rFonts w:hint="eastAsia" w:ascii="宋体" w:hAnsi="宋体"/>
          <w:bCs/>
          <w:sz w:val="24"/>
        </w:rPr>
        <w:t>台州市玖诚工程管理有限公司：</w:t>
      </w:r>
    </w:p>
    <w:p>
      <w:pPr>
        <w:spacing w:line="360" w:lineRule="auto"/>
        <w:ind w:firstLine="480" w:firstLineChars="200"/>
        <w:jc w:val="left"/>
        <w:rPr>
          <w:rFonts w:ascii="宋体" w:hAnsi="宋体"/>
          <w:bCs/>
          <w:sz w:val="24"/>
        </w:rPr>
      </w:pPr>
    </w:p>
    <w:p>
      <w:pPr>
        <w:spacing w:line="360" w:lineRule="auto"/>
        <w:ind w:firstLine="480" w:firstLineChars="200"/>
        <w:jc w:val="left"/>
        <w:rPr>
          <w:rFonts w:ascii="宋体" w:hAnsi="宋体"/>
          <w:bCs/>
          <w:sz w:val="24"/>
        </w:rPr>
      </w:pPr>
      <w:r>
        <w:rPr>
          <w:rFonts w:hint="eastAsia" w:ascii="宋体" w:hAnsi="宋体"/>
          <w:bCs/>
          <w:sz w:val="24"/>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投标人:(盖章)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法定代表人: (签字)</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日期:2022年  月  日</w:t>
      </w:r>
    </w:p>
    <w:p>
      <w:pPr>
        <w:rPr>
          <w:rFonts w:ascii="宋体"/>
          <w:b/>
          <w:sz w:val="24"/>
        </w:rPr>
      </w:pPr>
      <w:r>
        <w:rPr>
          <w:rFonts w:ascii="宋体"/>
          <w:b/>
          <w:sz w:val="24"/>
        </w:rPr>
        <w:br w:type="page"/>
      </w:r>
    </w:p>
    <w:p>
      <w:pPr>
        <w:spacing w:line="360" w:lineRule="auto"/>
        <w:ind w:right="-110"/>
        <w:jc w:val="left"/>
        <w:rPr>
          <w:rFonts w:ascii="宋体" w:hAnsi="宋体" w:cs="宋体"/>
          <w:spacing w:val="40"/>
          <w:sz w:val="52"/>
          <w:szCs w:val="52"/>
        </w:rPr>
      </w:pPr>
      <w:r>
        <w:rPr>
          <w:rFonts w:hint="eastAsia" w:ascii="宋体" w:hAnsi="宋体" w:cs="宋体"/>
          <w:b/>
          <w:sz w:val="28"/>
        </w:rPr>
        <w:t>附件19</w:t>
      </w:r>
    </w:p>
    <w:p>
      <w:pPr>
        <w:spacing w:before="319" w:beforeLines="100" w:line="360" w:lineRule="auto"/>
        <w:ind w:right="-108"/>
        <w:jc w:val="center"/>
        <w:rPr>
          <w:rFonts w:ascii="宋体" w:hAnsi="宋体" w:cs="宋体"/>
          <w:spacing w:val="40"/>
          <w:sz w:val="48"/>
          <w:szCs w:val="48"/>
        </w:rPr>
      </w:pPr>
      <w:r>
        <w:rPr>
          <w:rFonts w:hint="eastAsia" w:ascii="宋体" w:hAnsi="宋体" w:cs="宋体"/>
          <w:spacing w:val="40"/>
          <w:sz w:val="48"/>
          <w:szCs w:val="48"/>
        </w:rPr>
        <w:t>项目名称</w:t>
      </w:r>
    </w:p>
    <w:p>
      <w:pPr>
        <w:spacing w:before="319" w:beforeLines="100" w:line="360" w:lineRule="auto"/>
        <w:ind w:right="-108"/>
        <w:jc w:val="center"/>
        <w:rPr>
          <w:rFonts w:ascii="宋体" w:hAnsi="宋体" w:cs="宋体"/>
          <w:sz w:val="36"/>
          <w:szCs w:val="36"/>
        </w:rPr>
      </w:pPr>
      <w:r>
        <w:rPr>
          <w:rFonts w:hint="eastAsia" w:ascii="宋体" w:hAnsi="宋体" w:cs="宋体"/>
          <w:sz w:val="36"/>
          <w:szCs w:val="36"/>
        </w:rPr>
        <w:t>项目编号：（标段）</w:t>
      </w:r>
    </w:p>
    <w:p>
      <w:pPr>
        <w:spacing w:after="100" w:afterAutospacing="1" w:line="360" w:lineRule="auto"/>
        <w:ind w:right="-108"/>
        <w:jc w:val="center"/>
        <w:rPr>
          <w:rFonts w:ascii="宋体" w:hAnsi="宋体" w:cs="宋体"/>
          <w:b/>
          <w:spacing w:val="40"/>
          <w:sz w:val="84"/>
          <w:szCs w:val="84"/>
        </w:rPr>
      </w:pP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报</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价</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文</w:t>
      </w:r>
    </w:p>
    <w:p>
      <w:pPr>
        <w:spacing w:after="100" w:afterAutospacing="1" w:line="360" w:lineRule="auto"/>
        <w:ind w:right="-108"/>
        <w:jc w:val="center"/>
        <w:rPr>
          <w:rFonts w:ascii="宋体" w:hAnsi="宋体" w:cs="宋体"/>
          <w:b/>
          <w:spacing w:val="40"/>
          <w:sz w:val="84"/>
          <w:szCs w:val="84"/>
        </w:rPr>
      </w:pPr>
      <w:r>
        <w:rPr>
          <w:rFonts w:hint="eastAsia" w:ascii="宋体" w:hAnsi="宋体" w:cs="宋体"/>
          <w:b/>
          <w:spacing w:val="40"/>
          <w:sz w:val="84"/>
          <w:szCs w:val="84"/>
        </w:rPr>
        <w:t>件</w:t>
      </w:r>
    </w:p>
    <w:p>
      <w:pPr>
        <w:spacing w:line="360" w:lineRule="auto"/>
        <w:ind w:right="532"/>
        <w:jc w:val="center"/>
        <w:rPr>
          <w:rFonts w:ascii="宋体" w:hAnsi="宋体" w:cs="宋体"/>
          <w:sz w:val="36"/>
          <w:szCs w:val="36"/>
        </w:rPr>
      </w:pPr>
    </w:p>
    <w:p>
      <w:pPr>
        <w:spacing w:line="360" w:lineRule="auto"/>
        <w:ind w:right="532" w:firstLine="720" w:firstLineChars="200"/>
        <w:rPr>
          <w:rFonts w:ascii="宋体" w:hAnsi="宋体" w:cs="宋体"/>
          <w:sz w:val="36"/>
          <w:szCs w:val="36"/>
        </w:rPr>
      </w:pPr>
      <w:r>
        <w:rPr>
          <w:rFonts w:hint="eastAsia" w:ascii="宋体" w:hAnsi="宋体" w:cs="宋体"/>
          <w:sz w:val="36"/>
          <w:szCs w:val="36"/>
        </w:rPr>
        <w:t>供应商全称（公章或CA签章）：</w:t>
      </w:r>
    </w:p>
    <w:p>
      <w:pPr>
        <w:spacing w:line="360" w:lineRule="auto"/>
        <w:ind w:right="-108" w:firstLine="720" w:firstLineChars="200"/>
        <w:rPr>
          <w:rFonts w:ascii="宋体" w:hAnsi="宋体" w:cs="宋体"/>
          <w:sz w:val="36"/>
          <w:szCs w:val="36"/>
        </w:rPr>
      </w:pPr>
      <w:r>
        <w:rPr>
          <w:rFonts w:hint="eastAsia" w:ascii="宋体" w:hAnsi="宋体" w:cs="宋体"/>
          <w:sz w:val="36"/>
          <w:szCs w:val="36"/>
        </w:rPr>
        <w:t>地    址：</w:t>
      </w:r>
    </w:p>
    <w:p>
      <w:pPr>
        <w:spacing w:line="360" w:lineRule="auto"/>
        <w:ind w:right="-108" w:firstLine="720" w:firstLineChars="200"/>
        <w:rPr>
          <w:rFonts w:ascii="宋体" w:hAnsi="宋体" w:cs="宋体"/>
          <w:sz w:val="36"/>
          <w:szCs w:val="36"/>
        </w:rPr>
      </w:pPr>
      <w:r>
        <w:rPr>
          <w:rFonts w:hint="eastAsia" w:ascii="宋体" w:hAnsi="宋体" w:cs="宋体"/>
          <w:sz w:val="36"/>
          <w:szCs w:val="36"/>
        </w:rPr>
        <w:t>时    间：</w:t>
      </w:r>
    </w:p>
    <w:p>
      <w:pPr>
        <w:spacing w:line="360" w:lineRule="auto"/>
        <w:ind w:right="-108"/>
        <w:jc w:val="center"/>
        <w:rPr>
          <w:rFonts w:ascii="宋体" w:hAnsi="宋体" w:cs="宋体"/>
          <w:b/>
          <w:sz w:val="36"/>
          <w:szCs w:val="36"/>
        </w:rPr>
      </w:pPr>
    </w:p>
    <w:p>
      <w:pPr>
        <w:spacing w:line="360" w:lineRule="auto"/>
        <w:ind w:right="-108"/>
        <w:jc w:val="center"/>
        <w:rPr>
          <w:rFonts w:ascii="宋体" w:hAnsi="宋体" w:cs="宋体"/>
          <w:b/>
          <w:sz w:val="32"/>
          <w:szCs w:val="32"/>
        </w:rPr>
      </w:pPr>
    </w:p>
    <w:p>
      <w:pPr>
        <w:spacing w:line="360" w:lineRule="auto"/>
        <w:ind w:right="-108"/>
        <w:jc w:val="center"/>
        <w:rPr>
          <w:rFonts w:ascii="宋体" w:hAnsi="宋体" w:cs="宋体"/>
          <w:b/>
          <w:sz w:val="32"/>
          <w:szCs w:val="32"/>
        </w:rPr>
      </w:pPr>
      <w:r>
        <w:rPr>
          <w:rFonts w:hint="eastAsia" w:ascii="宋体" w:hAnsi="宋体" w:cs="宋体"/>
          <w:b/>
          <w:sz w:val="32"/>
          <w:szCs w:val="32"/>
        </w:rPr>
        <w:t>报价文件目录</w:t>
      </w:r>
    </w:p>
    <w:p>
      <w:pPr>
        <w:spacing w:line="360" w:lineRule="auto"/>
        <w:ind w:right="-108"/>
        <w:jc w:val="center"/>
        <w:rPr>
          <w:rFonts w:ascii="宋体" w:hAnsi="宋体" w:cs="宋体"/>
          <w:b/>
          <w:sz w:val="36"/>
          <w:szCs w:val="36"/>
        </w:rPr>
      </w:pPr>
    </w:p>
    <w:p>
      <w:pPr>
        <w:spacing w:line="360" w:lineRule="auto"/>
        <w:rPr>
          <w:rFonts w:ascii="宋体" w:hAnsi="宋体" w:cs="宋体"/>
          <w:sz w:val="24"/>
        </w:rPr>
      </w:pPr>
    </w:p>
    <w:p>
      <w:pPr>
        <w:numPr>
          <w:ilvl w:val="0"/>
          <w:numId w:val="40"/>
        </w:numPr>
        <w:spacing w:line="360" w:lineRule="auto"/>
        <w:rPr>
          <w:rFonts w:ascii="宋体" w:hAnsi="宋体" w:cs="宋体"/>
          <w:sz w:val="24"/>
        </w:rPr>
      </w:pPr>
      <w:r>
        <w:rPr>
          <w:rFonts w:hint="eastAsia" w:ascii="宋体" w:hAnsi="宋体" w:cs="宋体"/>
          <w:sz w:val="24"/>
        </w:rPr>
        <w:t>开标一览表（附件20）；</w:t>
      </w:r>
    </w:p>
    <w:p>
      <w:pPr>
        <w:numPr>
          <w:ilvl w:val="0"/>
          <w:numId w:val="40"/>
        </w:numPr>
        <w:spacing w:line="360" w:lineRule="auto"/>
        <w:rPr>
          <w:rFonts w:ascii="宋体" w:hAnsi="宋体" w:cs="宋体"/>
          <w:sz w:val="24"/>
        </w:rPr>
      </w:pPr>
      <w:r>
        <w:rPr>
          <w:rFonts w:hint="eastAsia" w:ascii="宋体" w:hAnsi="宋体" w:cs="宋体"/>
          <w:sz w:val="24"/>
        </w:rPr>
        <w:t>报价明细表（附件21）；</w:t>
      </w:r>
    </w:p>
    <w:p>
      <w:pPr>
        <w:numPr>
          <w:ilvl w:val="0"/>
          <w:numId w:val="40"/>
        </w:numPr>
        <w:spacing w:line="360" w:lineRule="auto"/>
        <w:rPr>
          <w:rFonts w:ascii="宋体" w:hAnsi="宋体" w:cs="宋体"/>
          <w:sz w:val="24"/>
        </w:rPr>
      </w:pPr>
      <w:r>
        <w:rPr>
          <w:rFonts w:hint="eastAsia" w:ascii="宋体" w:hAnsi="宋体" w:cs="宋体"/>
          <w:sz w:val="24"/>
        </w:rPr>
        <w:t>针对报价投标人认为其他需要说明的；</w:t>
      </w: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spacing w:line="360" w:lineRule="auto"/>
        <w:ind w:left="480"/>
        <w:rPr>
          <w:rFonts w:ascii="宋体" w:hAnsi="宋体" w:cs="宋体"/>
          <w:b/>
          <w:sz w:val="28"/>
        </w:rPr>
      </w:pPr>
    </w:p>
    <w:p>
      <w:pPr>
        <w:rPr>
          <w:rFonts w:ascii="宋体" w:hAnsi="宋体" w:cs="宋体"/>
          <w:b/>
          <w:sz w:val="28"/>
        </w:rPr>
      </w:pPr>
      <w:r>
        <w:rPr>
          <w:rFonts w:hint="eastAsia" w:ascii="宋体" w:hAnsi="宋体" w:cs="宋体"/>
          <w:b/>
          <w:sz w:val="28"/>
        </w:rPr>
        <w:br w:type="page"/>
      </w:r>
    </w:p>
    <w:p>
      <w:pPr>
        <w:spacing w:line="360" w:lineRule="auto"/>
        <w:rPr>
          <w:rFonts w:ascii="宋体" w:hAnsi="宋体" w:cs="宋体"/>
          <w:b/>
          <w:sz w:val="28"/>
        </w:rPr>
      </w:pPr>
      <w:r>
        <w:rPr>
          <w:rFonts w:hint="eastAsia" w:ascii="宋体" w:hAnsi="宋体" w:cs="宋体"/>
          <w:b/>
          <w:sz w:val="28"/>
        </w:rPr>
        <w:t>附件20</w:t>
      </w:r>
    </w:p>
    <w:p>
      <w:pPr>
        <w:spacing w:line="360" w:lineRule="auto"/>
        <w:ind w:left="-2" w:hanging="2"/>
        <w:jc w:val="center"/>
        <w:rPr>
          <w:rFonts w:ascii="宋体" w:hAnsi="宋体"/>
          <w:b/>
          <w:sz w:val="32"/>
          <w:szCs w:val="32"/>
        </w:rPr>
      </w:pPr>
      <w:bookmarkStart w:id="33" w:name="_Toc18275"/>
      <w:bookmarkStart w:id="34" w:name="_Toc11149"/>
      <w:r>
        <w:rPr>
          <w:rFonts w:hint="eastAsia" w:ascii="宋体" w:hAnsi="宋体"/>
          <w:b/>
          <w:sz w:val="32"/>
          <w:szCs w:val="32"/>
        </w:rPr>
        <w:t>开标一览表</w:t>
      </w:r>
    </w:p>
    <w:p>
      <w:pPr>
        <w:spacing w:line="360" w:lineRule="auto"/>
        <w:ind w:left="-2" w:hanging="2"/>
        <w:jc w:val="center"/>
        <w:rPr>
          <w:rFonts w:ascii="宋体" w:hAnsi="宋体"/>
          <w:b/>
          <w:sz w:val="32"/>
          <w:szCs w:val="32"/>
        </w:rPr>
      </w:pP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sz w:val="24"/>
              </w:rPr>
            </w:pPr>
            <w:r>
              <w:rPr>
                <w:rFonts w:hint="eastAsia" w:ascii="宋体" w:hAnsi="宋体"/>
                <w:sz w:val="24"/>
              </w:rPr>
              <w:t>投标总报价</w:t>
            </w:r>
            <w:r>
              <w:rPr>
                <w:rFonts w:ascii="宋体" w:hAnsi="宋体"/>
                <w:sz w:val="24"/>
              </w:rPr>
              <w:t>(</w:t>
            </w:r>
            <w:r>
              <w:rPr>
                <w:rFonts w:hint="eastAsia" w:ascii="宋体" w:hAnsi="宋体"/>
                <w:sz w:val="24"/>
              </w:rPr>
              <w:t>元</w:t>
            </w:r>
            <w:r>
              <w:rPr>
                <w:rFonts w:ascii="宋体" w:hAnsi="宋体"/>
                <w:sz w:val="24"/>
              </w:rPr>
              <w:t>)</w:t>
            </w: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vAlign w:val="center"/>
          </w:tcPr>
          <w:p>
            <w:pPr>
              <w:autoSpaceDE w:val="0"/>
              <w:autoSpaceDN w:val="0"/>
              <w:spacing w:line="450" w:lineRule="exact"/>
              <w:jc w:val="center"/>
              <w:textAlignment w:val="bottom"/>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sz w:val="24"/>
              </w:rPr>
            </w:pPr>
          </w:p>
        </w:tc>
        <w:tc>
          <w:tcPr>
            <w:tcW w:w="1349" w:type="dxa"/>
            <w:vAlign w:val="center"/>
          </w:tcPr>
          <w:p>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vAlign w:val="center"/>
          </w:tcPr>
          <w:p>
            <w:pPr>
              <w:autoSpaceDE w:val="0"/>
              <w:autoSpaceDN w:val="0"/>
              <w:spacing w:line="450" w:lineRule="exact"/>
              <w:jc w:val="center"/>
              <w:textAlignment w:val="bottom"/>
              <w:rPr>
                <w:rFonts w:ascii="宋体"/>
                <w:sz w:val="24"/>
              </w:rPr>
            </w:pPr>
          </w:p>
        </w:tc>
      </w:tr>
    </w:tbl>
    <w:p>
      <w:pPr>
        <w:spacing w:line="360" w:lineRule="auto"/>
        <w:ind w:firstLine="480" w:firstLineChars="200"/>
        <w:jc w:val="left"/>
        <w:rPr>
          <w:rFonts w:ascii="宋体" w:hAnsi="宋体" w:cs="宋体"/>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填报要求：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报价为完成本项目的所有费用，投标总价包括项目设备、材料、质保期间维护费、运输、保险、税金、验收等所有涉及的费用。供应商应考虑企业自身实力、经验及项目实施过程中的各种因素，在投标报价中应充分考虑所有可能发生的费用，否则采购人将视投标总价中已包括所有费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2.报价一经涂改，应在涂改处加盖单位公章，或者由法定代表人或授权委托代理人签字或盖章，否则其投标作无效标处理。</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附件21</w:t>
      </w:r>
    </w:p>
    <w:p>
      <w:pPr>
        <w:spacing w:line="360" w:lineRule="auto"/>
        <w:jc w:val="center"/>
        <w:rPr>
          <w:rFonts w:ascii="宋体" w:hAnsi="宋体"/>
        </w:rPr>
      </w:pPr>
      <w:r>
        <w:rPr>
          <w:rFonts w:hint="eastAsia" w:ascii="宋体" w:hAnsi="宋体"/>
          <w:b/>
          <w:sz w:val="32"/>
          <w:szCs w:val="32"/>
        </w:rPr>
        <w:t>报价明细表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4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783"/>
        <w:gridCol w:w="1035"/>
        <w:gridCol w:w="1365"/>
        <w:gridCol w:w="130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783" w:type="dxa"/>
            <w:vAlign w:val="center"/>
          </w:tcPr>
          <w:p>
            <w:pPr>
              <w:spacing w:line="360" w:lineRule="auto"/>
              <w:ind w:left="152"/>
              <w:jc w:val="center"/>
              <w:rPr>
                <w:rFonts w:ascii="宋体" w:hAnsi="宋体"/>
                <w:b/>
                <w:sz w:val="24"/>
              </w:rPr>
            </w:pPr>
            <w:r>
              <w:rPr>
                <w:rFonts w:hint="eastAsia" w:ascii="宋体" w:hAnsi="宋体"/>
                <w:b/>
                <w:sz w:val="24"/>
              </w:rPr>
              <w:t>品牌/型号</w:t>
            </w:r>
          </w:p>
        </w:tc>
        <w:tc>
          <w:tcPr>
            <w:tcW w:w="1035"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1365" w:type="dxa"/>
            <w:vAlign w:val="center"/>
          </w:tcPr>
          <w:p>
            <w:pPr>
              <w:spacing w:line="360" w:lineRule="auto"/>
              <w:jc w:val="center"/>
              <w:rPr>
                <w:rFonts w:ascii="宋体" w:hAnsi="宋体"/>
                <w:b/>
                <w:sz w:val="24"/>
              </w:rPr>
            </w:pPr>
            <w:r>
              <w:rPr>
                <w:rFonts w:hint="eastAsia" w:ascii="宋体" w:hAnsi="宋体"/>
                <w:b/>
                <w:sz w:val="24"/>
              </w:rPr>
              <w:t>单价</w:t>
            </w:r>
          </w:p>
        </w:tc>
        <w:tc>
          <w:tcPr>
            <w:tcW w:w="1305" w:type="dxa"/>
            <w:vAlign w:val="center"/>
          </w:tcPr>
          <w:p>
            <w:pPr>
              <w:spacing w:line="360" w:lineRule="auto"/>
              <w:jc w:val="center"/>
              <w:rPr>
                <w:rFonts w:ascii="宋体" w:hAnsi="宋体"/>
                <w:b/>
                <w:sz w:val="24"/>
              </w:rPr>
            </w:pPr>
            <w:r>
              <w:rPr>
                <w:rFonts w:hint="eastAsia" w:ascii="宋体" w:hAnsi="宋体"/>
                <w:b/>
                <w:sz w:val="24"/>
              </w:rPr>
              <w:t>小计</w:t>
            </w:r>
          </w:p>
        </w:tc>
        <w:tc>
          <w:tcPr>
            <w:tcW w:w="1174"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r>
              <w:rPr>
                <w:rFonts w:hint="eastAsia" w:ascii="宋体" w:hAnsi="宋体"/>
                <w:sz w:val="24"/>
              </w:rPr>
              <w:t>...</w:t>
            </w:r>
          </w:p>
        </w:tc>
        <w:tc>
          <w:tcPr>
            <w:tcW w:w="1783" w:type="dxa"/>
            <w:vAlign w:val="center"/>
          </w:tcPr>
          <w:p>
            <w:pPr>
              <w:spacing w:line="360" w:lineRule="auto"/>
              <w:rPr>
                <w:rFonts w:ascii="宋体" w:hAnsi="宋体"/>
                <w:sz w:val="24"/>
              </w:rPr>
            </w:pPr>
          </w:p>
        </w:tc>
        <w:tc>
          <w:tcPr>
            <w:tcW w:w="103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305" w:type="dxa"/>
            <w:vAlign w:val="center"/>
          </w:tcPr>
          <w:p>
            <w:pPr>
              <w:spacing w:line="360" w:lineRule="auto"/>
              <w:rPr>
                <w:rFonts w:ascii="宋体" w:hAnsi="宋体"/>
                <w:sz w:val="24"/>
              </w:rPr>
            </w:pPr>
          </w:p>
        </w:tc>
        <w:tc>
          <w:tcPr>
            <w:tcW w:w="117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jc w:val="left"/>
        <w:rPr>
          <w:rFonts w:ascii="宋体" w:hAnsi="宋体" w:cs="宋体"/>
          <w:b/>
          <w:bCs/>
          <w:sz w:val="24"/>
          <w:szCs w:val="32"/>
        </w:rPr>
      </w:pPr>
      <w:r>
        <w:rPr>
          <w:rFonts w:hint="eastAsia" w:ascii="宋体" w:hAnsi="宋体" w:cs="宋体"/>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1.本表为《开标一览表》的报价明细表，</w:t>
      </w:r>
      <w:r>
        <w:rPr>
          <w:rFonts w:hint="eastAsia" w:ascii="宋体" w:hAnsi="宋体" w:cs="宋体"/>
          <w:sz w:val="24"/>
        </w:rPr>
        <w:t>以上表格要求细分项目及报价，需提供</w:t>
      </w:r>
      <w:bookmarkStart w:id="35" w:name="_Toc78171641"/>
      <w:r>
        <w:rPr>
          <w:rFonts w:hint="eastAsia" w:ascii="宋体" w:hAnsi="宋体" w:cs="宋体"/>
          <w:sz w:val="24"/>
        </w:rPr>
        <w:t>费用构成明细</w:t>
      </w:r>
      <w:bookmarkEnd w:id="35"/>
      <w:r>
        <w:rPr>
          <w:rFonts w:hint="eastAsia" w:ascii="宋体" w:hAnsi="宋体" w:cs="宋体"/>
          <w:sz w:val="24"/>
        </w:rPr>
        <w:t>，</w:t>
      </w:r>
      <w:r>
        <w:rPr>
          <w:rFonts w:hint="eastAsia" w:ascii="宋体" w:hAnsi="宋体" w:cs="宋体"/>
          <w:sz w:val="24"/>
          <w:szCs w:val="32"/>
        </w:rPr>
        <w:t>如有缺项、漏项，视为投标报价中已包含相关费用，采购人无需另外支付任何费用。</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2.</w:t>
      </w:r>
      <w:r>
        <w:rPr>
          <w:rFonts w:hint="eastAsia" w:ascii="宋体" w:hAnsi="宋体" w:cs="宋体"/>
          <w:sz w:val="24"/>
          <w:szCs w:val="32"/>
          <w:lang w:val="zh-CN"/>
        </w:rPr>
        <w:t>“报价明细表”中的报价合计应与“开标一览表”中的投标总报价相一致，不一致时，以开标一览表为准。</w:t>
      </w:r>
    </w:p>
    <w:p>
      <w:pPr>
        <w:pStyle w:val="18"/>
        <w:ind w:firstLine="480" w:firstLineChars="200"/>
        <w:rPr>
          <w:rFonts w:ascii="宋体" w:hAnsi="宋体" w:cs="宋体"/>
          <w:szCs w:val="32"/>
        </w:rPr>
      </w:pPr>
      <w:r>
        <w:rPr>
          <w:rFonts w:hint="eastAsia" w:ascii="宋体" w:hAnsi="宋体" w:cs="宋体"/>
          <w:szCs w:val="32"/>
        </w:rPr>
        <w:t>3.单价包含设备价格及安装、使用中需要的辅材价格。</w:t>
      </w: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法定代表人(签字或盖章)或授权委托代理人(签字)：</w:t>
      </w:r>
    </w:p>
    <w:p>
      <w:pPr>
        <w:spacing w:line="480" w:lineRule="auto"/>
        <w:rPr>
          <w:rFonts w:ascii="宋体" w:hAnsi="宋体"/>
          <w:sz w:val="24"/>
        </w:rPr>
      </w:pPr>
      <w:r>
        <w:rPr>
          <w:rFonts w:hint="eastAsia" w:ascii="宋体" w:hAnsi="宋体"/>
          <w:sz w:val="24"/>
        </w:rPr>
        <w:t>日期：</w:t>
      </w:r>
      <w:bookmarkEnd w:id="33"/>
      <w:bookmarkEnd w:id="34"/>
      <w:bookmarkStart w:id="36" w:name="_Toc11549"/>
      <w:bookmarkEnd w:id="36"/>
    </w:p>
    <w:p>
      <w:pPr>
        <w:pStyle w:val="47"/>
        <w:spacing w:after="319"/>
        <w:ind w:left="420" w:firstLine="480"/>
      </w:pPr>
    </w:p>
    <w:p>
      <w:r>
        <w:rPr>
          <w:rFonts w:hint="eastAsia"/>
        </w:rPr>
        <w:br w:type="page"/>
      </w:r>
    </w:p>
    <w:p/>
    <w:p>
      <w:pPr>
        <w:spacing w:line="360" w:lineRule="auto"/>
        <w:jc w:val="left"/>
        <w:rPr>
          <w:rFonts w:ascii="宋体" w:hAnsi="宋体" w:cs="宋体"/>
          <w:b/>
          <w:bCs/>
          <w:sz w:val="28"/>
          <w:szCs w:val="36"/>
        </w:rPr>
      </w:pPr>
      <w:r>
        <w:rPr>
          <w:rFonts w:hint="eastAsia" w:ascii="宋体" w:hAnsi="宋体" w:cs="宋体"/>
          <w:b/>
          <w:bCs/>
          <w:sz w:val="28"/>
          <w:szCs w:val="36"/>
        </w:rPr>
        <w:t>附件22</w:t>
      </w:r>
    </w:p>
    <w:p>
      <w:pPr>
        <w:spacing w:line="360" w:lineRule="auto"/>
        <w:jc w:val="center"/>
        <w:rPr>
          <w:rFonts w:ascii="宋体" w:hAnsi="宋体" w:cs="宋体"/>
          <w:b/>
          <w:bCs/>
          <w:sz w:val="28"/>
          <w:szCs w:val="36"/>
        </w:rPr>
      </w:pPr>
      <w:r>
        <w:rPr>
          <w:rFonts w:hint="eastAsia" w:ascii="宋体" w:hAnsi="宋体" w:cs="宋体"/>
          <w:b/>
          <w:bCs/>
          <w:sz w:val="28"/>
          <w:szCs w:val="36"/>
        </w:rPr>
        <w:t>中小企业声明函</w:t>
      </w:r>
    </w:p>
    <w:p>
      <w:pPr>
        <w:spacing w:line="360" w:lineRule="auto"/>
        <w:ind w:firstLine="480" w:firstLineChars="200"/>
        <w:jc w:val="left"/>
        <w:rPr>
          <w:rFonts w:ascii="宋体" w:hAnsi="宋体" w:cs="宋体"/>
          <w:bCs/>
          <w:sz w:val="24"/>
        </w:rPr>
      </w:pPr>
      <w:r>
        <w:rPr>
          <w:rFonts w:hint="eastAsia" w:ascii="宋体" w:hAnsi="宋体" w:cs="宋体"/>
          <w:bCs/>
          <w:sz w:val="24"/>
        </w:rPr>
        <w:t>a.中小企业声明函；</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pPr>
        <w:spacing w:line="360" w:lineRule="auto"/>
        <w:ind w:firstLine="480" w:firstLineChars="200"/>
        <w:jc w:val="left"/>
        <w:rPr>
          <w:rFonts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2"/>
        <w:ind w:firstLine="304"/>
        <w:rPr>
          <w:rFonts w:ascii="宋体" w:hAnsi="宋体" w:cs="宋体"/>
          <w:szCs w:val="36"/>
        </w:rPr>
      </w:pPr>
    </w:p>
    <w:p>
      <w:pPr>
        <w:pStyle w:val="38"/>
        <w:rPr>
          <w:sz w:val="28"/>
          <w:szCs w:val="36"/>
        </w:rPr>
      </w:pPr>
    </w:p>
    <w:p>
      <w:pPr>
        <w:rPr>
          <w:rFonts w:ascii="宋体" w:hAnsi="宋体" w:cs="宋体"/>
          <w:sz w:val="28"/>
          <w:szCs w:val="36"/>
        </w:rPr>
      </w:pPr>
    </w:p>
    <w:p>
      <w:pPr>
        <w:pStyle w:val="21"/>
      </w:pPr>
    </w:p>
    <w:p>
      <w:pPr>
        <w:rPr>
          <w:rFonts w:ascii="宋体" w:hAnsi="宋体" w:cs="宋体"/>
          <w:sz w:val="28"/>
          <w:szCs w:val="36"/>
        </w:rPr>
      </w:pPr>
    </w:p>
    <w:p>
      <w:pPr>
        <w:pStyle w:val="21"/>
        <w:rPr>
          <w:rFonts w:ascii="宋体" w:hAnsi="宋体" w:cs="宋体"/>
          <w:sz w:val="28"/>
          <w:szCs w:val="36"/>
        </w:rPr>
      </w:pPr>
    </w:p>
    <w:p>
      <w:pPr>
        <w:pStyle w:val="22"/>
        <w:ind w:firstLine="304"/>
        <w:rPr>
          <w:rFonts w:ascii="宋体" w:hAnsi="宋体" w:cs="宋体"/>
          <w:szCs w:val="36"/>
        </w:rPr>
      </w:pPr>
    </w:p>
    <w:p>
      <w:pPr>
        <w:spacing w:line="360" w:lineRule="auto"/>
        <w:jc w:val="center"/>
        <w:rPr>
          <w:rFonts w:ascii="宋体" w:hAnsi="宋体"/>
          <w:b/>
          <w:sz w:val="32"/>
          <w:szCs w:val="32"/>
        </w:rPr>
      </w:pPr>
      <w:r>
        <w:rPr>
          <w:rFonts w:hint="eastAsia" w:ascii="宋体" w:hAnsi="宋体"/>
          <w:b/>
          <w:sz w:val="32"/>
          <w:szCs w:val="32"/>
        </w:rPr>
        <w:t>中小企业声明函（货物）</w:t>
      </w:r>
    </w:p>
    <w:p>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 xml:space="preserve">采购活动，提供的货物全部由符合政策要求的中小企业制造。相关企业的具体情况如下： </w:t>
      </w:r>
    </w:p>
    <w:p>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7"/>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pPr>
        <w:spacing w:line="360" w:lineRule="auto"/>
        <w:jc w:val="left"/>
        <w:rPr>
          <w:rFonts w:ascii="宋体" w:hAnsi="宋体"/>
          <w:bCs/>
          <w:sz w:val="24"/>
        </w:rPr>
      </w:pPr>
    </w:p>
    <w:p>
      <w:pPr>
        <w:spacing w:line="360" w:lineRule="auto"/>
        <w:ind w:firstLine="4800" w:firstLineChars="2000"/>
        <w:jc w:val="left"/>
        <w:rPr>
          <w:rFonts w:ascii="宋体" w:hAnsi="宋体"/>
          <w:bCs/>
          <w:sz w:val="24"/>
        </w:rPr>
      </w:pPr>
      <w:r>
        <w:rPr>
          <w:rFonts w:hint="eastAsia" w:ascii="宋体" w:hAnsi="宋体"/>
          <w:bCs/>
          <w:sz w:val="24"/>
        </w:rPr>
        <w:t>企业名称（盖章）：</w:t>
      </w:r>
    </w:p>
    <w:p>
      <w:pPr>
        <w:spacing w:line="360" w:lineRule="auto"/>
        <w:ind w:firstLine="4800" w:firstLineChars="2000"/>
        <w:jc w:val="left"/>
        <w:rPr>
          <w:rFonts w:ascii="宋体" w:hAnsi="宋体"/>
          <w:bCs/>
          <w:sz w:val="24"/>
        </w:rPr>
      </w:pPr>
      <w:r>
        <w:rPr>
          <w:rFonts w:hint="eastAsia" w:ascii="宋体" w:hAnsi="宋体"/>
          <w:bCs/>
          <w:sz w:val="24"/>
        </w:rPr>
        <w:t>日    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center"/>
        <w:rPr>
          <w:rFonts w:ascii="宋体" w:hAnsi="宋体"/>
          <w:b/>
          <w:sz w:val="32"/>
          <w:szCs w:val="32"/>
        </w:rPr>
      </w:pPr>
      <w:r>
        <w:rPr>
          <w:rFonts w:hint="eastAsia" w:ascii="宋体" w:hAnsi="宋体"/>
          <w:b/>
          <w:sz w:val="32"/>
          <w:szCs w:val="32"/>
        </w:rPr>
        <w:t>中小企业声明函（工程、服务）</w:t>
      </w:r>
    </w:p>
    <w:p>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57"/>
          <w:rFonts w:hint="eastAsia" w:ascii="宋体" w:hAnsi="宋体"/>
          <w:bCs/>
          <w:sz w:val="24"/>
        </w:rPr>
        <w:footnoteReference w:id="1"/>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w:t>
      </w:r>
    </w:p>
    <w:p>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pPr>
        <w:spacing w:line="360" w:lineRule="auto"/>
        <w:jc w:val="left"/>
        <w:rPr>
          <w:rFonts w:ascii="宋体" w:hAnsi="宋体"/>
          <w:bCs/>
          <w:sz w:val="24"/>
        </w:rPr>
      </w:pPr>
    </w:p>
    <w:p>
      <w:pPr>
        <w:spacing w:line="360" w:lineRule="auto"/>
        <w:ind w:firstLine="4800" w:firstLineChars="2000"/>
        <w:jc w:val="left"/>
        <w:rPr>
          <w:rFonts w:ascii="宋体" w:hAnsi="宋体"/>
          <w:bCs/>
          <w:sz w:val="24"/>
        </w:rPr>
      </w:pPr>
      <w:r>
        <w:rPr>
          <w:rFonts w:hint="eastAsia" w:ascii="宋体" w:hAnsi="宋体"/>
          <w:bCs/>
          <w:sz w:val="24"/>
        </w:rPr>
        <w:t>企业名称（盖章）：</w:t>
      </w:r>
    </w:p>
    <w:p>
      <w:pPr>
        <w:spacing w:line="360" w:lineRule="auto"/>
        <w:ind w:firstLine="4800" w:firstLineChars="2000"/>
        <w:jc w:val="left"/>
        <w:rPr>
          <w:rFonts w:ascii="宋体" w:hAnsi="宋体"/>
          <w:bCs/>
          <w:sz w:val="24"/>
        </w:rPr>
      </w:pPr>
      <w:r>
        <w:rPr>
          <w:rFonts w:hint="eastAsia" w:ascii="宋体" w:hAnsi="宋体"/>
          <w:bCs/>
          <w:sz w:val="24"/>
        </w:rPr>
        <w:t>日    期：</w:t>
      </w: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jc w:val="left"/>
        <w:rPr>
          <w:rFonts w:ascii="宋体" w:hAnsi="宋体"/>
          <w:bCs/>
          <w:sz w:val="24"/>
        </w:rPr>
      </w:pPr>
    </w:p>
    <w:p>
      <w:pPr>
        <w:spacing w:line="360" w:lineRule="auto"/>
        <w:ind w:left="-2" w:hanging="2"/>
        <w:jc w:val="center"/>
        <w:rPr>
          <w:rFonts w:ascii="宋体" w:hAnsi="宋体"/>
          <w:b/>
          <w:sz w:val="32"/>
          <w:szCs w:val="32"/>
          <w:lang w:val="en-GB"/>
        </w:rPr>
      </w:pPr>
      <w:r>
        <w:rPr>
          <w:rFonts w:hint="eastAsia" w:ascii="宋体" w:hAnsi="宋体"/>
          <w:b/>
          <w:sz w:val="32"/>
          <w:szCs w:val="32"/>
          <w:lang w:val="en-GB"/>
        </w:rPr>
        <w:t>残疾人福利性单位声明函</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3120" w:firstLineChars="1300"/>
        <w:jc w:val="left"/>
        <w:rPr>
          <w:rFonts w:ascii="宋体" w:hAnsi="宋体"/>
          <w:bCs/>
          <w:sz w:val="24"/>
        </w:rPr>
      </w:pPr>
      <w:r>
        <w:rPr>
          <w:rFonts w:hint="eastAsia" w:ascii="宋体" w:hAnsi="宋体"/>
          <w:bCs/>
          <w:sz w:val="24"/>
        </w:rPr>
        <w:t>单位名称（单位公章）：</w:t>
      </w:r>
    </w:p>
    <w:p>
      <w:pPr>
        <w:spacing w:line="360" w:lineRule="auto"/>
        <w:ind w:firstLine="5040" w:firstLineChars="2100"/>
      </w:pPr>
      <w:r>
        <w:rPr>
          <w:rFonts w:hint="eastAsia" w:ascii="宋体" w:hAnsi="宋体"/>
          <w:bCs/>
          <w:sz w:val="24"/>
        </w:rPr>
        <w:t>日期：年月日</w:t>
      </w:r>
    </w:p>
    <w:p>
      <w:pPr>
        <w:spacing w:line="360" w:lineRule="auto"/>
        <w:rPr>
          <w:rFonts w:ascii="宋体" w:hAnsi="宋体" w:cs="宋体"/>
          <w:b/>
          <w:bCs/>
          <w:sz w:val="24"/>
        </w:rPr>
      </w:pPr>
      <w:r>
        <w:rPr>
          <w:rFonts w:hint="eastAsia" w:ascii="宋体" w:hAnsi="宋体" w:cs="宋体"/>
          <w:b/>
          <w:bCs/>
          <w:sz w:val="24"/>
        </w:rPr>
        <w:t>填表说明：</w:t>
      </w:r>
    </w:p>
    <w:p>
      <w:pPr>
        <w:spacing w:line="360" w:lineRule="auto"/>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spacing w:line="360" w:lineRule="auto"/>
        <w:rPr>
          <w:rFonts w:ascii="宋体" w:hAnsi="宋体" w:cs="宋体"/>
          <w:b/>
          <w:bCs/>
          <w:sz w:val="24"/>
        </w:rPr>
      </w:pPr>
      <w:r>
        <w:rPr>
          <w:rFonts w:hint="eastAsia" w:ascii="宋体" w:hAnsi="宋体" w:cs="宋体"/>
          <w:b/>
          <w:bCs/>
          <w:sz w:val="24"/>
        </w:rPr>
        <w:t>2、为了更加准确判定投标人是否为小微企业，请供应商根据工业和信息化部官方网站---中小企业规模类型自测小程序来辨别制造商企业规模类型，中小企业规模类型自测小程序链接网址为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sz w:val="24"/>
        </w:rPr>
      </w:pPr>
      <w:r>
        <w:rPr>
          <w:rFonts w:hint="eastAsia" w:ascii="宋体" w:hAnsi="宋体" w:cs="宋体"/>
          <w:b/>
          <w:bCs/>
          <w:sz w:val="24"/>
        </w:rPr>
        <w:t>http://202.106.120.146/baosong/appweb/orgScale.html</w:t>
      </w:r>
    </w:p>
    <w:p>
      <w:pPr>
        <w:spacing w:line="360" w:lineRule="auto"/>
        <w:rPr>
          <w:rFonts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3、供应商未提供《中小企业声明函》的、《中小企业声明函》中内容应填写而未进行填写或未如实填写的，自行承担相应责任。</w:t>
      </w:r>
    </w:p>
    <w:p>
      <w:pPr>
        <w:pStyle w:val="47"/>
        <w:spacing w:after="319"/>
        <w:ind w:left="420" w:firstLine="482"/>
      </w:pPr>
      <w:r>
        <w:rPr>
          <w:rFonts w:hint="eastAsia"/>
          <w:b/>
          <w:bCs/>
        </w:rPr>
        <w:t>如国家对中小企业划型标准有新的规定的，从其规定。</w:t>
      </w:r>
      <w:bookmarkStart w:id="37" w:name="_Toc19634"/>
      <w:bookmarkEnd w:id="37"/>
    </w:p>
    <w:sectPr>
      <w:headerReference r:id="rId5" w:type="default"/>
      <w:pgSz w:w="11906" w:h="16838"/>
      <w:pgMar w:top="1440"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2000000000000000000"/>
    <w:charset w:val="86"/>
    <w:family w:val="script"/>
    <w:pitch w:val="default"/>
    <w:sig w:usb0="00000000" w:usb1="00000000" w:usb2="00000012"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32"/>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pPr>
                      <w:pStyle w:val="32"/>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 共 </w:t>
                    </w:r>
                    <w:r>
                      <w:fldChar w:fldCharType="begin"/>
                    </w:r>
                    <w:r>
                      <w:instrText xml:space="preserve"> NUMPAGES  \* MERGEFORMAT </w:instrText>
                    </w:r>
                    <w:r>
                      <w:fldChar w:fldCharType="separate"/>
                    </w:r>
                    <w:r>
                      <w:t>88</w:t>
                    </w:r>
                    <w:r>
                      <w:fldChar w:fldCharType="end"/>
                    </w:r>
                    <w:r>
                      <w:rPr>
                        <w:rFonts w:hint="eastAsia"/>
                      </w:rPr>
                      <w:t xml:space="preserve"> 页</w:t>
                    </w:r>
                  </w:p>
                </w:txbxContent>
              </v:textbox>
            </v:shape>
          </w:pict>
        </mc:Fallback>
      </mc:AlternateContent>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7"/>
      </w:pPr>
      <w:r>
        <w:rPr>
          <w:rStyle w:val="57"/>
        </w:rPr>
        <w:footnoteRef/>
      </w:r>
      <w:r>
        <w:rPr>
          <w:rFonts w:hint="eastAsia"/>
          <w:bCs/>
          <w:sz w:val="24"/>
        </w:rPr>
        <w:t>从业人员、营业收入、资产总额填报上一年度数据，无上一年度数据的新成立企业可不填报。</w:t>
      </w:r>
    </w:p>
  </w:footnote>
  <w:footnote w:id="1">
    <w:p>
      <w:pPr>
        <w:pStyle w:val="37"/>
      </w:pPr>
      <w:r>
        <w:rPr>
          <w:rStyle w:val="57"/>
        </w:rPr>
        <w:footnoteRef/>
      </w:r>
      <w:r>
        <w:rPr>
          <w:rFonts w:hint="eastAsia"/>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665003F"/>
    <w:multiLevelType w:val="singleLevel"/>
    <w:tmpl w:val="8665003F"/>
    <w:lvl w:ilvl="0" w:tentative="0">
      <w:start w:val="1"/>
      <w:numFmt w:val="decimal"/>
      <w:suff w:val="nothing"/>
      <w:lvlText w:val="%1．"/>
      <w:lvlJc w:val="left"/>
      <w:pPr>
        <w:ind w:left="0" w:firstLine="400"/>
      </w:pPr>
      <w:rPr>
        <w:rFonts w:hint="default"/>
      </w:rPr>
    </w:lvl>
  </w:abstractNum>
  <w:abstractNum w:abstractNumId="2">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3">
    <w:nsid w:val="A87EFCEA"/>
    <w:multiLevelType w:val="singleLevel"/>
    <w:tmpl w:val="A87EFCEA"/>
    <w:lvl w:ilvl="0" w:tentative="0">
      <w:start w:val="1"/>
      <w:numFmt w:val="decimal"/>
      <w:lvlText w:val="%1."/>
      <w:lvlJc w:val="left"/>
      <w:pPr>
        <w:ind w:left="1134" w:hanging="425"/>
      </w:pPr>
      <w:rPr>
        <w:rFonts w:hint="default"/>
      </w:rPr>
    </w:lvl>
  </w:abstractNum>
  <w:abstractNum w:abstractNumId="4">
    <w:nsid w:val="A88415EC"/>
    <w:multiLevelType w:val="singleLevel"/>
    <w:tmpl w:val="A88415EC"/>
    <w:lvl w:ilvl="0" w:tentative="0">
      <w:start w:val="1"/>
      <w:numFmt w:val="chineseCounting"/>
      <w:suff w:val="nothing"/>
      <w:lvlText w:val="（%1）"/>
      <w:lvlJc w:val="left"/>
      <w:rPr>
        <w:rFonts w:hint="eastAsia"/>
      </w:rPr>
    </w:lvl>
  </w:abstractNum>
  <w:abstractNum w:abstractNumId="5">
    <w:nsid w:val="AC019F3D"/>
    <w:multiLevelType w:val="singleLevel"/>
    <w:tmpl w:val="AC019F3D"/>
    <w:lvl w:ilvl="0" w:tentative="0">
      <w:start w:val="1"/>
      <w:numFmt w:val="decimal"/>
      <w:lvlText w:val="%1."/>
      <w:lvlJc w:val="left"/>
      <w:pPr>
        <w:ind w:left="425" w:hanging="425"/>
      </w:pPr>
      <w:rPr>
        <w:rFonts w:hint="default"/>
      </w:rPr>
    </w:lvl>
  </w:abstractNum>
  <w:abstractNum w:abstractNumId="6">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7">
    <w:nsid w:val="B500ACA7"/>
    <w:multiLevelType w:val="singleLevel"/>
    <w:tmpl w:val="B500ACA7"/>
    <w:lvl w:ilvl="0" w:tentative="0">
      <w:start w:val="1"/>
      <w:numFmt w:val="decimal"/>
      <w:suff w:val="nothing"/>
      <w:lvlText w:val="%1．"/>
      <w:lvlJc w:val="left"/>
      <w:pPr>
        <w:ind w:left="0" w:firstLine="400"/>
      </w:pPr>
      <w:rPr>
        <w:rFonts w:hint="default"/>
      </w:rPr>
    </w:lvl>
  </w:abstractNum>
  <w:abstractNum w:abstractNumId="8">
    <w:nsid w:val="C588194D"/>
    <w:multiLevelType w:val="singleLevel"/>
    <w:tmpl w:val="C588194D"/>
    <w:lvl w:ilvl="0" w:tentative="0">
      <w:start w:val="1"/>
      <w:numFmt w:val="chineseCounting"/>
      <w:suff w:val="space"/>
      <w:lvlText w:val="第%1章"/>
      <w:lvlJc w:val="left"/>
      <w:rPr>
        <w:rFonts w:hint="eastAsia"/>
      </w:rPr>
    </w:lvl>
  </w:abstractNum>
  <w:abstractNum w:abstractNumId="9">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0">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11">
    <w:nsid w:val="DB1C0AD1"/>
    <w:multiLevelType w:val="singleLevel"/>
    <w:tmpl w:val="DB1C0AD1"/>
    <w:lvl w:ilvl="0" w:tentative="0">
      <w:start w:val="1"/>
      <w:numFmt w:val="decimal"/>
      <w:suff w:val="nothing"/>
      <w:lvlText w:val="%1．"/>
      <w:lvlJc w:val="left"/>
      <w:pPr>
        <w:ind w:left="0" w:firstLine="400"/>
      </w:pPr>
      <w:rPr>
        <w:rFonts w:hint="default"/>
      </w:rPr>
    </w:lvl>
  </w:abstractNum>
  <w:abstractNum w:abstractNumId="12">
    <w:nsid w:val="DDBEDDBE"/>
    <w:multiLevelType w:val="singleLevel"/>
    <w:tmpl w:val="DDBEDDBE"/>
    <w:lvl w:ilvl="0" w:tentative="0">
      <w:start w:val="4"/>
      <w:numFmt w:val="chineseCounting"/>
      <w:suff w:val="nothing"/>
      <w:lvlText w:val="（%1）"/>
      <w:lvlJc w:val="left"/>
      <w:rPr>
        <w:rFonts w:hint="eastAsia"/>
      </w:rPr>
    </w:lvl>
  </w:abstractNum>
  <w:abstractNum w:abstractNumId="13">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4">
    <w:nsid w:val="EB1BD96B"/>
    <w:multiLevelType w:val="singleLevel"/>
    <w:tmpl w:val="EB1BD96B"/>
    <w:lvl w:ilvl="0" w:tentative="0">
      <w:start w:val="2"/>
      <w:numFmt w:val="decimal"/>
      <w:suff w:val="nothing"/>
      <w:lvlText w:val="（%1）"/>
      <w:lvlJc w:val="left"/>
    </w:lvl>
  </w:abstractNum>
  <w:abstractNum w:abstractNumId="15">
    <w:nsid w:val="FA74F172"/>
    <w:multiLevelType w:val="singleLevel"/>
    <w:tmpl w:val="FA74F172"/>
    <w:lvl w:ilvl="0" w:tentative="0">
      <w:start w:val="1"/>
      <w:numFmt w:val="decimalEnclosedCircleChinese"/>
      <w:suff w:val="nothing"/>
      <w:lvlText w:val="%1　"/>
      <w:lvlJc w:val="left"/>
      <w:pPr>
        <w:ind w:left="0" w:firstLine="400"/>
      </w:pPr>
      <w:rPr>
        <w:rFonts w:hint="eastAsia"/>
      </w:rPr>
    </w:lvl>
  </w:abstractNum>
  <w:abstractNum w:abstractNumId="16">
    <w:nsid w:val="FF27596F"/>
    <w:multiLevelType w:val="singleLevel"/>
    <w:tmpl w:val="FF27596F"/>
    <w:lvl w:ilvl="0" w:tentative="0">
      <w:start w:val="1"/>
      <w:numFmt w:val="decimal"/>
      <w:lvlText w:val="%1."/>
      <w:lvlJc w:val="left"/>
      <w:pPr>
        <w:ind w:left="425" w:hanging="425"/>
      </w:pPr>
      <w:rPr>
        <w:rFonts w:hint="default"/>
      </w:rPr>
    </w:lvl>
  </w:abstractNum>
  <w:abstractNum w:abstractNumId="17">
    <w:nsid w:val="0000000E"/>
    <w:multiLevelType w:val="multilevel"/>
    <w:tmpl w:val="0000000E"/>
    <w:lvl w:ilvl="0" w:tentative="0">
      <w:start w:val="1"/>
      <w:numFmt w:val="decimal"/>
      <w:pStyle w:val="393"/>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8">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9">
    <w:nsid w:val="003CB2F1"/>
    <w:multiLevelType w:val="singleLevel"/>
    <w:tmpl w:val="003CB2F1"/>
    <w:lvl w:ilvl="0" w:tentative="0">
      <w:start w:val="2"/>
      <w:numFmt w:val="chineseCounting"/>
      <w:suff w:val="nothing"/>
      <w:lvlText w:val="%1、"/>
      <w:lvlJc w:val="left"/>
      <w:rPr>
        <w:rFonts w:hint="eastAsia"/>
      </w:rPr>
    </w:lvl>
  </w:abstractNum>
  <w:abstractNum w:abstractNumId="20">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9"/>
      <w:suff w:val="space"/>
      <w:lvlText w:val="%1.%2.%3"/>
      <w:lvlJc w:val="left"/>
      <w:pPr>
        <w:ind w:left="426" w:firstLine="0"/>
      </w:pPr>
      <w:rPr>
        <w:rFonts w:hint="eastAsia" w:ascii="黑体" w:hAnsi="黑体" w:eastAsia="黑体"/>
        <w:sz w:val="28"/>
      </w:rPr>
    </w:lvl>
    <w:lvl w:ilvl="3" w:tentative="0">
      <w:start w:val="1"/>
      <w:numFmt w:val="decimal"/>
      <w:pStyle w:val="398"/>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1">
    <w:nsid w:val="0C187051"/>
    <w:multiLevelType w:val="singleLevel"/>
    <w:tmpl w:val="0C187051"/>
    <w:lvl w:ilvl="0" w:tentative="0">
      <w:start w:val="1"/>
      <w:numFmt w:val="decimal"/>
      <w:suff w:val="nothing"/>
      <w:lvlText w:val="%1．"/>
      <w:lvlJc w:val="left"/>
      <w:pPr>
        <w:ind w:left="0" w:firstLine="400"/>
      </w:pPr>
      <w:rPr>
        <w:rFonts w:hint="default"/>
      </w:rPr>
    </w:lvl>
  </w:abstractNum>
  <w:abstractNum w:abstractNumId="22">
    <w:nsid w:val="18BE30EF"/>
    <w:multiLevelType w:val="singleLevel"/>
    <w:tmpl w:val="18BE30EF"/>
    <w:lvl w:ilvl="0" w:tentative="0">
      <w:start w:val="1"/>
      <w:numFmt w:val="decimal"/>
      <w:lvlText w:val="%1."/>
      <w:lvlJc w:val="left"/>
      <w:pPr>
        <w:ind w:left="425" w:hanging="425"/>
      </w:pPr>
      <w:rPr>
        <w:rFonts w:hint="default"/>
      </w:rPr>
    </w:lvl>
  </w:abstractNum>
  <w:abstractNum w:abstractNumId="23">
    <w:nsid w:val="19DCF4C9"/>
    <w:multiLevelType w:val="singleLevel"/>
    <w:tmpl w:val="19DCF4C9"/>
    <w:lvl w:ilvl="0" w:tentative="0">
      <w:start w:val="1"/>
      <w:numFmt w:val="decimal"/>
      <w:lvlText w:val="%1."/>
      <w:lvlJc w:val="left"/>
      <w:pPr>
        <w:ind w:left="425" w:hanging="425"/>
      </w:pPr>
      <w:rPr>
        <w:rFonts w:hint="default"/>
      </w:rPr>
    </w:lvl>
  </w:abstractNum>
  <w:abstractNum w:abstractNumId="24">
    <w:nsid w:val="369BE933"/>
    <w:multiLevelType w:val="singleLevel"/>
    <w:tmpl w:val="369BE933"/>
    <w:lvl w:ilvl="0" w:tentative="0">
      <w:start w:val="1"/>
      <w:numFmt w:val="decimal"/>
      <w:suff w:val="nothing"/>
      <w:lvlText w:val="%1、"/>
      <w:lvlJc w:val="left"/>
    </w:lvl>
  </w:abstractNum>
  <w:abstractNum w:abstractNumId="25">
    <w:nsid w:val="3B363D98"/>
    <w:multiLevelType w:val="multilevel"/>
    <w:tmpl w:val="3B363D98"/>
    <w:lvl w:ilvl="0" w:tentative="0">
      <w:start w:val="1"/>
      <w:numFmt w:val="decimal"/>
      <w:pStyle w:val="16"/>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6">
    <w:nsid w:val="461E5E94"/>
    <w:multiLevelType w:val="singleLevel"/>
    <w:tmpl w:val="461E5E94"/>
    <w:lvl w:ilvl="0" w:tentative="0">
      <w:start w:val="2"/>
      <w:numFmt w:val="chineseCounting"/>
      <w:suff w:val="space"/>
      <w:lvlText w:val="第%1章"/>
      <w:lvlJc w:val="left"/>
      <w:rPr>
        <w:rFonts w:hint="eastAsia"/>
      </w:rPr>
    </w:lvl>
  </w:abstractNum>
  <w:abstractNum w:abstractNumId="2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8">
    <w:nsid w:val="4EB1C310"/>
    <w:multiLevelType w:val="singleLevel"/>
    <w:tmpl w:val="4EB1C310"/>
    <w:lvl w:ilvl="0" w:tentative="0">
      <w:start w:val="1"/>
      <w:numFmt w:val="decimal"/>
      <w:lvlText w:val="%1."/>
      <w:lvlJc w:val="left"/>
      <w:pPr>
        <w:ind w:left="425" w:hanging="425"/>
      </w:pPr>
      <w:rPr>
        <w:rFonts w:hint="default"/>
      </w:rPr>
    </w:lvl>
  </w:abstractNum>
  <w:abstractNum w:abstractNumId="29">
    <w:nsid w:val="54F403B5"/>
    <w:multiLevelType w:val="singleLevel"/>
    <w:tmpl w:val="54F403B5"/>
    <w:lvl w:ilvl="0" w:tentative="0">
      <w:start w:val="1"/>
      <w:numFmt w:val="chineseCounting"/>
      <w:suff w:val="nothing"/>
      <w:lvlText w:val="%1、"/>
      <w:lvlJc w:val="left"/>
    </w:lvl>
  </w:abstractNum>
  <w:abstractNum w:abstractNumId="30">
    <w:nsid w:val="55037710"/>
    <w:multiLevelType w:val="singleLevel"/>
    <w:tmpl w:val="55037710"/>
    <w:lvl w:ilvl="0" w:tentative="0">
      <w:start w:val="1"/>
      <w:numFmt w:val="decimal"/>
      <w:suff w:val="nothing"/>
      <w:lvlText w:val="%1．"/>
      <w:lvlJc w:val="left"/>
      <w:pPr>
        <w:ind w:left="0" w:firstLine="400"/>
      </w:pPr>
      <w:rPr>
        <w:rFonts w:hint="default"/>
      </w:rPr>
    </w:lvl>
  </w:abstractNum>
  <w:abstractNum w:abstractNumId="31">
    <w:nsid w:val="557FD3DA"/>
    <w:multiLevelType w:val="singleLevel"/>
    <w:tmpl w:val="557FD3DA"/>
    <w:lvl w:ilvl="0" w:tentative="0">
      <w:start w:val="3"/>
      <w:numFmt w:val="chineseCounting"/>
      <w:suff w:val="nothing"/>
      <w:lvlText w:val="%1、"/>
      <w:lvlJc w:val="left"/>
    </w:lvl>
  </w:abstractNum>
  <w:abstractNum w:abstractNumId="32">
    <w:nsid w:val="561F21D4"/>
    <w:multiLevelType w:val="multilevel"/>
    <w:tmpl w:val="561F21D4"/>
    <w:lvl w:ilvl="0" w:tentative="0">
      <w:start w:val="1"/>
      <w:numFmt w:val="bullet"/>
      <w:pStyle w:val="39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56FB16F3"/>
    <w:multiLevelType w:val="multilevel"/>
    <w:tmpl w:val="56FB16F3"/>
    <w:lvl w:ilvl="0" w:tentative="0">
      <w:start w:val="1"/>
      <w:numFmt w:val="decimal"/>
      <w:pStyle w:val="42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4">
    <w:nsid w:val="632B4536"/>
    <w:multiLevelType w:val="singleLevel"/>
    <w:tmpl w:val="632B4536"/>
    <w:lvl w:ilvl="0" w:tentative="0">
      <w:start w:val="1"/>
      <w:numFmt w:val="decimal"/>
      <w:lvlText w:val="%1."/>
      <w:lvlJc w:val="left"/>
      <w:pPr>
        <w:ind w:left="425" w:hanging="425"/>
      </w:pPr>
      <w:rPr>
        <w:rFonts w:hint="default"/>
      </w:rPr>
    </w:lvl>
  </w:abstractNum>
  <w:abstractNum w:abstractNumId="35">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36">
    <w:nsid w:val="6DEC3500"/>
    <w:multiLevelType w:val="singleLevel"/>
    <w:tmpl w:val="6DEC3500"/>
    <w:lvl w:ilvl="0" w:tentative="0">
      <w:start w:val="1"/>
      <w:numFmt w:val="decimal"/>
      <w:suff w:val="nothing"/>
      <w:lvlText w:val="%1．"/>
      <w:lvlJc w:val="left"/>
      <w:pPr>
        <w:ind w:left="0" w:firstLine="400"/>
      </w:pPr>
      <w:rPr>
        <w:rFonts w:hint="default"/>
      </w:rPr>
    </w:lvl>
  </w:abstractNum>
  <w:abstractNum w:abstractNumId="37">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4"/>
      <w:lvlText w:val="%1.%2"/>
      <w:lvlJc w:val="left"/>
      <w:pPr>
        <w:tabs>
          <w:tab w:val="left" w:pos="993"/>
        </w:tabs>
        <w:ind w:left="426" w:firstLine="0"/>
      </w:pPr>
      <w:rPr>
        <w:rFonts w:cs="Times New Roman"/>
      </w:rPr>
    </w:lvl>
    <w:lvl w:ilvl="2" w:tentative="0">
      <w:start w:val="1"/>
      <w:numFmt w:val="decimal"/>
      <w:pStyle w:val="95"/>
      <w:lvlText w:val="%1.%2.%3"/>
      <w:lvlJc w:val="left"/>
      <w:pPr>
        <w:tabs>
          <w:tab w:val="left" w:pos="98"/>
        </w:tabs>
        <w:ind w:left="-639" w:firstLine="0"/>
      </w:pPr>
      <w:rPr>
        <w:rFonts w:cs="Times New Roman"/>
      </w:rPr>
    </w:lvl>
    <w:lvl w:ilvl="3" w:tentative="0">
      <w:start w:val="1"/>
      <w:numFmt w:val="decimal"/>
      <w:pStyle w:val="96"/>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38">
    <w:nsid w:val="773757EB"/>
    <w:multiLevelType w:val="singleLevel"/>
    <w:tmpl w:val="773757EB"/>
    <w:lvl w:ilvl="0" w:tentative="0">
      <w:start w:val="1"/>
      <w:numFmt w:val="decimal"/>
      <w:suff w:val="nothing"/>
      <w:lvlText w:val="%1．"/>
      <w:lvlJc w:val="left"/>
      <w:pPr>
        <w:ind w:left="0" w:firstLine="400"/>
      </w:pPr>
      <w:rPr>
        <w:rFonts w:hint="default"/>
      </w:rPr>
    </w:lvl>
  </w:abstractNum>
  <w:abstractNum w:abstractNumId="39">
    <w:nsid w:val="77B25A75"/>
    <w:multiLevelType w:val="singleLevel"/>
    <w:tmpl w:val="77B25A75"/>
    <w:lvl w:ilvl="0" w:tentative="0">
      <w:start w:val="1"/>
      <w:numFmt w:val="decimal"/>
      <w:suff w:val="nothing"/>
      <w:lvlText w:val="%1、"/>
      <w:lvlJc w:val="left"/>
    </w:lvl>
  </w:abstractNum>
  <w:num w:numId="1">
    <w:abstractNumId w:val="6"/>
  </w:num>
  <w:num w:numId="2">
    <w:abstractNumId w:val="2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num>
  <w:num w:numId="6">
    <w:abstractNumId w:val="20"/>
  </w:num>
  <w:num w:numId="7">
    <w:abstractNumId w:val="33"/>
  </w:num>
  <w:num w:numId="8">
    <w:abstractNumId w:val="27"/>
  </w:num>
  <w:num w:numId="9">
    <w:abstractNumId w:val="8"/>
  </w:num>
  <w:num w:numId="10">
    <w:abstractNumId w:val="13"/>
  </w:num>
  <w:num w:numId="11">
    <w:abstractNumId w:val="3"/>
  </w:num>
  <w:num w:numId="12">
    <w:abstractNumId w:val="2"/>
  </w:num>
  <w:num w:numId="13">
    <w:abstractNumId w:val="9"/>
  </w:num>
  <w:num w:numId="14">
    <w:abstractNumId w:val="14"/>
  </w:num>
  <w:num w:numId="15">
    <w:abstractNumId w:val="0"/>
  </w:num>
  <w:num w:numId="16">
    <w:abstractNumId w:val="34"/>
  </w:num>
  <w:num w:numId="17">
    <w:abstractNumId w:val="35"/>
  </w:num>
  <w:num w:numId="18">
    <w:abstractNumId w:val="5"/>
  </w:num>
  <w:num w:numId="19">
    <w:abstractNumId w:val="16"/>
  </w:num>
  <w:num w:numId="20">
    <w:abstractNumId w:val="23"/>
  </w:num>
  <w:num w:numId="21">
    <w:abstractNumId w:val="28"/>
  </w:num>
  <w:num w:numId="22">
    <w:abstractNumId w:val="22"/>
  </w:num>
  <w:num w:numId="23">
    <w:abstractNumId w:val="26"/>
  </w:num>
  <w:num w:numId="24">
    <w:abstractNumId w:val="12"/>
  </w:num>
  <w:num w:numId="25">
    <w:abstractNumId w:val="19"/>
  </w:num>
  <w:num w:numId="26">
    <w:abstractNumId w:val="4"/>
  </w:num>
  <w:num w:numId="27">
    <w:abstractNumId w:val="18"/>
  </w:num>
  <w:num w:numId="28">
    <w:abstractNumId w:val="10"/>
  </w:num>
  <w:num w:numId="29">
    <w:abstractNumId w:val="11"/>
  </w:num>
  <w:num w:numId="30">
    <w:abstractNumId w:val="21"/>
  </w:num>
  <w:num w:numId="31">
    <w:abstractNumId w:val="30"/>
  </w:num>
  <w:num w:numId="32">
    <w:abstractNumId w:val="1"/>
  </w:num>
  <w:num w:numId="33">
    <w:abstractNumId w:val="38"/>
  </w:num>
  <w:num w:numId="34">
    <w:abstractNumId w:val="15"/>
  </w:num>
  <w:num w:numId="35">
    <w:abstractNumId w:val="7"/>
  </w:num>
  <w:num w:numId="36">
    <w:abstractNumId w:val="36"/>
  </w:num>
  <w:num w:numId="37">
    <w:abstractNumId w:val="29"/>
  </w:num>
  <w:num w:numId="38">
    <w:abstractNumId w:val="31"/>
  </w:num>
  <w:num w:numId="39">
    <w:abstractNumId w:val="3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OThiMDhjN2ZiOGFjNGQ3MTlhMmM2NzVjZTg0NDAifQ=="/>
  </w:docVars>
  <w:rsids>
    <w:rsidRoot w:val="00172A27"/>
    <w:rsid w:val="00034F6D"/>
    <w:rsid w:val="00046E15"/>
    <w:rsid w:val="0006294D"/>
    <w:rsid w:val="00062AB3"/>
    <w:rsid w:val="000903D5"/>
    <w:rsid w:val="000936C9"/>
    <w:rsid w:val="000B57DE"/>
    <w:rsid w:val="00105BD2"/>
    <w:rsid w:val="00107BF6"/>
    <w:rsid w:val="0012305D"/>
    <w:rsid w:val="00130920"/>
    <w:rsid w:val="00131E56"/>
    <w:rsid w:val="00134A5F"/>
    <w:rsid w:val="00157DF0"/>
    <w:rsid w:val="00165F2A"/>
    <w:rsid w:val="00172A27"/>
    <w:rsid w:val="00201D62"/>
    <w:rsid w:val="0021318F"/>
    <w:rsid w:val="00224964"/>
    <w:rsid w:val="00242EEC"/>
    <w:rsid w:val="0025202F"/>
    <w:rsid w:val="002A1620"/>
    <w:rsid w:val="002B48B8"/>
    <w:rsid w:val="002E5C24"/>
    <w:rsid w:val="003102FB"/>
    <w:rsid w:val="0031277A"/>
    <w:rsid w:val="00332E30"/>
    <w:rsid w:val="0037125A"/>
    <w:rsid w:val="00382DD1"/>
    <w:rsid w:val="003B0C36"/>
    <w:rsid w:val="003B2B7B"/>
    <w:rsid w:val="003C5E00"/>
    <w:rsid w:val="003F595C"/>
    <w:rsid w:val="003F78E0"/>
    <w:rsid w:val="0042462B"/>
    <w:rsid w:val="00441FAE"/>
    <w:rsid w:val="00446CEF"/>
    <w:rsid w:val="004530E3"/>
    <w:rsid w:val="00453C6B"/>
    <w:rsid w:val="004635CB"/>
    <w:rsid w:val="00472F98"/>
    <w:rsid w:val="0048507C"/>
    <w:rsid w:val="00491BDF"/>
    <w:rsid w:val="004972D1"/>
    <w:rsid w:val="004B4165"/>
    <w:rsid w:val="004C6060"/>
    <w:rsid w:val="004C75E9"/>
    <w:rsid w:val="004D19C1"/>
    <w:rsid w:val="004E0884"/>
    <w:rsid w:val="005136E3"/>
    <w:rsid w:val="00533F91"/>
    <w:rsid w:val="005367EF"/>
    <w:rsid w:val="00551DEA"/>
    <w:rsid w:val="00552448"/>
    <w:rsid w:val="00580CF7"/>
    <w:rsid w:val="005A0636"/>
    <w:rsid w:val="005A6E52"/>
    <w:rsid w:val="005D2872"/>
    <w:rsid w:val="005F6730"/>
    <w:rsid w:val="00616E31"/>
    <w:rsid w:val="00633CCC"/>
    <w:rsid w:val="00655E3C"/>
    <w:rsid w:val="00672712"/>
    <w:rsid w:val="00674363"/>
    <w:rsid w:val="00674C42"/>
    <w:rsid w:val="00691A5A"/>
    <w:rsid w:val="006A1C16"/>
    <w:rsid w:val="006F4DFE"/>
    <w:rsid w:val="00707674"/>
    <w:rsid w:val="00714ABF"/>
    <w:rsid w:val="007335C3"/>
    <w:rsid w:val="007462BF"/>
    <w:rsid w:val="00772676"/>
    <w:rsid w:val="00774D06"/>
    <w:rsid w:val="00793A6E"/>
    <w:rsid w:val="007A236B"/>
    <w:rsid w:val="007A2629"/>
    <w:rsid w:val="007A373B"/>
    <w:rsid w:val="007C1005"/>
    <w:rsid w:val="007F3C66"/>
    <w:rsid w:val="00802325"/>
    <w:rsid w:val="00847BE5"/>
    <w:rsid w:val="0088009B"/>
    <w:rsid w:val="0088066B"/>
    <w:rsid w:val="00882D8A"/>
    <w:rsid w:val="0089471E"/>
    <w:rsid w:val="008A53AD"/>
    <w:rsid w:val="008D7912"/>
    <w:rsid w:val="00903A43"/>
    <w:rsid w:val="00906412"/>
    <w:rsid w:val="00912983"/>
    <w:rsid w:val="00913BD5"/>
    <w:rsid w:val="00923621"/>
    <w:rsid w:val="00947AA5"/>
    <w:rsid w:val="00975285"/>
    <w:rsid w:val="009B3E22"/>
    <w:rsid w:val="009B4CA9"/>
    <w:rsid w:val="009D5E8E"/>
    <w:rsid w:val="009E4231"/>
    <w:rsid w:val="009F1F48"/>
    <w:rsid w:val="009F3459"/>
    <w:rsid w:val="00A30B75"/>
    <w:rsid w:val="00A355C4"/>
    <w:rsid w:val="00A41902"/>
    <w:rsid w:val="00A41DFA"/>
    <w:rsid w:val="00A730CA"/>
    <w:rsid w:val="00A7355D"/>
    <w:rsid w:val="00A968FC"/>
    <w:rsid w:val="00AB2DE5"/>
    <w:rsid w:val="00B1550F"/>
    <w:rsid w:val="00B17E6F"/>
    <w:rsid w:val="00BB106D"/>
    <w:rsid w:val="00BC4555"/>
    <w:rsid w:val="00BE081B"/>
    <w:rsid w:val="00C425B3"/>
    <w:rsid w:val="00C52E14"/>
    <w:rsid w:val="00C72B8C"/>
    <w:rsid w:val="00C767D4"/>
    <w:rsid w:val="00C81E02"/>
    <w:rsid w:val="00C86AB9"/>
    <w:rsid w:val="00CB7EB0"/>
    <w:rsid w:val="00CC232E"/>
    <w:rsid w:val="00CD1804"/>
    <w:rsid w:val="00CE2C33"/>
    <w:rsid w:val="00CF25D3"/>
    <w:rsid w:val="00CF6EFD"/>
    <w:rsid w:val="00D13C71"/>
    <w:rsid w:val="00D21762"/>
    <w:rsid w:val="00D27612"/>
    <w:rsid w:val="00D30117"/>
    <w:rsid w:val="00D323E8"/>
    <w:rsid w:val="00D556E6"/>
    <w:rsid w:val="00D61084"/>
    <w:rsid w:val="00D61A6A"/>
    <w:rsid w:val="00D97D78"/>
    <w:rsid w:val="00DA1022"/>
    <w:rsid w:val="00DB2CA8"/>
    <w:rsid w:val="00DC3218"/>
    <w:rsid w:val="00DF68EA"/>
    <w:rsid w:val="00E319E7"/>
    <w:rsid w:val="00E31CE4"/>
    <w:rsid w:val="00E35A25"/>
    <w:rsid w:val="00E42FAF"/>
    <w:rsid w:val="00E675E5"/>
    <w:rsid w:val="00E73EE1"/>
    <w:rsid w:val="00E82390"/>
    <w:rsid w:val="00E94D5A"/>
    <w:rsid w:val="00EB1C8A"/>
    <w:rsid w:val="00EB4E41"/>
    <w:rsid w:val="00EC69DC"/>
    <w:rsid w:val="00ED7F52"/>
    <w:rsid w:val="00EE25F8"/>
    <w:rsid w:val="00EE34AF"/>
    <w:rsid w:val="00EF080F"/>
    <w:rsid w:val="00EF2797"/>
    <w:rsid w:val="00F05C63"/>
    <w:rsid w:val="00F127FF"/>
    <w:rsid w:val="00F15903"/>
    <w:rsid w:val="00F82981"/>
    <w:rsid w:val="00F8622D"/>
    <w:rsid w:val="00FA6516"/>
    <w:rsid w:val="00FB70BA"/>
    <w:rsid w:val="0108599E"/>
    <w:rsid w:val="0122167A"/>
    <w:rsid w:val="01245453"/>
    <w:rsid w:val="013E4022"/>
    <w:rsid w:val="014A2188"/>
    <w:rsid w:val="01935887"/>
    <w:rsid w:val="01D52366"/>
    <w:rsid w:val="02291D3B"/>
    <w:rsid w:val="02370322"/>
    <w:rsid w:val="03214116"/>
    <w:rsid w:val="033605E0"/>
    <w:rsid w:val="038F65D0"/>
    <w:rsid w:val="04255409"/>
    <w:rsid w:val="047F2511"/>
    <w:rsid w:val="04CC341D"/>
    <w:rsid w:val="04F8157B"/>
    <w:rsid w:val="05137CD7"/>
    <w:rsid w:val="052F2A11"/>
    <w:rsid w:val="05834B0B"/>
    <w:rsid w:val="0599415A"/>
    <w:rsid w:val="05C015C4"/>
    <w:rsid w:val="05FA5187"/>
    <w:rsid w:val="06092802"/>
    <w:rsid w:val="060B26E0"/>
    <w:rsid w:val="061C17FE"/>
    <w:rsid w:val="06293766"/>
    <w:rsid w:val="06364625"/>
    <w:rsid w:val="06B843C5"/>
    <w:rsid w:val="06EC3754"/>
    <w:rsid w:val="06F348C6"/>
    <w:rsid w:val="06F51849"/>
    <w:rsid w:val="07260533"/>
    <w:rsid w:val="08505D37"/>
    <w:rsid w:val="08B06CBC"/>
    <w:rsid w:val="09713415"/>
    <w:rsid w:val="0A200B7B"/>
    <w:rsid w:val="0A7E73DA"/>
    <w:rsid w:val="0AC97250"/>
    <w:rsid w:val="0B297F03"/>
    <w:rsid w:val="0B2C2B7C"/>
    <w:rsid w:val="0B420AE2"/>
    <w:rsid w:val="0BE40A94"/>
    <w:rsid w:val="0BFA1D66"/>
    <w:rsid w:val="0C1E2BA0"/>
    <w:rsid w:val="0C765CB2"/>
    <w:rsid w:val="0CFA78FF"/>
    <w:rsid w:val="0D075B79"/>
    <w:rsid w:val="0D7D13EF"/>
    <w:rsid w:val="0D8576B9"/>
    <w:rsid w:val="0E1F781C"/>
    <w:rsid w:val="0E4F7949"/>
    <w:rsid w:val="0E970358"/>
    <w:rsid w:val="0EE45269"/>
    <w:rsid w:val="0EE52393"/>
    <w:rsid w:val="0EE54E5A"/>
    <w:rsid w:val="0F6A1A20"/>
    <w:rsid w:val="0F972F79"/>
    <w:rsid w:val="0FAE4E7B"/>
    <w:rsid w:val="0FD0632B"/>
    <w:rsid w:val="10093FC5"/>
    <w:rsid w:val="10392EAE"/>
    <w:rsid w:val="10646958"/>
    <w:rsid w:val="10706EC2"/>
    <w:rsid w:val="109F6B76"/>
    <w:rsid w:val="10D3404B"/>
    <w:rsid w:val="114E5D29"/>
    <w:rsid w:val="114F40BB"/>
    <w:rsid w:val="11E03243"/>
    <w:rsid w:val="11EF525A"/>
    <w:rsid w:val="120C1CC5"/>
    <w:rsid w:val="124503FC"/>
    <w:rsid w:val="127C0CA6"/>
    <w:rsid w:val="12807280"/>
    <w:rsid w:val="128E689D"/>
    <w:rsid w:val="129440E9"/>
    <w:rsid w:val="13546461"/>
    <w:rsid w:val="13636FCF"/>
    <w:rsid w:val="13936861"/>
    <w:rsid w:val="13FD1C1B"/>
    <w:rsid w:val="14490CA5"/>
    <w:rsid w:val="145713EB"/>
    <w:rsid w:val="147D0790"/>
    <w:rsid w:val="148463E6"/>
    <w:rsid w:val="148D4AB1"/>
    <w:rsid w:val="14A31221"/>
    <w:rsid w:val="14D20D9B"/>
    <w:rsid w:val="15086354"/>
    <w:rsid w:val="159C41BD"/>
    <w:rsid w:val="15A2564F"/>
    <w:rsid w:val="15A72BED"/>
    <w:rsid w:val="1621170E"/>
    <w:rsid w:val="16BF7198"/>
    <w:rsid w:val="16BF796D"/>
    <w:rsid w:val="16D818E3"/>
    <w:rsid w:val="174619BD"/>
    <w:rsid w:val="176A6744"/>
    <w:rsid w:val="18B91D2B"/>
    <w:rsid w:val="18C40414"/>
    <w:rsid w:val="18C62067"/>
    <w:rsid w:val="192A45C3"/>
    <w:rsid w:val="1935616A"/>
    <w:rsid w:val="193F5D85"/>
    <w:rsid w:val="19693E13"/>
    <w:rsid w:val="19B55BB8"/>
    <w:rsid w:val="19D16D8A"/>
    <w:rsid w:val="19FA6C13"/>
    <w:rsid w:val="1A6A6D44"/>
    <w:rsid w:val="1A6D331F"/>
    <w:rsid w:val="1A817123"/>
    <w:rsid w:val="1ACD5B6C"/>
    <w:rsid w:val="1AF63A1E"/>
    <w:rsid w:val="1B9969DF"/>
    <w:rsid w:val="1BDA2FBC"/>
    <w:rsid w:val="1C093ECB"/>
    <w:rsid w:val="1C1D644D"/>
    <w:rsid w:val="1C502B55"/>
    <w:rsid w:val="1C652823"/>
    <w:rsid w:val="1C71170A"/>
    <w:rsid w:val="1CE4433A"/>
    <w:rsid w:val="1CFF53CB"/>
    <w:rsid w:val="1D0A1321"/>
    <w:rsid w:val="1D6D5250"/>
    <w:rsid w:val="1D89079B"/>
    <w:rsid w:val="1DC62372"/>
    <w:rsid w:val="1DDC5A3C"/>
    <w:rsid w:val="1DE539F7"/>
    <w:rsid w:val="1E1E6F53"/>
    <w:rsid w:val="1EE84AA8"/>
    <w:rsid w:val="1EF6145A"/>
    <w:rsid w:val="1F6542F4"/>
    <w:rsid w:val="1F7550C2"/>
    <w:rsid w:val="1FBC0993"/>
    <w:rsid w:val="1FE67646"/>
    <w:rsid w:val="20623C58"/>
    <w:rsid w:val="20831C11"/>
    <w:rsid w:val="20B428CF"/>
    <w:rsid w:val="20D963A1"/>
    <w:rsid w:val="211E6D74"/>
    <w:rsid w:val="217211C5"/>
    <w:rsid w:val="21C47A14"/>
    <w:rsid w:val="2236615E"/>
    <w:rsid w:val="22556F69"/>
    <w:rsid w:val="225715A1"/>
    <w:rsid w:val="228447E5"/>
    <w:rsid w:val="22BB5608"/>
    <w:rsid w:val="23424F53"/>
    <w:rsid w:val="236E14E2"/>
    <w:rsid w:val="23AB029F"/>
    <w:rsid w:val="240808BA"/>
    <w:rsid w:val="24093984"/>
    <w:rsid w:val="24623DA4"/>
    <w:rsid w:val="2464177D"/>
    <w:rsid w:val="24E76928"/>
    <w:rsid w:val="25057870"/>
    <w:rsid w:val="25113937"/>
    <w:rsid w:val="255B7F1A"/>
    <w:rsid w:val="255F5162"/>
    <w:rsid w:val="25C95F4D"/>
    <w:rsid w:val="260B2FF2"/>
    <w:rsid w:val="262258D7"/>
    <w:rsid w:val="26BE2809"/>
    <w:rsid w:val="26F5563E"/>
    <w:rsid w:val="26FB5993"/>
    <w:rsid w:val="27447783"/>
    <w:rsid w:val="27490B93"/>
    <w:rsid w:val="2769687D"/>
    <w:rsid w:val="2798423C"/>
    <w:rsid w:val="29D148D0"/>
    <w:rsid w:val="2A3E3DF9"/>
    <w:rsid w:val="2A43565C"/>
    <w:rsid w:val="2AC803DC"/>
    <w:rsid w:val="2ACD0D4B"/>
    <w:rsid w:val="2AF418F0"/>
    <w:rsid w:val="2AFB68A2"/>
    <w:rsid w:val="2B14447A"/>
    <w:rsid w:val="2B1A09BB"/>
    <w:rsid w:val="2B2B50C6"/>
    <w:rsid w:val="2B362300"/>
    <w:rsid w:val="2B657F18"/>
    <w:rsid w:val="2B902755"/>
    <w:rsid w:val="2BB30714"/>
    <w:rsid w:val="2BC24A1B"/>
    <w:rsid w:val="2BCE11B4"/>
    <w:rsid w:val="2C776EE0"/>
    <w:rsid w:val="2D5044F0"/>
    <w:rsid w:val="2D61587D"/>
    <w:rsid w:val="2DEC5949"/>
    <w:rsid w:val="2DF5334F"/>
    <w:rsid w:val="2E334E31"/>
    <w:rsid w:val="2E9B35E2"/>
    <w:rsid w:val="2ED20301"/>
    <w:rsid w:val="2F9E10B4"/>
    <w:rsid w:val="2FA30C45"/>
    <w:rsid w:val="2FCE3214"/>
    <w:rsid w:val="2FF864E7"/>
    <w:rsid w:val="30143D85"/>
    <w:rsid w:val="305461C1"/>
    <w:rsid w:val="30603468"/>
    <w:rsid w:val="30887EF2"/>
    <w:rsid w:val="31734783"/>
    <w:rsid w:val="31752B09"/>
    <w:rsid w:val="323066D2"/>
    <w:rsid w:val="323853F3"/>
    <w:rsid w:val="324A05DB"/>
    <w:rsid w:val="328C4DF3"/>
    <w:rsid w:val="32A16455"/>
    <w:rsid w:val="33104185"/>
    <w:rsid w:val="336B2383"/>
    <w:rsid w:val="33762494"/>
    <w:rsid w:val="34125D6B"/>
    <w:rsid w:val="341548E3"/>
    <w:rsid w:val="34476D51"/>
    <w:rsid w:val="344C2DF3"/>
    <w:rsid w:val="34725022"/>
    <w:rsid w:val="34841780"/>
    <w:rsid w:val="34C56347"/>
    <w:rsid w:val="34FF0747"/>
    <w:rsid w:val="35000D96"/>
    <w:rsid w:val="359A1F3F"/>
    <w:rsid w:val="35E531B2"/>
    <w:rsid w:val="36333F5A"/>
    <w:rsid w:val="3648776F"/>
    <w:rsid w:val="36637EBD"/>
    <w:rsid w:val="36933729"/>
    <w:rsid w:val="36D500B5"/>
    <w:rsid w:val="370B23AB"/>
    <w:rsid w:val="37200D00"/>
    <w:rsid w:val="37621ECE"/>
    <w:rsid w:val="37663AEE"/>
    <w:rsid w:val="37712A39"/>
    <w:rsid w:val="37831A17"/>
    <w:rsid w:val="37CC1631"/>
    <w:rsid w:val="37CD2E69"/>
    <w:rsid w:val="38932B53"/>
    <w:rsid w:val="38A24236"/>
    <w:rsid w:val="38AA6CF9"/>
    <w:rsid w:val="38ED3F9D"/>
    <w:rsid w:val="39280784"/>
    <w:rsid w:val="394E0876"/>
    <w:rsid w:val="39761340"/>
    <w:rsid w:val="39E55D12"/>
    <w:rsid w:val="3AAF1BDA"/>
    <w:rsid w:val="3AB807D8"/>
    <w:rsid w:val="3AE50133"/>
    <w:rsid w:val="3AE636B8"/>
    <w:rsid w:val="3AF61231"/>
    <w:rsid w:val="3B345EA5"/>
    <w:rsid w:val="3B5F0CA0"/>
    <w:rsid w:val="3BE35465"/>
    <w:rsid w:val="3BE7779E"/>
    <w:rsid w:val="3BF20317"/>
    <w:rsid w:val="3C2356AF"/>
    <w:rsid w:val="3C834D58"/>
    <w:rsid w:val="3CAA65A9"/>
    <w:rsid w:val="3CC226A9"/>
    <w:rsid w:val="3CCC0B71"/>
    <w:rsid w:val="3D962EF2"/>
    <w:rsid w:val="3DB531EC"/>
    <w:rsid w:val="3DCC30CB"/>
    <w:rsid w:val="3E0D6740"/>
    <w:rsid w:val="3E394E0C"/>
    <w:rsid w:val="3E744678"/>
    <w:rsid w:val="3E7A7D45"/>
    <w:rsid w:val="3E7E033A"/>
    <w:rsid w:val="3EAB6F07"/>
    <w:rsid w:val="3EB04EF5"/>
    <w:rsid w:val="3EF55C06"/>
    <w:rsid w:val="3EFE63F7"/>
    <w:rsid w:val="3F731F4D"/>
    <w:rsid w:val="3F7C4432"/>
    <w:rsid w:val="3FD73B37"/>
    <w:rsid w:val="3FF14728"/>
    <w:rsid w:val="3FF1653A"/>
    <w:rsid w:val="40615E74"/>
    <w:rsid w:val="40AF6EFA"/>
    <w:rsid w:val="40BF6EB5"/>
    <w:rsid w:val="4131094E"/>
    <w:rsid w:val="41442AAE"/>
    <w:rsid w:val="414940CE"/>
    <w:rsid w:val="41C03AF8"/>
    <w:rsid w:val="41C93F46"/>
    <w:rsid w:val="421671F5"/>
    <w:rsid w:val="42324BF0"/>
    <w:rsid w:val="43036342"/>
    <w:rsid w:val="432B139E"/>
    <w:rsid w:val="433C63C3"/>
    <w:rsid w:val="43894FCF"/>
    <w:rsid w:val="43C024AB"/>
    <w:rsid w:val="43D2500C"/>
    <w:rsid w:val="43FF65D9"/>
    <w:rsid w:val="44010B62"/>
    <w:rsid w:val="443C255B"/>
    <w:rsid w:val="445B2D4C"/>
    <w:rsid w:val="447B10FE"/>
    <w:rsid w:val="447C24FE"/>
    <w:rsid w:val="447C7AED"/>
    <w:rsid w:val="44A96C81"/>
    <w:rsid w:val="44B71862"/>
    <w:rsid w:val="44D95148"/>
    <w:rsid w:val="44DA2976"/>
    <w:rsid w:val="4563730C"/>
    <w:rsid w:val="45F0696C"/>
    <w:rsid w:val="4622438D"/>
    <w:rsid w:val="46623B75"/>
    <w:rsid w:val="4736526E"/>
    <w:rsid w:val="4753564B"/>
    <w:rsid w:val="47E629E2"/>
    <w:rsid w:val="480C62D5"/>
    <w:rsid w:val="484212CB"/>
    <w:rsid w:val="48625C43"/>
    <w:rsid w:val="48694FA0"/>
    <w:rsid w:val="488E768B"/>
    <w:rsid w:val="489D7366"/>
    <w:rsid w:val="48BA6C5A"/>
    <w:rsid w:val="48BB582D"/>
    <w:rsid w:val="48EB1D78"/>
    <w:rsid w:val="491633CD"/>
    <w:rsid w:val="495F7D2E"/>
    <w:rsid w:val="498F622E"/>
    <w:rsid w:val="49B241EB"/>
    <w:rsid w:val="49CC5F9C"/>
    <w:rsid w:val="49F41D5E"/>
    <w:rsid w:val="4A13644C"/>
    <w:rsid w:val="4A325E82"/>
    <w:rsid w:val="4AA0530C"/>
    <w:rsid w:val="4AAF46FD"/>
    <w:rsid w:val="4AB6441D"/>
    <w:rsid w:val="4ADA01C5"/>
    <w:rsid w:val="4B1E31F7"/>
    <w:rsid w:val="4B533C05"/>
    <w:rsid w:val="4B9B2B3F"/>
    <w:rsid w:val="4BBF0F5D"/>
    <w:rsid w:val="4BCB3573"/>
    <w:rsid w:val="4CAF4277"/>
    <w:rsid w:val="4CB16394"/>
    <w:rsid w:val="4CC103F7"/>
    <w:rsid w:val="4CE75373"/>
    <w:rsid w:val="4D105682"/>
    <w:rsid w:val="4D2D7818"/>
    <w:rsid w:val="4DBC54C9"/>
    <w:rsid w:val="4DE22754"/>
    <w:rsid w:val="4E3A0519"/>
    <w:rsid w:val="4E656969"/>
    <w:rsid w:val="4EA97723"/>
    <w:rsid w:val="4EC70E66"/>
    <w:rsid w:val="4EDF54B5"/>
    <w:rsid w:val="4FD71D64"/>
    <w:rsid w:val="4FFF38AE"/>
    <w:rsid w:val="50136BDE"/>
    <w:rsid w:val="50263BE9"/>
    <w:rsid w:val="50400BF6"/>
    <w:rsid w:val="50B94F2C"/>
    <w:rsid w:val="50F0582A"/>
    <w:rsid w:val="50F57A6E"/>
    <w:rsid w:val="51707B49"/>
    <w:rsid w:val="51A7715F"/>
    <w:rsid w:val="51B1064A"/>
    <w:rsid w:val="520B3852"/>
    <w:rsid w:val="521B4E34"/>
    <w:rsid w:val="52DA2233"/>
    <w:rsid w:val="531541D9"/>
    <w:rsid w:val="53E1102E"/>
    <w:rsid w:val="53ED28CC"/>
    <w:rsid w:val="54157B14"/>
    <w:rsid w:val="545E35F5"/>
    <w:rsid w:val="546A1869"/>
    <w:rsid w:val="547846DC"/>
    <w:rsid w:val="549855E2"/>
    <w:rsid w:val="551579D9"/>
    <w:rsid w:val="551F08C3"/>
    <w:rsid w:val="55770053"/>
    <w:rsid w:val="55C77B84"/>
    <w:rsid w:val="566D4B95"/>
    <w:rsid w:val="567C0D51"/>
    <w:rsid w:val="572656D4"/>
    <w:rsid w:val="57616FF6"/>
    <w:rsid w:val="57651379"/>
    <w:rsid w:val="57780353"/>
    <w:rsid w:val="578D035B"/>
    <w:rsid w:val="579105B6"/>
    <w:rsid w:val="57B9623A"/>
    <w:rsid w:val="580D51F7"/>
    <w:rsid w:val="58573E31"/>
    <w:rsid w:val="58664A9E"/>
    <w:rsid w:val="5903310E"/>
    <w:rsid w:val="59050A31"/>
    <w:rsid w:val="592E5A4F"/>
    <w:rsid w:val="59A059CB"/>
    <w:rsid w:val="59AD06A4"/>
    <w:rsid w:val="59AE2A43"/>
    <w:rsid w:val="59D70A4F"/>
    <w:rsid w:val="5A4D586D"/>
    <w:rsid w:val="5A6249B0"/>
    <w:rsid w:val="5A8606D0"/>
    <w:rsid w:val="5A960EAB"/>
    <w:rsid w:val="5AF641B2"/>
    <w:rsid w:val="5B0C2EBA"/>
    <w:rsid w:val="5B6F4A80"/>
    <w:rsid w:val="5B7439C9"/>
    <w:rsid w:val="5BD36737"/>
    <w:rsid w:val="5BD70632"/>
    <w:rsid w:val="5BEF2875"/>
    <w:rsid w:val="5C797026"/>
    <w:rsid w:val="5CC25D8E"/>
    <w:rsid w:val="5CCE4445"/>
    <w:rsid w:val="5CD2262C"/>
    <w:rsid w:val="5D4E3FA5"/>
    <w:rsid w:val="5D7F0B1D"/>
    <w:rsid w:val="5D7F3676"/>
    <w:rsid w:val="5DAC3F22"/>
    <w:rsid w:val="5E001F43"/>
    <w:rsid w:val="5E71670A"/>
    <w:rsid w:val="5EA210D8"/>
    <w:rsid w:val="5EDF3CD6"/>
    <w:rsid w:val="5EE84C68"/>
    <w:rsid w:val="5F1910B9"/>
    <w:rsid w:val="5F285855"/>
    <w:rsid w:val="5F2C4331"/>
    <w:rsid w:val="5F357D99"/>
    <w:rsid w:val="5F75144C"/>
    <w:rsid w:val="5F7E5731"/>
    <w:rsid w:val="5F9677A5"/>
    <w:rsid w:val="5FAD59C4"/>
    <w:rsid w:val="5FB213EA"/>
    <w:rsid w:val="5FD1342A"/>
    <w:rsid w:val="5FE3043E"/>
    <w:rsid w:val="60927D0B"/>
    <w:rsid w:val="61422EA1"/>
    <w:rsid w:val="61E91B05"/>
    <w:rsid w:val="61F11111"/>
    <w:rsid w:val="621D5BA4"/>
    <w:rsid w:val="62354683"/>
    <w:rsid w:val="62616A1D"/>
    <w:rsid w:val="635B6748"/>
    <w:rsid w:val="63947A95"/>
    <w:rsid w:val="63A26906"/>
    <w:rsid w:val="63AD43A2"/>
    <w:rsid w:val="63C714BF"/>
    <w:rsid w:val="63E90322"/>
    <w:rsid w:val="641B1986"/>
    <w:rsid w:val="646622C5"/>
    <w:rsid w:val="65306571"/>
    <w:rsid w:val="6557284E"/>
    <w:rsid w:val="65927993"/>
    <w:rsid w:val="65AA5795"/>
    <w:rsid w:val="65C92FEA"/>
    <w:rsid w:val="65CE46E6"/>
    <w:rsid w:val="65D84B96"/>
    <w:rsid w:val="66020836"/>
    <w:rsid w:val="665651F8"/>
    <w:rsid w:val="666B6678"/>
    <w:rsid w:val="66943411"/>
    <w:rsid w:val="66A108CB"/>
    <w:rsid w:val="671F6C89"/>
    <w:rsid w:val="677744AA"/>
    <w:rsid w:val="67B167D1"/>
    <w:rsid w:val="67BB7ACC"/>
    <w:rsid w:val="67C1070A"/>
    <w:rsid w:val="67C16058"/>
    <w:rsid w:val="67C8546A"/>
    <w:rsid w:val="68147595"/>
    <w:rsid w:val="6844766A"/>
    <w:rsid w:val="685F1C50"/>
    <w:rsid w:val="689F4646"/>
    <w:rsid w:val="68CA3EEA"/>
    <w:rsid w:val="68DE7E55"/>
    <w:rsid w:val="69084D86"/>
    <w:rsid w:val="699022E9"/>
    <w:rsid w:val="69996604"/>
    <w:rsid w:val="69B94C0E"/>
    <w:rsid w:val="69C72C9E"/>
    <w:rsid w:val="69D247C7"/>
    <w:rsid w:val="6A1231B1"/>
    <w:rsid w:val="6A2A15CC"/>
    <w:rsid w:val="6A714498"/>
    <w:rsid w:val="6A8E0ABC"/>
    <w:rsid w:val="6AA36131"/>
    <w:rsid w:val="6B4646A6"/>
    <w:rsid w:val="6B4C6CF4"/>
    <w:rsid w:val="6BAA31DE"/>
    <w:rsid w:val="6BAE0F48"/>
    <w:rsid w:val="6BD23216"/>
    <w:rsid w:val="6BD46C9F"/>
    <w:rsid w:val="6BEC38A4"/>
    <w:rsid w:val="6BFB6E2A"/>
    <w:rsid w:val="6C523D39"/>
    <w:rsid w:val="6C58188C"/>
    <w:rsid w:val="6CBE247C"/>
    <w:rsid w:val="6D33687C"/>
    <w:rsid w:val="6D6467B2"/>
    <w:rsid w:val="6D7871A6"/>
    <w:rsid w:val="6DA04EE5"/>
    <w:rsid w:val="6DCD2F33"/>
    <w:rsid w:val="6E601F01"/>
    <w:rsid w:val="6E8D0D3D"/>
    <w:rsid w:val="6F03756C"/>
    <w:rsid w:val="6F3510C4"/>
    <w:rsid w:val="6F3E3D9B"/>
    <w:rsid w:val="6FC634EE"/>
    <w:rsid w:val="6FDE7453"/>
    <w:rsid w:val="70304D45"/>
    <w:rsid w:val="70345B2D"/>
    <w:rsid w:val="7065082F"/>
    <w:rsid w:val="707F5C84"/>
    <w:rsid w:val="70913F9E"/>
    <w:rsid w:val="709D04F4"/>
    <w:rsid w:val="70D44E46"/>
    <w:rsid w:val="70ED402C"/>
    <w:rsid w:val="713F2A8A"/>
    <w:rsid w:val="714375FF"/>
    <w:rsid w:val="71600CA6"/>
    <w:rsid w:val="72532F78"/>
    <w:rsid w:val="72A27523"/>
    <w:rsid w:val="73657593"/>
    <w:rsid w:val="737C0DB1"/>
    <w:rsid w:val="73AD6A5C"/>
    <w:rsid w:val="74145D78"/>
    <w:rsid w:val="745919C6"/>
    <w:rsid w:val="74702A9A"/>
    <w:rsid w:val="74883655"/>
    <w:rsid w:val="748A309D"/>
    <w:rsid w:val="74E92E35"/>
    <w:rsid w:val="74ED462C"/>
    <w:rsid w:val="752743F5"/>
    <w:rsid w:val="75B14EE1"/>
    <w:rsid w:val="75D869F6"/>
    <w:rsid w:val="75DF4163"/>
    <w:rsid w:val="75F378C9"/>
    <w:rsid w:val="761C2BBB"/>
    <w:rsid w:val="76A3778E"/>
    <w:rsid w:val="76BD5CD9"/>
    <w:rsid w:val="772467C0"/>
    <w:rsid w:val="776038A8"/>
    <w:rsid w:val="776A1DE8"/>
    <w:rsid w:val="778F2F6E"/>
    <w:rsid w:val="77AE550D"/>
    <w:rsid w:val="780D64CD"/>
    <w:rsid w:val="785D00CA"/>
    <w:rsid w:val="78A53944"/>
    <w:rsid w:val="78CD06B7"/>
    <w:rsid w:val="79330E06"/>
    <w:rsid w:val="795804BC"/>
    <w:rsid w:val="79635820"/>
    <w:rsid w:val="79D03D4B"/>
    <w:rsid w:val="79DA30F6"/>
    <w:rsid w:val="7A156DB0"/>
    <w:rsid w:val="7A6C197B"/>
    <w:rsid w:val="7AE25B62"/>
    <w:rsid w:val="7B0013DB"/>
    <w:rsid w:val="7B73169F"/>
    <w:rsid w:val="7BA91BA6"/>
    <w:rsid w:val="7BC17E60"/>
    <w:rsid w:val="7C264ADD"/>
    <w:rsid w:val="7C927B30"/>
    <w:rsid w:val="7C931089"/>
    <w:rsid w:val="7C9311E1"/>
    <w:rsid w:val="7CAE365B"/>
    <w:rsid w:val="7D2D0B46"/>
    <w:rsid w:val="7D426594"/>
    <w:rsid w:val="7D4A5A41"/>
    <w:rsid w:val="7D503F42"/>
    <w:rsid w:val="7D6E5BA2"/>
    <w:rsid w:val="7DBB772D"/>
    <w:rsid w:val="7DDD6CEA"/>
    <w:rsid w:val="7E1C1241"/>
    <w:rsid w:val="7E1C1443"/>
    <w:rsid w:val="7E242E7A"/>
    <w:rsid w:val="7E251DE7"/>
    <w:rsid w:val="7E305AAE"/>
    <w:rsid w:val="7E4308E9"/>
    <w:rsid w:val="7E636E14"/>
    <w:rsid w:val="7F33321A"/>
    <w:rsid w:val="7F361298"/>
    <w:rsid w:val="7F437B5A"/>
    <w:rsid w:val="7F664B03"/>
    <w:rsid w:val="7F8E0716"/>
    <w:rsid w:val="7FD4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qFormat="1" w:uiPriority="99"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0"/>
    <w:unhideWhenUsed/>
    <w:qFormat/>
    <w:uiPriority w:val="9"/>
    <w:pPr>
      <w:keepNext/>
      <w:keepLines/>
      <w:spacing w:line="376" w:lineRule="auto"/>
      <w:ind w:left="2125" w:hanging="425"/>
      <w:outlineLvl w:val="4"/>
    </w:pPr>
    <w:rPr>
      <w:rFonts w:ascii="宋体" w:hAnsi="宋体" w:cs="宋体"/>
      <w:b/>
      <w:bCs/>
      <w:kern w:val="0"/>
      <w:sz w:val="28"/>
      <w:szCs w:val="28"/>
    </w:rPr>
  </w:style>
  <w:style w:type="paragraph" w:styleId="8">
    <w:name w:val="heading 6"/>
    <w:basedOn w:val="1"/>
    <w:next w:val="1"/>
    <w:link w:val="101"/>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9">
    <w:name w:val="heading 7"/>
    <w:basedOn w:val="1"/>
    <w:next w:val="1"/>
    <w:link w:val="102"/>
    <w:unhideWhenUsed/>
    <w:qFormat/>
    <w:uiPriority w:val="9"/>
    <w:pPr>
      <w:keepNext/>
      <w:keepLines/>
      <w:spacing w:line="320" w:lineRule="auto"/>
      <w:ind w:left="2975" w:hanging="425"/>
      <w:outlineLvl w:val="6"/>
    </w:pPr>
    <w:rPr>
      <w:rFonts w:ascii="宋体" w:hAnsi="宋体" w:cs="宋体"/>
      <w:b/>
      <w:bCs/>
      <w:kern w:val="0"/>
      <w:sz w:val="24"/>
    </w:rPr>
  </w:style>
  <w:style w:type="paragraph" w:styleId="10">
    <w:name w:val="heading 8"/>
    <w:basedOn w:val="1"/>
    <w:next w:val="1"/>
    <w:link w:val="103"/>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1">
    <w:name w:val="heading 9"/>
    <w:basedOn w:val="1"/>
    <w:next w:val="1"/>
    <w:link w:val="104"/>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toc 7"/>
    <w:basedOn w:val="1"/>
    <w:next w:val="1"/>
    <w:unhideWhenUsed/>
    <w:qFormat/>
    <w:uiPriority w:val="39"/>
    <w:pPr>
      <w:widowControl/>
      <w:ind w:left="2520" w:leftChars="1200"/>
      <w:jc w:val="left"/>
    </w:pPr>
    <w:rPr>
      <w:rFonts w:ascii="宋体" w:hAnsi="宋体" w:cs="宋体"/>
      <w:kern w:val="0"/>
      <w:sz w:val="24"/>
    </w:rPr>
  </w:style>
  <w:style w:type="paragraph" w:styleId="13">
    <w:name w:val="table of authorities"/>
    <w:basedOn w:val="1"/>
    <w:next w:val="1"/>
    <w:qFormat/>
    <w:uiPriority w:val="0"/>
    <w:pPr>
      <w:ind w:left="420" w:leftChars="200"/>
    </w:pPr>
  </w:style>
  <w:style w:type="paragraph" w:styleId="14">
    <w:name w:val="List Number"/>
    <w:basedOn w:val="1"/>
    <w:qFormat/>
    <w:uiPriority w:val="0"/>
    <w:pPr>
      <w:numPr>
        <w:ilvl w:val="0"/>
        <w:numId w:val="1"/>
      </w:numPr>
    </w:pPr>
  </w:style>
  <w:style w:type="paragraph" w:styleId="15">
    <w:name w:val="Normal Indent"/>
    <w:basedOn w:val="1"/>
    <w:next w:val="1"/>
    <w:qFormat/>
    <w:uiPriority w:val="0"/>
    <w:pPr>
      <w:ind w:firstLine="420"/>
    </w:pPr>
    <w:rPr>
      <w:szCs w:val="20"/>
    </w:rPr>
  </w:style>
  <w:style w:type="paragraph" w:styleId="16">
    <w:name w:val="caption"/>
    <w:basedOn w:val="1"/>
    <w:next w:val="1"/>
    <w:link w:val="412"/>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7">
    <w:name w:val="Document Map"/>
    <w:basedOn w:val="1"/>
    <w:link w:val="106"/>
    <w:unhideWhenUsed/>
    <w:qFormat/>
    <w:uiPriority w:val="99"/>
    <w:pPr>
      <w:widowControl/>
      <w:jc w:val="left"/>
    </w:pPr>
    <w:rPr>
      <w:rFonts w:ascii="宋体" w:hAnsi="宋体" w:cs="宋体"/>
      <w:kern w:val="0"/>
      <w:sz w:val="18"/>
      <w:szCs w:val="18"/>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1"/>
    <w:qFormat/>
    <w:uiPriority w:val="0"/>
    <w:pPr>
      <w:jc w:val="left"/>
    </w:pPr>
  </w:style>
  <w:style w:type="paragraph" w:styleId="20">
    <w:name w:val="Closing"/>
    <w:basedOn w:val="1"/>
    <w:unhideWhenUsed/>
    <w:qFormat/>
    <w:uiPriority w:val="99"/>
    <w:pPr>
      <w:ind w:left="4320"/>
    </w:pPr>
    <w:rPr>
      <w:rFonts w:ascii="宋体"/>
    </w:rPr>
  </w:style>
  <w:style w:type="paragraph" w:styleId="21">
    <w:name w:val="Body Text"/>
    <w:basedOn w:val="1"/>
    <w:next w:val="22"/>
    <w:link w:val="112"/>
    <w:qFormat/>
    <w:uiPriority w:val="99"/>
    <w:pPr>
      <w:spacing w:line="360" w:lineRule="exact"/>
    </w:pPr>
    <w:rPr>
      <w:sz w:val="24"/>
    </w:rPr>
  </w:style>
  <w:style w:type="paragraph" w:styleId="22">
    <w:name w:val="Body Text First Indent"/>
    <w:basedOn w:val="21"/>
    <w:next w:val="1"/>
    <w:link w:val="113"/>
    <w:unhideWhenUsed/>
    <w:qFormat/>
    <w:uiPriority w:val="99"/>
    <w:pPr>
      <w:widowControl/>
      <w:spacing w:after="120" w:line="240" w:lineRule="auto"/>
      <w:ind w:firstLine="420" w:firstLineChars="100"/>
      <w:jc w:val="left"/>
    </w:pPr>
    <w:rPr>
      <w:color w:val="000000"/>
      <w:spacing w:val="12"/>
      <w:kern w:val="0"/>
      <w:sz w:val="28"/>
      <w:szCs w:val="20"/>
    </w:rPr>
  </w:style>
  <w:style w:type="paragraph" w:styleId="23">
    <w:name w:val="Body Text Indent"/>
    <w:basedOn w:val="1"/>
    <w:next w:val="1"/>
    <w:link w:val="84"/>
    <w:qFormat/>
    <w:uiPriority w:val="0"/>
    <w:pPr>
      <w:spacing w:after="120"/>
      <w:ind w:left="420" w:leftChars="200"/>
    </w:pPr>
  </w:style>
  <w:style w:type="paragraph" w:styleId="24">
    <w:name w:val="index 4"/>
    <w:basedOn w:val="1"/>
    <w:next w:val="1"/>
    <w:unhideWhenUsed/>
    <w:qFormat/>
    <w:uiPriority w:val="99"/>
    <w:pPr>
      <w:ind w:left="600" w:leftChars="600"/>
    </w:pPr>
    <w:rPr>
      <w:rFonts w:ascii="Verdana" w:hAnsi="Verdana"/>
      <w:szCs w:val="20"/>
    </w:rPr>
  </w:style>
  <w:style w:type="paragraph" w:styleId="25">
    <w:name w:val="toc 5"/>
    <w:basedOn w:val="1"/>
    <w:next w:val="1"/>
    <w:unhideWhenUsed/>
    <w:qFormat/>
    <w:uiPriority w:val="39"/>
    <w:pPr>
      <w:widowControl/>
      <w:ind w:left="1680" w:leftChars="800"/>
      <w:jc w:val="left"/>
    </w:pPr>
    <w:rPr>
      <w:rFonts w:ascii="宋体" w:hAnsi="宋体" w:cs="宋体"/>
      <w:kern w:val="0"/>
      <w:sz w:val="24"/>
    </w:rPr>
  </w:style>
  <w:style w:type="paragraph" w:styleId="26">
    <w:name w:val="toc 3"/>
    <w:basedOn w:val="1"/>
    <w:next w:val="1"/>
    <w:unhideWhenUsed/>
    <w:qFormat/>
    <w:uiPriority w:val="39"/>
    <w:pPr>
      <w:widowControl/>
      <w:spacing w:line="360" w:lineRule="auto"/>
      <w:ind w:firstLine="400" w:firstLineChars="400"/>
      <w:jc w:val="left"/>
    </w:pPr>
    <w:rPr>
      <w:rFonts w:cs="宋体"/>
      <w:kern w:val="0"/>
      <w:sz w:val="24"/>
    </w:rPr>
  </w:style>
  <w:style w:type="paragraph" w:styleId="27">
    <w:name w:val="Plain Text"/>
    <w:basedOn w:val="1"/>
    <w:next w:val="28"/>
    <w:link w:val="88"/>
    <w:qFormat/>
    <w:uiPriority w:val="0"/>
    <w:rPr>
      <w:rFonts w:ascii="宋体" w:hAnsi="Courier New" w:cstheme="minorBidi"/>
    </w:rPr>
  </w:style>
  <w:style w:type="paragraph" w:styleId="28">
    <w:name w:val="Date"/>
    <w:basedOn w:val="1"/>
    <w:next w:val="1"/>
    <w:link w:val="414"/>
    <w:qFormat/>
    <w:uiPriority w:val="99"/>
    <w:pPr>
      <w:ind w:left="2500" w:leftChars="2500"/>
    </w:pPr>
    <w:rPr>
      <w:rFonts w:eastAsia="楷体_GB2312" w:asciiTheme="minorHAnsi" w:hAnsiTheme="minorHAnsi" w:cstheme="minorBidi"/>
      <w:sz w:val="32"/>
      <w:szCs w:val="22"/>
    </w:rPr>
  </w:style>
  <w:style w:type="paragraph" w:styleId="29">
    <w:name w:val="toc 8"/>
    <w:basedOn w:val="1"/>
    <w:next w:val="1"/>
    <w:unhideWhenUsed/>
    <w:qFormat/>
    <w:uiPriority w:val="39"/>
    <w:pPr>
      <w:widowControl/>
      <w:ind w:left="2940" w:leftChars="1400"/>
      <w:jc w:val="left"/>
    </w:pPr>
    <w:rPr>
      <w:rFonts w:ascii="宋体" w:hAnsi="宋体" w:cs="宋体"/>
      <w:kern w:val="0"/>
      <w:sz w:val="24"/>
    </w:rPr>
  </w:style>
  <w:style w:type="paragraph" w:styleId="30">
    <w:name w:val="Body Text Indent 2"/>
    <w:basedOn w:val="1"/>
    <w:link w:val="108"/>
    <w:unhideWhenUsed/>
    <w:qFormat/>
    <w:uiPriority w:val="99"/>
    <w:pPr>
      <w:widowControl/>
      <w:spacing w:after="120" w:line="480" w:lineRule="auto"/>
      <w:ind w:left="420" w:leftChars="200"/>
      <w:jc w:val="left"/>
    </w:pPr>
    <w:rPr>
      <w:rFonts w:ascii="宋体" w:hAnsi="宋体" w:cs="宋体"/>
      <w:kern w:val="0"/>
      <w:sz w:val="24"/>
    </w:rPr>
  </w:style>
  <w:style w:type="paragraph" w:styleId="31">
    <w:name w:val="Balloon Text"/>
    <w:basedOn w:val="1"/>
    <w:link w:val="83"/>
    <w:qFormat/>
    <w:uiPriority w:val="99"/>
    <w:rPr>
      <w:sz w:val="18"/>
      <w:szCs w:val="18"/>
    </w:rPr>
  </w:style>
  <w:style w:type="paragraph" w:styleId="32">
    <w:name w:val="footer"/>
    <w:basedOn w:val="1"/>
    <w:link w:val="109"/>
    <w:qFormat/>
    <w:uiPriority w:val="99"/>
    <w:pPr>
      <w:tabs>
        <w:tab w:val="center" w:pos="4153"/>
        <w:tab w:val="right" w:pos="8306"/>
      </w:tabs>
      <w:snapToGrid w:val="0"/>
      <w:jc w:val="left"/>
    </w:pPr>
    <w:rPr>
      <w:sz w:val="18"/>
    </w:rPr>
  </w:style>
  <w:style w:type="paragraph" w:styleId="33">
    <w:name w:val="header"/>
    <w:basedOn w:val="1"/>
    <w:link w:val="1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4">
    <w:name w:val="toc 1"/>
    <w:basedOn w:val="1"/>
    <w:next w:val="1"/>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5">
    <w:name w:val="toc 4"/>
    <w:basedOn w:val="1"/>
    <w:next w:val="1"/>
    <w:unhideWhenUsed/>
    <w:qFormat/>
    <w:uiPriority w:val="39"/>
    <w:pPr>
      <w:widowControl/>
      <w:ind w:left="1260" w:leftChars="600"/>
      <w:jc w:val="left"/>
    </w:pPr>
    <w:rPr>
      <w:rFonts w:ascii="宋体" w:hAnsi="宋体" w:cs="宋体"/>
      <w:kern w:val="0"/>
      <w:sz w:val="24"/>
    </w:rPr>
  </w:style>
  <w:style w:type="paragraph" w:styleId="36">
    <w:name w:val="List"/>
    <w:basedOn w:val="1"/>
    <w:qFormat/>
    <w:uiPriority w:val="0"/>
    <w:pPr>
      <w:ind w:left="200" w:hanging="200" w:hangingChars="200"/>
    </w:pPr>
  </w:style>
  <w:style w:type="paragraph" w:styleId="37">
    <w:name w:val="footnote text"/>
    <w:basedOn w:val="1"/>
    <w:link w:val="111"/>
    <w:unhideWhenUsed/>
    <w:qFormat/>
    <w:uiPriority w:val="99"/>
    <w:pPr>
      <w:widowControl/>
      <w:snapToGrid w:val="0"/>
      <w:jc w:val="left"/>
    </w:pPr>
    <w:rPr>
      <w:rFonts w:ascii="宋体" w:hAnsi="宋体" w:cs="宋体"/>
      <w:kern w:val="0"/>
      <w:sz w:val="18"/>
      <w:szCs w:val="18"/>
    </w:rPr>
  </w:style>
  <w:style w:type="paragraph" w:styleId="38">
    <w:name w:val="toc 6"/>
    <w:basedOn w:val="1"/>
    <w:next w:val="1"/>
    <w:unhideWhenUsed/>
    <w:qFormat/>
    <w:uiPriority w:val="39"/>
    <w:pPr>
      <w:widowControl/>
      <w:ind w:left="2100" w:leftChars="1000"/>
      <w:jc w:val="left"/>
    </w:pPr>
    <w:rPr>
      <w:rFonts w:ascii="宋体" w:hAnsi="宋体" w:cs="宋体"/>
      <w:kern w:val="0"/>
      <w:sz w:val="24"/>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41">
    <w:name w:val="toc 9"/>
    <w:basedOn w:val="1"/>
    <w:next w:val="1"/>
    <w:unhideWhenUsed/>
    <w:qFormat/>
    <w:uiPriority w:val="39"/>
    <w:pPr>
      <w:widowControl/>
      <w:ind w:left="3360" w:leftChars="1600"/>
      <w:jc w:val="left"/>
    </w:pPr>
    <w:rPr>
      <w:rFonts w:ascii="宋体" w:hAnsi="宋体" w:cs="宋体"/>
      <w:kern w:val="0"/>
      <w:sz w:val="24"/>
    </w:rPr>
  </w:style>
  <w:style w:type="paragraph" w:styleId="42">
    <w:name w:val="Body Text 2"/>
    <w:basedOn w:val="1"/>
    <w:semiHidden/>
    <w:unhideWhenUsed/>
    <w:qFormat/>
    <w:uiPriority w:val="99"/>
    <w:pPr>
      <w:spacing w:after="120" w:line="480" w:lineRule="auto"/>
    </w:pPr>
  </w:style>
  <w:style w:type="paragraph" w:styleId="43">
    <w:name w:val="HTML Preformatted"/>
    <w:basedOn w:val="1"/>
    <w:link w:val="41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5">
    <w:name w:val="Title"/>
    <w:basedOn w:val="1"/>
    <w:next w:val="1"/>
    <w:link w:val="417"/>
    <w:qFormat/>
    <w:uiPriority w:val="0"/>
    <w:pPr>
      <w:spacing w:before="240" w:after="60" w:line="360" w:lineRule="auto"/>
      <w:jc w:val="center"/>
      <w:outlineLvl w:val="0"/>
    </w:pPr>
    <w:rPr>
      <w:rFonts w:ascii="Arial" w:hAnsi="Arial"/>
      <w:b/>
      <w:bCs/>
      <w:kern w:val="36"/>
      <w:sz w:val="32"/>
      <w:szCs w:val="32"/>
    </w:rPr>
  </w:style>
  <w:style w:type="paragraph" w:styleId="46">
    <w:name w:val="annotation subject"/>
    <w:basedOn w:val="19"/>
    <w:next w:val="19"/>
    <w:link w:val="82"/>
    <w:qFormat/>
    <w:uiPriority w:val="99"/>
    <w:rPr>
      <w:b/>
      <w:bCs/>
    </w:rPr>
  </w:style>
  <w:style w:type="paragraph" w:styleId="47">
    <w:name w:val="Body Text First Indent 2"/>
    <w:basedOn w:val="23"/>
    <w:next w:val="1"/>
    <w:link w:val="114"/>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rPr>
  </w:style>
  <w:style w:type="character" w:styleId="52">
    <w:name w:val="page number"/>
    <w:basedOn w:val="50"/>
    <w:unhideWhenUsed/>
    <w:qFormat/>
    <w:uiPriority w:val="99"/>
  </w:style>
  <w:style w:type="character" w:styleId="53">
    <w:name w:val="FollowedHyperlink"/>
    <w:basedOn w:val="50"/>
    <w:unhideWhenUsed/>
    <w:qFormat/>
    <w:uiPriority w:val="99"/>
    <w:rPr>
      <w:color w:val="800080"/>
      <w:u w:val="single"/>
    </w:rPr>
  </w:style>
  <w:style w:type="character" w:styleId="54">
    <w:name w:val="Emphasis"/>
    <w:basedOn w:val="50"/>
    <w:qFormat/>
    <w:uiPriority w:val="20"/>
    <w:rPr>
      <w:i/>
      <w:iCs/>
    </w:rPr>
  </w:style>
  <w:style w:type="character" w:styleId="55">
    <w:name w:val="Hyperlink"/>
    <w:basedOn w:val="50"/>
    <w:qFormat/>
    <w:uiPriority w:val="99"/>
    <w:rPr>
      <w:color w:val="0000FF"/>
      <w:u w:val="single"/>
    </w:rPr>
  </w:style>
  <w:style w:type="character" w:styleId="56">
    <w:name w:val="annotation reference"/>
    <w:basedOn w:val="50"/>
    <w:qFormat/>
    <w:uiPriority w:val="0"/>
    <w:rPr>
      <w:sz w:val="21"/>
      <w:szCs w:val="21"/>
    </w:rPr>
  </w:style>
  <w:style w:type="character" w:styleId="57">
    <w:name w:val="footnote reference"/>
    <w:basedOn w:val="50"/>
    <w:unhideWhenUsed/>
    <w:qFormat/>
    <w:uiPriority w:val="99"/>
    <w:rPr>
      <w:vertAlign w:val="superscript"/>
    </w:rPr>
  </w:style>
  <w:style w:type="paragraph" w:customStyle="1" w:styleId="5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59">
    <w:name w:val="正文文本首行缩进 21"/>
    <w:basedOn w:val="23"/>
    <w:qFormat/>
    <w:uiPriority w:val="99"/>
    <w:pPr>
      <w:spacing w:line="200" w:lineRule="atLeast"/>
      <w:ind w:firstLine="420"/>
    </w:pPr>
    <w:rPr>
      <w:rFonts w:ascii="宋体" w:hAnsi="Courier New"/>
      <w:spacing w:val="-4"/>
      <w:sz w:val="18"/>
    </w:rPr>
  </w:style>
  <w:style w:type="paragraph" w:customStyle="1" w:styleId="60">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61">
    <w:name w:val="表格文字"/>
    <w:basedOn w:val="27"/>
    <w:next w:val="21"/>
    <w:qFormat/>
    <w:uiPriority w:val="0"/>
    <w:rPr>
      <w:sz w:val="24"/>
    </w:rPr>
  </w:style>
  <w:style w:type="paragraph" w:customStyle="1" w:styleId="6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Normal]"/>
    <w:qFormat/>
    <w:uiPriority w:val="0"/>
    <w:rPr>
      <w:rFonts w:ascii="宋体" w:hAnsi="宋体" w:eastAsia="宋体" w:cs="Times New Roman"/>
      <w:sz w:val="24"/>
      <w:szCs w:val="22"/>
      <w:lang w:val="zh-CN" w:eastAsia="zh-CN" w:bidi="ar-SA"/>
    </w:rPr>
  </w:style>
  <w:style w:type="paragraph" w:customStyle="1" w:styleId="64">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6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6">
    <w:name w:val="List Paragraph"/>
    <w:basedOn w:val="1"/>
    <w:link w:val="402"/>
    <w:qFormat/>
    <w:uiPriority w:val="34"/>
    <w:pPr>
      <w:ind w:firstLine="420" w:firstLineChars="200"/>
    </w:pPr>
    <w:rPr>
      <w:rFonts w:ascii="Calibri" w:hAnsi="Calibri"/>
      <w:szCs w:val="22"/>
    </w:rPr>
  </w:style>
  <w:style w:type="paragraph" w:customStyle="1" w:styleId="67">
    <w:name w:val="列出段落1"/>
    <w:basedOn w:val="1"/>
    <w:qFormat/>
    <w:uiPriority w:val="34"/>
    <w:pPr>
      <w:ind w:firstLine="420" w:firstLineChars="200"/>
    </w:pPr>
    <w:rPr>
      <w:rFonts w:ascii="Calibri" w:hAnsi="Calibri"/>
      <w:kern w:val="0"/>
      <w:szCs w:val="20"/>
    </w:rPr>
  </w:style>
  <w:style w:type="paragraph" w:customStyle="1" w:styleId="6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14"/>
    <w:qFormat/>
    <w:uiPriority w:val="0"/>
    <w:rPr>
      <w:rFonts w:ascii="Times New Roman" w:hAnsi="Times New Roman" w:eastAsia="宋体" w:cs="Times New Roman"/>
      <w:sz w:val="21"/>
      <w:szCs w:val="22"/>
      <w:lang w:val="en-US" w:eastAsia="zh-CN" w:bidi="ar-SA"/>
    </w:rPr>
  </w:style>
  <w:style w:type="paragraph" w:customStyle="1" w:styleId="7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纯文本_3"/>
    <w:basedOn w:val="74"/>
    <w:qFormat/>
    <w:uiPriority w:val="0"/>
    <w:pPr>
      <w:widowControl/>
      <w:jc w:val="left"/>
    </w:pPr>
    <w:rPr>
      <w:rFonts w:ascii="宋体" w:hAnsi="Courier New" w:eastAsiaTheme="minorEastAsia" w:cstheme="minorBidi"/>
      <w:szCs w:val="21"/>
    </w:rPr>
  </w:style>
  <w:style w:type="paragraph" w:customStyle="1" w:styleId="76">
    <w:name w:val="纯文本_0_1"/>
    <w:basedOn w:val="1"/>
    <w:qFormat/>
    <w:uiPriority w:val="0"/>
    <w:pPr>
      <w:widowControl/>
      <w:jc w:val="left"/>
    </w:pPr>
    <w:rPr>
      <w:rFonts w:ascii="宋体" w:hAnsi="Courier New" w:eastAsiaTheme="minorEastAsia" w:cstheme="minorBidi"/>
      <w:szCs w:val="21"/>
    </w:rPr>
  </w:style>
  <w:style w:type="paragraph" w:customStyle="1" w:styleId="7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批注文字 字符"/>
    <w:basedOn w:val="50"/>
    <w:link w:val="19"/>
    <w:qFormat/>
    <w:uiPriority w:val="0"/>
    <w:rPr>
      <w:rFonts w:ascii="Times New Roman" w:hAnsi="Times New Roman" w:eastAsia="宋体" w:cs="Times New Roman"/>
      <w:kern w:val="2"/>
      <w:sz w:val="21"/>
      <w:szCs w:val="24"/>
    </w:rPr>
  </w:style>
  <w:style w:type="character" w:customStyle="1" w:styleId="82">
    <w:name w:val="批注主题 字符"/>
    <w:basedOn w:val="81"/>
    <w:link w:val="46"/>
    <w:qFormat/>
    <w:uiPriority w:val="99"/>
    <w:rPr>
      <w:rFonts w:ascii="Times New Roman" w:hAnsi="Times New Roman" w:eastAsia="宋体" w:cs="Times New Roman"/>
      <w:b/>
      <w:bCs/>
      <w:kern w:val="2"/>
      <w:sz w:val="21"/>
      <w:szCs w:val="24"/>
    </w:rPr>
  </w:style>
  <w:style w:type="character" w:customStyle="1" w:styleId="83">
    <w:name w:val="批注框文本 字符"/>
    <w:basedOn w:val="50"/>
    <w:link w:val="31"/>
    <w:qFormat/>
    <w:uiPriority w:val="99"/>
    <w:rPr>
      <w:rFonts w:ascii="Times New Roman" w:hAnsi="Times New Roman" w:eastAsia="宋体" w:cs="Times New Roman"/>
      <w:kern w:val="2"/>
      <w:sz w:val="18"/>
      <w:szCs w:val="18"/>
    </w:rPr>
  </w:style>
  <w:style w:type="character" w:customStyle="1" w:styleId="84">
    <w:name w:val="正文文本缩进 字符"/>
    <w:basedOn w:val="50"/>
    <w:link w:val="23"/>
    <w:qFormat/>
    <w:uiPriority w:val="0"/>
    <w:rPr>
      <w:kern w:val="2"/>
      <w:sz w:val="21"/>
      <w:szCs w:val="24"/>
    </w:rPr>
  </w:style>
  <w:style w:type="paragraph" w:customStyle="1" w:styleId="8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_Style 2"/>
    <w:basedOn w:val="1"/>
    <w:qFormat/>
    <w:uiPriority w:val="99"/>
    <w:pPr>
      <w:adjustRightInd w:val="0"/>
      <w:snapToGrid w:val="0"/>
    </w:pPr>
    <w:rPr>
      <w:rFonts w:ascii="Tahoma" w:hAnsi="Tahoma" w:eastAsia="微软雅黑" w:cs="Tahoma"/>
      <w:sz w:val="22"/>
      <w:szCs w:val="22"/>
    </w:rPr>
  </w:style>
  <w:style w:type="paragraph" w:customStyle="1" w:styleId="87">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8">
    <w:name w:val="纯文本 字符"/>
    <w:basedOn w:val="50"/>
    <w:link w:val="27"/>
    <w:qFormat/>
    <w:uiPriority w:val="0"/>
    <w:rPr>
      <w:rFonts w:ascii="宋体" w:hAnsi="Courier New" w:cstheme="minorBidi"/>
      <w:kern w:val="2"/>
      <w:sz w:val="21"/>
      <w:szCs w:val="24"/>
    </w:rPr>
  </w:style>
  <w:style w:type="paragraph" w:customStyle="1" w:styleId="89">
    <w:name w:val="*正文"/>
    <w:link w:val="90"/>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90">
    <w:name w:val="*正文 Char"/>
    <w:link w:val="89"/>
    <w:qFormat/>
    <w:uiPriority w:val="0"/>
    <w:rPr>
      <w:color w:val="000000"/>
      <w:sz w:val="24"/>
    </w:rPr>
  </w:style>
  <w:style w:type="paragraph" w:customStyle="1" w:styleId="91">
    <w:name w:val="正文（深信服）"/>
    <w:link w:val="92"/>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92">
    <w:name w:val="正文（深信服） 字符"/>
    <w:link w:val="91"/>
    <w:qFormat/>
    <w:uiPriority w:val="0"/>
    <w:rPr>
      <w:sz w:val="24"/>
      <w:szCs w:val="21"/>
    </w:rPr>
  </w:style>
  <w:style w:type="paragraph" w:customStyle="1" w:styleId="93">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4">
    <w:name w:val="SANGFOR_2_标题2"/>
    <w:basedOn w:val="4"/>
    <w:next w:val="1"/>
    <w:qFormat/>
    <w:uiPriority w:val="0"/>
    <w:pPr>
      <w:numPr>
        <w:ilvl w:val="1"/>
        <w:numId w:val="3"/>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95">
    <w:name w:val="SANGFOR_3_标题3"/>
    <w:basedOn w:val="5"/>
    <w:next w:val="1"/>
    <w:qFormat/>
    <w:uiPriority w:val="0"/>
    <w:pPr>
      <w:numPr>
        <w:ilvl w:val="2"/>
        <w:numId w:val="3"/>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6">
    <w:name w:val="SANGFOR_4_标题4"/>
    <w:basedOn w:val="6"/>
    <w:next w:val="1"/>
    <w:qFormat/>
    <w:uiPriority w:val="0"/>
    <w:pPr>
      <w:numPr>
        <w:ilvl w:val="3"/>
        <w:numId w:val="3"/>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7">
    <w:name w:val="标题 2 字符"/>
    <w:basedOn w:val="50"/>
    <w:link w:val="4"/>
    <w:qFormat/>
    <w:uiPriority w:val="9"/>
    <w:rPr>
      <w:rFonts w:asciiTheme="majorHAnsi" w:hAnsiTheme="majorHAnsi" w:eastAsiaTheme="majorEastAsia" w:cstheme="majorBidi"/>
      <w:b/>
      <w:bCs/>
      <w:kern w:val="2"/>
      <w:sz w:val="32"/>
      <w:szCs w:val="32"/>
    </w:rPr>
  </w:style>
  <w:style w:type="character" w:customStyle="1" w:styleId="98">
    <w:name w:val="标题 4 字符"/>
    <w:basedOn w:val="50"/>
    <w:link w:val="6"/>
    <w:qFormat/>
    <w:uiPriority w:val="9"/>
    <w:rPr>
      <w:rFonts w:asciiTheme="majorHAnsi" w:hAnsiTheme="majorHAnsi" w:eastAsiaTheme="majorEastAsia" w:cstheme="majorBidi"/>
      <w:b/>
      <w:bCs/>
      <w:kern w:val="2"/>
      <w:sz w:val="28"/>
      <w:szCs w:val="28"/>
    </w:rPr>
  </w:style>
  <w:style w:type="character" w:customStyle="1" w:styleId="99">
    <w:name w:val="标题 1 字符"/>
    <w:basedOn w:val="50"/>
    <w:link w:val="3"/>
    <w:qFormat/>
    <w:uiPriority w:val="99"/>
    <w:rPr>
      <w:rFonts w:ascii="宋体" w:hAnsi="宋体" w:cs="宋体"/>
      <w:b/>
      <w:bCs/>
      <w:kern w:val="44"/>
      <w:sz w:val="44"/>
      <w:szCs w:val="44"/>
    </w:rPr>
  </w:style>
  <w:style w:type="character" w:customStyle="1" w:styleId="100">
    <w:name w:val="标题 5 字符"/>
    <w:basedOn w:val="50"/>
    <w:link w:val="7"/>
    <w:qFormat/>
    <w:uiPriority w:val="9"/>
    <w:rPr>
      <w:rFonts w:ascii="宋体" w:hAnsi="宋体" w:cs="宋体"/>
      <w:b/>
      <w:bCs/>
      <w:sz w:val="28"/>
      <w:szCs w:val="28"/>
    </w:rPr>
  </w:style>
  <w:style w:type="character" w:customStyle="1" w:styleId="101">
    <w:name w:val="标题 6 字符"/>
    <w:basedOn w:val="50"/>
    <w:link w:val="8"/>
    <w:qFormat/>
    <w:uiPriority w:val="9"/>
    <w:rPr>
      <w:rFonts w:asciiTheme="majorHAnsi" w:hAnsiTheme="majorHAnsi" w:cstheme="majorBidi"/>
      <w:b/>
      <w:bCs/>
      <w:sz w:val="24"/>
      <w:szCs w:val="24"/>
    </w:rPr>
  </w:style>
  <w:style w:type="character" w:customStyle="1" w:styleId="102">
    <w:name w:val="标题 7 字符"/>
    <w:basedOn w:val="50"/>
    <w:link w:val="9"/>
    <w:qFormat/>
    <w:uiPriority w:val="9"/>
    <w:rPr>
      <w:rFonts w:ascii="宋体" w:hAnsi="宋体" w:cs="宋体"/>
      <w:b/>
      <w:bCs/>
      <w:sz w:val="24"/>
      <w:szCs w:val="24"/>
    </w:rPr>
  </w:style>
  <w:style w:type="character" w:customStyle="1" w:styleId="103">
    <w:name w:val="标题 8 字符"/>
    <w:basedOn w:val="50"/>
    <w:link w:val="10"/>
    <w:qFormat/>
    <w:uiPriority w:val="9"/>
    <w:rPr>
      <w:rFonts w:asciiTheme="majorHAnsi" w:hAnsiTheme="majorHAnsi" w:cstheme="majorBidi"/>
      <w:b/>
      <w:sz w:val="24"/>
      <w:szCs w:val="24"/>
    </w:rPr>
  </w:style>
  <w:style w:type="character" w:customStyle="1" w:styleId="104">
    <w:name w:val="标题 9 字符"/>
    <w:basedOn w:val="50"/>
    <w:link w:val="11"/>
    <w:qFormat/>
    <w:uiPriority w:val="9"/>
    <w:rPr>
      <w:rFonts w:asciiTheme="majorHAnsi" w:hAnsiTheme="majorHAnsi" w:cstheme="majorBidi"/>
      <w:b/>
      <w:sz w:val="24"/>
      <w:szCs w:val="21"/>
    </w:rPr>
  </w:style>
  <w:style w:type="character" w:customStyle="1" w:styleId="105">
    <w:name w:val="标题 3 字符"/>
    <w:basedOn w:val="50"/>
    <w:link w:val="5"/>
    <w:qFormat/>
    <w:uiPriority w:val="9"/>
    <w:rPr>
      <w:b/>
      <w:bCs/>
      <w:kern w:val="2"/>
      <w:sz w:val="32"/>
      <w:szCs w:val="32"/>
    </w:rPr>
  </w:style>
  <w:style w:type="character" w:customStyle="1" w:styleId="106">
    <w:name w:val="文档结构图 字符"/>
    <w:basedOn w:val="50"/>
    <w:link w:val="17"/>
    <w:qFormat/>
    <w:uiPriority w:val="99"/>
    <w:rPr>
      <w:rFonts w:ascii="宋体" w:hAnsi="宋体" w:cs="宋体"/>
      <w:sz w:val="18"/>
      <w:szCs w:val="18"/>
    </w:rPr>
  </w:style>
  <w:style w:type="character" w:customStyle="1" w:styleId="107">
    <w:name w:val="正文文本 Char"/>
    <w:basedOn w:val="50"/>
    <w:qFormat/>
    <w:uiPriority w:val="99"/>
    <w:rPr>
      <w:rFonts w:ascii="宋体" w:hAnsi="宋体" w:eastAsia="宋体" w:cs="宋体"/>
      <w:kern w:val="0"/>
      <w:sz w:val="24"/>
    </w:rPr>
  </w:style>
  <w:style w:type="character" w:customStyle="1" w:styleId="108">
    <w:name w:val="正文文本缩进 2 字符"/>
    <w:basedOn w:val="50"/>
    <w:link w:val="30"/>
    <w:qFormat/>
    <w:uiPriority w:val="99"/>
    <w:rPr>
      <w:rFonts w:ascii="宋体" w:hAnsi="宋体" w:cs="宋体"/>
      <w:sz w:val="24"/>
      <w:szCs w:val="24"/>
    </w:rPr>
  </w:style>
  <w:style w:type="character" w:customStyle="1" w:styleId="109">
    <w:name w:val="页脚 字符"/>
    <w:basedOn w:val="50"/>
    <w:link w:val="32"/>
    <w:qFormat/>
    <w:uiPriority w:val="99"/>
    <w:rPr>
      <w:kern w:val="2"/>
      <w:sz w:val="18"/>
      <w:szCs w:val="24"/>
    </w:rPr>
  </w:style>
  <w:style w:type="character" w:customStyle="1" w:styleId="110">
    <w:name w:val="页眉 字符"/>
    <w:basedOn w:val="50"/>
    <w:link w:val="33"/>
    <w:qFormat/>
    <w:uiPriority w:val="99"/>
    <w:rPr>
      <w:kern w:val="2"/>
      <w:sz w:val="18"/>
      <w:szCs w:val="24"/>
    </w:rPr>
  </w:style>
  <w:style w:type="character" w:customStyle="1" w:styleId="111">
    <w:name w:val="脚注文本 字符"/>
    <w:basedOn w:val="50"/>
    <w:link w:val="37"/>
    <w:qFormat/>
    <w:uiPriority w:val="99"/>
    <w:rPr>
      <w:rFonts w:ascii="宋体" w:hAnsi="宋体" w:cs="宋体"/>
      <w:sz w:val="18"/>
      <w:szCs w:val="18"/>
    </w:rPr>
  </w:style>
  <w:style w:type="character" w:customStyle="1" w:styleId="112">
    <w:name w:val="正文文本 字符"/>
    <w:basedOn w:val="50"/>
    <w:link w:val="21"/>
    <w:qFormat/>
    <w:uiPriority w:val="99"/>
    <w:rPr>
      <w:kern w:val="2"/>
      <w:sz w:val="24"/>
      <w:szCs w:val="24"/>
    </w:rPr>
  </w:style>
  <w:style w:type="character" w:customStyle="1" w:styleId="113">
    <w:name w:val="正文文本首行缩进 字符"/>
    <w:basedOn w:val="112"/>
    <w:link w:val="22"/>
    <w:qFormat/>
    <w:uiPriority w:val="99"/>
    <w:rPr>
      <w:color w:val="000000"/>
      <w:spacing w:val="12"/>
      <w:kern w:val="2"/>
      <w:sz w:val="28"/>
      <w:szCs w:val="24"/>
    </w:rPr>
  </w:style>
  <w:style w:type="character" w:customStyle="1" w:styleId="114">
    <w:name w:val="正文文本首行缩进 2 字符"/>
    <w:basedOn w:val="84"/>
    <w:link w:val="47"/>
    <w:qFormat/>
    <w:uiPriority w:val="0"/>
    <w:rPr>
      <w:rFonts w:ascii="宋体" w:hAnsi="宋体" w:cs="宋体"/>
      <w:kern w:val="28"/>
      <w:sz w:val="24"/>
      <w:szCs w:val="24"/>
      <w:lang w:val="zh-CN"/>
    </w:rPr>
  </w:style>
  <w:style w:type="paragraph" w:styleId="115">
    <w:name w:val="No Spacing"/>
    <w:link w:val="116"/>
    <w:qFormat/>
    <w:uiPriority w:val="1"/>
    <w:rPr>
      <w:rFonts w:asciiTheme="minorHAnsi" w:hAnsiTheme="minorHAnsi" w:eastAsiaTheme="minorEastAsia" w:cstheme="minorBidi"/>
      <w:sz w:val="22"/>
      <w:szCs w:val="22"/>
      <w:lang w:val="en-US" w:eastAsia="zh-CN" w:bidi="ar-SA"/>
    </w:rPr>
  </w:style>
  <w:style w:type="character" w:customStyle="1" w:styleId="116">
    <w:name w:val="无间隔 字符"/>
    <w:basedOn w:val="50"/>
    <w:link w:val="115"/>
    <w:qFormat/>
    <w:uiPriority w:val="1"/>
    <w:rPr>
      <w:rFonts w:asciiTheme="minorHAnsi" w:hAnsiTheme="minorHAnsi" w:eastAsiaTheme="minorEastAsia" w:cstheme="minorBidi"/>
      <w:sz w:val="22"/>
      <w:szCs w:val="22"/>
    </w:rPr>
  </w:style>
  <w:style w:type="character" w:customStyle="1" w:styleId="117">
    <w:name w:val="font31"/>
    <w:basedOn w:val="50"/>
    <w:qFormat/>
    <w:uiPriority w:val="0"/>
    <w:rPr>
      <w:rFonts w:hint="eastAsia" w:ascii="宋体" w:hAnsi="宋体" w:eastAsia="宋体" w:cs="宋体"/>
      <w:color w:val="FF0000"/>
      <w:kern w:val="0"/>
      <w:sz w:val="21"/>
      <w:szCs w:val="21"/>
      <w:u w:val="none"/>
      <w:lang w:eastAsia="en-US"/>
    </w:rPr>
  </w:style>
  <w:style w:type="character" w:customStyle="1" w:styleId="118">
    <w:name w:val="font11"/>
    <w:basedOn w:val="50"/>
    <w:qFormat/>
    <w:uiPriority w:val="0"/>
    <w:rPr>
      <w:rFonts w:hint="eastAsia" w:ascii="微软雅黑" w:hAnsi="微软雅黑" w:eastAsia="微软雅黑" w:cs="微软雅黑"/>
      <w:color w:val="000000"/>
      <w:kern w:val="0"/>
      <w:sz w:val="20"/>
      <w:szCs w:val="20"/>
      <w:u w:val="single"/>
      <w:lang w:eastAsia="en-US"/>
    </w:rPr>
  </w:style>
  <w:style w:type="character" w:customStyle="1" w:styleId="119">
    <w:name w:val="font21"/>
    <w:basedOn w:val="50"/>
    <w:qFormat/>
    <w:uiPriority w:val="0"/>
    <w:rPr>
      <w:rFonts w:hint="eastAsia" w:ascii="宋体" w:hAnsi="宋体" w:eastAsia="宋体" w:cs="宋体"/>
      <w:color w:val="000000"/>
      <w:kern w:val="0"/>
      <w:sz w:val="22"/>
      <w:szCs w:val="22"/>
      <w:u w:val="none"/>
      <w:lang w:eastAsia="en-US"/>
    </w:rPr>
  </w:style>
  <w:style w:type="character" w:customStyle="1" w:styleId="120">
    <w:name w:val="font61"/>
    <w:basedOn w:val="50"/>
    <w:qFormat/>
    <w:uiPriority w:val="0"/>
    <w:rPr>
      <w:rFonts w:hint="eastAsia" w:ascii="仿宋" w:hAnsi="仿宋" w:eastAsia="仿宋" w:cs="仿宋"/>
      <w:color w:val="000000"/>
      <w:kern w:val="0"/>
      <w:sz w:val="20"/>
      <w:szCs w:val="20"/>
      <w:u w:val="none"/>
      <w:lang w:eastAsia="en-US"/>
    </w:rPr>
  </w:style>
  <w:style w:type="character" w:customStyle="1" w:styleId="121">
    <w:name w:val="font41"/>
    <w:basedOn w:val="50"/>
    <w:qFormat/>
    <w:uiPriority w:val="0"/>
    <w:rPr>
      <w:rFonts w:hint="eastAsia" w:ascii="微软雅黑" w:hAnsi="微软雅黑" w:eastAsia="微软雅黑" w:cs="微软雅黑"/>
      <w:color w:val="000000"/>
      <w:kern w:val="0"/>
      <w:sz w:val="24"/>
      <w:szCs w:val="24"/>
      <w:u w:val="single"/>
      <w:lang w:eastAsia="en-US"/>
    </w:rPr>
  </w:style>
  <w:style w:type="paragraph" w:customStyle="1" w:styleId="122">
    <w:name w:val="正文 样式"/>
    <w:basedOn w:val="1"/>
    <w:link w:val="123"/>
    <w:qFormat/>
    <w:uiPriority w:val="0"/>
    <w:pPr>
      <w:widowControl/>
      <w:spacing w:before="260" w:line="360" w:lineRule="auto"/>
      <w:ind w:firstLine="480" w:firstLineChars="200"/>
      <w:jc w:val="left"/>
    </w:pPr>
    <w:rPr>
      <w:rFonts w:ascii="宋体" w:hAnsi="宋体" w:cs="宋体"/>
      <w:kern w:val="0"/>
      <w:sz w:val="24"/>
    </w:rPr>
  </w:style>
  <w:style w:type="character" w:customStyle="1" w:styleId="123">
    <w:name w:val="正文 样式 Char"/>
    <w:link w:val="122"/>
    <w:qFormat/>
    <w:locked/>
    <w:uiPriority w:val="0"/>
    <w:rPr>
      <w:rFonts w:ascii="宋体" w:hAnsi="宋体" w:cs="宋体"/>
      <w:sz w:val="24"/>
      <w:szCs w:val="24"/>
    </w:rPr>
  </w:style>
  <w:style w:type="paragraph" w:customStyle="1" w:styleId="124">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25">
    <w:name w:val="apple-converted-space"/>
    <w:basedOn w:val="50"/>
    <w:qFormat/>
    <w:uiPriority w:val="0"/>
  </w:style>
  <w:style w:type="paragraph" w:customStyle="1" w:styleId="126">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7">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8">
    <w:name w:val="15"/>
    <w:basedOn w:val="50"/>
    <w:qFormat/>
    <w:uiPriority w:val="0"/>
    <w:rPr>
      <w:rFonts w:hint="eastAsia" w:ascii="宋体" w:hAnsi="宋体" w:eastAsia="宋体" w:cs="Times New Roman"/>
      <w:b/>
      <w:bCs/>
      <w:sz w:val="32"/>
      <w:szCs w:val="32"/>
    </w:rPr>
  </w:style>
  <w:style w:type="paragraph" w:customStyle="1" w:styleId="129">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30">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31">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32">
    <w:name w:val="表格表头"/>
    <w:basedOn w:val="1"/>
    <w:qFormat/>
    <w:uiPriority w:val="0"/>
    <w:pPr>
      <w:widowControl/>
      <w:spacing w:beforeLines="50" w:afterLines="50" w:line="360" w:lineRule="auto"/>
      <w:jc w:val="center"/>
    </w:pPr>
    <w:rPr>
      <w:b/>
      <w:kern w:val="0"/>
      <w:sz w:val="24"/>
      <w:szCs w:val="21"/>
    </w:rPr>
  </w:style>
  <w:style w:type="paragraph" w:customStyle="1" w:styleId="133">
    <w:name w:val="表格正文"/>
    <w:basedOn w:val="1"/>
    <w:link w:val="134"/>
    <w:qFormat/>
    <w:uiPriority w:val="0"/>
    <w:pPr>
      <w:widowControl/>
      <w:spacing w:line="360" w:lineRule="auto"/>
      <w:jc w:val="left"/>
    </w:pPr>
    <w:rPr>
      <w:kern w:val="0"/>
      <w:sz w:val="24"/>
      <w:lang w:val="zh-CN"/>
    </w:rPr>
  </w:style>
  <w:style w:type="character" w:customStyle="1" w:styleId="134">
    <w:name w:val="表格正文 Char"/>
    <w:link w:val="133"/>
    <w:qFormat/>
    <w:uiPriority w:val="0"/>
    <w:rPr>
      <w:sz w:val="24"/>
      <w:szCs w:val="24"/>
      <w:lang w:val="zh-CN"/>
    </w:rPr>
  </w:style>
  <w:style w:type="paragraph" w:customStyle="1" w:styleId="135">
    <w:name w:val="TOC 标题1"/>
    <w:basedOn w:val="3"/>
    <w:next w:val="1"/>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6">
    <w:name w:val="表格文字（居左）"/>
    <w:basedOn w:val="137"/>
    <w:qFormat/>
    <w:uiPriority w:val="0"/>
    <w:pPr>
      <w:jc w:val="left"/>
    </w:pPr>
  </w:style>
  <w:style w:type="paragraph" w:customStyle="1" w:styleId="137">
    <w:name w:val="表格文字（居中）"/>
    <w:basedOn w:val="1"/>
    <w:qFormat/>
    <w:uiPriority w:val="0"/>
    <w:pPr>
      <w:widowControl/>
      <w:jc w:val="center"/>
    </w:pPr>
    <w:rPr>
      <w:kern w:val="0"/>
      <w:sz w:val="24"/>
    </w:rPr>
  </w:style>
  <w:style w:type="paragraph" w:customStyle="1" w:styleId="138">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1">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3">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4">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5">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6">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8">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9">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0">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3">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5">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8">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9">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6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9">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9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2">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3">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4">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5">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19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7">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9">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7">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0">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1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2">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3">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4">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5">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6">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7">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8">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9">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20">
    <w:name w:val="font23"/>
    <w:basedOn w:val="1"/>
    <w:qFormat/>
    <w:uiPriority w:val="0"/>
    <w:pPr>
      <w:widowControl/>
      <w:spacing w:before="100" w:beforeAutospacing="1" w:after="100" w:afterAutospacing="1"/>
      <w:jc w:val="left"/>
    </w:pPr>
    <w:rPr>
      <w:kern w:val="0"/>
      <w:sz w:val="18"/>
      <w:szCs w:val="18"/>
    </w:rPr>
  </w:style>
  <w:style w:type="paragraph" w:customStyle="1" w:styleId="221">
    <w:name w:val="font24"/>
    <w:basedOn w:val="1"/>
    <w:qFormat/>
    <w:uiPriority w:val="0"/>
    <w:pPr>
      <w:widowControl/>
      <w:spacing w:before="100" w:beforeAutospacing="1" w:after="100" w:afterAutospacing="1"/>
      <w:jc w:val="left"/>
    </w:pPr>
    <w:rPr>
      <w:kern w:val="0"/>
      <w:sz w:val="18"/>
      <w:szCs w:val="18"/>
    </w:rPr>
  </w:style>
  <w:style w:type="paragraph" w:customStyle="1" w:styleId="222">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23">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4">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7">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0">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61">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62">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5">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7">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8">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9">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1">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7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73">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4">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5">
    <w:name w:val="TOC 标题2"/>
    <w:basedOn w:val="3"/>
    <w:next w:val="1"/>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6">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7">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8">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9">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80">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1">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82">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83">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4">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5">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6">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7">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8">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2">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9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4">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5">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6">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7">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8">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9">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0">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0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30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3">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4">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5">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6">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7">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8">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9">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10">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1">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2">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6">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7">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8">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9">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0">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1">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2">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3">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5">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7">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8">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0">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31">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2">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33">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4">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5">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6">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0">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5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5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8">
    <w:name w:val="font01"/>
    <w:basedOn w:val="50"/>
    <w:qFormat/>
    <w:uiPriority w:val="0"/>
    <w:rPr>
      <w:rFonts w:hint="eastAsia" w:ascii="宋体" w:hAnsi="宋体" w:eastAsia="宋体" w:cs="宋体"/>
      <w:color w:val="000000"/>
      <w:sz w:val="20"/>
      <w:szCs w:val="20"/>
      <w:u w:val="none"/>
    </w:rPr>
  </w:style>
  <w:style w:type="character" w:customStyle="1" w:styleId="359">
    <w:name w:val="font191"/>
    <w:basedOn w:val="50"/>
    <w:qFormat/>
    <w:uiPriority w:val="0"/>
    <w:rPr>
      <w:rFonts w:hint="eastAsia" w:ascii="宋体" w:hAnsi="宋体" w:eastAsia="宋体" w:cs="宋体"/>
      <w:b/>
      <w:color w:val="000000"/>
      <w:sz w:val="20"/>
      <w:szCs w:val="20"/>
      <w:u w:val="none"/>
    </w:rPr>
  </w:style>
  <w:style w:type="character" w:customStyle="1" w:styleId="360">
    <w:name w:val="font161"/>
    <w:basedOn w:val="50"/>
    <w:qFormat/>
    <w:uiPriority w:val="0"/>
    <w:rPr>
      <w:rFonts w:hint="default" w:ascii="Arial" w:hAnsi="Arial" w:cs="Arial"/>
      <w:b/>
      <w:color w:val="000000"/>
      <w:sz w:val="20"/>
      <w:szCs w:val="20"/>
      <w:u w:val="none"/>
    </w:rPr>
  </w:style>
  <w:style w:type="character" w:customStyle="1" w:styleId="361">
    <w:name w:val="font181"/>
    <w:basedOn w:val="50"/>
    <w:qFormat/>
    <w:uiPriority w:val="0"/>
    <w:rPr>
      <w:rFonts w:hint="eastAsia" w:ascii="宋体" w:hAnsi="宋体" w:eastAsia="宋体" w:cs="宋体"/>
      <w:color w:val="000000"/>
      <w:sz w:val="20"/>
      <w:szCs w:val="20"/>
      <w:u w:val="none"/>
    </w:rPr>
  </w:style>
  <w:style w:type="character" w:customStyle="1" w:styleId="362">
    <w:name w:val="font171"/>
    <w:basedOn w:val="50"/>
    <w:qFormat/>
    <w:uiPriority w:val="0"/>
    <w:rPr>
      <w:rFonts w:hint="default" w:ascii="Arial" w:hAnsi="Arial" w:cs="Arial"/>
      <w:color w:val="000000"/>
      <w:sz w:val="20"/>
      <w:szCs w:val="20"/>
      <w:u w:val="none"/>
    </w:rPr>
  </w:style>
  <w:style w:type="character" w:customStyle="1" w:styleId="363">
    <w:name w:val="font112"/>
    <w:basedOn w:val="50"/>
    <w:qFormat/>
    <w:uiPriority w:val="0"/>
    <w:rPr>
      <w:rFonts w:hint="default" w:ascii="Arial" w:hAnsi="Arial" w:cs="Arial"/>
      <w:color w:val="000000"/>
      <w:sz w:val="16"/>
      <w:szCs w:val="16"/>
      <w:u w:val="none"/>
    </w:rPr>
  </w:style>
  <w:style w:type="character" w:customStyle="1" w:styleId="364">
    <w:name w:val="font101"/>
    <w:basedOn w:val="50"/>
    <w:qFormat/>
    <w:uiPriority w:val="0"/>
    <w:rPr>
      <w:rFonts w:hint="eastAsia" w:ascii="宋体" w:hAnsi="宋体" w:eastAsia="宋体" w:cs="宋体"/>
      <w:b/>
      <w:color w:val="000000"/>
      <w:sz w:val="20"/>
      <w:szCs w:val="20"/>
      <w:u w:val="none"/>
    </w:rPr>
  </w:style>
  <w:style w:type="character" w:customStyle="1" w:styleId="365">
    <w:name w:val="font91"/>
    <w:basedOn w:val="50"/>
    <w:qFormat/>
    <w:uiPriority w:val="0"/>
    <w:rPr>
      <w:rFonts w:ascii="Segoe UI Symbol" w:hAnsi="Segoe UI Symbol" w:eastAsia="Segoe UI Symbol" w:cs="Segoe UI Symbol"/>
      <w:color w:val="000000"/>
      <w:sz w:val="20"/>
      <w:szCs w:val="20"/>
      <w:u w:val="none"/>
    </w:rPr>
  </w:style>
  <w:style w:type="character" w:customStyle="1" w:styleId="366">
    <w:name w:val="font81"/>
    <w:basedOn w:val="50"/>
    <w:qFormat/>
    <w:uiPriority w:val="0"/>
    <w:rPr>
      <w:rFonts w:hint="default" w:ascii="Arial" w:hAnsi="Arial" w:cs="Arial"/>
      <w:color w:val="000000"/>
      <w:sz w:val="24"/>
      <w:szCs w:val="24"/>
      <w:u w:val="none"/>
      <w:vertAlign w:val="superscript"/>
    </w:rPr>
  </w:style>
  <w:style w:type="character" w:customStyle="1" w:styleId="367">
    <w:name w:val="font212"/>
    <w:basedOn w:val="50"/>
    <w:qFormat/>
    <w:uiPriority w:val="0"/>
    <w:rPr>
      <w:rFonts w:hint="default" w:ascii="Arial" w:hAnsi="Arial" w:cs="Arial"/>
      <w:color w:val="000000"/>
      <w:sz w:val="20"/>
      <w:szCs w:val="20"/>
      <w:u w:val="none"/>
    </w:rPr>
  </w:style>
  <w:style w:type="character" w:customStyle="1" w:styleId="368">
    <w:name w:val="font131"/>
    <w:basedOn w:val="50"/>
    <w:qFormat/>
    <w:uiPriority w:val="0"/>
    <w:rPr>
      <w:rFonts w:hint="eastAsia" w:ascii="宋体" w:hAnsi="宋体" w:eastAsia="宋体" w:cs="宋体"/>
      <w:color w:val="000000"/>
      <w:sz w:val="20"/>
      <w:szCs w:val="20"/>
      <w:u w:val="none"/>
    </w:rPr>
  </w:style>
  <w:style w:type="character" w:customStyle="1" w:styleId="369">
    <w:name w:val="font241"/>
    <w:basedOn w:val="50"/>
    <w:qFormat/>
    <w:uiPriority w:val="0"/>
    <w:rPr>
      <w:rFonts w:hint="eastAsia" w:ascii="宋体" w:hAnsi="宋体" w:eastAsia="宋体" w:cs="宋体"/>
      <w:color w:val="000000"/>
      <w:sz w:val="20"/>
      <w:szCs w:val="20"/>
      <w:u w:val="none"/>
    </w:rPr>
  </w:style>
  <w:style w:type="character" w:customStyle="1" w:styleId="370">
    <w:name w:val="font231"/>
    <w:basedOn w:val="50"/>
    <w:qFormat/>
    <w:uiPriority w:val="0"/>
    <w:rPr>
      <w:rFonts w:hint="default" w:ascii="Arial" w:hAnsi="Arial" w:cs="Arial"/>
      <w:color w:val="000000"/>
      <w:sz w:val="20"/>
      <w:szCs w:val="20"/>
      <w:u w:val="none"/>
    </w:rPr>
  </w:style>
  <w:style w:type="character" w:customStyle="1" w:styleId="371">
    <w:name w:val="font71"/>
    <w:basedOn w:val="50"/>
    <w:qFormat/>
    <w:uiPriority w:val="0"/>
    <w:rPr>
      <w:rFonts w:ascii="微软雅黑" w:hAnsi="微软雅黑" w:eastAsia="微软雅黑" w:cs="微软雅黑"/>
      <w:color w:val="000000"/>
      <w:sz w:val="20"/>
      <w:szCs w:val="20"/>
      <w:u w:val="none"/>
    </w:rPr>
  </w:style>
  <w:style w:type="character" w:customStyle="1" w:styleId="372">
    <w:name w:val="font51"/>
    <w:basedOn w:val="50"/>
    <w:qFormat/>
    <w:uiPriority w:val="0"/>
    <w:rPr>
      <w:rFonts w:hint="eastAsia" w:ascii="宋体" w:hAnsi="宋体" w:eastAsia="宋体" w:cs="宋体"/>
      <w:color w:val="000000"/>
      <w:sz w:val="20"/>
      <w:szCs w:val="20"/>
      <w:u w:val="none"/>
    </w:rPr>
  </w:style>
  <w:style w:type="character" w:customStyle="1" w:styleId="373">
    <w:name w:val="font121"/>
    <w:basedOn w:val="50"/>
    <w:qFormat/>
    <w:uiPriority w:val="0"/>
    <w:rPr>
      <w:rFonts w:hint="default" w:ascii="Arial" w:hAnsi="Arial" w:cs="Arial"/>
      <w:color w:val="000000"/>
      <w:sz w:val="20"/>
      <w:szCs w:val="20"/>
      <w:u w:val="none"/>
    </w:rPr>
  </w:style>
  <w:style w:type="character" w:customStyle="1" w:styleId="374">
    <w:name w:val="font132"/>
    <w:basedOn w:val="50"/>
    <w:qFormat/>
    <w:uiPriority w:val="0"/>
    <w:rPr>
      <w:rFonts w:hint="eastAsia" w:ascii="宋体" w:hAnsi="宋体" w:eastAsia="宋体" w:cs="宋体"/>
      <w:color w:val="000000"/>
      <w:sz w:val="20"/>
      <w:szCs w:val="20"/>
      <w:u w:val="none"/>
    </w:rPr>
  </w:style>
  <w:style w:type="character" w:customStyle="1" w:styleId="375">
    <w:name w:val="font111"/>
    <w:basedOn w:val="50"/>
    <w:qFormat/>
    <w:uiPriority w:val="0"/>
    <w:rPr>
      <w:rFonts w:hint="default" w:ascii="Arial" w:hAnsi="Arial" w:cs="Arial"/>
      <w:color w:val="000000"/>
      <w:sz w:val="20"/>
      <w:szCs w:val="20"/>
      <w:u w:val="none"/>
    </w:rPr>
  </w:style>
  <w:style w:type="character" w:customStyle="1" w:styleId="376">
    <w:name w:val="font122"/>
    <w:basedOn w:val="50"/>
    <w:qFormat/>
    <w:uiPriority w:val="0"/>
    <w:rPr>
      <w:rFonts w:hint="eastAsia" w:ascii="宋体" w:hAnsi="宋体" w:eastAsia="宋体" w:cs="宋体"/>
      <w:color w:val="000000"/>
      <w:sz w:val="20"/>
      <w:szCs w:val="20"/>
      <w:u w:val="none"/>
    </w:rPr>
  </w:style>
  <w:style w:type="character" w:customStyle="1" w:styleId="377">
    <w:name w:val="font222"/>
    <w:basedOn w:val="50"/>
    <w:qFormat/>
    <w:uiPriority w:val="0"/>
    <w:rPr>
      <w:rFonts w:hint="eastAsia" w:ascii="宋体" w:hAnsi="宋体" w:eastAsia="宋体" w:cs="宋体"/>
      <w:b/>
      <w:color w:val="000000"/>
      <w:sz w:val="20"/>
      <w:szCs w:val="20"/>
      <w:u w:val="none"/>
    </w:rPr>
  </w:style>
  <w:style w:type="character" w:customStyle="1" w:styleId="378">
    <w:name w:val="font211"/>
    <w:basedOn w:val="50"/>
    <w:qFormat/>
    <w:uiPriority w:val="0"/>
    <w:rPr>
      <w:rFonts w:hint="default" w:ascii="Arial" w:hAnsi="Arial" w:cs="Arial"/>
      <w:color w:val="000000"/>
      <w:sz w:val="20"/>
      <w:szCs w:val="20"/>
      <w:u w:val="none"/>
    </w:rPr>
  </w:style>
  <w:style w:type="character" w:customStyle="1" w:styleId="379">
    <w:name w:val="font201"/>
    <w:basedOn w:val="50"/>
    <w:qFormat/>
    <w:uiPriority w:val="0"/>
    <w:rPr>
      <w:rFonts w:hint="default" w:ascii="Arial" w:hAnsi="Arial" w:cs="Arial"/>
      <w:color w:val="000000"/>
      <w:sz w:val="20"/>
      <w:szCs w:val="20"/>
      <w:u w:val="none"/>
    </w:rPr>
  </w:style>
  <w:style w:type="character" w:customStyle="1" w:styleId="380">
    <w:name w:val="font151"/>
    <w:basedOn w:val="50"/>
    <w:qFormat/>
    <w:uiPriority w:val="0"/>
    <w:rPr>
      <w:rFonts w:hint="eastAsia" w:ascii="宋体" w:hAnsi="宋体" w:eastAsia="宋体" w:cs="宋体"/>
      <w:color w:val="000000"/>
      <w:sz w:val="16"/>
      <w:szCs w:val="16"/>
      <w:u w:val="none"/>
    </w:rPr>
  </w:style>
  <w:style w:type="character" w:customStyle="1" w:styleId="381">
    <w:name w:val="font141"/>
    <w:basedOn w:val="50"/>
    <w:qFormat/>
    <w:uiPriority w:val="0"/>
    <w:rPr>
      <w:rFonts w:hint="eastAsia" w:ascii="宋体" w:hAnsi="宋体" w:eastAsia="宋体" w:cs="宋体"/>
      <w:b/>
      <w:color w:val="000000"/>
      <w:sz w:val="20"/>
      <w:szCs w:val="20"/>
      <w:u w:val="none"/>
    </w:rPr>
  </w:style>
  <w:style w:type="paragraph" w:customStyle="1" w:styleId="38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4">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5">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86">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387">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8">
    <w:name w:val="列表段落1"/>
    <w:basedOn w:val="1"/>
    <w:qFormat/>
    <w:uiPriority w:val="34"/>
    <w:pPr>
      <w:widowControl/>
      <w:ind w:firstLine="420" w:firstLineChars="200"/>
      <w:jc w:val="left"/>
    </w:pPr>
    <w:rPr>
      <w:rFonts w:ascii="宋体" w:hAnsi="宋体" w:cs="宋体"/>
      <w:kern w:val="0"/>
      <w:sz w:val="24"/>
    </w:rPr>
  </w:style>
  <w:style w:type="paragraph" w:customStyle="1" w:styleId="38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0">
    <w:name w:val="样式2 Char Char"/>
    <w:link w:val="391"/>
    <w:qFormat/>
    <w:uiPriority w:val="0"/>
    <w:rPr>
      <w:rFonts w:ascii="Calibri" w:hAnsi="Calibri" w:eastAsia="微软雅黑"/>
      <w:b/>
      <w:color w:val="FF6600"/>
      <w:sz w:val="24"/>
    </w:rPr>
  </w:style>
  <w:style w:type="paragraph" w:customStyle="1" w:styleId="391">
    <w:name w:val="样式2"/>
    <w:basedOn w:val="1"/>
    <w:link w:val="390"/>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92">
    <w:name w:val="样式4"/>
    <w:basedOn w:val="1"/>
    <w:qFormat/>
    <w:uiPriority w:val="0"/>
    <w:pPr>
      <w:numPr>
        <w:ilvl w:val="0"/>
        <w:numId w:val="4"/>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93">
    <w:name w:val="样式3"/>
    <w:basedOn w:val="1"/>
    <w:qFormat/>
    <w:uiPriority w:val="0"/>
    <w:pPr>
      <w:numPr>
        <w:ilvl w:val="0"/>
        <w:numId w:val="5"/>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94">
    <w:name w:val="3zw1"/>
    <w:qFormat/>
    <w:uiPriority w:val="0"/>
    <w:rPr>
      <w:rFonts w:ascii="Times New Roman"/>
    </w:rPr>
  </w:style>
  <w:style w:type="paragraph" w:customStyle="1" w:styleId="39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6">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97">
    <w:name w:val="正文首行缩进1"/>
    <w:basedOn w:val="21"/>
    <w:qFormat/>
    <w:uiPriority w:val="0"/>
    <w:pPr>
      <w:widowControl/>
      <w:spacing w:line="360" w:lineRule="auto"/>
      <w:ind w:firstLine="200" w:firstLineChars="200"/>
      <w:jc w:val="left"/>
    </w:pPr>
    <w:rPr>
      <w:rFonts w:eastAsia="仿宋_GB2312"/>
      <w:kern w:val="0"/>
      <w:sz w:val="28"/>
    </w:rPr>
  </w:style>
  <w:style w:type="paragraph" w:customStyle="1" w:styleId="398">
    <w:name w:val="4级标题"/>
    <w:basedOn w:val="67"/>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9">
    <w:name w:val="3级标题"/>
    <w:basedOn w:val="67"/>
    <w:link w:val="401"/>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400">
    <w:name w:val="样式 首行缩进:  0 字符"/>
    <w:basedOn w:val="1"/>
    <w:link w:val="403"/>
    <w:qFormat/>
    <w:uiPriority w:val="0"/>
    <w:pPr>
      <w:widowControl/>
      <w:spacing w:line="360" w:lineRule="auto"/>
      <w:ind w:firstLine="200" w:firstLineChars="200"/>
      <w:jc w:val="left"/>
    </w:pPr>
    <w:rPr>
      <w:rFonts w:cs="宋体"/>
      <w:kern w:val="0"/>
      <w:sz w:val="24"/>
      <w:szCs w:val="20"/>
    </w:rPr>
  </w:style>
  <w:style w:type="character" w:customStyle="1" w:styleId="401">
    <w:name w:val="3级标题 Char"/>
    <w:link w:val="399"/>
    <w:qFormat/>
    <w:uiPriority w:val="0"/>
    <w:rPr>
      <w:rFonts w:ascii="黑体" w:hAnsi="黑体" w:eastAsia="黑体"/>
      <w:sz w:val="28"/>
      <w:szCs w:val="36"/>
      <w:lang w:eastAsia="en-US" w:bidi="en-US"/>
    </w:rPr>
  </w:style>
  <w:style w:type="character" w:customStyle="1" w:styleId="402">
    <w:name w:val="列表段落 字符"/>
    <w:link w:val="66"/>
    <w:qFormat/>
    <w:locked/>
    <w:uiPriority w:val="34"/>
    <w:rPr>
      <w:rFonts w:ascii="Calibri" w:hAnsi="Calibri"/>
      <w:kern w:val="2"/>
      <w:sz w:val="21"/>
      <w:szCs w:val="22"/>
    </w:rPr>
  </w:style>
  <w:style w:type="character" w:customStyle="1" w:styleId="403">
    <w:name w:val="样式 首行缩进:  0 字符 Char"/>
    <w:link w:val="400"/>
    <w:qFormat/>
    <w:locked/>
    <w:uiPriority w:val="0"/>
    <w:rPr>
      <w:rFonts w:cs="宋体"/>
      <w:sz w:val="24"/>
    </w:rPr>
  </w:style>
  <w:style w:type="paragraph" w:customStyle="1" w:styleId="40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5">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6">
    <w:name w:val="列表段落11"/>
    <w:basedOn w:val="1"/>
    <w:qFormat/>
    <w:uiPriority w:val="34"/>
    <w:pPr>
      <w:ind w:firstLine="420" w:firstLineChars="200"/>
    </w:pPr>
    <w:rPr>
      <w:rFonts w:ascii="Calibri" w:hAnsi="Calibri"/>
      <w:szCs w:val="22"/>
    </w:rPr>
  </w:style>
  <w:style w:type="paragraph" w:customStyle="1" w:styleId="407">
    <w:name w:val="0表格样式"/>
    <w:qFormat/>
    <w:uiPriority w:val="0"/>
    <w:rPr>
      <w:rFonts w:ascii="Calibri" w:hAnsi="Calibri" w:eastAsia="仿宋" w:cs="仿宋_GB2312"/>
      <w:kern w:val="2"/>
      <w:sz w:val="21"/>
      <w:szCs w:val="28"/>
      <w:lang w:val="en-US" w:eastAsia="zh-CN" w:bidi="ar-SA"/>
    </w:rPr>
  </w:style>
  <w:style w:type="paragraph" w:customStyle="1" w:styleId="408">
    <w:name w:val="修订3"/>
    <w:hidden/>
    <w:semiHidden/>
    <w:qFormat/>
    <w:uiPriority w:val="99"/>
    <w:rPr>
      <w:rFonts w:ascii="宋体" w:hAnsi="宋体" w:eastAsia="宋体" w:cs="宋体"/>
      <w:sz w:val="24"/>
      <w:szCs w:val="24"/>
      <w:lang w:val="en-US" w:eastAsia="zh-CN" w:bidi="ar-SA"/>
    </w:rPr>
  </w:style>
  <w:style w:type="character" w:customStyle="1" w:styleId="409">
    <w:name w:val="方案正文 Char"/>
    <w:link w:val="410"/>
    <w:qFormat/>
    <w:locked/>
    <w:uiPriority w:val="0"/>
    <w:rPr>
      <w:rFonts w:ascii="宋体" w:hAnsi="宋体" w:eastAsia="微软雅黑" w:cs="宋体"/>
      <w:color w:val="000000"/>
      <w:sz w:val="24"/>
    </w:rPr>
  </w:style>
  <w:style w:type="paragraph" w:customStyle="1" w:styleId="410">
    <w:name w:val="方案正文"/>
    <w:basedOn w:val="1"/>
    <w:link w:val="409"/>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11">
    <w:name w:val="技术文档正文"/>
    <w:basedOn w:val="1"/>
    <w:qFormat/>
    <w:uiPriority w:val="0"/>
    <w:pPr>
      <w:spacing w:line="360" w:lineRule="auto"/>
      <w:ind w:firstLine="200" w:firstLineChars="200"/>
    </w:pPr>
    <w:rPr>
      <w:rFonts w:cstheme="minorBidi"/>
      <w:sz w:val="24"/>
      <w:szCs w:val="21"/>
    </w:rPr>
  </w:style>
  <w:style w:type="character" w:customStyle="1" w:styleId="412">
    <w:name w:val="题注 字符"/>
    <w:link w:val="16"/>
    <w:qFormat/>
    <w:uiPriority w:val="35"/>
    <w:rPr>
      <w:rFonts w:ascii="Arial Unicode MS" w:hAnsi="Arial Unicode MS" w:cs="宋体"/>
      <w:sz w:val="24"/>
    </w:rPr>
  </w:style>
  <w:style w:type="character" w:customStyle="1" w:styleId="413">
    <w:name w:val="未处理的提及1"/>
    <w:basedOn w:val="50"/>
    <w:semiHidden/>
    <w:unhideWhenUsed/>
    <w:qFormat/>
    <w:uiPriority w:val="99"/>
    <w:rPr>
      <w:color w:val="605E5C"/>
      <w:shd w:val="clear" w:color="auto" w:fill="E1DFDD"/>
    </w:rPr>
  </w:style>
  <w:style w:type="character" w:customStyle="1" w:styleId="414">
    <w:name w:val="日期 字符"/>
    <w:basedOn w:val="50"/>
    <w:link w:val="28"/>
    <w:qFormat/>
    <w:uiPriority w:val="99"/>
    <w:rPr>
      <w:rFonts w:eastAsia="楷体_GB2312" w:asciiTheme="minorHAnsi" w:hAnsiTheme="minorHAnsi" w:cstheme="minorBidi"/>
      <w:kern w:val="2"/>
      <w:sz w:val="32"/>
      <w:szCs w:val="22"/>
    </w:rPr>
  </w:style>
  <w:style w:type="character" w:customStyle="1" w:styleId="415">
    <w:name w:val="param-explain"/>
    <w:basedOn w:val="50"/>
    <w:qFormat/>
    <w:uiPriority w:val="0"/>
  </w:style>
  <w:style w:type="character" w:customStyle="1" w:styleId="416">
    <w:name w:val="HTML 预设格式 字符"/>
    <w:basedOn w:val="50"/>
    <w:link w:val="43"/>
    <w:qFormat/>
    <w:uiPriority w:val="99"/>
    <w:rPr>
      <w:rFonts w:ascii="宋体" w:hAnsi="宋体" w:cs="宋体"/>
      <w:sz w:val="24"/>
      <w:szCs w:val="24"/>
    </w:rPr>
  </w:style>
  <w:style w:type="character" w:customStyle="1" w:styleId="417">
    <w:name w:val="标题 字符"/>
    <w:basedOn w:val="50"/>
    <w:link w:val="45"/>
    <w:qFormat/>
    <w:uiPriority w:val="0"/>
    <w:rPr>
      <w:rFonts w:ascii="Arial" w:hAnsi="Arial"/>
      <w:b/>
      <w:bCs/>
      <w:kern w:val="36"/>
      <w:sz w:val="32"/>
      <w:szCs w:val="32"/>
    </w:rPr>
  </w:style>
  <w:style w:type="paragraph" w:customStyle="1" w:styleId="418">
    <w:name w:val="Char1"/>
    <w:basedOn w:val="1"/>
    <w:qFormat/>
    <w:uiPriority w:val="0"/>
    <w:rPr>
      <w:rFonts w:ascii="Tahoma" w:hAnsi="Tahoma"/>
      <w:sz w:val="24"/>
      <w:szCs w:val="20"/>
    </w:rPr>
  </w:style>
  <w:style w:type="paragraph" w:customStyle="1" w:styleId="419">
    <w:name w:val="正文（首行缩进2字符）"/>
    <w:basedOn w:val="1"/>
    <w:qFormat/>
    <w:uiPriority w:val="0"/>
    <w:pPr>
      <w:ind w:firstLine="480" w:firstLineChars="200"/>
    </w:pPr>
    <w:rPr>
      <w:sz w:val="24"/>
      <w:szCs w:val="20"/>
    </w:rPr>
  </w:style>
  <w:style w:type="paragraph" w:customStyle="1" w:styleId="420">
    <w:name w:val="表格内文"/>
    <w:basedOn w:val="1"/>
    <w:qFormat/>
    <w:uiPriority w:val="99"/>
    <w:pPr>
      <w:spacing w:line="400" w:lineRule="exact"/>
    </w:pPr>
    <w:rPr>
      <w:rFonts w:ascii="Arial" w:hAnsi="Arial" w:cs="宋体"/>
      <w:szCs w:val="20"/>
    </w:rPr>
  </w:style>
  <w:style w:type="paragraph" w:customStyle="1" w:styleId="421">
    <w:name w:val="_Style 1"/>
    <w:qFormat/>
    <w:uiPriority w:val="99"/>
    <w:rPr>
      <w:rFonts w:ascii="Calibri" w:hAnsi="Calibri" w:eastAsia="宋体" w:cs="Times New Roman"/>
      <w:kern w:val="2"/>
      <w:sz w:val="28"/>
      <w:szCs w:val="22"/>
      <w:lang w:val="en-US" w:eastAsia="zh-CN" w:bidi="ar-SA"/>
    </w:rPr>
  </w:style>
  <w:style w:type="character" w:customStyle="1" w:styleId="422">
    <w:name w:val="NormalCharacter"/>
    <w:semiHidden/>
    <w:qFormat/>
    <w:uiPriority w:val="0"/>
  </w:style>
  <w:style w:type="paragraph" w:customStyle="1" w:styleId="423">
    <w:name w:val="_Style 116"/>
    <w:qFormat/>
    <w:uiPriority w:val="99"/>
    <w:rPr>
      <w:rFonts w:ascii="Times New Roman" w:hAnsi="Times New Roman" w:eastAsia="宋体" w:cs="Times New Roman"/>
      <w:sz w:val="24"/>
      <w:szCs w:val="22"/>
      <w:lang w:val="en-US" w:eastAsia="zh-CN" w:bidi="ar-SA"/>
    </w:rPr>
  </w:style>
  <w:style w:type="paragraph" w:customStyle="1" w:styleId="424">
    <w:name w:val="hea"/>
    <w:basedOn w:val="1"/>
    <w:next w:val="1"/>
    <w:qFormat/>
    <w:uiPriority w:val="0"/>
    <w:pPr>
      <w:keepNext/>
      <w:keepLines/>
      <w:numPr>
        <w:ilvl w:val="0"/>
        <w:numId w:val="7"/>
      </w:numPr>
      <w:spacing w:before="340" w:after="330" w:line="578" w:lineRule="auto"/>
      <w:outlineLvl w:val="0"/>
    </w:pPr>
    <w:rPr>
      <w:b/>
      <w:bCs/>
      <w:kern w:val="44"/>
      <w:sz w:val="44"/>
      <w:szCs w:val="44"/>
    </w:rPr>
  </w:style>
  <w:style w:type="paragraph" w:customStyle="1" w:styleId="425">
    <w:name w:val="￥正文"/>
    <w:basedOn w:val="1"/>
    <w:qFormat/>
    <w:uiPriority w:val="0"/>
    <w:pPr>
      <w:ind w:firstLine="200" w:firstLineChars="200"/>
    </w:pPr>
    <w:rPr>
      <w:rFonts w:ascii="Calibri" w:hAnsi="Calibri"/>
    </w:rPr>
  </w:style>
  <w:style w:type="paragraph" w:customStyle="1" w:styleId="426">
    <w:name w:val="正文空格"/>
    <w:basedOn w:val="1"/>
    <w:next w:val="1"/>
    <w:qFormat/>
    <w:uiPriority w:val="0"/>
    <w:pPr>
      <w:spacing w:line="400" w:lineRule="exact"/>
      <w:ind w:firstLine="200" w:firstLineChars="200"/>
    </w:pPr>
    <w:rPr>
      <w:sz w:val="24"/>
      <w:szCs w:val="22"/>
    </w:rPr>
  </w:style>
  <w:style w:type="paragraph" w:customStyle="1" w:styleId="427">
    <w:name w:val="纯文本11"/>
    <w:basedOn w:val="1"/>
    <w:qFormat/>
    <w:uiPriority w:val="0"/>
    <w:rPr>
      <w:rFonts w:ascii="宋体" w:hAnsi="Courier New"/>
    </w:rPr>
  </w:style>
  <w:style w:type="paragraph" w:customStyle="1" w:styleId="4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30">
    <w:name w:val="Body Text First Indent 21"/>
    <w:basedOn w:val="1"/>
    <w:qFormat/>
    <w:uiPriority w:val="0"/>
    <w:pPr>
      <w:autoSpaceDE w:val="0"/>
      <w:autoSpaceDN w:val="0"/>
      <w:adjustRightInd w:val="0"/>
      <w:spacing w:after="120"/>
      <w:ind w:left="200" w:leftChars="200" w:firstLine="420"/>
    </w:pPr>
    <w:rPr>
      <w:rFonts w:ascii="宋体" w:hAnsi="Calibri" w:cs="宋体"/>
      <w:sz w:val="24"/>
      <w:szCs w:val="21"/>
    </w:rPr>
  </w:style>
  <w:style w:type="paragraph" w:customStyle="1" w:styleId="431">
    <w:name w:val="纯文本1"/>
    <w:basedOn w:val="1"/>
    <w:qFormat/>
    <w:uiPriority w:val="0"/>
    <w:pPr>
      <w:adjustRightInd w:val="0"/>
      <w:textAlignment w:val="baseline"/>
    </w:pPr>
    <w:rPr>
      <w:rFonts w:ascii="宋体" w:hAnsi="Courier New" w:eastAsia="楷体_GB2312"/>
      <w:sz w:val="28"/>
      <w:szCs w:val="20"/>
    </w:rPr>
  </w:style>
  <w:style w:type="table" w:customStyle="1" w:styleId="432">
    <w:name w:val="Table Normal"/>
    <w:qFormat/>
    <w:uiPriority w:val="0"/>
    <w:rPr>
      <w:rFonts w:eastAsia="Arial Unicode M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72</Pages>
  <Words>6570</Words>
  <Characters>37454</Characters>
  <Lines>312</Lines>
  <Paragraphs>87</Paragraphs>
  <TotalTime>10</TotalTime>
  <ScaleCrop>false</ScaleCrop>
  <LinksUpToDate>false</LinksUpToDate>
  <CharactersWithSpaces>43937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2024-02-28T01:36:00Z</dcterms:created>
  <dc:creator>S-mile</dc:creator>
  <cp:lastModifiedBy>a</cp:lastModifiedBy>
  <cp:lastPrinted>2024-04-30T08:05:00Z</cp:lastPrinted>
  <dcterms:modified xsi:type="dcterms:W3CDTF">2024-04-30T14:26:22Z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DA6C6C82CA244E65BA0F400AC779477C_13</vt:lpwstr>
  </property>
</Properties>
</file>