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asciiTheme="majorEastAsia" w:hAnsiTheme="majorEastAsia" w:eastAsiaTheme="majorEastAsia"/>
          <w:b/>
          <w:kern w:val="0"/>
          <w:sz w:val="72"/>
          <w:szCs w:val="72"/>
        </w:rPr>
      </w:pPr>
    </w:p>
    <w:p>
      <w:pPr>
        <w:adjustRightInd w:val="0"/>
        <w:snapToGrid w:val="0"/>
        <w:spacing w:line="1200" w:lineRule="exact"/>
        <w:jc w:val="center"/>
        <w:rPr>
          <w:rFonts w:ascii="宋体" w:hAnsi="宋体" w:cs="宋体"/>
          <w:b/>
          <w:bCs/>
          <w:sz w:val="72"/>
        </w:rPr>
      </w:pPr>
      <w:r>
        <w:rPr>
          <w:rFonts w:hint="eastAsia" w:ascii="宋体" w:hAnsi="宋体" w:cs="宋体"/>
          <w:b/>
          <w:bCs/>
          <w:sz w:val="72"/>
        </w:rPr>
        <w:t>台州市政府采购</w:t>
      </w:r>
    </w:p>
    <w:p>
      <w:pPr>
        <w:adjustRightInd w:val="0"/>
        <w:snapToGrid w:val="0"/>
        <w:spacing w:line="1200" w:lineRule="exact"/>
        <w:jc w:val="center"/>
        <w:rPr>
          <w:rFonts w:ascii="宋体" w:hAnsi="宋体" w:cs="宋体"/>
          <w:b/>
          <w:bCs/>
          <w:sz w:val="84"/>
          <w:szCs w:val="84"/>
        </w:rPr>
      </w:pPr>
      <w:r>
        <w:rPr>
          <w:rFonts w:hint="eastAsia" w:ascii="宋体" w:hAnsi="宋体" w:cs="宋体"/>
          <w:b/>
          <w:bCs/>
          <w:sz w:val="84"/>
          <w:szCs w:val="84"/>
        </w:rPr>
        <w:t>招  标  文  件</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ascii="宋体"/>
          <w:b/>
          <w:bCs/>
          <w:kern w:val="0"/>
          <w:sz w:val="36"/>
          <w:szCs w:val="36"/>
        </w:rPr>
      </w:pPr>
      <w:r>
        <w:rPr>
          <w:rFonts w:hint="eastAsia" w:ascii="宋体"/>
          <w:b/>
          <w:bCs/>
          <w:kern w:val="0"/>
          <w:sz w:val="36"/>
          <w:szCs w:val="36"/>
        </w:rPr>
        <w:t xml:space="preserve">   （电子招投标方式）</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ascii="宋体" w:hAnsi="宋体" w:cs="宋体"/>
          <w:kern w:val="0"/>
          <w:sz w:val="28"/>
          <w:szCs w:val="28"/>
        </w:rPr>
      </w:pPr>
      <w:r>
        <w:rPr>
          <w:rFonts w:hint="eastAsia" w:ascii="宋体"/>
          <w:kern w:val="0"/>
          <w:sz w:val="28"/>
          <w:szCs w:val="28"/>
        </w:rPr>
        <w:t xml:space="preserve">   编号：</w:t>
      </w:r>
      <w:r>
        <w:rPr>
          <w:rFonts w:hint="eastAsia" w:ascii="宋体" w:hAnsi="宋体" w:cs="宋体"/>
          <w:color w:val="000000" w:themeColor="text1"/>
          <w:kern w:val="0"/>
          <w:sz w:val="28"/>
          <w:szCs w:val="28"/>
          <w:lang w:eastAsia="zh-CN"/>
          <w14:textFill>
            <w14:solidFill>
              <w14:schemeClr w14:val="tx1"/>
            </w14:solidFill>
          </w14:textFill>
        </w:rPr>
        <w:t>JC-GK2024-004</w:t>
      </w:r>
      <w:r>
        <w:rPr>
          <w:rFonts w:hint="eastAsia" w:ascii="宋体" w:hAnsi="宋体" w:cs="宋体"/>
          <w:color w:val="000000" w:themeColor="text1"/>
          <w:kern w:val="0"/>
          <w:sz w:val="28"/>
          <w:szCs w:val="28"/>
          <w14:textFill>
            <w14:solidFill>
              <w14:schemeClr w14:val="tx1"/>
            </w14:solidFill>
          </w14:textFill>
        </w:rPr>
        <w:t>号</w:t>
      </w:r>
      <w:r>
        <w:rPr>
          <w:rFonts w:hint="eastAsia" w:ascii="宋体" w:hAnsi="宋体" w:cs="宋体"/>
          <w:kern w:val="0"/>
          <w:sz w:val="28"/>
          <w:szCs w:val="28"/>
        </w:rPr>
        <w:t xml:space="preserve"> </w:t>
      </w:r>
    </w:p>
    <w:p>
      <w:pPr>
        <w:pStyle w:val="21"/>
        <w:jc w:val="center"/>
      </w:pPr>
    </w:p>
    <w:p>
      <w:pPr>
        <w:pStyle w:val="22"/>
        <w:ind w:firstLine="0" w:firstLineChars="0"/>
        <w:rPr>
          <w:color w:val="auto"/>
        </w:rPr>
      </w:pPr>
    </w:p>
    <w:p>
      <w:pPr>
        <w:pStyle w:val="21"/>
        <w:jc w:val="center"/>
      </w:pPr>
    </w:p>
    <w:p>
      <w:pPr>
        <w:spacing w:line="600" w:lineRule="auto"/>
        <w:ind w:left="1600" w:hanging="1600" w:hangingChars="500"/>
        <w:jc w:val="center"/>
        <w:rPr>
          <w:rFonts w:ascii="宋体" w:hAnsi="宋体" w:cs="宋体"/>
          <w:kern w:val="0"/>
          <w:sz w:val="32"/>
        </w:rPr>
      </w:pPr>
    </w:p>
    <w:p>
      <w:pPr>
        <w:spacing w:line="600" w:lineRule="auto"/>
        <w:ind w:left="1600" w:hanging="1600" w:hangingChars="500"/>
        <w:jc w:val="center"/>
        <w:rPr>
          <w:rFonts w:hint="eastAsia" w:eastAsia="宋体"/>
          <w:sz w:val="22"/>
          <w:szCs w:val="28"/>
          <w:lang w:eastAsia="zh-CN"/>
        </w:rPr>
      </w:pPr>
      <w:r>
        <w:rPr>
          <w:rFonts w:hint="eastAsia" w:ascii="宋体"/>
          <w:kern w:val="0"/>
          <w:sz w:val="32"/>
          <w:szCs w:val="32"/>
        </w:rPr>
        <w:t>采购项目：</w:t>
      </w:r>
      <w:r>
        <w:rPr>
          <w:rFonts w:hint="eastAsia" w:ascii="宋体"/>
          <w:kern w:val="0"/>
          <w:sz w:val="32"/>
          <w:szCs w:val="32"/>
          <w:u w:val="single"/>
          <w:lang w:eastAsia="zh-CN"/>
        </w:rPr>
        <w:t>台州市三梅中学网络及安全设备采购项目</w:t>
      </w:r>
    </w:p>
    <w:p>
      <w:pPr>
        <w:spacing w:line="600" w:lineRule="auto"/>
        <w:jc w:val="center"/>
        <w:rPr>
          <w:rFonts w:ascii="宋体"/>
          <w:kern w:val="0"/>
          <w:sz w:val="32"/>
          <w:szCs w:val="32"/>
          <w:u w:val="single"/>
        </w:rPr>
      </w:pPr>
      <w:r>
        <w:rPr>
          <w:rFonts w:hint="eastAsia" w:ascii="宋体"/>
          <w:kern w:val="0"/>
          <w:sz w:val="32"/>
          <w:szCs w:val="32"/>
        </w:rPr>
        <w:t>采 购 人：</w:t>
      </w:r>
      <w:r>
        <w:rPr>
          <w:rFonts w:hint="eastAsia" w:ascii="宋体"/>
          <w:kern w:val="0"/>
          <w:sz w:val="32"/>
          <w:szCs w:val="32"/>
          <w:u w:val="single"/>
        </w:rPr>
        <w:t xml:space="preserve"> 台州市三梅中学</w:t>
      </w:r>
    </w:p>
    <w:p>
      <w:pPr>
        <w:pStyle w:val="21"/>
      </w:pPr>
    </w:p>
    <w:p>
      <w:pPr>
        <w:spacing w:line="360" w:lineRule="auto"/>
        <w:jc w:val="center"/>
        <w:rPr>
          <w:rFonts w:ascii="宋体"/>
          <w:kern w:val="0"/>
          <w:sz w:val="28"/>
          <w:szCs w:val="28"/>
        </w:rPr>
      </w:pPr>
    </w:p>
    <w:p>
      <w:pPr>
        <w:pStyle w:val="21"/>
      </w:pPr>
    </w:p>
    <w:p>
      <w:pPr>
        <w:spacing w:line="360" w:lineRule="auto"/>
        <w:rPr>
          <w:rFonts w:ascii="宋体"/>
          <w:kern w:val="0"/>
          <w:sz w:val="28"/>
          <w:szCs w:val="28"/>
        </w:rPr>
      </w:pPr>
    </w:p>
    <w:p>
      <w:pPr>
        <w:pStyle w:val="21"/>
      </w:pPr>
    </w:p>
    <w:p>
      <w:pPr>
        <w:spacing w:line="360" w:lineRule="auto"/>
        <w:jc w:val="center"/>
        <w:rPr>
          <w:rFonts w:ascii="宋体"/>
          <w:kern w:val="0"/>
          <w:sz w:val="28"/>
          <w:szCs w:val="28"/>
        </w:rPr>
      </w:pPr>
      <w:r>
        <w:rPr>
          <w:rFonts w:hint="eastAsia" w:ascii="宋体"/>
          <w:kern w:val="0"/>
          <w:sz w:val="28"/>
          <w:szCs w:val="28"/>
        </w:rPr>
        <w:t>台州市玖诚工程管理有限公司</w:t>
      </w:r>
    </w:p>
    <w:p>
      <w:pPr>
        <w:pStyle w:val="21"/>
      </w:pPr>
    </w:p>
    <w:p>
      <w:pPr>
        <w:pStyle w:val="22"/>
        <w:ind w:firstLine="304"/>
        <w:jc w:val="center"/>
        <w:rPr>
          <w:color w:val="auto"/>
        </w:rPr>
      </w:pPr>
      <w:r>
        <w:rPr>
          <w:rFonts w:hint="eastAsia" w:ascii="宋体"/>
          <w:color w:val="auto"/>
          <w:szCs w:val="28"/>
        </w:rPr>
        <w:t>二0二四年</w:t>
      </w:r>
      <w:r>
        <w:rPr>
          <w:rFonts w:hint="eastAsia" w:ascii="宋体"/>
          <w:color w:val="auto"/>
          <w:szCs w:val="28"/>
          <w:lang w:val="en-US" w:eastAsia="zh-CN"/>
        </w:rPr>
        <w:t>四</w:t>
      </w:r>
      <w:r>
        <w:rPr>
          <w:rFonts w:hint="eastAsia" w:ascii="宋体"/>
          <w:color w:val="auto"/>
          <w:szCs w:val="28"/>
        </w:rPr>
        <w:t>月</w:t>
      </w:r>
    </w:p>
    <w:p>
      <w:pPr>
        <w:rPr>
          <w:rFonts w:ascii="宋体" w:hAnsi="宋体" w:cs="宋体"/>
          <w:b/>
          <w:bCs/>
          <w:sz w:val="36"/>
          <w:szCs w:val="36"/>
        </w:rPr>
      </w:pPr>
    </w:p>
    <w:p>
      <w:pPr>
        <w:jc w:val="center"/>
        <w:rPr>
          <w:rFonts w:ascii="宋体" w:hAnsi="宋体" w:cs="宋体"/>
          <w:b/>
          <w:bCs/>
          <w:sz w:val="36"/>
          <w:szCs w:val="36"/>
        </w:rPr>
      </w:pPr>
    </w:p>
    <w:p>
      <w:pPr>
        <w:jc w:val="center"/>
        <w:rPr>
          <w:rFonts w:ascii="宋体" w:hAnsi="宋体" w:cs="宋体"/>
          <w:b/>
          <w:bCs/>
          <w:sz w:val="36"/>
          <w:szCs w:val="36"/>
        </w:rPr>
      </w:pPr>
      <w:r>
        <w:rPr>
          <w:rFonts w:hint="eastAsia" w:ascii="宋体" w:hAnsi="宋体" w:cs="宋体"/>
          <w:b/>
          <w:bCs/>
          <w:sz w:val="36"/>
          <w:szCs w:val="36"/>
        </w:rPr>
        <w:t>目    录</w:t>
      </w:r>
    </w:p>
    <w:p>
      <w:pPr>
        <w:spacing w:line="360" w:lineRule="auto"/>
        <w:rPr>
          <w:rFonts w:ascii="宋体" w:hAnsi="宋体" w:cs="宋体"/>
          <w:sz w:val="28"/>
          <w:szCs w:val="28"/>
        </w:rPr>
      </w:pPr>
    </w:p>
    <w:p>
      <w:pPr>
        <w:numPr>
          <w:ilvl w:val="0"/>
          <w:numId w:val="8"/>
        </w:numPr>
        <w:spacing w:line="360" w:lineRule="auto"/>
        <w:rPr>
          <w:rFonts w:ascii="宋体" w:hAnsi="宋体" w:cs="宋体"/>
          <w:b/>
          <w:sz w:val="28"/>
          <w:szCs w:val="28"/>
        </w:rPr>
      </w:pPr>
      <w:r>
        <w:rPr>
          <w:rFonts w:hint="eastAsia" w:ascii="宋体" w:hAnsi="宋体" w:cs="宋体"/>
          <w:b/>
          <w:sz w:val="28"/>
          <w:szCs w:val="28"/>
        </w:rPr>
        <w:t>公开招标采购公告</w:t>
      </w:r>
    </w:p>
    <w:p>
      <w:pPr>
        <w:numPr>
          <w:ilvl w:val="0"/>
          <w:numId w:val="8"/>
        </w:numPr>
        <w:spacing w:line="360" w:lineRule="auto"/>
        <w:rPr>
          <w:rFonts w:ascii="宋体" w:hAnsi="宋体" w:cs="宋体"/>
          <w:b/>
          <w:sz w:val="28"/>
          <w:szCs w:val="28"/>
        </w:rPr>
      </w:pPr>
      <w:r>
        <w:rPr>
          <w:rFonts w:hint="eastAsia" w:ascii="宋体" w:hAnsi="宋体" w:cs="宋体"/>
          <w:b/>
          <w:sz w:val="28"/>
          <w:szCs w:val="28"/>
        </w:rPr>
        <w:t>投标人须知</w:t>
      </w:r>
    </w:p>
    <w:p>
      <w:pPr>
        <w:numPr>
          <w:ilvl w:val="0"/>
          <w:numId w:val="8"/>
        </w:numPr>
        <w:spacing w:line="360" w:lineRule="auto"/>
        <w:rPr>
          <w:rFonts w:ascii="宋体" w:hAnsi="宋体" w:cs="宋体"/>
          <w:b/>
          <w:sz w:val="28"/>
          <w:szCs w:val="28"/>
        </w:rPr>
      </w:pPr>
      <w:r>
        <w:rPr>
          <w:rFonts w:hint="eastAsia" w:ascii="宋体" w:hAnsi="宋体" w:cs="宋体"/>
          <w:b/>
          <w:sz w:val="28"/>
          <w:szCs w:val="28"/>
        </w:rPr>
        <w:t>评标办法及评分标准</w:t>
      </w:r>
    </w:p>
    <w:p>
      <w:pPr>
        <w:numPr>
          <w:ilvl w:val="0"/>
          <w:numId w:val="8"/>
        </w:numPr>
        <w:spacing w:line="360" w:lineRule="auto"/>
        <w:rPr>
          <w:rFonts w:ascii="宋体" w:hAnsi="宋体" w:cs="宋体"/>
          <w:b/>
          <w:sz w:val="28"/>
          <w:szCs w:val="28"/>
        </w:rPr>
      </w:pPr>
      <w:r>
        <w:rPr>
          <w:rFonts w:hint="eastAsia" w:ascii="宋体" w:hAnsi="宋体" w:cs="宋体"/>
          <w:b/>
          <w:sz w:val="28"/>
          <w:szCs w:val="28"/>
        </w:rPr>
        <w:t>公开招标需求</w:t>
      </w:r>
    </w:p>
    <w:p>
      <w:pPr>
        <w:numPr>
          <w:ilvl w:val="0"/>
          <w:numId w:val="8"/>
        </w:numPr>
        <w:spacing w:line="360" w:lineRule="auto"/>
        <w:rPr>
          <w:rFonts w:ascii="宋体" w:hAnsi="宋体" w:cs="宋体"/>
          <w:b/>
          <w:sz w:val="28"/>
          <w:szCs w:val="28"/>
        </w:rPr>
      </w:pPr>
      <w:r>
        <w:rPr>
          <w:rFonts w:hint="eastAsia" w:ascii="宋体" w:hAnsi="宋体" w:cs="宋体"/>
          <w:b/>
          <w:sz w:val="28"/>
          <w:szCs w:val="28"/>
        </w:rPr>
        <w:t>政府采购合同主要条款指引</w:t>
      </w:r>
    </w:p>
    <w:p>
      <w:pPr>
        <w:numPr>
          <w:ilvl w:val="0"/>
          <w:numId w:val="8"/>
        </w:numPr>
        <w:spacing w:line="360" w:lineRule="auto"/>
        <w:rPr>
          <w:rFonts w:ascii="宋体" w:hAnsi="宋体" w:cs="宋体"/>
          <w:b/>
          <w:sz w:val="28"/>
          <w:szCs w:val="28"/>
        </w:rPr>
      </w:pPr>
      <w:r>
        <w:rPr>
          <w:rFonts w:hint="eastAsia" w:ascii="宋体" w:hAnsi="宋体" w:cs="宋体"/>
          <w:b/>
          <w:sz w:val="28"/>
          <w:szCs w:val="28"/>
        </w:rPr>
        <w:t>电子投标文件格式附件</w:t>
      </w: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pStyle w:val="45"/>
      </w:pPr>
    </w:p>
    <w:p/>
    <w:p>
      <w:pPr>
        <w:pStyle w:val="15"/>
      </w:pPr>
    </w:p>
    <w:p/>
    <w:p>
      <w:pPr>
        <w:rPr>
          <w:rFonts w:ascii="宋体" w:hAnsi="宋体" w:cs="宋体"/>
          <w:b/>
          <w:sz w:val="36"/>
          <w:szCs w:val="36"/>
        </w:rPr>
      </w:pPr>
      <w:r>
        <w:rPr>
          <w:rFonts w:hint="eastAsia" w:ascii="宋体" w:hAnsi="宋体" w:cs="宋体"/>
          <w:b/>
          <w:kern w:val="0"/>
          <w:sz w:val="36"/>
          <w:szCs w:val="36"/>
        </w:rPr>
        <w:br w:type="page"/>
      </w:r>
    </w:p>
    <w:p>
      <w:pPr>
        <w:numPr>
          <w:ilvl w:val="0"/>
          <w:numId w:val="9"/>
        </w:numPr>
        <w:jc w:val="center"/>
        <w:rPr>
          <w:rFonts w:ascii="宋体" w:hAnsi="宋体" w:cs="宋体"/>
          <w:b/>
          <w:sz w:val="36"/>
          <w:szCs w:val="36"/>
        </w:rPr>
      </w:pPr>
      <w:r>
        <w:rPr>
          <w:rFonts w:hint="eastAsia" w:ascii="宋体" w:hAnsi="宋体" w:cs="宋体"/>
          <w:b/>
          <w:kern w:val="0"/>
          <w:sz w:val="36"/>
          <w:szCs w:val="36"/>
        </w:rPr>
        <w:t xml:space="preserve"> 公开</w:t>
      </w:r>
      <w:r>
        <w:rPr>
          <w:rFonts w:hint="eastAsia" w:ascii="宋体" w:hAnsi="宋体" w:cs="宋体"/>
          <w:b/>
          <w:sz w:val="36"/>
          <w:szCs w:val="36"/>
        </w:rPr>
        <w:t>招标采购公告</w:t>
      </w:r>
    </w:p>
    <w:p>
      <w:pPr>
        <w:pStyle w:val="62"/>
      </w:pPr>
    </w:p>
    <w:p>
      <w:pPr>
        <w:spacing w:line="360" w:lineRule="auto"/>
        <w:ind w:firstLine="480" w:firstLineChars="200"/>
        <w:rPr>
          <w:rFonts w:ascii="宋体" w:hAnsi="宋体" w:cs="宋体"/>
          <w:sz w:val="24"/>
        </w:rPr>
      </w:pPr>
      <w:r>
        <w:rPr>
          <w:rFonts w:hint="eastAsia" w:ascii="宋体" w:hAnsi="宋体" w:cs="宋体"/>
          <w:sz w:val="24"/>
          <w:szCs w:val="32"/>
        </w:rPr>
        <w:t xml:space="preserve">根据《中华人民共和国政府采购法》、《中华人民共和国政府采购法实施条例》和财政部令第87号《政府采购货物和服务招标投标管理办法》等有关规定， </w:t>
      </w:r>
      <w:r>
        <w:rPr>
          <w:rFonts w:hint="eastAsia" w:ascii="宋体" w:hAnsi="宋体" w:cs="宋体"/>
          <w:b/>
          <w:bCs/>
          <w:sz w:val="24"/>
          <w:szCs w:val="32"/>
        </w:rPr>
        <w:t>台州市玖诚工程管理有限公司</w:t>
      </w:r>
      <w:r>
        <w:rPr>
          <w:rFonts w:hint="eastAsia" w:ascii="宋体" w:hAnsi="宋体" w:cs="宋体"/>
          <w:sz w:val="24"/>
          <w:szCs w:val="32"/>
        </w:rPr>
        <w:t>受</w:t>
      </w:r>
      <w:r>
        <w:rPr>
          <w:rFonts w:hint="eastAsia" w:ascii="宋体" w:hAnsi="宋体" w:cs="宋体"/>
          <w:b/>
          <w:bCs/>
          <w:sz w:val="24"/>
          <w:szCs w:val="32"/>
        </w:rPr>
        <w:t>台州市三梅中学</w:t>
      </w:r>
      <w:r>
        <w:rPr>
          <w:rFonts w:hint="eastAsia" w:ascii="宋体" w:hAnsi="宋体" w:cs="宋体"/>
          <w:sz w:val="24"/>
          <w:szCs w:val="32"/>
        </w:rPr>
        <w:t>委托，现就其</w:t>
      </w:r>
      <w:r>
        <w:rPr>
          <w:rFonts w:hint="eastAsia" w:ascii="宋体" w:hAnsi="宋体" w:cs="宋体"/>
          <w:b/>
          <w:bCs/>
          <w:sz w:val="24"/>
          <w:szCs w:val="32"/>
          <w:lang w:eastAsia="zh-CN"/>
        </w:rPr>
        <w:t>台州市三梅中学网络及安全设备采购项目</w:t>
      </w:r>
      <w:r>
        <w:rPr>
          <w:rFonts w:hint="eastAsia" w:ascii="宋体" w:hAnsi="宋体" w:cs="宋体"/>
          <w:sz w:val="24"/>
          <w:szCs w:val="32"/>
        </w:rPr>
        <w:t>进行公开招标采购，欢迎合格供应商前来投标</w:t>
      </w:r>
      <w:r>
        <w:rPr>
          <w:rFonts w:hint="eastAsia" w:ascii="宋体" w:hAnsi="宋体" w:cs="宋体"/>
          <w:kern w:val="0"/>
          <w:sz w:val="24"/>
        </w:rPr>
        <w:t>（电子招投标）。</w:t>
      </w:r>
    </w:p>
    <w:p>
      <w:pPr>
        <w:tabs>
          <w:tab w:val="left" w:pos="180"/>
          <w:tab w:val="left" w:pos="360"/>
          <w:tab w:val="left" w:pos="540"/>
          <w:tab w:val="left" w:pos="8280"/>
        </w:tabs>
        <w:autoSpaceDE w:val="0"/>
        <w:autoSpaceDN w:val="0"/>
        <w:spacing w:line="360" w:lineRule="auto"/>
        <w:ind w:firstLine="482" w:firstLineChars="200"/>
        <w:rPr>
          <w:rFonts w:ascii="宋体" w:hAnsi="宋体" w:cs="宋体"/>
          <w:kern w:val="0"/>
          <w:sz w:val="24"/>
        </w:rPr>
      </w:pPr>
      <w:r>
        <w:rPr>
          <w:rFonts w:hint="eastAsia" w:ascii="宋体" w:hAnsi="宋体" w:cs="宋体"/>
          <w:b/>
          <w:kern w:val="0"/>
          <w:sz w:val="24"/>
        </w:rPr>
        <w:t>一、项目编号：</w:t>
      </w:r>
      <w:r>
        <w:rPr>
          <w:rFonts w:hint="eastAsia" w:ascii="宋体" w:hAnsi="宋体" w:cs="宋体"/>
          <w:b/>
          <w:kern w:val="0"/>
          <w:sz w:val="24"/>
          <w:lang w:eastAsia="zh-CN"/>
        </w:rPr>
        <w:t>JC-GK2024-004</w:t>
      </w:r>
      <w:r>
        <w:rPr>
          <w:rFonts w:hint="eastAsia" w:ascii="宋体" w:hAnsi="宋体" w:cs="宋体"/>
          <w:b/>
          <w:kern w:val="0"/>
          <w:sz w:val="24"/>
        </w:rPr>
        <w:t xml:space="preserve">号 </w:t>
      </w:r>
    </w:p>
    <w:p>
      <w:pPr>
        <w:tabs>
          <w:tab w:val="left" w:pos="180"/>
          <w:tab w:val="left" w:pos="360"/>
          <w:tab w:val="left" w:pos="540"/>
          <w:tab w:val="left" w:pos="8280"/>
        </w:tabs>
        <w:autoSpaceDE w:val="0"/>
        <w:autoSpaceDN w:val="0"/>
        <w:spacing w:line="360" w:lineRule="auto"/>
        <w:ind w:firstLine="482" w:firstLineChars="200"/>
        <w:rPr>
          <w:rFonts w:ascii="宋体" w:hAnsi="宋体" w:cs="宋体"/>
          <w:b/>
          <w:kern w:val="0"/>
          <w:sz w:val="24"/>
        </w:rPr>
      </w:pPr>
      <w:r>
        <w:rPr>
          <w:rFonts w:hint="eastAsia" w:ascii="宋体" w:hAnsi="宋体" w:cs="宋体"/>
          <w:b/>
          <w:kern w:val="0"/>
          <w:sz w:val="24"/>
        </w:rPr>
        <w:t>二、招标项目概况：</w:t>
      </w:r>
    </w:p>
    <w:p>
      <w:pPr>
        <w:tabs>
          <w:tab w:val="left" w:pos="8280"/>
        </w:tabs>
        <w:autoSpaceDE w:val="0"/>
        <w:autoSpaceDN w:val="0"/>
        <w:adjustRightInd w:val="0"/>
        <w:spacing w:line="360" w:lineRule="auto"/>
        <w:ind w:right="25" w:firstLine="280"/>
        <w:rPr>
          <w:rFonts w:ascii="宋体" w:hAnsi="宋体" w:cs="宋体"/>
          <w:sz w:val="24"/>
        </w:rPr>
      </w:pPr>
      <w:r>
        <w:rPr>
          <w:rFonts w:hint="eastAsia" w:ascii="宋体" w:hAnsi="宋体" w:cs="宋体"/>
          <w:sz w:val="24"/>
        </w:rPr>
        <w:t>本次招标共</w:t>
      </w:r>
      <w:r>
        <w:rPr>
          <w:rFonts w:hint="eastAsia" w:ascii="宋体" w:hAnsi="宋体" w:cs="宋体"/>
          <w:sz w:val="24"/>
          <w:u w:val="single"/>
        </w:rPr>
        <w:t xml:space="preserve"> 1 </w:t>
      </w:r>
      <w:r>
        <w:rPr>
          <w:rFonts w:hint="eastAsia" w:ascii="宋体" w:hAnsi="宋体" w:cs="宋体"/>
          <w:sz w:val="24"/>
        </w:rPr>
        <w:t>个标段，具体内容如下表：</w:t>
      </w:r>
    </w:p>
    <w:tbl>
      <w:tblPr>
        <w:tblStyle w:val="48"/>
        <w:tblW w:w="9829" w:type="dxa"/>
        <w:tblInd w:w="-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3090"/>
        <w:gridCol w:w="1725"/>
        <w:gridCol w:w="765"/>
        <w:gridCol w:w="1020"/>
        <w:gridCol w:w="1215"/>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960" w:type="dxa"/>
            <w:vAlign w:val="center"/>
          </w:tcPr>
          <w:p>
            <w:pPr>
              <w:tabs>
                <w:tab w:val="left" w:pos="8280"/>
              </w:tabs>
              <w:autoSpaceDE w:val="0"/>
              <w:autoSpaceDN w:val="0"/>
              <w:adjustRightInd w:val="0"/>
              <w:spacing w:line="360" w:lineRule="auto"/>
              <w:ind w:right="25"/>
              <w:jc w:val="center"/>
              <w:rPr>
                <w:rFonts w:ascii="宋体" w:hAnsi="宋体" w:cs="宋体"/>
                <w:b/>
                <w:sz w:val="24"/>
              </w:rPr>
            </w:pPr>
            <w:r>
              <w:rPr>
                <w:rFonts w:hint="eastAsia" w:ascii="宋体" w:hAnsi="宋体" w:cs="宋体"/>
                <w:b/>
                <w:sz w:val="24"/>
              </w:rPr>
              <w:t>标段号</w:t>
            </w:r>
          </w:p>
        </w:tc>
        <w:tc>
          <w:tcPr>
            <w:tcW w:w="3090" w:type="dxa"/>
            <w:vAlign w:val="center"/>
          </w:tcPr>
          <w:p>
            <w:pPr>
              <w:tabs>
                <w:tab w:val="left" w:pos="8280"/>
              </w:tabs>
              <w:autoSpaceDE w:val="0"/>
              <w:autoSpaceDN w:val="0"/>
              <w:adjustRightInd w:val="0"/>
              <w:spacing w:line="360" w:lineRule="auto"/>
              <w:ind w:right="25" w:firstLine="120" w:firstLineChars="50"/>
              <w:jc w:val="center"/>
              <w:rPr>
                <w:rFonts w:ascii="宋体" w:hAnsi="宋体" w:cs="宋体"/>
                <w:b/>
                <w:sz w:val="24"/>
              </w:rPr>
            </w:pPr>
            <w:r>
              <w:rPr>
                <w:rFonts w:hint="eastAsia" w:ascii="宋体" w:hAnsi="宋体" w:cs="宋体"/>
                <w:b/>
                <w:sz w:val="24"/>
              </w:rPr>
              <w:t>项目名称</w:t>
            </w:r>
          </w:p>
        </w:tc>
        <w:tc>
          <w:tcPr>
            <w:tcW w:w="1725" w:type="dxa"/>
            <w:vAlign w:val="center"/>
          </w:tcPr>
          <w:p>
            <w:pPr>
              <w:tabs>
                <w:tab w:val="left" w:pos="8280"/>
              </w:tabs>
              <w:autoSpaceDE w:val="0"/>
              <w:autoSpaceDN w:val="0"/>
              <w:adjustRightInd w:val="0"/>
              <w:spacing w:line="360" w:lineRule="auto"/>
              <w:ind w:right="25"/>
              <w:jc w:val="center"/>
              <w:rPr>
                <w:rFonts w:ascii="宋体" w:hAnsi="宋体" w:cs="宋体"/>
                <w:b/>
                <w:sz w:val="24"/>
              </w:rPr>
            </w:pPr>
            <w:r>
              <w:rPr>
                <w:rFonts w:hint="eastAsia" w:ascii="宋体" w:hAnsi="宋体" w:cs="宋体"/>
                <w:b/>
                <w:sz w:val="24"/>
              </w:rPr>
              <w:t>内容</w:t>
            </w:r>
          </w:p>
        </w:tc>
        <w:tc>
          <w:tcPr>
            <w:tcW w:w="765" w:type="dxa"/>
            <w:vAlign w:val="center"/>
          </w:tcPr>
          <w:p>
            <w:pPr>
              <w:tabs>
                <w:tab w:val="left" w:pos="8280"/>
              </w:tabs>
              <w:autoSpaceDE w:val="0"/>
              <w:autoSpaceDN w:val="0"/>
              <w:adjustRightInd w:val="0"/>
              <w:spacing w:line="360" w:lineRule="auto"/>
              <w:ind w:right="25"/>
              <w:jc w:val="center"/>
              <w:rPr>
                <w:rFonts w:ascii="宋体" w:hAnsi="宋体" w:cs="宋体"/>
                <w:b/>
                <w:sz w:val="24"/>
              </w:rPr>
            </w:pPr>
            <w:r>
              <w:rPr>
                <w:rFonts w:hint="eastAsia" w:ascii="宋体" w:hAnsi="宋体" w:cs="宋体"/>
                <w:b/>
                <w:sz w:val="24"/>
              </w:rPr>
              <w:t>数量</w:t>
            </w:r>
          </w:p>
        </w:tc>
        <w:tc>
          <w:tcPr>
            <w:tcW w:w="1020" w:type="dxa"/>
            <w:vAlign w:val="center"/>
          </w:tcPr>
          <w:p>
            <w:pPr>
              <w:tabs>
                <w:tab w:val="left" w:pos="8280"/>
              </w:tabs>
              <w:autoSpaceDE w:val="0"/>
              <w:autoSpaceDN w:val="0"/>
              <w:adjustRightInd w:val="0"/>
              <w:spacing w:line="360" w:lineRule="auto"/>
              <w:ind w:right="25"/>
              <w:jc w:val="center"/>
              <w:rPr>
                <w:rFonts w:ascii="宋体" w:hAnsi="宋体" w:cs="宋体"/>
                <w:b/>
                <w:sz w:val="24"/>
              </w:rPr>
            </w:pPr>
            <w:r>
              <w:rPr>
                <w:rFonts w:hint="eastAsia" w:ascii="宋体" w:hAnsi="宋体" w:cs="宋体"/>
                <w:b/>
                <w:sz w:val="24"/>
              </w:rPr>
              <w:t>单位</w:t>
            </w:r>
          </w:p>
        </w:tc>
        <w:tc>
          <w:tcPr>
            <w:tcW w:w="1215" w:type="dxa"/>
            <w:vAlign w:val="center"/>
          </w:tcPr>
          <w:p>
            <w:pPr>
              <w:tabs>
                <w:tab w:val="left" w:pos="8280"/>
              </w:tabs>
              <w:autoSpaceDE w:val="0"/>
              <w:autoSpaceDN w:val="0"/>
              <w:adjustRightInd w:val="0"/>
              <w:spacing w:line="360" w:lineRule="auto"/>
              <w:ind w:right="25"/>
              <w:jc w:val="center"/>
              <w:rPr>
                <w:rFonts w:ascii="宋体" w:hAnsi="宋体" w:cs="宋体"/>
                <w:b/>
                <w:color w:val="auto"/>
                <w:sz w:val="24"/>
              </w:rPr>
            </w:pPr>
            <w:r>
              <w:rPr>
                <w:rFonts w:hint="eastAsia" w:ascii="宋体" w:hAnsi="宋体" w:cs="宋体"/>
                <w:b/>
                <w:color w:val="auto"/>
                <w:sz w:val="24"/>
              </w:rPr>
              <w:t>预算</w:t>
            </w:r>
          </w:p>
          <w:p>
            <w:pPr>
              <w:tabs>
                <w:tab w:val="left" w:pos="8280"/>
              </w:tabs>
              <w:autoSpaceDE w:val="0"/>
              <w:autoSpaceDN w:val="0"/>
              <w:adjustRightInd w:val="0"/>
              <w:spacing w:line="360" w:lineRule="auto"/>
              <w:ind w:right="25"/>
              <w:jc w:val="center"/>
              <w:rPr>
                <w:rFonts w:ascii="宋体" w:hAnsi="宋体" w:cs="宋体"/>
                <w:b/>
                <w:sz w:val="24"/>
              </w:rPr>
            </w:pPr>
            <w:r>
              <w:rPr>
                <w:rFonts w:hint="eastAsia" w:ascii="宋体" w:hAnsi="宋体" w:cs="宋体"/>
                <w:b/>
                <w:color w:val="auto"/>
                <w:sz w:val="24"/>
              </w:rPr>
              <w:t>（万元）</w:t>
            </w:r>
          </w:p>
        </w:tc>
        <w:tc>
          <w:tcPr>
            <w:tcW w:w="1054" w:type="dxa"/>
            <w:vAlign w:val="center"/>
          </w:tcPr>
          <w:p>
            <w:pPr>
              <w:tabs>
                <w:tab w:val="left" w:pos="8280"/>
              </w:tabs>
              <w:autoSpaceDE w:val="0"/>
              <w:autoSpaceDN w:val="0"/>
              <w:adjustRightInd w:val="0"/>
              <w:spacing w:line="360" w:lineRule="auto"/>
              <w:ind w:right="25"/>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960" w:type="dxa"/>
            <w:vAlign w:val="center"/>
          </w:tcPr>
          <w:p>
            <w:pPr>
              <w:tabs>
                <w:tab w:val="left" w:pos="8280"/>
              </w:tabs>
              <w:autoSpaceDE w:val="0"/>
              <w:autoSpaceDN w:val="0"/>
              <w:adjustRightInd w:val="0"/>
              <w:spacing w:line="360" w:lineRule="auto"/>
              <w:ind w:right="25"/>
              <w:jc w:val="center"/>
              <w:rPr>
                <w:rFonts w:ascii="宋体" w:hAnsi="宋体" w:cs="宋体"/>
                <w:sz w:val="24"/>
              </w:rPr>
            </w:pPr>
            <w:r>
              <w:rPr>
                <w:rFonts w:hint="eastAsia" w:ascii="宋体" w:hAnsi="宋体" w:cs="宋体"/>
                <w:sz w:val="24"/>
              </w:rPr>
              <w:t>1</w:t>
            </w:r>
          </w:p>
        </w:tc>
        <w:tc>
          <w:tcPr>
            <w:tcW w:w="3090" w:type="dxa"/>
            <w:vAlign w:val="center"/>
          </w:tcPr>
          <w:p>
            <w:pPr>
              <w:jc w:val="center"/>
              <w:rPr>
                <w:rFonts w:hint="eastAsia" w:ascii="宋体" w:hAnsi="宋体" w:eastAsia="宋体" w:cs="宋体"/>
                <w:sz w:val="24"/>
                <w:lang w:eastAsia="zh-CN"/>
              </w:rPr>
            </w:pPr>
            <w:r>
              <w:rPr>
                <w:rFonts w:hint="eastAsia" w:hAnsi="宋体" w:cs="仿宋_GB2312"/>
                <w:sz w:val="24"/>
                <w:lang w:eastAsia="zh-CN"/>
              </w:rPr>
              <w:t>台州市三梅中学网络及安全设备采购项目</w:t>
            </w:r>
          </w:p>
        </w:tc>
        <w:tc>
          <w:tcPr>
            <w:tcW w:w="1725" w:type="dxa"/>
            <w:vAlign w:val="center"/>
          </w:tcPr>
          <w:p>
            <w:pPr>
              <w:jc w:val="center"/>
              <w:rPr>
                <w:rFonts w:ascii="宋体" w:hAnsi="宋体" w:cs="宋体"/>
                <w:sz w:val="24"/>
              </w:rPr>
            </w:pPr>
            <w:r>
              <w:rPr>
                <w:rFonts w:hint="eastAsia" w:ascii="宋体" w:hAnsi="宋体" w:cs="宋体"/>
                <w:sz w:val="24"/>
              </w:rPr>
              <w:t>详见具体技术需求</w:t>
            </w:r>
          </w:p>
        </w:tc>
        <w:tc>
          <w:tcPr>
            <w:tcW w:w="765" w:type="dxa"/>
            <w:vAlign w:val="center"/>
          </w:tcPr>
          <w:p>
            <w:pPr>
              <w:jc w:val="center"/>
              <w:rPr>
                <w:rFonts w:ascii="宋体" w:hAnsi="宋体" w:cs="宋体"/>
                <w:sz w:val="24"/>
              </w:rPr>
            </w:pPr>
            <w:r>
              <w:rPr>
                <w:rFonts w:hint="eastAsia" w:ascii="宋体" w:hAnsi="宋体" w:cs="宋体"/>
                <w:sz w:val="24"/>
              </w:rPr>
              <w:t>1</w:t>
            </w:r>
          </w:p>
        </w:tc>
        <w:tc>
          <w:tcPr>
            <w:tcW w:w="1020" w:type="dxa"/>
            <w:vAlign w:val="center"/>
          </w:tcPr>
          <w:p>
            <w:pPr>
              <w:jc w:val="center"/>
              <w:rPr>
                <w:rFonts w:ascii="宋体" w:hAnsi="宋体" w:cs="宋体"/>
                <w:sz w:val="24"/>
              </w:rPr>
            </w:pPr>
            <w:r>
              <w:rPr>
                <w:rFonts w:hint="eastAsia" w:ascii="宋体" w:hAnsi="宋体" w:cs="宋体"/>
                <w:sz w:val="24"/>
              </w:rPr>
              <w:t>项</w:t>
            </w:r>
          </w:p>
        </w:tc>
        <w:tc>
          <w:tcPr>
            <w:tcW w:w="1215" w:type="dxa"/>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340</w:t>
            </w:r>
          </w:p>
        </w:tc>
        <w:tc>
          <w:tcPr>
            <w:tcW w:w="1054" w:type="dxa"/>
            <w:vAlign w:val="center"/>
          </w:tcPr>
          <w:p>
            <w:pPr>
              <w:jc w:val="center"/>
              <w:rPr>
                <w:rFonts w:ascii="宋体" w:hAnsi="宋体" w:cs="宋体"/>
                <w:sz w:val="24"/>
              </w:rPr>
            </w:pPr>
          </w:p>
        </w:tc>
      </w:tr>
    </w:tbl>
    <w:p>
      <w:pPr>
        <w:widowControl/>
        <w:tabs>
          <w:tab w:val="left" w:pos="0"/>
        </w:tabs>
        <w:spacing w:line="360" w:lineRule="auto"/>
        <w:rPr>
          <w:rFonts w:ascii="宋体" w:hAnsi="宋体" w:cs="宋体"/>
          <w:b/>
          <w:sz w:val="24"/>
        </w:rPr>
      </w:pPr>
      <w:r>
        <w:rPr>
          <w:rFonts w:hint="eastAsia" w:ascii="宋体" w:hAnsi="宋体" w:cs="宋体"/>
          <w:b/>
          <w:sz w:val="24"/>
          <w:u w:val="single"/>
        </w:rPr>
        <w:t>本项目采用“电子交易”的方式提交投标文件，请各供应商按照要求进行。</w:t>
      </w:r>
    </w:p>
    <w:p>
      <w:pPr>
        <w:tabs>
          <w:tab w:val="left" w:pos="180"/>
          <w:tab w:val="left" w:pos="360"/>
          <w:tab w:val="left" w:pos="540"/>
          <w:tab w:val="left" w:pos="8280"/>
        </w:tabs>
        <w:autoSpaceDE w:val="0"/>
        <w:autoSpaceDN w:val="0"/>
        <w:spacing w:line="360" w:lineRule="auto"/>
        <w:ind w:firstLine="482" w:firstLineChars="200"/>
        <w:rPr>
          <w:rFonts w:ascii="宋体" w:hAnsi="宋体" w:cs="宋体"/>
          <w:b/>
          <w:kern w:val="0"/>
          <w:sz w:val="24"/>
        </w:rPr>
      </w:pPr>
      <w:r>
        <w:rPr>
          <w:rFonts w:hint="eastAsia" w:ascii="宋体" w:hAnsi="宋体" w:cs="宋体"/>
          <w:b/>
          <w:sz w:val="24"/>
        </w:rPr>
        <w:t>三、合格投标人的资格条件：</w:t>
      </w:r>
    </w:p>
    <w:p>
      <w:pPr>
        <w:spacing w:line="360" w:lineRule="auto"/>
        <w:ind w:firstLine="480" w:firstLineChars="200"/>
        <w:rPr>
          <w:rFonts w:ascii="宋体" w:hAnsi="宋体"/>
          <w:bCs/>
          <w:sz w:val="24"/>
        </w:rPr>
      </w:pPr>
      <w:r>
        <w:rPr>
          <w:rFonts w:hint="eastAsia" w:ascii="宋体" w:hAnsi="宋体"/>
          <w:bCs/>
          <w:sz w:val="24"/>
        </w:rPr>
        <w:t>1、</w:t>
      </w:r>
      <w:r>
        <w:rPr>
          <w:rFonts w:hint="eastAsia" w:ascii="宋体" w:hAnsi="宋体" w:cs="宋体"/>
          <w:sz w:val="24"/>
        </w:rPr>
        <w:t>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宋体" w:hAnsi="宋体" w:cs="宋体"/>
          <w:sz w:val="24"/>
        </w:rPr>
      </w:pPr>
      <w:bookmarkStart w:id="0" w:name="OLE_LINK10"/>
      <w:r>
        <w:rPr>
          <w:rFonts w:hint="eastAsia" w:ascii="宋体" w:hAnsi="宋体" w:cs="宋体"/>
          <w:sz w:val="24"/>
        </w:rPr>
        <w:t>2、</w:t>
      </w:r>
      <w:r>
        <w:rPr>
          <w:rFonts w:hint="eastAsia" w:ascii="宋体" w:hAnsi="宋体"/>
          <w:bCs/>
          <w:sz w:val="24"/>
        </w:rPr>
        <w:t>落实政府采购政策需满足的资格要求：</w:t>
      </w:r>
      <w:r>
        <w:rPr>
          <w:rFonts w:hint="eastAsia" w:ascii="宋体" w:hAnsi="宋体" w:cs="宋体"/>
          <w:b/>
          <w:sz w:val="24"/>
        </w:rPr>
        <w:t>无。</w:t>
      </w:r>
    </w:p>
    <w:p>
      <w:pPr>
        <w:spacing w:line="360" w:lineRule="auto"/>
        <w:ind w:firstLine="480" w:firstLineChars="200"/>
        <w:rPr>
          <w:rFonts w:ascii="宋体" w:hAnsi="宋体" w:cs="宋体"/>
          <w:sz w:val="24"/>
        </w:rPr>
      </w:pPr>
      <w:r>
        <w:rPr>
          <w:rFonts w:hint="eastAsia" w:ascii="宋体" w:hAnsi="宋体" w:cs="宋体"/>
          <w:sz w:val="24"/>
        </w:rPr>
        <w:t>3、本项目不接受联合体投标。</w:t>
      </w:r>
      <w:bookmarkEnd w:id="0"/>
    </w:p>
    <w:p>
      <w:pPr>
        <w:tabs>
          <w:tab w:val="left" w:pos="180"/>
          <w:tab w:val="left" w:pos="360"/>
          <w:tab w:val="left" w:pos="540"/>
          <w:tab w:val="left" w:pos="8280"/>
        </w:tabs>
        <w:autoSpaceDE w:val="0"/>
        <w:autoSpaceDN w:val="0"/>
        <w:spacing w:line="360" w:lineRule="auto"/>
        <w:ind w:firstLine="482" w:firstLineChars="200"/>
        <w:rPr>
          <w:rFonts w:ascii="宋体" w:hAnsi="宋体" w:cs="宋体"/>
          <w:b/>
          <w:sz w:val="24"/>
        </w:rPr>
      </w:pPr>
      <w:r>
        <w:rPr>
          <w:rFonts w:hint="eastAsia" w:ascii="宋体" w:hAnsi="宋体" w:cs="宋体"/>
          <w:b/>
          <w:sz w:val="24"/>
        </w:rPr>
        <w:t>四、招标文件获取的方式、时间：</w:t>
      </w:r>
    </w:p>
    <w:p>
      <w:pPr>
        <w:spacing w:line="360" w:lineRule="auto"/>
        <w:ind w:left="420"/>
        <w:rPr>
          <w:rFonts w:ascii="宋体" w:hAnsi="宋体" w:cs="宋体"/>
          <w:sz w:val="24"/>
        </w:rPr>
      </w:pPr>
      <w:r>
        <w:rPr>
          <w:rFonts w:hint="eastAsia" w:ascii="宋体" w:hAnsi="宋体" w:cs="宋体"/>
          <w:sz w:val="24"/>
        </w:rPr>
        <w:t>1、获取时间：2024年</w:t>
      </w:r>
      <w:r>
        <w:rPr>
          <w:rFonts w:hint="eastAsia" w:ascii="宋体" w:hAnsi="宋体" w:cs="宋体"/>
          <w:sz w:val="24"/>
          <w:lang w:val="en-US" w:eastAsia="zh-CN"/>
        </w:rPr>
        <w:t>4</w:t>
      </w:r>
      <w:r>
        <w:rPr>
          <w:rFonts w:hint="eastAsia" w:ascii="宋体" w:hAnsi="宋体" w:cs="宋体"/>
          <w:sz w:val="24"/>
        </w:rPr>
        <w:t>月</w:t>
      </w:r>
      <w:r>
        <w:rPr>
          <w:rFonts w:hint="eastAsia" w:ascii="宋体" w:hAnsi="宋体" w:cs="宋体"/>
          <w:sz w:val="24"/>
          <w:lang w:val="en-US" w:eastAsia="zh-CN"/>
        </w:rPr>
        <w:t>7</w:t>
      </w:r>
      <w:r>
        <w:rPr>
          <w:rFonts w:hint="eastAsia" w:ascii="宋体" w:hAnsi="宋体" w:cs="宋体"/>
          <w:sz w:val="24"/>
        </w:rPr>
        <w:t>日至2024年</w:t>
      </w:r>
      <w:r>
        <w:rPr>
          <w:rFonts w:hint="eastAsia" w:ascii="宋体" w:hAnsi="宋体" w:cs="宋体"/>
          <w:sz w:val="24"/>
          <w:lang w:val="en-US" w:eastAsia="zh-CN"/>
        </w:rPr>
        <w:t>4</w:t>
      </w:r>
      <w:r>
        <w:rPr>
          <w:rFonts w:hint="eastAsia" w:ascii="宋体" w:hAnsi="宋体" w:cs="宋体"/>
          <w:sz w:val="24"/>
        </w:rPr>
        <w:t>月</w:t>
      </w:r>
      <w:r>
        <w:rPr>
          <w:rFonts w:hint="eastAsia" w:ascii="宋体" w:hAnsi="宋体" w:cs="宋体"/>
          <w:sz w:val="24"/>
          <w:lang w:val="en-US" w:eastAsia="zh-CN"/>
        </w:rPr>
        <w:t>29</w:t>
      </w:r>
      <w:r>
        <w:rPr>
          <w:rFonts w:hint="eastAsia" w:ascii="宋体" w:hAnsi="宋体" w:cs="宋体"/>
          <w:sz w:val="24"/>
        </w:rPr>
        <w:t>日 ，每天上午00:00至12:00 ，下午12:00至23:59（北京时间，线上获取法定节假日均可）</w:t>
      </w:r>
    </w:p>
    <w:p>
      <w:pPr>
        <w:spacing w:line="360" w:lineRule="auto"/>
        <w:ind w:left="420"/>
        <w:rPr>
          <w:rFonts w:ascii="宋体" w:hAnsi="宋体" w:cs="宋体"/>
          <w:sz w:val="24"/>
        </w:rPr>
      </w:pPr>
      <w:r>
        <w:rPr>
          <w:rFonts w:hint="eastAsia" w:ascii="宋体" w:hAnsi="宋体" w:cs="宋体"/>
          <w:sz w:val="24"/>
        </w:rPr>
        <w:t>2、获取地点（网址）：政府采购云平台（www.zcygov.cn）</w:t>
      </w:r>
    </w:p>
    <w:p>
      <w:pPr>
        <w:spacing w:line="360" w:lineRule="auto"/>
        <w:ind w:left="420"/>
        <w:rPr>
          <w:rFonts w:ascii="宋体" w:hAnsi="宋体" w:cs="宋体"/>
          <w:b/>
          <w:bCs/>
          <w:sz w:val="24"/>
        </w:rPr>
      </w:pPr>
      <w:r>
        <w:rPr>
          <w:rFonts w:hint="eastAsia" w:ascii="宋体" w:hAnsi="宋体" w:cs="宋体"/>
          <w:sz w:val="24"/>
        </w:rPr>
        <w:t>3、获取方式：</w:t>
      </w:r>
      <w:r>
        <w:rPr>
          <w:rFonts w:hint="eastAsia" w:ascii="宋体" w:hAnsi="宋体" w:cs="宋体"/>
          <w:b/>
          <w:bCs/>
          <w:sz w:val="24"/>
        </w:rPr>
        <w:t>在线获取，</w:t>
      </w:r>
      <w:r>
        <w:rPr>
          <w:rFonts w:hint="eastAsia" w:ascii="宋体" w:hAnsi="宋体" w:cs="宋体"/>
          <w:b/>
          <w:sz w:val="24"/>
        </w:rPr>
        <w:t>不提供招标文件纸质版。</w:t>
      </w:r>
      <w:r>
        <w:rPr>
          <w:rFonts w:hint="eastAsia" w:ascii="宋体" w:hAnsi="宋体" w:cs="宋体"/>
          <w:b/>
          <w:bCs/>
          <w:sz w:val="24"/>
        </w:rPr>
        <w:t>供应商获取招标文件前应先完成“浙江政府采购网”的账号注册。</w:t>
      </w:r>
    </w:p>
    <w:p>
      <w:pPr>
        <w:spacing w:line="360" w:lineRule="auto"/>
        <w:ind w:left="420" w:firstLine="480" w:firstLineChars="200"/>
        <w:rPr>
          <w:rFonts w:ascii="宋体" w:hAnsi="宋体" w:cs="宋体"/>
          <w:sz w:val="24"/>
        </w:rPr>
      </w:pPr>
      <w:r>
        <w:rPr>
          <w:rFonts w:hint="eastAsia" w:ascii="宋体" w:hAnsi="宋体" w:cs="宋体"/>
          <w:sz w:val="24"/>
        </w:rPr>
        <w:t>潜在供应商登陆政府采购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spacing w:line="360" w:lineRule="auto"/>
        <w:ind w:left="420"/>
        <w:rPr>
          <w:rFonts w:ascii="宋体" w:hAnsi="宋体" w:cs="宋体"/>
          <w:sz w:val="24"/>
        </w:rPr>
      </w:pPr>
      <w:r>
        <w:rPr>
          <w:rFonts w:hint="eastAsia" w:ascii="宋体" w:hAnsi="宋体" w:cs="宋体"/>
          <w:sz w:val="24"/>
        </w:rPr>
        <w:t xml:space="preserve">4、售价（元）：0 </w:t>
      </w:r>
    </w:p>
    <w:p>
      <w:pPr>
        <w:spacing w:line="360" w:lineRule="auto"/>
        <w:ind w:firstLine="480" w:firstLineChars="200"/>
        <w:rPr>
          <w:rFonts w:ascii="宋体" w:hAnsi="宋体" w:cs="宋体"/>
          <w:sz w:val="24"/>
        </w:rPr>
      </w:pPr>
      <w:r>
        <w:rPr>
          <w:rFonts w:hint="eastAsia" w:ascii="宋体" w:hAnsi="宋体" w:cs="宋体"/>
          <w:sz w:val="24"/>
        </w:rPr>
        <w:t>5、</w:t>
      </w:r>
      <w:r>
        <w:rPr>
          <w:rStyle w:val="51"/>
          <w:rFonts w:hint="eastAsia" w:ascii="宋体" w:hAnsi="宋体" w:cs="宋体"/>
          <w:b w:val="0"/>
          <w:sz w:val="24"/>
        </w:rPr>
        <w:t>供应商网上报名操作指南：“浙江政府采购网-办事指南-省采中心-网上报名”（http://zfcg.czt.zj.gov.cn/bs_other/2018-03-30/12002.html）。</w:t>
      </w:r>
    </w:p>
    <w:p>
      <w:pPr>
        <w:pStyle w:val="44"/>
        <w:spacing w:before="0" w:beforeAutospacing="0" w:after="0" w:afterAutospacing="0" w:line="360" w:lineRule="auto"/>
        <w:ind w:firstLine="480" w:firstLineChars="200"/>
        <w:rPr>
          <w:rFonts w:hint="default" w:cs="宋体"/>
        </w:rPr>
      </w:pPr>
      <w:r>
        <w:rPr>
          <w:rStyle w:val="51"/>
          <w:rFonts w:cs="宋体"/>
          <w:b w:val="0"/>
        </w:rPr>
        <w:t>6、供应商获取招标文件时须提交的文件资料：无；</w:t>
      </w:r>
    </w:p>
    <w:p>
      <w:pPr>
        <w:pStyle w:val="44"/>
        <w:spacing w:before="0" w:beforeAutospacing="0" w:after="0" w:afterAutospacing="0" w:line="360" w:lineRule="auto"/>
        <w:ind w:firstLine="482" w:firstLineChars="200"/>
        <w:rPr>
          <w:rStyle w:val="51"/>
          <w:rFonts w:hint="default" w:cs="宋体"/>
        </w:rPr>
      </w:pPr>
      <w:r>
        <w:rPr>
          <w:rStyle w:val="51"/>
          <w:rFonts w:cs="宋体"/>
        </w:rPr>
        <w:t>7、提示：</w:t>
      </w:r>
    </w:p>
    <w:p>
      <w:pPr>
        <w:pStyle w:val="44"/>
        <w:spacing w:before="0" w:beforeAutospacing="0" w:after="0" w:afterAutospacing="0" w:line="360" w:lineRule="auto"/>
        <w:ind w:firstLine="482" w:firstLineChars="200"/>
        <w:rPr>
          <w:rFonts w:hint="default" w:cs="宋体"/>
        </w:rPr>
      </w:pPr>
      <w:r>
        <w:rPr>
          <w:rStyle w:val="51"/>
          <w:rFonts w:cs="宋体"/>
        </w:rPr>
        <w:t>（1）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pStyle w:val="44"/>
        <w:spacing w:before="0" w:beforeAutospacing="0" w:after="0" w:afterAutospacing="0" w:line="360" w:lineRule="auto"/>
        <w:ind w:firstLine="480"/>
        <w:rPr>
          <w:rStyle w:val="51"/>
          <w:rFonts w:hint="default" w:cs="宋体"/>
        </w:rPr>
      </w:pPr>
      <w:r>
        <w:rPr>
          <w:rStyle w:val="51"/>
          <w:rFonts w:cs="宋体"/>
        </w:rPr>
        <w:t>（2）采购人、采购机构将依托政采云平台完成本项目的电子交易活动，平台不接受未按上述方式获取招标文件的供应商进行投标活动；</w:t>
      </w:r>
    </w:p>
    <w:p>
      <w:pPr>
        <w:pStyle w:val="44"/>
        <w:spacing w:before="0" w:beforeAutospacing="0" w:after="0" w:afterAutospacing="0" w:line="360" w:lineRule="auto"/>
        <w:ind w:firstLine="480"/>
        <w:rPr>
          <w:rStyle w:val="51"/>
          <w:rFonts w:hint="default" w:cs="宋体"/>
        </w:rPr>
      </w:pPr>
      <w:r>
        <w:rPr>
          <w:rStyle w:val="51"/>
          <w:rFonts w:cs="宋体"/>
        </w:rPr>
        <w:t>（3）对未按上述方式获取招标文件的供应商对该文件提出的质疑，采购人或采购代理机构将不予处理；</w:t>
      </w:r>
    </w:p>
    <w:p>
      <w:pPr>
        <w:pStyle w:val="44"/>
        <w:spacing w:before="0" w:beforeAutospacing="0" w:after="0" w:afterAutospacing="0" w:line="360" w:lineRule="auto"/>
        <w:ind w:firstLine="480"/>
        <w:rPr>
          <w:rStyle w:val="51"/>
          <w:rFonts w:hint="default" w:cs="宋体"/>
        </w:rPr>
      </w:pPr>
      <w:r>
        <w:rPr>
          <w:rStyle w:val="51"/>
          <w:rFonts w:cs="宋体"/>
        </w:rPr>
        <w:t>（4）请供应商按上述要求获取招标文件，如未在“政府采购云平台”系统内完成相关流程，引起的投标无效责任自负。</w:t>
      </w:r>
    </w:p>
    <w:p>
      <w:pPr>
        <w:spacing w:line="360" w:lineRule="auto"/>
        <w:ind w:firstLine="482" w:firstLineChars="200"/>
        <w:rPr>
          <w:rStyle w:val="51"/>
          <w:rFonts w:ascii="宋体" w:hAnsi="宋体" w:cs="宋体"/>
          <w:kern w:val="0"/>
          <w:sz w:val="24"/>
        </w:rPr>
      </w:pPr>
      <w:r>
        <w:rPr>
          <w:rStyle w:val="51"/>
          <w:rFonts w:hint="eastAsia" w:ascii="宋体" w:hAnsi="宋体" w:cs="宋体"/>
          <w:kern w:val="0"/>
          <w:sz w:val="24"/>
        </w:rPr>
        <w:t>注：在网上报名过程中如有任何疑问，请及时联系“政采云”平台客服：400-881-7190</w:t>
      </w:r>
    </w:p>
    <w:p>
      <w:pPr>
        <w:tabs>
          <w:tab w:val="left" w:pos="180"/>
          <w:tab w:val="left" w:pos="360"/>
          <w:tab w:val="left" w:pos="540"/>
          <w:tab w:val="left" w:pos="8280"/>
        </w:tabs>
        <w:autoSpaceDE w:val="0"/>
        <w:autoSpaceDN w:val="0"/>
        <w:spacing w:line="360" w:lineRule="auto"/>
        <w:ind w:firstLine="482" w:firstLineChars="200"/>
        <w:rPr>
          <w:rFonts w:ascii="宋体" w:hAnsi="宋体" w:cs="宋体"/>
          <w:b/>
          <w:bCs/>
          <w:sz w:val="24"/>
        </w:rPr>
      </w:pPr>
      <w:r>
        <w:rPr>
          <w:rFonts w:hint="eastAsia" w:ascii="宋体" w:hAnsi="宋体" w:cs="宋体"/>
          <w:b/>
          <w:bCs/>
          <w:sz w:val="24"/>
        </w:rPr>
        <w:t>五、招标答疑会</w:t>
      </w:r>
    </w:p>
    <w:p>
      <w:pPr>
        <w:tabs>
          <w:tab w:val="left" w:pos="180"/>
          <w:tab w:val="left" w:pos="360"/>
          <w:tab w:val="left" w:pos="540"/>
          <w:tab w:val="left" w:pos="8280"/>
        </w:tabs>
        <w:autoSpaceDE w:val="0"/>
        <w:autoSpaceDN w:val="0"/>
        <w:spacing w:line="360" w:lineRule="auto"/>
        <w:ind w:firstLine="480" w:firstLineChars="200"/>
        <w:rPr>
          <w:rFonts w:ascii="宋体" w:hAnsi="宋体" w:cs="宋体"/>
          <w:sz w:val="24"/>
        </w:rPr>
      </w:pPr>
      <w:r>
        <w:rPr>
          <w:rFonts w:hint="eastAsia" w:ascii="宋体" w:hAnsi="宋体" w:cs="宋体"/>
          <w:sz w:val="24"/>
        </w:rPr>
        <w:t>不组织。</w:t>
      </w:r>
    </w:p>
    <w:p>
      <w:pPr>
        <w:tabs>
          <w:tab w:val="left" w:pos="720"/>
          <w:tab w:val="left" w:pos="1260"/>
          <w:tab w:val="left" w:pos="2160"/>
          <w:tab w:val="left" w:pos="2880"/>
          <w:tab w:val="left" w:pos="3600"/>
          <w:tab w:val="left" w:pos="4320"/>
          <w:tab w:val="left" w:pos="5040"/>
          <w:tab w:val="left" w:pos="5760"/>
          <w:tab w:val="left" w:pos="8280"/>
        </w:tabs>
        <w:autoSpaceDE w:val="0"/>
        <w:autoSpaceDN w:val="0"/>
        <w:spacing w:line="360" w:lineRule="auto"/>
        <w:ind w:firstLine="482" w:firstLineChars="200"/>
        <w:rPr>
          <w:rFonts w:ascii="宋体" w:hAnsi="宋体" w:cs="宋体"/>
          <w:b/>
          <w:kern w:val="0"/>
          <w:sz w:val="24"/>
        </w:rPr>
      </w:pPr>
      <w:r>
        <w:rPr>
          <w:rFonts w:hint="eastAsia" w:ascii="宋体" w:hAnsi="宋体" w:cs="宋体"/>
          <w:b/>
          <w:sz w:val="24"/>
        </w:rPr>
        <w:t>六、</w:t>
      </w:r>
      <w:r>
        <w:rPr>
          <w:rFonts w:hint="eastAsia" w:ascii="宋体" w:hAnsi="宋体" w:cs="宋体"/>
          <w:b/>
          <w:kern w:val="0"/>
          <w:sz w:val="24"/>
        </w:rPr>
        <w:t>投标截止及开标时间、地点：</w:t>
      </w:r>
    </w:p>
    <w:p>
      <w:pPr>
        <w:tabs>
          <w:tab w:val="left" w:pos="720"/>
          <w:tab w:val="left" w:pos="1260"/>
          <w:tab w:val="left" w:pos="2160"/>
          <w:tab w:val="left" w:pos="2880"/>
          <w:tab w:val="left" w:pos="3600"/>
          <w:tab w:val="left" w:pos="4320"/>
          <w:tab w:val="left" w:pos="5040"/>
          <w:tab w:val="left" w:pos="5760"/>
          <w:tab w:val="left" w:pos="8280"/>
        </w:tabs>
        <w:autoSpaceDE w:val="0"/>
        <w:autoSpaceDN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b/>
          <w:bCs/>
          <w:sz w:val="24"/>
        </w:rPr>
        <w:t>提交投标文件截止时间及地点</w:t>
      </w:r>
      <w:r>
        <w:rPr>
          <w:rFonts w:hint="eastAsia" w:ascii="宋体" w:hAnsi="宋体" w:cs="宋体"/>
          <w:sz w:val="24"/>
        </w:rPr>
        <w:t>：</w:t>
      </w:r>
      <w:r>
        <w:rPr>
          <w:rFonts w:hint="eastAsia" w:cs="宋体"/>
          <w:sz w:val="24"/>
        </w:rPr>
        <w:t>2024年</w:t>
      </w:r>
      <w:r>
        <w:rPr>
          <w:rFonts w:hint="eastAsia" w:cs="宋体"/>
          <w:sz w:val="24"/>
          <w:lang w:val="en-US" w:eastAsia="zh-CN"/>
        </w:rPr>
        <w:t>4</w:t>
      </w:r>
      <w:r>
        <w:rPr>
          <w:rFonts w:hint="eastAsia" w:cs="宋体"/>
          <w:sz w:val="24"/>
        </w:rPr>
        <w:t>月</w:t>
      </w:r>
      <w:r>
        <w:rPr>
          <w:rFonts w:hint="eastAsia" w:cs="宋体"/>
          <w:sz w:val="24"/>
          <w:lang w:val="en-US" w:eastAsia="zh-CN"/>
        </w:rPr>
        <w:t>29</w:t>
      </w:r>
      <w:r>
        <w:rPr>
          <w:rFonts w:hint="eastAsia" w:cs="宋体"/>
          <w:sz w:val="24"/>
        </w:rPr>
        <w:t>日 9:00</w:t>
      </w:r>
      <w:r>
        <w:rPr>
          <w:rFonts w:hint="eastAsia" w:ascii="宋体" w:hAnsi="宋体" w:cs="宋体"/>
          <w:sz w:val="24"/>
        </w:rPr>
        <w:t>（北京时间），地点（网址）：政府采购云平台（www.zcygov.cn）实行在线投标响应</w:t>
      </w:r>
    </w:p>
    <w:p>
      <w:pPr>
        <w:tabs>
          <w:tab w:val="left" w:pos="720"/>
          <w:tab w:val="left" w:pos="1260"/>
          <w:tab w:val="left" w:pos="2160"/>
          <w:tab w:val="left" w:pos="2880"/>
          <w:tab w:val="left" w:pos="3600"/>
          <w:tab w:val="left" w:pos="4320"/>
          <w:tab w:val="left" w:pos="5040"/>
          <w:tab w:val="left" w:pos="5760"/>
          <w:tab w:val="left" w:pos="8280"/>
        </w:tabs>
        <w:autoSpaceDE w:val="0"/>
        <w:autoSpaceDN w:val="0"/>
        <w:spacing w:line="360" w:lineRule="auto"/>
        <w:ind w:firstLine="482" w:firstLineChars="200"/>
        <w:rPr>
          <w:rFonts w:ascii="宋体" w:hAnsi="宋体" w:cs="宋体"/>
          <w:sz w:val="24"/>
        </w:rPr>
      </w:pPr>
      <w:r>
        <w:rPr>
          <w:rFonts w:hint="eastAsia" w:cs="宋体"/>
          <w:b/>
          <w:bCs/>
          <w:sz w:val="24"/>
        </w:rPr>
        <w:t>2、</w:t>
      </w:r>
      <w:r>
        <w:rPr>
          <w:rFonts w:hint="eastAsia" w:ascii="宋体" w:hAnsi="宋体" w:cs="宋体"/>
          <w:b/>
          <w:bCs/>
          <w:sz w:val="24"/>
        </w:rPr>
        <w:t>开标时间及地点</w:t>
      </w:r>
      <w:r>
        <w:rPr>
          <w:rFonts w:hint="eastAsia" w:ascii="宋体" w:hAnsi="宋体" w:cs="宋体"/>
          <w:sz w:val="24"/>
        </w:rPr>
        <w:t>：</w:t>
      </w:r>
      <w:r>
        <w:rPr>
          <w:rFonts w:hint="eastAsia" w:cs="宋体"/>
          <w:sz w:val="24"/>
        </w:rPr>
        <w:t>2024年</w:t>
      </w:r>
      <w:r>
        <w:rPr>
          <w:rFonts w:hint="eastAsia" w:cs="宋体"/>
          <w:sz w:val="24"/>
          <w:lang w:val="en-US" w:eastAsia="zh-CN"/>
        </w:rPr>
        <w:t>4</w:t>
      </w:r>
      <w:r>
        <w:rPr>
          <w:rFonts w:hint="eastAsia" w:cs="宋体"/>
          <w:sz w:val="24"/>
        </w:rPr>
        <w:t>月</w:t>
      </w:r>
      <w:r>
        <w:rPr>
          <w:rFonts w:hint="eastAsia" w:cs="宋体"/>
          <w:sz w:val="24"/>
          <w:lang w:val="en-US" w:eastAsia="zh-CN"/>
        </w:rPr>
        <w:t>29</w:t>
      </w:r>
      <w:r>
        <w:rPr>
          <w:rFonts w:hint="eastAsia" w:cs="宋体"/>
          <w:sz w:val="24"/>
        </w:rPr>
        <w:t>日9:00</w:t>
      </w:r>
      <w:r>
        <w:rPr>
          <w:rFonts w:hint="eastAsia" w:ascii="宋体" w:hAnsi="宋体" w:cs="宋体"/>
          <w:sz w:val="24"/>
        </w:rPr>
        <w:t>（北京时间），地点（网址）：政府采购云平台（www.zcygov.cn）实行在线投标响应</w:t>
      </w:r>
    </w:p>
    <w:p>
      <w:pPr>
        <w:pStyle w:val="44"/>
        <w:spacing w:line="360" w:lineRule="auto"/>
        <w:ind w:firstLine="482" w:firstLineChars="200"/>
        <w:rPr>
          <w:rFonts w:hint="default" w:cs="宋体"/>
        </w:rPr>
      </w:pPr>
      <w:r>
        <w:rPr>
          <w:rFonts w:cs="宋体"/>
          <w:b/>
          <w:bCs/>
        </w:rPr>
        <w:t>3、解密截止时间</w:t>
      </w:r>
      <w:r>
        <w:rPr>
          <w:rFonts w:cs="宋体"/>
        </w:rPr>
        <w:t>：</w:t>
      </w:r>
      <w:r>
        <w:rPr>
          <w:rFonts w:cs="宋体"/>
          <w:b/>
          <w:bCs/>
          <w:u w:val="single"/>
        </w:rPr>
        <w:t>开标时间后30分钟内（即2024年</w:t>
      </w:r>
      <w:r>
        <w:rPr>
          <w:rFonts w:hint="eastAsia" w:cs="宋体"/>
          <w:b/>
          <w:bCs/>
          <w:u w:val="single"/>
          <w:lang w:val="en-US" w:eastAsia="zh-CN"/>
        </w:rPr>
        <w:t>4</w:t>
      </w:r>
      <w:r>
        <w:rPr>
          <w:rFonts w:cs="宋体"/>
          <w:b/>
          <w:bCs/>
          <w:u w:val="single"/>
        </w:rPr>
        <w:t>月</w:t>
      </w:r>
      <w:r>
        <w:rPr>
          <w:rFonts w:hint="eastAsia" w:cs="宋体"/>
          <w:b/>
          <w:bCs/>
          <w:u w:val="single"/>
          <w:lang w:val="en-US" w:eastAsia="zh-CN"/>
        </w:rPr>
        <w:t>29</w:t>
      </w:r>
      <w:r>
        <w:rPr>
          <w:rFonts w:cs="宋体"/>
          <w:b/>
          <w:bCs/>
          <w:u w:val="single"/>
        </w:rPr>
        <w:t>日9:30前），供应商须登录“政采云”平台，用“项目采购-开标评标”功能解密投标文件，投标人未按时解密或解密失败的，其投标文件为无效标。</w:t>
      </w:r>
    </w:p>
    <w:p>
      <w:pPr>
        <w:pStyle w:val="15"/>
        <w:spacing w:line="360" w:lineRule="auto"/>
        <w:ind w:firstLine="436" w:firstLineChars="181"/>
        <w:rPr>
          <w:rFonts w:ascii="宋体" w:hAnsi="宋体" w:cs="宋体"/>
          <w:b/>
          <w:sz w:val="24"/>
          <w:szCs w:val="24"/>
        </w:rPr>
      </w:pPr>
      <w:r>
        <w:rPr>
          <w:rFonts w:hint="eastAsia" w:ascii="宋体" w:hAnsi="宋体" w:cs="宋体"/>
          <w:b/>
          <w:sz w:val="24"/>
          <w:szCs w:val="24"/>
        </w:rPr>
        <w:t>七、投标保证金：</w:t>
      </w:r>
    </w:p>
    <w:p>
      <w:pPr>
        <w:pStyle w:val="15"/>
        <w:spacing w:line="360" w:lineRule="auto"/>
        <w:ind w:firstLine="470" w:firstLineChars="196"/>
        <w:rPr>
          <w:rFonts w:ascii="宋体" w:hAnsi="宋体" w:cs="宋体"/>
          <w:sz w:val="24"/>
          <w:szCs w:val="24"/>
        </w:rPr>
      </w:pPr>
      <w:r>
        <w:rPr>
          <w:rFonts w:hint="eastAsia" w:ascii="宋体" w:hAnsi="宋体" w:cs="宋体"/>
          <w:sz w:val="24"/>
          <w:szCs w:val="24"/>
        </w:rPr>
        <w:t>本项目不需要交纳投标保证金。</w:t>
      </w:r>
    </w:p>
    <w:p>
      <w:pPr>
        <w:pStyle w:val="21"/>
        <w:ind w:firstLine="482" w:firstLineChars="200"/>
        <w:rPr>
          <w:rFonts w:ascii="宋体" w:hAnsi="宋体" w:cs="宋体"/>
        </w:rPr>
      </w:pPr>
      <w:r>
        <w:rPr>
          <w:rFonts w:hint="eastAsia" w:ascii="宋体" w:hAnsi="宋体" w:cs="宋体"/>
          <w:b/>
          <w:snapToGrid w:val="0"/>
          <w:kern w:val="28"/>
        </w:rPr>
        <w:t>八、电子招投标的说明</w:t>
      </w:r>
    </w:p>
    <w:p>
      <w:pPr>
        <w:snapToGrid w:val="0"/>
        <w:spacing w:line="440" w:lineRule="exact"/>
        <w:ind w:firstLine="480" w:firstLineChars="200"/>
        <w:rPr>
          <w:rFonts w:ascii="宋体" w:hAnsi="宋体" w:cs="宋体"/>
          <w:sz w:val="24"/>
        </w:rPr>
      </w:pPr>
      <w:r>
        <w:rPr>
          <w:rFonts w:hint="eastAsia" w:ascii="宋体" w:hAnsi="宋体" w:cs="宋体"/>
          <w:sz w:val="24"/>
        </w:rPr>
        <w:t>1、本项目实行电子招投标，通过“政府采购云平台（www.zcygov.cn）”实行在线投标响应（电子投标），供应商应先安装“政采云电子交易客户端”，并按照本项目招标文件和“政府采购云平台”的相关要求，通过“政采云电子交易客户端”编制并加密投标文件。</w:t>
      </w:r>
      <w:r>
        <w:rPr>
          <w:rFonts w:hint="eastAsia" w:ascii="宋体" w:hAnsi="宋体" w:cs="宋体"/>
          <w:b/>
          <w:bCs/>
          <w:sz w:val="24"/>
        </w:rPr>
        <w:t>供应商未按规定加密的投标文件，“政府采购云平台”将予以拒收。</w:t>
      </w:r>
      <w:r>
        <w:rPr>
          <w:rFonts w:hint="eastAsia" w:ascii="宋体" w:hAnsi="宋体" w:cs="宋体"/>
          <w:sz w:val="24"/>
        </w:rPr>
        <w:t>通过“政府采购云平台”参与在线投标时如遇平台技术问题详询400-881-7190。</w:t>
      </w:r>
    </w:p>
    <w:p>
      <w:pPr>
        <w:snapToGrid w:val="0"/>
        <w:spacing w:line="440" w:lineRule="exact"/>
        <w:ind w:firstLine="480" w:firstLineChars="200"/>
        <w:rPr>
          <w:rFonts w:ascii="宋体" w:hAnsi="宋体" w:cs="宋体"/>
          <w:sz w:val="24"/>
        </w:rPr>
      </w:pPr>
      <w:r>
        <w:rPr>
          <w:rFonts w:hint="eastAsia" w:ascii="宋体" w:hAnsi="宋体" w:cs="宋体"/>
          <w:sz w:val="24"/>
        </w:rPr>
        <w:t>2、为确保投标的合法、有效和安全，供应商应当在投标截止时间前完成电子交易所需的CA数字证书办理（制作电子投标文件时需使用CA数字证书，具体办理流程详见“浙江政府采购网”的“下载专区-电子交易客户端-CA驱动和申领流程”， 因未办理CA数字证书等原因造成无法投标或投标失败等后果由供应商自行承担）。</w:t>
      </w:r>
      <w:r>
        <w:rPr>
          <w:rFonts w:hint="eastAsia" w:ascii="宋体" w:hAnsi="宋体" w:cs="宋体"/>
          <w:b/>
          <w:sz w:val="24"/>
        </w:rPr>
        <w:t>完成CA数字证书办理时间预计一周左右，请各投标人自行把握时间。</w:t>
      </w:r>
    </w:p>
    <w:p>
      <w:pPr>
        <w:snapToGrid w:val="0"/>
        <w:spacing w:line="440" w:lineRule="exact"/>
        <w:ind w:firstLine="480" w:firstLineChars="200"/>
        <w:rPr>
          <w:rFonts w:ascii="宋体" w:hAnsi="宋体" w:cs="宋体"/>
          <w:sz w:val="24"/>
        </w:rPr>
      </w:pPr>
      <w:r>
        <w:rPr>
          <w:rFonts w:hint="eastAsia" w:ascii="宋体" w:hAnsi="宋体" w:cs="宋体"/>
          <w:sz w:val="24"/>
        </w:rPr>
        <w:t>3、供应商须通过政采云平台的“政采云电子交易客户端”制作投标文件，“政采云电子交易客户端”请供应商自行前往浙江政府采购网下载并安装（客户端下载地址：“浙江政府采购网”的“下载专区-电子交易客户端-政采云电子交易客户端”，电子投标相关操作详见https://service.zcygov.cn/#/help/superior）。</w:t>
      </w:r>
    </w:p>
    <w:p>
      <w:pPr>
        <w:snapToGrid w:val="0"/>
        <w:spacing w:line="440" w:lineRule="exact"/>
        <w:ind w:firstLine="480" w:firstLineChars="200"/>
        <w:rPr>
          <w:rFonts w:ascii="宋体" w:hAnsi="宋体" w:cs="宋体"/>
          <w:b/>
          <w:bCs/>
          <w:sz w:val="24"/>
        </w:rPr>
      </w:pPr>
      <w:r>
        <w:rPr>
          <w:rFonts w:hint="eastAsia" w:ascii="宋体" w:hAnsi="宋体" w:cs="宋体"/>
          <w:sz w:val="24"/>
        </w:rPr>
        <w:t>4、供应商应当在投标截止时间前完成电子投标文件的上传，投标截止时间前可以补充、修改或者撤回电子投标文件。补充或者修改电子投标文件的，应当先行撤回原文件，补充、修改后重新上传。投标截止时间前未完成上传的，视为撤回投标文件。</w:t>
      </w:r>
      <w:r>
        <w:rPr>
          <w:rFonts w:hint="eastAsia" w:ascii="宋体" w:hAnsi="宋体" w:cs="宋体"/>
          <w:b/>
          <w:bCs/>
          <w:sz w:val="24"/>
        </w:rPr>
        <w:t>投标截止时间后传输、递交的投标文件，将被拒收。</w:t>
      </w:r>
    </w:p>
    <w:p>
      <w:pPr>
        <w:snapToGrid w:val="0"/>
        <w:spacing w:line="440" w:lineRule="exact"/>
        <w:ind w:firstLine="480" w:firstLineChars="200"/>
        <w:rPr>
          <w:rFonts w:ascii="宋体" w:hAnsi="宋体" w:cs="宋体"/>
          <w:b/>
          <w:bCs/>
          <w:sz w:val="24"/>
        </w:rPr>
      </w:pPr>
      <w:r>
        <w:rPr>
          <w:rFonts w:hint="eastAsia" w:ascii="宋体" w:hAnsi="宋体" w:cs="宋体"/>
          <w:sz w:val="24"/>
        </w:rPr>
        <w:t>5、现阶段为电子交易试运行阶段，为保证项目顺利开展，</w:t>
      </w:r>
      <w:r>
        <w:rPr>
          <w:rFonts w:hint="eastAsia" w:ascii="宋体" w:hAnsi="宋体" w:cs="宋体"/>
          <w:b/>
          <w:bCs/>
          <w:sz w:val="24"/>
        </w:rPr>
        <w:t>本项目需要投标人同时提供电子备份标书（后缀名为“.bfbs”，以U盘或光盘等形式提供）和纸质投标文件</w:t>
      </w:r>
      <w:r>
        <w:rPr>
          <w:rStyle w:val="55"/>
          <w:rFonts w:hint="eastAsia" w:cs="Arial" w:asciiTheme="minorEastAsia" w:hAnsiTheme="minorEastAsia" w:eastAsiaTheme="minorEastAsia"/>
          <w:b/>
          <w:bCs/>
          <w:color w:val="auto"/>
          <w:sz w:val="24"/>
        </w:rPr>
        <w:t>（自愿提供，非实质性要求，因无法读取的后果由投标人自行承担）</w:t>
      </w:r>
      <w:r>
        <w:rPr>
          <w:rFonts w:hint="eastAsia" w:ascii="宋体" w:hAnsi="宋体" w:cs="宋体"/>
          <w:b/>
          <w:bCs/>
          <w:sz w:val="24"/>
        </w:rPr>
        <w:t>，</w:t>
      </w:r>
      <w:r>
        <w:rPr>
          <w:rFonts w:hint="eastAsia" w:ascii="宋体" w:hAnsi="宋体" w:cs="宋体"/>
          <w:sz w:val="24"/>
        </w:rPr>
        <w:t>按要求各自装袋密封并在投标截止日期前一天下午16：00之前通过邮寄方式送至台州市玖诚工程管理有限公司（地址：浙江省台州市椒江区解放南路道台里文创院），</w:t>
      </w:r>
      <w:r>
        <w:rPr>
          <w:rFonts w:hint="eastAsia" w:ascii="宋体" w:hAnsi="宋体" w:cs="宋体"/>
          <w:b/>
          <w:bCs/>
          <w:sz w:val="24"/>
        </w:rPr>
        <w:t>请充分考虑快递运输所需的时间，确保在投标截止时间前送达，逾期寄达或未按要求密封将被拒收。</w:t>
      </w:r>
    </w:p>
    <w:p>
      <w:pPr>
        <w:pStyle w:val="21"/>
        <w:spacing w:line="360" w:lineRule="auto"/>
        <w:ind w:firstLine="480" w:firstLineChars="200"/>
        <w:rPr>
          <w:rFonts w:ascii="宋体" w:hAnsi="宋体" w:cs="宋体"/>
        </w:rPr>
      </w:pPr>
      <w:r>
        <w:rPr>
          <w:rFonts w:hint="eastAsia"/>
        </w:rPr>
        <w:t>▲</w:t>
      </w:r>
      <w:r>
        <w:rPr>
          <w:rFonts w:hint="eastAsia" w:ascii="宋体" w:hAnsi="宋体" w:cs="宋体"/>
        </w:rPr>
        <w:t>6、投标文件启用顺序和效力：</w:t>
      </w:r>
      <w:r>
        <w:rPr>
          <w:rFonts w:hint="eastAsia" w:ascii="宋体" w:hAnsi="宋体" w:cs="宋体"/>
          <w:b/>
          <w:bCs/>
        </w:rPr>
        <w:t>投标文件的启用，按先后顺位分别为电子投标文件、备份投标文件。</w:t>
      </w:r>
      <w:r>
        <w:rPr>
          <w:rFonts w:hint="eastAsia" w:ascii="宋体" w:hAnsi="宋体" w:cs="宋体"/>
        </w:rPr>
        <w:t>全部投标人的电子投标文件均已按时解密的，电子备份文件和纸质投标文件自动失效，若有供应商发生解密异常时，可以申请由采购代理机构使用电子备份标书上传处理，供应商的电子标书解密和备份标书解密均失败或逾期解密的，投标文件将作无效标处理。</w:t>
      </w:r>
      <w:r>
        <w:rPr>
          <w:rFonts w:hint="eastAsia" w:ascii="宋体" w:hAnsi="宋体" w:cs="宋体"/>
          <w:b/>
          <w:bCs/>
          <w:u w:val="single"/>
        </w:rPr>
        <w:t>投标人仅提交备份投标文件，没有在电子交易平台传输递交“电子加密投标文件”的，投标无效。</w:t>
      </w:r>
    </w:p>
    <w:p>
      <w:pPr>
        <w:spacing w:line="360" w:lineRule="auto"/>
        <w:ind w:firstLine="482" w:firstLineChars="200"/>
        <w:rPr>
          <w:rFonts w:ascii="宋体" w:hAnsi="宋体" w:cs="宋体"/>
          <w:b/>
          <w:sz w:val="24"/>
        </w:rPr>
      </w:pPr>
      <w:r>
        <w:rPr>
          <w:rFonts w:hint="eastAsia" w:ascii="宋体" w:hAnsi="宋体" w:cs="宋体"/>
          <w:b/>
          <w:sz w:val="24"/>
        </w:rPr>
        <w:t>九、投标人信用信息查询渠道及截止时点、信用信息查询记录和证据留存的具体方式、信用信息的使用规则：</w:t>
      </w:r>
    </w:p>
    <w:p>
      <w:pPr>
        <w:numPr>
          <w:ilvl w:val="0"/>
          <w:numId w:val="10"/>
        </w:numPr>
        <w:spacing w:line="360" w:lineRule="auto"/>
        <w:ind w:firstLine="480" w:firstLineChars="200"/>
        <w:rPr>
          <w:rFonts w:ascii="宋体" w:hAnsi="宋体" w:cs="宋体"/>
          <w:sz w:val="24"/>
        </w:rPr>
      </w:pPr>
      <w:r>
        <w:rPr>
          <w:rFonts w:hint="eastAsia" w:ascii="宋体" w:hAnsi="宋体" w:cs="宋体"/>
          <w:sz w:val="24"/>
        </w:rPr>
        <w:t>查询渠道：信用中国（www.creditchina.gov.cn）、中国政府采购网（www.ccgp.gov.cn）、信用浙江（credit.zj.gov.cn)。</w:t>
      </w:r>
    </w:p>
    <w:p>
      <w:pPr>
        <w:numPr>
          <w:ilvl w:val="0"/>
          <w:numId w:val="10"/>
        </w:numPr>
        <w:spacing w:line="360" w:lineRule="auto"/>
        <w:ind w:firstLine="480" w:firstLineChars="200"/>
        <w:rPr>
          <w:rFonts w:ascii="宋体" w:hAnsi="宋体" w:cs="宋体"/>
          <w:sz w:val="24"/>
        </w:rPr>
      </w:pPr>
      <w:r>
        <w:rPr>
          <w:rFonts w:hint="eastAsia" w:ascii="宋体" w:hAnsi="宋体" w:cs="宋体"/>
          <w:sz w:val="24"/>
        </w:rPr>
        <w:t>截止时点：开标后评标前。</w:t>
      </w:r>
    </w:p>
    <w:p>
      <w:pPr>
        <w:numPr>
          <w:ilvl w:val="0"/>
          <w:numId w:val="10"/>
        </w:numPr>
        <w:spacing w:line="360" w:lineRule="auto"/>
        <w:ind w:firstLine="480" w:firstLineChars="200"/>
        <w:rPr>
          <w:rFonts w:ascii="宋体" w:hAnsi="宋体" w:cs="宋体"/>
          <w:sz w:val="24"/>
        </w:rPr>
      </w:pPr>
      <w:r>
        <w:rPr>
          <w:rFonts w:hint="eastAsia" w:ascii="宋体" w:hAnsi="宋体" w:cs="宋体"/>
          <w:sz w:val="24"/>
        </w:rPr>
        <w:t>信用信息查询记录和证据留存的具体方式：由采购组织机构在规定查询时间内查询信用信息记录并归入项目档案。</w:t>
      </w:r>
    </w:p>
    <w:p>
      <w:pPr>
        <w:numPr>
          <w:ilvl w:val="0"/>
          <w:numId w:val="10"/>
        </w:numPr>
        <w:spacing w:line="360" w:lineRule="auto"/>
        <w:ind w:firstLine="480" w:firstLineChars="200"/>
        <w:rPr>
          <w:rFonts w:ascii="宋体" w:hAnsi="宋体" w:cs="宋体"/>
          <w:sz w:val="24"/>
        </w:rPr>
      </w:pPr>
      <w:r>
        <w:rPr>
          <w:rFonts w:hint="eastAsia" w:ascii="宋体" w:hAnsi="宋体" w:cs="宋体"/>
          <w:sz w:val="24"/>
        </w:rPr>
        <w:t>使用规则：对列入失信被执行人、重大税收违法案件当事人名单、政府采购严重违法失信行为记录名单及其他不符合《中华人民共和国政府采购法》第二十二条规定条件的供应商，将被拒绝其参与采购活动。</w:t>
      </w:r>
    </w:p>
    <w:p>
      <w:pPr>
        <w:spacing w:line="360" w:lineRule="auto"/>
        <w:ind w:firstLine="482" w:firstLineChars="200"/>
        <w:rPr>
          <w:rFonts w:ascii="宋体" w:hAnsi="宋体" w:cs="宋体"/>
          <w:sz w:val="24"/>
        </w:rPr>
      </w:pPr>
      <w:r>
        <w:rPr>
          <w:rFonts w:hint="eastAsia" w:ascii="宋体" w:hAnsi="宋体" w:cs="宋体"/>
          <w:b/>
          <w:bCs/>
          <w:sz w:val="24"/>
        </w:rPr>
        <w:t>十、</w:t>
      </w:r>
      <w:r>
        <w:rPr>
          <w:rFonts w:hint="eastAsia" w:ascii="宋体" w:hAnsi="宋体" w:cs="宋体"/>
          <w:b/>
          <w:sz w:val="24"/>
        </w:rPr>
        <w:t>相关注意事项</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kern w:val="0"/>
          <w:sz w:val="24"/>
        </w:rPr>
        <w:t>1、本项目公告期限为5个工作日，</w:t>
      </w:r>
      <w:r>
        <w:rPr>
          <w:rFonts w:hint="eastAsia" w:ascii="宋体" w:hAnsi="宋体" w:cs="宋体"/>
          <w:sz w:val="24"/>
        </w:rPr>
        <w:t>供应商认为采购文件使自己的权益受到损害的，</w:t>
      </w:r>
      <w:r>
        <w:rPr>
          <w:rFonts w:hint="eastAsia" w:ascii="宋体" w:hAnsi="宋体" w:cs="宋体"/>
          <w:kern w:val="0"/>
          <w:sz w:val="24"/>
        </w:rPr>
        <w:t>可以自获取采购文件之日或者采购文件公告期限届满之日（公告期限届满后获取采购文件的，以公告期限届满之日为准）起7个工作日内</w:t>
      </w:r>
      <w:r>
        <w:rPr>
          <w:rFonts w:hint="eastAsia" w:ascii="宋体" w:hAnsi="宋体" w:cs="宋体"/>
          <w:sz w:val="24"/>
        </w:rPr>
        <w:t>，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ascii="宋体" w:hAnsi="宋体" w:cs="宋体"/>
          <w:sz w:val="24"/>
        </w:rPr>
      </w:pPr>
      <w:r>
        <w:rPr>
          <w:rFonts w:hint="eastAsia" w:ascii="宋体" w:hAnsi="宋体" w:cs="宋体"/>
          <w:sz w:val="24"/>
        </w:rPr>
        <w:t>2、本项目对符合财政扶持政策的中小企业（小型、微型）、监狱企业、残疾人福利性单位给予价格优惠扶持，执行节能产品政府强制采购和优先采购政策，执行环境标志产品政府优先采购政策。</w:t>
      </w:r>
    </w:p>
    <w:p>
      <w:pPr>
        <w:spacing w:line="360" w:lineRule="auto"/>
        <w:ind w:firstLine="480" w:firstLineChars="200"/>
        <w:rPr>
          <w:rFonts w:ascii="宋体" w:hAnsi="宋体" w:cs="宋体"/>
          <w:sz w:val="24"/>
        </w:rPr>
      </w:pPr>
      <w:r>
        <w:rPr>
          <w:rFonts w:hint="eastAsia" w:ascii="宋体" w:hAnsi="宋体" w:cs="宋体"/>
          <w:sz w:val="24"/>
        </w:rPr>
        <w:t>3、获取招标文件截止时间之后有潜在供应商提出获取招标文件的，采购机构将允许其报名获取，但该供应商如对招标文件有异议的，应于自采购文件公告期限届满之日起七个工作日内且在投标截止时间之前以书面形式向采购机构提出，逾期提出的，采购组织机构可不予受理、答复。</w:t>
      </w:r>
    </w:p>
    <w:p>
      <w:pPr>
        <w:spacing w:line="360" w:lineRule="auto"/>
        <w:ind w:firstLine="480" w:firstLineChars="200"/>
        <w:rPr>
          <w:rFonts w:ascii="宋体" w:hAnsi="宋体" w:cs="宋体"/>
          <w:sz w:val="24"/>
        </w:rPr>
      </w:pPr>
      <w:r>
        <w:rPr>
          <w:rFonts w:hint="eastAsia" w:ascii="宋体" w:hAnsi="宋体" w:cs="宋体"/>
          <w:sz w:val="24"/>
        </w:rPr>
        <w:t>4、根据《浙江省政府采购供应商注册及诚信管理暂行办法》浙财采监【2009】28号文件，请各投标供应商及时办理浙江政府采购网“政府采购供应商注册”手续。中标供应商必须在浙江政府采购网上进行正式注册入库，否则由此造成的后果由该供应商承担。</w:t>
      </w:r>
    </w:p>
    <w:p>
      <w:pPr>
        <w:spacing w:line="360" w:lineRule="auto"/>
        <w:ind w:firstLine="480" w:firstLineChars="200"/>
        <w:rPr>
          <w:rFonts w:ascii="宋体" w:hAnsi="宋体" w:cs="宋体"/>
          <w:sz w:val="24"/>
        </w:rPr>
      </w:pPr>
      <w:r>
        <w:rPr>
          <w:rFonts w:hint="eastAsia" w:ascii="宋体" w:hAnsi="宋体" w:cs="宋体"/>
          <w:sz w:val="24"/>
        </w:rPr>
        <w:t>5、本项目所有公告发布网站：“浙江政府采购网”（http://www.zjzfcg.gov.cn）。项目如有更正或澄清公告，请各供应商自行及时登陆上述网站查看，采购代理机构不再作出书面通知。</w:t>
      </w:r>
    </w:p>
    <w:p>
      <w:pPr>
        <w:spacing w:line="360" w:lineRule="auto"/>
        <w:ind w:firstLine="480" w:firstLineChars="200"/>
        <w:rPr>
          <w:rFonts w:ascii="宋体" w:hAnsi="宋体" w:cs="宋体"/>
          <w:sz w:val="24"/>
        </w:rPr>
      </w:pPr>
      <w:r>
        <w:rPr>
          <w:rFonts w:hint="eastAsia" w:ascii="宋体" w:hAnsi="宋体" w:cs="宋体"/>
          <w:sz w:val="24"/>
        </w:rPr>
        <w:t>6、本项目资格审查方式：资格后审。</w:t>
      </w:r>
    </w:p>
    <w:p>
      <w:pPr>
        <w:spacing w:line="360" w:lineRule="auto"/>
        <w:ind w:firstLine="482" w:firstLineChars="200"/>
        <w:rPr>
          <w:rFonts w:ascii="宋体" w:hAnsi="宋体" w:cs="宋体"/>
          <w:b/>
          <w:sz w:val="24"/>
        </w:rPr>
      </w:pPr>
      <w:r>
        <w:rPr>
          <w:rFonts w:hint="eastAsia" w:ascii="宋体" w:hAnsi="宋体" w:cs="宋体"/>
          <w:b/>
          <w:sz w:val="24"/>
        </w:rPr>
        <w:t>十一、联系方式：</w:t>
      </w:r>
    </w:p>
    <w:p>
      <w:pPr>
        <w:spacing w:line="360" w:lineRule="auto"/>
        <w:ind w:firstLine="480" w:firstLineChars="200"/>
        <w:rPr>
          <w:rFonts w:ascii="宋体" w:hAnsi="宋体" w:cs="宋体"/>
          <w:sz w:val="24"/>
        </w:rPr>
      </w:pPr>
      <w:r>
        <w:rPr>
          <w:rFonts w:hint="eastAsia" w:ascii="宋体" w:hAnsi="宋体" w:cs="宋体"/>
          <w:sz w:val="24"/>
        </w:rPr>
        <w:t>名    称：台州市玖诚工程管理有限公司</w:t>
      </w:r>
    </w:p>
    <w:p>
      <w:pPr>
        <w:spacing w:line="360" w:lineRule="auto"/>
        <w:ind w:firstLine="480" w:firstLineChars="200"/>
        <w:rPr>
          <w:rFonts w:ascii="宋体" w:hAnsi="宋体" w:cs="宋体"/>
          <w:sz w:val="24"/>
        </w:rPr>
      </w:pPr>
      <w:r>
        <w:rPr>
          <w:rFonts w:hint="eastAsia" w:ascii="宋体" w:hAnsi="宋体" w:cs="宋体"/>
          <w:sz w:val="24"/>
        </w:rPr>
        <w:t>联 系 人：辛赛珠</w:t>
      </w:r>
    </w:p>
    <w:p>
      <w:pPr>
        <w:spacing w:line="360" w:lineRule="auto"/>
        <w:ind w:firstLine="480" w:firstLineChars="200"/>
        <w:rPr>
          <w:rFonts w:ascii="宋体" w:hAnsi="宋体" w:cs="宋体"/>
          <w:sz w:val="24"/>
        </w:rPr>
      </w:pPr>
      <w:r>
        <w:rPr>
          <w:rFonts w:hint="eastAsia" w:ascii="宋体" w:hAnsi="宋体" w:cs="宋体"/>
          <w:sz w:val="24"/>
        </w:rPr>
        <w:t>联系电话：18042466090</w:t>
      </w:r>
    </w:p>
    <w:p>
      <w:pPr>
        <w:spacing w:line="360" w:lineRule="auto"/>
        <w:ind w:firstLine="480" w:firstLineChars="200"/>
        <w:rPr>
          <w:rFonts w:ascii="宋体" w:hAnsi="宋体" w:cs="宋体"/>
          <w:sz w:val="24"/>
        </w:rPr>
      </w:pPr>
      <w:r>
        <w:rPr>
          <w:rFonts w:hint="eastAsia" w:ascii="宋体" w:hAnsi="宋体" w:cs="宋体"/>
          <w:sz w:val="24"/>
        </w:rPr>
        <w:t>联 系 人：鲍丹芬（受理质疑）　</w:t>
      </w:r>
    </w:p>
    <w:p>
      <w:pPr>
        <w:spacing w:line="360" w:lineRule="auto"/>
        <w:ind w:firstLine="480" w:firstLineChars="200"/>
        <w:rPr>
          <w:rFonts w:ascii="宋体" w:hAnsi="宋体" w:cs="宋体"/>
          <w:sz w:val="24"/>
        </w:rPr>
      </w:pPr>
      <w:r>
        <w:rPr>
          <w:rFonts w:hint="eastAsia" w:ascii="宋体" w:hAnsi="宋体" w:cs="宋体"/>
          <w:sz w:val="24"/>
        </w:rPr>
        <w:t>联系电话：17852397152</w:t>
      </w:r>
    </w:p>
    <w:p>
      <w:pPr>
        <w:spacing w:line="360" w:lineRule="auto"/>
        <w:ind w:firstLine="480" w:firstLineChars="200"/>
        <w:rPr>
          <w:rFonts w:ascii="宋体" w:hAnsi="宋体" w:cs="宋体"/>
          <w:sz w:val="24"/>
        </w:rPr>
      </w:pPr>
      <w:r>
        <w:rPr>
          <w:rFonts w:hint="eastAsia" w:ascii="宋体" w:hAnsi="宋体" w:cs="宋体"/>
          <w:sz w:val="24"/>
        </w:rPr>
        <w:t>地    址：浙江省台州市椒江区海门街道解放南路291弄道台里文创园</w:t>
      </w:r>
    </w:p>
    <w:p>
      <w:pPr>
        <w:spacing w:line="360" w:lineRule="auto"/>
        <w:ind w:firstLine="482" w:firstLineChars="200"/>
        <w:rPr>
          <w:rFonts w:ascii="宋体" w:hAnsi="宋体" w:cs="宋体"/>
          <w:b/>
          <w:sz w:val="24"/>
        </w:rPr>
      </w:pPr>
      <w:r>
        <w:rPr>
          <w:rFonts w:hint="eastAsia" w:ascii="宋体" w:hAnsi="宋体" w:cs="宋体"/>
          <w:b/>
          <w:sz w:val="24"/>
        </w:rPr>
        <w:t>（二）采购人</w:t>
      </w:r>
    </w:p>
    <w:p>
      <w:pPr>
        <w:spacing w:line="360" w:lineRule="auto"/>
        <w:ind w:firstLine="480" w:firstLineChars="200"/>
        <w:rPr>
          <w:rFonts w:ascii="宋体" w:hAnsi="宋体" w:cs="宋体"/>
          <w:sz w:val="24"/>
        </w:rPr>
      </w:pPr>
      <w:r>
        <w:rPr>
          <w:rFonts w:hint="eastAsia" w:ascii="宋体" w:hAnsi="宋体" w:cs="宋体"/>
          <w:sz w:val="24"/>
        </w:rPr>
        <w:t>名    称：台州市三梅中学</w:t>
      </w:r>
    </w:p>
    <w:p>
      <w:pPr>
        <w:spacing w:line="360" w:lineRule="auto"/>
        <w:ind w:firstLine="480" w:firstLineChars="200"/>
        <w:rPr>
          <w:rFonts w:ascii="宋体" w:hAnsi="宋体" w:cs="宋体"/>
          <w:sz w:val="24"/>
        </w:rPr>
      </w:pPr>
      <w:r>
        <w:rPr>
          <w:rFonts w:hint="eastAsia" w:ascii="宋体" w:hAnsi="宋体" w:cs="宋体"/>
          <w:sz w:val="24"/>
        </w:rPr>
        <w:t>联 系 人：叶老师</w:t>
      </w:r>
    </w:p>
    <w:p>
      <w:pPr>
        <w:spacing w:line="360" w:lineRule="auto"/>
        <w:ind w:firstLine="480" w:firstLineChars="200"/>
        <w:rPr>
          <w:rFonts w:ascii="宋体" w:hAnsi="宋体" w:cs="宋体"/>
          <w:sz w:val="24"/>
        </w:rPr>
      </w:pPr>
      <w:r>
        <w:rPr>
          <w:rFonts w:hint="eastAsia" w:ascii="宋体" w:hAnsi="宋体" w:cs="宋体"/>
          <w:sz w:val="24"/>
        </w:rPr>
        <w:t>联系电话：13515766511</w:t>
      </w:r>
    </w:p>
    <w:p>
      <w:pPr>
        <w:spacing w:line="360" w:lineRule="auto"/>
        <w:ind w:firstLine="480" w:firstLineChars="200"/>
        <w:rPr>
          <w:rFonts w:hint="eastAsia" w:ascii="宋体" w:hAnsi="宋体" w:cs="宋体"/>
          <w:sz w:val="24"/>
        </w:rPr>
      </w:pPr>
      <w:r>
        <w:rPr>
          <w:rFonts w:hint="eastAsia" w:ascii="宋体" w:hAnsi="宋体" w:cs="宋体"/>
          <w:sz w:val="24"/>
        </w:rPr>
        <w:t>联 系 人：叶老师　</w:t>
      </w:r>
    </w:p>
    <w:p>
      <w:pPr>
        <w:spacing w:line="360" w:lineRule="auto"/>
        <w:ind w:firstLine="480" w:firstLineChars="200"/>
        <w:rPr>
          <w:rFonts w:hint="eastAsia" w:ascii="宋体" w:hAnsi="宋体" w:cs="宋体"/>
          <w:sz w:val="24"/>
        </w:rPr>
      </w:pPr>
      <w:r>
        <w:rPr>
          <w:rFonts w:hint="eastAsia" w:ascii="宋体" w:hAnsi="宋体" w:cs="宋体"/>
          <w:sz w:val="24"/>
        </w:rPr>
        <w:t>联系电话：13515766511</w:t>
      </w:r>
    </w:p>
    <w:p>
      <w:pPr>
        <w:spacing w:line="360" w:lineRule="auto"/>
        <w:ind w:firstLine="480" w:firstLineChars="200"/>
        <w:rPr>
          <w:rFonts w:hint="eastAsia" w:ascii="宋体" w:hAnsi="宋体" w:cs="宋体"/>
          <w:sz w:val="24"/>
        </w:rPr>
      </w:pPr>
      <w:r>
        <w:rPr>
          <w:rFonts w:hint="eastAsia" w:ascii="宋体" w:hAnsi="宋体" w:cs="宋体"/>
          <w:sz w:val="24"/>
        </w:rPr>
        <w:t>地    址：台州市椒江区</w:t>
      </w:r>
    </w:p>
    <w:p>
      <w:pPr>
        <w:spacing w:line="360" w:lineRule="auto"/>
        <w:ind w:firstLine="482" w:firstLineChars="200"/>
        <w:rPr>
          <w:rFonts w:ascii="宋体" w:hAnsi="宋体" w:cs="宋体"/>
          <w:b/>
          <w:sz w:val="24"/>
        </w:rPr>
      </w:pPr>
      <w:r>
        <w:rPr>
          <w:rFonts w:hint="eastAsia" w:ascii="宋体" w:hAnsi="宋体" w:cs="宋体"/>
          <w:b/>
          <w:sz w:val="24"/>
        </w:rPr>
        <w:t>（三）同级政府采购监督管理部门</w:t>
      </w:r>
    </w:p>
    <w:p>
      <w:pPr>
        <w:widowControl/>
        <w:spacing w:line="360" w:lineRule="auto"/>
        <w:ind w:firstLine="480" w:firstLineChars="200"/>
        <w:rPr>
          <w:rFonts w:ascii="宋体" w:hAnsi="宋体" w:cs="宋体"/>
          <w:sz w:val="24"/>
        </w:rPr>
      </w:pPr>
      <w:r>
        <w:rPr>
          <w:rFonts w:hint="eastAsia" w:ascii="宋体" w:hAnsi="宋体" w:cs="宋体"/>
          <w:sz w:val="24"/>
        </w:rPr>
        <w:t>名    称：台州市财政局</w:t>
      </w:r>
    </w:p>
    <w:p>
      <w:pPr>
        <w:widowControl/>
        <w:spacing w:line="360" w:lineRule="auto"/>
        <w:ind w:firstLine="480" w:firstLineChars="200"/>
        <w:rPr>
          <w:rFonts w:ascii="宋体" w:hAnsi="宋体" w:cs="宋体"/>
          <w:sz w:val="24"/>
        </w:rPr>
      </w:pPr>
      <w:r>
        <w:rPr>
          <w:rFonts w:hint="eastAsia" w:ascii="宋体" w:hAnsi="宋体" w:cs="宋体"/>
          <w:sz w:val="24"/>
        </w:rPr>
        <w:t xml:space="preserve">联 系 人：陈老师/李女士                   </w:t>
      </w:r>
    </w:p>
    <w:p>
      <w:pPr>
        <w:widowControl/>
        <w:spacing w:line="360" w:lineRule="auto"/>
        <w:ind w:firstLine="480" w:firstLineChars="200"/>
        <w:rPr>
          <w:rFonts w:ascii="宋体" w:hAnsi="宋体" w:cs="宋体"/>
          <w:sz w:val="24"/>
        </w:rPr>
      </w:pPr>
      <w:r>
        <w:rPr>
          <w:rFonts w:hint="eastAsia" w:ascii="宋体" w:hAnsi="宋体" w:cs="宋体"/>
          <w:sz w:val="24"/>
        </w:rPr>
        <w:t>监督电话：</w:t>
      </w:r>
      <w:r>
        <w:rPr>
          <w:rFonts w:hint="eastAsia" w:asciiTheme="minorEastAsia" w:hAnsiTheme="minorEastAsia" w:eastAsiaTheme="minorEastAsia" w:cstheme="minorEastAsia"/>
          <w:sz w:val="24"/>
        </w:rPr>
        <w:t>0576-88206705/0576-88206731</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地    址：浙江省台州市高新区纬一路66号</w:t>
      </w:r>
    </w:p>
    <w:p>
      <w:pPr>
        <w:pStyle w:val="44"/>
        <w:rPr>
          <w:rFonts w:hint="default" w:cs="宋体"/>
          <w:kern w:val="2"/>
        </w:rPr>
      </w:pPr>
      <w:r>
        <w:rPr>
          <w:rFonts w:cs="宋体"/>
          <w:kern w:val="2"/>
        </w:rPr>
        <w:t>若对项目采购电子交易系统操作有疑问，可登录政采云（https://www.zcygov.cn/），点击右侧咨询小采，获取采小蜜智能服务管家帮助，或拨打政采云服务热线400-881-7190获取热线服务帮助。       </w:t>
      </w:r>
    </w:p>
    <w:p>
      <w:pPr>
        <w:pStyle w:val="62"/>
        <w:rPr>
          <w:rFonts w:cs="宋体"/>
          <w:kern w:val="2"/>
          <w:szCs w:val="24"/>
          <w:lang w:val="en-US"/>
        </w:rPr>
      </w:pPr>
      <w:r>
        <w:rPr>
          <w:rFonts w:hint="eastAsia" w:cs="宋体"/>
          <w:kern w:val="2"/>
          <w:szCs w:val="24"/>
          <w:lang w:val="en-US"/>
        </w:rPr>
        <w:t>CA问题联系电话（人工）：汇信CA 400-888-4636；天谷CA 400-087-8198。</w:t>
      </w:r>
    </w:p>
    <w:p>
      <w:pPr>
        <w:pStyle w:val="62"/>
        <w:rPr>
          <w:rFonts w:cs="宋体"/>
          <w:szCs w:val="24"/>
        </w:rPr>
      </w:pPr>
    </w:p>
    <w:p>
      <w:pPr>
        <w:pStyle w:val="62"/>
        <w:rPr>
          <w:rFonts w:cs="宋体"/>
          <w:szCs w:val="24"/>
        </w:rPr>
      </w:pPr>
    </w:p>
    <w:p>
      <w:pPr>
        <w:rPr>
          <w:rFonts w:ascii="宋体" w:hAnsi="宋体" w:cs="宋体"/>
          <w:b/>
          <w:sz w:val="36"/>
          <w:szCs w:val="36"/>
        </w:rPr>
      </w:pPr>
      <w:r>
        <w:rPr>
          <w:rFonts w:hint="eastAsia" w:ascii="宋体" w:hAnsi="宋体" w:cs="宋体"/>
          <w:b/>
          <w:sz w:val="36"/>
          <w:szCs w:val="36"/>
        </w:rPr>
        <w:br w:type="page"/>
      </w:r>
    </w:p>
    <w:p>
      <w:pPr>
        <w:spacing w:line="360" w:lineRule="auto"/>
        <w:jc w:val="center"/>
        <w:rPr>
          <w:rFonts w:ascii="宋体" w:hAnsi="宋体" w:cs="宋体"/>
          <w:b/>
          <w:sz w:val="36"/>
          <w:szCs w:val="36"/>
        </w:rPr>
      </w:pPr>
      <w:r>
        <w:rPr>
          <w:rFonts w:hint="eastAsia" w:ascii="宋体" w:hAnsi="宋体" w:cs="宋体"/>
          <w:b/>
          <w:sz w:val="36"/>
          <w:szCs w:val="36"/>
        </w:rPr>
        <w:t>第二章  投标人须知</w:t>
      </w:r>
    </w:p>
    <w:p>
      <w:pPr>
        <w:spacing w:line="360" w:lineRule="auto"/>
        <w:jc w:val="center"/>
        <w:rPr>
          <w:rFonts w:ascii="宋体" w:hAnsi="宋体" w:cs="宋体"/>
          <w:b/>
          <w:sz w:val="24"/>
        </w:rPr>
      </w:pPr>
      <w:r>
        <w:rPr>
          <w:rFonts w:hint="eastAsia" w:ascii="宋体" w:hAnsi="宋体" w:cs="宋体"/>
          <w:b/>
          <w:sz w:val="24"/>
        </w:rPr>
        <w:t>前  附  表</w:t>
      </w:r>
    </w:p>
    <w:tbl>
      <w:tblPr>
        <w:tblStyle w:val="48"/>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2210"/>
        <w:gridCol w:w="6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序号</w:t>
            </w:r>
          </w:p>
        </w:tc>
        <w:tc>
          <w:tcPr>
            <w:tcW w:w="22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项    目</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22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供应商特定资格要求</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w:t>
            </w:r>
          </w:p>
        </w:tc>
        <w:tc>
          <w:tcPr>
            <w:tcW w:w="22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kern w:val="0"/>
                <w:szCs w:val="21"/>
              </w:rPr>
              <w:t>答疑会或</w:t>
            </w:r>
            <w:r>
              <w:rPr>
                <w:rFonts w:hint="eastAsia" w:ascii="宋体" w:hAnsi="宋体" w:cs="宋体"/>
                <w:szCs w:val="21"/>
              </w:rPr>
              <w:t>现场踏勘</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9"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3</w:t>
            </w:r>
          </w:p>
        </w:tc>
        <w:tc>
          <w:tcPr>
            <w:tcW w:w="22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电子投标要求</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投标人须按照招标文件和电子交易平台的要求</w:t>
            </w:r>
            <w:r>
              <w:rPr>
                <w:rFonts w:hint="eastAsia" w:ascii="宋体" w:hAnsi="宋体" w:cs="宋体"/>
                <w:szCs w:val="21"/>
              </w:rPr>
              <w:t>编制、加密并提交</w:t>
            </w:r>
            <w:r>
              <w:rPr>
                <w:rFonts w:hint="eastAsia"/>
                <w:szCs w:val="21"/>
              </w:rPr>
              <w:t>投标文件。未按规定加密的投标文件，将被拒收。</w:t>
            </w:r>
          </w:p>
          <w:p>
            <w:pPr>
              <w:spacing w:line="360" w:lineRule="auto"/>
              <w:rPr>
                <w:b/>
                <w:bCs/>
                <w:szCs w:val="21"/>
                <w:u w:val="single"/>
              </w:rPr>
            </w:pPr>
            <w:r>
              <w:rPr>
                <w:rFonts w:hint="eastAsia"/>
                <w:b/>
                <w:bCs/>
                <w:szCs w:val="21"/>
                <w:u w:val="single"/>
              </w:rPr>
              <w:t>截止时间：北京时间2024年</w:t>
            </w:r>
            <w:r>
              <w:rPr>
                <w:rFonts w:hint="eastAsia"/>
                <w:b/>
                <w:bCs/>
                <w:szCs w:val="21"/>
                <w:u w:val="single"/>
                <w:lang w:val="en-US" w:eastAsia="zh-CN"/>
              </w:rPr>
              <w:t>4</w:t>
            </w:r>
            <w:r>
              <w:rPr>
                <w:rFonts w:hint="eastAsia"/>
                <w:b/>
                <w:bCs/>
                <w:szCs w:val="21"/>
                <w:u w:val="single"/>
              </w:rPr>
              <w:t>月</w:t>
            </w:r>
            <w:r>
              <w:rPr>
                <w:rFonts w:hint="eastAsia"/>
                <w:b/>
                <w:bCs/>
                <w:szCs w:val="21"/>
                <w:u w:val="single"/>
                <w:lang w:val="en-US" w:eastAsia="zh-CN"/>
              </w:rPr>
              <w:t>29</w:t>
            </w:r>
            <w:r>
              <w:rPr>
                <w:rFonts w:hint="eastAsia"/>
                <w:b/>
                <w:bCs/>
                <w:szCs w:val="21"/>
                <w:u w:val="single"/>
              </w:rPr>
              <w:t>日9:00</w:t>
            </w:r>
          </w:p>
          <w:p>
            <w:pPr>
              <w:spacing w:line="360" w:lineRule="auto"/>
              <w:rPr>
                <w:szCs w:val="21"/>
              </w:rPr>
            </w:pPr>
            <w:r>
              <w:rPr>
                <w:rFonts w:hint="eastAsia"/>
                <w:szCs w:val="21"/>
              </w:rPr>
              <w:t>投标人应当在投标截止时间前完成投标文件的传输递交，</w:t>
            </w:r>
            <w:r>
              <w:rPr>
                <w:rFonts w:hint="eastAsia" w:ascii="宋体" w:hAnsi="宋体" w:cs="宋体"/>
                <w:szCs w:val="21"/>
              </w:rPr>
              <w:t>投标截止时间前可以补充、修改或者撤回电子投标文件。补充或者修改电子投标文件的，应当先行撤回原文件，补充、修改后重新传输递交。投标截止时间前未完成传输的，视为撤回投标文件</w:t>
            </w:r>
            <w:r>
              <w:rPr>
                <w:rFonts w:hint="eastAsia"/>
                <w:szCs w:val="21"/>
              </w:rPr>
              <w:t>。逾期上传的投标文件恕不接受。</w:t>
            </w:r>
          </w:p>
          <w:p>
            <w:pPr>
              <w:pStyle w:val="21"/>
              <w:spacing w:line="360" w:lineRule="auto"/>
              <w:rPr>
                <w:sz w:val="21"/>
                <w:szCs w:val="21"/>
              </w:rPr>
            </w:pPr>
            <w:r>
              <w:rPr>
                <w:rFonts w:hint="eastAsia"/>
                <w:b/>
                <w:bCs/>
                <w:sz w:val="21"/>
                <w:szCs w:val="21"/>
              </w:rPr>
              <w:t>温馨提醒：供应商应提前上传，以便在上传时遇到技术问题，有充足的时间请教平台的技术人员。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w:t>
            </w:r>
          </w:p>
        </w:tc>
        <w:tc>
          <w:tcPr>
            <w:tcW w:w="22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cs="Arial" w:asciiTheme="minorEastAsia" w:hAnsiTheme="minorEastAsia" w:eastAsiaTheme="minorEastAsia"/>
                <w:b/>
                <w:bCs/>
                <w:szCs w:val="21"/>
              </w:rPr>
              <w:t>备份电子投标文件</w:t>
            </w:r>
          </w:p>
        </w:tc>
        <w:tc>
          <w:tcPr>
            <w:tcW w:w="6467" w:type="dxa"/>
            <w:tcBorders>
              <w:top w:val="single" w:color="auto" w:sz="4" w:space="0"/>
              <w:left w:val="single" w:color="auto" w:sz="4" w:space="0"/>
              <w:bottom w:val="single" w:color="auto" w:sz="4" w:space="0"/>
              <w:right w:val="single" w:color="auto" w:sz="4" w:space="0"/>
            </w:tcBorders>
            <w:vAlign w:val="center"/>
          </w:tcPr>
          <w:p>
            <w:pPr>
              <w:pStyle w:val="61"/>
              <w:spacing w:line="360" w:lineRule="auto"/>
              <w:rPr>
                <w:rFonts w:ascii="宋体" w:hAnsi="宋体" w:cs="宋体"/>
                <w:szCs w:val="21"/>
              </w:rPr>
            </w:pPr>
            <w:r>
              <w:rPr>
                <w:rFonts w:hint="eastAsia" w:ascii="宋体" w:hAnsi="宋体" w:cs="宋体"/>
                <w:szCs w:val="21"/>
              </w:rPr>
              <w:t>投标人在投标截止时间前将备份电子投标文件</w:t>
            </w:r>
            <w:r>
              <w:rPr>
                <w:rFonts w:hint="eastAsia" w:ascii="宋体" w:hAnsi="宋体" w:cs="宋体"/>
                <w:b/>
                <w:bCs/>
                <w:szCs w:val="21"/>
              </w:rPr>
              <w:t>（自愿提供，非实质性要求，因无法读取的后果由投标人自行承担）</w:t>
            </w:r>
            <w:r>
              <w:rPr>
                <w:rFonts w:hint="eastAsia"/>
                <w:szCs w:val="21"/>
              </w:rPr>
              <w:t>以介质（U盘）存储形式按要求密封邮寄到指定地点或</w:t>
            </w:r>
            <w:r>
              <w:rPr>
                <w:rFonts w:hint="eastAsia" w:ascii="宋体" w:hAnsi="宋体" w:cs="宋体"/>
                <w:szCs w:val="21"/>
              </w:rPr>
              <w:t>以电子邮件的方式发送至项目负责人邮箱872868454@qq.com，以收到时间为准，逾期或不符合规定的投标文件恕不接受。</w:t>
            </w:r>
          </w:p>
          <w:p>
            <w:pPr>
              <w:pStyle w:val="61"/>
              <w:spacing w:line="360" w:lineRule="auto"/>
              <w:ind w:firstLine="422" w:firstLineChars="200"/>
              <w:rPr>
                <w:rFonts w:ascii="宋体" w:hAnsi="宋体" w:cs="宋体"/>
                <w:szCs w:val="21"/>
              </w:rPr>
            </w:pPr>
            <w:r>
              <w:rPr>
                <w:rFonts w:hint="eastAsia" w:ascii="宋体" w:hAnsi="宋体" w:cs="宋体"/>
                <w:b/>
                <w:bCs/>
                <w:szCs w:val="21"/>
              </w:rPr>
              <w:t>注：</w:t>
            </w:r>
            <w:r>
              <w:rPr>
                <w:rFonts w:hint="eastAsia" w:ascii="宋体" w:hAnsi="宋体" w:cs="宋体"/>
                <w:szCs w:val="21"/>
              </w:rPr>
              <w:t>备份电子投标文件：通过“政采云”平台电子投标工具制作电子投标文件产生的备份文件（后缀名为“.bfbs”），投标人自行确定是否提交；若提交请将备份投标文件以U盘、光盘或电子邮件（发送至872868454@qq.com）的形式递交，备份投标文件在“电子加密投标文件”在线解密异常或失败后启用，否则不予以启用；投标人确认“电子加密投标文件”在线解密异常或失败后，可以申请由采购代理机构使用电子备份标书上传处理，未在规定时间内发送造成的投标无效或失败由投标人自行承担。提交备份电子投标文件时，应写明投标人名称和所投项目名称。</w:t>
            </w:r>
          </w:p>
          <w:p>
            <w:pPr>
              <w:spacing w:line="360" w:lineRule="auto"/>
              <w:ind w:firstLine="422" w:firstLineChars="200"/>
              <w:rPr>
                <w:rFonts w:ascii="宋体" w:hAnsi="宋体" w:cs="宋体"/>
                <w:b/>
                <w:bCs/>
                <w:szCs w:val="21"/>
              </w:rPr>
            </w:pPr>
            <w:r>
              <w:rPr>
                <w:rFonts w:hint="eastAsia" w:ascii="宋体" w:hAnsi="宋体" w:cs="宋体"/>
                <w:b/>
                <w:bCs/>
                <w:szCs w:val="21"/>
              </w:rPr>
              <w:t>提示：</w:t>
            </w:r>
          </w:p>
          <w:p>
            <w:pPr>
              <w:spacing w:line="360" w:lineRule="auto"/>
              <w:ind w:firstLine="422" w:firstLineChars="200"/>
              <w:rPr>
                <w:rFonts w:ascii="宋体" w:hAnsi="宋体" w:cs="宋体"/>
                <w:b/>
                <w:bCs/>
                <w:szCs w:val="21"/>
              </w:rPr>
            </w:pPr>
            <w:r>
              <w:rPr>
                <w:rFonts w:hint="eastAsia" w:ascii="宋体" w:hAnsi="宋体" w:cs="宋体"/>
                <w:b/>
                <w:bCs/>
                <w:szCs w:val="21"/>
              </w:rPr>
              <w:t>1.投标文件已按时解密的，备份投标文件自动失效。</w:t>
            </w:r>
          </w:p>
          <w:p>
            <w:pPr>
              <w:spacing w:line="360" w:lineRule="auto"/>
              <w:ind w:firstLine="422" w:firstLineChars="200"/>
              <w:rPr>
                <w:rFonts w:ascii="宋体" w:hAnsi="宋体" w:cs="宋体"/>
                <w:b/>
                <w:bCs/>
                <w:szCs w:val="21"/>
              </w:rPr>
            </w:pPr>
            <w:r>
              <w:rPr>
                <w:rFonts w:hint="eastAsia" w:ascii="宋体" w:hAnsi="宋体" w:cs="宋体"/>
                <w:b/>
                <w:bCs/>
                <w:szCs w:val="21"/>
              </w:rPr>
              <w:t>2.投标文件未按时解密，供应商提供了备份投标文件的，以备份投标文件作为依据，否则视为投标文件撤回。</w:t>
            </w:r>
          </w:p>
          <w:p>
            <w:pPr>
              <w:spacing w:line="360" w:lineRule="auto"/>
              <w:ind w:firstLine="422" w:firstLineChars="200"/>
              <w:rPr>
                <w:rFonts w:ascii="宋体" w:hAnsi="宋体" w:cs="宋体"/>
                <w:b/>
                <w:bCs/>
                <w:szCs w:val="21"/>
              </w:rPr>
            </w:pPr>
            <w:r>
              <w:rPr>
                <w:rFonts w:hint="eastAsia" w:ascii="宋体" w:hAnsi="宋体" w:cs="宋体"/>
                <w:b/>
                <w:bCs/>
                <w:szCs w:val="21"/>
              </w:rPr>
              <w:t>3.投标文件未按时解密，又未提供备份投标文件的，视为放弃投标。</w:t>
            </w:r>
          </w:p>
          <w:p>
            <w:pPr>
              <w:spacing w:line="360" w:lineRule="auto"/>
              <w:ind w:firstLine="422" w:firstLineChars="200"/>
              <w:rPr>
                <w:rFonts w:ascii="宋体" w:hAnsi="宋体" w:cs="宋体"/>
                <w:szCs w:val="21"/>
              </w:rPr>
            </w:pPr>
            <w:r>
              <w:rPr>
                <w:rFonts w:hint="eastAsia" w:ascii="宋体" w:hAnsi="宋体" w:cs="宋体"/>
                <w:b/>
                <w:bCs/>
                <w:szCs w:val="21"/>
              </w:rPr>
              <w:t>4.供应商仅提交备份投标文件的，投标无效。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5</w:t>
            </w:r>
          </w:p>
        </w:tc>
        <w:tc>
          <w:tcPr>
            <w:tcW w:w="22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开标说明</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本项目为电子投标项目，授权代表不需要参加现场投标和开标。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6</w:t>
            </w:r>
          </w:p>
        </w:tc>
        <w:tc>
          <w:tcPr>
            <w:tcW w:w="22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投标有效期</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投标有效期为开标后90天，</w:t>
            </w:r>
            <w:r>
              <w:rPr>
                <w:rFonts w:hint="eastAsia" w:ascii="宋体" w:hAnsi="宋体" w:cs="宋体"/>
                <w:kern w:val="0"/>
                <w:szCs w:val="21"/>
              </w:rPr>
              <w:t>投标有效期从提交电子投标文件的截止之日起算。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7</w:t>
            </w:r>
          </w:p>
        </w:tc>
        <w:tc>
          <w:tcPr>
            <w:tcW w:w="22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开标时间及地点</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时间：北京时间2024年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29</w:t>
            </w:r>
            <w:r>
              <w:rPr>
                <w:rFonts w:hint="eastAsia" w:ascii="宋体" w:hAnsi="宋体" w:cs="宋体"/>
                <w:szCs w:val="21"/>
              </w:rPr>
              <w:t>日9:00</w:t>
            </w:r>
          </w:p>
          <w:p>
            <w:pPr>
              <w:spacing w:line="360" w:lineRule="auto"/>
              <w:rPr>
                <w:rFonts w:ascii="宋体" w:hAnsi="宋体" w:cs="宋体"/>
                <w:szCs w:val="21"/>
              </w:rPr>
            </w:pPr>
            <w:r>
              <w:rPr>
                <w:rFonts w:hint="eastAsia" w:ascii="宋体" w:hAnsi="宋体" w:cs="宋体"/>
                <w:szCs w:val="21"/>
              </w:rPr>
              <w:t>地点：政府采购云平台（www.zcygov.cn）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8</w:t>
            </w:r>
          </w:p>
        </w:tc>
        <w:tc>
          <w:tcPr>
            <w:tcW w:w="22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投标保证金</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9</w:t>
            </w:r>
          </w:p>
        </w:tc>
        <w:tc>
          <w:tcPr>
            <w:tcW w:w="22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履约保证金</w:t>
            </w:r>
          </w:p>
        </w:tc>
        <w:tc>
          <w:tcPr>
            <w:tcW w:w="6467" w:type="dxa"/>
            <w:tcBorders>
              <w:top w:val="single" w:color="auto" w:sz="4" w:space="0"/>
              <w:left w:val="single" w:color="auto" w:sz="4" w:space="0"/>
              <w:bottom w:val="single" w:color="auto" w:sz="4" w:space="0"/>
              <w:right w:val="single" w:color="auto" w:sz="4" w:space="0"/>
            </w:tcBorders>
            <w:vAlign w:val="center"/>
          </w:tcPr>
          <w:p>
            <w:pPr>
              <w:pStyle w:val="28"/>
              <w:spacing w:line="360" w:lineRule="auto"/>
              <w:ind w:left="0" w:leftChars="0"/>
              <w:rPr>
                <w:rFonts w:ascii="宋体" w:hAnsi="宋体" w:eastAsia="宋体" w:cs="宋体"/>
                <w:sz w:val="21"/>
                <w:szCs w:val="21"/>
              </w:rPr>
            </w:pPr>
            <w:r>
              <w:rPr>
                <w:rFonts w:hint="eastAsia" w:ascii="宋体" w:hAnsi="宋体" w:eastAsia="宋体" w:cs="宋体"/>
                <w:sz w:val="21"/>
                <w:szCs w:val="21"/>
              </w:rPr>
              <w:t>在合同签订前，中标单位应交纳合同金额1%的履约保证金，如未按规定提交履约保证金，招标人有权拒签合同。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10</w:t>
            </w:r>
          </w:p>
        </w:tc>
        <w:tc>
          <w:tcPr>
            <w:tcW w:w="2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电子投标文件签章</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szCs w:val="21"/>
                <w:lang w:val="zh-CN"/>
              </w:rPr>
            </w:pPr>
            <w:r>
              <w:rPr>
                <w:rFonts w:hint="eastAsia" w:ascii="宋体" w:hAnsi="宋体" w:cs="宋体"/>
                <w:b/>
                <w:szCs w:val="21"/>
              </w:rPr>
              <w:t>电子投标文件中所须加盖公章部分均采用CA签章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11</w:t>
            </w:r>
          </w:p>
        </w:tc>
        <w:tc>
          <w:tcPr>
            <w:tcW w:w="2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b/>
                <w:bCs/>
                <w:kern w:val="0"/>
                <w:szCs w:val="21"/>
              </w:rPr>
              <w:t>纸质投标文件</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（1）为方便评审委员会评审，请供应商提供纸质投标文件（指商务与技术文件）一份给招标代理机构，纸质投标文件系电子投标文件纸质版，两者内容应一致。本项非实质性要求，供应商自愿提供。</w:t>
            </w:r>
          </w:p>
          <w:p>
            <w:pPr>
              <w:spacing w:line="360" w:lineRule="auto"/>
              <w:rPr>
                <w:rFonts w:ascii="宋体" w:hAnsi="宋体" w:cs="宋体"/>
                <w:szCs w:val="21"/>
              </w:rPr>
            </w:pPr>
            <w:r>
              <w:rPr>
                <w:rFonts w:hint="eastAsia" w:ascii="宋体" w:hAnsi="宋体" w:cs="宋体"/>
                <w:szCs w:val="21"/>
              </w:rPr>
              <w:t>在</w:t>
            </w:r>
            <w:r>
              <w:rPr>
                <w:rFonts w:hint="eastAsia" w:ascii="宋体" w:hAnsi="宋体" w:cs="宋体"/>
                <w:szCs w:val="21"/>
                <w:lang w:val="en-US" w:eastAsia="zh-CN"/>
              </w:rPr>
              <w:t xml:space="preserve">  年  月  日（投标截止日期）</w:t>
            </w:r>
            <w:r>
              <w:rPr>
                <w:rFonts w:hint="eastAsia" w:ascii="宋体" w:hAnsi="宋体" w:cs="宋体"/>
                <w:szCs w:val="21"/>
              </w:rPr>
              <w:t>之前邮寄（送达）至以下地点，以签收时间为准，逾期或不符合规定的投标文件恕不接受。</w:t>
            </w:r>
          </w:p>
          <w:p>
            <w:pPr>
              <w:spacing w:line="360" w:lineRule="auto"/>
              <w:rPr>
                <w:rFonts w:ascii="宋体" w:hAnsi="宋体" w:cs="宋体"/>
                <w:szCs w:val="21"/>
              </w:rPr>
            </w:pPr>
            <w:r>
              <w:rPr>
                <w:rFonts w:hint="eastAsia" w:ascii="宋体" w:hAnsi="宋体" w:cs="宋体"/>
                <w:szCs w:val="21"/>
              </w:rPr>
              <w:t>收 件 人：陈先生（台州市玖诚工程管理有限公司）</w:t>
            </w:r>
          </w:p>
          <w:p>
            <w:pPr>
              <w:spacing w:line="360" w:lineRule="auto"/>
              <w:rPr>
                <w:rFonts w:ascii="宋体" w:hAnsi="宋体" w:cs="宋体"/>
                <w:szCs w:val="21"/>
              </w:rPr>
            </w:pPr>
            <w:r>
              <w:rPr>
                <w:rFonts w:hint="eastAsia" w:ascii="宋体" w:hAnsi="宋体" w:cs="宋体"/>
                <w:szCs w:val="21"/>
              </w:rPr>
              <w:t>联系电话：13486810088</w:t>
            </w:r>
          </w:p>
          <w:p>
            <w:pPr>
              <w:spacing w:line="360" w:lineRule="auto"/>
              <w:rPr>
                <w:rFonts w:ascii="宋体" w:hAnsi="宋体" w:cs="宋体"/>
                <w:szCs w:val="21"/>
              </w:rPr>
            </w:pPr>
            <w:r>
              <w:rPr>
                <w:rFonts w:hint="eastAsia" w:ascii="宋体" w:hAnsi="宋体" w:cs="宋体"/>
                <w:szCs w:val="21"/>
              </w:rPr>
              <w:t>地    址：浙江省台州市椒江区解放南路道台里文创院。</w:t>
            </w:r>
          </w:p>
          <w:p>
            <w:pPr>
              <w:pStyle w:val="21"/>
              <w:spacing w:line="360" w:lineRule="auto"/>
              <w:rPr>
                <w:rFonts w:ascii="宋体" w:hAnsi="宋体" w:cs="宋体"/>
                <w:b/>
                <w:bCs/>
                <w:sz w:val="21"/>
                <w:szCs w:val="21"/>
                <w:lang w:val="zh-CN"/>
              </w:rPr>
            </w:pPr>
            <w:r>
              <w:rPr>
                <w:rFonts w:hint="eastAsia" w:ascii="宋体" w:hAnsi="宋体" w:cs="宋体"/>
                <w:b/>
                <w:bCs/>
                <w:sz w:val="21"/>
                <w:szCs w:val="21"/>
                <w:lang w:val="zh-CN"/>
              </w:rPr>
              <w:t>（2）中标供应商中标后需提供纸质投标文件给招标代理机构作为备案存档，纸质投标文件系电子投标文件纸质版，两者内容应一致；数量为：资格证明文件</w:t>
            </w:r>
            <w:r>
              <w:rPr>
                <w:rFonts w:hint="eastAsia" w:ascii="宋体" w:hAnsi="宋体" w:cs="宋体"/>
                <w:b/>
                <w:bCs/>
                <w:sz w:val="21"/>
                <w:szCs w:val="21"/>
              </w:rPr>
              <w:t>3</w:t>
            </w:r>
            <w:r>
              <w:rPr>
                <w:rFonts w:hint="eastAsia" w:ascii="宋体" w:hAnsi="宋体" w:cs="宋体"/>
                <w:b/>
                <w:bCs/>
                <w:sz w:val="21"/>
                <w:szCs w:val="21"/>
                <w:lang w:val="zh-CN"/>
              </w:rPr>
              <w:t>份；商务与技术文件</w:t>
            </w:r>
            <w:r>
              <w:rPr>
                <w:rFonts w:hint="eastAsia" w:ascii="宋体" w:hAnsi="宋体" w:cs="宋体"/>
                <w:b/>
                <w:bCs/>
                <w:sz w:val="21"/>
                <w:szCs w:val="21"/>
              </w:rPr>
              <w:t>3</w:t>
            </w:r>
            <w:r>
              <w:rPr>
                <w:rFonts w:hint="eastAsia" w:ascii="宋体" w:hAnsi="宋体" w:cs="宋体"/>
                <w:b/>
                <w:bCs/>
                <w:sz w:val="21"/>
                <w:szCs w:val="21"/>
                <w:lang w:val="zh-CN"/>
              </w:rPr>
              <w:t>份；报价文件</w:t>
            </w:r>
            <w:r>
              <w:rPr>
                <w:rFonts w:hint="eastAsia" w:ascii="宋体" w:hAnsi="宋体" w:cs="宋体"/>
                <w:b/>
                <w:bCs/>
                <w:sz w:val="21"/>
                <w:szCs w:val="21"/>
              </w:rPr>
              <w:t>3</w:t>
            </w:r>
            <w:r>
              <w:rPr>
                <w:rFonts w:hint="eastAsia" w:ascii="宋体" w:hAnsi="宋体" w:cs="宋体"/>
                <w:b/>
                <w:bCs/>
                <w:sz w:val="21"/>
                <w:szCs w:val="21"/>
                <w:lang w:val="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12</w:t>
            </w:r>
          </w:p>
        </w:tc>
        <w:tc>
          <w:tcPr>
            <w:tcW w:w="2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实质性条款</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szCs w:val="21"/>
                <w:lang w:val="zh-CN"/>
              </w:rPr>
            </w:pPr>
            <w:r>
              <w:rPr>
                <w:rFonts w:hint="eastAsia" w:ascii="宋体" w:hAnsi="宋体" w:cs="宋体"/>
                <w:kern w:val="0"/>
                <w:szCs w:val="21"/>
                <w:lang w:val="zh-CN"/>
              </w:rPr>
              <w:t>带“</w:t>
            </w:r>
            <w:r>
              <w:rPr>
                <w:rFonts w:hint="eastAsia" w:ascii="宋体" w:hAnsi="宋体" w:cs="宋体"/>
                <w:bCs/>
                <w:szCs w:val="21"/>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13</w:t>
            </w:r>
          </w:p>
        </w:tc>
        <w:tc>
          <w:tcPr>
            <w:tcW w:w="2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解释权</w:t>
            </w:r>
          </w:p>
        </w:tc>
        <w:tc>
          <w:tcPr>
            <w:tcW w:w="64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szCs w:val="21"/>
              </w:rPr>
            </w:pPr>
            <w:r>
              <w:rPr>
                <w:rFonts w:hint="eastAsia" w:ascii="宋体" w:hAnsi="宋体" w:cs="宋体"/>
                <w:szCs w:val="21"/>
              </w:rPr>
              <w:t>本采购文件解释权属于采购人和采购代理机构</w:t>
            </w:r>
          </w:p>
        </w:tc>
      </w:tr>
    </w:tbl>
    <w:p>
      <w:pPr>
        <w:autoSpaceDE w:val="0"/>
        <w:autoSpaceDN w:val="0"/>
        <w:adjustRightInd w:val="0"/>
        <w:spacing w:before="31" w:beforeLines="10" w:line="264" w:lineRule="auto"/>
        <w:rPr>
          <w:rFonts w:ascii="仿宋" w:hAnsi="仿宋" w:eastAsia="仿宋" w:cs="仿宋"/>
          <w:b/>
          <w:bCs/>
          <w:szCs w:val="21"/>
        </w:rPr>
      </w:pPr>
    </w:p>
    <w:p>
      <w:pPr>
        <w:autoSpaceDE w:val="0"/>
        <w:autoSpaceDN w:val="0"/>
        <w:adjustRightInd w:val="0"/>
        <w:spacing w:before="31" w:beforeLines="10" w:line="264" w:lineRule="auto"/>
        <w:rPr>
          <w:rFonts w:ascii="仿宋" w:hAnsi="仿宋" w:eastAsia="仿宋" w:cs="仿宋"/>
          <w:b/>
          <w:bCs/>
          <w:szCs w:val="21"/>
        </w:rPr>
      </w:pPr>
      <w:r>
        <w:rPr>
          <w:rFonts w:hint="eastAsia" w:ascii="仿宋" w:hAnsi="仿宋" w:eastAsia="仿宋" w:cs="仿宋"/>
          <w:b/>
          <w:bCs/>
          <w:szCs w:val="21"/>
        </w:rPr>
        <w:t>其余事项：中标供应商如有融资需求，可使用以下银行的政采贷服务。</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6"/>
        <w:gridCol w:w="1866"/>
        <w:gridCol w:w="1877"/>
        <w:gridCol w:w="2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776" w:type="dxa"/>
            <w:vAlign w:val="center"/>
          </w:tcPr>
          <w:p>
            <w:pPr>
              <w:spacing w:line="460" w:lineRule="exact"/>
              <w:jc w:val="center"/>
              <w:rPr>
                <w:rFonts w:ascii="仿宋" w:hAnsi="仿宋" w:eastAsia="仿宋" w:cs="仿宋"/>
                <w:b/>
                <w:bCs/>
                <w:sz w:val="22"/>
                <w:szCs w:val="22"/>
              </w:rPr>
            </w:pPr>
            <w:r>
              <w:rPr>
                <w:rFonts w:hint="eastAsia" w:ascii="仿宋" w:hAnsi="仿宋" w:eastAsia="仿宋" w:cs="仿宋"/>
                <w:b/>
                <w:bCs/>
                <w:sz w:val="22"/>
                <w:szCs w:val="22"/>
              </w:rPr>
              <w:t>银行</w:t>
            </w:r>
          </w:p>
        </w:tc>
        <w:tc>
          <w:tcPr>
            <w:tcW w:w="1866" w:type="dxa"/>
            <w:vAlign w:val="center"/>
          </w:tcPr>
          <w:p>
            <w:pPr>
              <w:spacing w:line="460" w:lineRule="exact"/>
              <w:jc w:val="center"/>
              <w:rPr>
                <w:rFonts w:ascii="仿宋" w:hAnsi="仿宋" w:eastAsia="仿宋" w:cs="仿宋"/>
                <w:b/>
                <w:bCs/>
                <w:sz w:val="22"/>
                <w:szCs w:val="22"/>
              </w:rPr>
            </w:pPr>
            <w:r>
              <w:rPr>
                <w:rFonts w:hint="eastAsia" w:ascii="仿宋" w:hAnsi="仿宋" w:eastAsia="仿宋" w:cs="仿宋"/>
                <w:b/>
                <w:bCs/>
                <w:sz w:val="22"/>
                <w:szCs w:val="22"/>
              </w:rPr>
              <w:t>贷款年利率</w:t>
            </w:r>
          </w:p>
        </w:tc>
        <w:tc>
          <w:tcPr>
            <w:tcW w:w="1877" w:type="dxa"/>
            <w:vAlign w:val="center"/>
          </w:tcPr>
          <w:p>
            <w:pPr>
              <w:spacing w:line="460" w:lineRule="exact"/>
              <w:jc w:val="center"/>
              <w:rPr>
                <w:rFonts w:ascii="仿宋" w:hAnsi="仿宋" w:eastAsia="仿宋" w:cs="仿宋"/>
                <w:b/>
                <w:bCs/>
                <w:sz w:val="22"/>
                <w:szCs w:val="22"/>
              </w:rPr>
            </w:pPr>
            <w:r>
              <w:rPr>
                <w:rFonts w:hint="eastAsia" w:ascii="仿宋" w:hAnsi="仿宋" w:eastAsia="仿宋" w:cs="仿宋"/>
                <w:b/>
                <w:bCs/>
                <w:sz w:val="22"/>
                <w:szCs w:val="22"/>
              </w:rPr>
              <w:t>联系人</w:t>
            </w:r>
          </w:p>
        </w:tc>
        <w:tc>
          <w:tcPr>
            <w:tcW w:w="2999" w:type="dxa"/>
            <w:vAlign w:val="center"/>
          </w:tcPr>
          <w:p>
            <w:pPr>
              <w:spacing w:line="460" w:lineRule="exact"/>
              <w:jc w:val="center"/>
              <w:rPr>
                <w:rFonts w:ascii="仿宋" w:hAnsi="仿宋" w:eastAsia="仿宋" w:cs="仿宋"/>
                <w:b/>
                <w:bCs/>
                <w:sz w:val="22"/>
                <w:szCs w:val="22"/>
              </w:rPr>
            </w:pPr>
            <w:r>
              <w:rPr>
                <w:rFonts w:hint="eastAsia" w:ascii="仿宋" w:hAnsi="仿宋" w:eastAsia="仿宋" w:cs="仿宋"/>
                <w:b/>
                <w:bCs/>
                <w:sz w:val="22"/>
                <w:szCs w:val="2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77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中国工商银行</w:t>
            </w:r>
          </w:p>
        </w:tc>
        <w:tc>
          <w:tcPr>
            <w:tcW w:w="186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3.8%起</w:t>
            </w:r>
          </w:p>
        </w:tc>
        <w:tc>
          <w:tcPr>
            <w:tcW w:w="1877"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王霖</w:t>
            </w:r>
          </w:p>
        </w:tc>
        <w:tc>
          <w:tcPr>
            <w:tcW w:w="2999"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88588246/13857654562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77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中国农业银行</w:t>
            </w:r>
          </w:p>
        </w:tc>
        <w:tc>
          <w:tcPr>
            <w:tcW w:w="186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3.8%起</w:t>
            </w:r>
          </w:p>
        </w:tc>
        <w:tc>
          <w:tcPr>
            <w:tcW w:w="1877"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龚盛</w:t>
            </w:r>
          </w:p>
        </w:tc>
        <w:tc>
          <w:tcPr>
            <w:tcW w:w="2999"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77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中国建设银行</w:t>
            </w:r>
          </w:p>
        </w:tc>
        <w:tc>
          <w:tcPr>
            <w:tcW w:w="186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3.8%起</w:t>
            </w:r>
          </w:p>
        </w:tc>
        <w:tc>
          <w:tcPr>
            <w:tcW w:w="1877"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梅晶晶</w:t>
            </w:r>
          </w:p>
        </w:tc>
        <w:tc>
          <w:tcPr>
            <w:tcW w:w="2999"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88525339/13736585303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77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中国银行</w:t>
            </w:r>
          </w:p>
        </w:tc>
        <w:tc>
          <w:tcPr>
            <w:tcW w:w="186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3.75%起</w:t>
            </w:r>
          </w:p>
        </w:tc>
        <w:tc>
          <w:tcPr>
            <w:tcW w:w="1877"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任茜</w:t>
            </w:r>
          </w:p>
        </w:tc>
        <w:tc>
          <w:tcPr>
            <w:tcW w:w="2999"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77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浦发银行台州分行</w:t>
            </w:r>
          </w:p>
        </w:tc>
        <w:tc>
          <w:tcPr>
            <w:tcW w:w="186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4.05%起</w:t>
            </w:r>
          </w:p>
        </w:tc>
        <w:tc>
          <w:tcPr>
            <w:tcW w:w="1877"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王渊</w:t>
            </w:r>
          </w:p>
        </w:tc>
        <w:tc>
          <w:tcPr>
            <w:tcW w:w="2999"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77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浦发银行椒江分行</w:t>
            </w:r>
          </w:p>
        </w:tc>
        <w:tc>
          <w:tcPr>
            <w:tcW w:w="186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4.05%起</w:t>
            </w:r>
          </w:p>
        </w:tc>
        <w:tc>
          <w:tcPr>
            <w:tcW w:w="1877"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孙瑞华</w:t>
            </w:r>
          </w:p>
        </w:tc>
        <w:tc>
          <w:tcPr>
            <w:tcW w:w="2999"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77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交通银行台州分行</w:t>
            </w:r>
          </w:p>
        </w:tc>
        <w:tc>
          <w:tcPr>
            <w:tcW w:w="186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3.75%起</w:t>
            </w:r>
          </w:p>
        </w:tc>
        <w:tc>
          <w:tcPr>
            <w:tcW w:w="1877"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周翔宇</w:t>
            </w:r>
          </w:p>
        </w:tc>
        <w:tc>
          <w:tcPr>
            <w:tcW w:w="2999"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77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招商银行台州分行</w:t>
            </w:r>
          </w:p>
        </w:tc>
        <w:tc>
          <w:tcPr>
            <w:tcW w:w="186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4.32%起</w:t>
            </w:r>
          </w:p>
        </w:tc>
        <w:tc>
          <w:tcPr>
            <w:tcW w:w="1877"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王海玲</w:t>
            </w:r>
          </w:p>
        </w:tc>
        <w:tc>
          <w:tcPr>
            <w:tcW w:w="2999"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77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浙商银行台州分行</w:t>
            </w:r>
          </w:p>
        </w:tc>
        <w:tc>
          <w:tcPr>
            <w:tcW w:w="186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5.01%起</w:t>
            </w:r>
          </w:p>
        </w:tc>
        <w:tc>
          <w:tcPr>
            <w:tcW w:w="1877"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章涉漪</w:t>
            </w:r>
          </w:p>
        </w:tc>
        <w:tc>
          <w:tcPr>
            <w:tcW w:w="2999"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81880185/13606681262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77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中信银行台州分行</w:t>
            </w:r>
          </w:p>
        </w:tc>
        <w:tc>
          <w:tcPr>
            <w:tcW w:w="186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4.15%起</w:t>
            </w:r>
          </w:p>
        </w:tc>
        <w:tc>
          <w:tcPr>
            <w:tcW w:w="1877"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陈金园</w:t>
            </w:r>
          </w:p>
        </w:tc>
        <w:tc>
          <w:tcPr>
            <w:tcW w:w="2999"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77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华夏银行台州分行</w:t>
            </w:r>
          </w:p>
        </w:tc>
        <w:tc>
          <w:tcPr>
            <w:tcW w:w="186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4.5%起</w:t>
            </w:r>
          </w:p>
        </w:tc>
        <w:tc>
          <w:tcPr>
            <w:tcW w:w="1877"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邱明达</w:t>
            </w:r>
          </w:p>
        </w:tc>
        <w:tc>
          <w:tcPr>
            <w:tcW w:w="2999"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81871518/13736252233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77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泰隆银行开发区支行</w:t>
            </w:r>
          </w:p>
        </w:tc>
        <w:tc>
          <w:tcPr>
            <w:tcW w:w="186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5.6%起</w:t>
            </w:r>
          </w:p>
        </w:tc>
        <w:tc>
          <w:tcPr>
            <w:tcW w:w="1877"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梁宛莉</w:t>
            </w:r>
          </w:p>
        </w:tc>
        <w:tc>
          <w:tcPr>
            <w:tcW w:w="2999"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77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民泰银行椒江支行</w:t>
            </w:r>
          </w:p>
        </w:tc>
        <w:tc>
          <w:tcPr>
            <w:tcW w:w="186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5.8%起</w:t>
            </w:r>
          </w:p>
        </w:tc>
        <w:tc>
          <w:tcPr>
            <w:tcW w:w="1877"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陈慧珠</w:t>
            </w:r>
          </w:p>
        </w:tc>
        <w:tc>
          <w:tcPr>
            <w:tcW w:w="2999"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77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绍兴银行台州分行</w:t>
            </w:r>
          </w:p>
        </w:tc>
        <w:tc>
          <w:tcPr>
            <w:tcW w:w="186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5.1%起</w:t>
            </w:r>
          </w:p>
        </w:tc>
        <w:tc>
          <w:tcPr>
            <w:tcW w:w="1877"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郭庭斌</w:t>
            </w:r>
          </w:p>
        </w:tc>
        <w:tc>
          <w:tcPr>
            <w:tcW w:w="2999"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77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温州银行台州分行</w:t>
            </w:r>
          </w:p>
        </w:tc>
        <w:tc>
          <w:tcPr>
            <w:tcW w:w="186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4.55%起</w:t>
            </w:r>
          </w:p>
        </w:tc>
        <w:tc>
          <w:tcPr>
            <w:tcW w:w="1877"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王晓波</w:t>
            </w:r>
          </w:p>
        </w:tc>
        <w:tc>
          <w:tcPr>
            <w:tcW w:w="2999"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77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平安银行台州分行</w:t>
            </w:r>
          </w:p>
        </w:tc>
        <w:tc>
          <w:tcPr>
            <w:tcW w:w="186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6.53%起</w:t>
            </w:r>
          </w:p>
        </w:tc>
        <w:tc>
          <w:tcPr>
            <w:tcW w:w="1877"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李俊丽</w:t>
            </w:r>
          </w:p>
        </w:tc>
        <w:tc>
          <w:tcPr>
            <w:tcW w:w="2999"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77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宁波银行台州分行</w:t>
            </w:r>
          </w:p>
        </w:tc>
        <w:tc>
          <w:tcPr>
            <w:tcW w:w="186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4.35%起</w:t>
            </w:r>
          </w:p>
        </w:tc>
        <w:tc>
          <w:tcPr>
            <w:tcW w:w="1877"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戴莉丽</w:t>
            </w:r>
          </w:p>
        </w:tc>
        <w:tc>
          <w:tcPr>
            <w:tcW w:w="2999"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77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金华银行台州分行</w:t>
            </w:r>
          </w:p>
        </w:tc>
        <w:tc>
          <w:tcPr>
            <w:tcW w:w="186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4.05%起</w:t>
            </w:r>
          </w:p>
        </w:tc>
        <w:tc>
          <w:tcPr>
            <w:tcW w:w="1877"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金雪婷</w:t>
            </w:r>
          </w:p>
        </w:tc>
        <w:tc>
          <w:tcPr>
            <w:tcW w:w="2999"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81886670/15968661569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77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台州银行</w:t>
            </w:r>
          </w:p>
        </w:tc>
        <w:tc>
          <w:tcPr>
            <w:tcW w:w="186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5.6%起</w:t>
            </w:r>
          </w:p>
        </w:tc>
        <w:tc>
          <w:tcPr>
            <w:tcW w:w="1877"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洪婷</w:t>
            </w:r>
          </w:p>
        </w:tc>
        <w:tc>
          <w:tcPr>
            <w:tcW w:w="2999"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77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邮储银行台州分行</w:t>
            </w:r>
          </w:p>
        </w:tc>
        <w:tc>
          <w:tcPr>
            <w:tcW w:w="186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3.85%起</w:t>
            </w:r>
          </w:p>
        </w:tc>
        <w:tc>
          <w:tcPr>
            <w:tcW w:w="1877"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董庆</w:t>
            </w:r>
          </w:p>
        </w:tc>
        <w:tc>
          <w:tcPr>
            <w:tcW w:w="2999"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81888982/18957683735</w:t>
            </w:r>
          </w:p>
        </w:tc>
      </w:tr>
    </w:tbl>
    <w:p>
      <w:pPr>
        <w:spacing w:line="360" w:lineRule="auto"/>
        <w:jc w:val="center"/>
        <w:rPr>
          <w:rFonts w:ascii="仿宋" w:hAnsi="仿宋" w:eastAsia="仿宋" w:cs="仿宋"/>
          <w:b/>
          <w:bCs/>
          <w:sz w:val="22"/>
          <w:szCs w:val="22"/>
        </w:rPr>
      </w:pPr>
      <w:r>
        <w:rPr>
          <w:rFonts w:hint="eastAsia" w:ascii="仿宋" w:hAnsi="仿宋" w:eastAsia="仿宋" w:cs="仿宋"/>
          <w:b/>
          <w:bCs/>
          <w:sz w:val="22"/>
          <w:szCs w:val="22"/>
        </w:rPr>
        <w:t>合同履约保函联系方式</w:t>
      </w:r>
    </w:p>
    <w:tbl>
      <w:tblPr>
        <w:tblStyle w:val="48"/>
        <w:tblW w:w="0" w:type="auto"/>
        <w:tblInd w:w="-5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34"/>
        <w:gridCol w:w="2339"/>
        <w:gridCol w:w="2352"/>
        <w:gridCol w:w="1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blHeader/>
        </w:trPr>
        <w:tc>
          <w:tcPr>
            <w:tcW w:w="3334" w:type="dxa"/>
            <w:vAlign w:val="center"/>
          </w:tcPr>
          <w:p>
            <w:pPr>
              <w:spacing w:line="360" w:lineRule="auto"/>
              <w:jc w:val="center"/>
              <w:rPr>
                <w:rFonts w:ascii="仿宋" w:hAnsi="仿宋" w:eastAsia="仿宋" w:cs="仿宋"/>
                <w:b/>
                <w:bCs/>
                <w:sz w:val="22"/>
                <w:szCs w:val="22"/>
              </w:rPr>
            </w:pPr>
            <w:r>
              <w:rPr>
                <w:rFonts w:hint="eastAsia" w:ascii="仿宋" w:hAnsi="仿宋" w:eastAsia="仿宋" w:cs="仿宋"/>
                <w:b/>
                <w:bCs/>
                <w:sz w:val="22"/>
                <w:szCs w:val="22"/>
              </w:rPr>
              <w:t>保险公司名称</w:t>
            </w:r>
          </w:p>
        </w:tc>
        <w:tc>
          <w:tcPr>
            <w:tcW w:w="2339" w:type="dxa"/>
            <w:vAlign w:val="center"/>
          </w:tcPr>
          <w:p>
            <w:pPr>
              <w:spacing w:line="360" w:lineRule="auto"/>
              <w:jc w:val="center"/>
              <w:rPr>
                <w:rFonts w:ascii="仿宋" w:hAnsi="仿宋" w:eastAsia="仿宋" w:cs="仿宋"/>
                <w:b/>
                <w:bCs/>
                <w:sz w:val="22"/>
                <w:szCs w:val="22"/>
              </w:rPr>
            </w:pPr>
            <w:r>
              <w:rPr>
                <w:rFonts w:hint="eastAsia" w:ascii="仿宋" w:hAnsi="仿宋" w:eastAsia="仿宋" w:cs="仿宋"/>
                <w:b/>
                <w:bCs/>
                <w:sz w:val="22"/>
                <w:szCs w:val="22"/>
              </w:rPr>
              <w:t>保费率</w:t>
            </w:r>
          </w:p>
        </w:tc>
        <w:tc>
          <w:tcPr>
            <w:tcW w:w="2352" w:type="dxa"/>
            <w:vAlign w:val="center"/>
          </w:tcPr>
          <w:p>
            <w:pPr>
              <w:spacing w:line="360" w:lineRule="auto"/>
              <w:jc w:val="center"/>
              <w:rPr>
                <w:rFonts w:ascii="仿宋" w:hAnsi="仿宋" w:eastAsia="仿宋" w:cs="仿宋"/>
                <w:b/>
                <w:bCs/>
                <w:sz w:val="22"/>
                <w:szCs w:val="22"/>
              </w:rPr>
            </w:pPr>
            <w:r>
              <w:rPr>
                <w:rFonts w:hint="eastAsia" w:ascii="仿宋" w:hAnsi="仿宋" w:eastAsia="仿宋" w:cs="仿宋"/>
                <w:b/>
                <w:bCs/>
                <w:sz w:val="22"/>
                <w:szCs w:val="22"/>
              </w:rPr>
              <w:t>联系人</w:t>
            </w:r>
          </w:p>
        </w:tc>
        <w:tc>
          <w:tcPr>
            <w:tcW w:w="1672" w:type="dxa"/>
            <w:vAlign w:val="center"/>
          </w:tcPr>
          <w:p>
            <w:pPr>
              <w:spacing w:line="360" w:lineRule="auto"/>
              <w:jc w:val="center"/>
              <w:rPr>
                <w:rFonts w:ascii="仿宋" w:hAnsi="仿宋" w:eastAsia="仿宋" w:cs="仿宋"/>
                <w:b/>
                <w:bCs/>
                <w:sz w:val="22"/>
                <w:szCs w:val="22"/>
              </w:rPr>
            </w:pPr>
            <w:r>
              <w:rPr>
                <w:rFonts w:hint="eastAsia" w:ascii="仿宋" w:hAnsi="仿宋" w:eastAsia="仿宋" w:cs="仿宋"/>
                <w:b/>
                <w:bCs/>
                <w:sz w:val="22"/>
                <w:szCs w:val="2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3334" w:type="dxa"/>
            <w:vAlign w:val="center"/>
          </w:tcPr>
          <w:p>
            <w:pPr>
              <w:jc w:val="center"/>
              <w:rPr>
                <w:rFonts w:ascii="仿宋" w:hAnsi="仿宋" w:eastAsia="仿宋" w:cs="仿宋"/>
                <w:sz w:val="22"/>
                <w:szCs w:val="22"/>
              </w:rPr>
            </w:pPr>
            <w:r>
              <w:rPr>
                <w:rFonts w:hint="eastAsia" w:ascii="仿宋" w:hAnsi="仿宋" w:eastAsia="仿宋" w:cs="仿宋"/>
                <w:sz w:val="22"/>
                <w:szCs w:val="22"/>
              </w:rPr>
              <w:t>中国人寿财产保险股份有限公司台州中心支公司</w:t>
            </w:r>
          </w:p>
        </w:tc>
        <w:tc>
          <w:tcPr>
            <w:tcW w:w="2339" w:type="dxa"/>
            <w:vAlign w:val="center"/>
          </w:tcPr>
          <w:p>
            <w:pPr>
              <w:jc w:val="center"/>
              <w:rPr>
                <w:rFonts w:ascii="仿宋" w:hAnsi="仿宋" w:eastAsia="仿宋" w:cs="仿宋"/>
                <w:sz w:val="22"/>
                <w:szCs w:val="22"/>
              </w:rPr>
            </w:pPr>
            <w:r>
              <w:rPr>
                <w:rFonts w:hint="eastAsia" w:ascii="仿宋" w:hAnsi="仿宋" w:eastAsia="仿宋" w:cs="仿宋"/>
                <w:sz w:val="22"/>
                <w:szCs w:val="22"/>
              </w:rPr>
              <w:t>年费率1%，最低保费500元</w:t>
            </w:r>
          </w:p>
        </w:tc>
        <w:tc>
          <w:tcPr>
            <w:tcW w:w="2352" w:type="dxa"/>
            <w:vAlign w:val="center"/>
          </w:tcPr>
          <w:p>
            <w:pPr>
              <w:spacing w:line="360" w:lineRule="auto"/>
              <w:jc w:val="center"/>
              <w:rPr>
                <w:rFonts w:ascii="仿宋" w:hAnsi="仿宋" w:eastAsia="仿宋" w:cs="仿宋"/>
                <w:sz w:val="22"/>
                <w:szCs w:val="22"/>
              </w:rPr>
            </w:pPr>
            <w:r>
              <w:rPr>
                <w:rFonts w:hint="eastAsia" w:ascii="仿宋" w:hAnsi="仿宋" w:eastAsia="仿宋" w:cs="仿宋"/>
                <w:sz w:val="22"/>
                <w:szCs w:val="22"/>
              </w:rPr>
              <w:t>徐凌</w:t>
            </w:r>
          </w:p>
        </w:tc>
        <w:tc>
          <w:tcPr>
            <w:tcW w:w="1672" w:type="dxa"/>
            <w:vAlign w:val="center"/>
          </w:tcPr>
          <w:p>
            <w:pPr>
              <w:jc w:val="center"/>
              <w:rPr>
                <w:rFonts w:ascii="仿宋" w:hAnsi="仿宋" w:eastAsia="仿宋" w:cs="仿宋"/>
                <w:sz w:val="22"/>
                <w:szCs w:val="22"/>
              </w:rPr>
            </w:pPr>
            <w:r>
              <w:rPr>
                <w:rFonts w:hint="eastAsia" w:ascii="仿宋" w:hAnsi="仿宋" w:eastAsia="仿宋" w:cs="仿宋"/>
                <w:sz w:val="22"/>
                <w:szCs w:val="22"/>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3334" w:type="dxa"/>
            <w:vAlign w:val="center"/>
          </w:tcPr>
          <w:p>
            <w:pPr>
              <w:jc w:val="center"/>
              <w:rPr>
                <w:rFonts w:ascii="仿宋" w:hAnsi="仿宋" w:eastAsia="仿宋" w:cs="仿宋"/>
                <w:sz w:val="22"/>
                <w:szCs w:val="22"/>
              </w:rPr>
            </w:pPr>
            <w:r>
              <w:rPr>
                <w:rFonts w:hint="eastAsia" w:ascii="仿宋" w:hAnsi="仿宋" w:eastAsia="仿宋" w:cs="仿宋"/>
                <w:sz w:val="22"/>
                <w:szCs w:val="22"/>
              </w:rPr>
              <w:t>永诚财产保险股份有限公司台州分公司</w:t>
            </w:r>
          </w:p>
        </w:tc>
        <w:tc>
          <w:tcPr>
            <w:tcW w:w="2339" w:type="dxa"/>
            <w:vAlign w:val="center"/>
          </w:tcPr>
          <w:p>
            <w:pPr>
              <w:jc w:val="center"/>
              <w:rPr>
                <w:rFonts w:ascii="仿宋" w:hAnsi="仿宋" w:eastAsia="仿宋" w:cs="仿宋"/>
                <w:sz w:val="22"/>
                <w:szCs w:val="22"/>
              </w:rPr>
            </w:pPr>
            <w:r>
              <w:rPr>
                <w:rFonts w:hint="eastAsia" w:ascii="仿宋" w:hAnsi="仿宋" w:eastAsia="仿宋" w:cs="仿宋"/>
                <w:sz w:val="22"/>
                <w:szCs w:val="22"/>
              </w:rPr>
              <w:t>年费率1%，最低保费1000元</w:t>
            </w:r>
          </w:p>
        </w:tc>
        <w:tc>
          <w:tcPr>
            <w:tcW w:w="2352" w:type="dxa"/>
            <w:vAlign w:val="center"/>
          </w:tcPr>
          <w:p>
            <w:pPr>
              <w:spacing w:line="360" w:lineRule="auto"/>
              <w:jc w:val="center"/>
              <w:rPr>
                <w:rFonts w:ascii="仿宋" w:hAnsi="仿宋" w:eastAsia="仿宋" w:cs="仿宋"/>
                <w:sz w:val="22"/>
                <w:szCs w:val="22"/>
              </w:rPr>
            </w:pPr>
            <w:r>
              <w:rPr>
                <w:rFonts w:hint="eastAsia" w:ascii="仿宋" w:hAnsi="仿宋" w:eastAsia="仿宋" w:cs="仿宋"/>
                <w:sz w:val="22"/>
                <w:szCs w:val="22"/>
              </w:rPr>
              <w:t>尹刚强</w:t>
            </w:r>
          </w:p>
        </w:tc>
        <w:tc>
          <w:tcPr>
            <w:tcW w:w="1672" w:type="dxa"/>
            <w:vAlign w:val="center"/>
          </w:tcPr>
          <w:p>
            <w:pPr>
              <w:jc w:val="center"/>
              <w:rPr>
                <w:rFonts w:ascii="仿宋" w:hAnsi="仿宋" w:eastAsia="仿宋" w:cs="仿宋"/>
                <w:sz w:val="22"/>
                <w:szCs w:val="22"/>
              </w:rPr>
            </w:pPr>
            <w:r>
              <w:rPr>
                <w:rFonts w:hint="eastAsia" w:ascii="仿宋" w:hAnsi="仿宋" w:eastAsia="仿宋" w:cs="仿宋"/>
                <w:sz w:val="22"/>
                <w:szCs w:val="22"/>
              </w:rPr>
              <w:t>13750668184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3334" w:type="dxa"/>
            <w:vAlign w:val="center"/>
          </w:tcPr>
          <w:p>
            <w:pPr>
              <w:jc w:val="center"/>
              <w:rPr>
                <w:rFonts w:ascii="仿宋" w:hAnsi="仿宋" w:eastAsia="仿宋" w:cs="仿宋"/>
                <w:sz w:val="22"/>
                <w:szCs w:val="22"/>
              </w:rPr>
            </w:pPr>
            <w:r>
              <w:rPr>
                <w:rFonts w:hint="eastAsia" w:ascii="仿宋" w:hAnsi="仿宋" w:eastAsia="仿宋" w:cs="仿宋"/>
                <w:sz w:val="22"/>
                <w:szCs w:val="22"/>
              </w:rPr>
              <w:t>华泰财产保险有限公司台州中心支公司</w:t>
            </w:r>
          </w:p>
        </w:tc>
        <w:tc>
          <w:tcPr>
            <w:tcW w:w="2339" w:type="dxa"/>
            <w:vAlign w:val="center"/>
          </w:tcPr>
          <w:p>
            <w:pPr>
              <w:jc w:val="center"/>
              <w:rPr>
                <w:rFonts w:ascii="仿宋" w:hAnsi="仿宋" w:eastAsia="仿宋" w:cs="仿宋"/>
                <w:sz w:val="22"/>
                <w:szCs w:val="22"/>
              </w:rPr>
            </w:pPr>
            <w:r>
              <w:rPr>
                <w:rFonts w:hint="eastAsia" w:ascii="仿宋" w:hAnsi="仿宋" w:eastAsia="仿宋" w:cs="仿宋"/>
                <w:sz w:val="22"/>
                <w:szCs w:val="22"/>
              </w:rPr>
              <w:t>年费率0.5%，最低保费1000元</w:t>
            </w:r>
          </w:p>
        </w:tc>
        <w:tc>
          <w:tcPr>
            <w:tcW w:w="2352" w:type="dxa"/>
            <w:vAlign w:val="center"/>
          </w:tcPr>
          <w:p>
            <w:pPr>
              <w:spacing w:line="360" w:lineRule="auto"/>
              <w:jc w:val="center"/>
              <w:rPr>
                <w:rFonts w:ascii="仿宋" w:hAnsi="仿宋" w:eastAsia="仿宋" w:cs="仿宋"/>
                <w:sz w:val="22"/>
                <w:szCs w:val="22"/>
              </w:rPr>
            </w:pPr>
            <w:r>
              <w:rPr>
                <w:rFonts w:hint="eastAsia" w:ascii="仿宋" w:hAnsi="仿宋" w:eastAsia="仿宋" w:cs="仿宋"/>
                <w:sz w:val="22"/>
                <w:szCs w:val="22"/>
              </w:rPr>
              <w:t>王灵芳</w:t>
            </w:r>
          </w:p>
        </w:tc>
        <w:tc>
          <w:tcPr>
            <w:tcW w:w="1672" w:type="dxa"/>
            <w:vAlign w:val="center"/>
          </w:tcPr>
          <w:p>
            <w:pPr>
              <w:jc w:val="center"/>
              <w:rPr>
                <w:rFonts w:ascii="仿宋" w:hAnsi="仿宋" w:eastAsia="仿宋" w:cs="仿宋"/>
                <w:sz w:val="22"/>
                <w:szCs w:val="22"/>
              </w:rPr>
            </w:pPr>
            <w:r>
              <w:rPr>
                <w:rFonts w:hint="eastAsia" w:ascii="仿宋" w:hAnsi="仿宋" w:eastAsia="仿宋" w:cs="仿宋"/>
                <w:sz w:val="22"/>
                <w:szCs w:val="22"/>
              </w:rPr>
              <w:t>88869818 13586123199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3334" w:type="dxa"/>
            <w:vAlign w:val="center"/>
          </w:tcPr>
          <w:p>
            <w:pPr>
              <w:jc w:val="center"/>
              <w:rPr>
                <w:rFonts w:ascii="仿宋" w:hAnsi="仿宋" w:eastAsia="仿宋" w:cs="仿宋"/>
                <w:sz w:val="22"/>
                <w:szCs w:val="22"/>
              </w:rPr>
            </w:pPr>
            <w:r>
              <w:rPr>
                <w:rFonts w:hint="eastAsia" w:ascii="仿宋" w:hAnsi="仿宋" w:eastAsia="仿宋" w:cs="仿宋"/>
                <w:sz w:val="22"/>
                <w:szCs w:val="22"/>
              </w:rPr>
              <w:t>中国大地财产保险股份有限公司台州中心支公司</w:t>
            </w:r>
          </w:p>
        </w:tc>
        <w:tc>
          <w:tcPr>
            <w:tcW w:w="2339" w:type="dxa"/>
            <w:vAlign w:val="center"/>
          </w:tcPr>
          <w:p>
            <w:pPr>
              <w:jc w:val="center"/>
              <w:rPr>
                <w:rFonts w:ascii="仿宋" w:hAnsi="仿宋" w:eastAsia="仿宋" w:cs="仿宋"/>
                <w:sz w:val="22"/>
                <w:szCs w:val="22"/>
              </w:rPr>
            </w:pPr>
            <w:r>
              <w:rPr>
                <w:rFonts w:hint="eastAsia" w:ascii="仿宋" w:hAnsi="仿宋" w:eastAsia="仿宋" w:cs="仿宋"/>
                <w:sz w:val="22"/>
                <w:szCs w:val="22"/>
              </w:rPr>
              <w:t>年费率1.5%，最低保费1000元</w:t>
            </w:r>
          </w:p>
        </w:tc>
        <w:tc>
          <w:tcPr>
            <w:tcW w:w="2352" w:type="dxa"/>
            <w:vAlign w:val="center"/>
          </w:tcPr>
          <w:p>
            <w:pPr>
              <w:spacing w:line="360" w:lineRule="auto"/>
              <w:jc w:val="center"/>
              <w:rPr>
                <w:rFonts w:ascii="仿宋" w:hAnsi="仿宋" w:eastAsia="仿宋" w:cs="仿宋"/>
                <w:sz w:val="22"/>
                <w:szCs w:val="22"/>
              </w:rPr>
            </w:pPr>
            <w:r>
              <w:rPr>
                <w:rFonts w:hint="eastAsia" w:ascii="仿宋" w:hAnsi="仿宋" w:eastAsia="仿宋" w:cs="仿宋"/>
                <w:sz w:val="22"/>
                <w:szCs w:val="22"/>
              </w:rPr>
              <w:t>徐小明</w:t>
            </w:r>
          </w:p>
        </w:tc>
        <w:tc>
          <w:tcPr>
            <w:tcW w:w="1672" w:type="dxa"/>
            <w:vAlign w:val="center"/>
          </w:tcPr>
          <w:p>
            <w:pPr>
              <w:jc w:val="center"/>
              <w:rPr>
                <w:rFonts w:ascii="仿宋" w:hAnsi="仿宋" w:eastAsia="仿宋" w:cs="仿宋"/>
                <w:sz w:val="22"/>
                <w:szCs w:val="22"/>
              </w:rPr>
            </w:pPr>
            <w:r>
              <w:rPr>
                <w:rFonts w:hint="eastAsia" w:ascii="仿宋" w:hAnsi="仿宋" w:eastAsia="仿宋" w:cs="仿宋"/>
                <w:sz w:val="22"/>
                <w:szCs w:val="22"/>
              </w:rPr>
              <w:t>88552788      13968603112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3334" w:type="dxa"/>
            <w:vAlign w:val="center"/>
          </w:tcPr>
          <w:p>
            <w:pPr>
              <w:jc w:val="center"/>
              <w:rPr>
                <w:rFonts w:ascii="仿宋" w:hAnsi="仿宋" w:eastAsia="仿宋" w:cs="仿宋"/>
                <w:sz w:val="22"/>
                <w:szCs w:val="22"/>
              </w:rPr>
            </w:pPr>
            <w:r>
              <w:rPr>
                <w:rFonts w:hint="eastAsia" w:ascii="仿宋" w:hAnsi="仿宋" w:eastAsia="仿宋" w:cs="仿宋"/>
                <w:sz w:val="22"/>
                <w:szCs w:val="22"/>
              </w:rPr>
              <w:t>阳光保险台州中心支公司</w:t>
            </w:r>
          </w:p>
        </w:tc>
        <w:tc>
          <w:tcPr>
            <w:tcW w:w="2339" w:type="dxa"/>
            <w:vAlign w:val="center"/>
          </w:tcPr>
          <w:p>
            <w:pPr>
              <w:jc w:val="center"/>
              <w:rPr>
                <w:rFonts w:ascii="仿宋" w:hAnsi="仿宋" w:eastAsia="仿宋" w:cs="仿宋"/>
                <w:sz w:val="22"/>
                <w:szCs w:val="22"/>
              </w:rPr>
            </w:pPr>
            <w:r>
              <w:rPr>
                <w:rFonts w:hint="eastAsia" w:ascii="仿宋" w:hAnsi="仿宋" w:eastAsia="仿宋" w:cs="仿宋"/>
                <w:sz w:val="22"/>
                <w:szCs w:val="22"/>
              </w:rPr>
              <w:t>年费率1%，最低保费500元</w:t>
            </w:r>
          </w:p>
        </w:tc>
        <w:tc>
          <w:tcPr>
            <w:tcW w:w="2352" w:type="dxa"/>
            <w:vAlign w:val="center"/>
          </w:tcPr>
          <w:p>
            <w:pPr>
              <w:spacing w:line="360" w:lineRule="auto"/>
              <w:jc w:val="center"/>
              <w:rPr>
                <w:rFonts w:ascii="仿宋" w:hAnsi="仿宋" w:eastAsia="仿宋" w:cs="仿宋"/>
                <w:sz w:val="22"/>
                <w:szCs w:val="22"/>
              </w:rPr>
            </w:pPr>
            <w:r>
              <w:rPr>
                <w:rFonts w:hint="eastAsia" w:ascii="仿宋" w:hAnsi="仿宋" w:eastAsia="仿宋" w:cs="仿宋"/>
                <w:sz w:val="22"/>
                <w:szCs w:val="22"/>
              </w:rPr>
              <w:t>林高明</w:t>
            </w:r>
          </w:p>
        </w:tc>
        <w:tc>
          <w:tcPr>
            <w:tcW w:w="1672" w:type="dxa"/>
            <w:vAlign w:val="center"/>
          </w:tcPr>
          <w:p>
            <w:pPr>
              <w:jc w:val="center"/>
              <w:rPr>
                <w:rFonts w:ascii="仿宋" w:hAnsi="仿宋" w:eastAsia="仿宋" w:cs="仿宋"/>
                <w:sz w:val="22"/>
                <w:szCs w:val="22"/>
              </w:rPr>
            </w:pPr>
            <w:r>
              <w:rPr>
                <w:rFonts w:hint="eastAsia" w:ascii="仿宋" w:hAnsi="仿宋" w:eastAsia="仿宋" w:cs="仿宋"/>
                <w:sz w:val="22"/>
                <w:szCs w:val="22"/>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3334" w:type="dxa"/>
            <w:vAlign w:val="center"/>
          </w:tcPr>
          <w:p>
            <w:pPr>
              <w:jc w:val="center"/>
              <w:rPr>
                <w:rFonts w:ascii="仿宋" w:hAnsi="仿宋" w:eastAsia="仿宋" w:cs="仿宋"/>
                <w:sz w:val="22"/>
                <w:szCs w:val="22"/>
              </w:rPr>
            </w:pPr>
            <w:r>
              <w:rPr>
                <w:rFonts w:hint="eastAsia" w:ascii="仿宋" w:hAnsi="仿宋" w:eastAsia="仿宋" w:cs="仿宋"/>
                <w:sz w:val="22"/>
                <w:szCs w:val="22"/>
              </w:rPr>
              <w:t>中华联合财产保险股份有限公司台州中心支公司</w:t>
            </w:r>
          </w:p>
        </w:tc>
        <w:tc>
          <w:tcPr>
            <w:tcW w:w="2339" w:type="dxa"/>
            <w:vAlign w:val="center"/>
          </w:tcPr>
          <w:p>
            <w:pPr>
              <w:jc w:val="center"/>
              <w:rPr>
                <w:rFonts w:ascii="仿宋" w:hAnsi="仿宋" w:eastAsia="仿宋" w:cs="仿宋"/>
                <w:sz w:val="22"/>
                <w:szCs w:val="22"/>
              </w:rPr>
            </w:pPr>
            <w:r>
              <w:rPr>
                <w:rFonts w:hint="eastAsia" w:ascii="仿宋" w:hAnsi="仿宋" w:eastAsia="仿宋" w:cs="仿宋"/>
                <w:sz w:val="22"/>
                <w:szCs w:val="22"/>
              </w:rPr>
              <w:t>年费率2%，最低保费500元</w:t>
            </w:r>
          </w:p>
        </w:tc>
        <w:tc>
          <w:tcPr>
            <w:tcW w:w="2352" w:type="dxa"/>
            <w:vAlign w:val="center"/>
          </w:tcPr>
          <w:p>
            <w:pPr>
              <w:spacing w:line="360" w:lineRule="auto"/>
              <w:jc w:val="center"/>
              <w:rPr>
                <w:rFonts w:ascii="仿宋" w:hAnsi="仿宋" w:eastAsia="仿宋" w:cs="仿宋"/>
                <w:sz w:val="22"/>
                <w:szCs w:val="22"/>
              </w:rPr>
            </w:pPr>
            <w:r>
              <w:rPr>
                <w:rFonts w:hint="eastAsia" w:ascii="仿宋" w:hAnsi="仿宋" w:eastAsia="仿宋" w:cs="仿宋"/>
                <w:sz w:val="22"/>
                <w:szCs w:val="22"/>
              </w:rPr>
              <w:t>王仙高</w:t>
            </w:r>
          </w:p>
        </w:tc>
        <w:tc>
          <w:tcPr>
            <w:tcW w:w="1672" w:type="dxa"/>
            <w:vAlign w:val="center"/>
          </w:tcPr>
          <w:p>
            <w:pPr>
              <w:jc w:val="center"/>
              <w:rPr>
                <w:rFonts w:ascii="仿宋" w:hAnsi="仿宋" w:eastAsia="仿宋" w:cs="仿宋"/>
                <w:sz w:val="22"/>
                <w:szCs w:val="22"/>
              </w:rPr>
            </w:pPr>
            <w:r>
              <w:rPr>
                <w:rFonts w:hint="eastAsia" w:ascii="仿宋" w:hAnsi="仿宋" w:eastAsia="仿宋" w:cs="仿宋"/>
                <w:sz w:val="22"/>
                <w:szCs w:val="22"/>
              </w:rPr>
              <w:t>13858600221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7" w:hRule="atLeast"/>
        </w:trPr>
        <w:tc>
          <w:tcPr>
            <w:tcW w:w="3334" w:type="dxa"/>
            <w:vAlign w:val="center"/>
          </w:tcPr>
          <w:p>
            <w:pPr>
              <w:jc w:val="center"/>
              <w:rPr>
                <w:rFonts w:ascii="仿宋" w:hAnsi="仿宋" w:eastAsia="仿宋" w:cs="仿宋"/>
                <w:sz w:val="22"/>
                <w:szCs w:val="22"/>
              </w:rPr>
            </w:pPr>
            <w:r>
              <w:rPr>
                <w:rFonts w:hint="eastAsia" w:ascii="仿宋" w:hAnsi="仿宋" w:eastAsia="仿宋" w:cs="仿宋"/>
                <w:sz w:val="22"/>
                <w:szCs w:val="22"/>
              </w:rPr>
              <w:t>中国人民财产保险股份有限公司台州中心支公司</w:t>
            </w:r>
          </w:p>
        </w:tc>
        <w:tc>
          <w:tcPr>
            <w:tcW w:w="2339" w:type="dxa"/>
            <w:vAlign w:val="center"/>
          </w:tcPr>
          <w:p>
            <w:pPr>
              <w:jc w:val="center"/>
              <w:rPr>
                <w:rFonts w:ascii="仿宋" w:hAnsi="仿宋" w:eastAsia="仿宋" w:cs="仿宋"/>
                <w:sz w:val="22"/>
                <w:szCs w:val="22"/>
              </w:rPr>
            </w:pPr>
            <w:r>
              <w:rPr>
                <w:rFonts w:hint="eastAsia" w:ascii="仿宋" w:hAnsi="仿宋" w:eastAsia="仿宋" w:cs="仿宋"/>
                <w:sz w:val="22"/>
                <w:szCs w:val="22"/>
              </w:rPr>
              <w:t>年费率0.3%，最低保费1000元</w:t>
            </w:r>
          </w:p>
        </w:tc>
        <w:tc>
          <w:tcPr>
            <w:tcW w:w="2352" w:type="dxa"/>
            <w:vAlign w:val="center"/>
          </w:tcPr>
          <w:p>
            <w:pPr>
              <w:spacing w:line="360" w:lineRule="auto"/>
              <w:jc w:val="center"/>
              <w:rPr>
                <w:rFonts w:ascii="仿宋" w:hAnsi="仿宋" w:eastAsia="仿宋" w:cs="仿宋"/>
                <w:sz w:val="22"/>
                <w:szCs w:val="22"/>
              </w:rPr>
            </w:pPr>
            <w:r>
              <w:rPr>
                <w:rFonts w:hint="eastAsia" w:ascii="仿宋" w:hAnsi="仿宋" w:eastAsia="仿宋" w:cs="仿宋"/>
                <w:sz w:val="22"/>
                <w:szCs w:val="22"/>
              </w:rPr>
              <w:t>王仙春</w:t>
            </w:r>
          </w:p>
        </w:tc>
        <w:tc>
          <w:tcPr>
            <w:tcW w:w="1672" w:type="dxa"/>
            <w:vAlign w:val="center"/>
          </w:tcPr>
          <w:p>
            <w:pPr>
              <w:jc w:val="center"/>
              <w:rPr>
                <w:rFonts w:ascii="仿宋" w:hAnsi="仿宋" w:eastAsia="仿宋" w:cs="仿宋"/>
                <w:sz w:val="22"/>
                <w:szCs w:val="22"/>
              </w:rPr>
            </w:pPr>
            <w:r>
              <w:rPr>
                <w:rFonts w:hint="eastAsia" w:ascii="仿宋" w:hAnsi="仿宋" w:eastAsia="仿宋" w:cs="仿宋"/>
                <w:sz w:val="22"/>
                <w:szCs w:val="22"/>
              </w:rPr>
              <w:t>13515769179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3334" w:type="dxa"/>
            <w:vAlign w:val="center"/>
          </w:tcPr>
          <w:p>
            <w:pPr>
              <w:jc w:val="center"/>
              <w:rPr>
                <w:rFonts w:ascii="仿宋" w:hAnsi="仿宋" w:eastAsia="仿宋" w:cs="仿宋"/>
                <w:sz w:val="22"/>
                <w:szCs w:val="22"/>
              </w:rPr>
            </w:pPr>
            <w:r>
              <w:rPr>
                <w:rFonts w:hint="eastAsia" w:ascii="仿宋" w:hAnsi="仿宋" w:eastAsia="仿宋" w:cs="仿宋"/>
                <w:sz w:val="22"/>
                <w:szCs w:val="22"/>
              </w:rPr>
              <w:t>永安财产保险股份有限公司台州中心支公司</w:t>
            </w:r>
          </w:p>
        </w:tc>
        <w:tc>
          <w:tcPr>
            <w:tcW w:w="2339" w:type="dxa"/>
            <w:vAlign w:val="center"/>
          </w:tcPr>
          <w:p>
            <w:pPr>
              <w:jc w:val="center"/>
              <w:rPr>
                <w:rFonts w:ascii="仿宋" w:hAnsi="仿宋" w:eastAsia="仿宋" w:cs="仿宋"/>
                <w:sz w:val="22"/>
                <w:szCs w:val="22"/>
              </w:rPr>
            </w:pPr>
            <w:r>
              <w:rPr>
                <w:rFonts w:hint="eastAsia" w:ascii="仿宋" w:hAnsi="仿宋" w:eastAsia="仿宋" w:cs="仿宋"/>
                <w:sz w:val="22"/>
                <w:szCs w:val="22"/>
              </w:rPr>
              <w:t>年费率0.3%，最低保费1000</w:t>
            </w:r>
          </w:p>
        </w:tc>
        <w:tc>
          <w:tcPr>
            <w:tcW w:w="2352" w:type="dxa"/>
            <w:vAlign w:val="center"/>
          </w:tcPr>
          <w:p>
            <w:pPr>
              <w:spacing w:line="360" w:lineRule="auto"/>
              <w:jc w:val="center"/>
              <w:rPr>
                <w:rFonts w:ascii="仿宋" w:hAnsi="仿宋" w:eastAsia="仿宋" w:cs="仿宋"/>
                <w:sz w:val="22"/>
                <w:szCs w:val="22"/>
              </w:rPr>
            </w:pPr>
            <w:r>
              <w:rPr>
                <w:rFonts w:hint="eastAsia" w:ascii="仿宋" w:hAnsi="仿宋" w:eastAsia="仿宋" w:cs="仿宋"/>
                <w:sz w:val="22"/>
                <w:szCs w:val="22"/>
              </w:rPr>
              <w:t>王春宇</w:t>
            </w:r>
          </w:p>
        </w:tc>
        <w:tc>
          <w:tcPr>
            <w:tcW w:w="1672" w:type="dxa"/>
            <w:vAlign w:val="center"/>
          </w:tcPr>
          <w:p>
            <w:pPr>
              <w:jc w:val="center"/>
              <w:rPr>
                <w:rFonts w:ascii="仿宋" w:hAnsi="仿宋" w:eastAsia="仿宋" w:cs="仿宋"/>
                <w:sz w:val="22"/>
                <w:szCs w:val="22"/>
              </w:rPr>
            </w:pPr>
            <w:r>
              <w:rPr>
                <w:rFonts w:hint="eastAsia" w:ascii="仿宋" w:hAnsi="仿宋" w:eastAsia="仿宋" w:cs="仿宋"/>
                <w:sz w:val="22"/>
                <w:szCs w:val="22"/>
              </w:rPr>
              <w:t>13676675331</w:t>
            </w:r>
          </w:p>
        </w:tc>
      </w:tr>
    </w:tbl>
    <w:p>
      <w:pPr>
        <w:spacing w:line="360" w:lineRule="auto"/>
        <w:jc w:val="center"/>
        <w:rPr>
          <w:rFonts w:ascii="仿宋" w:hAnsi="仿宋" w:eastAsia="仿宋" w:cs="仿宋"/>
          <w:sz w:val="22"/>
          <w:szCs w:val="22"/>
        </w:rPr>
      </w:pPr>
      <w:r>
        <w:rPr>
          <w:rFonts w:hint="eastAsia" w:ascii="仿宋" w:hAnsi="仿宋" w:eastAsia="仿宋" w:cs="仿宋"/>
          <w:b/>
          <w:bCs/>
          <w:sz w:val="22"/>
          <w:szCs w:val="22"/>
        </w:rPr>
        <w:t>预付款保函联系方式</w:t>
      </w:r>
    </w:p>
    <w:tbl>
      <w:tblPr>
        <w:tblStyle w:val="48"/>
        <w:tblW w:w="0" w:type="auto"/>
        <w:tblInd w:w="-5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27"/>
        <w:gridCol w:w="2358"/>
        <w:gridCol w:w="2369"/>
        <w:gridCol w:w="16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3327" w:type="dxa"/>
            <w:vAlign w:val="center"/>
          </w:tcPr>
          <w:p>
            <w:pPr>
              <w:spacing w:line="360" w:lineRule="auto"/>
              <w:jc w:val="center"/>
              <w:rPr>
                <w:rFonts w:ascii="仿宋" w:hAnsi="仿宋" w:eastAsia="仿宋" w:cs="仿宋"/>
                <w:b/>
                <w:bCs/>
                <w:sz w:val="22"/>
                <w:szCs w:val="22"/>
              </w:rPr>
            </w:pPr>
            <w:r>
              <w:rPr>
                <w:rFonts w:hint="eastAsia" w:ascii="仿宋" w:hAnsi="仿宋" w:eastAsia="仿宋" w:cs="仿宋"/>
                <w:b/>
                <w:bCs/>
                <w:sz w:val="22"/>
                <w:szCs w:val="22"/>
              </w:rPr>
              <w:t>保险公司名称</w:t>
            </w:r>
          </w:p>
        </w:tc>
        <w:tc>
          <w:tcPr>
            <w:tcW w:w="2358" w:type="dxa"/>
            <w:vAlign w:val="center"/>
          </w:tcPr>
          <w:p>
            <w:pPr>
              <w:spacing w:line="360" w:lineRule="auto"/>
              <w:jc w:val="center"/>
              <w:rPr>
                <w:rFonts w:ascii="仿宋" w:hAnsi="仿宋" w:eastAsia="仿宋" w:cs="仿宋"/>
                <w:b/>
                <w:bCs/>
                <w:sz w:val="22"/>
                <w:szCs w:val="22"/>
              </w:rPr>
            </w:pPr>
            <w:r>
              <w:rPr>
                <w:rFonts w:hint="eastAsia" w:ascii="仿宋" w:hAnsi="仿宋" w:eastAsia="仿宋" w:cs="仿宋"/>
                <w:b/>
                <w:bCs/>
                <w:sz w:val="22"/>
                <w:szCs w:val="22"/>
              </w:rPr>
              <w:t>保费率</w:t>
            </w:r>
          </w:p>
        </w:tc>
        <w:tc>
          <w:tcPr>
            <w:tcW w:w="2369" w:type="dxa"/>
            <w:vAlign w:val="center"/>
          </w:tcPr>
          <w:p>
            <w:pPr>
              <w:spacing w:line="360" w:lineRule="auto"/>
              <w:jc w:val="center"/>
              <w:rPr>
                <w:rFonts w:ascii="仿宋" w:hAnsi="仿宋" w:eastAsia="仿宋" w:cs="仿宋"/>
                <w:b/>
                <w:bCs/>
                <w:sz w:val="22"/>
                <w:szCs w:val="22"/>
              </w:rPr>
            </w:pPr>
            <w:r>
              <w:rPr>
                <w:rFonts w:hint="eastAsia" w:ascii="仿宋" w:hAnsi="仿宋" w:eastAsia="仿宋" w:cs="仿宋"/>
                <w:b/>
                <w:bCs/>
                <w:sz w:val="22"/>
                <w:szCs w:val="22"/>
              </w:rPr>
              <w:t>联系人</w:t>
            </w:r>
          </w:p>
        </w:tc>
        <w:tc>
          <w:tcPr>
            <w:tcW w:w="1684" w:type="dxa"/>
            <w:vAlign w:val="center"/>
          </w:tcPr>
          <w:p>
            <w:pPr>
              <w:spacing w:line="360" w:lineRule="auto"/>
              <w:jc w:val="center"/>
              <w:rPr>
                <w:rFonts w:ascii="仿宋" w:hAnsi="仿宋" w:eastAsia="仿宋" w:cs="仿宋"/>
                <w:b/>
                <w:bCs/>
                <w:sz w:val="22"/>
                <w:szCs w:val="22"/>
              </w:rPr>
            </w:pPr>
            <w:r>
              <w:rPr>
                <w:rFonts w:hint="eastAsia" w:ascii="仿宋" w:hAnsi="仿宋" w:eastAsia="仿宋" w:cs="仿宋"/>
                <w:b/>
                <w:bCs/>
                <w:sz w:val="22"/>
                <w:szCs w:val="2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trPr>
        <w:tc>
          <w:tcPr>
            <w:tcW w:w="3327" w:type="dxa"/>
            <w:vAlign w:val="center"/>
          </w:tcPr>
          <w:p>
            <w:pPr>
              <w:jc w:val="center"/>
              <w:rPr>
                <w:rFonts w:ascii="仿宋" w:hAnsi="仿宋" w:eastAsia="仿宋" w:cs="仿宋"/>
                <w:sz w:val="22"/>
                <w:szCs w:val="22"/>
              </w:rPr>
            </w:pPr>
            <w:r>
              <w:rPr>
                <w:rFonts w:hint="eastAsia" w:ascii="仿宋" w:hAnsi="仿宋" w:eastAsia="仿宋" w:cs="仿宋"/>
                <w:sz w:val="22"/>
                <w:szCs w:val="22"/>
              </w:rPr>
              <w:t>中国人寿财产保险股份有限公司台州中心支公司</w:t>
            </w:r>
          </w:p>
        </w:tc>
        <w:tc>
          <w:tcPr>
            <w:tcW w:w="2358" w:type="dxa"/>
            <w:vAlign w:val="center"/>
          </w:tcPr>
          <w:p>
            <w:pPr>
              <w:jc w:val="center"/>
              <w:rPr>
                <w:rFonts w:ascii="仿宋" w:hAnsi="仿宋" w:eastAsia="仿宋" w:cs="仿宋"/>
                <w:sz w:val="22"/>
                <w:szCs w:val="22"/>
              </w:rPr>
            </w:pPr>
            <w:r>
              <w:rPr>
                <w:rFonts w:hint="eastAsia" w:ascii="仿宋" w:hAnsi="仿宋" w:eastAsia="仿宋" w:cs="仿宋"/>
                <w:sz w:val="22"/>
                <w:szCs w:val="22"/>
              </w:rPr>
              <w:t>年费率3%，最低保费500元</w:t>
            </w:r>
          </w:p>
        </w:tc>
        <w:tc>
          <w:tcPr>
            <w:tcW w:w="2369" w:type="dxa"/>
            <w:vAlign w:val="center"/>
          </w:tcPr>
          <w:p>
            <w:pPr>
              <w:spacing w:line="360" w:lineRule="auto"/>
              <w:jc w:val="center"/>
              <w:rPr>
                <w:rFonts w:ascii="仿宋" w:hAnsi="仿宋" w:eastAsia="仿宋" w:cs="仿宋"/>
                <w:sz w:val="22"/>
                <w:szCs w:val="22"/>
              </w:rPr>
            </w:pPr>
            <w:r>
              <w:rPr>
                <w:rFonts w:hint="eastAsia" w:ascii="仿宋" w:hAnsi="仿宋" w:eastAsia="仿宋" w:cs="仿宋"/>
                <w:sz w:val="22"/>
                <w:szCs w:val="22"/>
              </w:rPr>
              <w:t>徐凌</w:t>
            </w:r>
          </w:p>
        </w:tc>
        <w:tc>
          <w:tcPr>
            <w:tcW w:w="1684" w:type="dxa"/>
            <w:vAlign w:val="center"/>
          </w:tcPr>
          <w:p>
            <w:pPr>
              <w:spacing w:line="360" w:lineRule="auto"/>
              <w:jc w:val="center"/>
              <w:rPr>
                <w:rFonts w:ascii="仿宋" w:hAnsi="仿宋" w:eastAsia="仿宋" w:cs="仿宋"/>
                <w:sz w:val="22"/>
                <w:szCs w:val="22"/>
              </w:rPr>
            </w:pPr>
            <w:r>
              <w:rPr>
                <w:rFonts w:hint="eastAsia" w:ascii="仿宋" w:hAnsi="仿宋" w:eastAsia="仿宋" w:cs="仿宋"/>
                <w:sz w:val="22"/>
                <w:szCs w:val="22"/>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3327" w:type="dxa"/>
            <w:vAlign w:val="center"/>
          </w:tcPr>
          <w:p>
            <w:pPr>
              <w:jc w:val="center"/>
              <w:rPr>
                <w:rFonts w:ascii="仿宋" w:hAnsi="仿宋" w:eastAsia="仿宋" w:cs="仿宋"/>
                <w:sz w:val="22"/>
                <w:szCs w:val="22"/>
              </w:rPr>
            </w:pPr>
            <w:r>
              <w:rPr>
                <w:rFonts w:hint="eastAsia" w:ascii="仿宋" w:hAnsi="仿宋" w:eastAsia="仿宋" w:cs="仿宋"/>
                <w:sz w:val="22"/>
                <w:szCs w:val="22"/>
              </w:rPr>
              <w:t>阳光保险台州中心支公司</w:t>
            </w:r>
          </w:p>
        </w:tc>
        <w:tc>
          <w:tcPr>
            <w:tcW w:w="2358" w:type="dxa"/>
            <w:vAlign w:val="center"/>
          </w:tcPr>
          <w:p>
            <w:pPr>
              <w:jc w:val="center"/>
              <w:rPr>
                <w:rFonts w:ascii="仿宋" w:hAnsi="仿宋" w:eastAsia="仿宋" w:cs="仿宋"/>
                <w:sz w:val="22"/>
                <w:szCs w:val="22"/>
              </w:rPr>
            </w:pPr>
            <w:r>
              <w:rPr>
                <w:rFonts w:hint="eastAsia" w:ascii="仿宋" w:hAnsi="仿宋" w:eastAsia="仿宋" w:cs="仿宋"/>
                <w:sz w:val="22"/>
                <w:szCs w:val="22"/>
              </w:rPr>
              <w:t>年费率1%，最低保费500元</w:t>
            </w:r>
          </w:p>
        </w:tc>
        <w:tc>
          <w:tcPr>
            <w:tcW w:w="2369" w:type="dxa"/>
            <w:vAlign w:val="center"/>
          </w:tcPr>
          <w:p>
            <w:pPr>
              <w:spacing w:line="360" w:lineRule="auto"/>
              <w:jc w:val="center"/>
              <w:rPr>
                <w:rFonts w:ascii="仿宋" w:hAnsi="仿宋" w:eastAsia="仿宋" w:cs="仿宋"/>
                <w:sz w:val="22"/>
                <w:szCs w:val="22"/>
              </w:rPr>
            </w:pPr>
            <w:r>
              <w:rPr>
                <w:rFonts w:hint="eastAsia" w:ascii="仿宋" w:hAnsi="仿宋" w:eastAsia="仿宋" w:cs="仿宋"/>
                <w:sz w:val="22"/>
                <w:szCs w:val="22"/>
              </w:rPr>
              <w:t>林高明</w:t>
            </w:r>
          </w:p>
        </w:tc>
        <w:tc>
          <w:tcPr>
            <w:tcW w:w="1684" w:type="dxa"/>
            <w:vAlign w:val="center"/>
          </w:tcPr>
          <w:p>
            <w:pPr>
              <w:spacing w:line="360" w:lineRule="auto"/>
              <w:jc w:val="center"/>
              <w:rPr>
                <w:rFonts w:ascii="仿宋" w:hAnsi="仿宋" w:eastAsia="仿宋" w:cs="仿宋"/>
                <w:sz w:val="22"/>
                <w:szCs w:val="22"/>
              </w:rPr>
            </w:pPr>
            <w:r>
              <w:rPr>
                <w:rFonts w:hint="eastAsia" w:ascii="仿宋" w:hAnsi="仿宋" w:eastAsia="仿宋" w:cs="仿宋"/>
                <w:sz w:val="22"/>
                <w:szCs w:val="22"/>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3" w:hRule="atLeast"/>
        </w:trPr>
        <w:tc>
          <w:tcPr>
            <w:tcW w:w="3327" w:type="dxa"/>
            <w:vAlign w:val="center"/>
          </w:tcPr>
          <w:p>
            <w:pPr>
              <w:jc w:val="center"/>
              <w:rPr>
                <w:rFonts w:ascii="仿宋" w:hAnsi="仿宋" w:eastAsia="仿宋" w:cs="仿宋"/>
                <w:sz w:val="22"/>
                <w:szCs w:val="22"/>
              </w:rPr>
            </w:pPr>
            <w:r>
              <w:rPr>
                <w:rFonts w:hint="eastAsia" w:ascii="仿宋" w:hAnsi="仿宋" w:eastAsia="仿宋" w:cs="仿宋"/>
                <w:sz w:val="22"/>
                <w:szCs w:val="22"/>
              </w:rPr>
              <w:t>天安财产保险股份有限公司台州中心支公司</w:t>
            </w:r>
          </w:p>
        </w:tc>
        <w:tc>
          <w:tcPr>
            <w:tcW w:w="2358" w:type="dxa"/>
            <w:vAlign w:val="center"/>
          </w:tcPr>
          <w:p>
            <w:pPr>
              <w:jc w:val="center"/>
              <w:rPr>
                <w:rFonts w:ascii="仿宋" w:hAnsi="仿宋" w:eastAsia="仿宋" w:cs="仿宋"/>
                <w:sz w:val="22"/>
                <w:szCs w:val="22"/>
              </w:rPr>
            </w:pPr>
            <w:r>
              <w:rPr>
                <w:rFonts w:hint="eastAsia" w:ascii="仿宋" w:hAnsi="仿宋" w:eastAsia="仿宋" w:cs="仿宋"/>
                <w:sz w:val="22"/>
                <w:szCs w:val="22"/>
              </w:rPr>
              <w:t>年费率1%—2%，最低保费500元</w:t>
            </w:r>
          </w:p>
        </w:tc>
        <w:tc>
          <w:tcPr>
            <w:tcW w:w="2369" w:type="dxa"/>
            <w:vAlign w:val="center"/>
          </w:tcPr>
          <w:p>
            <w:pPr>
              <w:spacing w:line="360" w:lineRule="auto"/>
              <w:jc w:val="center"/>
              <w:rPr>
                <w:rFonts w:ascii="仿宋" w:hAnsi="仿宋" w:eastAsia="仿宋" w:cs="仿宋"/>
                <w:sz w:val="22"/>
                <w:szCs w:val="22"/>
              </w:rPr>
            </w:pPr>
            <w:r>
              <w:rPr>
                <w:rFonts w:hint="eastAsia" w:ascii="仿宋" w:hAnsi="仿宋" w:eastAsia="仿宋" w:cs="仿宋"/>
                <w:sz w:val="22"/>
                <w:szCs w:val="22"/>
              </w:rPr>
              <w:t>罗赛</w:t>
            </w:r>
          </w:p>
        </w:tc>
        <w:tc>
          <w:tcPr>
            <w:tcW w:w="1684" w:type="dxa"/>
            <w:vAlign w:val="center"/>
          </w:tcPr>
          <w:p>
            <w:pPr>
              <w:spacing w:line="360" w:lineRule="auto"/>
              <w:jc w:val="center"/>
              <w:rPr>
                <w:rFonts w:ascii="仿宋" w:hAnsi="仿宋" w:eastAsia="仿宋" w:cs="仿宋"/>
                <w:sz w:val="22"/>
                <w:szCs w:val="22"/>
              </w:rPr>
            </w:pPr>
            <w:r>
              <w:rPr>
                <w:rFonts w:hint="eastAsia" w:ascii="仿宋" w:hAnsi="仿宋" w:eastAsia="仿宋" w:cs="仿宋"/>
                <w:sz w:val="22"/>
                <w:szCs w:val="22"/>
              </w:rPr>
              <w:t>13736605643</w:t>
            </w:r>
          </w:p>
        </w:tc>
      </w:tr>
    </w:tbl>
    <w:p>
      <w:pPr>
        <w:spacing w:line="360" w:lineRule="auto"/>
        <w:rPr>
          <w:rFonts w:ascii="仿宋" w:hAnsi="仿宋" w:eastAsia="仿宋" w:cs="仿宋"/>
          <w:b/>
          <w:bCs/>
          <w:color w:val="000000"/>
          <w:sz w:val="24"/>
          <w:szCs w:val="32"/>
        </w:rPr>
      </w:pPr>
    </w:p>
    <w:p>
      <w:pPr>
        <w:pStyle w:val="27"/>
        <w:snapToGrid w:val="0"/>
        <w:spacing w:before="120" w:after="120"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 、总  则</w:t>
      </w:r>
    </w:p>
    <w:p>
      <w:pPr>
        <w:snapToGrid w:val="0"/>
        <w:spacing w:line="360" w:lineRule="auto"/>
        <w:ind w:firstLine="413" w:firstLineChars="196"/>
        <w:jc w:val="left"/>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 适用范围</w:t>
      </w:r>
    </w:p>
    <w:p>
      <w:pPr>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本采购文件适用于</w:t>
      </w:r>
      <w:r>
        <w:rPr>
          <w:rFonts w:hint="eastAsia" w:asciiTheme="minorEastAsia" w:hAnsiTheme="minorEastAsia" w:eastAsiaTheme="minorEastAsia" w:cstheme="minorEastAsia"/>
          <w:bCs/>
          <w:szCs w:val="21"/>
        </w:rPr>
        <w:t>本次</w:t>
      </w:r>
      <w:r>
        <w:rPr>
          <w:rFonts w:hint="eastAsia" w:asciiTheme="minorEastAsia" w:hAnsiTheme="minorEastAsia" w:eastAsiaTheme="minorEastAsia" w:cstheme="minorEastAsia"/>
          <w:szCs w:val="21"/>
        </w:rPr>
        <w:t>项目的招标、投标、评标、定标、验收、合同履约、付款等行为（法律、法规另有规定的，从其规定）。</w:t>
      </w:r>
    </w:p>
    <w:p>
      <w:pPr>
        <w:snapToGrid w:val="0"/>
        <w:spacing w:before="159" w:beforeLines="50" w:line="360" w:lineRule="auto"/>
        <w:ind w:firstLine="310" w:firstLineChars="147"/>
        <w:jc w:val="left"/>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（二）定义</w:t>
      </w:r>
    </w:p>
    <w:p>
      <w:pPr>
        <w:pStyle w:val="5"/>
        <w:keepNext w:val="0"/>
        <w:keepLines w:val="0"/>
        <w:numPr>
          <w:ilvl w:val="0"/>
          <w:numId w:val="11"/>
        </w:numPr>
        <w:tabs>
          <w:tab w:val="left" w:pos="0"/>
          <w:tab w:val="left" w:pos="851"/>
        </w:tabs>
        <w:autoSpaceDE w:val="0"/>
        <w:autoSpaceDN w:val="0"/>
        <w:adjustRightInd w:val="0"/>
        <w:snapToGrid w:val="0"/>
        <w:spacing w:before="0" w:after="0" w:line="360" w:lineRule="auto"/>
        <w:ind w:left="0" w:firstLine="420" w:firstLineChars="200"/>
        <w:jc w:val="left"/>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zh-CN"/>
        </w:rPr>
        <w:t>“采购组织机构”指采购人委托组织招标的采购代理机构。</w:t>
      </w:r>
    </w:p>
    <w:p>
      <w:pPr>
        <w:pStyle w:val="5"/>
        <w:keepNext w:val="0"/>
        <w:keepLines w:val="0"/>
        <w:numPr>
          <w:ilvl w:val="0"/>
          <w:numId w:val="11"/>
        </w:numPr>
        <w:tabs>
          <w:tab w:val="left" w:pos="0"/>
          <w:tab w:val="left" w:pos="851"/>
        </w:tabs>
        <w:autoSpaceDE w:val="0"/>
        <w:autoSpaceDN w:val="0"/>
        <w:adjustRightInd w:val="0"/>
        <w:snapToGrid w:val="0"/>
        <w:spacing w:before="0" w:after="0" w:line="360" w:lineRule="auto"/>
        <w:ind w:left="0" w:firstLine="420" w:firstLineChars="200"/>
        <w:jc w:val="left"/>
        <w:rPr>
          <w:rFonts w:asciiTheme="minorEastAsia" w:hAnsiTheme="minorEastAsia" w:eastAsiaTheme="minorEastAsia" w:cstheme="minorEastAsia"/>
          <w:b w:val="0"/>
          <w:bCs w:val="0"/>
          <w:sz w:val="21"/>
          <w:szCs w:val="21"/>
          <w:lang w:val="zh-CN"/>
        </w:rPr>
      </w:pPr>
      <w:r>
        <w:rPr>
          <w:rFonts w:hint="eastAsia" w:asciiTheme="minorEastAsia" w:hAnsiTheme="minorEastAsia" w:eastAsiaTheme="minorEastAsia" w:cstheme="minorEastAsia"/>
          <w:b w:val="0"/>
          <w:bCs w:val="0"/>
          <w:sz w:val="21"/>
          <w:szCs w:val="21"/>
          <w:lang w:val="zh-CN"/>
        </w:rPr>
        <w:t>采购人：是指委托采购代理机构采购本次项目的国家机关、事业单位和团体组织。</w:t>
      </w:r>
    </w:p>
    <w:p>
      <w:pPr>
        <w:numPr>
          <w:ilvl w:val="0"/>
          <w:numId w:val="11"/>
        </w:numPr>
        <w:snapToGrid w:val="0"/>
        <w:spacing w:line="360" w:lineRule="auto"/>
        <w:ind w:left="0"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投标人：是指向采购</w:t>
      </w:r>
      <w:r>
        <w:rPr>
          <w:rFonts w:hint="eastAsia" w:asciiTheme="minorEastAsia" w:hAnsiTheme="minorEastAsia" w:eastAsiaTheme="minorEastAsia" w:cstheme="minorEastAsia"/>
          <w:szCs w:val="21"/>
          <w:lang w:val="zh-CN"/>
        </w:rPr>
        <w:t>组织</w:t>
      </w:r>
      <w:r>
        <w:rPr>
          <w:rFonts w:hint="eastAsia" w:asciiTheme="minorEastAsia" w:hAnsiTheme="minorEastAsia" w:eastAsiaTheme="minorEastAsia" w:cstheme="minorEastAsia"/>
          <w:szCs w:val="21"/>
        </w:rPr>
        <w:t>机构提交投标文件的单位或个人。</w:t>
      </w:r>
    </w:p>
    <w:p>
      <w:pPr>
        <w:numPr>
          <w:ilvl w:val="0"/>
          <w:numId w:val="11"/>
        </w:numPr>
        <w:snapToGrid w:val="0"/>
        <w:spacing w:line="360" w:lineRule="auto"/>
        <w:ind w:left="0"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货物：是指各种形态和种类的物品，包括原材料、燃料、设备、产品等。</w:t>
      </w:r>
    </w:p>
    <w:p>
      <w:pPr>
        <w:numPr>
          <w:ilvl w:val="0"/>
          <w:numId w:val="11"/>
        </w:numPr>
        <w:snapToGrid w:val="0"/>
        <w:spacing w:line="360" w:lineRule="auto"/>
        <w:ind w:left="0" w:firstLine="420"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服务：是指除货物和工程以外的政府采购对象，包括各类专业服务、信息网络开发服务、金融保险服务、运输服务，以及维修与维护服务等。</w:t>
      </w:r>
    </w:p>
    <w:p>
      <w:pPr>
        <w:numPr>
          <w:ilvl w:val="0"/>
          <w:numId w:val="11"/>
        </w:numPr>
        <w:snapToGrid w:val="0"/>
        <w:spacing w:line="360" w:lineRule="auto"/>
        <w:ind w:left="0"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“书面形式”包括信函、传真等。</w:t>
      </w:r>
    </w:p>
    <w:p>
      <w:pPr>
        <w:numPr>
          <w:ilvl w:val="0"/>
          <w:numId w:val="11"/>
        </w:numPr>
        <w:snapToGrid w:val="0"/>
        <w:spacing w:line="360" w:lineRule="auto"/>
        <w:ind w:left="0"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本采购文件所称公章是指单位法定名称章或者CA签章。</w:t>
      </w:r>
    </w:p>
    <w:p>
      <w:pPr>
        <w:numPr>
          <w:ilvl w:val="0"/>
          <w:numId w:val="11"/>
        </w:numPr>
        <w:snapToGrid w:val="0"/>
        <w:spacing w:line="360" w:lineRule="auto"/>
        <w:ind w:left="0"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“▲”系指实质性要求条款。</w:t>
      </w:r>
    </w:p>
    <w:p>
      <w:pPr>
        <w:snapToGrid w:val="0"/>
        <w:spacing w:before="159" w:beforeLines="50" w:line="360" w:lineRule="auto"/>
        <w:ind w:firstLine="413" w:firstLineChars="196"/>
        <w:jc w:val="left"/>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（三）投标费用</w:t>
      </w:r>
    </w:p>
    <w:p>
      <w:pPr>
        <w:numPr>
          <w:ilvl w:val="0"/>
          <w:numId w:val="12"/>
        </w:numPr>
        <w:snapToGrid w:val="0"/>
        <w:spacing w:line="360" w:lineRule="auto"/>
        <w:ind w:left="0"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不论投标结果如何，投标人均应自行承担所有与投标有关的全部费用（采购文件有相关规定除外）。</w:t>
      </w:r>
    </w:p>
    <w:p>
      <w:pPr>
        <w:snapToGrid w:val="0"/>
        <w:spacing w:line="360" w:lineRule="auto"/>
        <w:ind w:firstLine="420" w:firstLineChars="200"/>
        <w:rPr>
          <w:rFonts w:hAnsi="宋体" w:cs="宋体"/>
          <w:szCs w:val="21"/>
        </w:rPr>
      </w:pPr>
      <w:r>
        <w:rPr>
          <w:rFonts w:hint="eastAsia" w:asciiTheme="minorEastAsia" w:hAnsiTheme="minorEastAsia" w:eastAsiaTheme="minorEastAsia" w:cstheme="minorEastAsia"/>
          <w:szCs w:val="21"/>
        </w:rPr>
        <w:t>2.招标代理服务费：根据国家发改委发改办价格[2003]857号通知和国家计委计价格[2002]1980号文件规定的招标费率标准的85%，按照中标通知书确定的中标金额，向中标单位收取代理服务费。代理服务费结算时不足8000元的，按定额8000收取。该费用中标方须在领取中标通知书时一次性付清。</w:t>
      </w:r>
    </w:p>
    <w:p>
      <w:pPr>
        <w:pStyle w:val="27"/>
        <w:snapToGrid w:val="0"/>
        <w:spacing w:line="360" w:lineRule="auto"/>
        <w:ind w:left="2" w:leftChars="1"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（四）特别说明</w:t>
      </w:r>
    </w:p>
    <w:p>
      <w:pPr>
        <w:pStyle w:val="27"/>
        <w:numPr>
          <w:ilvl w:val="0"/>
          <w:numId w:val="13"/>
        </w:numPr>
        <w:snapToGrid w:val="0"/>
        <w:spacing w:line="360" w:lineRule="auto"/>
        <w:ind w:left="0"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投标人投标所使用的资格、信誉、荣誉、业绩与企业认证必须为本法人所拥有。投标人投标所使用的采购项目实施人员必须为本法人员工（指本法人或控股公司正式员工）。</w:t>
      </w:r>
    </w:p>
    <w:p>
      <w:pPr>
        <w:numPr>
          <w:ilvl w:val="0"/>
          <w:numId w:val="13"/>
        </w:numPr>
        <w:spacing w:line="360" w:lineRule="auto"/>
        <w:ind w:left="0"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供应商所投产品除采购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Theme="minorEastAsia" w:hAnsiTheme="minorEastAsia" w:eastAsiaTheme="minorEastAsia" w:cstheme="minorEastAsia"/>
          <w:szCs w:val="21"/>
        </w:rPr>
        <w:tab/>
      </w:r>
    </w:p>
    <w:p>
      <w:pPr>
        <w:pStyle w:val="65"/>
        <w:numPr>
          <w:ilvl w:val="0"/>
          <w:numId w:val="13"/>
        </w:numPr>
        <w:snapToGrid w:val="0"/>
        <w:spacing w:line="360" w:lineRule="auto"/>
        <w:ind w:left="0"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5"/>
        <w:keepNext w:val="0"/>
        <w:keepLines w:val="0"/>
        <w:numPr>
          <w:ilvl w:val="0"/>
          <w:numId w:val="13"/>
        </w:numPr>
        <w:tabs>
          <w:tab w:val="left" w:pos="851"/>
        </w:tabs>
        <w:autoSpaceDE w:val="0"/>
        <w:autoSpaceDN w:val="0"/>
        <w:adjustRightInd w:val="0"/>
        <w:snapToGrid w:val="0"/>
        <w:spacing w:before="0" w:after="0" w:line="360" w:lineRule="auto"/>
        <w:ind w:left="0" w:firstLine="420" w:firstLineChars="200"/>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投标人不得相互串通投标报价，不得妨碍其他投标人的公平竞争，不得损害采购人或其他投标人的合法权益，投标人不得以向采购人、评标委员会成员行贿或者采取其他不正当手段谋取中标。</w:t>
      </w:r>
    </w:p>
    <w:p>
      <w:pPr>
        <w:pStyle w:val="5"/>
        <w:keepNext w:val="0"/>
        <w:keepLines w:val="0"/>
        <w:numPr>
          <w:ilvl w:val="0"/>
          <w:numId w:val="13"/>
        </w:numPr>
        <w:tabs>
          <w:tab w:val="left" w:pos="851"/>
        </w:tabs>
        <w:autoSpaceDE w:val="0"/>
        <w:autoSpaceDN w:val="0"/>
        <w:adjustRightInd w:val="0"/>
        <w:snapToGrid w:val="0"/>
        <w:spacing w:before="0" w:after="0" w:line="360" w:lineRule="auto"/>
        <w:ind w:left="0" w:firstLine="420" w:firstLineChars="200"/>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为采购项目提供整体设计、规范编制或者项目管理、监理、检测等服务的供应商，不得再参加该采购项目的其他采购活动。</w:t>
      </w:r>
    </w:p>
    <w:p>
      <w:pPr>
        <w:pStyle w:val="5"/>
        <w:keepNext w:val="0"/>
        <w:keepLines w:val="0"/>
        <w:numPr>
          <w:ilvl w:val="0"/>
          <w:numId w:val="13"/>
        </w:numPr>
        <w:tabs>
          <w:tab w:val="left" w:pos="851"/>
        </w:tabs>
        <w:autoSpaceDE w:val="0"/>
        <w:autoSpaceDN w:val="0"/>
        <w:adjustRightInd w:val="0"/>
        <w:snapToGrid w:val="0"/>
        <w:spacing w:before="0" w:after="0" w:line="360" w:lineRule="auto"/>
        <w:ind w:left="0" w:firstLine="420" w:firstLineChars="200"/>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投标文件格式中的表格式样可以根据项目差别做适当调整,但应当保持表格样式基本形态不变。</w:t>
      </w:r>
    </w:p>
    <w:p>
      <w:pPr>
        <w:pStyle w:val="5"/>
        <w:keepNext w:val="0"/>
        <w:keepLines w:val="0"/>
        <w:numPr>
          <w:ilvl w:val="0"/>
          <w:numId w:val="13"/>
        </w:numPr>
        <w:tabs>
          <w:tab w:val="left" w:pos="851"/>
        </w:tabs>
        <w:autoSpaceDE w:val="0"/>
        <w:autoSpaceDN w:val="0"/>
        <w:adjustRightInd w:val="0"/>
        <w:snapToGrid w:val="0"/>
        <w:spacing w:before="0" w:after="0" w:line="360" w:lineRule="auto"/>
        <w:ind w:left="0" w:firstLine="422"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▲单位负责人为同一人或者存在直接控股、管理关系的不同供应商，不得参加同一合同项下的政府采购活动，否则，相关供应商均按无效标处理。</w:t>
      </w:r>
    </w:p>
    <w:p>
      <w:pPr>
        <w:pStyle w:val="5"/>
        <w:keepNext w:val="0"/>
        <w:keepLines w:val="0"/>
        <w:numPr>
          <w:ilvl w:val="0"/>
          <w:numId w:val="13"/>
        </w:numPr>
        <w:tabs>
          <w:tab w:val="left" w:pos="851"/>
        </w:tabs>
        <w:autoSpaceDE w:val="0"/>
        <w:autoSpaceDN w:val="0"/>
        <w:adjustRightInd w:val="0"/>
        <w:snapToGrid w:val="0"/>
        <w:spacing w:before="0" w:after="0" w:line="360" w:lineRule="auto"/>
        <w:ind w:left="0" w:firstLine="422"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▲法定代表人或者负责人有夫妻、直系血亲、三代以内旁系血亲或者近姻亲关系的不同供应商，不得参加同一合同项下的政府采购活动，否则，相关供应商均按无效标处理。</w:t>
      </w:r>
    </w:p>
    <w:p>
      <w:pPr>
        <w:pStyle w:val="5"/>
        <w:keepNext w:val="0"/>
        <w:keepLines w:val="0"/>
        <w:numPr>
          <w:ilvl w:val="0"/>
          <w:numId w:val="13"/>
        </w:numPr>
        <w:tabs>
          <w:tab w:val="left" w:pos="851"/>
        </w:tabs>
        <w:autoSpaceDE w:val="0"/>
        <w:autoSpaceDN w:val="0"/>
        <w:adjustRightInd w:val="0"/>
        <w:snapToGrid w:val="0"/>
        <w:spacing w:before="0" w:after="0" w:line="360" w:lineRule="auto"/>
        <w:ind w:left="0" w:firstLine="420" w:firstLineChars="200"/>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公益一类事业单位不属于政府购买服务的承接主体，不得参与承接政府购买服务。</w:t>
      </w:r>
    </w:p>
    <w:p>
      <w:pPr>
        <w:pStyle w:val="61"/>
        <w:numPr>
          <w:ilvl w:val="0"/>
          <w:numId w:val="13"/>
        </w:numPr>
        <w:spacing w:line="360" w:lineRule="auto"/>
        <w:ind w:left="0"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二、招标文件</w:t>
      </w:r>
    </w:p>
    <w:p>
      <w:pPr>
        <w:autoSpaceDE w:val="0"/>
        <w:autoSpaceDN w:val="0"/>
        <w:adjustRightIn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（一）招标文件由招标文件总目录所列内容组成。</w:t>
      </w:r>
    </w:p>
    <w:p>
      <w:pPr>
        <w:autoSpaceDE w:val="0"/>
        <w:autoSpaceDN w:val="0"/>
        <w:adjustRightIn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（二）招标文件的澄清或修改</w:t>
      </w:r>
    </w:p>
    <w:p>
      <w:pPr>
        <w:autoSpaceDE w:val="0"/>
        <w:autoSpaceDN w:val="0"/>
        <w:adjustRightIn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autoSpaceDE w:val="0"/>
        <w:autoSpaceDN w:val="0"/>
        <w:adjustRightIn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2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 xml:space="preserve">   3、当招标文件与招标文件的澄清、修改、补充等在同一内容的表述上不一致时，以最后发出的书面文件为准。</w:t>
      </w:r>
    </w:p>
    <w:p>
      <w:pPr>
        <w:tabs>
          <w:tab w:val="left" w:pos="1418"/>
        </w:tabs>
        <w:autoSpaceDE w:val="0"/>
        <w:autoSpaceDN w:val="0"/>
        <w:adjustRightInd w:val="0"/>
        <w:spacing w:line="360" w:lineRule="auto"/>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 xml:space="preserve"> 三、投标文件</w:t>
      </w:r>
    </w:p>
    <w:p>
      <w:pPr>
        <w:autoSpaceDE w:val="0"/>
        <w:autoSpaceDN w:val="0"/>
        <w:adjustRightInd w:val="0"/>
        <w:spacing w:line="440" w:lineRule="exact"/>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szCs w:val="21"/>
          <w:lang w:val="zh-CN"/>
        </w:rPr>
        <w:t>（一）</w:t>
      </w:r>
      <w:r>
        <w:rPr>
          <w:rFonts w:hint="eastAsia" w:asciiTheme="minorEastAsia" w:hAnsiTheme="minorEastAsia" w:eastAsiaTheme="minorEastAsia" w:cstheme="minorEastAsia"/>
          <w:b/>
          <w:bCs/>
          <w:kern w:val="0"/>
          <w:szCs w:val="21"/>
        </w:rPr>
        <w:t>投标文件的形式</w:t>
      </w:r>
      <w:r>
        <w:rPr>
          <w:rFonts w:hint="eastAsia" w:asciiTheme="minorEastAsia" w:hAnsiTheme="minorEastAsia" w:eastAsiaTheme="minorEastAsia" w:cstheme="minorEastAsia"/>
          <w:b/>
          <w:szCs w:val="21"/>
        </w:rPr>
        <w:t>和使用规则</w:t>
      </w:r>
    </w:p>
    <w:p>
      <w:pPr>
        <w:autoSpaceDE w:val="0"/>
        <w:autoSpaceDN w:val="0"/>
        <w:adjustRightInd w:val="0"/>
        <w:spacing w:line="44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本项目实行电子招投标，各供应商应按照本项目招标文件和政采云平台的相关要求编制、加密并提交投标文件，因现阶段为电子交易试运行阶段，为保证项目顺利开展，各供应商应同时制作以下内容：</w:t>
      </w:r>
    </w:p>
    <w:p>
      <w:pPr>
        <w:autoSpaceDE w:val="0"/>
        <w:autoSpaceDN w:val="0"/>
        <w:adjustRightInd w:val="0"/>
        <w:spacing w:line="44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1、电子加密标书（</w:t>
      </w:r>
      <w:r>
        <w:rPr>
          <w:rFonts w:hint="eastAsia" w:asciiTheme="minorEastAsia" w:hAnsiTheme="minorEastAsia" w:eastAsiaTheme="minorEastAsia" w:cstheme="minorEastAsia"/>
          <w:szCs w:val="21"/>
        </w:rPr>
        <w:t>供应商须通过政采云平台的政采云电子交易客户端制作投标文件，电子投标相关操作详见</w:t>
      </w:r>
      <w:r>
        <w:fldChar w:fldCharType="begin"/>
      </w:r>
      <w:r>
        <w:instrText xml:space="preserve"> HYPERLINK "https://service.zcygov.cn/" \l "/help/superior" </w:instrText>
      </w:r>
      <w:r>
        <w:fldChar w:fldCharType="separate"/>
      </w:r>
      <w:r>
        <w:rPr>
          <w:rStyle w:val="55"/>
          <w:rFonts w:hint="eastAsia" w:asciiTheme="minorEastAsia" w:hAnsiTheme="minorEastAsia" w:eastAsiaTheme="minorEastAsia" w:cstheme="minorEastAsia"/>
          <w:color w:val="auto"/>
          <w:szCs w:val="21"/>
        </w:rPr>
        <w:t>https://service.zcygov.cn/#/help/superior</w:t>
      </w:r>
      <w:r>
        <w:rPr>
          <w:rStyle w:val="55"/>
          <w:rFonts w:hint="eastAsia" w:asciiTheme="minorEastAsia" w:hAnsiTheme="minorEastAsia" w:eastAsiaTheme="minorEastAsia" w:cstheme="minorEastAsia"/>
          <w:color w:val="auto"/>
          <w:szCs w:val="21"/>
        </w:rPr>
        <w:fldChar w:fldCharType="end"/>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zh-CN"/>
        </w:rPr>
        <w:t>在政采云系统平台上传）。</w:t>
      </w:r>
    </w:p>
    <w:p>
      <w:pPr>
        <w:autoSpaceDE w:val="0"/>
        <w:autoSpaceDN w:val="0"/>
        <w:adjustRightInd w:val="0"/>
        <w:spacing w:line="44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2、电子备份标书一份（后缀名为“.bfbs”，以U盘或光盘等形式提供），单独密封包装。</w:t>
      </w:r>
    </w:p>
    <w:p>
      <w:pPr>
        <w:autoSpaceDE w:val="0"/>
        <w:autoSpaceDN w:val="0"/>
        <w:adjustRightInd w:val="0"/>
        <w:spacing w:line="440" w:lineRule="exact"/>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lang w:val="zh-CN"/>
        </w:rPr>
        <w:t>3、纸质投标文件（商务与技术文件）一份，密封包装。</w:t>
      </w:r>
    </w:p>
    <w:p>
      <w:pPr>
        <w:pStyle w:val="21"/>
        <w:ind w:firstLine="422" w:firstLineChars="200"/>
        <w:rPr>
          <w:rFonts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b/>
          <w:sz w:val="21"/>
          <w:szCs w:val="21"/>
        </w:rPr>
        <w:t>注：</w:t>
      </w:r>
      <w:r>
        <w:rPr>
          <w:rFonts w:hint="eastAsia" w:asciiTheme="minorEastAsia" w:hAnsiTheme="minorEastAsia" w:eastAsiaTheme="minorEastAsia" w:cstheme="minorEastAsia"/>
          <w:b/>
          <w:sz w:val="21"/>
          <w:szCs w:val="21"/>
          <w:lang w:val="zh-CN"/>
        </w:rPr>
        <w:t>投标文件启用顺序和效力：投标文件的启用，按先后顺位分别为电子投标文件、备份投标文件。</w:t>
      </w:r>
    </w:p>
    <w:p>
      <w:pPr>
        <w:pStyle w:val="21"/>
        <w:ind w:firstLine="422" w:firstLineChars="200"/>
        <w:rPr>
          <w:rFonts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b/>
          <w:sz w:val="21"/>
          <w:szCs w:val="21"/>
          <w:lang w:val="zh-CN"/>
        </w:rPr>
        <w:t>全部投标人的电子投标文件均已按时解密的，电子备份文件和纸质投标文件自动失效，若有供应商发生解密异常时，可以申请由采购代理机构使用电子备份标书上传处理，供应商的电子标书解密和备份标书解密均失败或逾期解密的，投标文件将作无效标处理。投标人仅提交备份投标文件，没有在电子交易平台传输递交“电子加密投标文件”的，投标无效。</w:t>
      </w:r>
    </w:p>
    <w:p>
      <w:pPr>
        <w:autoSpaceDE w:val="0"/>
        <w:autoSpaceDN w:val="0"/>
        <w:adjustRightInd w:val="0"/>
        <w:spacing w:line="360" w:lineRule="auto"/>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szCs w:val="21"/>
          <w:lang w:val="zh-CN"/>
        </w:rPr>
        <w:t>（</w:t>
      </w:r>
      <w:r>
        <w:rPr>
          <w:rFonts w:hint="eastAsia" w:asciiTheme="minorEastAsia" w:hAnsiTheme="minorEastAsia" w:eastAsiaTheme="minorEastAsia" w:cstheme="minorEastAsia"/>
          <w:b/>
          <w:szCs w:val="21"/>
        </w:rPr>
        <w:t>二</w:t>
      </w:r>
      <w:r>
        <w:rPr>
          <w:rFonts w:hint="eastAsia" w:asciiTheme="minorEastAsia" w:hAnsiTheme="minorEastAsia" w:eastAsiaTheme="minorEastAsia" w:cstheme="minorEastAsia"/>
          <w:b/>
          <w:szCs w:val="21"/>
          <w:lang w:val="zh-CN"/>
        </w:rPr>
        <w:t>）</w:t>
      </w:r>
      <w:r>
        <w:rPr>
          <w:rFonts w:hint="eastAsia" w:asciiTheme="minorEastAsia" w:hAnsiTheme="minorEastAsia" w:eastAsiaTheme="minorEastAsia" w:cstheme="minorEastAsia"/>
          <w:b/>
          <w:bCs/>
          <w:kern w:val="0"/>
          <w:szCs w:val="21"/>
        </w:rPr>
        <w:t>投标文件的组成</w:t>
      </w:r>
    </w:p>
    <w:p>
      <w:pPr>
        <w:snapToGrid w:val="0"/>
        <w:spacing w:line="360" w:lineRule="auto"/>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kern w:val="0"/>
          <w:szCs w:val="21"/>
        </w:rPr>
        <w:t xml:space="preserve">  投标人接到招标文件后，按照采购组织机构的要求提供：资格证明文件、商务与技术文件和报价文件。【特别提示：如有要求提供资料原件的，原件另行包装，并与投标文件一起提交，投标截止时间后所有原件不予接收。资料原件也可以用与原件相符的公证原件替代】</w:t>
      </w:r>
    </w:p>
    <w:p>
      <w:pPr>
        <w:snapToGrid w:val="0"/>
        <w:spacing w:line="360" w:lineRule="auto"/>
        <w:ind w:left="420" w:left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▲1、资格证明文件的组成：</w:t>
      </w:r>
    </w:p>
    <w:p>
      <w:pPr>
        <w:snapToGrid w:val="0"/>
        <w:spacing w:line="360" w:lineRule="auto"/>
        <w:ind w:left="420" w:left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（1）投标声明书（附件2）；</w:t>
      </w:r>
    </w:p>
    <w:p>
      <w:pPr>
        <w:snapToGrid w:val="0"/>
        <w:spacing w:line="360" w:lineRule="auto"/>
        <w:ind w:left="420" w:left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（2）授权委托书（附件3，法定代表人亲自办理投标事宜的，则无需提交本证明书)；</w:t>
      </w:r>
    </w:p>
    <w:p>
      <w:pPr>
        <w:snapToGrid w:val="0"/>
        <w:spacing w:line="360" w:lineRule="auto"/>
        <w:ind w:left="420" w:leftChars="200"/>
        <w:rPr>
          <w:rFonts w:asciiTheme="minorEastAsia" w:hAnsiTheme="minorEastAsia" w:eastAsiaTheme="minorEastAsia" w:cstheme="minorEastAsia"/>
          <w:bCs/>
          <w:szCs w:val="21"/>
          <w:highlight w:val="yellow"/>
        </w:rPr>
      </w:pPr>
      <w:r>
        <w:rPr>
          <w:rFonts w:hint="eastAsia" w:asciiTheme="minorEastAsia" w:hAnsiTheme="minorEastAsia" w:eastAsiaTheme="minorEastAsia" w:cstheme="minorEastAsia"/>
          <w:bCs/>
          <w:szCs w:val="21"/>
          <w:highlight w:val="yellow"/>
        </w:rPr>
        <w:t>（3）法人或者其他组织的营业执照等证明文件，自然人的身份证明；</w:t>
      </w:r>
    </w:p>
    <w:p>
      <w:pPr>
        <w:snapToGrid w:val="0"/>
        <w:spacing w:line="360" w:lineRule="auto"/>
        <w:ind w:left="420" w:leftChars="200"/>
        <w:rPr>
          <w:rFonts w:asciiTheme="minorEastAsia" w:hAnsiTheme="minorEastAsia" w:eastAsiaTheme="minorEastAsia" w:cstheme="minorEastAsia"/>
          <w:bCs/>
          <w:szCs w:val="21"/>
          <w:highlight w:val="yellow"/>
        </w:rPr>
      </w:pPr>
      <w:r>
        <w:rPr>
          <w:rFonts w:hint="eastAsia" w:asciiTheme="minorEastAsia" w:hAnsiTheme="minorEastAsia" w:eastAsiaTheme="minorEastAsia" w:cstheme="minorEastAsia"/>
          <w:bCs/>
          <w:szCs w:val="21"/>
          <w:highlight w:val="yellow"/>
        </w:rPr>
        <w:t>（4）具有良好的商业信誉和健全的财务会计制度的承诺（附件5）；</w:t>
      </w:r>
    </w:p>
    <w:p>
      <w:pPr>
        <w:snapToGrid w:val="0"/>
        <w:spacing w:line="360" w:lineRule="auto"/>
        <w:ind w:left="420" w:leftChars="200"/>
        <w:rPr>
          <w:rFonts w:asciiTheme="minorEastAsia" w:hAnsiTheme="minorEastAsia" w:eastAsiaTheme="minorEastAsia" w:cstheme="minorEastAsia"/>
          <w:bCs/>
          <w:szCs w:val="21"/>
          <w:highlight w:val="yellow"/>
        </w:rPr>
      </w:pPr>
      <w:r>
        <w:rPr>
          <w:rFonts w:hint="eastAsia" w:asciiTheme="minorEastAsia" w:hAnsiTheme="minorEastAsia" w:eastAsiaTheme="minorEastAsia" w:cstheme="minorEastAsia"/>
          <w:bCs/>
          <w:szCs w:val="21"/>
          <w:highlight w:val="yellow"/>
        </w:rPr>
        <w:t>（5）依法缴纳税收和社会保障资金的承诺（附件6）；</w:t>
      </w:r>
    </w:p>
    <w:p>
      <w:pPr>
        <w:snapToGrid w:val="0"/>
        <w:spacing w:line="360" w:lineRule="auto"/>
        <w:ind w:left="420" w:left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（6）参加政府采购活动前三年内，在经营活动中没有重大违法记录（附件7）；</w:t>
      </w:r>
    </w:p>
    <w:p>
      <w:pPr>
        <w:snapToGrid w:val="0"/>
        <w:spacing w:line="360" w:lineRule="auto"/>
        <w:ind w:left="420" w:left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Cs/>
          <w:szCs w:val="21"/>
        </w:rPr>
        <w:t>（7）提供采购公告中符合供应商特定条件的有效资质证书复印件（投标供应商特定条件中有要求的必须提供），以及需要说明的其他资料。</w:t>
      </w:r>
    </w:p>
    <w:p>
      <w:pPr>
        <w:tabs>
          <w:tab w:val="left" w:pos="840"/>
        </w:tabs>
        <w:snapToGrid w:val="0"/>
        <w:spacing w:line="360" w:lineRule="auto"/>
        <w:ind w:left="420" w:leftChars="200"/>
        <w:rPr>
          <w:rFonts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rPr>
        <w:t>2、商务与技术文件的组成：</w:t>
      </w:r>
    </w:p>
    <w:p>
      <w:pPr>
        <w:spacing w:line="360" w:lineRule="auto"/>
        <w:ind w:firstLine="420" w:firstLineChars="200"/>
        <w:rPr>
          <w:rFonts w:ascii="宋体" w:hAnsi="宋体" w:cs="宋体"/>
          <w:szCs w:val="21"/>
        </w:rPr>
      </w:pPr>
      <w:r>
        <w:rPr>
          <w:rFonts w:hint="eastAsia" w:ascii="宋体" w:hAnsi="宋体" w:cs="宋体"/>
          <w:szCs w:val="21"/>
        </w:rPr>
        <w:t>（1）评分响应表</w:t>
      </w:r>
    </w:p>
    <w:p>
      <w:pPr>
        <w:spacing w:line="360" w:lineRule="auto"/>
        <w:ind w:firstLine="420" w:firstLineChars="200"/>
        <w:rPr>
          <w:rFonts w:ascii="宋体" w:hAnsi="宋体" w:cs="宋体"/>
          <w:szCs w:val="21"/>
        </w:rPr>
      </w:pPr>
      <w:r>
        <w:rPr>
          <w:rFonts w:hint="eastAsia" w:ascii="宋体" w:hAnsi="宋体" w:cs="宋体"/>
          <w:szCs w:val="21"/>
        </w:rPr>
        <w:t>（2）项目技术规范和服务要求实质性内容响应表</w:t>
      </w:r>
    </w:p>
    <w:p>
      <w:pPr>
        <w:spacing w:line="360" w:lineRule="auto"/>
        <w:ind w:firstLine="420" w:firstLineChars="200"/>
        <w:rPr>
          <w:rFonts w:ascii="宋体" w:hAnsi="宋体" w:cs="宋体"/>
          <w:szCs w:val="21"/>
        </w:rPr>
      </w:pPr>
      <w:r>
        <w:rPr>
          <w:rFonts w:hint="eastAsia" w:ascii="宋体" w:hAnsi="宋体" w:cs="宋体"/>
          <w:szCs w:val="21"/>
        </w:rPr>
        <w:t>（3）投标人基本情况表</w:t>
      </w:r>
    </w:p>
    <w:p>
      <w:pPr>
        <w:spacing w:line="360" w:lineRule="auto"/>
        <w:ind w:firstLine="420" w:firstLineChars="200"/>
        <w:rPr>
          <w:rFonts w:ascii="宋体" w:hAnsi="宋体" w:cs="宋体"/>
          <w:szCs w:val="21"/>
        </w:rPr>
      </w:pPr>
      <w:r>
        <w:rPr>
          <w:rFonts w:hint="eastAsia" w:ascii="宋体" w:hAnsi="宋体" w:cs="宋体"/>
          <w:szCs w:val="21"/>
        </w:rPr>
        <w:t>（4）本项目完整的实施方案</w:t>
      </w:r>
    </w:p>
    <w:p>
      <w:pPr>
        <w:spacing w:line="360" w:lineRule="auto"/>
        <w:ind w:firstLine="420" w:firstLineChars="200"/>
        <w:rPr>
          <w:rFonts w:ascii="宋体" w:hAnsi="宋体" w:cs="宋体"/>
          <w:szCs w:val="21"/>
        </w:rPr>
      </w:pPr>
      <w:r>
        <w:rPr>
          <w:rFonts w:hint="eastAsia" w:ascii="宋体" w:hAnsi="宋体" w:cs="宋体"/>
          <w:szCs w:val="21"/>
        </w:rPr>
        <w:t>（5）技术偏离表</w:t>
      </w:r>
    </w:p>
    <w:p>
      <w:pPr>
        <w:spacing w:line="360" w:lineRule="auto"/>
        <w:ind w:firstLine="420" w:firstLineChars="200"/>
        <w:rPr>
          <w:rFonts w:ascii="宋体" w:hAnsi="宋体" w:cs="宋体"/>
          <w:szCs w:val="21"/>
        </w:rPr>
      </w:pPr>
      <w:r>
        <w:rPr>
          <w:rFonts w:hint="eastAsia" w:ascii="宋体" w:hAnsi="宋体" w:cs="宋体"/>
          <w:szCs w:val="21"/>
        </w:rPr>
        <w:t>（6）对应评分细则提供相关证明资料</w:t>
      </w:r>
    </w:p>
    <w:p>
      <w:pPr>
        <w:spacing w:line="360" w:lineRule="auto"/>
        <w:ind w:firstLine="420" w:firstLineChars="200"/>
        <w:rPr>
          <w:rFonts w:ascii="宋体" w:hAnsi="宋体" w:cs="宋体"/>
          <w:sz w:val="24"/>
          <w:szCs w:val="32"/>
        </w:rPr>
      </w:pPr>
      <w:r>
        <w:rPr>
          <w:rFonts w:hint="eastAsia" w:ascii="宋体" w:hAnsi="宋体" w:cs="宋体"/>
          <w:szCs w:val="21"/>
        </w:rPr>
        <w:t>（7）投标人认为需要提供的与本项目有关的其他文件和说明</w:t>
      </w:r>
    </w:p>
    <w:p>
      <w:pPr>
        <w:spacing w:line="360" w:lineRule="auto"/>
        <w:ind w:firstLine="420" w:firstLineChars="200"/>
        <w:rPr>
          <w:rFonts w:ascii="宋体" w:hAnsi="宋体" w:cs="宋体"/>
          <w:sz w:val="24"/>
          <w:szCs w:val="32"/>
        </w:rPr>
      </w:pPr>
      <w:r>
        <w:rPr>
          <w:rFonts w:hint="eastAsia" w:ascii="宋体" w:hAnsi="宋体" w:cs="宋体"/>
          <w:szCs w:val="21"/>
        </w:rPr>
        <w:t>（8）投标人资料真实性承诺书</w:t>
      </w:r>
    </w:p>
    <w:p>
      <w:pPr>
        <w:spacing w:line="410" w:lineRule="exact"/>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u w:val="single"/>
        </w:rPr>
        <w:t>注：若招标文件中有专门标注的某关联点，并要求投标人在电子投标系统中作出投标响应的，如投标人未对关联点进行响应或者在投标文件其它内容进行描述，造成电子评审不能查询的责任由投标人自行承担。</w:t>
      </w:r>
    </w:p>
    <w:p>
      <w:pPr>
        <w:autoSpaceDE w:val="0"/>
        <w:autoSpaceDN w:val="0"/>
        <w:adjustRightInd w:val="0"/>
        <w:spacing w:line="360" w:lineRule="auto"/>
        <w:ind w:left="426" w:firstLine="57" w:firstLineChars="27"/>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3、报价文件的组成</w:t>
      </w:r>
    </w:p>
    <w:p>
      <w:pPr>
        <w:spacing w:line="360" w:lineRule="auto"/>
        <w:ind w:firstLine="420" w:firstLineChars="200"/>
        <w:rPr>
          <w:rFonts w:ascii="宋体" w:hAnsi="宋体" w:cs="宋体"/>
          <w:szCs w:val="21"/>
        </w:rPr>
      </w:pPr>
      <w:r>
        <w:rPr>
          <w:rFonts w:hint="eastAsia" w:ascii="宋体" w:hAnsi="宋体" w:cs="宋体"/>
          <w:szCs w:val="21"/>
        </w:rPr>
        <w:t>（1）报价文件由开标一览表、报价明细表以及投标人认为其他需要说明的内容组成。</w:t>
      </w:r>
    </w:p>
    <w:p>
      <w:pPr>
        <w:spacing w:line="360" w:lineRule="auto"/>
        <w:ind w:firstLine="420" w:firstLineChars="200"/>
        <w:rPr>
          <w:rFonts w:ascii="宋体" w:hAnsi="宋体" w:cs="宋体"/>
          <w:szCs w:val="21"/>
        </w:rPr>
      </w:pPr>
      <w:r>
        <w:rPr>
          <w:rFonts w:hint="eastAsia" w:ascii="宋体" w:hAnsi="宋体" w:cs="宋体"/>
          <w:szCs w:val="21"/>
        </w:rPr>
        <w:t>（2）此报价为投标人一次性报出唯一的最终价格，包含其它一切所要涉及到的费用，有选择的报价将被拒绝。</w:t>
      </w:r>
    </w:p>
    <w:p>
      <w:pPr>
        <w:spacing w:line="360" w:lineRule="auto"/>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3</w:t>
      </w:r>
      <w:r>
        <w:rPr>
          <w:rFonts w:hint="eastAsia" w:ascii="宋体" w:hAnsi="宋体" w:cs="宋体"/>
          <w:szCs w:val="21"/>
          <w:lang w:val="zh-CN"/>
        </w:rPr>
        <w:t>）投标报价包括必备的附件、服务费、人工费、技术支持、招标代理费、税金、完成本项目的其它费用和政策性文件规定及合同包含的所有风险、责任等所有费用，投标人所投报的投标报价为投标人所能承受的整个项目的一次性最终最低报价（为本采购项目总价），如有漏项，视同已包含在其它项目中，合同总价和单价不做调整。</w:t>
      </w:r>
    </w:p>
    <w:p>
      <w:pPr>
        <w:spacing w:line="360" w:lineRule="auto"/>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4</w:t>
      </w:r>
      <w:r>
        <w:rPr>
          <w:rFonts w:hint="eastAsia" w:ascii="宋体" w:hAnsi="宋体" w:cs="宋体"/>
          <w:szCs w:val="21"/>
          <w:lang w:val="zh-CN"/>
        </w:rPr>
        <w:t>）</w:t>
      </w:r>
      <w:r>
        <w:rPr>
          <w:rFonts w:hint="eastAsia" w:ascii="宋体" w:hAnsi="宋体" w:cs="宋体"/>
          <w:szCs w:val="21"/>
        </w:rPr>
        <w:t>政府采购优惠政策相关资料（如有）。</w:t>
      </w:r>
    </w:p>
    <w:p>
      <w:pPr>
        <w:spacing w:line="360" w:lineRule="auto"/>
        <w:ind w:firstLine="420" w:firstLineChars="200"/>
        <w:rPr>
          <w:rFonts w:ascii="宋体" w:hAnsi="宋体" w:cs="宋体"/>
          <w:szCs w:val="21"/>
        </w:rPr>
      </w:pPr>
      <w:r>
        <w:rPr>
          <w:rFonts w:hint="eastAsia" w:ascii="宋体" w:hAnsi="宋体" w:cs="宋体"/>
          <w:szCs w:val="21"/>
        </w:rPr>
        <w:t>（5）相关报价单需打印或用不退色的墨水填写， 投标报价单不得涂改和增删，如有错漏必须修改，修改处须由同一签署人签字或盖章。由于字迹模糊或表达不清引起的后果由投标人负责。</w:t>
      </w:r>
    </w:p>
    <w:p>
      <w:pPr>
        <w:autoSpaceDE w:val="0"/>
        <w:autoSpaceDN w:val="0"/>
        <w:adjustRightInd w:val="0"/>
        <w:ind w:firstLine="420" w:firstLineChars="200"/>
        <w:rPr>
          <w:rFonts w:asciiTheme="minorEastAsia" w:hAnsiTheme="minorEastAsia" w:eastAsiaTheme="minorEastAsia" w:cstheme="minorEastAsia"/>
          <w:kern w:val="0"/>
          <w:szCs w:val="21"/>
        </w:rPr>
      </w:pPr>
      <w:r>
        <w:rPr>
          <w:rFonts w:hint="eastAsia" w:ascii="宋体" w:hAnsi="宋体" w:cs="宋体"/>
          <w:szCs w:val="21"/>
        </w:rPr>
        <w:t>（6）投标报价应按招标文件中相关附表格式填写。</w:t>
      </w:r>
    </w:p>
    <w:p>
      <w:pPr>
        <w:numPr>
          <w:ilvl w:val="0"/>
          <w:numId w:val="14"/>
        </w:numPr>
        <w:spacing w:line="360" w:lineRule="auto"/>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投标文件的制作及递交要求</w:t>
      </w:r>
    </w:p>
    <w:p>
      <w:pPr>
        <w:snapToGrid w:val="0"/>
        <w:spacing w:before="159" w:beforeLines="50" w:line="360" w:lineRule="auto"/>
        <w:ind w:firstLine="413" w:firstLineChars="196"/>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1、投标文件的签署和份数</w:t>
      </w:r>
    </w:p>
    <w:p>
      <w:pPr>
        <w:snapToGrid w:val="0"/>
        <w:spacing w:line="360" w:lineRule="auto"/>
        <w:ind w:firstLine="411" w:firstLineChars="196"/>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电子投标文件：按本项目招标文件和“政府采购云平台”相关要求编制。电子投标文件中须加盖投标人公章部分均采用CA签章，并根据“政府采购云平台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snapToGrid w:val="0"/>
        <w:spacing w:line="360" w:lineRule="auto"/>
        <w:ind w:firstLine="411" w:firstLineChars="196"/>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电子投标文件如内容不完整、编排混乱导致投标文件被误读、漏读，或者在按采购文件规定的部位查找不到相关内容的，由投标人自行承担。</w:t>
      </w:r>
    </w:p>
    <w:p>
      <w:pPr>
        <w:numPr>
          <w:ilvl w:val="0"/>
          <w:numId w:val="15"/>
        </w:numPr>
        <w:snapToGrid w:val="0"/>
        <w:spacing w:line="360" w:lineRule="auto"/>
        <w:ind w:firstLine="411" w:firstLineChars="196"/>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温馨提醒：</w:t>
      </w:r>
      <w:r>
        <w:rPr>
          <w:rFonts w:hint="eastAsia" w:asciiTheme="minorEastAsia" w:hAnsiTheme="minorEastAsia" w:eastAsiaTheme="minorEastAsia" w:cstheme="minorEastAsia"/>
          <w:szCs w:val="21"/>
          <w:u w:val="single"/>
        </w:rPr>
        <w:t>CA签章上目前没有法定代表人或授权代表签字信息，需要投标人联系浙江杭州汇信科技有限公司等相应公司进行办理，或在投标文件中涉及到签字的位置线下签好字然后扫描或者拍照做成PDF的格式亦可。</w:t>
      </w:r>
    </w:p>
    <w:p>
      <w:pPr>
        <w:pStyle w:val="21"/>
        <w:spacing w:line="360" w:lineRule="auto"/>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（3）现阶段为电子交易试运行阶段，为保证项目顺利开展，本项目需要投标人提供“电子加密投标文件”同时生成的数据电文形式的电子备份标书，（电子备份标书后缀名为“.bfbs”，以U盘、光盘或邮件</w:t>
      </w:r>
      <w:r>
        <w:rPr>
          <w:rFonts w:hint="eastAsia" w:ascii="宋体" w:hAnsi="宋体" w:cs="宋体"/>
          <w:sz w:val="21"/>
          <w:szCs w:val="21"/>
        </w:rPr>
        <w:t>（发送至872868454@qq.com）</w:t>
      </w:r>
      <w:r>
        <w:rPr>
          <w:rFonts w:hint="eastAsia" w:asciiTheme="minorEastAsia" w:hAnsiTheme="minorEastAsia" w:eastAsiaTheme="minorEastAsia" w:cstheme="minorEastAsia"/>
          <w:sz w:val="21"/>
          <w:szCs w:val="21"/>
        </w:rPr>
        <w:t>等形式提供），并按要求装袋密封并在投标截止时间前一天16：00之前通过邮寄方式送至台州市玖诚工程管理有限公司（地址：浙江省台州市椒江区解放南路道台里文创院），逾期寄达或未按要求密封将被拒收。</w:t>
      </w:r>
    </w:p>
    <w:p>
      <w:pPr>
        <w:snapToGrid w:val="0"/>
        <w:spacing w:line="360" w:lineRule="auto"/>
        <w:ind w:firstLine="411" w:firstLineChars="196"/>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（4）</w:t>
      </w:r>
      <w:r>
        <w:rPr>
          <w:rFonts w:hint="eastAsia"/>
          <w:szCs w:val="21"/>
        </w:rPr>
        <w:t>为方便评审委员会评审，请供应商提供纸质投标文件（指商务与技术文件）一份给招标代理机构，纸质投标文件系电子投标文件纸质版，两者内容应一致。</w:t>
      </w:r>
      <w:r>
        <w:rPr>
          <w:rFonts w:hint="eastAsia"/>
          <w:b/>
          <w:bCs/>
          <w:szCs w:val="21"/>
        </w:rPr>
        <w:t>本项非实质性要求，供应商自愿提供</w:t>
      </w:r>
      <w:r>
        <w:rPr>
          <w:rFonts w:hint="eastAsia"/>
          <w:szCs w:val="21"/>
        </w:rPr>
        <w:t>。</w:t>
      </w:r>
      <w:r>
        <w:rPr>
          <w:rFonts w:hint="eastAsia" w:asciiTheme="minorEastAsia" w:hAnsiTheme="minorEastAsia" w:eastAsiaTheme="minorEastAsia" w:cstheme="minorEastAsia"/>
          <w:bCs/>
          <w:szCs w:val="21"/>
        </w:rPr>
        <w:t>在投标截止时间前送达（以邮寄形式）到指定地点，</w:t>
      </w:r>
      <w:r>
        <w:rPr>
          <w:rFonts w:hint="eastAsia" w:asciiTheme="minorEastAsia" w:hAnsiTheme="minorEastAsia" w:eastAsiaTheme="minorEastAsia" w:cstheme="minorEastAsia"/>
          <w:szCs w:val="21"/>
        </w:rPr>
        <w:t>逾期寄达或未按要求密封将被拒收。</w:t>
      </w:r>
    </w:p>
    <w:p>
      <w:pPr>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（5）纸质投标文件须由投标人在规定位置盖章并由法定代表人或授权委托代理人签署或盖章，投标人应写全称。纸质</w:t>
      </w:r>
      <w:r>
        <w:rPr>
          <w:rFonts w:hint="eastAsia" w:asciiTheme="minorEastAsia" w:hAnsiTheme="minorEastAsia" w:eastAsiaTheme="minorEastAsia" w:cstheme="minorEastAsia"/>
          <w:bCs/>
          <w:szCs w:val="21"/>
        </w:rPr>
        <w:t>投标文件未按照招标文件要求签署、盖章的，其投标无效；</w:t>
      </w:r>
    </w:p>
    <w:p>
      <w:pPr>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（6）投标文件不得涂改，若有修改错漏处，须加盖单位公章或者法定代表人或授权委托人签字或盖章。投标文件因字迹潦草或表达不清所引起的后果由投标人负责。</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b/>
          <w:bCs/>
          <w:szCs w:val="21"/>
        </w:rPr>
        <w:t>投标文件的制作要求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（1）投标人应按照投标文件组成内容及项目招标需求和政采云平台制作投标文件，不按招标文件要求制作投标文件的将视情处理（拒收、扣分等），由此产生的责任由投标人自行承担。</w:t>
      </w:r>
    </w:p>
    <w:p>
      <w:pPr>
        <w:autoSpaceDE w:val="0"/>
        <w:autoSpaceDN w:val="0"/>
        <w:adjustRightIn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b/>
          <w:bCs/>
          <w:kern w:val="0"/>
          <w:szCs w:val="21"/>
        </w:rPr>
        <w:t>▲</w:t>
      </w:r>
      <w:r>
        <w:rPr>
          <w:rFonts w:hint="eastAsia" w:asciiTheme="minorEastAsia" w:hAnsiTheme="minorEastAsia" w:eastAsiaTheme="minorEastAsia" w:cstheme="minorEastAsia"/>
          <w:szCs w:val="21"/>
        </w:rPr>
        <w:t>投标人应对所提供的全部资料的真实性承担法律责任，</w:t>
      </w:r>
      <w:r>
        <w:rPr>
          <w:rFonts w:hint="eastAsia" w:asciiTheme="minorEastAsia" w:hAnsiTheme="minorEastAsia" w:eastAsiaTheme="minorEastAsia" w:cstheme="minorEastAsia"/>
          <w:b/>
          <w:bCs/>
          <w:szCs w:val="21"/>
        </w:rPr>
        <w:t>投标文件内容中有要求盖章或签字的地方，必须加盖投标人的公章以及法定代表人或授权委托代理人盖章或签字</w:t>
      </w:r>
      <w:r>
        <w:rPr>
          <w:rFonts w:hint="eastAsia" w:asciiTheme="minorEastAsia" w:hAnsiTheme="minorEastAsia" w:eastAsiaTheme="minorEastAsia" w:cstheme="minorEastAsia"/>
          <w:b/>
          <w:bCs/>
          <w:szCs w:val="21"/>
          <w:lang w:val="zh-CN"/>
        </w:rPr>
        <w:t>，</w:t>
      </w:r>
      <w:r>
        <w:rPr>
          <w:rFonts w:hint="eastAsia" w:asciiTheme="minorEastAsia" w:hAnsiTheme="minorEastAsia" w:eastAsiaTheme="minorEastAsia" w:cstheme="minorEastAsia"/>
          <w:b/>
          <w:bCs/>
          <w:szCs w:val="21"/>
        </w:rPr>
        <w:t>其中电子投标文件中所须加盖公章部分均采用CA签章（此为实质性条款）</w:t>
      </w:r>
      <w:r>
        <w:rPr>
          <w:rFonts w:hint="eastAsia" w:asciiTheme="minorEastAsia" w:hAnsiTheme="minorEastAsia" w:eastAsiaTheme="minorEastAsia" w:cstheme="minorEastAsia"/>
          <w:b/>
          <w:bCs/>
          <w:szCs w:val="21"/>
          <w:lang w:val="zh-CN"/>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（3）投标文件以及投标人与采购组织机构就有关投标事宜的所有来往函电，均应以中文汉语书写。除签字、盖章、专用名称等特殊情形外，以中文汉语以外的文字表述的投标文件视同未提供。</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（4）投标计量单位，招标文件已有明确规定的，使用招标文件规定的计量单位；招标文件没有规定的，应采用中华人民共和国法定计量单位（货币单位：人民币元）。</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（5）若投标人不按招标文件的要求提供资格审查材料，其风险由投标人自行承担。</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（6）与本次投标无关的内容请不要制作在内，确保投标文件有针对性、简洁明了，同时节约纸张；投标文件建议以A4纸大小双面打印并装订。</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3、投标文件的封装要求</w:t>
      </w:r>
    </w:p>
    <w:p>
      <w:pPr>
        <w:pStyle w:val="126"/>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（1）投标文件份数：①电子加密标书（在政采云系统平台上传）。②电子备份标书 1 份（后缀名为“.bfbs”，以U盘或光盘等形式提供），单独密封包装。③纸质投标文件（</w:t>
      </w:r>
      <w:r>
        <w:rPr>
          <w:rFonts w:hint="eastAsia" w:asciiTheme="minorEastAsia" w:hAnsiTheme="minorEastAsia" w:eastAsiaTheme="minorEastAsia" w:cstheme="minorEastAsia"/>
          <w:lang w:val="zh-CN"/>
        </w:rPr>
        <w:t>商务与技术文件）以纸质形式编制，装订成册：商务与技术文件共一份，封装成一袋</w:t>
      </w:r>
      <w:r>
        <w:rPr>
          <w:rFonts w:hint="eastAsia" w:asciiTheme="minorEastAsia" w:hAnsiTheme="minorEastAsia" w:eastAsiaTheme="minorEastAsia" w:cstheme="minorEastAsia"/>
        </w:rPr>
        <w:t>。</w:t>
      </w:r>
      <w:r>
        <w:rPr>
          <w:rFonts w:hint="eastAsia"/>
        </w:rPr>
        <w:t>纸质投标文件系电子投标文件纸质版，两者内容应一致。</w:t>
      </w:r>
      <w:r>
        <w:rPr>
          <w:rFonts w:hint="eastAsia" w:asciiTheme="minorEastAsia" w:hAnsiTheme="minorEastAsia" w:eastAsiaTheme="minorEastAsia" w:cstheme="minorEastAsia"/>
        </w:rPr>
        <w:t>②③</w:t>
      </w:r>
      <w:r>
        <w:rPr>
          <w:rFonts w:hint="eastAsia"/>
          <w:b/>
          <w:bCs/>
        </w:rPr>
        <w:t>非实质性要求，供应商自愿提供。</w:t>
      </w:r>
      <w:r>
        <w:rPr>
          <w:rFonts w:hint="eastAsia" w:asciiTheme="minorEastAsia" w:hAnsiTheme="minorEastAsia" w:eastAsiaTheme="minorEastAsia" w:cstheme="minorEastAsia"/>
        </w:rPr>
        <w:t>如有不同标项，请按标项号分别装订，密封要求同上。</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b/>
          <w:bCs/>
          <w:szCs w:val="21"/>
        </w:rPr>
        <w:t>中标供应商</w:t>
      </w:r>
      <w:r>
        <w:rPr>
          <w:rFonts w:hint="eastAsia" w:asciiTheme="minorEastAsia" w:hAnsiTheme="minorEastAsia" w:eastAsiaTheme="minorEastAsia" w:cstheme="minorEastAsia"/>
          <w:szCs w:val="21"/>
        </w:rPr>
        <w:t>中标后需提供纸质投标文件给招标代理机构作为备案存档，纸质投标文件系电子投标文件纸质版，两者内容应一致；资格证明文件、商务与技术文件、报价文件必须分别编制并分开单独装订成册：资格证明文件共三份（一份正本，两份副本，封装成一袋），商务与技术文件共三份（一份正本，两份副本，封装成一袋），报价文件共三份（一份正本，两份副本，封装成一袋）。投标文件的正本封面必须注明“正本”字样，副本可以采用正本的复印件。除报价文件外其余一律不准出现数字报价。如有不同标段，请按标段号分别装订。</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（3）所有投标资料按投标文件的组成所列内容及顺序装订成册，</w:t>
      </w:r>
      <w:r>
        <w:rPr>
          <w:rFonts w:hint="eastAsia" w:asciiTheme="minorEastAsia" w:hAnsiTheme="minorEastAsia" w:eastAsiaTheme="minorEastAsia" w:cstheme="minorEastAsia"/>
          <w:szCs w:val="21"/>
          <w:lang w:val="zh-CN"/>
        </w:rPr>
        <w:t>并逐页连续标注页码。因投标文件内容不完整、编排混乱导致投标文件被误读、漏读或者查找不到相关内容的责任由投标人自行承担。</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（4）电子备份标书和纸质投标文件在密封袋的封口处加盖投标人公章、法定代表人代表或授权委托代理人印章或签字。封皮上写明项目编号、标项、招标项目名称、投标人名称，并注明“投标文件名称（</w:t>
      </w:r>
      <w:r>
        <w:rPr>
          <w:rFonts w:hint="eastAsia" w:asciiTheme="minorEastAsia" w:hAnsiTheme="minorEastAsia" w:eastAsiaTheme="minorEastAsia" w:cstheme="minorEastAsia"/>
          <w:szCs w:val="21"/>
          <w:lang w:val="zh-CN"/>
        </w:rPr>
        <w:t>资格及商务技术文件</w:t>
      </w:r>
      <w:r>
        <w:rPr>
          <w:rFonts w:hint="eastAsia" w:asciiTheme="minorEastAsia" w:hAnsiTheme="minorEastAsia" w:eastAsiaTheme="minorEastAsia" w:cstheme="minorEastAsia"/>
          <w:szCs w:val="21"/>
        </w:rPr>
        <w:t>、报价文件）”、“开标时启封”字样，未按上述要求密封及加写标记，采购代理机构对投标文件的误投和提前启封不负责任。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（5）项目如分标项，各标项投标文件必须分开编制，并按上述份数要求单独密封包装。</w:t>
      </w:r>
    </w:p>
    <w:p>
      <w:pPr>
        <w:spacing w:line="360" w:lineRule="auto"/>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szCs w:val="21"/>
          <w:lang w:val="zh-CN"/>
        </w:rPr>
        <w:t>因密封不严、标记不明而造成失密、拒收、过早启封等情况，采购代理机构概不负责。</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4、投标文件的递交要求</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（1）投标人须按照招标文件和政采云平台的要求编制并加密投标文件，未按规定加密的投标文件，电子交易平台将被拒收，并在投标文件递交截止时间以前完成电子投标文件的传输递交，</w:t>
      </w:r>
      <w:r>
        <w:rPr>
          <w:rFonts w:hint="eastAsia" w:asciiTheme="minorEastAsia" w:hAnsiTheme="minorEastAsia" w:eastAsiaTheme="minorEastAsia" w:cstheme="minorEastAsia"/>
          <w:kern w:val="0"/>
          <w:szCs w:val="21"/>
        </w:rPr>
        <w:t>同时应在投标截止时间前提供电子备份标书（后缀名为“.bfbs”，以U盘或光盘等形式提供）和纸质投标文件，按要求各自装袋密封后邮寄到指定地点，超过投标截止时间送达的将不予接收</w:t>
      </w:r>
      <w:r>
        <w:rPr>
          <w:rFonts w:hint="eastAsia" w:asciiTheme="minorEastAsia" w:hAnsiTheme="minorEastAsia" w:eastAsiaTheme="minorEastAsia" w:cstheme="minorEastAsia"/>
          <w:b/>
          <w:kern w:val="0"/>
          <w:szCs w:val="21"/>
        </w:rPr>
        <w:t>。</w:t>
      </w:r>
    </w:p>
    <w:p>
      <w:pPr>
        <w:snapToGrid w:val="0"/>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（2）若供应商未提交备份投标文件，其后果由供应商自行承担。投标人仅提交备份投标文件，未在投标截止时间前在电子交易系统中完成电子投标文件上传的，其电子备份标书和纸质备份投标文件也将无效。</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（3）如有特殊情况，采购代理机构延长截止时间和开标时间，采购代理机构和投标人的权利和义务将受到新的截止时间和开标时间的约束。</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5、投标文件的补充、修改和撤回。</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（1）投标人如需对已上传的电子投标文件进行补充或者修改的，应当在政采云平台上先行撤回原文件，补充、修改后重新传输递交。投标截止时间前未完成传输的，视为撤回投标文件。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（2）投标人如需对上交的纸质投标文件进行补充、修改或撤回的，必须在投标截止时间前将书面的修改文件或撤消通知送达采购代理机构。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（3）投标修改文件必须密封，在密封袋上写明项目编号、标段、招标项目名称、投标人名称、并注明“修改文件”、“开标时启封”字样，其作为投标文件的组成部份。</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（三）投标文件的有效期</w:t>
      </w:r>
    </w:p>
    <w:p>
      <w:pPr>
        <w:spacing w:line="360" w:lineRule="auto"/>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en-GB"/>
        </w:rPr>
        <w:t>自投标截止日起90天投标文件应保持有效。有效期不足的投标文件将被拒绝。</w:t>
      </w:r>
    </w:p>
    <w:p>
      <w:pPr>
        <w:spacing w:line="360" w:lineRule="auto"/>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en-GB"/>
        </w:rPr>
        <w:t>在特殊情况下，采购人可与投标人协商延长投标文件的有效期，这种要求和答复均以书面形式进行。</w:t>
      </w:r>
    </w:p>
    <w:p>
      <w:pPr>
        <w:tabs>
          <w:tab w:val="left" w:pos="1898"/>
        </w:tabs>
        <w:autoSpaceDE w:val="0"/>
        <w:autoSpaceDN w:val="0"/>
        <w:adjustRightInd w:val="0"/>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en-GB"/>
        </w:rPr>
        <w:t>投标人可拒绝接受延期要求。同意延长有效期的投标人</w:t>
      </w:r>
      <w:r>
        <w:rPr>
          <w:rFonts w:hint="eastAsia" w:asciiTheme="minorEastAsia" w:hAnsiTheme="minorEastAsia" w:eastAsiaTheme="minorEastAsia" w:cstheme="minorEastAsia"/>
          <w:szCs w:val="21"/>
        </w:rPr>
        <w:t>不能修改投标文件。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4、中标人的投标文件自开标之日起至合同履行完毕均应保持有效。</w:t>
      </w:r>
    </w:p>
    <w:p>
      <w:pPr>
        <w:tabs>
          <w:tab w:val="left" w:pos="1418"/>
        </w:tabs>
        <w:autoSpaceDE w:val="0"/>
        <w:autoSpaceDN w:val="0"/>
        <w:adjustRightInd w:val="0"/>
        <w:spacing w:line="360" w:lineRule="auto"/>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四、投标保证金</w:t>
      </w:r>
    </w:p>
    <w:p>
      <w:pPr>
        <w:snapToGrid w:val="0"/>
        <w:spacing w:line="44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kern w:val="0"/>
          <w:szCs w:val="21"/>
        </w:rPr>
        <w:t>本项目不收取投标保证金。</w:t>
      </w:r>
    </w:p>
    <w:p>
      <w:pPr>
        <w:snapToGrid w:val="0"/>
        <w:spacing w:line="360" w:lineRule="auto"/>
        <w:jc w:val="lef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五、开标</w:t>
      </w:r>
    </w:p>
    <w:p>
      <w:pPr>
        <w:autoSpaceDE w:val="0"/>
        <w:autoSpaceDN w:val="0"/>
        <w:adjustRightInd w:val="0"/>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（一）开标事项</w:t>
      </w:r>
    </w:p>
    <w:p>
      <w:pPr>
        <w:autoSpaceDE w:val="0"/>
        <w:autoSpaceDN w:val="0"/>
        <w:adjustRightInd w:val="0"/>
        <w:spacing w:line="44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kern w:val="0"/>
          <w:szCs w:val="21"/>
        </w:rPr>
        <w:t>采购组织机构在“招标公告”规定的时间和地点公开开标，</w:t>
      </w:r>
      <w:r>
        <w:rPr>
          <w:rFonts w:hint="eastAsia" w:asciiTheme="minorEastAsia" w:hAnsiTheme="minorEastAsia" w:eastAsiaTheme="minorEastAsia" w:cstheme="minorEastAsia"/>
          <w:szCs w:val="21"/>
        </w:rPr>
        <w:t>本项目采用政采云平台线上开标，</w:t>
      </w:r>
      <w:r>
        <w:rPr>
          <w:rFonts w:hint="eastAsia" w:asciiTheme="minorEastAsia" w:hAnsiTheme="minorEastAsia" w:eastAsiaTheme="minorEastAsia" w:cstheme="minorEastAsia"/>
          <w:b/>
          <w:bCs/>
          <w:szCs w:val="21"/>
          <w:u w:val="single"/>
        </w:rPr>
        <w:t>所有投标人均应当准时在线参加</w:t>
      </w:r>
      <w:r>
        <w:rPr>
          <w:rFonts w:hint="eastAsia" w:asciiTheme="minorEastAsia" w:hAnsiTheme="minorEastAsia" w:eastAsiaTheme="minorEastAsia" w:cstheme="minorEastAsia"/>
          <w:szCs w:val="21"/>
        </w:rPr>
        <w:t>。未准时参加线上开标的供应商视同放弃开标监督权利、认可开标结果，事后不得对采购相关人员、项目开标过程和评标结果提出异议。</w:t>
      </w:r>
      <w:r>
        <w:rPr>
          <w:rFonts w:hint="eastAsia" w:asciiTheme="minorEastAsia" w:hAnsiTheme="minorEastAsia" w:eastAsiaTheme="minorEastAsia" w:cstheme="minorEastAsia"/>
          <w:bCs/>
          <w:szCs w:val="21"/>
        </w:rPr>
        <w:t>评标委员会成员不得参加开标活动。</w:t>
      </w:r>
      <w:r>
        <w:rPr>
          <w:rFonts w:hint="eastAsia" w:asciiTheme="minorEastAsia" w:hAnsiTheme="minorEastAsia" w:eastAsiaTheme="minorEastAsia" w:cstheme="minorEastAsia"/>
          <w:szCs w:val="21"/>
        </w:rPr>
        <w:t>（本次招标采用先评审商务资格和技术服务方案，后公开并评审商务报价的办法实施）。</w:t>
      </w:r>
    </w:p>
    <w:p>
      <w:pPr>
        <w:autoSpaceDE w:val="0"/>
        <w:autoSpaceDN w:val="0"/>
        <w:adjustRightIn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（二） 开标程序：</w:t>
      </w:r>
    </w:p>
    <w:p>
      <w:pPr>
        <w:pStyle w:val="27"/>
        <w:snapToGrid w:val="0"/>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1、开标会由招标项目负责人主持，主持人宣布开标会议开始；</w:t>
      </w:r>
    </w:p>
    <w:p>
      <w:pPr>
        <w:snapToGrid w:val="0"/>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项目到达开标时间，在采购代理机构开启解密标书的指令后，各供应商须在30分钟内自行在政采云平台上完成在线解密加密标书，若有供应商发生解密异常时，可以申请由采购代理机构使用电子备份标书上传处理，供应商的电子标书解密和备份标书解密均失败或逾期解密的，投标文件将作无效标处理。投标人仅提交备份投标文件，没有在电子交易平台传输递交“电子加密投标文件”的，投标无效。</w:t>
      </w:r>
    </w:p>
    <w:p>
      <w:pPr>
        <w:snapToGrid w:val="0"/>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3、采购人和采购代理机构依法对投标人的资格进行审查，未通过资格审查的不进入下阶段评审。</w:t>
      </w:r>
    </w:p>
    <w:p>
      <w:pPr>
        <w:snapToGrid w:val="0"/>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4、商务与技术文件评审结束后，公布商务与技术文件评审无效投标人名称及理由，同时公布经商务与技术文件评审符合采购需求的投标人名单以及商务与技术文件得分情况。</w:t>
      </w:r>
    </w:p>
    <w:p>
      <w:pPr>
        <w:snapToGrid w:val="0"/>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5、开启报价文件，由评标委员会对报价的合理性、准确性等进行审查核实。</w:t>
      </w:r>
    </w:p>
    <w:p>
      <w:pPr>
        <w:snapToGrid w:val="0"/>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6、评审结束后，公布报价文件得分、综合得分以及中标候选人排序名单。</w:t>
      </w:r>
    </w:p>
    <w:p>
      <w:pPr>
        <w:snapToGrid w:val="0"/>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7、开标会议结束。</w:t>
      </w:r>
    </w:p>
    <w:p>
      <w:pPr>
        <w:snapToGrid w:val="0"/>
        <w:spacing w:line="440" w:lineRule="exact"/>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六、评标</w:t>
      </w:r>
    </w:p>
    <w:p>
      <w:pPr>
        <w:pStyle w:val="27"/>
        <w:snapToGrid w:val="0"/>
        <w:spacing w:line="360" w:lineRule="auto"/>
        <w:ind w:left="690" w:leftChars="228" w:hanging="211" w:hangingChars="1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（一）组建评标委员会</w:t>
      </w:r>
    </w:p>
    <w:p>
      <w:pPr>
        <w:pStyle w:val="27"/>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本项目评标委员会由政府采购评审专家和采购单位评审代表共5人组成。</w:t>
      </w:r>
    </w:p>
    <w:p>
      <w:pPr>
        <w:pStyle w:val="27"/>
        <w:snapToGrid w:val="0"/>
        <w:spacing w:line="360" w:lineRule="auto"/>
        <w:ind w:left="690" w:leftChars="228" w:hanging="211" w:hangingChars="1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w:t>
      </w:r>
      <w:r>
        <w:rPr>
          <w:rFonts w:hint="eastAsia" w:asciiTheme="minorEastAsia" w:hAnsiTheme="minorEastAsia" w:eastAsiaTheme="minorEastAsia" w:cstheme="minorEastAsia"/>
          <w:b/>
          <w:bCs/>
          <w:szCs w:val="21"/>
        </w:rPr>
        <w:t>评标程序</w:t>
      </w:r>
    </w:p>
    <w:p>
      <w:pPr>
        <w:numPr>
          <w:ilvl w:val="0"/>
          <w:numId w:val="16"/>
        </w:numPr>
        <w:snapToGrid w:val="0"/>
        <w:spacing w:line="360" w:lineRule="auto"/>
        <w:ind w:left="0"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资格审查</w:t>
      </w:r>
    </w:p>
    <w:p>
      <w:pPr>
        <w:pStyle w:val="44"/>
        <w:spacing w:before="0" w:beforeAutospacing="0" w:after="0" w:afterAutospacing="0" w:line="360" w:lineRule="auto"/>
        <w:ind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公开招标采购项目开标结束后，采购人或者采购组织机构应当依法对投标人的资格进行审查，对审查发现无效的进行必要的询标，结束后公布无效投标的投标人名单、投标无效的原因。</w:t>
      </w:r>
    </w:p>
    <w:p>
      <w:pPr>
        <w:pStyle w:val="44"/>
        <w:numPr>
          <w:ilvl w:val="0"/>
          <w:numId w:val="16"/>
        </w:numPr>
        <w:spacing w:before="0" w:beforeAutospacing="0" w:after="0" w:afterAutospacing="0" w:line="360" w:lineRule="auto"/>
        <w:ind w:left="0" w:firstLine="422" w:firstLineChars="200"/>
        <w:jc w:val="both"/>
        <w:rPr>
          <w:rFonts w:hint="default" w:asciiTheme="minorEastAsia" w:hAnsiTheme="minorEastAsia" w:eastAsiaTheme="minorEastAsia" w:cstheme="minorEastAsia"/>
          <w:b/>
          <w:bCs/>
          <w:sz w:val="21"/>
          <w:szCs w:val="21"/>
        </w:rPr>
      </w:pPr>
      <w:r>
        <w:rPr>
          <w:rFonts w:asciiTheme="minorEastAsia" w:hAnsiTheme="minorEastAsia" w:eastAsiaTheme="minorEastAsia" w:cstheme="minorEastAsia"/>
          <w:b/>
          <w:bCs/>
          <w:sz w:val="21"/>
          <w:szCs w:val="21"/>
        </w:rPr>
        <w:t>符合性审查</w:t>
      </w:r>
    </w:p>
    <w:p>
      <w:pPr>
        <w:pStyle w:val="44"/>
        <w:spacing w:before="0" w:beforeAutospacing="0" w:after="0" w:afterAutospacing="0" w:line="360" w:lineRule="auto"/>
        <w:ind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评标委员会应当对符合资格的投标人的投标文件进行符合性审查，以确定其是否满足采购文件的实质性要求，对审查发现无效的进行必要的询标，结束后公布无效投标的投标人名单、投标无效的原因。</w:t>
      </w:r>
    </w:p>
    <w:p>
      <w:pPr>
        <w:pStyle w:val="44"/>
        <w:numPr>
          <w:ilvl w:val="0"/>
          <w:numId w:val="16"/>
        </w:numPr>
        <w:spacing w:before="0" w:beforeAutospacing="0" w:after="0" w:afterAutospacing="0" w:line="360" w:lineRule="auto"/>
        <w:ind w:left="0" w:firstLine="422"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b/>
          <w:bCs/>
          <w:sz w:val="21"/>
          <w:szCs w:val="21"/>
        </w:rPr>
        <w:t>综合比较与评价</w:t>
      </w:r>
    </w:p>
    <w:p>
      <w:pPr>
        <w:pStyle w:val="44"/>
        <w:spacing w:before="0" w:beforeAutospacing="0" w:after="0" w:afterAutospacing="0" w:line="360" w:lineRule="auto"/>
        <w:ind w:firstLine="315" w:firstLineChars="15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（1）对于投标文件中含义不明确、同类问题表述不一致或者有明显文字和计算错误的内容，评标委员会应当以书面形式要求投标人作出必要的澄清、说明或者补正（</w:t>
      </w:r>
      <w:r>
        <w:rPr>
          <w:rFonts w:asciiTheme="minorEastAsia" w:hAnsiTheme="minorEastAsia" w:eastAsiaTheme="minorEastAsia" w:cstheme="minorEastAsia"/>
          <w:b/>
          <w:bCs/>
          <w:sz w:val="21"/>
          <w:szCs w:val="21"/>
        </w:rPr>
        <w:t>给予供应商提交澄清说明或补正的时间不得少于半小时，供应商已经明确表示澄清说明或补正完毕的除外</w:t>
      </w:r>
      <w:r>
        <w:rPr>
          <w:rFonts w:asciiTheme="minorEastAsia" w:hAnsiTheme="minorEastAsia" w:eastAsiaTheme="minorEastAsia" w:cstheme="minorEastAsia"/>
          <w:sz w:val="21"/>
          <w:szCs w:val="21"/>
        </w:rPr>
        <w:t>）。</w:t>
      </w:r>
    </w:p>
    <w:p>
      <w:pPr>
        <w:pStyle w:val="44"/>
        <w:spacing w:before="0" w:beforeAutospacing="0" w:after="0" w:afterAutospacing="0" w:line="360" w:lineRule="auto"/>
        <w:ind w:firstLine="315" w:firstLineChars="15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（2）评标委员会应当按照采购文件中规定的评标方法和标准，对符合性审查合格的投标文件进行商务和技术评估，综合比较与评价。</w:t>
      </w:r>
    </w:p>
    <w:p>
      <w:pPr>
        <w:snapToGrid w:val="0"/>
        <w:spacing w:line="360" w:lineRule="auto"/>
        <w:ind w:firstLine="315" w:firstLineChars="15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（3）评标时，评标委员会各成员应当独立对每个投标人的投标文件进行评价，并汇总每个投标人的得分。</w:t>
      </w:r>
    </w:p>
    <w:p>
      <w:pPr>
        <w:numPr>
          <w:ilvl w:val="0"/>
          <w:numId w:val="16"/>
        </w:numPr>
        <w:snapToGrid w:val="0"/>
        <w:spacing w:line="360" w:lineRule="auto"/>
        <w:ind w:left="0"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得分确认及评审报告编写</w:t>
      </w:r>
    </w:p>
    <w:p>
      <w:pPr>
        <w:pStyle w:val="27"/>
        <w:snapToGrid w:val="0"/>
        <w:spacing w:line="360" w:lineRule="auto"/>
        <w:ind w:firstLine="367" w:firstLineChars="17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（1）评标委员会对报价文件进行复核，对于系统计算出的价格分及总得分进行确认；</w:t>
      </w:r>
    </w:p>
    <w:p>
      <w:pPr>
        <w:pStyle w:val="27"/>
        <w:snapToGrid w:val="0"/>
        <w:spacing w:line="360" w:lineRule="auto"/>
        <w:ind w:firstLine="367" w:firstLineChars="17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（2）评标委员会应当按照招标文件中规定的评标方法和标准，对符合性审查合格的投标文件进行商务和技术评估，综合比较与评价。</w:t>
      </w:r>
    </w:p>
    <w:p>
      <w:pPr>
        <w:snapToGrid w:val="0"/>
        <w:spacing w:line="360"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（3）评标委员会按评标原则及得分情况编写评审报告。</w:t>
      </w:r>
    </w:p>
    <w:p>
      <w:pPr>
        <w:numPr>
          <w:ilvl w:val="0"/>
          <w:numId w:val="16"/>
        </w:numPr>
        <w:snapToGrid w:val="0"/>
        <w:spacing w:line="360" w:lineRule="auto"/>
        <w:ind w:left="0" w:firstLine="422" w:firstLineChars="200"/>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评价</w:t>
      </w:r>
    </w:p>
    <w:p>
      <w:pPr>
        <w:snapToGrid w:val="0"/>
        <w:spacing w:line="360" w:lineRule="auto"/>
        <w:ind w:firstLine="420" w:firstLineChars="200"/>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szCs w:val="21"/>
        </w:rPr>
        <w:t>采购组织机构对评标委员会评审专家进行评价。</w:t>
      </w:r>
    </w:p>
    <w:p>
      <w:pPr>
        <w:snapToGrid w:val="0"/>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（三）澄清问题的形式</w:t>
      </w:r>
    </w:p>
    <w:p>
      <w:pPr>
        <w:snapToGrid w:val="0"/>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审过程中若需要供应商对投标文件作出澄清、说明或者补正的，评审小组可要求供应商在合理期限内通过电子邮件等书面形式或线上询标澄清方式作出，并不得超出投标文件的范围或者改变投标文件的实质性内容。评审小组给予供应商提交澄清、说明或补正的时间不得少于半小时，供应商已经明确表示澄清、说明或补正完毕的除外。请投标供应商在开标期间保持电话畅通，如未及时接听电话或超出澄清、说明或补正时间的，视为放弃澄清、说明或补正的权利。</w:t>
      </w:r>
    </w:p>
    <w:p>
      <w:pPr>
        <w:pStyle w:val="27"/>
        <w:snapToGrid w:val="0"/>
        <w:spacing w:line="360" w:lineRule="auto"/>
        <w:ind w:left="690" w:leftChars="228" w:hanging="211" w:hangingChars="1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（四）错误修正</w:t>
      </w:r>
    </w:p>
    <w:p>
      <w:pPr>
        <w:pStyle w:val="44"/>
        <w:spacing w:before="0" w:beforeAutospacing="0" w:after="0" w:afterAutospacing="0" w:line="360" w:lineRule="auto"/>
        <w:ind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投标文件报价出现前后不一致的，除采购文件另有规定外，按照下列规定修正：</w:t>
      </w:r>
    </w:p>
    <w:p>
      <w:pPr>
        <w:pStyle w:val="44"/>
        <w:numPr>
          <w:ilvl w:val="0"/>
          <w:numId w:val="17"/>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投标文件中开标一览表（报价表）内容与投标文件中相应内容不一致的，以开标一览表（报价表）为准；</w:t>
      </w:r>
    </w:p>
    <w:p>
      <w:pPr>
        <w:pStyle w:val="44"/>
        <w:numPr>
          <w:ilvl w:val="0"/>
          <w:numId w:val="17"/>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大写金额和小写金额不一致的，以大写金额为准；</w:t>
      </w:r>
    </w:p>
    <w:p>
      <w:pPr>
        <w:pStyle w:val="44"/>
        <w:numPr>
          <w:ilvl w:val="0"/>
          <w:numId w:val="17"/>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单价金额小数点或者百分比有明显错位的，以开标一览表的总价为准，并修改单价；</w:t>
      </w:r>
    </w:p>
    <w:p>
      <w:pPr>
        <w:pStyle w:val="44"/>
        <w:numPr>
          <w:ilvl w:val="0"/>
          <w:numId w:val="17"/>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总价金额与按单价汇总金额不一致的，以单价金额计算结果为准。</w:t>
      </w:r>
    </w:p>
    <w:p>
      <w:pPr>
        <w:pStyle w:val="44"/>
        <w:spacing w:before="0" w:beforeAutospacing="0" w:after="0" w:afterAutospacing="0" w:line="360" w:lineRule="auto"/>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　　同时出现两种以上不一致的，按照前款规定的顺序修正。修正应当采用书面形式，并加盖公章（电子签章），或者由法定代表人或其授权的代表签字。修正后的报价经投标人确认后产生约束力，投标人不确认的，其投标无效。</w:t>
      </w:r>
    </w:p>
    <w:p>
      <w:pPr>
        <w:snapToGrid w:val="0"/>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（五）采购过程中出现以下情形，导致电子交易平台无法正常运行，或者无法保证电子交易的公平、公正和安全时，采购组织机构可中止电子交易活动：</w:t>
      </w:r>
    </w:p>
    <w:p>
      <w:pPr>
        <w:snapToGrid w:val="0"/>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1.电子交易平台发生故障而无法登录访问的； </w:t>
      </w:r>
    </w:p>
    <w:p>
      <w:pPr>
        <w:snapToGrid w:val="0"/>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2.电子交易平台应用或数据库出现错误，不能进行正常操作的；</w:t>
      </w:r>
    </w:p>
    <w:p>
      <w:pPr>
        <w:snapToGrid w:val="0"/>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3.电子交易平台发现严重安全漏洞，有潜在泄密危险的；</w:t>
      </w:r>
    </w:p>
    <w:p>
      <w:pPr>
        <w:snapToGrid w:val="0"/>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4.病毒发作导致不能进行正常操作的； </w:t>
      </w:r>
    </w:p>
    <w:p>
      <w:pPr>
        <w:snapToGrid w:val="0"/>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5.其他无法保证电子交易的公平、公正和安全的情况。</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出现上述情形，在不影响采购公平、公正性的前提下，采购组织机构可以待上述情形消除后继续组织电子交易活动，也可以决定某些环节以纸质形式进行；影响或可能影响采购公平、公正性的，应当重新采购。</w:t>
      </w:r>
    </w:p>
    <w:p>
      <w:pPr>
        <w:pStyle w:val="44"/>
        <w:spacing w:before="0" w:beforeAutospacing="0" w:after="0" w:afterAutospacing="0" w:line="360" w:lineRule="auto"/>
        <w:ind w:firstLine="316" w:firstLineChars="150"/>
        <w:jc w:val="both"/>
        <w:rPr>
          <w:rFonts w:hint="default" w:asciiTheme="minorEastAsia" w:hAnsiTheme="minorEastAsia" w:eastAsiaTheme="minorEastAsia" w:cstheme="minorEastAsia"/>
          <w:b/>
          <w:sz w:val="21"/>
          <w:szCs w:val="21"/>
        </w:rPr>
      </w:pPr>
      <w:r>
        <w:rPr>
          <w:rFonts w:asciiTheme="minorEastAsia" w:hAnsiTheme="minorEastAsia" w:eastAsiaTheme="minorEastAsia" w:cstheme="minorEastAsia"/>
          <w:b/>
          <w:bCs/>
          <w:sz w:val="21"/>
          <w:szCs w:val="21"/>
        </w:rPr>
        <w:t>（六）</w:t>
      </w:r>
      <w:r>
        <w:rPr>
          <w:rFonts w:asciiTheme="minorEastAsia" w:hAnsiTheme="minorEastAsia" w:eastAsiaTheme="minorEastAsia" w:cstheme="minorEastAsia"/>
          <w:b/>
          <w:sz w:val="21"/>
          <w:szCs w:val="21"/>
        </w:rPr>
        <w:t>投标人存在下列情况之一的，投标无效</w:t>
      </w:r>
    </w:p>
    <w:p>
      <w:pPr>
        <w:numPr>
          <w:ilvl w:val="0"/>
          <w:numId w:val="18"/>
        </w:numPr>
        <w:adjustRightInd w:val="0"/>
        <w:snapToGrid w:val="0"/>
        <w:spacing w:line="360" w:lineRule="auto"/>
        <w:ind w:left="0"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资格证明文件或商务与技术文件跟报价文件出现混装或在资格证明文件或商务与技术文件中出现投标报价的，或者报价文件中报价的货物跟商务与技术文件中的投标货物出现重大偏差的；</w:t>
      </w:r>
    </w:p>
    <w:p>
      <w:pPr>
        <w:numPr>
          <w:ilvl w:val="0"/>
          <w:numId w:val="18"/>
        </w:numPr>
        <w:adjustRightInd w:val="0"/>
        <w:snapToGrid w:val="0"/>
        <w:spacing w:line="360" w:lineRule="auto"/>
        <w:ind w:left="0"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不具备采购文件中规定的资格要求的；</w:t>
      </w:r>
      <w:r>
        <w:rPr>
          <w:rFonts w:hint="eastAsia" w:asciiTheme="minorEastAsia" w:hAnsiTheme="minorEastAsia" w:eastAsiaTheme="minorEastAsia" w:cstheme="minorEastAsia"/>
          <w:szCs w:val="21"/>
        </w:rPr>
        <w:tab/>
      </w:r>
    </w:p>
    <w:p>
      <w:pPr>
        <w:pStyle w:val="44"/>
        <w:numPr>
          <w:ilvl w:val="0"/>
          <w:numId w:val="18"/>
        </w:numPr>
        <w:adjustRightInd w:val="0"/>
        <w:snapToGrid w:val="0"/>
        <w:spacing w:before="0" w:beforeAutospacing="0" w:after="0" w:afterAutospacing="0" w:line="360" w:lineRule="auto"/>
        <w:ind w:left="0"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投标文件含有采购人不能接受的附加条件的；</w:t>
      </w:r>
    </w:p>
    <w:p>
      <w:pPr>
        <w:numPr>
          <w:ilvl w:val="0"/>
          <w:numId w:val="18"/>
        </w:numPr>
        <w:adjustRightInd w:val="0"/>
        <w:snapToGrid w:val="0"/>
        <w:spacing w:line="360" w:lineRule="auto"/>
        <w:ind w:left="0"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szCs w:val="21"/>
        </w:rPr>
        <w:t>投标代表人未能出具身份证明或与法定代表人授权委托人身份不符的；</w:t>
      </w:r>
    </w:p>
    <w:p>
      <w:pPr>
        <w:pStyle w:val="44"/>
        <w:numPr>
          <w:ilvl w:val="0"/>
          <w:numId w:val="18"/>
        </w:numPr>
        <w:adjustRightInd w:val="0"/>
        <w:snapToGrid w:val="0"/>
        <w:spacing w:before="0" w:beforeAutospacing="0" w:after="0" w:afterAutospacing="0" w:line="360" w:lineRule="auto"/>
        <w:ind w:left="0"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4"/>
        <w:numPr>
          <w:ilvl w:val="0"/>
          <w:numId w:val="18"/>
        </w:numPr>
        <w:adjustRightInd w:val="0"/>
        <w:snapToGrid w:val="0"/>
        <w:spacing w:before="0" w:beforeAutospacing="0" w:after="0" w:afterAutospacing="0" w:line="360" w:lineRule="auto"/>
        <w:ind w:left="0"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报价超过采购文件中规定的预算金额或最高限价；</w:t>
      </w:r>
    </w:p>
    <w:p>
      <w:pPr>
        <w:pStyle w:val="44"/>
        <w:adjustRightInd w:val="0"/>
        <w:snapToGrid w:val="0"/>
        <w:spacing w:before="0" w:beforeAutospacing="0" w:after="0" w:afterAutospacing="0" w:line="360" w:lineRule="auto"/>
        <w:ind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7.主要性能参数指标（打“▲”的）存在负偏离的。</w:t>
      </w:r>
    </w:p>
    <w:p>
      <w:pPr>
        <w:pStyle w:val="44"/>
        <w:adjustRightInd w:val="0"/>
        <w:snapToGrid w:val="0"/>
        <w:spacing w:before="0" w:beforeAutospacing="0" w:after="0" w:afterAutospacing="0" w:line="360" w:lineRule="auto"/>
        <w:ind w:left="420" w:left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8.投标文件提供虚假材料的；</w:t>
      </w:r>
    </w:p>
    <w:p>
      <w:pPr>
        <w:tabs>
          <w:tab w:val="left" w:pos="1898"/>
        </w:tabs>
        <w:autoSpaceDE w:val="0"/>
        <w:autoSpaceDN w:val="0"/>
        <w:adjustRightInd w:val="0"/>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9.未上传</w:t>
      </w:r>
      <w:r>
        <w:rPr>
          <w:rFonts w:hint="eastAsia" w:asciiTheme="minorEastAsia" w:hAnsiTheme="minorEastAsia" w:eastAsiaTheme="minorEastAsia" w:cstheme="minorEastAsia"/>
          <w:szCs w:val="21"/>
        </w:rPr>
        <w:t>电子加密标书，或者非系统平台自身解密异常情况下电子加密标书和电子备份标书均解密失败或未按时解密的；</w:t>
      </w:r>
    </w:p>
    <w:p>
      <w:pPr>
        <w:pStyle w:val="44"/>
        <w:adjustRightInd w:val="0"/>
        <w:snapToGrid w:val="0"/>
        <w:spacing w:before="0" w:beforeAutospacing="0" w:after="0" w:afterAutospacing="0" w:line="360" w:lineRule="auto"/>
        <w:ind w:left="420" w:left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10.不符合中华人民共和国财政部令第87号《政府采购货物和服务招标投标管理办法》第三十七条情形之一的，视为投标人串通投标，其投标无效，并移送采购监管部门：</w:t>
      </w:r>
    </w:p>
    <w:p>
      <w:pPr>
        <w:pStyle w:val="44"/>
        <w:spacing w:before="0" w:beforeAutospacing="0" w:after="0" w:afterAutospacing="0" w:line="360" w:lineRule="auto"/>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　 （1）不同投标人的投标文件由同一单位或者个人编制；</w:t>
      </w:r>
    </w:p>
    <w:p>
      <w:pPr>
        <w:pStyle w:val="44"/>
        <w:spacing w:before="0" w:beforeAutospacing="0" w:after="0" w:afterAutospacing="0" w:line="360" w:lineRule="auto"/>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　 （2）不同投标人委托同一单位或者个人办理投标事宜；</w:t>
      </w:r>
    </w:p>
    <w:p>
      <w:pPr>
        <w:pStyle w:val="44"/>
        <w:spacing w:before="0" w:beforeAutospacing="0" w:after="0" w:afterAutospacing="0" w:line="360" w:lineRule="auto"/>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　 （3）不同投标人的投标文件载明的项目管理成员或者联系人员为同一人；</w:t>
      </w:r>
    </w:p>
    <w:p>
      <w:pPr>
        <w:pStyle w:val="44"/>
        <w:spacing w:before="0" w:beforeAutospacing="0" w:after="0" w:afterAutospacing="0" w:line="360" w:lineRule="auto"/>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　 （4）不同投标人的投标文件异常一致或者投标报价呈规律性差异；</w:t>
      </w:r>
    </w:p>
    <w:p>
      <w:pPr>
        <w:pStyle w:val="44"/>
        <w:spacing w:before="0" w:beforeAutospacing="0" w:after="0" w:afterAutospacing="0" w:line="360" w:lineRule="auto"/>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　 （5）不同投标人的投标文件相互混装。</w:t>
      </w:r>
    </w:p>
    <w:p>
      <w:pPr>
        <w:autoSpaceDE w:val="0"/>
        <w:autoSpaceDN w:val="0"/>
        <w:adjustRightInd w:val="0"/>
        <w:spacing w:line="360" w:lineRule="auto"/>
        <w:ind w:left="420" w:left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11.投标文件制作机器码一致的；</w:t>
      </w:r>
    </w:p>
    <w:p>
      <w:pPr>
        <w:autoSpaceDE w:val="0"/>
        <w:autoSpaceDN w:val="0"/>
        <w:adjustRightInd w:val="0"/>
        <w:spacing w:line="360" w:lineRule="auto"/>
        <w:ind w:left="420" w:left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12.不符合法律、法规和采购文件中规定的其他实质性要求的（采购文件中打“▲”内容及被拒绝的条款）。</w:t>
      </w:r>
    </w:p>
    <w:p>
      <w:pPr>
        <w:autoSpaceDE w:val="0"/>
        <w:autoSpaceDN w:val="0"/>
        <w:adjustRightInd w:val="0"/>
        <w:spacing w:line="360" w:lineRule="auto"/>
        <w:ind w:left="48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（七）有下列情况之一的，本次招标作为废标处理</w:t>
      </w:r>
    </w:p>
    <w:p>
      <w:pPr>
        <w:pStyle w:val="44"/>
        <w:numPr>
          <w:ilvl w:val="0"/>
          <w:numId w:val="19"/>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出现影响采购公正的违法、违规行为的；</w:t>
      </w:r>
    </w:p>
    <w:p>
      <w:pPr>
        <w:pStyle w:val="44"/>
        <w:numPr>
          <w:ilvl w:val="0"/>
          <w:numId w:val="19"/>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b/>
          <w:bCs/>
          <w:sz w:val="21"/>
          <w:szCs w:val="21"/>
        </w:rPr>
      </w:pPr>
      <w:r>
        <w:rPr>
          <w:rFonts w:asciiTheme="minorEastAsia" w:hAnsiTheme="minorEastAsia" w:eastAsiaTheme="minorEastAsia" w:cstheme="minorEastAsia"/>
          <w:sz w:val="21"/>
          <w:szCs w:val="21"/>
        </w:rPr>
        <w:t xml:space="preserve">评标委员会发现采购文件存在歧义、重大缺陷导致评标工作无法进行，或者采购文件内容违反国家有关强制性规定的； </w:t>
      </w:r>
    </w:p>
    <w:p>
      <w:pPr>
        <w:pStyle w:val="44"/>
        <w:numPr>
          <w:ilvl w:val="0"/>
          <w:numId w:val="19"/>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因重大变故，采购任务取消的；</w:t>
      </w:r>
    </w:p>
    <w:p>
      <w:pPr>
        <w:pStyle w:val="44"/>
        <w:numPr>
          <w:ilvl w:val="0"/>
          <w:numId w:val="19"/>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法律、法规和采购文件规定的其他导致评标结果无效的。</w:t>
      </w:r>
    </w:p>
    <w:p>
      <w:pPr>
        <w:pStyle w:val="27"/>
        <w:tabs>
          <w:tab w:val="left" w:pos="630"/>
        </w:tabs>
        <w:snapToGrid w:val="0"/>
        <w:spacing w:line="360" w:lineRule="auto"/>
        <w:ind w:firstLine="413" w:firstLineChars="196"/>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（八）评标原则和评标办法</w:t>
      </w:r>
    </w:p>
    <w:p>
      <w:pPr>
        <w:pStyle w:val="27"/>
        <w:numPr>
          <w:ilvl w:val="0"/>
          <w:numId w:val="20"/>
        </w:numPr>
        <w:snapToGrid w:val="0"/>
        <w:spacing w:line="360" w:lineRule="auto"/>
        <w:ind w:left="0"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7"/>
        <w:numPr>
          <w:ilvl w:val="0"/>
          <w:numId w:val="20"/>
        </w:numPr>
        <w:snapToGrid w:val="0"/>
        <w:spacing w:line="360" w:lineRule="auto"/>
        <w:ind w:left="0"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评标办法。具体评标内容及评分标准等详见《第三章：评标方法及评分标准》。</w:t>
      </w:r>
    </w:p>
    <w:p>
      <w:pPr>
        <w:pStyle w:val="27"/>
        <w:snapToGrid w:val="0"/>
        <w:spacing w:line="360" w:lineRule="auto"/>
        <w:ind w:firstLine="413" w:firstLineChars="196"/>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（九）评标过程的监控</w:t>
      </w:r>
    </w:p>
    <w:p>
      <w:pPr>
        <w:pStyle w:val="44"/>
        <w:spacing w:before="0" w:beforeAutospacing="0" w:after="0" w:afterAutospacing="0" w:line="360" w:lineRule="auto"/>
        <w:ind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本项目评标过程实行全程录音、录像监控，政府采购监管部门视情进行现场监督，投标人在评标过程中所进行的试图影响评标结果的不公正活动，可能导致其投标被拒绝。</w:t>
      </w:r>
    </w:p>
    <w:p>
      <w:pPr>
        <w:pStyle w:val="44"/>
        <w:spacing w:before="0" w:beforeAutospacing="0" w:after="0" w:afterAutospacing="0" w:line="360" w:lineRule="auto"/>
        <w:ind w:firstLine="316" w:firstLineChars="150"/>
        <w:jc w:val="both"/>
        <w:rPr>
          <w:rFonts w:hint="default" w:asciiTheme="minorEastAsia" w:hAnsiTheme="minorEastAsia" w:eastAsiaTheme="minorEastAsia" w:cstheme="minorEastAsia"/>
          <w:b/>
          <w:sz w:val="21"/>
          <w:szCs w:val="21"/>
        </w:rPr>
      </w:pPr>
      <w:r>
        <w:rPr>
          <w:rFonts w:asciiTheme="minorEastAsia" w:hAnsiTheme="minorEastAsia" w:eastAsiaTheme="minorEastAsia" w:cstheme="minorEastAsia"/>
          <w:b/>
          <w:sz w:val="21"/>
          <w:szCs w:val="21"/>
        </w:rPr>
        <w:t>七、定标</w:t>
      </w:r>
    </w:p>
    <w:p>
      <w:pPr>
        <w:pStyle w:val="44"/>
        <w:numPr>
          <w:ilvl w:val="0"/>
          <w:numId w:val="21"/>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numPr>
          <w:ilvl w:val="0"/>
          <w:numId w:val="21"/>
        </w:numPr>
        <w:spacing w:line="360" w:lineRule="auto"/>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发布</w:t>
      </w:r>
      <w:r>
        <w:rPr>
          <w:rFonts w:hint="eastAsia" w:asciiTheme="minorEastAsia" w:hAnsiTheme="minorEastAsia" w:eastAsiaTheme="minorEastAsia" w:cstheme="minorEastAsia"/>
          <w:szCs w:val="21"/>
        </w:rPr>
        <w:t>中标</w:t>
      </w:r>
      <w:r>
        <w:rPr>
          <w:rFonts w:hint="eastAsia" w:asciiTheme="minorEastAsia" w:hAnsiTheme="minorEastAsia" w:eastAsiaTheme="minorEastAsia" w:cstheme="minorEastAsia"/>
          <w:kern w:val="0"/>
          <w:szCs w:val="21"/>
        </w:rPr>
        <w:t>结果公告。采购组织机构应当自中标人确定之日起2个工作日内，在省级以上财政部门指定的媒体及相关网站上公告中标结果。</w:t>
      </w:r>
    </w:p>
    <w:p>
      <w:pPr>
        <w:numPr>
          <w:ilvl w:val="0"/>
          <w:numId w:val="21"/>
        </w:numPr>
        <w:spacing w:line="360" w:lineRule="auto"/>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发出中标通知书。采购组织机构在发布中标结果的同时，向中标人发出中标通知书。</w:t>
      </w:r>
    </w:p>
    <w:p>
      <w:pPr>
        <w:spacing w:line="360" w:lineRule="auto"/>
        <w:ind w:firstLine="422"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szCs w:val="21"/>
        </w:rPr>
        <w:t>八、</w:t>
      </w:r>
      <w:r>
        <w:rPr>
          <w:rFonts w:hint="eastAsia" w:asciiTheme="minorEastAsia" w:hAnsiTheme="minorEastAsia" w:eastAsiaTheme="minorEastAsia" w:cstheme="minorEastAsia"/>
          <w:b/>
          <w:kern w:val="0"/>
          <w:szCs w:val="21"/>
        </w:rPr>
        <w:t>合同签订及公告</w:t>
      </w:r>
    </w:p>
    <w:p>
      <w:pPr>
        <w:spacing w:line="360" w:lineRule="auto"/>
        <w:ind w:firstLine="422" w:firstLineChars="200"/>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szCs w:val="21"/>
        </w:rPr>
        <w:t>（一）签订合同</w:t>
      </w:r>
    </w:p>
    <w:p>
      <w:pPr>
        <w:pStyle w:val="44"/>
        <w:numPr>
          <w:ilvl w:val="0"/>
          <w:numId w:val="22"/>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采购人应当自中标通知书发出之日起30日内，按照采购文件和中标人投标文件的规定，与中标人签订书面合同。所签订的合同不得对采购文件确定的事项和中标人投标文件作实质性修改。</w:t>
      </w:r>
    </w:p>
    <w:p>
      <w:pPr>
        <w:pStyle w:val="44"/>
        <w:numPr>
          <w:ilvl w:val="0"/>
          <w:numId w:val="22"/>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采购人不得向中标人提出任何不合理的要求作为签订合同的条件。</w:t>
      </w:r>
    </w:p>
    <w:p>
      <w:pPr>
        <w:pStyle w:val="44"/>
        <w:numPr>
          <w:ilvl w:val="0"/>
          <w:numId w:val="22"/>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中标供应商无故拖延、拒签合同的,取消中标资格。</w:t>
      </w:r>
    </w:p>
    <w:p>
      <w:pPr>
        <w:pStyle w:val="44"/>
        <w:numPr>
          <w:ilvl w:val="0"/>
          <w:numId w:val="22"/>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44"/>
        <w:numPr>
          <w:ilvl w:val="0"/>
          <w:numId w:val="22"/>
        </w:numPr>
        <w:spacing w:line="360" w:lineRule="auto"/>
        <w:ind w:left="0" w:firstLine="420" w:firstLineChars="200"/>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询问或者质疑事项可能影响中标结果的，采购人应当暂停签订合同，已经签订合同的，应当中止履行合同（中标结果的质疑期为中标结果公告期限届满之日起七个工作日）。</w:t>
      </w:r>
    </w:p>
    <w:p>
      <w:pPr>
        <w:pStyle w:val="44"/>
        <w:spacing w:line="360" w:lineRule="auto"/>
        <w:ind w:firstLine="371" w:firstLineChars="176"/>
        <w:rPr>
          <w:rFonts w:hint="default" w:asciiTheme="minorEastAsia" w:hAnsiTheme="minorEastAsia" w:eastAsiaTheme="minorEastAsia" w:cstheme="minorEastAsia"/>
          <w:b/>
          <w:sz w:val="21"/>
          <w:szCs w:val="21"/>
        </w:rPr>
      </w:pPr>
      <w:r>
        <w:rPr>
          <w:rFonts w:asciiTheme="minorEastAsia" w:hAnsiTheme="minorEastAsia" w:eastAsiaTheme="minorEastAsia" w:cstheme="minorEastAsia"/>
          <w:b/>
          <w:sz w:val="21"/>
          <w:szCs w:val="21"/>
        </w:rPr>
        <w:t>（二）合同公告及备案</w:t>
      </w:r>
    </w:p>
    <w:p>
      <w:pPr>
        <w:pStyle w:val="23"/>
        <w:numPr>
          <w:ilvl w:val="0"/>
          <w:numId w:val="23"/>
        </w:numPr>
        <w:spacing w:line="360" w:lineRule="auto"/>
        <w:ind w:left="0" w:leftChars="0"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采购人应当自政府采购合同签订之日起2个工作日内，</w:t>
      </w:r>
      <w:r>
        <w:rPr>
          <w:rFonts w:hint="eastAsia" w:asciiTheme="minorEastAsia" w:hAnsiTheme="minorEastAsia" w:eastAsiaTheme="minorEastAsia" w:cstheme="minorEastAsia"/>
          <w:kern w:val="0"/>
          <w:szCs w:val="21"/>
        </w:rPr>
        <w:t>在省级以上财政部门指定的政府采购信息发布媒体及相关网站上公告</w:t>
      </w:r>
      <w:r>
        <w:rPr>
          <w:rFonts w:hint="eastAsia" w:asciiTheme="minorEastAsia" w:hAnsiTheme="minorEastAsia" w:eastAsiaTheme="minorEastAsia" w:cstheme="minorEastAsia"/>
          <w:szCs w:val="21"/>
        </w:rPr>
        <w:t>。</w:t>
      </w:r>
    </w:p>
    <w:p>
      <w:pPr>
        <w:pStyle w:val="23"/>
        <w:numPr>
          <w:ilvl w:val="0"/>
          <w:numId w:val="23"/>
        </w:numPr>
        <w:spacing w:line="360" w:lineRule="auto"/>
        <w:ind w:left="0" w:leftChars="0"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采购人应当自政府采购合同签订之日起7个工作日内，将政府采购合同副本报同级人民政府财政部门备案以及采购组织机构存档。</w:t>
      </w:r>
    </w:p>
    <w:p>
      <w:pPr>
        <w:pStyle w:val="23"/>
        <w:spacing w:line="360" w:lineRule="auto"/>
        <w:ind w:left="0" w:leftChars="0"/>
        <w:rPr>
          <w:rFonts w:ascii="宋体" w:hAnsi="宋体" w:cs="宋体"/>
          <w:sz w:val="24"/>
        </w:rPr>
      </w:pPr>
    </w:p>
    <w:p>
      <w:pPr>
        <w:rPr>
          <w:rFonts w:ascii="宋体" w:hAnsi="宋体" w:cs="宋体"/>
          <w:sz w:val="24"/>
        </w:rPr>
      </w:pPr>
    </w:p>
    <w:p>
      <w:pPr>
        <w:pStyle w:val="15"/>
        <w:rPr>
          <w:rFonts w:ascii="宋体" w:hAnsi="宋体" w:cs="宋体"/>
          <w:sz w:val="24"/>
        </w:rPr>
      </w:pPr>
    </w:p>
    <w:p>
      <w:pPr>
        <w:rPr>
          <w:rFonts w:ascii="宋体" w:hAnsi="宋体" w:cs="宋体"/>
          <w:sz w:val="24"/>
        </w:rPr>
      </w:pPr>
    </w:p>
    <w:p/>
    <w:p>
      <w:pPr>
        <w:rPr>
          <w:rFonts w:ascii="宋体" w:hAnsi="宋体" w:cs="宋体"/>
          <w:b/>
          <w:sz w:val="36"/>
          <w:szCs w:val="36"/>
        </w:rPr>
      </w:pPr>
      <w:r>
        <w:rPr>
          <w:rFonts w:hint="eastAsia" w:ascii="宋体" w:hAnsi="宋体" w:cs="宋体"/>
          <w:b/>
          <w:sz w:val="36"/>
          <w:szCs w:val="36"/>
        </w:rPr>
        <w:br w:type="page"/>
      </w:r>
    </w:p>
    <w:p>
      <w:pPr>
        <w:numPr>
          <w:ilvl w:val="0"/>
          <w:numId w:val="24"/>
        </w:numPr>
        <w:spacing w:line="360" w:lineRule="auto"/>
        <w:jc w:val="center"/>
        <w:rPr>
          <w:rFonts w:ascii="宋体" w:hAnsi="宋体" w:cs="宋体"/>
          <w:b/>
          <w:sz w:val="36"/>
          <w:szCs w:val="36"/>
        </w:rPr>
      </w:pPr>
      <w:r>
        <w:rPr>
          <w:rFonts w:hint="eastAsia" w:ascii="宋体" w:hAnsi="宋体" w:cs="宋体"/>
          <w:b/>
          <w:sz w:val="36"/>
          <w:szCs w:val="36"/>
        </w:rPr>
        <w:t>评标办法及评分标准</w:t>
      </w:r>
    </w:p>
    <w:p>
      <w:pPr>
        <w:autoSpaceDE w:val="0"/>
        <w:autoSpaceDN w:val="0"/>
        <w:spacing w:line="360" w:lineRule="auto"/>
        <w:ind w:firstLine="480" w:firstLineChars="200"/>
        <w:rPr>
          <w:rFonts w:ascii="宋体" w:hAnsi="宋体" w:cs="宋体"/>
          <w:b/>
          <w:i/>
          <w:kern w:val="0"/>
          <w:sz w:val="24"/>
        </w:rPr>
      </w:pPr>
      <w:r>
        <w:rPr>
          <w:rFonts w:hint="eastAsia" w:ascii="宋体" w:hAnsi="宋体" w:cs="宋体"/>
          <w:kern w:val="0"/>
          <w:sz w:val="24"/>
        </w:rPr>
        <w:t>一、采购组织机构将组织评标委员会，对投标人提供的投标文件进行综合评审。</w:t>
      </w:r>
    </w:p>
    <w:p>
      <w:pPr>
        <w:autoSpaceDE w:val="0"/>
        <w:autoSpaceDN w:val="0"/>
        <w:spacing w:line="360" w:lineRule="auto"/>
        <w:ind w:firstLine="480" w:firstLineChars="200"/>
        <w:rPr>
          <w:rFonts w:ascii="宋体" w:hAnsi="宋体" w:cs="宋体"/>
          <w:sz w:val="24"/>
        </w:rPr>
      </w:pPr>
      <w:r>
        <w:rPr>
          <w:rFonts w:hint="eastAsia" w:ascii="宋体" w:hAnsi="宋体" w:cs="宋体"/>
          <w:sz w:val="24"/>
        </w:rPr>
        <w:t>二、本次招标项目的评标方法为综合评分法，总计100分，其中</w:t>
      </w:r>
      <w:r>
        <w:rPr>
          <w:rFonts w:hint="eastAsia" w:ascii="宋体" w:hAnsi="宋体" w:cs="宋体"/>
          <w:bCs/>
          <w:sz w:val="24"/>
          <w:lang w:val="zh-CN"/>
        </w:rPr>
        <w:t>商务技术文件分值</w:t>
      </w:r>
      <w:r>
        <w:rPr>
          <w:rFonts w:hint="eastAsia" w:ascii="宋体" w:hAnsi="宋体" w:cs="宋体"/>
          <w:bCs/>
          <w:sz w:val="24"/>
        </w:rPr>
        <w:t>70</w:t>
      </w:r>
      <w:r>
        <w:rPr>
          <w:rFonts w:hint="eastAsia" w:ascii="宋体" w:hAnsi="宋体" w:cs="宋体"/>
          <w:bCs/>
          <w:sz w:val="24"/>
          <w:lang w:val="zh-CN"/>
        </w:rPr>
        <w:t>分，投标报价分值</w:t>
      </w:r>
      <w:r>
        <w:rPr>
          <w:rFonts w:hint="eastAsia" w:ascii="宋体" w:hAnsi="宋体" w:cs="宋体"/>
          <w:bCs/>
          <w:sz w:val="24"/>
        </w:rPr>
        <w:t>30</w:t>
      </w:r>
      <w:r>
        <w:rPr>
          <w:rFonts w:hint="eastAsia" w:ascii="宋体" w:hAnsi="宋体" w:cs="宋体"/>
          <w:bCs/>
          <w:sz w:val="24"/>
          <w:lang w:val="zh-CN"/>
        </w:rPr>
        <w:t>分</w:t>
      </w:r>
      <w:r>
        <w:rPr>
          <w:rFonts w:hint="eastAsia" w:ascii="宋体" w:hAnsi="宋体" w:cs="宋体"/>
          <w:sz w:val="24"/>
        </w:rPr>
        <w:t>。评标标准按评分细化条款及分值进行评审。</w:t>
      </w:r>
    </w:p>
    <w:p>
      <w:pPr>
        <w:autoSpaceDE w:val="0"/>
        <w:autoSpaceDN w:val="0"/>
        <w:adjustRightInd w:val="0"/>
        <w:spacing w:line="360" w:lineRule="auto"/>
        <w:ind w:firstLine="472"/>
        <w:rPr>
          <w:rFonts w:ascii="宋体" w:hAnsi="宋体" w:cs="宋体"/>
          <w:bCs/>
          <w:sz w:val="24"/>
          <w:lang w:val="zh-CN"/>
        </w:rPr>
      </w:pPr>
      <w:r>
        <w:rPr>
          <w:rFonts w:hint="eastAsia" w:ascii="宋体" w:hAnsi="宋体" w:cs="宋体"/>
          <w:bCs/>
          <w:sz w:val="24"/>
          <w:lang w:val="zh-CN"/>
        </w:rPr>
        <w:t>（一）商务技术文件中的客观分由评标委员会讨论后统一打分；其余在规定的分值内单独评定打分</w:t>
      </w:r>
      <w:r>
        <w:rPr>
          <w:rFonts w:hint="eastAsia" w:ascii="宋体" w:hAnsi="宋体" w:cs="宋体"/>
          <w:sz w:val="24"/>
        </w:rPr>
        <w:t>（小数点后保留1位）</w:t>
      </w:r>
      <w:r>
        <w:rPr>
          <w:rFonts w:hint="eastAsia" w:ascii="宋体" w:hAnsi="宋体" w:cs="宋体"/>
          <w:bCs/>
          <w:sz w:val="24"/>
          <w:lang w:val="zh-CN"/>
        </w:rPr>
        <w:t>。</w:t>
      </w:r>
    </w:p>
    <w:p>
      <w:pPr>
        <w:autoSpaceDE w:val="0"/>
        <w:autoSpaceDN w:val="0"/>
        <w:adjustRightInd w:val="0"/>
        <w:spacing w:line="360" w:lineRule="auto"/>
        <w:ind w:firstLine="472"/>
        <w:rPr>
          <w:rFonts w:ascii="宋体" w:hAnsi="宋体" w:cs="宋体"/>
          <w:bCs/>
          <w:sz w:val="24"/>
          <w:shd w:val="clear" w:color="FFFFFF" w:fill="D9D9D9"/>
          <w:lang w:val="zh-CN"/>
        </w:rPr>
      </w:pPr>
      <w:r>
        <w:rPr>
          <w:rFonts w:hint="eastAsia" w:ascii="宋体" w:hAnsi="宋体" w:cs="宋体"/>
          <w:bCs/>
          <w:sz w:val="24"/>
          <w:lang w:val="zh-CN"/>
        </w:rPr>
        <w:t>（二）各投标人商务技术文件</w:t>
      </w:r>
      <w:r>
        <w:rPr>
          <w:rFonts w:hint="eastAsia" w:ascii="宋体" w:hAnsi="宋体" w:cs="宋体"/>
          <w:sz w:val="24"/>
          <w:lang w:val="zh-CN"/>
        </w:rPr>
        <w:t>得分按照评标委员会成</w:t>
      </w:r>
      <w:r>
        <w:rPr>
          <w:rFonts w:hint="eastAsia" w:ascii="宋体" w:hAnsi="宋体" w:cs="宋体"/>
          <w:bCs/>
          <w:sz w:val="24"/>
          <w:lang w:val="zh-CN"/>
        </w:rPr>
        <w:t>员的独立评分结果汇总后的算术平均分计算</w:t>
      </w:r>
      <w:r>
        <w:rPr>
          <w:rFonts w:hint="eastAsia" w:ascii="宋体" w:hAnsi="宋体" w:cs="宋体"/>
          <w:sz w:val="24"/>
        </w:rPr>
        <w:t>（小数点后保留2位）</w:t>
      </w:r>
      <w:r>
        <w:rPr>
          <w:rFonts w:hint="eastAsia" w:ascii="宋体" w:hAnsi="宋体" w:cs="宋体"/>
          <w:bCs/>
          <w:sz w:val="24"/>
          <w:lang w:val="zh-CN"/>
        </w:rPr>
        <w:t>，计算公式为：</w:t>
      </w:r>
    </w:p>
    <w:p>
      <w:pPr>
        <w:autoSpaceDE w:val="0"/>
        <w:autoSpaceDN w:val="0"/>
        <w:adjustRightInd w:val="0"/>
        <w:spacing w:line="360" w:lineRule="auto"/>
        <w:ind w:firstLine="472"/>
        <w:rPr>
          <w:rFonts w:ascii="宋体" w:hAnsi="宋体" w:cs="宋体"/>
          <w:bCs/>
          <w:sz w:val="24"/>
          <w:shd w:val="clear" w:color="FFFFFF" w:fill="D9D9D9"/>
          <w:lang w:val="zh-CN"/>
        </w:rPr>
      </w:pPr>
      <w:r>
        <w:rPr>
          <w:rFonts w:hint="eastAsia" w:ascii="宋体" w:hAnsi="宋体" w:cs="宋体"/>
          <w:bCs/>
          <w:sz w:val="24"/>
          <w:lang w:val="zh-CN"/>
        </w:rPr>
        <w:t>商务技术文件</w:t>
      </w:r>
      <w:r>
        <w:rPr>
          <w:rFonts w:hint="eastAsia" w:ascii="宋体" w:hAnsi="宋体" w:cs="宋体"/>
          <w:sz w:val="24"/>
        </w:rPr>
        <w:t>得分</w:t>
      </w:r>
      <w:r>
        <w:rPr>
          <w:rFonts w:hint="eastAsia" w:ascii="宋体" w:hAnsi="宋体" w:cs="宋体"/>
          <w:bCs/>
          <w:sz w:val="24"/>
          <w:lang w:val="zh-CN"/>
        </w:rPr>
        <w:t>=评标委员会所有成员评分合计数/评标委员会组成人员数。</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bCs/>
          <w:sz w:val="24"/>
          <w:lang w:val="zh-CN"/>
        </w:rPr>
        <w:t>（三）</w:t>
      </w:r>
      <w:r>
        <w:rPr>
          <w:rFonts w:hint="eastAsia" w:ascii="宋体" w:hAnsi="宋体" w:cs="宋体"/>
          <w:sz w:val="24"/>
          <w:lang w:val="zh-CN"/>
        </w:rPr>
        <w:t>投标报价得分采用低价优先法计算</w:t>
      </w:r>
      <w:r>
        <w:rPr>
          <w:rFonts w:hint="eastAsia" w:ascii="宋体" w:hAnsi="宋体" w:cs="宋体"/>
          <w:sz w:val="24"/>
        </w:rPr>
        <w:t>（小数点后保留2位）</w:t>
      </w:r>
      <w:r>
        <w:rPr>
          <w:rFonts w:hint="eastAsia" w:ascii="宋体" w:hAnsi="宋体" w:cs="宋体"/>
          <w:sz w:val="24"/>
          <w:lang w:val="zh-CN"/>
        </w:rPr>
        <w:t>，即满足招标文件要求且投标价格最低的投标报价为评标基准价，其报价得满分。其他投标人的投标报价得分按下列公式计算：</w:t>
      </w:r>
    </w:p>
    <w:p>
      <w:pPr>
        <w:autoSpaceDE w:val="0"/>
        <w:autoSpaceDN w:val="0"/>
        <w:adjustRightInd w:val="0"/>
        <w:spacing w:line="360" w:lineRule="auto"/>
        <w:ind w:right="85" w:firstLine="480" w:firstLineChars="200"/>
        <w:rPr>
          <w:rFonts w:ascii="宋体" w:hAnsi="宋体" w:cs="宋体"/>
          <w:sz w:val="24"/>
          <w:u w:val="single"/>
        </w:rPr>
      </w:pPr>
      <w:r>
        <w:rPr>
          <w:rFonts w:hint="eastAsia" w:ascii="宋体" w:hAnsi="宋体" w:cs="宋体"/>
          <w:sz w:val="24"/>
          <w:u w:val="single"/>
        </w:rPr>
        <w:t>投标报价得分=(评标基准价／投标报价)×30%×100。</w:t>
      </w:r>
    </w:p>
    <w:p>
      <w:pPr>
        <w:numPr>
          <w:ilvl w:val="0"/>
          <w:numId w:val="25"/>
        </w:numPr>
        <w:autoSpaceDE w:val="0"/>
        <w:autoSpaceDN w:val="0"/>
        <w:spacing w:line="360" w:lineRule="auto"/>
        <w:ind w:firstLine="480" w:firstLineChars="200"/>
        <w:rPr>
          <w:rFonts w:ascii="宋体" w:hAnsi="宋体" w:cs="宋体"/>
          <w:sz w:val="24"/>
        </w:rPr>
      </w:pPr>
      <w:r>
        <w:rPr>
          <w:rFonts w:hint="eastAsia" w:ascii="宋体" w:hAnsi="宋体" w:cs="宋体"/>
          <w:sz w:val="24"/>
        </w:rPr>
        <w:t>投标人综合得分＝资格及</w:t>
      </w:r>
      <w:r>
        <w:rPr>
          <w:rFonts w:hint="eastAsia" w:ascii="宋体" w:hAnsi="宋体" w:cs="宋体"/>
          <w:bCs/>
          <w:sz w:val="24"/>
          <w:lang w:val="zh-CN"/>
        </w:rPr>
        <w:t>商务技术文件</w:t>
      </w:r>
      <w:r>
        <w:rPr>
          <w:rFonts w:hint="eastAsia" w:ascii="宋体" w:hAnsi="宋体" w:cs="宋体"/>
          <w:sz w:val="24"/>
        </w:rPr>
        <w:t>得分＋投标报价得分。</w:t>
      </w:r>
    </w:p>
    <w:p>
      <w:pPr>
        <w:autoSpaceDE w:val="0"/>
        <w:autoSpaceDN w:val="0"/>
        <w:spacing w:line="360" w:lineRule="auto"/>
        <w:ind w:firstLine="480" w:firstLineChars="200"/>
        <w:rPr>
          <w:b/>
          <w:bCs/>
        </w:rPr>
      </w:pPr>
      <w:r>
        <w:rPr>
          <w:rFonts w:hint="eastAsia" w:ascii="宋体" w:hAnsi="宋体" w:cs="宋体"/>
          <w:kern w:val="0"/>
          <w:sz w:val="24"/>
          <w:lang w:val="zh-CN"/>
        </w:rPr>
        <w:t>注：得分以系统计算为准，保留2位小数。</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（五）政府采购政策及优惠：</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en-US" w:eastAsia="zh-CN"/>
        </w:rPr>
        <w:t>1、</w:t>
      </w:r>
      <w:r>
        <w:rPr>
          <w:rFonts w:hint="eastAsia" w:ascii="宋体" w:hAnsi="宋体" w:cs="宋体"/>
          <w:kern w:val="0"/>
          <w:sz w:val="24"/>
          <w:lang w:val="zh-CN"/>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en-US" w:eastAsia="zh-CN"/>
        </w:rPr>
        <w:t>2、</w:t>
      </w:r>
      <w:r>
        <w:rPr>
          <w:rFonts w:hint="eastAsia" w:ascii="宋体" w:hAnsi="宋体" w:cs="宋体"/>
          <w:kern w:val="0"/>
          <w:sz w:val="24"/>
          <w:lang w:val="zh-CN"/>
        </w:rPr>
        <w:t>支持绿色发展</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2.1采购人拟采购的产品如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2.2 纳入政府采购管理的修缮、装修类项目采购建材的，鼓励采购单位将绿色建材性能、指标等作为实质性条件纳入采购文件和合同，具体性能指标要求参考相关绿色建材政府采购需求标准。</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 w:name="_Hlk107568539"/>
      <w:r>
        <w:rPr>
          <w:rFonts w:hint="eastAsia" w:ascii="宋体" w:hAnsi="宋体" w:cs="宋体"/>
          <w:kern w:val="0"/>
          <w:sz w:val="24"/>
          <w:lang w:val="zh-CN"/>
        </w:rPr>
        <w:t>鼓励采购单位优先采购秸秆环保板材等资源综合利用产品。鼓励采购单位优先采购绿色物流配送服务、提供新能源交通工具的租赁服务。</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3、支持中小企业发展</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符合中小企业划分标准的个体工商户，在政府采购活动中视同中小企业。</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3.2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以联合体形式参加政府采购活动，联合体各方均为中小企业的，联合体视同中小企业。其中，联合体各方均为小微企业的，联合体视同小微企业。</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2" w:name="_Hlk101132181"/>
      <w:r>
        <w:rPr>
          <w:rFonts w:hint="eastAsia" w:ascii="宋体" w:hAnsi="宋体" w:cs="宋体"/>
          <w:kern w:val="0"/>
          <w:sz w:val="24"/>
          <w:lang w:val="zh-CN"/>
        </w:rPr>
        <w:t>联合协议或者分包意向协议约定小微企业的合同份额占到合同总金额30%以上的</w:t>
      </w:r>
      <w:bookmarkEnd w:id="2"/>
      <w:r>
        <w:rPr>
          <w:rFonts w:hint="eastAsia" w:ascii="宋体" w:hAnsi="宋体" w:cs="宋体"/>
          <w:kern w:val="0"/>
          <w:sz w:val="24"/>
          <w:lang w:val="zh-CN"/>
        </w:rPr>
        <w:t>，对联合体或者大中型企业的报价给予6%的扣除，用扣除后的价格参加评审。组成联合体或者接受分包的小微企业与联合体内其他企业、分包企业之间存在直接控股、管理关系的，不享受价格扣除优惠政策。</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3.4符合《关于促进残疾人就业政府采购政策的通知》（财库〔2017〕141号）规定的条件并提供《残疾人福利性单位声明函》（附件1）的残疾人福利性单位视同小型、微型企业；</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3.7中小企业享受扶持政策获得政府采购合同的，小微企业不得将合同分包给大中型企业，中型企业不得将合同分包给大型企业。</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3.8 本项目非专门面向中小企业采购，执行价格评审优惠的扶持政策。</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en-US" w:eastAsia="zh-CN"/>
        </w:rPr>
        <w:t>4、</w:t>
      </w:r>
      <w:r>
        <w:rPr>
          <w:rFonts w:hint="eastAsia" w:ascii="宋体" w:hAnsi="宋体" w:cs="宋体"/>
          <w:kern w:val="0"/>
          <w:sz w:val="24"/>
          <w:lang w:val="zh-CN"/>
        </w:rPr>
        <w:t>支持创新发展</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4.1 采购人优先采购被认定为首台套产品和“制造精品”的自主创新产品。</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5、平等对待内外资企业和符合条件的破产重整企业</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平等对待内外资企业和符合条件的破产重整企业，切实保障企业公平竞争，平等维护企业的合法利益。</w:t>
      </w:r>
    </w:p>
    <w:p>
      <w:pPr>
        <w:spacing w:line="360" w:lineRule="auto"/>
        <w:ind w:firstLine="480" w:firstLineChars="200"/>
        <w:rPr>
          <w:rFonts w:ascii="宋体" w:hAnsi="宋体" w:cs="宋体"/>
          <w:sz w:val="24"/>
          <w:lang w:val="zh-CN"/>
        </w:rPr>
      </w:pPr>
      <w:r>
        <w:rPr>
          <w:rFonts w:hint="eastAsia" w:ascii="宋体" w:hAnsi="宋体" w:cs="宋体"/>
          <w:sz w:val="24"/>
          <w:lang w:val="zh-CN"/>
        </w:rPr>
        <w:t>三、在最大限度地满足招标文件实质性要求前提下，评标委员会按照招标文件中规定的各项因素进行综合评审后，以评标总得分最高的投标人为中标候选人。</w:t>
      </w:r>
    </w:p>
    <w:p>
      <w:pPr>
        <w:spacing w:line="360" w:lineRule="auto"/>
        <w:ind w:firstLine="480" w:firstLineChars="200"/>
        <w:rPr>
          <w:rFonts w:ascii="宋体" w:hAnsi="宋体" w:cs="宋体"/>
          <w:sz w:val="24"/>
          <w:lang w:val="zh-CN"/>
        </w:rPr>
      </w:pPr>
      <w:r>
        <w:rPr>
          <w:rFonts w:hint="eastAsia" w:ascii="宋体" w:hAnsi="宋体" w:cs="宋体"/>
          <w:sz w:val="24"/>
          <w:lang w:val="zh-CN"/>
        </w:rPr>
        <w:t>四、如综合得分相同，投标报价低者为先；如综合得分且投标报价相同的，货物类采购项目以技术性能得分较高者为先，服务类采购项目以实力信誉及业绩得分较高者为先。</w:t>
      </w:r>
    </w:p>
    <w:p>
      <w:pPr>
        <w:spacing w:line="360" w:lineRule="auto"/>
        <w:ind w:firstLine="480" w:firstLineChars="200"/>
        <w:rPr>
          <w:rFonts w:ascii="宋体" w:hAnsi="宋体" w:cs="宋体"/>
          <w:sz w:val="24"/>
          <w:lang w:val="zh-CN"/>
        </w:rPr>
      </w:pPr>
      <w:r>
        <w:rPr>
          <w:rFonts w:hint="eastAsia" w:ascii="宋体" w:hAnsi="宋体" w:cs="宋体"/>
          <w:sz w:val="24"/>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spacing w:line="360" w:lineRule="auto"/>
        <w:rPr>
          <w:rFonts w:ascii="宋体" w:hAnsi="宋体" w:cs="宋体"/>
          <w:sz w:val="24"/>
          <w:lang w:val="zh-CN"/>
        </w:rPr>
      </w:pPr>
      <w:r>
        <w:rPr>
          <w:rFonts w:hint="eastAsia" w:ascii="宋体" w:hAnsi="宋体" w:cs="宋体"/>
          <w:sz w:val="24"/>
          <w:lang w:val="zh-CN"/>
        </w:rPr>
        <w:t>六、</w:t>
      </w:r>
      <w:r>
        <w:rPr>
          <w:rFonts w:hint="eastAsia" w:ascii="宋体" w:hAnsi="宋体" w:cs="宋体"/>
          <w:color w:val="000000" w:themeColor="text1"/>
          <w:sz w:val="24"/>
          <w:lang w:val="zh-CN"/>
          <w14:textFill>
            <w14:solidFill>
              <w14:schemeClr w14:val="tx1"/>
            </w14:solidFill>
          </w14:textFill>
        </w:rPr>
        <w:t>本次</w:t>
      </w:r>
      <w:r>
        <w:rPr>
          <w:rFonts w:hint="eastAsia" w:ascii="宋体" w:hAnsi="宋体" w:cs="宋体"/>
          <w:color w:val="000000" w:themeColor="text1"/>
          <w:sz w:val="24"/>
          <w14:textFill>
            <w14:solidFill>
              <w14:schemeClr w14:val="tx1"/>
            </w14:solidFill>
          </w14:textFill>
        </w:rPr>
        <w:t>资格及</w:t>
      </w:r>
      <w:r>
        <w:rPr>
          <w:rFonts w:hint="eastAsia" w:ascii="宋体" w:hAnsi="宋体" w:cs="宋体"/>
          <w:bCs/>
          <w:color w:val="000000" w:themeColor="text1"/>
          <w:sz w:val="24"/>
          <w:lang w:val="zh-CN"/>
          <w14:textFill>
            <w14:solidFill>
              <w14:schemeClr w14:val="tx1"/>
            </w14:solidFill>
          </w14:textFill>
        </w:rPr>
        <w:t>商务技术部分</w:t>
      </w:r>
      <w:r>
        <w:rPr>
          <w:rFonts w:hint="eastAsia" w:ascii="宋体" w:hAnsi="宋体" w:cs="宋体"/>
          <w:color w:val="000000" w:themeColor="text1"/>
          <w:sz w:val="24"/>
          <w:lang w:val="zh-CN"/>
          <w14:textFill>
            <w14:solidFill>
              <w14:schemeClr w14:val="tx1"/>
            </w14:solidFill>
          </w14:textFill>
        </w:rPr>
        <w:t>评分具体分值细化条款如下表：</w:t>
      </w:r>
    </w:p>
    <w:tbl>
      <w:tblPr>
        <w:tblStyle w:val="48"/>
        <w:tblW w:w="9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364"/>
        <w:gridCol w:w="6636"/>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94" w:type="dxa"/>
            <w:vAlign w:val="center"/>
          </w:tcPr>
          <w:p>
            <w:pPr>
              <w:widowControl/>
              <w:spacing w:line="288" w:lineRule="auto"/>
              <w:jc w:val="center"/>
              <w:rPr>
                <w:rFonts w:ascii="宋体" w:hAnsi="宋体" w:cs="宋体"/>
                <w:b/>
                <w:szCs w:val="21"/>
              </w:rPr>
            </w:pPr>
            <w:r>
              <w:rPr>
                <w:rFonts w:hint="eastAsia" w:ascii="宋体" w:hAnsi="宋体" w:cs="宋体"/>
                <w:b/>
                <w:bCs/>
                <w:kern w:val="0"/>
                <w:szCs w:val="21"/>
              </w:rPr>
              <w:t>名称</w:t>
            </w:r>
          </w:p>
        </w:tc>
        <w:tc>
          <w:tcPr>
            <w:tcW w:w="1364" w:type="dxa"/>
            <w:vAlign w:val="center"/>
          </w:tcPr>
          <w:p>
            <w:pPr>
              <w:widowControl/>
              <w:spacing w:line="288" w:lineRule="auto"/>
              <w:jc w:val="center"/>
              <w:rPr>
                <w:rFonts w:ascii="宋体" w:hAnsi="宋体" w:cs="宋体"/>
                <w:b/>
                <w:szCs w:val="21"/>
              </w:rPr>
            </w:pPr>
            <w:r>
              <w:rPr>
                <w:rFonts w:hint="eastAsia" w:ascii="宋体" w:hAnsi="宋体" w:cs="宋体"/>
                <w:b/>
                <w:bCs/>
                <w:kern w:val="0"/>
                <w:szCs w:val="21"/>
              </w:rPr>
              <w:t>评审内容</w:t>
            </w:r>
          </w:p>
        </w:tc>
        <w:tc>
          <w:tcPr>
            <w:tcW w:w="6636" w:type="dxa"/>
            <w:vAlign w:val="center"/>
          </w:tcPr>
          <w:p>
            <w:pPr>
              <w:widowControl/>
              <w:spacing w:line="288" w:lineRule="auto"/>
              <w:jc w:val="center"/>
              <w:rPr>
                <w:rFonts w:ascii="宋体" w:hAnsi="宋体" w:cs="宋体"/>
                <w:b/>
                <w:szCs w:val="21"/>
              </w:rPr>
            </w:pPr>
            <w:r>
              <w:rPr>
                <w:rFonts w:hint="eastAsia" w:ascii="宋体" w:hAnsi="宋体" w:cs="宋体"/>
                <w:b/>
                <w:bCs/>
                <w:kern w:val="0"/>
                <w:szCs w:val="21"/>
              </w:rPr>
              <w:t>评分标准</w:t>
            </w:r>
          </w:p>
        </w:tc>
        <w:tc>
          <w:tcPr>
            <w:tcW w:w="972" w:type="dxa"/>
            <w:vAlign w:val="center"/>
          </w:tcPr>
          <w:p>
            <w:pPr>
              <w:widowControl/>
              <w:spacing w:line="288" w:lineRule="auto"/>
              <w:jc w:val="center"/>
              <w:rPr>
                <w:rFonts w:ascii="宋体" w:hAnsi="宋体" w:cs="宋体"/>
                <w:b/>
                <w:szCs w:val="21"/>
              </w:rPr>
            </w:pPr>
            <w:r>
              <w:rPr>
                <w:rFonts w:hint="eastAsia" w:ascii="宋体" w:hAnsi="宋体" w:cs="宋体"/>
                <w:b/>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94" w:type="dxa"/>
            <w:vMerge w:val="restart"/>
            <w:vAlign w:val="center"/>
          </w:tcPr>
          <w:p>
            <w:pPr>
              <w:widowControl/>
              <w:spacing w:line="288" w:lineRule="auto"/>
              <w:jc w:val="center"/>
              <w:rPr>
                <w:rFonts w:ascii="宋体" w:hAnsi="宋体" w:cs="宋体"/>
                <w:b/>
                <w:szCs w:val="21"/>
              </w:rPr>
            </w:pPr>
            <w:r>
              <w:rPr>
                <w:rFonts w:hint="eastAsia" w:ascii="宋体" w:hAnsi="宋体" w:cs="宋体"/>
                <w:b/>
                <w:bCs/>
                <w:kern w:val="0"/>
                <w:szCs w:val="21"/>
              </w:rPr>
              <w:t>企业实力</w:t>
            </w:r>
          </w:p>
        </w:tc>
        <w:tc>
          <w:tcPr>
            <w:tcW w:w="1364" w:type="dxa"/>
            <w:vAlign w:val="center"/>
          </w:tcPr>
          <w:p>
            <w:pPr>
              <w:widowControl/>
              <w:spacing w:line="288" w:lineRule="auto"/>
              <w:jc w:val="center"/>
              <w:rPr>
                <w:rFonts w:ascii="宋体" w:hAnsi="宋体" w:cs="宋体"/>
                <w:b/>
                <w:szCs w:val="21"/>
              </w:rPr>
            </w:pPr>
            <w:r>
              <w:rPr>
                <w:rFonts w:hint="eastAsia" w:ascii="宋体" w:hAnsi="宋体" w:cs="宋体"/>
                <w:b/>
                <w:bCs/>
                <w:kern w:val="0"/>
                <w:szCs w:val="21"/>
              </w:rPr>
              <w:t>认证证书</w:t>
            </w:r>
          </w:p>
        </w:tc>
        <w:tc>
          <w:tcPr>
            <w:tcW w:w="6636" w:type="dxa"/>
            <w:vAlign w:val="center"/>
          </w:tcPr>
          <w:p>
            <w:pPr>
              <w:spacing w:line="288" w:lineRule="auto"/>
              <w:rPr>
                <w:rFonts w:ascii="宋体" w:hAnsi="宋体" w:cs="宋体"/>
                <w:bCs/>
                <w:szCs w:val="21"/>
                <w:lang w:val="zh-CN"/>
              </w:rPr>
            </w:pPr>
            <w:r>
              <w:rPr>
                <w:rFonts w:hint="eastAsia" w:ascii="宋体" w:hAnsi="宋体" w:cs="宋体"/>
                <w:bCs/>
                <w:szCs w:val="21"/>
                <w:lang w:val="zh-CN"/>
              </w:rPr>
              <w:t>投标人具有有效期内的质量管理体系认证证书、信息安全管理体系认证证书、环境管理体系认证证书、职业健康安全管理体系认证证书的，每提供一个认证证书得</w:t>
            </w:r>
            <w:r>
              <w:rPr>
                <w:rFonts w:hint="eastAsia" w:ascii="宋体" w:hAnsi="宋体" w:cs="宋体"/>
                <w:bCs/>
                <w:szCs w:val="21"/>
              </w:rPr>
              <w:t>1</w:t>
            </w:r>
            <w:r>
              <w:rPr>
                <w:rFonts w:hint="eastAsia" w:ascii="宋体" w:hAnsi="宋体" w:cs="宋体"/>
                <w:bCs/>
                <w:szCs w:val="21"/>
                <w:lang w:val="zh-CN"/>
              </w:rPr>
              <w:t>分，最高得</w:t>
            </w:r>
            <w:r>
              <w:rPr>
                <w:rFonts w:hint="eastAsia" w:ascii="宋体" w:hAnsi="宋体" w:cs="宋体"/>
                <w:bCs/>
                <w:szCs w:val="21"/>
                <w:lang w:val="en-US" w:eastAsia="zh-CN"/>
              </w:rPr>
              <w:t>4</w:t>
            </w:r>
            <w:r>
              <w:rPr>
                <w:rFonts w:hint="eastAsia" w:ascii="宋体" w:hAnsi="宋体" w:cs="宋体"/>
                <w:bCs/>
                <w:szCs w:val="21"/>
                <w:lang w:val="zh-CN"/>
              </w:rPr>
              <w:t>分；</w:t>
            </w:r>
          </w:p>
          <w:p>
            <w:pPr>
              <w:widowControl/>
              <w:spacing w:line="288" w:lineRule="auto"/>
              <w:jc w:val="left"/>
              <w:rPr>
                <w:rFonts w:ascii="宋体" w:hAnsi="宋体" w:cs="宋体"/>
                <w:szCs w:val="21"/>
              </w:rPr>
            </w:pPr>
            <w:r>
              <w:rPr>
                <w:rFonts w:hint="eastAsia" w:ascii="宋体" w:hAnsi="宋体" w:cs="宋体"/>
                <w:bCs/>
                <w:szCs w:val="21"/>
                <w:lang w:val="zh-CN"/>
              </w:rPr>
              <w:t>（</w:t>
            </w:r>
            <w:r>
              <w:rPr>
                <w:rFonts w:hint="eastAsia" w:ascii="宋体" w:hAnsi="宋体" w:cs="宋体"/>
                <w:bCs/>
                <w:szCs w:val="21"/>
              </w:rPr>
              <w:t>须</w:t>
            </w:r>
            <w:r>
              <w:rPr>
                <w:rFonts w:hint="eastAsia" w:ascii="宋体" w:hAnsi="宋体" w:cs="宋体"/>
                <w:bCs/>
                <w:szCs w:val="21"/>
                <w:lang w:val="zh-CN"/>
              </w:rPr>
              <w:t>提供认证证书复印件</w:t>
            </w:r>
            <w:r>
              <w:rPr>
                <w:rFonts w:hint="eastAsia" w:ascii="宋体" w:hAnsi="宋体" w:cs="宋体"/>
                <w:bCs/>
                <w:szCs w:val="21"/>
              </w:rPr>
              <w:t>并加盖公章）</w:t>
            </w:r>
          </w:p>
        </w:tc>
        <w:tc>
          <w:tcPr>
            <w:tcW w:w="972" w:type="dxa"/>
            <w:vAlign w:val="center"/>
          </w:tcPr>
          <w:p>
            <w:pPr>
              <w:widowControl/>
              <w:spacing w:line="288" w:lineRule="auto"/>
              <w:jc w:val="center"/>
              <w:rPr>
                <w:rFonts w:ascii="宋体" w:hAnsi="宋体" w:cs="宋体"/>
                <w:b/>
                <w:szCs w:val="21"/>
              </w:rPr>
            </w:pPr>
            <w:r>
              <w:rPr>
                <w:rFonts w:hint="eastAsia" w:ascii="宋体" w:hAnsi="宋体" w:cs="宋体"/>
                <w:kern w:val="0"/>
                <w:szCs w:val="21"/>
                <w:lang w:val="en-US" w:eastAsia="zh-CN"/>
              </w:rPr>
              <w:t>4</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94" w:type="dxa"/>
            <w:vMerge w:val="continue"/>
            <w:vAlign w:val="center"/>
          </w:tcPr>
          <w:p>
            <w:pPr>
              <w:widowControl/>
              <w:spacing w:line="288" w:lineRule="auto"/>
              <w:jc w:val="left"/>
              <w:rPr>
                <w:rFonts w:ascii="宋体" w:hAnsi="宋体" w:cs="宋体"/>
                <w:b/>
                <w:szCs w:val="21"/>
              </w:rPr>
            </w:pPr>
          </w:p>
        </w:tc>
        <w:tc>
          <w:tcPr>
            <w:tcW w:w="1364" w:type="dxa"/>
            <w:vAlign w:val="center"/>
          </w:tcPr>
          <w:p>
            <w:pPr>
              <w:widowControl/>
              <w:spacing w:line="288" w:lineRule="auto"/>
              <w:jc w:val="center"/>
              <w:rPr>
                <w:rFonts w:ascii="宋体" w:hAnsi="宋体" w:cs="宋体"/>
                <w:b/>
                <w:szCs w:val="21"/>
              </w:rPr>
            </w:pPr>
            <w:r>
              <w:rPr>
                <w:rFonts w:hint="eastAsia" w:ascii="宋体" w:hAnsi="宋体" w:cs="宋体"/>
                <w:b/>
                <w:bCs/>
                <w:kern w:val="0"/>
                <w:szCs w:val="21"/>
              </w:rPr>
              <w:t>项目业绩</w:t>
            </w:r>
          </w:p>
        </w:tc>
        <w:tc>
          <w:tcPr>
            <w:tcW w:w="6636" w:type="dxa"/>
            <w:vAlign w:val="center"/>
          </w:tcPr>
          <w:p>
            <w:pPr>
              <w:pStyle w:val="23"/>
              <w:ind w:left="0" w:leftChars="0"/>
              <w:rPr>
                <w:rFonts w:hint="eastAsia" w:ascii="Times New Roman" w:hAnsi="Times New Roman" w:eastAsia="宋体" w:cs="Times New Roman"/>
                <w:kern w:val="2"/>
                <w:sz w:val="21"/>
                <w:szCs w:val="24"/>
                <w:lang w:val="zh-CN" w:eastAsia="zh-CN" w:bidi="ar-SA"/>
              </w:rPr>
            </w:pPr>
            <w:r>
              <w:rPr>
                <w:rFonts w:hint="eastAsia" w:ascii="Times New Roman" w:hAnsi="Times New Roman" w:eastAsia="宋体" w:cs="Times New Roman"/>
                <w:kern w:val="2"/>
                <w:sz w:val="21"/>
                <w:szCs w:val="24"/>
                <w:lang w:val="en-US" w:eastAsia="zh-CN" w:bidi="ar-SA"/>
              </w:rPr>
              <w:t>自</w:t>
            </w:r>
            <w:r>
              <w:rPr>
                <w:rFonts w:hint="eastAsia" w:ascii="Times New Roman" w:hAnsi="Times New Roman" w:eastAsia="宋体" w:cs="Times New Roman"/>
                <w:kern w:val="2"/>
                <w:sz w:val="21"/>
                <w:szCs w:val="24"/>
                <w:lang w:val="zh-CN" w:eastAsia="zh-CN" w:bidi="ar-SA"/>
              </w:rPr>
              <w:t>2021年1月以来（以合同签订时间为准）投标单位承建类似项目案例，每个得</w:t>
            </w:r>
            <w:r>
              <w:rPr>
                <w:rFonts w:hint="eastAsia" w:cs="Times New Roman"/>
                <w:kern w:val="2"/>
                <w:sz w:val="21"/>
                <w:szCs w:val="24"/>
                <w:lang w:val="en-US" w:eastAsia="zh-CN" w:bidi="ar-SA"/>
              </w:rPr>
              <w:t>0.5</w:t>
            </w:r>
            <w:r>
              <w:rPr>
                <w:rFonts w:hint="eastAsia" w:ascii="Times New Roman" w:hAnsi="Times New Roman" w:eastAsia="宋体" w:cs="Times New Roman"/>
                <w:kern w:val="2"/>
                <w:sz w:val="21"/>
                <w:szCs w:val="24"/>
                <w:lang w:val="zh-CN" w:eastAsia="zh-CN" w:bidi="ar-SA"/>
              </w:rPr>
              <w:t>分，最高得</w:t>
            </w:r>
            <w:r>
              <w:rPr>
                <w:rFonts w:hint="eastAsia" w:cs="Times New Roman"/>
                <w:kern w:val="2"/>
                <w:sz w:val="21"/>
                <w:szCs w:val="24"/>
                <w:lang w:val="en-US" w:eastAsia="zh-CN" w:bidi="ar-SA"/>
              </w:rPr>
              <w:t>1.5</w:t>
            </w:r>
            <w:r>
              <w:rPr>
                <w:rFonts w:hint="eastAsia" w:ascii="Times New Roman" w:hAnsi="Times New Roman" w:eastAsia="宋体" w:cs="Times New Roman"/>
                <w:kern w:val="2"/>
                <w:sz w:val="21"/>
                <w:szCs w:val="24"/>
                <w:lang w:val="zh-CN" w:eastAsia="zh-CN" w:bidi="ar-SA"/>
              </w:rPr>
              <w:t>分。（须提供合同复印件加盖公章，未提供不得分）</w:t>
            </w:r>
          </w:p>
        </w:tc>
        <w:tc>
          <w:tcPr>
            <w:tcW w:w="972" w:type="dxa"/>
            <w:vAlign w:val="center"/>
          </w:tcPr>
          <w:p>
            <w:pPr>
              <w:widowControl/>
              <w:spacing w:line="288" w:lineRule="auto"/>
              <w:jc w:val="center"/>
              <w:rPr>
                <w:rFonts w:ascii="宋体" w:hAnsi="宋体" w:cs="宋体"/>
                <w:b/>
                <w:szCs w:val="21"/>
              </w:rPr>
            </w:pPr>
            <w:r>
              <w:rPr>
                <w:rFonts w:hint="eastAsia" w:ascii="宋体" w:hAnsi="宋体" w:cs="宋体"/>
                <w:kern w:val="0"/>
                <w:szCs w:val="21"/>
                <w:lang w:val="en-US" w:eastAsia="zh-CN"/>
              </w:rPr>
              <w:t>1.5</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694" w:type="dxa"/>
            <w:vMerge w:val="restart"/>
            <w:vAlign w:val="center"/>
          </w:tcPr>
          <w:p>
            <w:pPr>
              <w:widowControl/>
              <w:spacing w:line="288" w:lineRule="auto"/>
              <w:jc w:val="left"/>
              <w:rPr>
                <w:rFonts w:ascii="宋体" w:hAnsi="宋体" w:cs="宋体"/>
                <w:b/>
                <w:szCs w:val="21"/>
              </w:rPr>
            </w:pPr>
            <w:r>
              <w:rPr>
                <w:rFonts w:hint="eastAsia" w:ascii="宋体" w:hAnsi="宋体" w:cs="宋体"/>
                <w:b/>
                <w:szCs w:val="21"/>
              </w:rPr>
              <w:t>人员组成</w:t>
            </w:r>
          </w:p>
        </w:tc>
        <w:tc>
          <w:tcPr>
            <w:tcW w:w="1364" w:type="dxa"/>
            <w:vAlign w:val="center"/>
          </w:tcPr>
          <w:p>
            <w:pPr>
              <w:widowControl/>
              <w:spacing w:line="288" w:lineRule="auto"/>
              <w:jc w:val="center"/>
              <w:rPr>
                <w:rFonts w:hint="eastAsia" w:ascii="宋体" w:hAnsi="宋体" w:cs="宋体"/>
                <w:b/>
                <w:bCs/>
                <w:kern w:val="0"/>
                <w:szCs w:val="21"/>
              </w:rPr>
            </w:pPr>
            <w:r>
              <w:rPr>
                <w:rFonts w:hint="eastAsia" w:ascii="宋体" w:hAnsi="宋体" w:cs="宋体"/>
                <w:b/>
                <w:bCs/>
                <w:kern w:val="0"/>
                <w:szCs w:val="21"/>
              </w:rPr>
              <w:t>项目负责人</w:t>
            </w:r>
          </w:p>
        </w:tc>
        <w:tc>
          <w:tcPr>
            <w:tcW w:w="6636" w:type="dxa"/>
            <w:vAlign w:val="center"/>
          </w:tcPr>
          <w:p>
            <w:pPr>
              <w:widowControl/>
              <w:spacing w:line="288" w:lineRule="auto"/>
              <w:jc w:val="left"/>
              <w:rPr>
                <w:rFonts w:hint="eastAsia" w:ascii="Times New Roman" w:hAnsi="Times New Roman" w:eastAsia="宋体" w:cs="Times New Roman"/>
                <w:kern w:val="2"/>
                <w:sz w:val="21"/>
                <w:szCs w:val="24"/>
                <w:lang w:val="zh-CN" w:eastAsia="zh-CN" w:bidi="ar-SA"/>
              </w:rPr>
            </w:pPr>
            <w:r>
              <w:rPr>
                <w:rFonts w:hint="eastAsia" w:ascii="Times New Roman" w:hAnsi="Times New Roman" w:eastAsia="宋体" w:cs="Times New Roman"/>
                <w:kern w:val="2"/>
                <w:sz w:val="21"/>
                <w:szCs w:val="24"/>
                <w:lang w:val="zh-CN" w:eastAsia="zh-CN" w:bidi="ar-SA"/>
              </w:rPr>
              <w:t>项目负责人具备信息系统项目管理师、信息安全工程师</w:t>
            </w:r>
            <w:r>
              <w:rPr>
                <w:rFonts w:hint="eastAsia" w:ascii="Times New Roman" w:hAnsi="Times New Roman" w:eastAsia="宋体" w:cs="Times New Roman"/>
                <w:kern w:val="2"/>
                <w:sz w:val="21"/>
                <w:szCs w:val="24"/>
                <w:lang w:val="en-US" w:eastAsia="zh-CN" w:bidi="ar-SA"/>
              </w:rPr>
              <w:t>每个得1分，最高得</w:t>
            </w:r>
            <w:r>
              <w:rPr>
                <w:rFonts w:hint="eastAsia" w:cs="Times New Roman"/>
                <w:kern w:val="2"/>
                <w:sz w:val="21"/>
                <w:szCs w:val="24"/>
                <w:lang w:val="en-US" w:eastAsia="zh-CN" w:bidi="ar-SA"/>
              </w:rPr>
              <w:t>2</w:t>
            </w:r>
            <w:r>
              <w:rPr>
                <w:rFonts w:hint="eastAsia" w:ascii="Times New Roman" w:hAnsi="Times New Roman" w:eastAsia="宋体" w:cs="Times New Roman"/>
                <w:kern w:val="2"/>
                <w:sz w:val="21"/>
                <w:szCs w:val="24"/>
                <w:lang w:val="en-US" w:eastAsia="zh-CN" w:bidi="ar-SA"/>
              </w:rPr>
              <w:t>分。</w:t>
            </w:r>
            <w:r>
              <w:rPr>
                <w:rFonts w:hint="eastAsia" w:ascii="Times New Roman" w:hAnsi="Times New Roman" w:eastAsia="宋体" w:cs="Times New Roman"/>
                <w:kern w:val="2"/>
                <w:sz w:val="21"/>
                <w:szCs w:val="24"/>
                <w:lang w:val="zh-CN" w:eastAsia="zh-CN" w:bidi="ar-SA"/>
              </w:rPr>
              <w:t>（须提供相应的资质证书复印件和投标截止日近</w:t>
            </w:r>
            <w:r>
              <w:rPr>
                <w:rFonts w:hint="eastAsia" w:ascii="Times New Roman" w:hAnsi="Times New Roman" w:eastAsia="宋体" w:cs="Times New Roman"/>
                <w:kern w:val="2"/>
                <w:sz w:val="21"/>
                <w:szCs w:val="24"/>
                <w:lang w:val="en-US" w:eastAsia="zh-CN" w:bidi="ar-SA"/>
              </w:rPr>
              <w:t>三个月</w:t>
            </w:r>
            <w:r>
              <w:rPr>
                <w:rFonts w:hint="eastAsia" w:ascii="Times New Roman" w:hAnsi="Times New Roman" w:eastAsia="宋体" w:cs="Times New Roman"/>
                <w:kern w:val="2"/>
                <w:sz w:val="21"/>
                <w:szCs w:val="24"/>
                <w:lang w:val="zh-CN" w:eastAsia="zh-CN" w:bidi="ar-SA"/>
              </w:rPr>
              <w:t>的社会保险缴纳证明复印件并加盖投标人公章，社保缴纳单位必须与投标人单位名称一致，未提供、提供不全或未按要求提供的不得分）</w:t>
            </w:r>
          </w:p>
        </w:tc>
        <w:tc>
          <w:tcPr>
            <w:tcW w:w="972" w:type="dxa"/>
            <w:vAlign w:val="center"/>
          </w:tcPr>
          <w:p>
            <w:pPr>
              <w:widowControl/>
              <w:spacing w:line="288" w:lineRule="auto"/>
              <w:jc w:val="center"/>
              <w:rPr>
                <w:rFonts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694" w:type="dxa"/>
            <w:vMerge w:val="continue"/>
            <w:vAlign w:val="center"/>
          </w:tcPr>
          <w:p>
            <w:pPr>
              <w:widowControl/>
              <w:spacing w:line="288" w:lineRule="auto"/>
              <w:jc w:val="left"/>
              <w:rPr>
                <w:rFonts w:ascii="宋体" w:hAnsi="宋体" w:cs="宋体"/>
                <w:b/>
                <w:szCs w:val="21"/>
              </w:rPr>
            </w:pPr>
          </w:p>
        </w:tc>
        <w:tc>
          <w:tcPr>
            <w:tcW w:w="1364" w:type="dxa"/>
            <w:vAlign w:val="center"/>
          </w:tcPr>
          <w:p>
            <w:pPr>
              <w:widowControl/>
              <w:spacing w:line="288" w:lineRule="auto"/>
              <w:jc w:val="center"/>
              <w:rPr>
                <w:rFonts w:hint="eastAsia" w:ascii="宋体" w:hAnsi="宋体" w:cs="宋体"/>
                <w:b/>
                <w:bCs/>
                <w:kern w:val="0"/>
                <w:szCs w:val="21"/>
                <w:lang w:val="zh-CN" w:eastAsia="zh-CN"/>
              </w:rPr>
            </w:pPr>
            <w:r>
              <w:rPr>
                <w:rFonts w:hint="eastAsia" w:ascii="宋体" w:hAnsi="宋体" w:cs="宋体"/>
                <w:b/>
                <w:bCs/>
                <w:kern w:val="0"/>
                <w:szCs w:val="21"/>
                <w:lang w:val="zh-CN" w:eastAsia="zh-CN"/>
              </w:rPr>
              <w:t>技术负责人</w:t>
            </w:r>
          </w:p>
        </w:tc>
        <w:tc>
          <w:tcPr>
            <w:tcW w:w="6636" w:type="dxa"/>
            <w:vAlign w:val="center"/>
          </w:tcPr>
          <w:p>
            <w:pPr>
              <w:widowControl/>
              <w:spacing w:line="288" w:lineRule="auto"/>
              <w:jc w:val="left"/>
              <w:rPr>
                <w:rFonts w:hint="eastAsia" w:ascii="Times New Roman" w:hAnsi="Times New Roman" w:eastAsia="宋体" w:cs="Times New Roman"/>
                <w:kern w:val="2"/>
                <w:sz w:val="21"/>
                <w:szCs w:val="24"/>
                <w:lang w:val="zh-CN" w:eastAsia="zh-CN" w:bidi="ar-SA"/>
              </w:rPr>
            </w:pPr>
            <w:r>
              <w:rPr>
                <w:rFonts w:hint="eastAsia" w:ascii="Times New Roman" w:hAnsi="Times New Roman" w:eastAsia="宋体" w:cs="Times New Roman"/>
                <w:kern w:val="2"/>
                <w:sz w:val="21"/>
                <w:szCs w:val="24"/>
                <w:lang w:val="zh-CN" w:eastAsia="zh-CN" w:bidi="ar-SA"/>
              </w:rPr>
              <w:t>技术负责人具有二级或以上建造师（机电）、系统集成项目管理工程师，</w:t>
            </w:r>
            <w:r>
              <w:rPr>
                <w:rFonts w:hint="eastAsia" w:ascii="Times New Roman" w:hAnsi="Times New Roman" w:eastAsia="宋体" w:cs="Times New Roman"/>
                <w:kern w:val="2"/>
                <w:sz w:val="21"/>
                <w:szCs w:val="24"/>
                <w:lang w:val="en-US" w:eastAsia="zh-CN" w:bidi="ar-SA"/>
              </w:rPr>
              <w:t>每个得1分，最高得2分。</w:t>
            </w:r>
            <w:r>
              <w:rPr>
                <w:rFonts w:hint="eastAsia" w:ascii="Times New Roman" w:hAnsi="Times New Roman" w:eastAsia="宋体" w:cs="Times New Roman"/>
                <w:kern w:val="2"/>
                <w:sz w:val="21"/>
                <w:szCs w:val="24"/>
                <w:lang w:val="zh-CN" w:eastAsia="zh-CN" w:bidi="ar-SA"/>
              </w:rPr>
              <w:t>（须提供相应的资质证书复印件和投标截止日近</w:t>
            </w:r>
            <w:r>
              <w:rPr>
                <w:rFonts w:hint="eastAsia" w:ascii="Times New Roman" w:hAnsi="Times New Roman" w:eastAsia="宋体" w:cs="Times New Roman"/>
                <w:kern w:val="2"/>
                <w:sz w:val="21"/>
                <w:szCs w:val="24"/>
                <w:lang w:val="en-US" w:eastAsia="zh-CN" w:bidi="ar-SA"/>
              </w:rPr>
              <w:t>三个月</w:t>
            </w:r>
            <w:r>
              <w:rPr>
                <w:rFonts w:hint="eastAsia" w:ascii="Times New Roman" w:hAnsi="Times New Roman" w:eastAsia="宋体" w:cs="Times New Roman"/>
                <w:kern w:val="2"/>
                <w:sz w:val="21"/>
                <w:szCs w:val="24"/>
                <w:lang w:val="zh-CN" w:eastAsia="zh-CN" w:bidi="ar-SA"/>
              </w:rPr>
              <w:t>的社会保险缴纳证明复印件并加盖投标人公章，社保缴纳单位必须与投标人单位名称一致，未提供、提供不全或未按要求提供的不得分）。</w:t>
            </w:r>
          </w:p>
        </w:tc>
        <w:tc>
          <w:tcPr>
            <w:tcW w:w="972" w:type="dxa"/>
            <w:vAlign w:val="center"/>
          </w:tcPr>
          <w:p>
            <w:pPr>
              <w:widowControl/>
              <w:spacing w:line="288" w:lineRule="auto"/>
              <w:jc w:val="center"/>
              <w:rPr>
                <w:rFonts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94" w:type="dxa"/>
            <w:vMerge w:val="continue"/>
            <w:vAlign w:val="center"/>
          </w:tcPr>
          <w:p>
            <w:pPr>
              <w:widowControl/>
              <w:spacing w:line="288" w:lineRule="auto"/>
              <w:jc w:val="left"/>
              <w:rPr>
                <w:rFonts w:ascii="宋体" w:hAnsi="宋体" w:cs="宋体"/>
                <w:b/>
                <w:szCs w:val="21"/>
              </w:rPr>
            </w:pPr>
          </w:p>
        </w:tc>
        <w:tc>
          <w:tcPr>
            <w:tcW w:w="1364" w:type="dxa"/>
            <w:vAlign w:val="center"/>
          </w:tcPr>
          <w:p>
            <w:pPr>
              <w:widowControl/>
              <w:spacing w:line="288" w:lineRule="auto"/>
              <w:jc w:val="center"/>
              <w:rPr>
                <w:rFonts w:ascii="宋体" w:hAnsi="宋体" w:cs="宋体"/>
                <w:b/>
                <w:bCs/>
                <w:kern w:val="0"/>
                <w:szCs w:val="21"/>
              </w:rPr>
            </w:pPr>
            <w:r>
              <w:rPr>
                <w:rFonts w:hint="eastAsia" w:ascii="宋体" w:hAnsi="宋体" w:cs="宋体"/>
                <w:b/>
                <w:bCs/>
                <w:kern w:val="0"/>
                <w:szCs w:val="21"/>
              </w:rPr>
              <w:t>项目组实施人员</w:t>
            </w:r>
          </w:p>
        </w:tc>
        <w:tc>
          <w:tcPr>
            <w:tcW w:w="6636" w:type="dxa"/>
            <w:vAlign w:val="center"/>
          </w:tcPr>
          <w:p>
            <w:pPr>
              <w:widowControl/>
              <w:spacing w:line="288" w:lineRule="auto"/>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①</w:t>
            </w:r>
            <w:r>
              <w:rPr>
                <w:rFonts w:hint="eastAsia" w:ascii="Times New Roman" w:hAnsi="Times New Roman" w:eastAsia="宋体" w:cs="Times New Roman"/>
                <w:kern w:val="2"/>
                <w:sz w:val="21"/>
                <w:szCs w:val="24"/>
                <w:lang w:val="zh-CN" w:eastAsia="zh-CN" w:bidi="ar-SA"/>
              </w:rPr>
              <w:t>项目实施团队中有H3C SE、HCIP、CCNP或其它厂商相应等级证书的，</w:t>
            </w:r>
            <w:r>
              <w:rPr>
                <w:rFonts w:hint="eastAsia" w:ascii="Times New Roman" w:hAnsi="Times New Roman" w:eastAsia="宋体" w:cs="Times New Roman"/>
                <w:kern w:val="2"/>
                <w:sz w:val="21"/>
                <w:szCs w:val="24"/>
                <w:lang w:val="en-US" w:eastAsia="zh-CN" w:bidi="ar-SA"/>
              </w:rPr>
              <w:t>得1分；项目实施团队中有H3C IE、HCIE、CCIE或其它厂商相应等级证书的，得2分；</w:t>
            </w:r>
            <w:r>
              <w:rPr>
                <w:rFonts w:hint="eastAsia" w:cs="Times New Roman"/>
                <w:kern w:val="2"/>
                <w:sz w:val="21"/>
                <w:szCs w:val="24"/>
                <w:lang w:val="en-US" w:eastAsia="zh-CN" w:bidi="ar-SA"/>
              </w:rPr>
              <w:t>（不同时得分）</w:t>
            </w:r>
          </w:p>
          <w:p>
            <w:pPr>
              <w:widowControl/>
              <w:spacing w:line="288" w:lineRule="auto"/>
              <w:jc w:val="left"/>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②</w:t>
            </w:r>
            <w:r>
              <w:rPr>
                <w:rFonts w:hint="eastAsia" w:ascii="Times New Roman" w:hAnsi="Times New Roman" w:eastAsia="宋体" w:cs="Times New Roman"/>
                <w:kern w:val="2"/>
                <w:sz w:val="21"/>
                <w:szCs w:val="24"/>
                <w:lang w:val="en-US" w:eastAsia="zh-CN" w:bidi="ar-SA"/>
              </w:rPr>
              <w:t>项目实施团队中有ITSS的，得1分；</w:t>
            </w:r>
          </w:p>
          <w:p>
            <w:pPr>
              <w:widowControl/>
              <w:spacing w:line="288" w:lineRule="auto"/>
              <w:jc w:val="left"/>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③</w:t>
            </w:r>
            <w:r>
              <w:rPr>
                <w:rFonts w:hint="eastAsia" w:ascii="Times New Roman" w:hAnsi="Times New Roman" w:eastAsia="宋体" w:cs="Times New Roman"/>
                <w:kern w:val="2"/>
                <w:sz w:val="21"/>
                <w:szCs w:val="24"/>
                <w:lang w:val="en-US" w:eastAsia="zh-CN" w:bidi="ar-SA"/>
              </w:rPr>
              <w:t>项目实施团队中有售后服务管理师的，得1分。</w:t>
            </w:r>
          </w:p>
          <w:p>
            <w:pPr>
              <w:widowControl/>
              <w:spacing w:line="288" w:lineRule="auto"/>
              <w:jc w:val="left"/>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注：本项最高4分。</w:t>
            </w:r>
          </w:p>
          <w:p>
            <w:pPr>
              <w:widowControl/>
              <w:spacing w:line="288" w:lineRule="auto"/>
              <w:jc w:val="left"/>
            </w:pPr>
            <w:r>
              <w:rPr>
                <w:rFonts w:hint="eastAsia" w:ascii="Times New Roman" w:hAnsi="Times New Roman" w:eastAsia="宋体" w:cs="Times New Roman"/>
                <w:kern w:val="2"/>
                <w:sz w:val="21"/>
                <w:szCs w:val="24"/>
                <w:lang w:val="zh-CN" w:eastAsia="zh-CN" w:bidi="ar-SA"/>
              </w:rPr>
              <w:t>（须提供相应的资质证书复印件和投标截止日近</w:t>
            </w:r>
            <w:r>
              <w:rPr>
                <w:rFonts w:hint="eastAsia" w:ascii="Times New Roman" w:hAnsi="Times New Roman" w:eastAsia="宋体" w:cs="Times New Roman"/>
                <w:kern w:val="2"/>
                <w:sz w:val="21"/>
                <w:szCs w:val="24"/>
                <w:lang w:val="en-US" w:eastAsia="zh-CN" w:bidi="ar-SA"/>
              </w:rPr>
              <w:t>三个月</w:t>
            </w:r>
            <w:r>
              <w:rPr>
                <w:rFonts w:hint="eastAsia" w:ascii="Times New Roman" w:hAnsi="Times New Roman" w:eastAsia="宋体" w:cs="Times New Roman"/>
                <w:kern w:val="2"/>
                <w:sz w:val="21"/>
                <w:szCs w:val="24"/>
                <w:lang w:val="zh-CN" w:eastAsia="zh-CN" w:bidi="ar-SA"/>
              </w:rPr>
              <w:t>的社会保险缴纳证明复印件并加盖投标人公章，社保缴纳单位必须与投标人单位名称一致，未提供、提供不全或未按要求提供的不得分）。</w:t>
            </w:r>
          </w:p>
        </w:tc>
        <w:tc>
          <w:tcPr>
            <w:tcW w:w="972" w:type="dxa"/>
            <w:vAlign w:val="center"/>
          </w:tcPr>
          <w:p>
            <w:pPr>
              <w:widowControl/>
              <w:spacing w:line="288" w:lineRule="auto"/>
              <w:jc w:val="center"/>
              <w:rPr>
                <w:rFonts w:ascii="宋体" w:hAnsi="宋体" w:cs="宋体"/>
                <w:kern w:val="0"/>
                <w:szCs w:val="21"/>
              </w:rPr>
            </w:pPr>
            <w:r>
              <w:rPr>
                <w:rFonts w:hint="eastAsia" w:ascii="宋体" w:hAnsi="宋体" w:cs="宋体"/>
                <w:kern w:val="0"/>
                <w:szCs w:val="21"/>
                <w:lang w:val="en-US" w:eastAsia="zh-CN"/>
              </w:rPr>
              <w:t>4</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694" w:type="dxa"/>
            <w:vAlign w:val="center"/>
          </w:tcPr>
          <w:p>
            <w:pPr>
              <w:widowControl/>
              <w:spacing w:line="288" w:lineRule="auto"/>
              <w:jc w:val="center"/>
              <w:rPr>
                <w:rFonts w:hint="default" w:ascii="宋体" w:hAnsi="宋体" w:eastAsia="宋体" w:cs="宋体"/>
                <w:b/>
                <w:bCs/>
                <w:kern w:val="0"/>
                <w:szCs w:val="21"/>
                <w:lang w:val="en-US" w:eastAsia="zh-CN"/>
              </w:rPr>
            </w:pPr>
            <w:r>
              <w:rPr>
                <w:rFonts w:hint="eastAsia" w:ascii="宋体" w:hAnsi="宋体" w:cs="宋体"/>
                <w:b/>
                <w:bCs/>
                <w:kern w:val="0"/>
                <w:szCs w:val="21"/>
                <w:lang w:val="en-US" w:eastAsia="zh-CN"/>
              </w:rPr>
              <w:t>厂商实力</w:t>
            </w:r>
          </w:p>
        </w:tc>
        <w:tc>
          <w:tcPr>
            <w:tcW w:w="1364" w:type="dxa"/>
            <w:vAlign w:val="center"/>
          </w:tcPr>
          <w:p>
            <w:pPr>
              <w:widowControl/>
              <w:spacing w:line="288" w:lineRule="auto"/>
              <w:jc w:val="center"/>
              <w:rPr>
                <w:rFonts w:hint="default" w:ascii="宋体" w:hAnsi="宋体" w:eastAsia="宋体" w:cs="宋体"/>
                <w:b/>
                <w:bCs/>
                <w:kern w:val="0"/>
                <w:szCs w:val="21"/>
                <w:lang w:val="en-US" w:eastAsia="zh-CN"/>
              </w:rPr>
            </w:pPr>
            <w:r>
              <w:rPr>
                <w:rFonts w:hint="eastAsia" w:ascii="宋体" w:hAnsi="宋体" w:cs="宋体"/>
                <w:b/>
                <w:bCs/>
                <w:kern w:val="0"/>
                <w:szCs w:val="21"/>
                <w:lang w:val="en-US" w:eastAsia="zh-CN"/>
              </w:rPr>
              <w:t>厂商实力</w:t>
            </w:r>
          </w:p>
        </w:tc>
        <w:tc>
          <w:tcPr>
            <w:tcW w:w="6636" w:type="dxa"/>
            <w:vAlign w:val="center"/>
          </w:tcPr>
          <w:p>
            <w:pPr>
              <w:widowControl/>
              <w:spacing w:line="288" w:lineRule="auto"/>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为保证产品制造厂商所提供的产品是经过严格测试，具备高可靠性保障能力。制造厂商需具备一定规模的可靠性实验室，可独立完成从元器件到整机，从信号质量、安全性、电磁兼容性、环境适应性等丰富的测试环境。</w:t>
            </w:r>
          </w:p>
          <w:p>
            <w:pPr>
              <w:widowControl/>
              <w:spacing w:line="288" w:lineRule="auto"/>
              <w:jc w:val="left"/>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①</w:t>
            </w:r>
            <w:r>
              <w:rPr>
                <w:rFonts w:hint="eastAsia" w:ascii="Times New Roman" w:hAnsi="Times New Roman" w:eastAsia="宋体" w:cs="Times New Roman"/>
                <w:kern w:val="2"/>
                <w:sz w:val="21"/>
                <w:szCs w:val="24"/>
                <w:lang w:val="en-US" w:eastAsia="zh-CN" w:bidi="ar-SA"/>
              </w:rPr>
              <w:t>实验室获得国家认监委认可</w:t>
            </w:r>
            <w:r>
              <w:rPr>
                <w:rFonts w:hint="eastAsia" w:cs="Times New Roman"/>
                <w:kern w:val="2"/>
                <w:sz w:val="21"/>
                <w:szCs w:val="24"/>
                <w:lang w:val="en-US" w:eastAsia="zh-CN" w:bidi="ar-SA"/>
              </w:rPr>
              <w:t>，得1分</w:t>
            </w:r>
            <w:r>
              <w:rPr>
                <w:rFonts w:hint="eastAsia" w:ascii="Times New Roman" w:hAnsi="Times New Roman" w:eastAsia="宋体" w:cs="Times New Roman"/>
                <w:kern w:val="2"/>
                <w:sz w:val="21"/>
                <w:szCs w:val="24"/>
                <w:lang w:val="en-US" w:eastAsia="zh-CN" w:bidi="ar-SA"/>
              </w:rPr>
              <w:t>，提供证书复印件和中国合格评定国家认可委员会官网截图并加盖设备厂商公章；</w:t>
            </w:r>
          </w:p>
          <w:p>
            <w:pPr>
              <w:widowControl/>
              <w:spacing w:line="288" w:lineRule="auto"/>
              <w:jc w:val="left"/>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②</w:t>
            </w:r>
            <w:r>
              <w:rPr>
                <w:rFonts w:hint="eastAsia" w:ascii="Times New Roman" w:hAnsi="Times New Roman" w:eastAsia="宋体" w:cs="Times New Roman"/>
                <w:kern w:val="2"/>
                <w:sz w:val="21"/>
                <w:szCs w:val="24"/>
                <w:lang w:val="en-US" w:eastAsia="zh-CN" w:bidi="ar-SA"/>
              </w:rPr>
              <w:t>实验室获得中国质量认证中心CCC现场检测实验室认证，</w:t>
            </w:r>
            <w:r>
              <w:rPr>
                <w:rFonts w:hint="eastAsia" w:cs="Times New Roman"/>
                <w:kern w:val="2"/>
                <w:sz w:val="21"/>
                <w:szCs w:val="24"/>
                <w:lang w:val="en-US" w:eastAsia="zh-CN" w:bidi="ar-SA"/>
              </w:rPr>
              <w:t>得1分</w:t>
            </w:r>
            <w:r>
              <w:rPr>
                <w:rFonts w:hint="eastAsia" w:ascii="Times New Roman" w:hAnsi="Times New Roman" w:eastAsia="宋体" w:cs="Times New Roman"/>
                <w:kern w:val="2"/>
                <w:sz w:val="21"/>
                <w:szCs w:val="24"/>
                <w:lang w:val="en-US" w:eastAsia="zh-CN" w:bidi="ar-SA"/>
              </w:rPr>
              <w:t>，提供证书复印件并加盖设备厂商公章</w:t>
            </w:r>
            <w:r>
              <w:rPr>
                <w:rFonts w:hint="eastAsia" w:cs="Times New Roman"/>
                <w:kern w:val="2"/>
                <w:sz w:val="21"/>
                <w:szCs w:val="24"/>
                <w:lang w:val="en-US" w:eastAsia="zh-CN" w:bidi="ar-SA"/>
              </w:rPr>
              <w:t>。</w:t>
            </w:r>
          </w:p>
        </w:tc>
        <w:tc>
          <w:tcPr>
            <w:tcW w:w="972" w:type="dxa"/>
            <w:vAlign w:val="center"/>
          </w:tcPr>
          <w:p>
            <w:pPr>
              <w:widowControl/>
              <w:spacing w:line="288" w:lineRule="auto"/>
              <w:jc w:val="center"/>
              <w:rPr>
                <w:rFonts w:hint="default"/>
                <w:lang w:val="en-US" w:eastAsia="zh-CN"/>
              </w:rPr>
            </w:pPr>
            <w:r>
              <w:rPr>
                <w:rFonts w:hint="eastAsia"/>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694" w:type="dxa"/>
            <w:vMerge w:val="restart"/>
            <w:vAlign w:val="center"/>
          </w:tcPr>
          <w:p>
            <w:pPr>
              <w:widowControl/>
              <w:spacing w:line="288" w:lineRule="auto"/>
              <w:jc w:val="center"/>
              <w:rPr>
                <w:rFonts w:ascii="宋体" w:hAnsi="宋体" w:cs="宋体"/>
                <w:b/>
                <w:szCs w:val="21"/>
              </w:rPr>
            </w:pPr>
            <w:r>
              <w:rPr>
                <w:rFonts w:hint="eastAsia" w:ascii="宋体" w:hAnsi="宋体" w:cs="宋体"/>
                <w:b/>
                <w:bCs/>
                <w:kern w:val="0"/>
                <w:szCs w:val="21"/>
              </w:rPr>
              <w:t>性能及技术指标要求</w:t>
            </w:r>
          </w:p>
        </w:tc>
        <w:tc>
          <w:tcPr>
            <w:tcW w:w="1364" w:type="dxa"/>
            <w:vAlign w:val="center"/>
          </w:tcPr>
          <w:p>
            <w:pPr>
              <w:widowControl/>
              <w:spacing w:line="288" w:lineRule="auto"/>
              <w:jc w:val="center"/>
              <w:rPr>
                <w:rFonts w:ascii="宋体" w:hAnsi="宋体" w:cs="宋体"/>
                <w:b/>
                <w:bCs/>
                <w:kern w:val="0"/>
                <w:szCs w:val="21"/>
              </w:rPr>
            </w:pPr>
            <w:r>
              <w:rPr>
                <w:rFonts w:hint="eastAsia" w:ascii="宋体" w:hAnsi="宋体" w:cs="宋体"/>
                <w:b/>
                <w:bCs/>
                <w:kern w:val="0"/>
                <w:szCs w:val="21"/>
              </w:rPr>
              <w:t>技术要求响应情况</w:t>
            </w:r>
          </w:p>
        </w:tc>
        <w:tc>
          <w:tcPr>
            <w:tcW w:w="6636" w:type="dxa"/>
            <w:vAlign w:val="center"/>
          </w:tcPr>
          <w:p>
            <w:pPr>
              <w:widowControl/>
              <w:spacing w:line="288" w:lineRule="auto"/>
              <w:ind w:left="0" w:leftChars="0" w:firstLine="0" w:firstLineChars="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投标所选用产品与招标需求的偏差情况（包括所投标产品的规格型号、详细配置、主要技术参数），是否能满足采购文件的要求。</w:t>
            </w:r>
          </w:p>
          <w:p>
            <w:pPr>
              <w:widowControl/>
              <w:spacing w:line="288" w:lineRule="auto"/>
              <w:jc w:val="left"/>
              <w:rPr>
                <w:rFonts w:hint="default"/>
                <w:lang w:val="en-US"/>
              </w:rPr>
            </w:pPr>
            <w:r>
              <w:rPr>
                <w:rFonts w:hint="eastAsia" w:ascii="Times New Roman" w:hAnsi="Times New Roman" w:eastAsia="宋体" w:cs="Times New Roman"/>
                <w:kern w:val="2"/>
                <w:sz w:val="21"/>
                <w:szCs w:val="24"/>
                <w:lang w:val="en-US" w:eastAsia="zh-CN" w:bidi="ar-SA"/>
              </w:rPr>
              <w:t>技术指标全部符合得</w:t>
            </w:r>
            <w:r>
              <w:rPr>
                <w:rFonts w:hint="eastAsia" w:ascii="Times New Roman" w:hAnsi="Times New Roman" w:cs="Times New Roman"/>
                <w:kern w:val="2"/>
                <w:sz w:val="21"/>
                <w:szCs w:val="24"/>
                <w:lang w:val="en-US" w:eastAsia="zh-CN" w:bidi="ar-SA"/>
              </w:rPr>
              <w:t>20</w:t>
            </w:r>
            <w:r>
              <w:rPr>
                <w:rFonts w:hint="eastAsia" w:ascii="Times New Roman" w:hAnsi="Times New Roman" w:eastAsia="宋体" w:cs="Times New Roman"/>
                <w:kern w:val="2"/>
                <w:sz w:val="21"/>
                <w:szCs w:val="24"/>
                <w:lang w:val="en-US" w:eastAsia="zh-CN" w:bidi="ar-SA"/>
              </w:rPr>
              <w:t>分，对于标★的关键技术指标负偏离（或不按招标文件规定提供相关材料的）每一项扣减1分</w:t>
            </w:r>
            <w:r>
              <w:rPr>
                <w:rFonts w:hint="eastAsia" w:ascii="Times New Roman" w:hAnsi="Times New Roman"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其余技术指标负偏离（或不按招标文件规定提供相关材料的）每一项扣减0.5分</w:t>
            </w:r>
            <w:r>
              <w:rPr>
                <w:rFonts w:hint="eastAsia" w:ascii="Times New Roman" w:hAnsi="Times New Roman"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正偏离每一项加</w:t>
            </w:r>
            <w:r>
              <w:rPr>
                <w:rFonts w:hint="eastAsia" w:ascii="Times New Roman" w:hAnsi="Times New Roman" w:cs="Times New Roman"/>
                <w:kern w:val="2"/>
                <w:sz w:val="21"/>
                <w:szCs w:val="24"/>
                <w:lang w:val="en-US" w:eastAsia="zh-CN" w:bidi="ar-SA"/>
              </w:rPr>
              <w:t>0.5</w:t>
            </w:r>
            <w:r>
              <w:rPr>
                <w:rFonts w:hint="eastAsia" w:ascii="Times New Roman" w:hAnsi="Times New Roman" w:eastAsia="宋体" w:cs="Times New Roman"/>
                <w:kern w:val="2"/>
                <w:sz w:val="21"/>
                <w:szCs w:val="24"/>
                <w:lang w:val="en-US" w:eastAsia="zh-CN" w:bidi="ar-SA"/>
              </w:rPr>
              <w:t>分。</w:t>
            </w:r>
            <w:r>
              <w:rPr>
                <w:rFonts w:hint="eastAsia" w:ascii="Times New Roman" w:hAnsi="Times New Roman" w:cs="Times New Roman"/>
                <w:kern w:val="2"/>
                <w:sz w:val="21"/>
                <w:szCs w:val="24"/>
                <w:lang w:val="en-US" w:eastAsia="zh-CN" w:bidi="ar-SA"/>
              </w:rPr>
              <w:t>本项最高2</w:t>
            </w:r>
            <w:r>
              <w:rPr>
                <w:rFonts w:hint="eastAsia" w:cs="Times New Roman"/>
                <w:kern w:val="2"/>
                <w:sz w:val="21"/>
                <w:szCs w:val="24"/>
                <w:lang w:val="en-US" w:eastAsia="zh-CN" w:bidi="ar-SA"/>
              </w:rPr>
              <w:t>8</w:t>
            </w:r>
            <w:r>
              <w:rPr>
                <w:rFonts w:hint="eastAsia" w:ascii="Times New Roman" w:hAnsi="Times New Roman" w:cs="Times New Roman"/>
                <w:kern w:val="2"/>
                <w:sz w:val="21"/>
                <w:szCs w:val="24"/>
                <w:lang w:val="en-US" w:eastAsia="zh-CN" w:bidi="ar-SA"/>
              </w:rPr>
              <w:t>分。</w:t>
            </w:r>
          </w:p>
        </w:tc>
        <w:tc>
          <w:tcPr>
            <w:tcW w:w="972" w:type="dxa"/>
            <w:vAlign w:val="center"/>
          </w:tcPr>
          <w:p>
            <w:pPr>
              <w:widowControl/>
              <w:spacing w:line="288" w:lineRule="auto"/>
              <w:jc w:val="center"/>
            </w:pPr>
            <w:r>
              <w:rPr>
                <w:rFonts w:hint="eastAsia"/>
                <w:lang w:val="en-US" w:eastAsia="zh-CN"/>
              </w:rPr>
              <w:t>28</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94" w:type="dxa"/>
            <w:vMerge w:val="restart"/>
            <w:vAlign w:val="center"/>
          </w:tcPr>
          <w:p>
            <w:pPr>
              <w:widowControl/>
              <w:spacing w:line="288" w:lineRule="auto"/>
              <w:jc w:val="center"/>
              <w:rPr>
                <w:rFonts w:ascii="宋体" w:hAnsi="宋体" w:cs="宋体"/>
                <w:b/>
                <w:bCs/>
                <w:kern w:val="0"/>
                <w:szCs w:val="21"/>
              </w:rPr>
            </w:pPr>
            <w:r>
              <w:rPr>
                <w:rFonts w:hint="eastAsia" w:ascii="宋体" w:hAnsi="宋体" w:cs="宋体"/>
                <w:b/>
                <w:bCs/>
                <w:kern w:val="0"/>
                <w:szCs w:val="21"/>
              </w:rPr>
              <w:t>项目方案</w:t>
            </w:r>
          </w:p>
        </w:tc>
        <w:tc>
          <w:tcPr>
            <w:tcW w:w="1364" w:type="dxa"/>
            <w:vAlign w:val="center"/>
          </w:tcPr>
          <w:p>
            <w:pPr>
              <w:widowControl/>
              <w:spacing w:line="288" w:lineRule="auto"/>
              <w:jc w:val="center"/>
              <w:rPr>
                <w:rFonts w:ascii="宋体" w:hAnsi="宋体" w:cs="宋体"/>
                <w:b/>
                <w:bCs/>
                <w:kern w:val="0"/>
                <w:szCs w:val="21"/>
              </w:rPr>
            </w:pPr>
            <w:r>
              <w:rPr>
                <w:rFonts w:hint="eastAsia" w:ascii="宋体" w:hAnsi="宋体" w:cs="宋体"/>
                <w:b/>
                <w:bCs/>
                <w:kern w:val="0"/>
                <w:szCs w:val="21"/>
              </w:rPr>
              <w:t>总体</w:t>
            </w:r>
            <w:r>
              <w:rPr>
                <w:rFonts w:hint="eastAsia" w:ascii="宋体" w:hAnsi="宋体" w:cs="宋体"/>
                <w:b/>
                <w:bCs/>
                <w:kern w:val="0"/>
                <w:szCs w:val="21"/>
                <w:lang w:val="en-US" w:eastAsia="zh-CN"/>
              </w:rPr>
              <w:t>设计</w:t>
            </w:r>
            <w:r>
              <w:rPr>
                <w:rFonts w:hint="eastAsia" w:ascii="宋体" w:hAnsi="宋体" w:cs="宋体"/>
                <w:b/>
                <w:bCs/>
                <w:kern w:val="0"/>
                <w:szCs w:val="21"/>
              </w:rPr>
              <w:t>方案</w:t>
            </w:r>
          </w:p>
        </w:tc>
        <w:tc>
          <w:tcPr>
            <w:tcW w:w="6636" w:type="dxa"/>
            <w:vAlign w:val="center"/>
          </w:tcPr>
          <w:p>
            <w:pPr>
              <w:widowControl/>
              <w:spacing w:line="288" w:lineRule="auto"/>
              <w:ind w:left="0" w:leftChars="0" w:firstLine="0" w:firstLineChars="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提供项目总体设计方案且详细、完善、科学合理，包括整体规划，根据方案与本项目需求的吻合程度进行综合评分。</w:t>
            </w:r>
          </w:p>
          <w:p>
            <w:pPr>
              <w:widowControl/>
              <w:spacing w:line="288" w:lineRule="auto"/>
              <w:ind w:left="0" w:leftChars="0" w:firstLine="0" w:firstLineChars="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1.方案合理，内容详细，与项目吻合的，得3.6-5分；</w:t>
            </w:r>
          </w:p>
          <w:p>
            <w:pPr>
              <w:widowControl/>
              <w:spacing w:line="288" w:lineRule="auto"/>
              <w:ind w:left="0" w:leftChars="0" w:firstLine="0" w:firstLineChars="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2.方案较合理，内容较详细，与项目较吻合的，得2.1-3.5分；</w:t>
            </w:r>
          </w:p>
          <w:p>
            <w:pPr>
              <w:widowControl/>
              <w:spacing w:line="288" w:lineRule="auto"/>
              <w:ind w:left="0" w:leftChars="0" w:firstLine="0" w:firstLineChars="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3.方案内容一般的，得0-2分。</w:t>
            </w:r>
          </w:p>
        </w:tc>
        <w:tc>
          <w:tcPr>
            <w:tcW w:w="972" w:type="dxa"/>
            <w:vAlign w:val="center"/>
          </w:tcPr>
          <w:p>
            <w:pPr>
              <w:widowControl/>
              <w:spacing w:line="288" w:lineRule="auto"/>
              <w:jc w:val="center"/>
            </w:pPr>
            <w:r>
              <w:rPr>
                <w:rFonts w:hint="eastAsia"/>
                <w:lang w:val="en-US" w:eastAsia="zh-CN"/>
              </w:rPr>
              <w:t>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694" w:type="dxa"/>
            <w:vMerge w:val="continue"/>
            <w:vAlign w:val="center"/>
          </w:tcPr>
          <w:p>
            <w:pPr>
              <w:widowControl/>
              <w:spacing w:line="288" w:lineRule="auto"/>
              <w:jc w:val="center"/>
            </w:pPr>
          </w:p>
        </w:tc>
        <w:tc>
          <w:tcPr>
            <w:tcW w:w="1364" w:type="dxa"/>
            <w:vAlign w:val="center"/>
          </w:tcPr>
          <w:p>
            <w:pPr>
              <w:widowControl/>
              <w:spacing w:line="288" w:lineRule="auto"/>
              <w:jc w:val="center"/>
              <w:rPr>
                <w:rFonts w:ascii="宋体" w:hAnsi="宋体" w:cs="宋体"/>
                <w:b/>
                <w:bCs/>
                <w:kern w:val="0"/>
                <w:szCs w:val="21"/>
              </w:rPr>
            </w:pPr>
            <w:r>
              <w:rPr>
                <w:rFonts w:hint="eastAsia" w:ascii="宋体" w:hAnsi="宋体" w:cs="宋体"/>
                <w:b/>
                <w:bCs/>
                <w:kern w:val="0"/>
                <w:szCs w:val="21"/>
              </w:rPr>
              <w:t>实施方案</w:t>
            </w:r>
          </w:p>
        </w:tc>
        <w:tc>
          <w:tcPr>
            <w:tcW w:w="6636" w:type="dxa"/>
            <w:vAlign w:val="center"/>
          </w:tcPr>
          <w:p>
            <w:pPr>
              <w:widowControl/>
              <w:spacing w:line="288" w:lineRule="auto"/>
              <w:ind w:left="0" w:leftChars="0" w:firstLine="0" w:firstLineChars="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根据投标人针对本项目组织实施方案（包括项目施工组织、项目工期、项目供货方案、项目实施进度安排等）的科学性、合理性，综合上述要求等进行评定。</w:t>
            </w:r>
          </w:p>
          <w:p>
            <w:pPr>
              <w:widowControl/>
              <w:spacing w:line="288" w:lineRule="auto"/>
              <w:ind w:left="0" w:leftChars="0" w:firstLine="0" w:firstLineChars="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投标人针对本项目的组织实施方案（包括项目施工组织、项目工期、项目供货方案、项目实施进度安排等）科学、合理得3.6-5分；</w:t>
            </w:r>
          </w:p>
          <w:p>
            <w:pPr>
              <w:widowControl/>
              <w:spacing w:line="288" w:lineRule="auto"/>
              <w:ind w:left="0" w:leftChars="0" w:firstLine="0" w:firstLineChars="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投标人针对本项目的组织实施方案（包括项目施工组织、项目工期、项目供货方案、项目实施进度安排等）较科学、合理得2.1-3.5分；</w:t>
            </w:r>
          </w:p>
          <w:p>
            <w:pPr>
              <w:widowControl/>
              <w:spacing w:line="288" w:lineRule="auto"/>
              <w:ind w:left="0" w:leftChars="0" w:firstLine="0" w:firstLineChars="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投标人针对本项目的组织实施方案（包括项目施工组织、项目工期、项目供货方案、项目实施进度安排等）不科学、合理得0-2分；</w:t>
            </w:r>
          </w:p>
        </w:tc>
        <w:tc>
          <w:tcPr>
            <w:tcW w:w="972" w:type="dxa"/>
            <w:vAlign w:val="center"/>
          </w:tcPr>
          <w:p>
            <w:pPr>
              <w:widowControl/>
              <w:spacing w:line="288" w:lineRule="auto"/>
              <w:jc w:val="center"/>
            </w:pPr>
            <w:r>
              <w:rPr>
                <w:rFonts w:hint="eastAsia"/>
                <w:lang w:val="en-US" w:eastAsia="zh-CN"/>
              </w:rPr>
              <w:t>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94" w:type="dxa"/>
            <w:vMerge w:val="continue"/>
            <w:vAlign w:val="center"/>
          </w:tcPr>
          <w:p>
            <w:pPr>
              <w:widowControl/>
              <w:spacing w:line="288" w:lineRule="auto"/>
              <w:jc w:val="center"/>
              <w:rPr>
                <w:rFonts w:ascii="宋体" w:hAnsi="宋体" w:cs="宋体"/>
                <w:b/>
                <w:bCs/>
                <w:kern w:val="0"/>
                <w:szCs w:val="21"/>
              </w:rPr>
            </w:pPr>
          </w:p>
        </w:tc>
        <w:tc>
          <w:tcPr>
            <w:tcW w:w="1364" w:type="dxa"/>
            <w:vAlign w:val="center"/>
          </w:tcPr>
          <w:p>
            <w:pPr>
              <w:widowControl/>
              <w:spacing w:line="288" w:lineRule="auto"/>
              <w:jc w:val="center"/>
              <w:rPr>
                <w:rFonts w:ascii="宋体" w:hAnsi="宋体" w:cs="宋体"/>
                <w:b/>
                <w:bCs/>
                <w:kern w:val="0"/>
                <w:szCs w:val="21"/>
              </w:rPr>
            </w:pPr>
            <w:r>
              <w:rPr>
                <w:rFonts w:hint="eastAsia" w:ascii="宋体" w:hAnsi="宋体" w:cs="宋体"/>
                <w:b/>
                <w:bCs/>
                <w:kern w:val="0"/>
                <w:szCs w:val="21"/>
                <w:lang w:val="en-US" w:eastAsia="zh-CN"/>
              </w:rPr>
              <w:t>技术</w:t>
            </w:r>
            <w:r>
              <w:rPr>
                <w:rFonts w:hint="eastAsia" w:ascii="宋体" w:hAnsi="宋体" w:cs="宋体"/>
                <w:b/>
                <w:bCs/>
                <w:kern w:val="0"/>
                <w:szCs w:val="21"/>
              </w:rPr>
              <w:t>方案</w:t>
            </w:r>
          </w:p>
        </w:tc>
        <w:tc>
          <w:tcPr>
            <w:tcW w:w="6636" w:type="dxa"/>
            <w:vAlign w:val="center"/>
          </w:tcPr>
          <w:p>
            <w:pPr>
              <w:widowControl/>
              <w:spacing w:line="288" w:lineRule="auto"/>
              <w:ind w:left="0" w:leftChars="0" w:firstLine="0" w:firstLineChars="0"/>
              <w:jc w:val="left"/>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根据投标人针对本项目设备位置布局图及整体网络拓扑图设计的合理性进行评分。</w:t>
            </w:r>
          </w:p>
          <w:p>
            <w:pPr>
              <w:widowControl/>
              <w:spacing w:line="288" w:lineRule="auto"/>
              <w:ind w:left="0" w:leftChars="0" w:firstLine="0" w:firstLineChars="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1.设备位置布局图及整体网络拓扑图设计合理，能完全满足采购需求的得3.6-5分；</w:t>
            </w:r>
          </w:p>
          <w:p>
            <w:pPr>
              <w:widowControl/>
              <w:spacing w:line="288" w:lineRule="auto"/>
              <w:ind w:left="0" w:leftChars="0" w:firstLine="0" w:firstLineChars="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2.布局图及拓扑图设置较合理，基本满足采购需求的得2.1-3.5分；</w:t>
            </w:r>
          </w:p>
          <w:p>
            <w:pPr>
              <w:widowControl/>
              <w:spacing w:line="288" w:lineRule="auto"/>
              <w:ind w:left="0" w:leftChars="0" w:firstLine="0" w:firstLineChars="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3.布局图及拓扑图设置不太科学、合理得0.1-2分；未提供不得分。</w:t>
            </w:r>
          </w:p>
        </w:tc>
        <w:tc>
          <w:tcPr>
            <w:tcW w:w="972" w:type="dxa"/>
            <w:vAlign w:val="center"/>
          </w:tcPr>
          <w:p>
            <w:pPr>
              <w:widowControl/>
              <w:spacing w:line="288" w:lineRule="auto"/>
              <w:jc w:val="center"/>
            </w:pPr>
            <w:r>
              <w:rPr>
                <w:rFonts w:hint="eastAsia"/>
                <w:lang w:val="en-US" w:eastAsia="zh-CN"/>
              </w:rPr>
              <w:t>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94" w:type="dxa"/>
            <w:vMerge w:val="restart"/>
            <w:vAlign w:val="center"/>
          </w:tcPr>
          <w:p>
            <w:pPr>
              <w:widowControl/>
              <w:spacing w:line="288" w:lineRule="auto"/>
              <w:jc w:val="left"/>
              <w:rPr>
                <w:rFonts w:ascii="宋体" w:hAnsi="宋体" w:cs="宋体"/>
                <w:b/>
                <w:szCs w:val="21"/>
              </w:rPr>
            </w:pPr>
            <w:r>
              <w:rPr>
                <w:rFonts w:hint="eastAsia" w:ascii="宋体" w:hAnsi="宋体" w:cs="宋体"/>
                <w:b/>
                <w:szCs w:val="21"/>
              </w:rPr>
              <w:t>售后服务方案</w:t>
            </w:r>
          </w:p>
        </w:tc>
        <w:tc>
          <w:tcPr>
            <w:tcW w:w="1364" w:type="dxa"/>
            <w:vAlign w:val="center"/>
          </w:tcPr>
          <w:p>
            <w:pPr>
              <w:widowControl/>
              <w:spacing w:line="288" w:lineRule="auto"/>
              <w:jc w:val="center"/>
              <w:rPr>
                <w:rFonts w:ascii="宋体" w:hAnsi="宋体" w:cs="宋体"/>
                <w:b/>
                <w:szCs w:val="21"/>
              </w:rPr>
            </w:pPr>
            <w:r>
              <w:rPr>
                <w:rFonts w:hint="eastAsia" w:ascii="宋体" w:hAnsi="宋体" w:cs="宋体"/>
                <w:b/>
                <w:szCs w:val="21"/>
              </w:rPr>
              <w:t>售后方案</w:t>
            </w:r>
          </w:p>
        </w:tc>
        <w:tc>
          <w:tcPr>
            <w:tcW w:w="6636" w:type="dxa"/>
            <w:vAlign w:val="center"/>
          </w:tcPr>
          <w:p>
            <w:r>
              <w:rPr>
                <w:rFonts w:hint="eastAsia"/>
              </w:rPr>
              <w:t>根据投标人提供的售后服务方案进行综合比较后评分。包括：1、售后服务期内服务内容情况；2、售后服务体系、售后服务部门及维修网点联系电话3、服务响应及时情况（满足文件要求基础上）；4、故障处理服务针对性程度。</w:t>
            </w:r>
          </w:p>
          <w:p>
            <w:r>
              <w:rPr>
                <w:rFonts w:hint="eastAsia"/>
              </w:rPr>
              <w:t>售后服务内容全面、响应时间短、可能故障考虑周到且处理针对性强得3.1-4分；</w:t>
            </w:r>
          </w:p>
          <w:p>
            <w:r>
              <w:rPr>
                <w:rFonts w:hint="eastAsia"/>
              </w:rPr>
              <w:t>售后服务内容较全面、响应时间较短、可能故障考虑较周到且处理针对性较强得1.6-3分；</w:t>
            </w:r>
          </w:p>
          <w:p>
            <w:r>
              <w:rPr>
                <w:rFonts w:hint="eastAsia"/>
              </w:rPr>
              <w:t>售后服务内容一般、响应时间一般、可能故障考虑且处理针对性一般得0-1.5分；</w:t>
            </w:r>
          </w:p>
        </w:tc>
        <w:tc>
          <w:tcPr>
            <w:tcW w:w="972" w:type="dxa"/>
            <w:vAlign w:val="center"/>
          </w:tcPr>
          <w:p>
            <w:pPr>
              <w:widowControl/>
              <w:spacing w:line="288" w:lineRule="auto"/>
              <w:jc w:val="center"/>
            </w:pPr>
            <w:r>
              <w:rPr>
                <w:rFonts w:hint="eastAsia"/>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694" w:type="dxa"/>
            <w:vMerge w:val="continue"/>
            <w:vAlign w:val="center"/>
          </w:tcPr>
          <w:p>
            <w:pPr>
              <w:widowControl/>
              <w:spacing w:line="288" w:lineRule="auto"/>
              <w:jc w:val="left"/>
              <w:rPr>
                <w:rFonts w:ascii="宋体" w:hAnsi="宋体" w:cs="宋体"/>
                <w:b/>
                <w:szCs w:val="21"/>
              </w:rPr>
            </w:pPr>
          </w:p>
        </w:tc>
        <w:tc>
          <w:tcPr>
            <w:tcW w:w="1364" w:type="dxa"/>
            <w:vAlign w:val="center"/>
          </w:tcPr>
          <w:p>
            <w:pPr>
              <w:widowControl/>
              <w:spacing w:line="288" w:lineRule="auto"/>
              <w:jc w:val="center"/>
              <w:rPr>
                <w:rFonts w:ascii="宋体" w:hAnsi="宋体" w:cs="宋体"/>
                <w:b/>
                <w:szCs w:val="21"/>
              </w:rPr>
            </w:pPr>
            <w:r>
              <w:rPr>
                <w:rFonts w:hint="eastAsia" w:ascii="宋体" w:hAnsi="宋体" w:cs="宋体"/>
                <w:b/>
                <w:szCs w:val="21"/>
              </w:rPr>
              <w:t>质保期</w:t>
            </w:r>
          </w:p>
        </w:tc>
        <w:tc>
          <w:tcPr>
            <w:tcW w:w="6636" w:type="dxa"/>
            <w:vAlign w:val="center"/>
          </w:tcPr>
          <w:p>
            <w:pPr>
              <w:widowControl/>
              <w:spacing w:line="288" w:lineRule="auto"/>
              <w:jc w:val="left"/>
            </w:pPr>
            <w:r>
              <w:rPr>
                <w:rFonts w:hint="eastAsia"/>
              </w:rPr>
              <w:t>投标人承诺</w:t>
            </w:r>
            <w:r>
              <w:rPr>
                <w:rFonts w:hint="eastAsia" w:ascii="Times New Roman" w:hAnsi="Times New Roman" w:cs="Times New Roman"/>
              </w:rPr>
              <w:t>提供不少于3年的</w:t>
            </w:r>
            <w:r>
              <w:rPr>
                <w:rFonts w:hint="eastAsia" w:ascii="Times New Roman" w:hAnsi="Times New Roman" w:cs="Times New Roman"/>
                <w:lang w:val="en-US" w:eastAsia="zh-CN"/>
              </w:rPr>
              <w:t>免费</w:t>
            </w:r>
            <w:r>
              <w:rPr>
                <w:rFonts w:hint="eastAsia" w:ascii="Times New Roman" w:hAnsi="Times New Roman" w:cs="Times New Roman"/>
              </w:rPr>
              <w:t>质保期</w:t>
            </w:r>
            <w:r>
              <w:rPr>
                <w:rFonts w:hint="eastAsia" w:ascii="Times New Roman" w:hAnsi="Times New Roman" w:cs="Times New Roman"/>
                <w:lang w:val="en-US" w:eastAsia="zh-CN"/>
              </w:rPr>
              <w:t>及免费软件特征库升级</w:t>
            </w:r>
            <w:r>
              <w:rPr>
                <w:rFonts w:hint="eastAsia" w:ascii="Times New Roman" w:hAnsi="Times New Roman" w:cs="Times New Roman"/>
              </w:rPr>
              <w:t>，</w:t>
            </w:r>
            <w:r>
              <w:rPr>
                <w:rFonts w:hint="eastAsia" w:ascii="Times New Roman" w:hAnsi="Times New Roman" w:cs="Times New Roman"/>
                <w:lang w:val="en-US" w:eastAsia="zh-CN"/>
              </w:rPr>
              <w:t>免费质保期</w:t>
            </w:r>
            <w:r>
              <w:rPr>
                <w:rFonts w:hint="eastAsia" w:ascii="Times New Roman" w:hAnsi="Times New Roman" w:cs="Times New Roman"/>
              </w:rPr>
              <w:t>在3年基础上每增加1年得1分，</w:t>
            </w:r>
            <w:r>
              <w:rPr>
                <w:rFonts w:hint="eastAsia" w:ascii="Times New Roman" w:hAnsi="Times New Roman" w:cs="Times New Roman"/>
                <w:lang w:val="en-US" w:eastAsia="zh-CN"/>
              </w:rPr>
              <w:t>免费软件特征库升级（须同时包含下一代防火墙、上网行为管理器）在3年基础上每增加1年得0.1分，</w:t>
            </w:r>
            <w:r>
              <w:rPr>
                <w:rFonts w:hint="eastAsia" w:ascii="Times New Roman" w:hAnsi="Times New Roman" w:cs="Times New Roman"/>
              </w:rPr>
              <w:t>本项最高得2</w:t>
            </w:r>
            <w:r>
              <w:rPr>
                <w:rFonts w:hint="eastAsia" w:ascii="Times New Roman" w:hAnsi="Times New Roman" w:cs="Times New Roman"/>
                <w:lang w:val="en-US" w:eastAsia="zh-CN"/>
              </w:rPr>
              <w:t>.5</w:t>
            </w:r>
            <w:r>
              <w:rPr>
                <w:rFonts w:hint="eastAsia" w:ascii="Times New Roman" w:hAnsi="Times New Roman" w:cs="Times New Roman"/>
              </w:rPr>
              <w:t>分。</w:t>
            </w:r>
          </w:p>
        </w:tc>
        <w:tc>
          <w:tcPr>
            <w:tcW w:w="972" w:type="dxa"/>
            <w:vAlign w:val="center"/>
          </w:tcPr>
          <w:p>
            <w:pPr>
              <w:widowControl/>
              <w:spacing w:line="288" w:lineRule="auto"/>
              <w:jc w:val="center"/>
              <w:rPr>
                <w:rFonts w:hint="eastAsia" w:eastAsia="宋体"/>
                <w:lang w:val="en-US" w:eastAsia="zh-CN"/>
              </w:rPr>
            </w:pPr>
            <w:r>
              <w:t>2</w:t>
            </w:r>
            <w:r>
              <w:rPr>
                <w:rFonts w:hint="eastAsia"/>
                <w:lang w:val="en-US" w:eastAsia="zh-CN"/>
              </w:rPr>
              <w:t>.5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94" w:type="dxa"/>
            <w:vAlign w:val="center"/>
          </w:tcPr>
          <w:p>
            <w:pPr>
              <w:widowControl/>
              <w:spacing w:line="288" w:lineRule="auto"/>
              <w:jc w:val="left"/>
              <w:rPr>
                <w:rFonts w:ascii="宋体" w:hAnsi="宋体" w:cs="宋体"/>
                <w:b/>
                <w:bCs/>
                <w:kern w:val="0"/>
                <w:szCs w:val="21"/>
              </w:rPr>
            </w:pPr>
            <w:r>
              <w:rPr>
                <w:rFonts w:hint="eastAsia" w:ascii="宋体" w:hAnsi="宋体" w:cs="宋体"/>
                <w:b/>
                <w:bCs/>
                <w:kern w:val="0"/>
                <w:szCs w:val="21"/>
              </w:rPr>
              <w:t>培训方案</w:t>
            </w:r>
          </w:p>
        </w:tc>
        <w:tc>
          <w:tcPr>
            <w:tcW w:w="1364" w:type="dxa"/>
            <w:vAlign w:val="center"/>
          </w:tcPr>
          <w:p>
            <w:pPr>
              <w:widowControl/>
              <w:spacing w:line="288" w:lineRule="auto"/>
              <w:jc w:val="center"/>
              <w:rPr>
                <w:rFonts w:ascii="宋体" w:hAnsi="宋体" w:cs="宋体"/>
                <w:b/>
                <w:szCs w:val="21"/>
              </w:rPr>
            </w:pPr>
            <w:r>
              <w:rPr>
                <w:rFonts w:hint="eastAsia" w:ascii="宋体" w:hAnsi="宋体" w:cs="宋体"/>
                <w:b/>
                <w:szCs w:val="21"/>
              </w:rPr>
              <w:t>培训方案</w:t>
            </w:r>
          </w:p>
        </w:tc>
        <w:tc>
          <w:tcPr>
            <w:tcW w:w="6636" w:type="dxa"/>
            <w:vAlign w:val="center"/>
          </w:tcPr>
          <w:p>
            <w:pPr>
              <w:widowControl/>
              <w:spacing w:line="288" w:lineRule="auto"/>
              <w:jc w:val="left"/>
            </w:pPr>
            <w:r>
              <w:rPr>
                <w:rFonts w:hint="eastAsia"/>
              </w:rPr>
              <w:t>根据投标人向受培训人员提供设备日常的维护保养、能对一般故障维修的培训方案及对实际操作人员进行技术操作培训方案综合比较后打分。</w:t>
            </w:r>
          </w:p>
          <w:p>
            <w:pPr>
              <w:widowControl/>
              <w:spacing w:line="288" w:lineRule="auto"/>
              <w:jc w:val="left"/>
            </w:pPr>
            <w:r>
              <w:rPr>
                <w:rFonts w:hint="eastAsia"/>
              </w:rPr>
              <w:t>培训内容详实、时间安排合理，培训人员专业性强得2.1-</w:t>
            </w:r>
            <w:r>
              <w:rPr>
                <w:rFonts w:hint="eastAsia"/>
                <w:lang w:val="en-US" w:eastAsia="zh-CN"/>
              </w:rPr>
              <w:t>4</w:t>
            </w:r>
            <w:r>
              <w:rPr>
                <w:rFonts w:hint="eastAsia"/>
              </w:rPr>
              <w:t>分；</w:t>
            </w:r>
          </w:p>
          <w:p>
            <w:pPr>
              <w:widowControl/>
              <w:spacing w:line="288" w:lineRule="auto"/>
              <w:jc w:val="left"/>
            </w:pPr>
            <w:r>
              <w:rPr>
                <w:rFonts w:hint="eastAsia"/>
              </w:rPr>
              <w:t>培训内容较详实、时间安排较合理，培训人员专业性较强得1.1-2分；</w:t>
            </w:r>
          </w:p>
          <w:p>
            <w:pPr>
              <w:widowControl/>
              <w:spacing w:line="288" w:lineRule="auto"/>
              <w:jc w:val="left"/>
            </w:pPr>
            <w:r>
              <w:rPr>
                <w:rFonts w:hint="eastAsia"/>
              </w:rPr>
              <w:t>培训内容不详实、时间安排不合理，培训人员专业性不强得0-1分；</w:t>
            </w:r>
          </w:p>
        </w:tc>
        <w:tc>
          <w:tcPr>
            <w:tcW w:w="972" w:type="dxa"/>
            <w:vAlign w:val="center"/>
          </w:tcPr>
          <w:p>
            <w:pPr>
              <w:widowControl/>
              <w:spacing w:line="288" w:lineRule="auto"/>
              <w:jc w:val="center"/>
            </w:pPr>
            <w:r>
              <w:rPr>
                <w:rFonts w:hint="eastAsia"/>
                <w:lang w:val="en-US" w:eastAsia="zh-CN"/>
              </w:rPr>
              <w:t>4</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94" w:type="dxa"/>
            <w:vAlign w:val="center"/>
          </w:tcPr>
          <w:p>
            <w:pPr>
              <w:widowControl/>
              <w:spacing w:line="288" w:lineRule="auto"/>
              <w:jc w:val="center"/>
              <w:rPr>
                <w:rFonts w:hint="eastAsia" w:ascii="宋体" w:hAnsi="宋体" w:cs="宋体"/>
                <w:b/>
                <w:szCs w:val="21"/>
              </w:rPr>
            </w:pPr>
            <w:r>
              <w:rPr>
                <w:rFonts w:hint="eastAsia" w:ascii="宋体" w:hAnsi="宋体" w:cs="宋体"/>
                <w:b/>
                <w:szCs w:val="21"/>
                <w:lang w:val="en-US" w:eastAsia="zh-CN"/>
              </w:rPr>
              <w:t>政策性加分</w:t>
            </w:r>
          </w:p>
        </w:tc>
        <w:tc>
          <w:tcPr>
            <w:tcW w:w="1364" w:type="dxa"/>
            <w:vAlign w:val="center"/>
          </w:tcPr>
          <w:p>
            <w:pPr>
              <w:widowControl/>
              <w:spacing w:line="288" w:lineRule="auto"/>
              <w:jc w:val="center"/>
              <w:rPr>
                <w:rFonts w:hint="eastAsia" w:ascii="宋体" w:hAnsi="宋体" w:cs="宋体"/>
                <w:b/>
                <w:szCs w:val="21"/>
              </w:rPr>
            </w:pPr>
            <w:r>
              <w:rPr>
                <w:rFonts w:hint="eastAsia" w:ascii="宋体" w:hAnsi="宋体" w:cs="宋体"/>
                <w:b/>
                <w:szCs w:val="21"/>
                <w:lang w:val="en-US" w:eastAsia="zh-CN"/>
              </w:rPr>
              <w:t>政策性加分</w:t>
            </w:r>
          </w:p>
        </w:tc>
        <w:tc>
          <w:tcPr>
            <w:tcW w:w="6636"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投标产品均为节能产品的，提供有效期内节能产品认证证书的加0.5分。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投标产品均为环境标志产品的，提供有效期内环境标志产品认证证书的加0.5分。</w:t>
            </w:r>
          </w:p>
          <w:p>
            <w:pPr>
              <w:widowControl/>
              <w:spacing w:line="288" w:lineRule="auto"/>
              <w:jc w:val="left"/>
              <w:rPr>
                <w:rFonts w:hint="eastAsia"/>
              </w:rPr>
            </w:pPr>
            <w:r>
              <w:rPr>
                <w:rFonts w:hint="eastAsia" w:ascii="宋体" w:hAnsi="宋体" w:eastAsia="宋体" w:cs="Times New Roman"/>
                <w:color w:val="auto"/>
                <w:szCs w:val="21"/>
                <w:highlight w:val="none"/>
                <w:lang w:val="en-US" w:eastAsia="zh-CN"/>
              </w:rPr>
              <w:t>（提供证明文件复印件并加盖投标人公章）。</w:t>
            </w:r>
          </w:p>
        </w:tc>
        <w:tc>
          <w:tcPr>
            <w:tcW w:w="972" w:type="dxa"/>
            <w:vAlign w:val="center"/>
          </w:tcPr>
          <w:p>
            <w:pPr>
              <w:widowControl/>
              <w:spacing w:line="288" w:lineRule="auto"/>
              <w:jc w:val="center"/>
              <w:rPr>
                <w:rFonts w:hint="default"/>
                <w:lang w:val="en-US" w:eastAsia="zh-CN"/>
              </w:rPr>
            </w:pPr>
            <w:r>
              <w:rPr>
                <w:rFonts w:hint="eastAsia"/>
                <w:lang w:val="en-US" w:eastAsia="zh-CN"/>
              </w:rPr>
              <w:t>1分</w:t>
            </w:r>
          </w:p>
        </w:tc>
      </w:tr>
    </w:tbl>
    <w:p>
      <w:pPr>
        <w:pStyle w:val="15"/>
      </w:pPr>
    </w:p>
    <w:p>
      <w:pPr>
        <w:rPr>
          <w:rFonts w:ascii="宋体" w:hAnsi="宋体" w:cs="宋体"/>
          <w:b/>
          <w:sz w:val="36"/>
          <w:szCs w:val="36"/>
        </w:rPr>
      </w:pPr>
      <w:r>
        <w:rPr>
          <w:rFonts w:hint="eastAsia" w:ascii="宋体" w:hAnsi="宋体" w:cs="宋体"/>
          <w:b/>
          <w:sz w:val="36"/>
          <w:szCs w:val="36"/>
        </w:rPr>
        <w:br w:type="page"/>
      </w:r>
    </w:p>
    <w:p>
      <w:pPr>
        <w:numPr>
          <w:ilvl w:val="0"/>
          <w:numId w:val="24"/>
        </w:numPr>
        <w:spacing w:line="360" w:lineRule="auto"/>
        <w:jc w:val="center"/>
        <w:rPr>
          <w:rFonts w:ascii="宋体" w:hAnsi="宋体" w:cs="宋体"/>
          <w:b/>
          <w:sz w:val="36"/>
          <w:szCs w:val="36"/>
        </w:rPr>
      </w:pPr>
      <w:r>
        <w:rPr>
          <w:rFonts w:hint="eastAsia" w:ascii="宋体" w:hAnsi="宋体" w:cs="宋体"/>
          <w:b/>
          <w:sz w:val="36"/>
          <w:szCs w:val="36"/>
        </w:rPr>
        <w:t>公开招标需求</w:t>
      </w:r>
    </w:p>
    <w:p>
      <w:pPr>
        <w:tabs>
          <w:tab w:val="left" w:pos="8280"/>
        </w:tabs>
        <w:autoSpaceDE w:val="0"/>
        <w:autoSpaceDN w:val="0"/>
        <w:adjustRightInd w:val="0"/>
        <w:spacing w:line="360" w:lineRule="auto"/>
        <w:ind w:firstLine="482" w:firstLineChars="200"/>
        <w:rPr>
          <w:rFonts w:ascii="宋体" w:hAnsi="宋体" w:cs="宋体"/>
          <w:sz w:val="24"/>
        </w:rPr>
      </w:pPr>
      <w:r>
        <w:rPr>
          <w:rFonts w:hint="eastAsia" w:ascii="宋体" w:hAnsi="宋体" w:cs="宋体"/>
          <w:b/>
          <w:sz w:val="24"/>
        </w:rPr>
        <w:t>一、招标项目一览表</w:t>
      </w:r>
    </w:p>
    <w:p>
      <w:pPr>
        <w:tabs>
          <w:tab w:val="left" w:pos="8280"/>
        </w:tabs>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本次招标共</w:t>
      </w:r>
      <w:r>
        <w:rPr>
          <w:rFonts w:hint="eastAsia" w:ascii="宋体" w:hAnsi="宋体" w:cs="宋体"/>
          <w:sz w:val="24"/>
          <w:u w:val="single"/>
        </w:rPr>
        <w:t xml:space="preserve"> 1 </w:t>
      </w:r>
      <w:r>
        <w:rPr>
          <w:rFonts w:hint="eastAsia" w:ascii="宋体" w:hAnsi="宋体" w:cs="宋体"/>
          <w:sz w:val="24"/>
        </w:rPr>
        <w:t>个标段，具体内容如下表：</w:t>
      </w:r>
    </w:p>
    <w:tbl>
      <w:tblPr>
        <w:tblStyle w:val="48"/>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175"/>
        <w:gridCol w:w="1305"/>
        <w:gridCol w:w="795"/>
        <w:gridCol w:w="795"/>
        <w:gridCol w:w="1935"/>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827" w:type="dxa"/>
            <w:vAlign w:val="center"/>
          </w:tcPr>
          <w:p>
            <w:pPr>
              <w:tabs>
                <w:tab w:val="left" w:pos="8280"/>
              </w:tabs>
              <w:autoSpaceDE w:val="0"/>
              <w:autoSpaceDN w:val="0"/>
              <w:adjustRightInd w:val="0"/>
              <w:spacing w:line="360" w:lineRule="auto"/>
              <w:ind w:right="25"/>
              <w:jc w:val="center"/>
              <w:rPr>
                <w:rFonts w:ascii="宋体" w:hAnsi="宋体" w:cs="宋体"/>
                <w:b/>
                <w:sz w:val="24"/>
              </w:rPr>
            </w:pPr>
            <w:r>
              <w:rPr>
                <w:rFonts w:hint="eastAsia" w:ascii="宋体" w:hAnsi="宋体" w:cs="宋体"/>
                <w:b/>
                <w:sz w:val="24"/>
              </w:rPr>
              <w:t>序号</w:t>
            </w:r>
          </w:p>
        </w:tc>
        <w:tc>
          <w:tcPr>
            <w:tcW w:w="2175" w:type="dxa"/>
            <w:vAlign w:val="center"/>
          </w:tcPr>
          <w:p>
            <w:pPr>
              <w:tabs>
                <w:tab w:val="left" w:pos="8280"/>
              </w:tabs>
              <w:autoSpaceDE w:val="0"/>
              <w:autoSpaceDN w:val="0"/>
              <w:adjustRightInd w:val="0"/>
              <w:spacing w:line="360" w:lineRule="auto"/>
              <w:ind w:right="25" w:firstLine="120" w:firstLineChars="50"/>
              <w:jc w:val="center"/>
              <w:rPr>
                <w:rFonts w:ascii="宋体" w:hAnsi="宋体" w:cs="宋体"/>
                <w:b/>
                <w:sz w:val="24"/>
              </w:rPr>
            </w:pPr>
            <w:r>
              <w:rPr>
                <w:rFonts w:hint="eastAsia" w:ascii="宋体" w:hAnsi="宋体" w:cs="宋体"/>
                <w:b/>
                <w:sz w:val="24"/>
              </w:rPr>
              <w:t>项目名称</w:t>
            </w:r>
          </w:p>
        </w:tc>
        <w:tc>
          <w:tcPr>
            <w:tcW w:w="1305" w:type="dxa"/>
            <w:vAlign w:val="center"/>
          </w:tcPr>
          <w:p>
            <w:pPr>
              <w:tabs>
                <w:tab w:val="left" w:pos="8280"/>
              </w:tabs>
              <w:autoSpaceDE w:val="0"/>
              <w:autoSpaceDN w:val="0"/>
              <w:adjustRightInd w:val="0"/>
              <w:spacing w:line="360" w:lineRule="auto"/>
              <w:ind w:right="25"/>
              <w:jc w:val="center"/>
              <w:rPr>
                <w:rFonts w:ascii="宋体" w:hAnsi="宋体" w:cs="宋体"/>
                <w:b/>
                <w:sz w:val="24"/>
              </w:rPr>
            </w:pPr>
            <w:r>
              <w:rPr>
                <w:rFonts w:hint="eastAsia" w:ascii="宋体" w:hAnsi="宋体" w:cs="宋体"/>
                <w:b/>
                <w:sz w:val="24"/>
              </w:rPr>
              <w:t>内容</w:t>
            </w:r>
          </w:p>
        </w:tc>
        <w:tc>
          <w:tcPr>
            <w:tcW w:w="795" w:type="dxa"/>
            <w:vAlign w:val="center"/>
          </w:tcPr>
          <w:p>
            <w:pPr>
              <w:tabs>
                <w:tab w:val="left" w:pos="8280"/>
              </w:tabs>
              <w:autoSpaceDE w:val="0"/>
              <w:autoSpaceDN w:val="0"/>
              <w:adjustRightInd w:val="0"/>
              <w:spacing w:line="360" w:lineRule="auto"/>
              <w:ind w:right="25"/>
              <w:jc w:val="center"/>
              <w:rPr>
                <w:rFonts w:ascii="宋体" w:hAnsi="宋体" w:cs="宋体"/>
                <w:b/>
                <w:sz w:val="24"/>
              </w:rPr>
            </w:pPr>
            <w:r>
              <w:rPr>
                <w:rFonts w:hint="eastAsia" w:ascii="宋体" w:hAnsi="宋体" w:cs="宋体"/>
                <w:b/>
                <w:sz w:val="24"/>
              </w:rPr>
              <w:t>数量</w:t>
            </w:r>
          </w:p>
        </w:tc>
        <w:tc>
          <w:tcPr>
            <w:tcW w:w="795" w:type="dxa"/>
            <w:vAlign w:val="center"/>
          </w:tcPr>
          <w:p>
            <w:pPr>
              <w:tabs>
                <w:tab w:val="left" w:pos="8280"/>
              </w:tabs>
              <w:autoSpaceDE w:val="0"/>
              <w:autoSpaceDN w:val="0"/>
              <w:adjustRightInd w:val="0"/>
              <w:spacing w:line="360" w:lineRule="auto"/>
              <w:ind w:right="25"/>
              <w:jc w:val="center"/>
              <w:rPr>
                <w:rFonts w:ascii="宋体" w:hAnsi="宋体" w:cs="宋体"/>
                <w:b/>
                <w:sz w:val="24"/>
              </w:rPr>
            </w:pPr>
            <w:r>
              <w:rPr>
                <w:rFonts w:hint="eastAsia" w:ascii="宋体" w:hAnsi="宋体" w:cs="宋体"/>
                <w:b/>
                <w:sz w:val="24"/>
              </w:rPr>
              <w:t>单位</w:t>
            </w:r>
          </w:p>
        </w:tc>
        <w:tc>
          <w:tcPr>
            <w:tcW w:w="1935" w:type="dxa"/>
            <w:vAlign w:val="center"/>
          </w:tcPr>
          <w:p>
            <w:pPr>
              <w:tabs>
                <w:tab w:val="left" w:pos="8280"/>
              </w:tabs>
              <w:autoSpaceDE w:val="0"/>
              <w:autoSpaceDN w:val="0"/>
              <w:adjustRightInd w:val="0"/>
              <w:spacing w:line="360" w:lineRule="auto"/>
              <w:ind w:right="25"/>
              <w:jc w:val="center"/>
              <w:rPr>
                <w:rFonts w:ascii="宋体" w:hAnsi="宋体" w:cs="宋体"/>
                <w:b/>
                <w:color w:val="auto"/>
                <w:sz w:val="24"/>
              </w:rPr>
            </w:pPr>
            <w:r>
              <w:rPr>
                <w:rFonts w:hint="eastAsia" w:ascii="宋体" w:hAnsi="宋体" w:cs="宋体"/>
                <w:b/>
                <w:color w:val="auto"/>
                <w:sz w:val="24"/>
              </w:rPr>
              <w:t>预算/最高限价</w:t>
            </w:r>
          </w:p>
          <w:p>
            <w:pPr>
              <w:tabs>
                <w:tab w:val="left" w:pos="8280"/>
              </w:tabs>
              <w:autoSpaceDE w:val="0"/>
              <w:autoSpaceDN w:val="0"/>
              <w:adjustRightInd w:val="0"/>
              <w:spacing w:line="360" w:lineRule="auto"/>
              <w:ind w:right="25"/>
              <w:jc w:val="center"/>
              <w:rPr>
                <w:rFonts w:ascii="宋体" w:hAnsi="宋体" w:cs="宋体"/>
                <w:b/>
                <w:color w:val="auto"/>
                <w:sz w:val="24"/>
              </w:rPr>
            </w:pPr>
            <w:r>
              <w:rPr>
                <w:rFonts w:hint="eastAsia" w:ascii="宋体" w:hAnsi="宋体" w:cs="宋体"/>
                <w:b/>
                <w:color w:val="auto"/>
                <w:sz w:val="24"/>
              </w:rPr>
              <w:t>（万元）</w:t>
            </w:r>
          </w:p>
        </w:tc>
        <w:tc>
          <w:tcPr>
            <w:tcW w:w="1425" w:type="dxa"/>
            <w:vAlign w:val="center"/>
          </w:tcPr>
          <w:p>
            <w:pPr>
              <w:tabs>
                <w:tab w:val="left" w:pos="8280"/>
              </w:tabs>
              <w:autoSpaceDE w:val="0"/>
              <w:autoSpaceDN w:val="0"/>
              <w:adjustRightInd w:val="0"/>
              <w:spacing w:line="300" w:lineRule="auto"/>
              <w:ind w:right="25"/>
              <w:jc w:val="center"/>
              <w:rPr>
                <w:rFonts w:ascii="宋体" w:hAnsi="宋体" w:cs="宋体"/>
                <w:b/>
                <w:color w:val="auto"/>
                <w:sz w:val="24"/>
                <w:highlight w:val="yellow"/>
              </w:rPr>
            </w:pPr>
            <w:r>
              <w:rPr>
                <w:rFonts w:hint="eastAsia" w:ascii="宋体" w:hAnsi="宋体" w:cs="宋体"/>
                <w:b/>
                <w:bCs/>
                <w:color w:val="auto"/>
                <w:sz w:val="24"/>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827" w:type="dxa"/>
            <w:vAlign w:val="center"/>
          </w:tcPr>
          <w:p>
            <w:pPr>
              <w:tabs>
                <w:tab w:val="left" w:pos="8280"/>
              </w:tabs>
              <w:autoSpaceDE w:val="0"/>
              <w:autoSpaceDN w:val="0"/>
              <w:adjustRightInd w:val="0"/>
              <w:ind w:right="2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2175" w:type="dxa"/>
            <w:vAlign w:val="center"/>
          </w:tcPr>
          <w:p>
            <w:pPr>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台州市三梅中学网络及安全设备采购项目</w:t>
            </w:r>
          </w:p>
        </w:tc>
        <w:tc>
          <w:tcPr>
            <w:tcW w:w="1305"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详见具体技术需求</w:t>
            </w:r>
          </w:p>
        </w:tc>
        <w:tc>
          <w:tcPr>
            <w:tcW w:w="795"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95"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w:t>
            </w:r>
          </w:p>
        </w:tc>
        <w:tc>
          <w:tcPr>
            <w:tcW w:w="1935" w:type="dxa"/>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340</w:t>
            </w:r>
          </w:p>
        </w:tc>
        <w:tc>
          <w:tcPr>
            <w:tcW w:w="1425" w:type="dxa"/>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rPr>
              <w:t>合同签订后60天内完成供货、安装及调试</w:t>
            </w:r>
            <w:r>
              <w:rPr>
                <w:rFonts w:hint="eastAsia" w:ascii="宋体" w:hAnsi="宋体" w:cs="宋体"/>
                <w:color w:val="auto"/>
                <w:sz w:val="24"/>
                <w:lang w:eastAsia="zh-CN"/>
              </w:rPr>
              <w:t>，</w:t>
            </w:r>
            <w:r>
              <w:rPr>
                <w:rFonts w:hint="eastAsia" w:ascii="宋体" w:hAnsi="宋体" w:cs="宋体"/>
                <w:color w:val="auto"/>
                <w:sz w:val="24"/>
                <w:lang w:val="en-US" w:eastAsia="zh-CN"/>
              </w:rPr>
              <w:t>施工时须配合总包及智能化安装进度。</w:t>
            </w:r>
          </w:p>
        </w:tc>
      </w:tr>
    </w:tbl>
    <w:p>
      <w:pPr>
        <w:pStyle w:val="21"/>
        <w:numPr>
          <w:ilvl w:val="0"/>
          <w:numId w:val="26"/>
        </w:numPr>
        <w:ind w:firstLine="482" w:firstLineChars="200"/>
        <w:rPr>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项目清单</w:t>
      </w:r>
    </w:p>
    <w:p>
      <w:pPr>
        <w:numPr>
          <w:ilvl w:val="0"/>
          <w:numId w:val="27"/>
        </w:numPr>
        <w:rPr>
          <w:color w:val="000000" w:themeColor="text1"/>
          <w14:textFill>
            <w14:solidFill>
              <w14:schemeClr w14:val="tx1"/>
            </w14:solidFill>
          </w14:textFill>
        </w:rPr>
      </w:pPr>
      <w:r>
        <w:rPr>
          <w:rFonts w:hint="eastAsia"/>
          <w:color w:val="000000" w:themeColor="text1"/>
          <w14:textFill>
            <w14:solidFill>
              <w14:schemeClr w14:val="tx1"/>
            </w14:solidFill>
          </w14:textFill>
        </w:rPr>
        <w:t>核心机房</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3210"/>
        <w:gridCol w:w="1963"/>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3210"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名称</w:t>
            </w:r>
          </w:p>
        </w:tc>
        <w:tc>
          <w:tcPr>
            <w:tcW w:w="1963"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2130"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1.1</w:t>
            </w:r>
          </w:p>
        </w:tc>
        <w:tc>
          <w:tcPr>
            <w:tcW w:w="3210" w:type="dxa"/>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核心交换机</w:t>
            </w:r>
          </w:p>
        </w:tc>
        <w:tc>
          <w:tcPr>
            <w:tcW w:w="1963" w:type="dxa"/>
            <w:vAlign w:val="center"/>
          </w:tcPr>
          <w:p>
            <w:pPr>
              <w:keepNext w:val="0"/>
              <w:keepLines w:val="0"/>
              <w:widowControl/>
              <w:suppressLineNumbers w:val="0"/>
              <w:jc w:val="center"/>
              <w:textAlignment w:val="center"/>
              <w:rPr>
                <w:rFonts w:hint="default" w:ascii="宋体" w:hAnsi="宋体" w:eastAsia="宋体" w:cs="宋体"/>
                <w:color w:val="000000"/>
                <w:kern w:val="0"/>
                <w:szCs w:val="21"/>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130" w:type="dxa"/>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widowControl/>
              <w:jc w:val="center"/>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1.2</w:t>
            </w:r>
          </w:p>
        </w:tc>
        <w:tc>
          <w:tcPr>
            <w:tcW w:w="3210" w:type="dxa"/>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下一代防火墙</w:t>
            </w:r>
          </w:p>
        </w:tc>
        <w:tc>
          <w:tcPr>
            <w:tcW w:w="1963" w:type="dxa"/>
            <w:vAlign w:val="center"/>
          </w:tcPr>
          <w:p>
            <w:pPr>
              <w:keepNext w:val="0"/>
              <w:keepLines w:val="0"/>
              <w:widowControl/>
              <w:suppressLineNumbers w:val="0"/>
              <w:jc w:val="center"/>
              <w:textAlignment w:val="center"/>
              <w:rPr>
                <w:rFonts w:hint="eastAsia" w:ascii="宋体" w:hAnsi="宋体" w:cs="宋体"/>
                <w:color w:val="000000"/>
                <w:kern w:val="0"/>
                <w:szCs w:val="21"/>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130" w:type="dxa"/>
            <w:vAlign w:val="center"/>
          </w:tcPr>
          <w:p>
            <w:pPr>
              <w:keepNext w:val="0"/>
              <w:keepLines w:val="0"/>
              <w:widowControl/>
              <w:suppressLineNumbers w:val="0"/>
              <w:jc w:val="center"/>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widowControl/>
              <w:jc w:val="center"/>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1.3</w:t>
            </w:r>
          </w:p>
        </w:tc>
        <w:tc>
          <w:tcPr>
            <w:tcW w:w="3210" w:type="dxa"/>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上网行为管理器</w:t>
            </w:r>
          </w:p>
        </w:tc>
        <w:tc>
          <w:tcPr>
            <w:tcW w:w="1963" w:type="dxa"/>
            <w:vAlign w:val="center"/>
          </w:tcPr>
          <w:p>
            <w:pPr>
              <w:keepNext w:val="0"/>
              <w:keepLines w:val="0"/>
              <w:widowControl/>
              <w:suppressLineNumbers w:val="0"/>
              <w:jc w:val="center"/>
              <w:textAlignment w:val="center"/>
              <w:rPr>
                <w:rFonts w:hint="eastAsia" w:ascii="宋体" w:hAnsi="宋体" w:cs="宋体"/>
                <w:color w:val="000000"/>
                <w:kern w:val="0"/>
                <w:szCs w:val="21"/>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130" w:type="dxa"/>
            <w:vAlign w:val="center"/>
          </w:tcPr>
          <w:p>
            <w:pPr>
              <w:keepNext w:val="0"/>
              <w:keepLines w:val="0"/>
              <w:widowControl/>
              <w:suppressLineNumbers w:val="0"/>
              <w:jc w:val="center"/>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widowControl/>
              <w:jc w:val="center"/>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1.4</w:t>
            </w:r>
          </w:p>
        </w:tc>
        <w:tc>
          <w:tcPr>
            <w:tcW w:w="3210" w:type="dxa"/>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无线控制器</w:t>
            </w:r>
          </w:p>
        </w:tc>
        <w:tc>
          <w:tcPr>
            <w:tcW w:w="1963" w:type="dxa"/>
            <w:vAlign w:val="center"/>
          </w:tcPr>
          <w:p>
            <w:pPr>
              <w:keepNext w:val="0"/>
              <w:keepLines w:val="0"/>
              <w:widowControl/>
              <w:suppressLineNumbers w:val="0"/>
              <w:jc w:val="center"/>
              <w:textAlignment w:val="center"/>
              <w:rPr>
                <w:rFonts w:hint="eastAsia" w:ascii="宋体" w:hAnsi="宋体" w:cs="宋体"/>
                <w:color w:val="000000"/>
                <w:kern w:val="0"/>
                <w:szCs w:val="21"/>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130" w:type="dxa"/>
            <w:vAlign w:val="center"/>
          </w:tcPr>
          <w:p>
            <w:pPr>
              <w:keepNext w:val="0"/>
              <w:keepLines w:val="0"/>
              <w:widowControl/>
              <w:suppressLineNumbers w:val="0"/>
              <w:jc w:val="center"/>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widowControl/>
              <w:jc w:val="center"/>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1.5</w:t>
            </w:r>
          </w:p>
        </w:tc>
        <w:tc>
          <w:tcPr>
            <w:tcW w:w="3210" w:type="dxa"/>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网络管理平台</w:t>
            </w:r>
          </w:p>
        </w:tc>
        <w:tc>
          <w:tcPr>
            <w:tcW w:w="1963" w:type="dxa"/>
            <w:vAlign w:val="center"/>
          </w:tcPr>
          <w:p>
            <w:pPr>
              <w:keepNext w:val="0"/>
              <w:keepLines w:val="0"/>
              <w:widowControl/>
              <w:suppressLineNumbers w:val="0"/>
              <w:jc w:val="center"/>
              <w:textAlignment w:val="center"/>
              <w:rPr>
                <w:rFonts w:hint="eastAsia" w:ascii="宋体" w:hAnsi="宋体" w:cs="宋体"/>
                <w:color w:val="000000"/>
                <w:kern w:val="0"/>
                <w:szCs w:val="21"/>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130" w:type="dxa"/>
            <w:vAlign w:val="center"/>
          </w:tcPr>
          <w:p>
            <w:pPr>
              <w:keepNext w:val="0"/>
              <w:keepLines w:val="0"/>
              <w:widowControl/>
              <w:suppressLineNumbers w:val="0"/>
              <w:jc w:val="center"/>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widowControl/>
              <w:jc w:val="center"/>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1.6</w:t>
            </w:r>
          </w:p>
        </w:tc>
        <w:tc>
          <w:tcPr>
            <w:tcW w:w="3210" w:type="dxa"/>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万兆单模光模块</w:t>
            </w:r>
          </w:p>
        </w:tc>
        <w:tc>
          <w:tcPr>
            <w:tcW w:w="1963" w:type="dxa"/>
            <w:vAlign w:val="center"/>
          </w:tcPr>
          <w:p>
            <w:pPr>
              <w:keepNext w:val="0"/>
              <w:keepLines w:val="0"/>
              <w:widowControl/>
              <w:suppressLineNumbers w:val="0"/>
              <w:jc w:val="center"/>
              <w:textAlignment w:val="center"/>
              <w:rPr>
                <w:rFonts w:hint="eastAsia" w:ascii="宋体" w:hAnsi="宋体" w:cs="宋体"/>
                <w:color w:val="000000"/>
                <w:kern w:val="0"/>
                <w:szCs w:val="21"/>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2130" w:type="dxa"/>
            <w:vAlign w:val="center"/>
          </w:tcPr>
          <w:p>
            <w:pPr>
              <w:keepNext w:val="0"/>
              <w:keepLines w:val="0"/>
              <w:widowControl/>
              <w:suppressLineNumbers w:val="0"/>
              <w:jc w:val="center"/>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个</w:t>
            </w:r>
          </w:p>
        </w:tc>
      </w:tr>
    </w:tbl>
    <w:p>
      <w:pPr>
        <w:numPr>
          <w:ilvl w:val="0"/>
          <w:numId w:val="27"/>
        </w:numPr>
        <w:rPr>
          <w:color w:val="000000" w:themeColor="text1"/>
          <w14:textFill>
            <w14:solidFill>
              <w14:schemeClr w14:val="tx1"/>
            </w14:solidFill>
          </w14:textFill>
        </w:rPr>
      </w:pPr>
      <w:r>
        <w:rPr>
          <w:rFonts w:hint="eastAsia"/>
          <w:color w:val="000000" w:themeColor="text1"/>
          <w14:textFill>
            <w14:solidFill>
              <w14:schemeClr w14:val="tx1"/>
            </w14:solidFill>
          </w14:textFill>
        </w:rPr>
        <w:t>主教学楼</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3210"/>
        <w:gridCol w:w="1963"/>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3210"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名称</w:t>
            </w:r>
          </w:p>
        </w:tc>
        <w:tc>
          <w:tcPr>
            <w:tcW w:w="1963"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2130"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2.1</w:t>
            </w:r>
          </w:p>
        </w:tc>
        <w:tc>
          <w:tcPr>
            <w:tcW w:w="3210"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楼栋汇聚交换机</w:t>
            </w:r>
          </w:p>
        </w:tc>
        <w:tc>
          <w:tcPr>
            <w:tcW w:w="1963" w:type="dxa"/>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1</w:t>
            </w:r>
          </w:p>
        </w:tc>
        <w:tc>
          <w:tcPr>
            <w:tcW w:w="2130" w:type="dxa"/>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2.2</w:t>
            </w:r>
          </w:p>
        </w:tc>
        <w:tc>
          <w:tcPr>
            <w:tcW w:w="3210"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万兆单模光模块</w:t>
            </w:r>
          </w:p>
        </w:tc>
        <w:tc>
          <w:tcPr>
            <w:tcW w:w="1963" w:type="dxa"/>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172</w:t>
            </w:r>
          </w:p>
        </w:tc>
        <w:tc>
          <w:tcPr>
            <w:tcW w:w="2130" w:type="dxa"/>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2.3</w:t>
            </w:r>
          </w:p>
        </w:tc>
        <w:tc>
          <w:tcPr>
            <w:tcW w:w="3210"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8口POE交换机</w:t>
            </w:r>
          </w:p>
        </w:tc>
        <w:tc>
          <w:tcPr>
            <w:tcW w:w="1963" w:type="dxa"/>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77</w:t>
            </w:r>
          </w:p>
        </w:tc>
        <w:tc>
          <w:tcPr>
            <w:tcW w:w="2130" w:type="dxa"/>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213" w:type="dxa"/>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2.4</w:t>
            </w:r>
          </w:p>
        </w:tc>
        <w:tc>
          <w:tcPr>
            <w:tcW w:w="3210"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放装AP</w:t>
            </w:r>
          </w:p>
        </w:tc>
        <w:tc>
          <w:tcPr>
            <w:tcW w:w="1963" w:type="dxa"/>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115</w:t>
            </w:r>
          </w:p>
        </w:tc>
        <w:tc>
          <w:tcPr>
            <w:tcW w:w="2130" w:type="dxa"/>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2.5</w:t>
            </w:r>
          </w:p>
        </w:tc>
        <w:tc>
          <w:tcPr>
            <w:tcW w:w="3210"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放装AP（高密）</w:t>
            </w:r>
          </w:p>
        </w:tc>
        <w:tc>
          <w:tcPr>
            <w:tcW w:w="1963" w:type="dxa"/>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2</w:t>
            </w:r>
          </w:p>
        </w:tc>
        <w:tc>
          <w:tcPr>
            <w:tcW w:w="2130" w:type="dxa"/>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2.6</w:t>
            </w:r>
          </w:p>
        </w:tc>
        <w:tc>
          <w:tcPr>
            <w:tcW w:w="3210"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24口POE交换机</w:t>
            </w:r>
          </w:p>
        </w:tc>
        <w:tc>
          <w:tcPr>
            <w:tcW w:w="1963" w:type="dxa"/>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3</w:t>
            </w:r>
          </w:p>
        </w:tc>
        <w:tc>
          <w:tcPr>
            <w:tcW w:w="2130" w:type="dxa"/>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2.7</w:t>
            </w:r>
          </w:p>
        </w:tc>
        <w:tc>
          <w:tcPr>
            <w:tcW w:w="3210"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48口交换机</w:t>
            </w:r>
          </w:p>
        </w:tc>
        <w:tc>
          <w:tcPr>
            <w:tcW w:w="1963" w:type="dxa"/>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6</w:t>
            </w:r>
          </w:p>
        </w:tc>
        <w:tc>
          <w:tcPr>
            <w:tcW w:w="2130" w:type="dxa"/>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台</w:t>
            </w:r>
          </w:p>
        </w:tc>
      </w:tr>
    </w:tbl>
    <w:p>
      <w:pPr>
        <w:numPr>
          <w:ilvl w:val="0"/>
          <w:numId w:val="27"/>
        </w:num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音乐楼</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7"/>
        <w:gridCol w:w="3127"/>
        <w:gridCol w:w="1916"/>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3127"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名称</w:t>
            </w:r>
          </w:p>
        </w:tc>
        <w:tc>
          <w:tcPr>
            <w:tcW w:w="1916"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2070"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3.1</w:t>
            </w:r>
          </w:p>
        </w:tc>
        <w:tc>
          <w:tcPr>
            <w:tcW w:w="3127"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楼栋汇聚交换机</w:t>
            </w:r>
          </w:p>
        </w:tc>
        <w:tc>
          <w:tcPr>
            <w:tcW w:w="1916" w:type="dxa"/>
            <w:vAlign w:val="center"/>
          </w:tcPr>
          <w:p>
            <w:pPr>
              <w:widowControl/>
              <w:jc w:val="center"/>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1</w:t>
            </w:r>
          </w:p>
        </w:tc>
        <w:tc>
          <w:tcPr>
            <w:tcW w:w="2070"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177" w:type="dxa"/>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3.2</w:t>
            </w:r>
          </w:p>
        </w:tc>
        <w:tc>
          <w:tcPr>
            <w:tcW w:w="3127"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万兆单模光模块</w:t>
            </w:r>
          </w:p>
        </w:tc>
        <w:tc>
          <w:tcPr>
            <w:tcW w:w="1916"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46</w:t>
            </w:r>
          </w:p>
        </w:tc>
        <w:tc>
          <w:tcPr>
            <w:tcW w:w="2070"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3.3</w:t>
            </w:r>
          </w:p>
        </w:tc>
        <w:tc>
          <w:tcPr>
            <w:tcW w:w="3127"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8口POE交换机</w:t>
            </w:r>
          </w:p>
        </w:tc>
        <w:tc>
          <w:tcPr>
            <w:tcW w:w="1916"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8</w:t>
            </w:r>
          </w:p>
        </w:tc>
        <w:tc>
          <w:tcPr>
            <w:tcW w:w="2070"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3.4</w:t>
            </w:r>
          </w:p>
        </w:tc>
        <w:tc>
          <w:tcPr>
            <w:tcW w:w="3127"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放装AP</w:t>
            </w:r>
          </w:p>
        </w:tc>
        <w:tc>
          <w:tcPr>
            <w:tcW w:w="1916"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113</w:t>
            </w:r>
          </w:p>
        </w:tc>
        <w:tc>
          <w:tcPr>
            <w:tcW w:w="2070"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3.5</w:t>
            </w:r>
          </w:p>
        </w:tc>
        <w:tc>
          <w:tcPr>
            <w:tcW w:w="3127"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放装AP（高密）</w:t>
            </w:r>
          </w:p>
        </w:tc>
        <w:tc>
          <w:tcPr>
            <w:tcW w:w="1916"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8</w:t>
            </w:r>
          </w:p>
        </w:tc>
        <w:tc>
          <w:tcPr>
            <w:tcW w:w="2070"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3.6</w:t>
            </w:r>
          </w:p>
        </w:tc>
        <w:tc>
          <w:tcPr>
            <w:tcW w:w="3127"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室外AP</w:t>
            </w:r>
          </w:p>
        </w:tc>
        <w:tc>
          <w:tcPr>
            <w:tcW w:w="1916"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w:t>
            </w:r>
          </w:p>
        </w:tc>
        <w:tc>
          <w:tcPr>
            <w:tcW w:w="2070"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3.7</w:t>
            </w:r>
          </w:p>
        </w:tc>
        <w:tc>
          <w:tcPr>
            <w:tcW w:w="3127"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24口POE交换机</w:t>
            </w:r>
          </w:p>
        </w:tc>
        <w:tc>
          <w:tcPr>
            <w:tcW w:w="1916"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7</w:t>
            </w:r>
          </w:p>
        </w:tc>
        <w:tc>
          <w:tcPr>
            <w:tcW w:w="2070"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3.8</w:t>
            </w:r>
          </w:p>
        </w:tc>
        <w:tc>
          <w:tcPr>
            <w:tcW w:w="3127"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48口交换机</w:t>
            </w:r>
          </w:p>
        </w:tc>
        <w:tc>
          <w:tcPr>
            <w:tcW w:w="1916"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8</w:t>
            </w:r>
          </w:p>
        </w:tc>
        <w:tc>
          <w:tcPr>
            <w:tcW w:w="2070"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台</w:t>
            </w:r>
          </w:p>
        </w:tc>
      </w:tr>
    </w:tbl>
    <w:p>
      <w:pPr>
        <w:pStyle w:val="22"/>
        <w:numPr>
          <w:ilvl w:val="0"/>
          <w:numId w:val="27"/>
        </w:numPr>
        <w:ind w:left="0" w:leftChars="0" w:firstLine="0" w:firstLineChars="0"/>
        <w:rPr>
          <w:rFonts w:hint="eastAsia" w:ascii="宋体" w:hAnsi="宋体" w:eastAsia="宋体" w:cs="宋体"/>
          <w:color w:val="000000"/>
          <w:spacing w:val="0"/>
          <w:kern w:val="0"/>
          <w:sz w:val="21"/>
          <w:szCs w:val="21"/>
          <w:lang w:val="en-US" w:eastAsia="zh-CN" w:bidi="ar"/>
        </w:rPr>
      </w:pPr>
      <w:r>
        <w:rPr>
          <w:rFonts w:hint="eastAsia" w:ascii="宋体" w:hAnsi="宋体" w:eastAsia="宋体" w:cs="宋体"/>
          <w:color w:val="000000"/>
          <w:spacing w:val="0"/>
          <w:kern w:val="0"/>
          <w:sz w:val="21"/>
          <w:szCs w:val="21"/>
          <w:lang w:val="en-US" w:eastAsia="zh-CN" w:bidi="ar"/>
        </w:rPr>
        <w:t>美术楼</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7"/>
        <w:gridCol w:w="3127"/>
        <w:gridCol w:w="1916"/>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3127"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名称</w:t>
            </w:r>
          </w:p>
        </w:tc>
        <w:tc>
          <w:tcPr>
            <w:tcW w:w="1916"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2070"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4.1</w:t>
            </w:r>
          </w:p>
        </w:tc>
        <w:tc>
          <w:tcPr>
            <w:tcW w:w="3127"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楼栋汇聚交换机</w:t>
            </w:r>
          </w:p>
        </w:tc>
        <w:tc>
          <w:tcPr>
            <w:tcW w:w="1916" w:type="dxa"/>
            <w:vAlign w:val="center"/>
          </w:tcPr>
          <w:p>
            <w:pPr>
              <w:widowControl/>
              <w:jc w:val="center"/>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1</w:t>
            </w:r>
          </w:p>
        </w:tc>
        <w:tc>
          <w:tcPr>
            <w:tcW w:w="2070"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177" w:type="dxa"/>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4.2</w:t>
            </w:r>
          </w:p>
        </w:tc>
        <w:tc>
          <w:tcPr>
            <w:tcW w:w="3127"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万兆单模光模块</w:t>
            </w:r>
          </w:p>
        </w:tc>
        <w:tc>
          <w:tcPr>
            <w:tcW w:w="1916"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60</w:t>
            </w:r>
          </w:p>
        </w:tc>
        <w:tc>
          <w:tcPr>
            <w:tcW w:w="2070"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4.3</w:t>
            </w:r>
          </w:p>
        </w:tc>
        <w:tc>
          <w:tcPr>
            <w:tcW w:w="3127"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8口POE交换机</w:t>
            </w:r>
          </w:p>
        </w:tc>
        <w:tc>
          <w:tcPr>
            <w:tcW w:w="1916"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24</w:t>
            </w:r>
          </w:p>
        </w:tc>
        <w:tc>
          <w:tcPr>
            <w:tcW w:w="2070"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4.4</w:t>
            </w:r>
          </w:p>
        </w:tc>
        <w:tc>
          <w:tcPr>
            <w:tcW w:w="3127"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放装AP</w:t>
            </w:r>
          </w:p>
        </w:tc>
        <w:tc>
          <w:tcPr>
            <w:tcW w:w="1916"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50</w:t>
            </w:r>
          </w:p>
        </w:tc>
        <w:tc>
          <w:tcPr>
            <w:tcW w:w="2070"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4.5</w:t>
            </w:r>
          </w:p>
        </w:tc>
        <w:tc>
          <w:tcPr>
            <w:tcW w:w="3127"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24口POE交换机</w:t>
            </w:r>
          </w:p>
        </w:tc>
        <w:tc>
          <w:tcPr>
            <w:tcW w:w="1916"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w:t>
            </w:r>
          </w:p>
        </w:tc>
        <w:tc>
          <w:tcPr>
            <w:tcW w:w="2070"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4.6</w:t>
            </w:r>
          </w:p>
        </w:tc>
        <w:tc>
          <w:tcPr>
            <w:tcW w:w="3127"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48口交换机</w:t>
            </w:r>
          </w:p>
        </w:tc>
        <w:tc>
          <w:tcPr>
            <w:tcW w:w="1916"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4</w:t>
            </w:r>
          </w:p>
        </w:tc>
        <w:tc>
          <w:tcPr>
            <w:tcW w:w="2070"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台</w:t>
            </w:r>
          </w:p>
        </w:tc>
      </w:tr>
    </w:tbl>
    <w:p>
      <w:pPr>
        <w:numPr>
          <w:ilvl w:val="0"/>
          <w:numId w:val="27"/>
        </w:numPr>
        <w:ind w:left="0" w:leftChars="0" w:firstLine="0" w:firstLineChars="0"/>
        <w:rPr>
          <w:rFonts w:hint="default"/>
          <w:lang w:val="en-US" w:eastAsia="zh-CN"/>
        </w:rPr>
      </w:pPr>
      <w:r>
        <w:rPr>
          <w:rFonts w:hint="eastAsia"/>
          <w:lang w:val="en-US" w:eastAsia="zh-CN"/>
        </w:rPr>
        <w:t>宿舍楼</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7"/>
        <w:gridCol w:w="3127"/>
        <w:gridCol w:w="1916"/>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3127"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名称</w:t>
            </w:r>
          </w:p>
        </w:tc>
        <w:tc>
          <w:tcPr>
            <w:tcW w:w="1916"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2070"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5.1</w:t>
            </w:r>
          </w:p>
        </w:tc>
        <w:tc>
          <w:tcPr>
            <w:tcW w:w="3127"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楼栋汇聚交换机</w:t>
            </w:r>
          </w:p>
        </w:tc>
        <w:tc>
          <w:tcPr>
            <w:tcW w:w="1916" w:type="dxa"/>
            <w:vAlign w:val="center"/>
          </w:tcPr>
          <w:p>
            <w:pPr>
              <w:keepNext w:val="0"/>
              <w:keepLines w:val="0"/>
              <w:widowControl/>
              <w:suppressLineNumbers w:val="0"/>
              <w:jc w:val="center"/>
              <w:textAlignment w:val="center"/>
              <w:rPr>
                <w:rFonts w:hint="default" w:ascii="宋体" w:hAnsi="宋体" w:cs="宋体"/>
                <w:color w:val="000000"/>
                <w:kern w:val="0"/>
                <w:szCs w:val="21"/>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070" w:type="dxa"/>
            <w:vAlign w:val="center"/>
          </w:tcPr>
          <w:p>
            <w:pPr>
              <w:keepNext w:val="0"/>
              <w:keepLines w:val="0"/>
              <w:widowControl/>
              <w:suppressLineNumbers w:val="0"/>
              <w:jc w:val="center"/>
              <w:textAlignment w:val="center"/>
              <w:rPr>
                <w:rFonts w:hint="eastAsia" w:ascii="宋体" w:hAnsi="宋体" w:cs="宋体"/>
                <w:color w:val="000000"/>
                <w:kern w:val="0"/>
                <w:szCs w:val="21"/>
                <w:lang w:val="en-US" w:eastAsia="zh-CN" w:bidi="ar"/>
              </w:rPr>
            </w:pPr>
            <w:r>
              <w:rPr>
                <w:rFonts w:hint="eastAsia" w:ascii="宋体" w:hAnsi="宋体" w:eastAsia="宋体" w:cs="宋体"/>
                <w:i w:val="0"/>
                <w:iCs w:val="0"/>
                <w:color w:val="000000"/>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177" w:type="dxa"/>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5.2</w:t>
            </w:r>
          </w:p>
        </w:tc>
        <w:tc>
          <w:tcPr>
            <w:tcW w:w="3127"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万兆单模光模块</w:t>
            </w:r>
          </w:p>
        </w:tc>
        <w:tc>
          <w:tcPr>
            <w:tcW w:w="1916" w:type="dxa"/>
            <w:vAlign w:val="center"/>
          </w:tcPr>
          <w:p>
            <w:pPr>
              <w:keepNext w:val="0"/>
              <w:keepLines w:val="0"/>
              <w:widowControl/>
              <w:suppressLineNumbers w:val="0"/>
              <w:jc w:val="center"/>
              <w:textAlignment w:val="center"/>
              <w:rPr>
                <w:rFonts w:hint="eastAsia" w:ascii="宋体" w:hAnsi="宋体" w:cs="宋体"/>
                <w:color w:val="000000"/>
                <w:kern w:val="0"/>
                <w:szCs w:val="21"/>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2070" w:type="dxa"/>
            <w:vAlign w:val="center"/>
          </w:tcPr>
          <w:p>
            <w:pPr>
              <w:keepNext w:val="0"/>
              <w:keepLines w:val="0"/>
              <w:widowControl/>
              <w:suppressLineNumbers w:val="0"/>
              <w:jc w:val="center"/>
              <w:textAlignment w:val="center"/>
              <w:rPr>
                <w:rFonts w:hint="eastAsia" w:ascii="宋体" w:hAnsi="宋体" w:cs="宋体"/>
                <w:color w:val="000000"/>
                <w:kern w:val="0"/>
                <w:szCs w:val="21"/>
                <w:lang w:val="en-US" w:eastAsia="zh-CN" w:bidi="ar"/>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5.3</w:t>
            </w:r>
          </w:p>
        </w:tc>
        <w:tc>
          <w:tcPr>
            <w:tcW w:w="3127"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放装AP</w:t>
            </w:r>
          </w:p>
        </w:tc>
        <w:tc>
          <w:tcPr>
            <w:tcW w:w="1916" w:type="dxa"/>
            <w:vAlign w:val="center"/>
          </w:tcPr>
          <w:p>
            <w:pPr>
              <w:keepNext w:val="0"/>
              <w:keepLines w:val="0"/>
              <w:widowControl/>
              <w:suppressLineNumbers w:val="0"/>
              <w:jc w:val="center"/>
              <w:textAlignment w:val="center"/>
              <w:rPr>
                <w:rFonts w:hint="eastAsia" w:ascii="宋体" w:hAnsi="宋体" w:cs="宋体"/>
                <w:color w:val="000000"/>
                <w:kern w:val="0"/>
                <w:szCs w:val="21"/>
                <w:lang w:val="en-US" w:eastAsia="zh-CN" w:bidi="ar"/>
              </w:rPr>
            </w:pPr>
            <w:r>
              <w:rPr>
                <w:rFonts w:hint="eastAsia" w:ascii="宋体" w:hAnsi="宋体" w:eastAsia="宋体" w:cs="宋体"/>
                <w:i w:val="0"/>
                <w:iCs w:val="0"/>
                <w:color w:val="000000"/>
                <w:kern w:val="0"/>
                <w:sz w:val="22"/>
                <w:szCs w:val="22"/>
                <w:u w:val="none"/>
                <w:lang w:val="en-US" w:eastAsia="zh-CN" w:bidi="ar"/>
              </w:rPr>
              <w:t>98</w:t>
            </w:r>
          </w:p>
        </w:tc>
        <w:tc>
          <w:tcPr>
            <w:tcW w:w="2070" w:type="dxa"/>
            <w:vAlign w:val="center"/>
          </w:tcPr>
          <w:p>
            <w:pPr>
              <w:keepNext w:val="0"/>
              <w:keepLines w:val="0"/>
              <w:widowControl/>
              <w:suppressLineNumbers w:val="0"/>
              <w:jc w:val="center"/>
              <w:textAlignment w:val="center"/>
              <w:rPr>
                <w:rFonts w:hint="eastAsia" w:ascii="宋体" w:hAnsi="宋体" w:cs="宋体"/>
                <w:color w:val="000000"/>
                <w:kern w:val="0"/>
                <w:szCs w:val="21"/>
                <w:lang w:val="en-US" w:eastAsia="zh-CN" w:bidi="ar"/>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5.4</w:t>
            </w:r>
          </w:p>
        </w:tc>
        <w:tc>
          <w:tcPr>
            <w:tcW w:w="3127"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24口POE交换机</w:t>
            </w:r>
          </w:p>
        </w:tc>
        <w:tc>
          <w:tcPr>
            <w:tcW w:w="1916" w:type="dxa"/>
            <w:vAlign w:val="center"/>
          </w:tcPr>
          <w:p>
            <w:pPr>
              <w:keepNext w:val="0"/>
              <w:keepLines w:val="0"/>
              <w:widowControl/>
              <w:suppressLineNumbers w:val="0"/>
              <w:jc w:val="center"/>
              <w:textAlignment w:val="center"/>
              <w:rPr>
                <w:rFonts w:hint="eastAsia" w:ascii="宋体" w:hAnsi="宋体" w:cs="宋体"/>
                <w:color w:val="000000"/>
                <w:kern w:val="0"/>
                <w:szCs w:val="21"/>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2070" w:type="dxa"/>
            <w:vAlign w:val="center"/>
          </w:tcPr>
          <w:p>
            <w:pPr>
              <w:keepNext w:val="0"/>
              <w:keepLines w:val="0"/>
              <w:widowControl/>
              <w:suppressLineNumbers w:val="0"/>
              <w:jc w:val="center"/>
              <w:textAlignment w:val="center"/>
              <w:rPr>
                <w:rFonts w:hint="eastAsia" w:ascii="宋体" w:hAnsi="宋体" w:cs="宋体"/>
                <w:color w:val="000000"/>
                <w:kern w:val="0"/>
                <w:szCs w:val="21"/>
                <w:lang w:val="en-US" w:eastAsia="zh-CN" w:bidi="ar"/>
              </w:rPr>
            </w:pPr>
            <w:r>
              <w:rPr>
                <w:rFonts w:hint="eastAsia" w:ascii="宋体" w:hAnsi="宋体" w:eastAsia="宋体" w:cs="宋体"/>
                <w:i w:val="0"/>
                <w:iCs w:val="0"/>
                <w:color w:val="000000"/>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5.5</w:t>
            </w:r>
          </w:p>
        </w:tc>
        <w:tc>
          <w:tcPr>
            <w:tcW w:w="3127"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48口交换机</w:t>
            </w:r>
          </w:p>
        </w:tc>
        <w:tc>
          <w:tcPr>
            <w:tcW w:w="1916" w:type="dxa"/>
            <w:vAlign w:val="center"/>
          </w:tcPr>
          <w:p>
            <w:pPr>
              <w:keepNext w:val="0"/>
              <w:keepLines w:val="0"/>
              <w:widowControl/>
              <w:suppressLineNumbers w:val="0"/>
              <w:jc w:val="center"/>
              <w:textAlignment w:val="center"/>
              <w:rPr>
                <w:rFonts w:hint="eastAsia" w:ascii="宋体" w:hAnsi="宋体" w:cs="宋体"/>
                <w:color w:val="000000"/>
                <w:kern w:val="0"/>
                <w:szCs w:val="21"/>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2070" w:type="dxa"/>
            <w:vAlign w:val="center"/>
          </w:tcPr>
          <w:p>
            <w:pPr>
              <w:keepNext w:val="0"/>
              <w:keepLines w:val="0"/>
              <w:widowControl/>
              <w:suppressLineNumbers w:val="0"/>
              <w:jc w:val="center"/>
              <w:textAlignment w:val="center"/>
              <w:rPr>
                <w:rFonts w:hint="eastAsia" w:ascii="宋体" w:hAnsi="宋体" w:cs="宋体"/>
                <w:color w:val="000000"/>
                <w:kern w:val="0"/>
                <w:szCs w:val="21"/>
                <w:lang w:val="en-US" w:eastAsia="zh-CN" w:bidi="ar"/>
              </w:rPr>
            </w:pPr>
            <w:r>
              <w:rPr>
                <w:rFonts w:hint="eastAsia" w:ascii="宋体" w:hAnsi="宋体" w:eastAsia="宋体" w:cs="宋体"/>
                <w:i w:val="0"/>
                <w:iCs w:val="0"/>
                <w:color w:val="000000"/>
                <w:kern w:val="0"/>
                <w:sz w:val="22"/>
                <w:szCs w:val="22"/>
                <w:u w:val="none"/>
                <w:lang w:val="en-US" w:eastAsia="zh-CN" w:bidi="ar"/>
              </w:rPr>
              <w:t>台</w:t>
            </w:r>
          </w:p>
        </w:tc>
      </w:tr>
    </w:tbl>
    <w:p>
      <w:pPr>
        <w:widowControl/>
        <w:numPr>
          <w:ilvl w:val="0"/>
          <w:numId w:val="26"/>
        </w:numPr>
        <w:spacing w:line="360" w:lineRule="auto"/>
        <w:ind w:firstLine="482" w:firstLineChars="200"/>
        <w:jc w:val="left"/>
      </w:pPr>
      <w:r>
        <w:rPr>
          <w:rFonts w:hint="eastAsia" w:ascii="宋体" w:hAnsi="宋体" w:cs="宋体"/>
          <w:b/>
          <w:bCs/>
          <w:color w:val="000000" w:themeColor="text1"/>
          <w:kern w:val="0"/>
          <w:sz w:val="24"/>
          <w:szCs w:val="22"/>
          <w14:textFill>
            <w14:solidFill>
              <w14:schemeClr w14:val="tx1"/>
            </w14:solidFill>
          </w14:textFill>
        </w:rPr>
        <w:t>参数要求</w:t>
      </w:r>
    </w:p>
    <w:tbl>
      <w:tblPr>
        <w:tblStyle w:val="48"/>
        <w:tblW w:w="4997" w:type="pct"/>
        <w:tblInd w:w="0" w:type="dxa"/>
        <w:tblLayout w:type="autofit"/>
        <w:tblCellMar>
          <w:top w:w="0" w:type="dxa"/>
          <w:left w:w="108" w:type="dxa"/>
          <w:bottom w:w="0" w:type="dxa"/>
          <w:right w:w="108" w:type="dxa"/>
        </w:tblCellMar>
      </w:tblPr>
      <w:tblGrid>
        <w:gridCol w:w="441"/>
        <w:gridCol w:w="1074"/>
        <w:gridCol w:w="5030"/>
        <w:gridCol w:w="767"/>
        <w:gridCol w:w="569"/>
        <w:gridCol w:w="636"/>
      </w:tblGrid>
      <w:tr>
        <w:tblPrEx>
          <w:tblCellMar>
            <w:top w:w="0" w:type="dxa"/>
            <w:left w:w="108" w:type="dxa"/>
            <w:bottom w:w="0" w:type="dxa"/>
            <w:right w:w="108" w:type="dxa"/>
          </w:tblCellMar>
        </w:tblPrEx>
        <w:trPr>
          <w:trHeight w:val="4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序号</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设备名称</w:t>
            </w:r>
          </w:p>
        </w:tc>
        <w:tc>
          <w:tcPr>
            <w:tcW w:w="29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技术参数</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kern w:val="0"/>
                <w:sz w:val="22"/>
                <w:szCs w:val="22"/>
                <w:lang w:bidi="ar"/>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数量</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kern w:val="0"/>
                <w:sz w:val="22"/>
                <w:szCs w:val="22"/>
                <w:lang w:bidi="ar"/>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单位</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kern w:val="0"/>
                <w:sz w:val="22"/>
                <w:szCs w:val="22"/>
                <w:lang w:bidi="ar"/>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备注</w:t>
            </w:r>
          </w:p>
        </w:tc>
      </w:tr>
      <w:tr>
        <w:tblPrEx>
          <w:tblCellMar>
            <w:top w:w="0" w:type="dxa"/>
            <w:left w:w="108" w:type="dxa"/>
            <w:bottom w:w="0" w:type="dxa"/>
            <w:right w:w="108" w:type="dxa"/>
          </w:tblCellMar>
        </w:tblPrEx>
        <w:trPr>
          <w:trHeight w:val="4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kern w:val="0"/>
                <w:sz w:val="22"/>
                <w:szCs w:val="22"/>
                <w:lang w:bidi="ar"/>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1</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核心交换机</w:t>
            </w:r>
          </w:p>
        </w:tc>
        <w:tc>
          <w:tcPr>
            <w:tcW w:w="29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1、硬件架构：采用CLOS 无中板交换架构，线卡与交换网板完全正交(90度)设计，主控板槽位数≥2，独立交换网板槽位数≥6，业务板槽位数≥8，电源模块槽位数≥6，提供官网公开链接和截图证明；</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2、★设备性能：交换容量≥645Tbp，转发性能≥230400Mpps，官网较低值为准，提供官网截图及链接证明。</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3、接口要求：支持高密GE/10GE/25GE/40GE/100GE及400G高速以太网端口；</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4、支持融合AC及统一管理功能，最大可管理AP为12K，提供第三方权威机构测试报告证明；</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出厂预置管理软件，可实现批量导入或通过楼栋交换机，绑定设备区域位置，完成交换机自动上线获取正确的配置；支持自适应不同接入设备替换，同时支持端口盲插，可自适应端口接错线，端口配置自动跟随业务走，支持终端管理；提供具有CMA或CNAS认证章的第三方权威机构检验报告证明。</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6、支持流量无损功能（包括：FCOE、RoCE、DCB），支持IP分片和重组，支持缓存突发监控，提供第三方权威机构测试报告证明；</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7、支持VXLAN over IPv6；支持IPv6 VXLAN over IPv4；支持VxLAN OAM: VxLAN ping, VxLAN tracert；支持BGP EVPN协议；支持分布式网关，支持VXLAN Fabric 的自动化部署；</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8、配置要求：</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双主控，双交换网板，双电源模块,冗余风扇模块，万兆以太网光接口≥20个、千兆以太网光接口≥8个 、千兆以太网电接口≥24个。</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themeColor="text1"/>
                <w:kern w:val="0"/>
                <w:sz w:val="22"/>
                <w:szCs w:val="22"/>
                <w:lang w:val="en-US" w:eastAsia="zh-CN" w:bidi="ar"/>
                <w14:textFill>
                  <w14:solidFill>
                    <w14:schemeClr w14:val="tx1"/>
                  </w14:solidFill>
                </w14:textFill>
              </w:rPr>
            </w:pPr>
            <w:r>
              <w:rPr>
                <w:rFonts w:hint="eastAsia" w:ascii="宋体" w:hAnsi="宋体" w:cs="宋体"/>
                <w:color w:val="000000"/>
                <w:kern w:val="0"/>
                <w:sz w:val="22"/>
                <w:szCs w:val="22"/>
                <w:lang w:val="en-US" w:eastAsia="zh-CN" w:bidi="ar"/>
              </w:rPr>
              <w:t>2</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kern w:val="0"/>
                <w:sz w:val="22"/>
                <w:szCs w:val="22"/>
                <w:lang w:bidi="ar"/>
                <w14:textFill>
                  <w14:solidFill>
                    <w14:schemeClr w14:val="tx1"/>
                  </w14:solidFill>
                </w14:textFill>
              </w:rPr>
            </w:pPr>
            <w:r>
              <w:rPr>
                <w:rFonts w:hint="eastAsia" w:ascii="宋体" w:hAnsi="宋体" w:cs="宋体"/>
                <w:color w:val="000000"/>
                <w:kern w:val="0"/>
                <w:sz w:val="22"/>
                <w:szCs w:val="22"/>
                <w:lang w:bidi="ar"/>
              </w:rPr>
              <w:t>台</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下一代防火墙</w:t>
            </w:r>
          </w:p>
        </w:tc>
        <w:tc>
          <w:tcPr>
            <w:tcW w:w="29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1、★接口规格：千兆电口≥14，千兆光口≥8，万兆光口≥8，硬盘扩展槽≥2，接口扩展槽≥4；支持可插拔冗余余电源模块，可插拔冗余风扇模块；</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2、硬件性能: 防火墙吞吐量≥20Gbps，并发连接数≥1000万，每秒新建连接数≥12万。</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3、路由实现：支持静态路由、策略路由、RIP、OSPF、BGP、IS-IS等路由协议（提供功能截图）；</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4、VPN：可基于每个SSL VPN用户的会话连接数、连接时间和流量阀值进行细颗粒度的管控。（提供功能截图）；</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安全策略：支持基于域名的安全策略模糊匹配；支持策略风险调优，支持安全策略优化分析，支持策略数冗余及命中分析，支持基于应用风险的自动批量和手动逐条策略调优，可根据流量、应用、风险类型等方面展示。（提供功能截图）；</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6、URL过滤：设备提供海量预分类的URL地址库，支持根据URL类别实现URL过滤；</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7、威胁可视化：僵尸网络分析，攻击链推导及资产安全风险等级的可视化呈现；基于应用的数据分析 ；</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8、加密流量检测：支持HTTPS加密流量的安全检测，支持TCP代理和SSL代理，且代理策略中可同时配置多类过滤条件，具体包括：源安全域、目的安全域、源地址、目的地址、用户和服务。一类过滤条件可以配置多个匹配项；</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9、产品资质：★具备中国网络安全审查技术与认证中心颁发的EAL4增强级认证证书；须提供加盖制造厂商公章的证书扫描件；</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10、配置要求：实配冗余电源，实配入侵防御、防病毒、应用识别特征库三年升级授权。</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auto"/>
              <w:jc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kern w:val="0"/>
                <w:szCs w:val="21"/>
                <w:lang w:bidi="ar"/>
              </w:rPr>
              <w:t>台</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1"/>
                <w:lang w:bidi="ar"/>
              </w:rPr>
            </w:pPr>
            <w:r>
              <w:rPr>
                <w:rStyle w:val="119"/>
                <w:rFonts w:hint="eastAsia" w:ascii="宋体" w:hAnsi="宋体" w:eastAsia="宋体" w:cs="宋体"/>
                <w:i w:val="0"/>
                <w:iCs w:val="0"/>
                <w:color w:val="auto"/>
                <w:sz w:val="24"/>
                <w:szCs w:val="24"/>
                <w:lang w:val="en-US" w:eastAsia="zh-CN" w:bidi="ar"/>
              </w:rPr>
              <w:t>上网行为管理器</w:t>
            </w:r>
          </w:p>
        </w:tc>
        <w:tc>
          <w:tcPr>
            <w:tcW w:w="29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1、★尺寸大小：1U,整机支持12GE（光）+12GE（电），支持2TB的硬盘存储，支持双电源。</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2、★网络吞吐量≥5GbpsGbps，最大并发连接数≥120万，最大新建连接数≥6万；</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3、部署模式：支持路由模式、透明（网桥）模式、混合模式，支持镜像接口，部署模式切换无需重启设备；</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4、IPv6：支持接入IPv6网络；支持全IPV6能力，产品能力包含上网行为审计、上网行为控制、流量控制、认证、日志、报表等，并提供web配置界面截图；</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5、网络状态监控：支持黑名单用户显示、SSL VPN在线用户显示、实时用户/应用流速统计</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6、策略分析与清理：支持分析冗余策略、隐藏策略、冲突策略、可合并策略、空策略、过期策略，提供界面截图；支持策略分组，进行区分化管理和运维，提供功能截图</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7、用户行为控制：支持用户应用的精细化控制，例如微信的：“微信”“微信语音”“微信发消息”“微信收消息”“微信登录”“微信发文件”“微信收文件”并提供web配置截图</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8、配置要求：实配双电源，2TB的硬盘存储，3年得ACG特征库升级服务授权；</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微软雅黑" w:hAnsi="微软雅黑" w:eastAsia="微软雅黑" w:cs="微软雅黑"/>
                <w:color w:val="000000"/>
                <w:kern w:val="0"/>
                <w:sz w:val="20"/>
                <w:szCs w:val="20"/>
                <w:lang w:bidi="ar"/>
              </w:rPr>
              <w:t>1</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微软雅黑" w:hAnsi="微软雅黑" w:eastAsia="微软雅黑" w:cs="微软雅黑"/>
                <w:color w:val="000000"/>
                <w:kern w:val="0"/>
                <w:sz w:val="20"/>
                <w:szCs w:val="20"/>
                <w:lang w:bidi="ar"/>
              </w:rPr>
              <w:t>台</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无线控制器</w:t>
            </w:r>
          </w:p>
        </w:tc>
        <w:tc>
          <w:tcPr>
            <w:tcW w:w="29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（单独物理无线控制器设备，非集成化产品)</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1、★管理AP数：要求所投产品满足常规AP最大数量≥512（提供管理授权），提供官网公开链接和截图证明;</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2、★转发性能：要求所投产品集中转发性能≥10Gbps;</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3、★端口要求：要求所投产品提供≥8个千兆GE端口，≥2个万兆SFP+端口，≥2个2.5GE端口，提供官网公开链接和截图证明;</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4、★为了满足设备的稳定性，要求所投产品满足双电源冗余供电;实配冗余风扇模块，</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5、满足AC内漫游，满足跨AC间漫游，满足跨VLAN的三层漫游;</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6、满足基于802.11k/802.11v/802.11r协议的智能漫游，要求提供第三方测试报告关键页扫描件证明;</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为了保障无线网络的用户体验，所投产品需要满足对弱信号接入、乒乓漫游等常见无线网络问题的识别，并给出问题分布趋势图、该问题所影响的具体终端、涉及的AP以及该AP发生该异常的数量统计，需要提供第三方认证报告证明；</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8、满足雷达检测SSID逃生功能：AC、AP满足SSID自主逃生，当AP射频检测到雷达信号时，会将本射频的SSID迁移到其他射频，保障关键业务正常通信。要求提供第三方测试报告关键页复印件证明；</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9、满足Portal在线用户与DHCP租约联动功能：AC满足根据DHCP租约信息联动Portal用户自动下线，可以提高DHCP地址池的利用率，降低Portal重复认证开销。要求提供第三方测试报告关键页扫描件证明。</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微软雅黑" w:hAnsi="微软雅黑" w:eastAsia="微软雅黑" w:cs="微软雅黑"/>
                <w:color w:val="000000"/>
                <w:kern w:val="0"/>
                <w:sz w:val="20"/>
                <w:szCs w:val="20"/>
                <w:lang w:bidi="ar"/>
              </w:rPr>
              <w:t>1</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eastAsia="zh-CN" w:bidi="ar"/>
              </w:rPr>
            </w:pPr>
            <w:r>
              <w:rPr>
                <w:rFonts w:hint="eastAsia" w:ascii="微软雅黑" w:hAnsi="微软雅黑" w:eastAsia="微软雅黑" w:cs="微软雅黑"/>
                <w:color w:val="000000"/>
                <w:kern w:val="0"/>
                <w:sz w:val="20"/>
                <w:szCs w:val="20"/>
                <w:lang w:val="en-US" w:eastAsia="zh-CN" w:bidi="ar"/>
              </w:rPr>
              <w:t>台</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网络管理平台</w:t>
            </w:r>
          </w:p>
        </w:tc>
        <w:tc>
          <w:tcPr>
            <w:tcW w:w="29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1、支持设备面板的显示、定时刷新、面板缩放功能，通过面板管理，网络管理人员可以直观地看到设备、板卡、端口、指示灯、电源、风扇的工作状态；支持以路由方式、arp、IPsec VPN、网段、ppp等5种方式自动发现网络设备，提供产品功能截图证明</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2、自动发现拓扑：自动发现网络中的所有网络设备，并在拓扑中显示出来，支持拓扑图自定义修改，包括设备、链路等；</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故障管理：系统支持将告警信息转发到设置的E-mail邮箱、移动电话或目的IP地址对应的网管服务器。转发方式分为邮件通知转发、短信通知转发、告警转发、微信和企业微信转发，便于及时通知维护人员，提供产品功能截图证明；</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性能管理：可以针对单个或者多个网元设备进行实时性能监视，并且支持对于管理员自定义的监视项进行监视，系统可以通过学习设备某性能指标的历史数据，计算出设备该性能指标的最佳阈值。提供产品功能截图证明；</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ACL管理：系统提供对单设备ACL配置定义、应用ACL定义和包过滤等业务，并提供设备配置历史查看的功能；对于大量设备的批量ACL配置，提供友好的向导方式，利用灵活、便捷的批量部署模板，简化管理员为多台设备配置ACL的步骤；能够提供强大的部署处理机制和多角度的任务视图，方便管理员进行管理和任务部署，使其更加灵活，提供产品功能截图证明；</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IP地址绑定：对绑定的IP/MAC进行监控，如果该MAC地址对应的设备更换了IP地址，或者其它设备冒用了本IP地址，则系统会立即发送相关告警，通知管理员发生了IP使用违规现象，从而管理员能够及时采取措施应对。IP/MAC绑定，能有效防止网络IP地址使用冲突或盗用的现象，提供产品功能截图证明；</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非法接入设备监控：对接入设备MAC地址进行监控，如果其它MAC地址接入到该接口，或者该MAC从其它设备接口接入网络，系统会立即发送相关告警，通知管理员发生了MAC接入违规现象，从而管理员能够及时采取措施应对；</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网络资产自动发现：在设备增加到网络资产管理的同时，系统还会自动发现该设备上可以管理的配件信息，并将这些配件加入到网络资产中进行管理，网管员可以根据不同的查询条件查询网络资产信息；对资产进行变更审计；</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9、支持有线无线一体化管理，可统一管理AC、AP、无线终端、PoE交换机等设备，支持在拓扑上支持展示设备告警、状态，可以十分逼真的展示全网的网络结构，提供产品功能截图证明；</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10、在拓扑上支持查看AP当前在线Station及详细信息，可以实现设备和用户的统一管理，支持进行Station上线历史记录浏览，提供产品功能截图证明；</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11、配置要求：交换机管理授权≥200节点，无线AP管理授权≥512；</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kern w:val="0"/>
                <w:sz w:val="22"/>
                <w:szCs w:val="22"/>
                <w:lang w:eastAsia="zh-CN" w:bidi="ar"/>
                <w14:textFill>
                  <w14:solidFill>
                    <w14:schemeClr w14:val="tx1"/>
                  </w14:solidFill>
                </w14:textFill>
              </w:rPr>
            </w:pPr>
            <w:r>
              <w:rPr>
                <w:rFonts w:hint="eastAsia" w:ascii="微软雅黑" w:hAnsi="微软雅黑" w:eastAsia="微软雅黑" w:cs="微软雅黑"/>
                <w:color w:val="000000"/>
                <w:kern w:val="0"/>
                <w:sz w:val="20"/>
                <w:szCs w:val="20"/>
                <w:lang w:val="en-US" w:eastAsia="zh-CN" w:bidi="ar"/>
              </w:rPr>
              <w:t>1</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微软雅黑" w:hAnsi="微软雅黑" w:eastAsia="微软雅黑" w:cs="微软雅黑"/>
                <w:color w:val="000000"/>
                <w:kern w:val="0"/>
                <w:sz w:val="20"/>
                <w:szCs w:val="20"/>
                <w:lang w:bidi="ar"/>
              </w:rPr>
              <w:t>套</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lang w:bidi="ar"/>
              </w:rPr>
              <w:t>6</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万兆单模光模块</w:t>
            </w:r>
          </w:p>
        </w:tc>
        <w:tc>
          <w:tcPr>
            <w:tcW w:w="29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Cs w:val="21"/>
                <w:lang w:bidi="ar"/>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光模块-SFP+-10G-单模模块(1310nm,10km,LC)</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微软雅黑"/>
                <w:color w:val="000000"/>
                <w:kern w:val="0"/>
                <w:sz w:val="20"/>
                <w:szCs w:val="20"/>
                <w:lang w:val="en-US" w:eastAsia="zh-CN" w:bidi="ar"/>
              </w:rPr>
              <w:t>346</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cs="微软雅黑"/>
                <w:color w:val="000000"/>
                <w:kern w:val="0"/>
                <w:sz w:val="20"/>
                <w:szCs w:val="20"/>
                <w:lang w:val="en-US" w:eastAsia="zh-CN" w:bidi="ar"/>
              </w:rPr>
              <w:t>个</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themeColor="text1"/>
                <w:kern w:val="0"/>
                <w:szCs w:val="21"/>
                <w:lang w:val="en-US" w:eastAsia="zh-CN" w:bidi="ar"/>
                <w14:textFill>
                  <w14:solidFill>
                    <w14:schemeClr w14:val="tx1"/>
                  </w14:solidFill>
                </w14:textFill>
              </w:rPr>
              <w:t>楼栋汇聚交换机</w:t>
            </w:r>
          </w:p>
        </w:tc>
        <w:tc>
          <w:tcPr>
            <w:tcW w:w="29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1、</w:t>
            </w:r>
            <w:r>
              <w:rPr>
                <w:rFonts w:hint="eastAsia" w:ascii="宋体" w:hAnsi="宋体" w:cs="宋体"/>
                <w:color w:val="000000" w:themeColor="text1"/>
                <w:kern w:val="0"/>
                <w:szCs w:val="21"/>
                <w:lang w:bidi="ar"/>
                <w14:textFill>
                  <w14:solidFill>
                    <w14:schemeClr w14:val="tx1"/>
                  </w14:solidFill>
                </w14:textFill>
              </w:rPr>
              <w:t>硬件架构：符合业界主流机柜尺寸规范要求，主控槽位（全宽）≥2、业务槽位≥6；</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2、★交换容量：交换容量≥384Tbps、包转发率≥57600Mpps，提供官网截图和链接证明；</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3、可视化：支持Telemetry流量可视化功能，提供第三方权威机构测试报告；</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4、支持一虚多技术，通过该功能可以实现创建、删除、单板划入、单板划出交换机的特性，最大支持10个虚拟交换机，提供第三方权威机构测试报告；</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5、VXLAN：支持基于IPv4\IPv6的 VXLAN 二三层互通(包括分布式网关或集中式网关)，支持 EVPN，与非 VXLAN 网络互通，支持 VxLAN OAM ping 和tracert，提供第三方权威机构测试报告；</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6、★可靠性：支持IPv4\Pv6 BFD功能,支持BFD与OSPF/VRRP/ BGP4+联动,提供第三方权威机构测试报告；</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7、★安全特性：支持CPU防攻击能力，提供第三方权威机构测试报告；</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8、支持内置智能图形化管理功能，对于下联设备具备统一管理的功能能够通过图形化界面对组内设备进行配置文件一键下发；对拓扑内的设备或设备组批量进行版本升级，提供第三方权威机构测试报告；</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9、配置要求：实配双主控，双电源模块,万兆以太网光接口≥96个，千兆电口≥24个，千兆光口≥8个。</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eastAsia="zh-CN" w:bidi="ar"/>
              </w:rPr>
            </w:pPr>
            <w:r>
              <w:rPr>
                <w:rFonts w:hint="eastAsia" w:ascii="微软雅黑" w:hAnsi="微软雅黑" w:eastAsia="微软雅黑" w:cs="微软雅黑"/>
                <w:color w:val="000000"/>
                <w:kern w:val="0"/>
                <w:sz w:val="20"/>
                <w:szCs w:val="20"/>
                <w:lang w:val="en-US" w:eastAsia="zh-CN" w:bidi="ar"/>
              </w:rPr>
              <w:t>4</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eastAsia="zh-CN" w:bidi="ar"/>
              </w:rPr>
            </w:pPr>
            <w:r>
              <w:rPr>
                <w:rFonts w:hint="eastAsia" w:ascii="微软雅黑" w:hAnsi="微软雅黑" w:eastAsia="微软雅黑" w:cs="微软雅黑"/>
                <w:color w:val="000000"/>
                <w:kern w:val="0"/>
                <w:sz w:val="20"/>
                <w:szCs w:val="20"/>
                <w:lang w:val="en-US" w:eastAsia="zh-CN" w:bidi="ar"/>
              </w:rPr>
              <w:t>台</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8</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8口POE交换机</w:t>
            </w:r>
          </w:p>
        </w:tc>
        <w:tc>
          <w:tcPr>
            <w:tcW w:w="29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1、★设备性能：交换容量≥430Gbps，包转发率≥80Mpps，以官网所列最低参数为准；</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2、硬件规格：符合业界主流机柜尺寸规范要求，工作环境温度-5ºC～45ºC，</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3、端口：10/100/1000BASE-T PoE+端口≥6个，1G/2.5G/5GBase-T PoE+多速率端口≥2个，10/100/1000Base-T端口≥2，10G/1G SFP+端口≥2个，提供官网截图及链接证明；</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4、要求采用静音设计</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5、三层功能：支持IPv4静态路由、RIP、OSPF，支持IPv6静态路由、RIPng、OSPFv3；</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6、绿色节能：符合IEEE 802.3az（EEE）节能标准，支持端口自动节能；</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7、交换机支持图形化操作的方式，实现对网络的统一运维及管理，支持Telemetry技术，实现网络精准运维，提供官网截图及链接证明；</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8、内置防雷：支持10KV业务端口防雷能力。</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0"/>
                <w:szCs w:val="20"/>
                <w:lang w:val="en-US" w:eastAsia="zh-CN" w:bidi="ar"/>
                <w14:textFill>
                  <w14:solidFill>
                    <w14:schemeClr w14:val="tx1"/>
                  </w14:solidFill>
                </w14:textFill>
              </w:rPr>
              <w:t>109</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微软雅黑" w:hAnsi="微软雅黑" w:eastAsia="微软雅黑" w:cs="微软雅黑"/>
                <w:color w:val="000000" w:themeColor="text1"/>
                <w:kern w:val="0"/>
                <w:sz w:val="20"/>
                <w:szCs w:val="20"/>
                <w:lang w:bidi="ar"/>
                <w14:textFill>
                  <w14:solidFill>
                    <w14:schemeClr w14:val="tx1"/>
                  </w14:solidFill>
                </w14:textFill>
              </w:rPr>
              <w:t>台</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9</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eastAsia="宋体" w:cs="宋体"/>
                <w:i w:val="0"/>
                <w:iCs w:val="0"/>
                <w:color w:val="auto"/>
                <w:kern w:val="0"/>
                <w:sz w:val="24"/>
                <w:szCs w:val="24"/>
                <w:u w:val="none"/>
                <w:lang w:val="en-US" w:eastAsia="zh-CN" w:bidi="ar"/>
              </w:rPr>
              <w:t>放装AP</w:t>
            </w:r>
          </w:p>
        </w:tc>
        <w:tc>
          <w:tcPr>
            <w:tcW w:w="29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工作模式：支持802.11ax协议；整机支持≥4条空间流；整机最大无线速率≥2.97Gbps。同时支持5G、4G射频，提供官网公开链接和截图证明；</w:t>
            </w:r>
            <w:r>
              <w:rPr>
                <w:rFonts w:hint="eastAsia" w:ascii="宋体" w:hAnsi="宋体" w:cs="宋体"/>
                <w:color w:val="000000" w:themeColor="text1"/>
                <w:kern w:val="0"/>
                <w:szCs w:val="21"/>
                <w:lang w:val="en-US" w:eastAsia="zh-CN" w:bidi="ar"/>
                <w14:textFill>
                  <w14:solidFill>
                    <w14:schemeClr w14:val="tx1"/>
                  </w14:solidFill>
                </w14:textFill>
              </w:rPr>
              <w:br w:type="textWrapping"/>
            </w:r>
            <w:r>
              <w:rPr>
                <w:rFonts w:hint="eastAsia" w:ascii="宋体" w:hAnsi="宋体" w:cs="宋体"/>
                <w:color w:val="000000" w:themeColor="text1"/>
                <w:kern w:val="0"/>
                <w:szCs w:val="21"/>
                <w:lang w:val="en-US" w:eastAsia="zh-CN" w:bidi="ar"/>
                <w14:textFill>
                  <w14:solidFill>
                    <w14:schemeClr w14:val="tx1"/>
                  </w14:solidFill>
                </w14:textFill>
              </w:rPr>
              <w:t>2、接口设计：固化接口数≥2个，包括1个100/1000M/2.5G光口，1个10M/100M/1000M电口，提供官网公开链接和截图证明；</w:t>
            </w:r>
            <w:r>
              <w:rPr>
                <w:rFonts w:hint="eastAsia" w:ascii="宋体" w:hAnsi="宋体" w:cs="宋体"/>
                <w:color w:val="000000" w:themeColor="text1"/>
                <w:kern w:val="0"/>
                <w:szCs w:val="21"/>
                <w:lang w:val="en-US" w:eastAsia="zh-CN" w:bidi="ar"/>
                <w14:textFill>
                  <w14:solidFill>
                    <w14:schemeClr w14:val="tx1"/>
                  </w14:solidFill>
                </w14:textFill>
              </w:rPr>
              <w:br w:type="textWrapping"/>
            </w:r>
            <w:r>
              <w:rPr>
                <w:rFonts w:hint="eastAsia" w:ascii="宋体" w:hAnsi="宋体" w:cs="宋体"/>
                <w:color w:val="000000" w:themeColor="text1"/>
                <w:kern w:val="0"/>
                <w:szCs w:val="21"/>
                <w:lang w:val="en-US" w:eastAsia="zh-CN" w:bidi="ar"/>
                <w14:textFill>
                  <w14:solidFill>
                    <w14:schemeClr w14:val="tx1"/>
                  </w14:solidFill>
                </w14:textFill>
              </w:rPr>
              <w:t>3、内置物联网：支持内置物联网功能模块；</w:t>
            </w:r>
            <w:r>
              <w:rPr>
                <w:rFonts w:hint="eastAsia" w:ascii="宋体" w:hAnsi="宋体" w:cs="宋体"/>
                <w:color w:val="000000" w:themeColor="text1"/>
                <w:kern w:val="0"/>
                <w:szCs w:val="21"/>
                <w:lang w:val="en-US" w:eastAsia="zh-CN" w:bidi="ar"/>
                <w14:textFill>
                  <w14:solidFill>
                    <w14:schemeClr w14:val="tx1"/>
                  </w14:solidFill>
                </w14:textFill>
              </w:rPr>
              <w:br w:type="textWrapping"/>
            </w:r>
            <w:r>
              <w:rPr>
                <w:rFonts w:hint="eastAsia" w:ascii="宋体" w:hAnsi="宋体" w:cs="宋体"/>
                <w:color w:val="000000" w:themeColor="text1"/>
                <w:kern w:val="0"/>
                <w:szCs w:val="21"/>
                <w:lang w:val="en-US" w:eastAsia="zh-CN" w:bidi="ar"/>
                <w14:textFill>
                  <w14:solidFill>
                    <w14:schemeClr w14:val="tx1"/>
                  </w14:solidFill>
                </w14:textFill>
              </w:rPr>
              <w:t>4、安装方式：满足业主实际使用需求。</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cs="宋体" w:asciiTheme="minorEastAsia" w:hAnsiTheme="minorEastAsia" w:eastAsiaTheme="minorEastAsia"/>
                <w:color w:val="000000" w:themeColor="text1"/>
                <w:kern w:val="0"/>
                <w:sz w:val="22"/>
                <w:szCs w:val="22"/>
                <w:lang w:val="en-US" w:eastAsia="zh-CN" w:bidi="ar"/>
                <w14:textFill>
                  <w14:solidFill>
                    <w14:schemeClr w14:val="tx1"/>
                  </w14:solidFill>
                </w14:textFill>
              </w:rPr>
            </w:pPr>
            <w:r>
              <w:rPr>
                <w:rFonts w:hint="eastAsia" w:cs="微软雅黑" w:asciiTheme="minorEastAsia" w:hAnsiTheme="minorEastAsia" w:eastAsiaTheme="minorEastAsia"/>
                <w:color w:val="000000" w:themeColor="text1"/>
                <w:kern w:val="0"/>
                <w:sz w:val="20"/>
                <w:szCs w:val="20"/>
                <w:lang w:val="en-US" w:eastAsia="zh-CN" w:bidi="ar"/>
                <w14:textFill>
                  <w14:solidFill>
                    <w14:schemeClr w14:val="tx1"/>
                  </w14:solidFill>
                </w14:textFill>
              </w:rPr>
              <w:t>376</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宋体" w:asciiTheme="minorEastAsia" w:hAnsiTheme="minorEastAsia" w:eastAsiaTheme="minorEastAsia"/>
                <w:color w:val="000000" w:themeColor="text1"/>
                <w:kern w:val="0"/>
                <w:sz w:val="22"/>
                <w:szCs w:val="22"/>
                <w:lang w:eastAsia="zh-CN" w:bidi="ar"/>
                <w14:textFill>
                  <w14:solidFill>
                    <w14:schemeClr w14:val="tx1"/>
                  </w14:solidFill>
                </w14:textFill>
              </w:rPr>
            </w:pPr>
            <w:r>
              <w:rPr>
                <w:rFonts w:hint="eastAsia" w:cs="微软雅黑" w:asciiTheme="minorEastAsia" w:hAnsiTheme="minorEastAsia" w:eastAsiaTheme="minorEastAsia"/>
                <w:color w:val="000000" w:themeColor="text1"/>
                <w:kern w:val="0"/>
                <w:sz w:val="20"/>
                <w:szCs w:val="20"/>
                <w:lang w:val="en-US" w:eastAsia="zh-CN" w:bidi="ar"/>
                <w14:textFill>
                  <w14:solidFill>
                    <w14:schemeClr w14:val="tx1"/>
                  </w14:solidFill>
                </w14:textFill>
              </w:rPr>
              <w:t>个</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kern w:val="0"/>
                <w:szCs w:val="21"/>
                <w:lang w:bidi="ar"/>
              </w:rPr>
            </w:pPr>
          </w:p>
        </w:tc>
      </w:tr>
      <w:tr>
        <w:tblPrEx>
          <w:tblCellMar>
            <w:top w:w="0" w:type="dxa"/>
            <w:left w:w="108" w:type="dxa"/>
            <w:bottom w:w="0" w:type="dxa"/>
            <w:right w:w="108" w:type="dxa"/>
          </w:tblCellMar>
        </w:tblPrEx>
        <w:trPr>
          <w:trHeight w:val="4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eastAsia="宋体" w:cs="宋体"/>
                <w:i w:val="0"/>
                <w:iCs w:val="0"/>
                <w:color w:val="auto"/>
                <w:kern w:val="0"/>
                <w:sz w:val="24"/>
                <w:szCs w:val="24"/>
                <w:u w:val="none"/>
                <w:lang w:val="en-US" w:eastAsia="zh-CN" w:bidi="ar"/>
              </w:rPr>
              <w:t>放装AP（高密）</w:t>
            </w:r>
          </w:p>
        </w:tc>
        <w:tc>
          <w:tcPr>
            <w:tcW w:w="29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★工作模式:支持802.11ax标准。采用三射频设计，至少保证2条5GHz射频。 整机支持≥8条空间流，整机最大无线速率≥9.6Gbps。</w:t>
            </w:r>
          </w:p>
          <w:p>
            <w:pPr>
              <w:widowControl/>
              <w:jc w:val="left"/>
              <w:textAlignment w:val="center"/>
              <w:rPr>
                <w:rFonts w:hint="default"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★整机协商速率：整机最大速率≥9.6Gbps，提供官网公开链接和截图证明；</w:t>
            </w:r>
            <w:r>
              <w:rPr>
                <w:rFonts w:hint="eastAsia" w:ascii="宋体" w:hAnsi="宋体" w:cs="宋体"/>
                <w:color w:val="000000" w:themeColor="text1"/>
                <w:kern w:val="0"/>
                <w:szCs w:val="21"/>
                <w:lang w:val="en-US" w:eastAsia="zh-CN" w:bidi="ar"/>
                <w14:textFill>
                  <w14:solidFill>
                    <w14:schemeClr w14:val="tx1"/>
                  </w14:solidFill>
                </w14:textFill>
              </w:rPr>
              <w:br w:type="textWrapping"/>
            </w:r>
            <w:r>
              <w:rPr>
                <w:rFonts w:hint="eastAsia" w:ascii="宋体" w:hAnsi="宋体" w:cs="宋体"/>
                <w:color w:val="000000" w:themeColor="text1"/>
                <w:kern w:val="0"/>
                <w:szCs w:val="21"/>
                <w:lang w:val="en-US" w:eastAsia="zh-CN" w:bidi="ar"/>
                <w14:textFill>
                  <w14:solidFill>
                    <w14:schemeClr w14:val="tx1"/>
                  </w14:solidFill>
                </w14:textFill>
              </w:rPr>
              <w:t>3、★接口设计≥2个接口，其中1个100/1000M/2.5G/5G电口，1个10M/100M/1000M电口，提供官网公开链接和截图证明；</w:t>
            </w:r>
            <w:r>
              <w:rPr>
                <w:rFonts w:hint="eastAsia" w:ascii="宋体" w:hAnsi="宋体" w:cs="宋体"/>
                <w:color w:val="000000" w:themeColor="text1"/>
                <w:kern w:val="0"/>
                <w:szCs w:val="21"/>
                <w:lang w:val="en-US" w:eastAsia="zh-CN" w:bidi="ar"/>
                <w14:textFill>
                  <w14:solidFill>
                    <w14:schemeClr w14:val="tx1"/>
                  </w14:solidFill>
                </w14:textFill>
              </w:rPr>
              <w:br w:type="textWrapping"/>
            </w:r>
            <w:r>
              <w:rPr>
                <w:rFonts w:hint="eastAsia" w:ascii="宋体" w:hAnsi="宋体" w:cs="宋体"/>
                <w:color w:val="000000" w:themeColor="text1"/>
                <w:kern w:val="0"/>
                <w:szCs w:val="21"/>
                <w:lang w:val="en-US" w:eastAsia="zh-CN" w:bidi="ar"/>
                <w14:textFill>
                  <w14:solidFill>
                    <w14:schemeClr w14:val="tx1"/>
                  </w14:solidFill>
                </w14:textFill>
              </w:rPr>
              <w:t>空间流数 为保证高密用户接入，整机5GHz射频空间流≥8，2.4GHz射频空间流≥2；</w:t>
            </w:r>
            <w:r>
              <w:rPr>
                <w:rFonts w:hint="eastAsia" w:ascii="宋体" w:hAnsi="宋体" w:cs="宋体"/>
                <w:color w:val="000000" w:themeColor="text1"/>
                <w:kern w:val="0"/>
                <w:szCs w:val="21"/>
                <w:lang w:val="en-US" w:eastAsia="zh-CN" w:bidi="ar"/>
                <w14:textFill>
                  <w14:solidFill>
                    <w14:schemeClr w14:val="tx1"/>
                  </w14:solidFill>
                </w14:textFill>
              </w:rPr>
              <w:br w:type="textWrapping"/>
            </w:r>
            <w:r>
              <w:rPr>
                <w:rFonts w:hint="eastAsia" w:ascii="宋体" w:hAnsi="宋体" w:cs="宋体"/>
                <w:color w:val="000000" w:themeColor="text1"/>
                <w:kern w:val="0"/>
                <w:szCs w:val="21"/>
                <w:lang w:val="en-US" w:eastAsia="zh-CN" w:bidi="ar"/>
                <w14:textFill>
                  <w14:solidFill>
                    <w14:schemeClr w14:val="tx1"/>
                  </w14:solidFill>
                </w14:textFill>
              </w:rPr>
              <w:t>4、空间流和覆盖效果：支持工作在4*4 MIMO。</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微软雅黑" w:cs="宋体"/>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1</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0</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kern w:val="0"/>
                <w:sz w:val="22"/>
                <w:szCs w:val="22"/>
                <w:lang w:eastAsia="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个</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24口POE交换机</w:t>
            </w:r>
          </w:p>
        </w:tc>
        <w:tc>
          <w:tcPr>
            <w:tcW w:w="29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1、设备性能≥672Gbps ，转发性能≥171Mpps ，提供官网截图证明。</w:t>
            </w:r>
            <w:r>
              <w:rPr>
                <w:rFonts w:hint="eastAsia" w:ascii="宋体" w:hAnsi="宋体" w:cs="宋体"/>
                <w:color w:val="000000" w:themeColor="text1"/>
                <w:kern w:val="0"/>
                <w:szCs w:val="21"/>
                <w:lang w:val="en-US" w:eastAsia="zh-CN" w:bidi="ar"/>
                <w14:textFill>
                  <w14:solidFill>
                    <w14:schemeClr w14:val="tx1"/>
                  </w14:solidFill>
                </w14:textFill>
              </w:rPr>
              <w:br w:type="textWrapping"/>
            </w:r>
            <w:r>
              <w:rPr>
                <w:rFonts w:hint="eastAsia" w:ascii="宋体" w:hAnsi="宋体" w:cs="宋体"/>
                <w:color w:val="000000" w:themeColor="text1"/>
                <w:kern w:val="0"/>
                <w:szCs w:val="21"/>
                <w:lang w:val="en-US" w:eastAsia="zh-CN" w:bidi="ar"/>
                <w14:textFill>
                  <w14:solidFill>
                    <w14:schemeClr w14:val="tx1"/>
                  </w14:solidFill>
                </w14:textFill>
              </w:rPr>
              <w:t>2、★硬件规格：10/100/1000Base-T端口≥24个，万兆SFP+口≥4个，带外管理网口≥1个，</w:t>
            </w:r>
            <w:r>
              <w:rPr>
                <w:rFonts w:hint="eastAsia" w:ascii="宋体" w:hAnsi="宋体" w:cs="宋体"/>
                <w:color w:val="000000" w:themeColor="text1"/>
                <w:kern w:val="0"/>
                <w:szCs w:val="21"/>
                <w:lang w:val="en-US" w:eastAsia="zh-CN" w:bidi="ar"/>
                <w14:textFill>
                  <w14:solidFill>
                    <w14:schemeClr w14:val="tx1"/>
                  </w14:solidFill>
                </w14:textFill>
              </w:rPr>
              <w:br w:type="textWrapping"/>
            </w:r>
            <w:r>
              <w:rPr>
                <w:rFonts w:hint="eastAsia" w:ascii="宋体" w:hAnsi="宋体" w:cs="宋体"/>
                <w:color w:val="000000" w:themeColor="text1"/>
                <w:kern w:val="0"/>
                <w:szCs w:val="21"/>
                <w:lang w:val="en-US" w:eastAsia="zh-CN" w:bidi="ar"/>
                <w14:textFill>
                  <w14:solidFill>
                    <w14:schemeClr w14:val="tx1"/>
                  </w14:solidFill>
                </w14:textFill>
              </w:rPr>
              <w:t>USB接口≥1个，Console口≥1个，提供官网截图及链接证明；</w:t>
            </w:r>
            <w:r>
              <w:rPr>
                <w:rFonts w:hint="eastAsia" w:ascii="宋体" w:hAnsi="宋体" w:cs="宋体"/>
                <w:color w:val="000000" w:themeColor="text1"/>
                <w:kern w:val="0"/>
                <w:szCs w:val="21"/>
                <w:lang w:val="en-US" w:eastAsia="zh-CN" w:bidi="ar"/>
                <w14:textFill>
                  <w14:solidFill>
                    <w14:schemeClr w14:val="tx1"/>
                  </w14:solidFill>
                </w14:textFill>
              </w:rPr>
              <w:br w:type="textWrapping"/>
            </w:r>
            <w:r>
              <w:rPr>
                <w:rFonts w:hint="eastAsia" w:ascii="宋体" w:hAnsi="宋体" w:cs="宋体"/>
                <w:color w:val="000000" w:themeColor="text1"/>
                <w:kern w:val="0"/>
                <w:szCs w:val="21"/>
                <w:lang w:val="en-US" w:eastAsia="zh-CN" w:bidi="ar"/>
                <w14:textFill>
                  <w14:solidFill>
                    <w14:schemeClr w14:val="tx1"/>
                  </w14:solidFill>
                </w14:textFill>
              </w:rPr>
              <w:t>3、PoE供电:支持802.3at/POE+供电标准；</w:t>
            </w:r>
            <w:r>
              <w:rPr>
                <w:rFonts w:hint="eastAsia" w:ascii="宋体" w:hAnsi="宋体" w:cs="宋体"/>
                <w:color w:val="000000" w:themeColor="text1"/>
                <w:kern w:val="0"/>
                <w:szCs w:val="21"/>
                <w:lang w:val="en-US" w:eastAsia="zh-CN" w:bidi="ar"/>
                <w14:textFill>
                  <w14:solidFill>
                    <w14:schemeClr w14:val="tx1"/>
                  </w14:solidFill>
                </w14:textFill>
              </w:rPr>
              <w:br w:type="textWrapping"/>
            </w:r>
            <w:r>
              <w:rPr>
                <w:rFonts w:hint="eastAsia" w:ascii="宋体" w:hAnsi="宋体" w:cs="宋体"/>
                <w:color w:val="000000" w:themeColor="text1"/>
                <w:kern w:val="0"/>
                <w:szCs w:val="21"/>
                <w:lang w:val="en-US" w:eastAsia="zh-CN" w:bidi="ar"/>
                <w14:textFill>
                  <w14:solidFill>
                    <w14:schemeClr w14:val="tx1"/>
                  </w14:solidFill>
                </w14:textFill>
              </w:rPr>
              <w:t>4、支持链路聚合基本功能及聚合零丢包；</w:t>
            </w:r>
            <w:r>
              <w:rPr>
                <w:rFonts w:hint="eastAsia" w:ascii="宋体" w:hAnsi="宋体" w:cs="宋体"/>
                <w:color w:val="000000" w:themeColor="text1"/>
                <w:kern w:val="0"/>
                <w:szCs w:val="21"/>
                <w:lang w:val="en-US" w:eastAsia="zh-CN" w:bidi="ar"/>
                <w14:textFill>
                  <w14:solidFill>
                    <w14:schemeClr w14:val="tx1"/>
                  </w14:solidFill>
                </w14:textFill>
              </w:rPr>
              <w:br w:type="textWrapping"/>
            </w:r>
            <w:r>
              <w:rPr>
                <w:rFonts w:hint="eastAsia" w:ascii="宋体" w:hAnsi="宋体" w:cs="宋体"/>
                <w:color w:val="000000" w:themeColor="text1"/>
                <w:kern w:val="0"/>
                <w:szCs w:val="21"/>
                <w:lang w:val="en-US" w:eastAsia="zh-CN" w:bidi="ar"/>
                <w14:textFill>
                  <w14:solidFill>
                    <w14:schemeClr w14:val="tx1"/>
                  </w14:solidFill>
                </w14:textFill>
              </w:rPr>
              <w:t>5、交换机支持图形化操作的方式，支持Telemetry技术，实现网络精准运维；支持Telemetry技术，实现网络精准运维，提供官网截图及链接证明；</w:t>
            </w:r>
            <w:r>
              <w:rPr>
                <w:rFonts w:hint="eastAsia" w:ascii="宋体" w:hAnsi="宋体" w:cs="宋体"/>
                <w:color w:val="000000" w:themeColor="text1"/>
                <w:kern w:val="0"/>
                <w:szCs w:val="21"/>
                <w:lang w:val="en-US" w:eastAsia="zh-CN" w:bidi="ar"/>
                <w14:textFill>
                  <w14:solidFill>
                    <w14:schemeClr w14:val="tx1"/>
                  </w14:solidFill>
                </w14:textFill>
              </w:rPr>
              <w:br w:type="textWrapping"/>
            </w:r>
            <w:r>
              <w:rPr>
                <w:rFonts w:hint="eastAsia" w:ascii="宋体" w:hAnsi="宋体" w:cs="宋体"/>
                <w:color w:val="000000" w:themeColor="text1"/>
                <w:kern w:val="0"/>
                <w:szCs w:val="21"/>
                <w:lang w:val="en-US" w:eastAsia="zh-CN" w:bidi="ar"/>
                <w14:textFill>
                  <w14:solidFill>
                    <w14:schemeClr w14:val="tx1"/>
                  </w14:solidFill>
                </w14:textFill>
              </w:rPr>
              <w:t>6、支持OpenFlow 1.3标准，提供官网截图和链接证明;</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14:textFill>
                  <w14:solidFill>
                    <w14:schemeClr w14:val="tx1"/>
                  </w14:solidFill>
                </w14:textFill>
              </w:rPr>
            </w:pPr>
          </w:p>
          <w:p>
            <w:pPr>
              <w:jc w:val="center"/>
              <w:rPr>
                <w:rFonts w:hint="eastAsia"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9</w:t>
            </w:r>
          </w:p>
          <w:p>
            <w:pPr>
              <w:jc w:val="center"/>
              <w:rPr>
                <w:rFonts w:ascii="宋体" w:hAnsi="宋体" w:cs="宋体"/>
                <w:color w:val="000000" w:themeColor="text1"/>
                <w:kern w:val="0"/>
                <w:sz w:val="22"/>
                <w:szCs w:val="22"/>
                <w:lang w:bidi="ar"/>
                <w14:textFill>
                  <w14:solidFill>
                    <w14:schemeClr w14:val="tx1"/>
                  </w14:solidFill>
                </w14:textFill>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 w:val="22"/>
                <w:szCs w:val="22"/>
                <w:lang w:bidi="ar"/>
              </w:rPr>
            </w:pPr>
            <w:r>
              <w:rPr>
                <w:rFonts w:hint="eastAsia" w:ascii="宋体" w:hAnsi="宋体" w:cs="宋体"/>
                <w:color w:val="000000" w:themeColor="text1"/>
                <w:kern w:val="0"/>
                <w:sz w:val="22"/>
                <w:szCs w:val="22"/>
                <w:lang w:bidi="ar"/>
                <w14:textFill>
                  <w14:solidFill>
                    <w14:schemeClr w14:val="tx1"/>
                  </w14:solidFill>
                </w14:textFill>
              </w:rPr>
              <w:t>台</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kern w:val="0"/>
                <w:sz w:val="22"/>
                <w:szCs w:val="22"/>
                <w:lang w:bidi="ar"/>
                <w14:textFill>
                  <w14:solidFill>
                    <w14:schemeClr w14:val="tx1"/>
                  </w14:solidFill>
                </w14:textFill>
              </w:rPr>
            </w:pPr>
          </w:p>
        </w:tc>
      </w:tr>
      <w:tr>
        <w:tblPrEx>
          <w:tblCellMar>
            <w:top w:w="0" w:type="dxa"/>
            <w:left w:w="108" w:type="dxa"/>
            <w:bottom w:w="0" w:type="dxa"/>
            <w:right w:w="108" w:type="dxa"/>
          </w:tblCellMar>
        </w:tblPrEx>
        <w:trPr>
          <w:trHeight w:val="4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12</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48口交换机</w:t>
            </w:r>
          </w:p>
        </w:tc>
        <w:tc>
          <w:tcPr>
            <w:tcW w:w="29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1、交换容量：≥672Gbp ，转发性能≥207Mpps，提供官网截图证明。</w:t>
            </w:r>
            <w:r>
              <w:rPr>
                <w:rFonts w:hint="eastAsia" w:ascii="宋体" w:hAnsi="宋体" w:cs="宋体"/>
                <w:color w:val="000000" w:themeColor="text1"/>
                <w:kern w:val="0"/>
                <w:szCs w:val="21"/>
                <w:lang w:val="en-US" w:eastAsia="zh-CN" w:bidi="ar"/>
                <w14:textFill>
                  <w14:solidFill>
                    <w14:schemeClr w14:val="tx1"/>
                  </w14:solidFill>
                </w14:textFill>
              </w:rPr>
              <w:br w:type="textWrapping"/>
            </w:r>
            <w:r>
              <w:rPr>
                <w:rFonts w:hint="eastAsia" w:ascii="宋体" w:hAnsi="宋体" w:cs="宋体"/>
                <w:color w:val="000000" w:themeColor="text1"/>
                <w:kern w:val="0"/>
                <w:szCs w:val="21"/>
                <w:lang w:val="en-US" w:eastAsia="zh-CN" w:bidi="ar"/>
                <w14:textFill>
                  <w14:solidFill>
                    <w14:schemeClr w14:val="tx1"/>
                  </w14:solidFill>
                </w14:textFill>
              </w:rPr>
              <w:t>2、★硬件规格：10/100/1000Base-T端口≥48个，万兆SFP+口≥4个，带外管理网口≥1个，</w:t>
            </w:r>
            <w:r>
              <w:rPr>
                <w:rFonts w:hint="eastAsia" w:ascii="宋体" w:hAnsi="宋体" w:cs="宋体"/>
                <w:color w:val="000000" w:themeColor="text1"/>
                <w:kern w:val="0"/>
                <w:szCs w:val="21"/>
                <w:lang w:val="en-US" w:eastAsia="zh-CN" w:bidi="ar"/>
                <w14:textFill>
                  <w14:solidFill>
                    <w14:schemeClr w14:val="tx1"/>
                  </w14:solidFill>
                </w14:textFill>
              </w:rPr>
              <w:br w:type="textWrapping"/>
            </w:r>
            <w:r>
              <w:rPr>
                <w:rFonts w:hint="eastAsia" w:ascii="宋体" w:hAnsi="宋体" w:cs="宋体"/>
                <w:color w:val="000000" w:themeColor="text1"/>
                <w:kern w:val="0"/>
                <w:szCs w:val="21"/>
                <w:lang w:val="en-US" w:eastAsia="zh-CN" w:bidi="ar"/>
                <w14:textFill>
                  <w14:solidFill>
                    <w14:schemeClr w14:val="tx1"/>
                  </w14:solidFill>
                </w14:textFill>
              </w:rPr>
              <w:t>USB接口≥1个，Console口≥1个，提供官网截图及链接证明；</w:t>
            </w:r>
            <w:r>
              <w:rPr>
                <w:rFonts w:hint="eastAsia" w:ascii="宋体" w:hAnsi="宋体" w:cs="宋体"/>
                <w:color w:val="000000" w:themeColor="text1"/>
                <w:kern w:val="0"/>
                <w:szCs w:val="21"/>
                <w:lang w:val="en-US" w:eastAsia="zh-CN" w:bidi="ar"/>
                <w14:textFill>
                  <w14:solidFill>
                    <w14:schemeClr w14:val="tx1"/>
                  </w14:solidFill>
                </w14:textFill>
              </w:rPr>
              <w:br w:type="textWrapping"/>
            </w:r>
            <w:r>
              <w:rPr>
                <w:rFonts w:hint="eastAsia" w:ascii="宋体" w:hAnsi="宋体" w:cs="宋体"/>
                <w:color w:val="000000" w:themeColor="text1"/>
                <w:kern w:val="0"/>
                <w:szCs w:val="21"/>
                <w:lang w:val="en-US" w:eastAsia="zh-CN" w:bidi="ar"/>
                <w14:textFill>
                  <w14:solidFill>
                    <w14:schemeClr w14:val="tx1"/>
                  </w14:solidFill>
                </w14:textFill>
              </w:rPr>
              <w:t>3、支持链路聚合基本功能及聚合零丢包；</w:t>
            </w:r>
            <w:r>
              <w:rPr>
                <w:rFonts w:hint="eastAsia" w:ascii="宋体" w:hAnsi="宋体" w:cs="宋体"/>
                <w:color w:val="000000" w:themeColor="text1"/>
                <w:kern w:val="0"/>
                <w:szCs w:val="21"/>
                <w:lang w:val="en-US" w:eastAsia="zh-CN" w:bidi="ar"/>
                <w14:textFill>
                  <w14:solidFill>
                    <w14:schemeClr w14:val="tx1"/>
                  </w14:solidFill>
                </w14:textFill>
              </w:rPr>
              <w:br w:type="textWrapping"/>
            </w:r>
            <w:r>
              <w:rPr>
                <w:rFonts w:hint="eastAsia" w:ascii="宋体" w:hAnsi="宋体" w:cs="宋体"/>
                <w:color w:val="000000" w:themeColor="text1"/>
                <w:kern w:val="0"/>
                <w:szCs w:val="21"/>
                <w:lang w:val="en-US" w:eastAsia="zh-CN" w:bidi="ar"/>
                <w14:textFill>
                  <w14:solidFill>
                    <w14:schemeClr w14:val="tx1"/>
                  </w14:solidFill>
                </w14:textFill>
              </w:rPr>
              <w:t>4、交换机支持图形化操作的方式，实现对网络的统一运维及管理，支持Telemetry技术，实现网络精准运维，提供官网截图及链接证明；</w:t>
            </w:r>
            <w:r>
              <w:rPr>
                <w:rFonts w:hint="eastAsia" w:ascii="宋体" w:hAnsi="宋体" w:cs="宋体"/>
                <w:color w:val="000000" w:themeColor="text1"/>
                <w:kern w:val="0"/>
                <w:szCs w:val="21"/>
                <w:lang w:val="en-US" w:eastAsia="zh-CN" w:bidi="ar"/>
                <w14:textFill>
                  <w14:solidFill>
                    <w14:schemeClr w14:val="tx1"/>
                  </w14:solidFill>
                </w14:textFill>
              </w:rPr>
              <w:br w:type="textWrapping"/>
            </w:r>
            <w:r>
              <w:rPr>
                <w:rFonts w:hint="eastAsia" w:ascii="宋体" w:hAnsi="宋体" w:cs="宋体"/>
                <w:color w:val="000000" w:themeColor="text1"/>
                <w:kern w:val="0"/>
                <w:szCs w:val="21"/>
                <w:lang w:val="en-US" w:eastAsia="zh-CN" w:bidi="ar"/>
                <w14:textFill>
                  <w14:solidFill>
                    <w14:schemeClr w14:val="tx1"/>
                  </w14:solidFill>
                </w14:textFill>
              </w:rPr>
              <w:t>6、支持OpenFlow 1.3标准，基于Openflow通过将网络的控制层和数据转发层进行分离，简化网络的管理及维护，实现网络流量的灵活控制，提供官网截图和链接证明;</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微软雅黑" w:cs="宋体"/>
                <w:color w:val="000000"/>
                <w:kern w:val="0"/>
                <w:sz w:val="22"/>
                <w:szCs w:val="22"/>
                <w:lang w:val="en-US" w:eastAsia="zh-CN" w:bidi="ar"/>
              </w:rPr>
            </w:pPr>
            <w:r>
              <w:rPr>
                <w:rFonts w:hint="eastAsia" w:ascii="微软雅黑" w:hAnsi="微软雅黑" w:eastAsia="微软雅黑" w:cs="微软雅黑"/>
                <w:color w:val="000000"/>
                <w:kern w:val="0"/>
                <w:sz w:val="20"/>
                <w:szCs w:val="20"/>
                <w:lang w:bidi="ar"/>
              </w:rPr>
              <w:t>3</w:t>
            </w:r>
            <w:r>
              <w:rPr>
                <w:rFonts w:hint="eastAsia" w:ascii="微软雅黑" w:hAnsi="微软雅黑" w:eastAsia="微软雅黑" w:cs="微软雅黑"/>
                <w:color w:val="000000"/>
                <w:kern w:val="0"/>
                <w:sz w:val="20"/>
                <w:szCs w:val="20"/>
                <w:lang w:val="en-US" w:eastAsia="zh-CN" w:bidi="ar"/>
              </w:rPr>
              <w:t>3</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微软雅黑" w:hAnsi="微软雅黑" w:eastAsia="微软雅黑" w:cs="微软雅黑"/>
                <w:color w:val="000000"/>
                <w:kern w:val="0"/>
                <w:sz w:val="20"/>
                <w:szCs w:val="20"/>
                <w:lang w:bidi="ar"/>
              </w:rPr>
              <w:t>台</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kern w:val="0"/>
                <w:sz w:val="22"/>
                <w:szCs w:val="22"/>
                <w:lang w:bidi="ar"/>
                <w14:textFill>
                  <w14:solidFill>
                    <w14:schemeClr w14:val="tx1"/>
                  </w14:solidFill>
                </w14:textFill>
              </w:rPr>
            </w:pPr>
          </w:p>
        </w:tc>
      </w:tr>
      <w:tr>
        <w:tblPrEx>
          <w:tblCellMar>
            <w:top w:w="0" w:type="dxa"/>
            <w:left w:w="108" w:type="dxa"/>
            <w:bottom w:w="0" w:type="dxa"/>
            <w:right w:w="108" w:type="dxa"/>
          </w:tblCellMar>
        </w:tblPrEx>
        <w:trPr>
          <w:trHeight w:val="4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13</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室外AP</w:t>
            </w:r>
          </w:p>
        </w:tc>
        <w:tc>
          <w:tcPr>
            <w:tcW w:w="29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★1.支持802.11ax标准，整机双射频，4条空间流，整机最大无线接入速率≥2.97Gbps，提供官网截图和链接证明。</w:t>
            </w:r>
            <w:r>
              <w:rPr>
                <w:rFonts w:hint="eastAsia" w:ascii="宋体" w:hAnsi="宋体" w:cs="宋体"/>
                <w:color w:val="000000" w:themeColor="text1"/>
                <w:kern w:val="0"/>
                <w:szCs w:val="21"/>
                <w:lang w:val="en-US" w:eastAsia="zh-CN" w:bidi="ar"/>
                <w14:textFill>
                  <w14:solidFill>
                    <w14:schemeClr w14:val="tx1"/>
                  </w14:solidFill>
                </w14:textFill>
              </w:rPr>
              <w:br w:type="textWrapping"/>
            </w:r>
            <w:r>
              <w:rPr>
                <w:rFonts w:hint="eastAsia" w:ascii="宋体" w:hAnsi="宋体" w:cs="宋体"/>
                <w:color w:val="000000" w:themeColor="text1"/>
                <w:kern w:val="0"/>
                <w:szCs w:val="21"/>
                <w:lang w:val="en-US" w:eastAsia="zh-CN" w:bidi="ar"/>
                <w14:textFill>
                  <w14:solidFill>
                    <w14:schemeClr w14:val="tx1"/>
                  </w14:solidFill>
                </w14:textFill>
              </w:rPr>
              <w:t>2.设备支持全向天线信号覆盖，提供更广阔的无线覆盖范围，提供官网截图。</w:t>
            </w:r>
          </w:p>
          <w:p>
            <w:pPr>
              <w:widowControl/>
              <w:jc w:val="left"/>
              <w:textAlignment w:val="center"/>
              <w:rPr>
                <w:rFonts w:hint="default"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3.支持IP68防护等级。</w:t>
            </w:r>
            <w:r>
              <w:rPr>
                <w:rFonts w:hint="eastAsia" w:ascii="宋体" w:hAnsi="宋体" w:cs="宋体"/>
                <w:color w:val="000000" w:themeColor="text1"/>
                <w:kern w:val="0"/>
                <w:szCs w:val="21"/>
                <w:lang w:val="en-US" w:eastAsia="zh-CN" w:bidi="ar"/>
                <w14:textFill>
                  <w14:solidFill>
                    <w14:schemeClr w14:val="tx1"/>
                  </w14:solidFill>
                </w14:textFill>
              </w:rPr>
              <w:br w:type="textWrapping"/>
            </w:r>
            <w:r>
              <w:rPr>
                <w:rFonts w:hint="eastAsia" w:ascii="宋体" w:hAnsi="宋体" w:cs="宋体"/>
                <w:color w:val="000000" w:themeColor="text1"/>
                <w:kern w:val="0"/>
                <w:szCs w:val="21"/>
                <w:lang w:val="en-US" w:eastAsia="zh-CN" w:bidi="ar"/>
                <w14:textFill>
                  <w14:solidFill>
                    <w14:schemeClr w14:val="tx1"/>
                  </w14:solidFill>
                </w14:textFill>
              </w:rPr>
              <w:t>4.所投产品其中一个固定5GHz射频，另外一个可以灵活选择2.4GHz或5GHz，同时可部署5GHz射频数量≥2,提供官网截图。</w:t>
            </w:r>
            <w:r>
              <w:rPr>
                <w:rFonts w:hint="eastAsia" w:ascii="宋体" w:hAnsi="宋体" w:cs="宋体"/>
                <w:color w:val="000000" w:themeColor="text1"/>
                <w:kern w:val="0"/>
                <w:szCs w:val="21"/>
                <w:lang w:val="en-US" w:eastAsia="zh-CN" w:bidi="ar"/>
                <w14:textFill>
                  <w14:solidFill>
                    <w14:schemeClr w14:val="tx1"/>
                  </w14:solidFill>
                </w14:textFill>
              </w:rPr>
              <w:br w:type="textWrapping"/>
            </w:r>
            <w:r>
              <w:rPr>
                <w:rFonts w:hint="eastAsia" w:ascii="宋体" w:hAnsi="宋体" w:cs="宋体"/>
                <w:color w:val="000000" w:themeColor="text1"/>
                <w:kern w:val="0"/>
                <w:szCs w:val="21"/>
                <w:lang w:val="en-US" w:eastAsia="zh-CN" w:bidi="ar"/>
                <w14:textFill>
                  <w14:solidFill>
                    <w14:schemeClr w14:val="tx1"/>
                  </w14:solidFill>
                </w14:textFill>
              </w:rPr>
              <w:t>5.支持对不同协议的扩展功能，提供官网截图证明。</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eastAsia="zh-CN" w:bidi="ar"/>
              </w:rPr>
            </w:pPr>
            <w:r>
              <w:rPr>
                <w:rFonts w:hint="eastAsia" w:ascii="微软雅黑" w:hAnsi="微软雅黑" w:eastAsia="微软雅黑" w:cs="微软雅黑"/>
                <w:color w:val="000000"/>
                <w:kern w:val="0"/>
                <w:sz w:val="20"/>
                <w:szCs w:val="20"/>
                <w:lang w:val="en-US" w:eastAsia="zh-CN" w:bidi="ar"/>
              </w:rPr>
              <w:t>2</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eastAsia="zh-CN" w:bidi="ar"/>
              </w:rPr>
            </w:pPr>
            <w:r>
              <w:rPr>
                <w:rFonts w:hint="eastAsia" w:ascii="微软雅黑" w:hAnsi="微软雅黑" w:eastAsia="微软雅黑" w:cs="微软雅黑"/>
                <w:color w:val="000000"/>
                <w:kern w:val="0"/>
                <w:sz w:val="20"/>
                <w:szCs w:val="20"/>
                <w:lang w:val="en-US" w:eastAsia="zh-CN" w:bidi="ar"/>
              </w:rPr>
              <w:t>个</w:t>
            </w:r>
            <w:bookmarkStart w:id="38" w:name="_GoBack"/>
            <w:bookmarkEnd w:id="38"/>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kern w:val="0"/>
                <w:sz w:val="22"/>
                <w:szCs w:val="22"/>
                <w:lang w:bidi="ar"/>
                <w14:textFill>
                  <w14:solidFill>
                    <w14:schemeClr w14:val="tx1"/>
                  </w14:solidFill>
                </w14:textFill>
              </w:rPr>
            </w:pPr>
          </w:p>
        </w:tc>
      </w:tr>
    </w:tbl>
    <w:p>
      <w:pPr>
        <w:widowControl/>
        <w:spacing w:line="360" w:lineRule="auto"/>
        <w:jc w:val="left"/>
        <w:rPr>
          <w:rFonts w:hint="eastAsia" w:ascii="宋体" w:hAnsi="宋体" w:cs="宋体"/>
          <w:b/>
          <w:bCs/>
          <w:kern w:val="0"/>
          <w:sz w:val="24"/>
          <w:szCs w:val="22"/>
          <w:lang w:val="en-US" w:eastAsia="zh-CN"/>
        </w:rPr>
      </w:pPr>
      <w:r>
        <w:rPr>
          <w:rFonts w:hint="eastAsia" w:ascii="宋体" w:hAnsi="宋体" w:cs="宋体"/>
          <w:b/>
          <w:bCs/>
          <w:kern w:val="0"/>
          <w:sz w:val="24"/>
          <w:szCs w:val="22"/>
          <w:lang w:val="en-US" w:eastAsia="zh-CN"/>
        </w:rPr>
        <w:t>注：▲1.所有交换机须为同一品牌，且均须提供工信部入网证明。</w:t>
      </w:r>
    </w:p>
    <w:p>
      <w:pPr>
        <w:widowControl/>
        <w:spacing w:line="360" w:lineRule="auto"/>
        <w:ind w:firstLine="482" w:firstLineChars="200"/>
        <w:jc w:val="left"/>
        <w:rPr>
          <w:rFonts w:hint="eastAsia" w:ascii="宋体" w:hAnsi="宋体" w:eastAsia="宋体" w:cs="宋体"/>
          <w:b/>
          <w:bCs/>
          <w:kern w:val="0"/>
          <w:sz w:val="24"/>
          <w:szCs w:val="22"/>
          <w:lang w:val="en-US" w:eastAsia="zh-CN"/>
        </w:rPr>
      </w:pPr>
      <w:r>
        <w:rPr>
          <w:rFonts w:hint="eastAsia" w:ascii="宋体" w:hAnsi="宋体" w:cs="宋体"/>
          <w:b/>
          <w:bCs/>
          <w:kern w:val="0"/>
          <w:sz w:val="24"/>
          <w:szCs w:val="22"/>
          <w:lang w:val="en-US" w:eastAsia="zh-CN"/>
        </w:rPr>
        <w:t>▲2.所有AP均须提供工信部型号核准证。</w:t>
      </w:r>
    </w:p>
    <w:p>
      <w:pPr>
        <w:widowControl/>
        <w:spacing w:line="360" w:lineRule="auto"/>
        <w:jc w:val="left"/>
        <w:rPr>
          <w:rFonts w:ascii="宋体" w:hAnsi="宋体" w:cs="宋体"/>
          <w:b/>
          <w:bCs/>
          <w:kern w:val="0"/>
          <w:sz w:val="24"/>
          <w:szCs w:val="22"/>
        </w:rPr>
      </w:pPr>
      <w:r>
        <w:rPr>
          <w:rFonts w:hint="eastAsia" w:ascii="宋体" w:hAnsi="宋体" w:cs="宋体"/>
          <w:b/>
          <w:bCs/>
          <w:kern w:val="0"/>
          <w:sz w:val="24"/>
          <w:szCs w:val="22"/>
        </w:rPr>
        <w:t>四、技术要求</w:t>
      </w:r>
    </w:p>
    <w:p>
      <w:pPr>
        <w:widowControl/>
        <w:spacing w:line="360" w:lineRule="auto"/>
        <w:ind w:firstLine="480" w:firstLineChars="200"/>
        <w:jc w:val="left"/>
        <w:rPr>
          <w:rFonts w:ascii="宋体" w:hAnsi="宋体" w:cs="宋体"/>
          <w:kern w:val="0"/>
          <w:sz w:val="24"/>
          <w:szCs w:val="22"/>
        </w:rPr>
      </w:pPr>
      <w:r>
        <w:rPr>
          <w:rFonts w:hint="eastAsia" w:ascii="宋体" w:hAnsi="宋体" w:cs="宋体"/>
          <w:sz w:val="24"/>
          <w:lang w:eastAsia="zh-CN"/>
        </w:rPr>
        <w:t>台州市三梅中学网络及安全设备采购项目</w:t>
      </w:r>
      <w:r>
        <w:rPr>
          <w:rFonts w:hint="eastAsia" w:ascii="宋体" w:hAnsi="宋体" w:cs="宋体"/>
          <w:kern w:val="0"/>
          <w:sz w:val="24"/>
          <w:szCs w:val="22"/>
        </w:rPr>
        <w:t>，包括设备的供货、运输、安装、总体调试、技术培训、验收直至交付使用。</w:t>
      </w:r>
    </w:p>
    <w:p>
      <w:pPr>
        <w:spacing w:line="360" w:lineRule="auto"/>
        <w:ind w:firstLine="480" w:firstLineChars="200"/>
        <w:rPr>
          <w:rFonts w:hint="eastAsia" w:ascii="宋体" w:hAnsi="宋体" w:cs="仿宋"/>
          <w:sz w:val="24"/>
          <w:lang w:val="en-US" w:eastAsia="zh-CN"/>
        </w:rPr>
      </w:pPr>
      <w:r>
        <w:rPr>
          <w:rFonts w:hint="eastAsia" w:ascii="宋体" w:hAnsi="宋体" w:cs="仿宋"/>
          <w:sz w:val="24"/>
          <w:lang w:val="en-US" w:eastAsia="zh-CN"/>
        </w:rPr>
        <w:t>1、招标内容及技术要求中有的条款已加粗、带★的形式强调,这些特别强调的条款是重要条款，将在评标过程中重点评审。</w:t>
      </w:r>
    </w:p>
    <w:p>
      <w:pPr>
        <w:spacing w:line="360" w:lineRule="auto"/>
        <w:ind w:firstLine="480" w:firstLineChars="200"/>
        <w:rPr>
          <w:rFonts w:hint="eastAsia" w:ascii="宋体" w:hAnsi="宋体" w:cs="仿宋"/>
          <w:sz w:val="24"/>
          <w:lang w:val="en-US" w:eastAsia="zh-CN"/>
        </w:rPr>
      </w:pPr>
      <w:r>
        <w:rPr>
          <w:rFonts w:hint="eastAsia" w:ascii="宋体" w:hAnsi="宋体" w:cs="仿宋"/>
          <w:sz w:val="24"/>
          <w:lang w:val="en-US" w:eastAsia="zh-CN"/>
        </w:rPr>
        <w:t>2、投标方对每小项都必须按附件格式报价,含设备、材料、人工、安装调试、运费及税费等。业主方可根据实际情况对分项做相应的调整。</w:t>
      </w:r>
    </w:p>
    <w:p>
      <w:pPr>
        <w:spacing w:line="360" w:lineRule="auto"/>
        <w:ind w:firstLine="482" w:firstLineChars="200"/>
        <w:rPr>
          <w:rFonts w:hint="eastAsia" w:ascii="宋体" w:hAnsi="宋体" w:cs="仿宋"/>
          <w:b/>
          <w:bCs/>
          <w:sz w:val="24"/>
          <w:lang w:val="en-US" w:eastAsia="zh-CN"/>
        </w:rPr>
      </w:pPr>
      <w:r>
        <w:rPr>
          <w:rFonts w:hint="eastAsia" w:ascii="宋体" w:hAnsi="宋体" w:cs="仿宋"/>
          <w:b/>
          <w:bCs/>
          <w:sz w:val="24"/>
          <w:lang w:val="en-US" w:eastAsia="zh-CN"/>
        </w:rPr>
        <w:t>3、本项目属于“交钥匙”工程，即所提供的所有设备产品按招标方的要求采购，安装、调试等工作需要由中标方提供实施和不低于三年的免费维保服务及不低于三年的免费特征库升级，中标方须对设备的完整性负责，如相关配件在招标清单中未列出但安装所采购设备时须用到，中标人须提供，产生的一切费用，均由中标方负责。项目实施期间发生的所有劳务支出、安全保险、住宿、运输、税金等一切费用都已包含在竞投报价中，由中标方自行负责。</w:t>
      </w:r>
    </w:p>
    <w:p>
      <w:pPr>
        <w:spacing w:line="360" w:lineRule="auto"/>
        <w:ind w:firstLine="480" w:firstLineChars="200"/>
        <w:rPr>
          <w:rFonts w:hint="eastAsia" w:ascii="宋体" w:hAnsi="宋体" w:cs="仿宋"/>
          <w:sz w:val="24"/>
          <w:lang w:val="en-US" w:eastAsia="zh-CN"/>
        </w:rPr>
      </w:pPr>
      <w:r>
        <w:rPr>
          <w:rFonts w:hint="eastAsia" w:ascii="宋体" w:hAnsi="宋体" w:cs="仿宋"/>
          <w:sz w:val="24"/>
          <w:lang w:val="en-US" w:eastAsia="zh-CN"/>
        </w:rPr>
        <w:t>4、以上产品由采购人邀请相关人员参与共同验收，验收时需提供相应产品、设备的检测报告和合格证明。</w:t>
      </w:r>
    </w:p>
    <w:p>
      <w:pPr>
        <w:spacing w:line="360" w:lineRule="auto"/>
        <w:rPr>
          <w:rFonts w:ascii="宋体" w:hAnsi="宋体" w:cs="宋体"/>
          <w:b/>
          <w:sz w:val="24"/>
        </w:rPr>
      </w:pPr>
      <w:r>
        <w:rPr>
          <w:rFonts w:hint="eastAsia" w:ascii="宋体" w:hAnsi="宋体" w:cs="宋体"/>
          <w:b/>
          <w:sz w:val="24"/>
        </w:rPr>
        <w:t>五、</w:t>
      </w:r>
      <w:r>
        <w:rPr>
          <w:rFonts w:hint="eastAsia" w:ascii="宋体" w:hAnsi="宋体" w:cs="宋体"/>
          <w:b/>
          <w:sz w:val="24"/>
          <w:lang w:val="en-US" w:eastAsia="zh-CN"/>
        </w:rPr>
        <w:t>商务</w:t>
      </w:r>
      <w:r>
        <w:rPr>
          <w:rFonts w:hint="eastAsia" w:ascii="宋体" w:hAnsi="宋体" w:cs="宋体"/>
          <w:b/>
          <w:sz w:val="24"/>
        </w:rPr>
        <w:t>要求：</w:t>
      </w:r>
    </w:p>
    <w:p>
      <w:pPr>
        <w:pStyle w:val="61"/>
        <w:spacing w:line="360" w:lineRule="auto"/>
        <w:ind w:firstLine="482"/>
        <w:rPr>
          <w:rFonts w:hint="default" w:ascii="宋体" w:hAnsi="宋体" w:cs="宋体"/>
          <w:b/>
          <w:sz w:val="24"/>
          <w:lang w:val="en-US" w:eastAsia="zh-CN"/>
        </w:rPr>
      </w:pPr>
      <w:r>
        <w:rPr>
          <w:rFonts w:hint="eastAsia" w:ascii="宋体" w:hAnsi="宋体" w:cs="宋体"/>
          <w:b/>
          <w:sz w:val="24"/>
          <w:lang w:val="en-US" w:eastAsia="zh-CN"/>
        </w:rPr>
        <w:t>1、</w:t>
      </w:r>
      <w:r>
        <w:rPr>
          <w:rFonts w:hint="eastAsia" w:ascii="宋体" w:hAnsi="宋体" w:cs="仿宋"/>
          <w:b/>
          <w:bCs/>
          <w:sz w:val="24"/>
        </w:rPr>
        <w:t>交货时间及地点：</w:t>
      </w:r>
      <w:r>
        <w:rPr>
          <w:rFonts w:hint="eastAsia" w:ascii="宋体" w:hAnsi="宋体" w:cs="宋体"/>
          <w:color w:val="auto"/>
          <w:sz w:val="24"/>
        </w:rPr>
        <w:t>合同签订后60天内完成供货、安装及调试，施工时须配合总包及智能化安装进度</w:t>
      </w:r>
      <w:r>
        <w:rPr>
          <w:rFonts w:hint="eastAsia" w:ascii="宋体" w:hAnsi="宋体" w:cs="仿宋"/>
          <w:color w:val="auto"/>
          <w:sz w:val="24"/>
        </w:rPr>
        <w:t>。在安装、调试、检验时，应派遣授权委托代理人参加并加以指导，如发现质量问题，授权委托代理人必须负责处理至采购人满意为止；交货地点：业主方指定地点。</w:t>
      </w:r>
    </w:p>
    <w:p>
      <w:pPr>
        <w:pStyle w:val="61"/>
        <w:spacing w:line="360" w:lineRule="auto"/>
        <w:ind w:firstLine="482"/>
        <w:rPr>
          <w:rFonts w:hint="eastAsia" w:ascii="宋体" w:hAnsi="宋体" w:cs="仿宋"/>
          <w:color w:val="000000" w:themeColor="text1"/>
          <w:sz w:val="24"/>
          <w14:textFill>
            <w14:solidFill>
              <w14:schemeClr w14:val="tx1"/>
            </w14:solidFill>
          </w14:textFill>
        </w:rPr>
      </w:pPr>
      <w:r>
        <w:rPr>
          <w:rFonts w:hint="eastAsia" w:ascii="宋体" w:hAnsi="宋体" w:cs="宋体"/>
          <w:b/>
          <w:sz w:val="24"/>
          <w:lang w:val="en-US" w:eastAsia="zh-CN"/>
        </w:rPr>
        <w:t>2、质保期要求：</w:t>
      </w:r>
      <w:r>
        <w:rPr>
          <w:rFonts w:hint="eastAsia" w:ascii="宋体" w:hAnsi="宋体" w:cs="仿宋"/>
          <w:color w:val="000000" w:themeColor="text1"/>
          <w:sz w:val="24"/>
          <w:lang w:val="en-US" w:eastAsia="zh-CN"/>
          <w14:textFill>
            <w14:solidFill>
              <w14:schemeClr w14:val="tx1"/>
            </w14:solidFill>
          </w14:textFill>
        </w:rPr>
        <w:t>免费</w:t>
      </w:r>
      <w:r>
        <w:rPr>
          <w:rFonts w:hint="eastAsia" w:ascii="宋体" w:hAnsi="宋体" w:cs="仿宋"/>
          <w:color w:val="000000" w:themeColor="text1"/>
          <w:sz w:val="24"/>
          <w14:textFill>
            <w14:solidFill>
              <w14:schemeClr w14:val="tx1"/>
            </w14:solidFill>
          </w14:textFill>
        </w:rPr>
        <w:t>质保期三年，时间从通过最终验收通过后算起，其中试运行时间至少3个月。具体设备原厂商质保期为3年以上的，根据该设备原厂商质保期执行。</w:t>
      </w:r>
    </w:p>
    <w:p>
      <w:pPr>
        <w:pStyle w:val="61"/>
        <w:spacing w:line="360" w:lineRule="auto"/>
        <w:ind w:firstLine="482"/>
        <w:rPr>
          <w:rFonts w:hint="eastAsia" w:ascii="宋体" w:hAnsi="宋体" w:eastAsia="宋体" w:cs="仿宋"/>
          <w:color w:val="000000" w:themeColor="text1"/>
          <w:sz w:val="24"/>
          <w:lang w:val="en-US" w:eastAsia="zh-CN"/>
          <w14:textFill>
            <w14:solidFill>
              <w14:schemeClr w14:val="tx1"/>
            </w14:solidFill>
          </w14:textFill>
        </w:rPr>
      </w:pPr>
      <w:r>
        <w:rPr>
          <w:rFonts w:hint="eastAsia" w:ascii="宋体" w:hAnsi="宋体" w:cs="仿宋"/>
          <w:color w:val="000000" w:themeColor="text1"/>
          <w:sz w:val="24"/>
          <w:lang w:val="en-US" w:eastAsia="zh-CN"/>
          <w14:textFill>
            <w14:solidFill>
              <w14:schemeClr w14:val="tx1"/>
            </w14:solidFill>
          </w14:textFill>
        </w:rPr>
        <w:t>3、特征库升级要求：下一代防火墙</w:t>
      </w:r>
      <w:r>
        <w:rPr>
          <w:rFonts w:hint="eastAsia" w:ascii="宋体" w:hAnsi="宋体" w:cs="仿宋"/>
          <w:color w:val="000000" w:themeColor="text1"/>
          <w:sz w:val="24"/>
          <w14:textFill>
            <w14:solidFill>
              <w14:schemeClr w14:val="tx1"/>
            </w14:solidFill>
          </w14:textFill>
        </w:rPr>
        <w:t>实</w:t>
      </w:r>
      <w:r>
        <w:rPr>
          <w:rFonts w:hint="eastAsia" w:ascii="宋体" w:hAnsi="宋体" w:cs="仿宋"/>
          <w:color w:val="000000" w:themeColor="text1"/>
          <w:sz w:val="24"/>
          <w:lang w:val="en-US" w:eastAsia="zh-CN"/>
          <w14:textFill>
            <w14:solidFill>
              <w14:schemeClr w14:val="tx1"/>
            </w14:solidFill>
          </w14:textFill>
        </w:rPr>
        <w:t>配备</w:t>
      </w:r>
      <w:r>
        <w:rPr>
          <w:rFonts w:hint="eastAsia" w:ascii="宋体" w:hAnsi="宋体" w:cs="仿宋"/>
          <w:color w:val="000000" w:themeColor="text1"/>
          <w:sz w:val="24"/>
          <w14:textFill>
            <w14:solidFill>
              <w14:schemeClr w14:val="tx1"/>
            </w14:solidFill>
          </w14:textFill>
        </w:rPr>
        <w:t>侵防御、防病毒、应用识别特征库三年升级授权</w:t>
      </w:r>
      <w:r>
        <w:rPr>
          <w:rFonts w:hint="eastAsia" w:ascii="宋体" w:hAnsi="宋体" w:cs="仿宋"/>
          <w:color w:val="000000" w:themeColor="text1"/>
          <w:sz w:val="24"/>
          <w:lang w:eastAsia="zh-CN"/>
          <w14:textFill>
            <w14:solidFill>
              <w14:schemeClr w14:val="tx1"/>
            </w14:solidFill>
          </w14:textFill>
        </w:rPr>
        <w:t>，</w:t>
      </w:r>
      <w:r>
        <w:rPr>
          <w:rFonts w:hint="eastAsia" w:ascii="宋体" w:hAnsi="宋体" w:cs="仿宋"/>
          <w:color w:val="000000" w:themeColor="text1"/>
          <w:sz w:val="24"/>
          <w:lang w:val="en-US" w:eastAsia="zh-CN"/>
          <w14:textFill>
            <w14:solidFill>
              <w14:schemeClr w14:val="tx1"/>
            </w14:solidFill>
          </w14:textFill>
        </w:rPr>
        <w:t>上网行为管理器配备</w:t>
      </w:r>
      <w:r>
        <w:rPr>
          <w:rFonts w:hint="eastAsia" w:ascii="宋体" w:hAnsi="宋体" w:cs="仿宋"/>
          <w:color w:val="000000" w:themeColor="text1"/>
          <w:sz w:val="24"/>
          <w14:textFill>
            <w14:solidFill>
              <w14:schemeClr w14:val="tx1"/>
            </w14:solidFill>
          </w14:textFill>
        </w:rPr>
        <w:t>ACG特征库升级服务授权</w:t>
      </w:r>
      <w:r>
        <w:rPr>
          <w:rFonts w:hint="eastAsia" w:ascii="宋体" w:hAnsi="宋体" w:cs="仿宋"/>
          <w:color w:val="000000" w:themeColor="text1"/>
          <w:sz w:val="24"/>
          <w:lang w:eastAsia="zh-CN"/>
          <w14:textFill>
            <w14:solidFill>
              <w14:schemeClr w14:val="tx1"/>
            </w14:solidFill>
          </w14:textFill>
        </w:rPr>
        <w:t>。</w:t>
      </w:r>
    </w:p>
    <w:p>
      <w:pPr>
        <w:pStyle w:val="61"/>
        <w:spacing w:line="360" w:lineRule="auto"/>
        <w:ind w:firstLine="482"/>
        <w:rPr>
          <w:rFonts w:ascii="宋体" w:hAnsi="宋体" w:cs="宋体"/>
          <w:b/>
          <w:sz w:val="24"/>
        </w:rPr>
      </w:pPr>
      <w:r>
        <w:rPr>
          <w:rFonts w:hint="eastAsia" w:ascii="宋体" w:hAnsi="宋体" w:cs="宋体"/>
          <w:b/>
          <w:sz w:val="24"/>
          <w:lang w:val="en-US" w:eastAsia="zh-CN"/>
        </w:rPr>
        <w:t>4</w:t>
      </w:r>
      <w:r>
        <w:rPr>
          <w:rFonts w:hint="eastAsia" w:ascii="宋体" w:hAnsi="宋体" w:cs="宋体"/>
          <w:b/>
          <w:sz w:val="24"/>
        </w:rPr>
        <w:t>、售后服务</w:t>
      </w:r>
    </w:p>
    <w:p>
      <w:pPr>
        <w:spacing w:line="360" w:lineRule="auto"/>
        <w:ind w:firstLine="480" w:firstLineChars="200"/>
        <w:rPr>
          <w:rFonts w:hint="eastAsia" w:ascii="宋体" w:hAnsi="宋体" w:cs="仿宋"/>
          <w:bCs/>
          <w:sz w:val="24"/>
          <w:lang w:eastAsia="zh-CN"/>
        </w:rPr>
      </w:pPr>
      <w:r>
        <w:rPr>
          <w:rFonts w:hint="eastAsia" w:ascii="宋体" w:hAnsi="宋体" w:cs="仿宋"/>
          <w:sz w:val="24"/>
          <w:lang w:val="en-US" w:eastAsia="zh-CN"/>
        </w:rPr>
        <w:t>4</w:t>
      </w:r>
      <w:r>
        <w:rPr>
          <w:rFonts w:hint="eastAsia" w:ascii="宋体" w:hAnsi="宋体" w:cs="仿宋"/>
          <w:sz w:val="24"/>
        </w:rPr>
        <w:t>.1</w:t>
      </w:r>
      <w:r>
        <w:rPr>
          <w:rFonts w:hint="eastAsia" w:ascii="宋体" w:hAnsi="宋体" w:cs="仿宋"/>
          <w:bCs/>
          <w:sz w:val="24"/>
        </w:rPr>
        <w:t>提供产品保修卡，并按厂家产品规定保修期限及内容以及供应商的其它承诺条款实行保修</w:t>
      </w:r>
      <w:r>
        <w:rPr>
          <w:rFonts w:hint="eastAsia" w:ascii="宋体" w:hAnsi="宋体" w:cs="仿宋"/>
          <w:bCs/>
          <w:sz w:val="24"/>
          <w:lang w:eastAsia="zh-CN"/>
        </w:rPr>
        <w:t>；</w:t>
      </w:r>
    </w:p>
    <w:p>
      <w:pPr>
        <w:spacing w:line="360" w:lineRule="auto"/>
        <w:ind w:firstLine="480" w:firstLineChars="200"/>
        <w:rPr>
          <w:rFonts w:hint="eastAsia" w:ascii="宋体" w:hAnsi="宋体" w:cs="仿宋"/>
          <w:sz w:val="24"/>
        </w:rPr>
      </w:pPr>
      <w:r>
        <w:rPr>
          <w:rFonts w:hint="eastAsia" w:ascii="宋体" w:hAnsi="宋体" w:cs="仿宋"/>
          <w:bCs/>
          <w:sz w:val="24"/>
          <w:lang w:val="en-US" w:eastAsia="zh-CN"/>
        </w:rPr>
        <w:t>4.2</w:t>
      </w:r>
      <w:r>
        <w:rPr>
          <w:rFonts w:hint="eastAsia" w:ascii="宋体" w:hAnsi="宋体" w:cs="仿宋"/>
          <w:bCs/>
          <w:sz w:val="24"/>
        </w:rPr>
        <w:t>投标人需承诺提供7×24技术支持，对于影响网络正常运行的严重故障，投标人工程师及其它相关技术人员必须在1小时内赶到现场，查找原因，提出解决方案，并工作直至故障修妥完全恢复正常服务为止，一般要求保证系统在12小时之内修复，并需要提供确保承诺实现的措施；</w:t>
      </w:r>
    </w:p>
    <w:p>
      <w:pPr>
        <w:spacing w:line="360" w:lineRule="auto"/>
        <w:ind w:firstLine="480" w:firstLineChars="200"/>
        <w:rPr>
          <w:rFonts w:hint="eastAsia" w:ascii="宋体" w:hAnsi="宋体" w:eastAsia="宋体" w:cs="仿宋"/>
          <w:color w:val="auto"/>
          <w:sz w:val="24"/>
          <w:highlight w:val="none"/>
          <w:lang w:eastAsia="zh-CN"/>
        </w:rPr>
      </w:pPr>
      <w:r>
        <w:rPr>
          <w:rFonts w:hint="eastAsia" w:ascii="宋体" w:hAnsi="宋体" w:cs="仿宋"/>
          <w:sz w:val="24"/>
          <w:lang w:val="en-US" w:eastAsia="zh-CN"/>
        </w:rPr>
        <w:t>4.3</w:t>
      </w:r>
      <w:r>
        <w:rPr>
          <w:rFonts w:hint="eastAsia" w:ascii="宋体" w:hAnsi="宋体" w:cs="仿宋"/>
          <w:bCs/>
          <w:sz w:val="24"/>
        </w:rPr>
        <w:t>投标人需对机房线路进行整理、分类、标注，提高机房今后解决故障的时</w:t>
      </w:r>
      <w:r>
        <w:rPr>
          <w:rFonts w:hint="eastAsia" w:ascii="宋体" w:hAnsi="宋体" w:cs="仿宋"/>
          <w:bCs/>
          <w:color w:val="auto"/>
          <w:sz w:val="24"/>
        </w:rPr>
        <w:t>效性</w:t>
      </w:r>
      <w:r>
        <w:rPr>
          <w:rFonts w:hint="eastAsia" w:ascii="宋体" w:hAnsi="宋体" w:cs="仿宋"/>
          <w:bCs/>
          <w:color w:val="auto"/>
          <w:sz w:val="24"/>
          <w:highlight w:val="none"/>
        </w:rPr>
        <w:t>、准确性</w:t>
      </w:r>
      <w:r>
        <w:rPr>
          <w:rFonts w:hint="eastAsia" w:ascii="宋体" w:hAnsi="宋体" w:cs="仿宋"/>
          <w:bCs/>
          <w:color w:val="auto"/>
          <w:sz w:val="24"/>
          <w:highlight w:val="none"/>
          <w:lang w:eastAsia="zh-CN"/>
        </w:rPr>
        <w:t>；</w:t>
      </w:r>
    </w:p>
    <w:p>
      <w:pPr>
        <w:spacing w:line="360" w:lineRule="auto"/>
        <w:ind w:firstLine="480" w:firstLineChars="200"/>
        <w:rPr>
          <w:rFonts w:hint="eastAsia" w:ascii="宋体" w:hAnsi="宋体" w:cs="仿宋"/>
          <w:color w:val="auto"/>
          <w:sz w:val="24"/>
          <w:highlight w:val="none"/>
          <w:lang w:val="en-US" w:eastAsia="zh-CN"/>
        </w:rPr>
      </w:pPr>
      <w:r>
        <w:rPr>
          <w:rFonts w:hint="eastAsia" w:ascii="宋体" w:hAnsi="宋体" w:cs="仿宋"/>
          <w:color w:val="auto"/>
          <w:sz w:val="24"/>
          <w:highlight w:val="none"/>
          <w:lang w:val="en-US" w:eastAsia="zh-CN"/>
        </w:rPr>
        <w:t>4</w:t>
      </w:r>
      <w:r>
        <w:rPr>
          <w:rFonts w:hint="eastAsia" w:ascii="宋体" w:hAnsi="宋体" w:cs="仿宋"/>
          <w:color w:val="auto"/>
          <w:sz w:val="24"/>
          <w:highlight w:val="none"/>
        </w:rPr>
        <w:t>.</w:t>
      </w:r>
      <w:r>
        <w:rPr>
          <w:rFonts w:hint="eastAsia" w:ascii="宋体" w:hAnsi="宋体" w:cs="仿宋"/>
          <w:color w:val="auto"/>
          <w:sz w:val="24"/>
          <w:highlight w:val="none"/>
          <w:lang w:val="en-US" w:eastAsia="zh-CN"/>
        </w:rPr>
        <w:t>4投标人应承诺在货物验收合格后，以优惠价格供应零配件。</w:t>
      </w:r>
    </w:p>
    <w:p>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lang w:val="en-US" w:eastAsia="zh-CN"/>
        </w:rPr>
        <w:t>4</w:t>
      </w:r>
      <w:r>
        <w:rPr>
          <w:rFonts w:hint="eastAsia" w:ascii="宋体" w:hAnsi="宋体" w:cs="仿宋"/>
          <w:color w:val="auto"/>
          <w:sz w:val="24"/>
          <w:highlight w:val="none"/>
        </w:rPr>
        <w:t>.</w:t>
      </w:r>
      <w:r>
        <w:rPr>
          <w:rFonts w:hint="eastAsia" w:ascii="宋体" w:hAnsi="宋体" w:cs="仿宋"/>
          <w:color w:val="auto"/>
          <w:sz w:val="24"/>
          <w:highlight w:val="none"/>
          <w:lang w:val="en-US" w:eastAsia="zh-CN"/>
        </w:rPr>
        <w:t>5</w:t>
      </w:r>
      <w:r>
        <w:rPr>
          <w:rFonts w:hint="eastAsia" w:ascii="宋体" w:hAnsi="宋体" w:cs="仿宋"/>
          <w:color w:val="auto"/>
          <w:sz w:val="24"/>
          <w:highlight w:val="none"/>
        </w:rPr>
        <w:t>投标人必须明确作出服务承诺，详细阐述维修、维护内容及服务方式和范围。</w:t>
      </w:r>
    </w:p>
    <w:p>
      <w:pPr>
        <w:adjustRightInd w:val="0"/>
        <w:snapToGrid w:val="0"/>
        <w:spacing w:line="360" w:lineRule="auto"/>
        <w:ind w:firstLine="482" w:firstLineChars="200"/>
        <w:rPr>
          <w:rFonts w:hint="eastAsia" w:ascii="宋体" w:hAnsi="宋体" w:eastAsia="宋体" w:cs="仿宋"/>
          <w:b/>
          <w:bCs/>
          <w:color w:val="auto"/>
          <w:sz w:val="24"/>
          <w:highlight w:val="none"/>
          <w:lang w:eastAsia="zh-CN"/>
        </w:rPr>
      </w:pPr>
      <w:r>
        <w:rPr>
          <w:rFonts w:hint="eastAsia" w:ascii="宋体" w:hAnsi="宋体" w:cs="仿宋"/>
          <w:b/>
          <w:bCs/>
          <w:color w:val="auto"/>
          <w:sz w:val="24"/>
          <w:highlight w:val="none"/>
          <w:lang w:val="en-US" w:eastAsia="zh-CN"/>
        </w:rPr>
        <w:t>5</w:t>
      </w:r>
      <w:r>
        <w:rPr>
          <w:rFonts w:hint="eastAsia" w:ascii="宋体" w:hAnsi="宋体" w:cs="仿宋"/>
          <w:b/>
          <w:bCs/>
          <w:color w:val="auto"/>
          <w:sz w:val="24"/>
          <w:highlight w:val="none"/>
        </w:rPr>
        <w:t>、履约保证金：</w:t>
      </w:r>
      <w:r>
        <w:rPr>
          <w:rFonts w:hint="eastAsia" w:cs="宋体"/>
          <w:color w:val="auto"/>
          <w:sz w:val="24"/>
          <w:highlight w:val="none"/>
        </w:rPr>
        <w:t>中标方在合同签订前，需向业主方提供合同总金额的</w:t>
      </w:r>
      <w:r>
        <w:rPr>
          <w:rFonts w:cs="宋体"/>
          <w:color w:val="auto"/>
          <w:sz w:val="24"/>
          <w:highlight w:val="none"/>
          <w:u w:val="single"/>
        </w:rPr>
        <w:t>1</w:t>
      </w:r>
      <w:r>
        <w:rPr>
          <w:rFonts w:hint="eastAsia" w:cs="宋体"/>
          <w:color w:val="auto"/>
          <w:sz w:val="24"/>
          <w:highlight w:val="none"/>
          <w:u w:val="single"/>
        </w:rPr>
        <w:t>%</w:t>
      </w:r>
      <w:r>
        <w:rPr>
          <w:rFonts w:hint="eastAsia" w:cs="宋体"/>
          <w:color w:val="auto"/>
          <w:sz w:val="24"/>
          <w:highlight w:val="none"/>
        </w:rPr>
        <w:t>为履约保证金。中标方以银行、保险公司出具保函形式提交履约保证金</w:t>
      </w:r>
      <w:r>
        <w:rPr>
          <w:rFonts w:hint="eastAsia" w:cs="宋体"/>
          <w:color w:val="auto"/>
          <w:sz w:val="24"/>
          <w:highlight w:val="none"/>
          <w:lang w:eastAsia="zh-CN"/>
        </w:rPr>
        <w:t>。</w:t>
      </w:r>
    </w:p>
    <w:p>
      <w:pPr>
        <w:adjustRightInd w:val="0"/>
        <w:snapToGrid w:val="0"/>
        <w:spacing w:line="360" w:lineRule="auto"/>
        <w:ind w:firstLine="482" w:firstLineChars="200"/>
        <w:rPr>
          <w:rFonts w:hint="eastAsia" w:ascii="宋体" w:hAnsi="宋体" w:cs="仿宋"/>
          <w:b/>
          <w:bCs/>
          <w:color w:val="auto"/>
          <w:sz w:val="24"/>
          <w:highlight w:val="none"/>
        </w:rPr>
      </w:pPr>
      <w:r>
        <w:rPr>
          <w:rFonts w:hint="eastAsia" w:ascii="宋体" w:hAnsi="宋体" w:cs="仿宋"/>
          <w:b/>
          <w:bCs/>
          <w:color w:val="auto"/>
          <w:sz w:val="24"/>
          <w:highlight w:val="none"/>
          <w:lang w:val="en-US" w:eastAsia="zh-CN"/>
        </w:rPr>
        <w:t>6</w:t>
      </w:r>
      <w:r>
        <w:rPr>
          <w:rFonts w:hint="eastAsia" w:ascii="宋体" w:hAnsi="宋体" w:cs="仿宋"/>
          <w:b/>
          <w:bCs/>
          <w:color w:val="auto"/>
          <w:sz w:val="24"/>
          <w:highlight w:val="none"/>
        </w:rPr>
        <w:t>、付款方式：</w:t>
      </w:r>
    </w:p>
    <w:p>
      <w:pPr>
        <w:adjustRightInd w:val="0"/>
        <w:snapToGrid w:val="0"/>
        <w:spacing w:line="360" w:lineRule="auto"/>
        <w:ind w:firstLine="480" w:firstLineChars="200"/>
        <w:rPr>
          <w:rFonts w:cs="宋体"/>
          <w:sz w:val="24"/>
          <w:highlight w:val="none"/>
        </w:rPr>
      </w:pPr>
      <w:r>
        <w:rPr>
          <w:rFonts w:hint="eastAsia" w:cs="宋体"/>
          <w:color w:val="auto"/>
          <w:sz w:val="24"/>
          <w:highlight w:val="none"/>
          <w:lang w:val="en-US" w:eastAsia="zh-CN"/>
        </w:rPr>
        <w:t>6.1</w:t>
      </w:r>
      <w:r>
        <w:rPr>
          <w:rFonts w:hint="eastAsia" w:cs="宋体"/>
          <w:color w:val="auto"/>
          <w:sz w:val="24"/>
          <w:highlight w:val="none"/>
        </w:rPr>
        <w:t>合同生效后7个工作日内向</w:t>
      </w:r>
      <w:r>
        <w:rPr>
          <w:rFonts w:hint="eastAsia" w:cs="宋体"/>
          <w:color w:val="auto"/>
          <w:sz w:val="24"/>
          <w:highlight w:val="none"/>
          <w:lang w:val="en-US" w:eastAsia="zh-CN"/>
        </w:rPr>
        <w:t>乙方</w:t>
      </w:r>
      <w:r>
        <w:rPr>
          <w:rFonts w:hint="eastAsia" w:cs="宋体"/>
          <w:color w:val="auto"/>
          <w:sz w:val="24"/>
          <w:highlight w:val="none"/>
        </w:rPr>
        <w:t>支付合同总价款的40 %作为预付款；</w:t>
      </w:r>
      <w:r>
        <w:rPr>
          <w:rFonts w:hint="eastAsia" w:ascii="宋体" w:hAnsi="宋体" w:cs="宋体"/>
          <w:color w:val="auto"/>
          <w:kern w:val="0"/>
          <w:sz w:val="24"/>
          <w:highlight w:val="none"/>
        </w:rPr>
        <w:t>设备到货经验收无误后支付40%</w:t>
      </w:r>
      <w:r>
        <w:rPr>
          <w:rFonts w:hint="eastAsia" w:cs="宋体"/>
          <w:color w:val="auto"/>
          <w:sz w:val="24"/>
          <w:highlight w:val="none"/>
        </w:rPr>
        <w:t>；最终验收合格后，支付合同总价款的20%</w:t>
      </w:r>
      <w:r>
        <w:rPr>
          <w:rFonts w:hint="eastAsia" w:cs="宋体"/>
          <w:sz w:val="24"/>
          <w:highlight w:val="none"/>
        </w:rPr>
        <w:t>。</w:t>
      </w:r>
    </w:p>
    <w:p>
      <w:pPr>
        <w:adjustRightInd w:val="0"/>
        <w:snapToGrid w:val="0"/>
        <w:spacing w:line="360" w:lineRule="auto"/>
        <w:ind w:firstLine="480" w:firstLineChars="200"/>
        <w:rPr>
          <w:rFonts w:cs="宋体"/>
          <w:sz w:val="24"/>
          <w:highlight w:val="none"/>
        </w:rPr>
      </w:pPr>
      <w:r>
        <w:rPr>
          <w:rFonts w:hint="eastAsia" w:cs="宋体"/>
          <w:sz w:val="24"/>
          <w:highlight w:val="none"/>
          <w:lang w:val="en-US" w:eastAsia="zh-CN"/>
        </w:rPr>
        <w:t>6.</w:t>
      </w:r>
      <w:r>
        <w:rPr>
          <w:rFonts w:hint="eastAsia" w:cs="宋体"/>
          <w:sz w:val="24"/>
          <w:highlight w:val="none"/>
        </w:rPr>
        <w:t>2当采购数量与实际使用数量不一致时，乙方应根据实际使用量供货，合同的最终结算金额按实际使用量乘以成交单价进行计算。</w:t>
      </w:r>
    </w:p>
    <w:p>
      <w:pPr>
        <w:adjustRightInd w:val="0"/>
        <w:snapToGrid w:val="0"/>
        <w:spacing w:line="360" w:lineRule="auto"/>
        <w:ind w:firstLine="480" w:firstLineChars="200"/>
        <w:rPr>
          <w:rFonts w:hint="eastAsia" w:cs="宋体"/>
          <w:sz w:val="24"/>
          <w:highlight w:val="none"/>
        </w:rPr>
      </w:pPr>
      <w:r>
        <w:rPr>
          <w:rFonts w:hint="eastAsia" w:cs="宋体"/>
          <w:sz w:val="24"/>
          <w:highlight w:val="none"/>
          <w:lang w:val="en-US" w:eastAsia="zh-CN"/>
        </w:rPr>
        <w:t>6.</w:t>
      </w:r>
      <w:r>
        <w:rPr>
          <w:rFonts w:hint="eastAsia" w:cs="宋体"/>
          <w:sz w:val="24"/>
          <w:highlight w:val="none"/>
        </w:rPr>
        <w:t>3甲方付款前，乙方应向甲方开具等额有效的增值税发票，甲方未收到发票的，有权不予支付相应款项直至乙方提供合格发票，并不承担延迟付款责任。发票认证通过是付款的必要前提之一。</w:t>
      </w:r>
    </w:p>
    <w:p>
      <w:pPr>
        <w:pStyle w:val="61"/>
        <w:spacing w:line="360" w:lineRule="auto"/>
        <w:ind w:firstLine="482"/>
        <w:rPr>
          <w:rFonts w:ascii="宋体" w:hAnsi="宋体" w:cs="宋体"/>
          <w:b/>
          <w:sz w:val="24"/>
          <w:highlight w:val="none"/>
        </w:rPr>
      </w:pPr>
      <w:r>
        <w:rPr>
          <w:rFonts w:hint="eastAsia" w:ascii="宋体" w:hAnsi="宋体" w:cs="宋体"/>
          <w:b/>
          <w:sz w:val="24"/>
          <w:highlight w:val="none"/>
          <w:lang w:val="en-US" w:eastAsia="zh-CN"/>
        </w:rPr>
        <w:t>7</w:t>
      </w:r>
      <w:r>
        <w:rPr>
          <w:rFonts w:hint="eastAsia" w:ascii="宋体" w:hAnsi="宋体" w:cs="宋体"/>
          <w:b/>
          <w:sz w:val="24"/>
          <w:highlight w:val="none"/>
        </w:rPr>
        <w:t>、其他要求</w:t>
      </w:r>
    </w:p>
    <w:p>
      <w:pPr>
        <w:spacing w:line="360" w:lineRule="auto"/>
        <w:ind w:firstLine="480" w:firstLineChars="200"/>
        <w:rPr>
          <w:rFonts w:ascii="宋体" w:hAnsi="宋体" w:cs="仿宋"/>
          <w:sz w:val="24"/>
          <w:highlight w:val="none"/>
        </w:rPr>
      </w:pPr>
      <w:r>
        <w:rPr>
          <w:rFonts w:hint="eastAsia" w:ascii="宋体" w:hAnsi="宋体" w:cs="仿宋"/>
          <w:sz w:val="24"/>
          <w:highlight w:val="none"/>
          <w:lang w:val="en-US" w:eastAsia="zh-CN"/>
        </w:rPr>
        <w:t>7</w:t>
      </w:r>
      <w:r>
        <w:rPr>
          <w:rFonts w:hint="eastAsia" w:ascii="宋体" w:hAnsi="宋体" w:cs="仿宋"/>
          <w:sz w:val="24"/>
          <w:highlight w:val="none"/>
        </w:rPr>
        <w:t>.1卖方应保证，买方在中华人民共和国使用该产品任何一部分时，免受第三方提出的侵犯其专利权、商标权或其他知识产权的起诉。如发生此类纠纷，由卖方承担一切责任。</w:t>
      </w:r>
    </w:p>
    <w:p>
      <w:pPr>
        <w:spacing w:line="360" w:lineRule="auto"/>
        <w:ind w:firstLine="480" w:firstLineChars="200"/>
        <w:rPr>
          <w:rFonts w:ascii="宋体" w:hAnsi="宋体" w:cs="仿宋"/>
          <w:sz w:val="24"/>
          <w:highlight w:val="none"/>
        </w:rPr>
      </w:pPr>
      <w:r>
        <w:rPr>
          <w:rFonts w:hint="eastAsia" w:ascii="宋体" w:hAnsi="宋体" w:cs="仿宋"/>
          <w:sz w:val="24"/>
          <w:highlight w:val="none"/>
          <w:lang w:val="en-US" w:eastAsia="zh-CN"/>
        </w:rPr>
        <w:t>7.</w:t>
      </w:r>
      <w:r>
        <w:rPr>
          <w:rFonts w:hint="eastAsia" w:ascii="宋体" w:hAnsi="宋体" w:cs="仿宋"/>
          <w:sz w:val="24"/>
          <w:highlight w:val="none"/>
        </w:rPr>
        <w:t>2卖方为执行本合同而提供的技术资料的使用权归买方所有。</w:t>
      </w:r>
    </w:p>
    <w:p>
      <w:pPr>
        <w:spacing w:line="360" w:lineRule="auto"/>
        <w:ind w:firstLine="480" w:firstLineChars="200"/>
        <w:rPr>
          <w:rFonts w:hint="eastAsia"/>
        </w:rPr>
      </w:pPr>
      <w:r>
        <w:rPr>
          <w:rFonts w:hint="eastAsia" w:ascii="宋体" w:hAnsi="宋体" w:cs="仿宋"/>
          <w:sz w:val="24"/>
          <w:highlight w:val="none"/>
          <w:lang w:val="en-US" w:eastAsia="zh-CN"/>
        </w:rPr>
        <w:t>7</w:t>
      </w:r>
      <w:r>
        <w:rPr>
          <w:rFonts w:hint="eastAsia" w:ascii="宋体" w:hAnsi="宋体" w:cs="仿宋"/>
          <w:sz w:val="24"/>
          <w:highlight w:val="none"/>
        </w:rPr>
        <w:t>.3投标人必须承诺</w:t>
      </w:r>
      <w:r>
        <w:rPr>
          <w:rFonts w:hint="eastAsia" w:ascii="宋体" w:hAnsi="宋体" w:cs="仿宋"/>
          <w:sz w:val="24"/>
          <w:highlight w:val="none"/>
          <w:lang w:val="en-US" w:eastAsia="zh-CN"/>
        </w:rPr>
        <w:t>响应</w:t>
      </w:r>
      <w:r>
        <w:rPr>
          <w:rFonts w:hint="eastAsia" w:ascii="宋体" w:hAnsi="宋体" w:cs="仿宋"/>
          <w:sz w:val="24"/>
          <w:highlight w:val="none"/>
        </w:rPr>
        <w:t>招标文件中提出的全部技术要求；如果以其中某些条款不响应时，应在投标文件中逐条列出，未列</w:t>
      </w:r>
      <w:r>
        <w:rPr>
          <w:rFonts w:hint="eastAsia" w:ascii="宋体" w:hAnsi="宋体" w:cs="仿宋"/>
          <w:sz w:val="24"/>
        </w:rPr>
        <w:t>出的视同响应。</w:t>
      </w:r>
    </w:p>
    <w:p>
      <w:pPr>
        <w:keepNext/>
        <w:spacing w:line="360" w:lineRule="auto"/>
        <w:ind w:right="210" w:rightChars="100"/>
        <w:outlineLvl w:val="1"/>
        <w:rPr>
          <w:rFonts w:ascii="宋体" w:hAnsi="宋体" w:cs="宋体"/>
          <w:b/>
          <w:bCs/>
          <w:sz w:val="24"/>
        </w:rPr>
      </w:pPr>
      <w:r>
        <w:rPr>
          <w:rFonts w:hint="eastAsia" w:ascii="宋体" w:hAnsi="宋体" w:cs="宋体"/>
          <w:b/>
          <w:bCs/>
          <w:sz w:val="24"/>
          <w:lang w:val="en-US" w:eastAsia="zh-CN"/>
        </w:rPr>
        <w:t>六</w:t>
      </w:r>
      <w:r>
        <w:rPr>
          <w:rFonts w:hint="eastAsia" w:ascii="宋体" w:hAnsi="宋体" w:cs="宋体"/>
          <w:b/>
          <w:bCs/>
          <w:sz w:val="24"/>
        </w:rPr>
        <w:t>、相关说明</w:t>
      </w:r>
    </w:p>
    <w:p>
      <w:pPr>
        <w:autoSpaceDE w:val="0"/>
        <w:autoSpaceDN w:val="0"/>
        <w:adjustRightInd w:val="0"/>
        <w:snapToGrid w:val="0"/>
        <w:spacing w:line="360" w:lineRule="auto"/>
        <w:ind w:firstLine="481"/>
        <w:rPr>
          <w:rFonts w:ascii="宋体" w:hAnsi="宋体" w:cs="宋体"/>
          <w:sz w:val="24"/>
        </w:rPr>
      </w:pPr>
      <w:r>
        <w:rPr>
          <w:rFonts w:ascii="宋体" w:hAnsi="宋体" w:cs="宋体"/>
          <w:b/>
          <w:sz w:val="24"/>
        </w:rPr>
        <w:t>1</w:t>
      </w:r>
      <w:r>
        <w:rPr>
          <w:rFonts w:hint="eastAsia" w:ascii="宋体" w:hAnsi="宋体" w:cs="宋体"/>
          <w:b/>
          <w:sz w:val="24"/>
        </w:rPr>
        <w:t>、现场勘察：</w:t>
      </w:r>
      <w:r>
        <w:rPr>
          <w:rFonts w:hint="eastAsia" w:ascii="宋体" w:hAnsi="宋体" w:cs="宋体"/>
          <w:sz w:val="24"/>
        </w:rPr>
        <w:t>本项目不组织答疑会或现场踏勘，如投标人认为有必要可自行前往现场踏勘。</w:t>
      </w:r>
    </w:p>
    <w:p>
      <w:pPr>
        <w:rPr>
          <w:rFonts w:ascii="宋体" w:hAnsi="宋体" w:cs="宋体"/>
          <w:b/>
          <w:bCs/>
          <w:szCs w:val="21"/>
        </w:rPr>
      </w:pPr>
    </w:p>
    <w:p>
      <w:pPr>
        <w:pStyle w:val="15"/>
        <w:rPr>
          <w:rFonts w:ascii="宋体" w:hAnsi="宋体" w:cs="宋体"/>
          <w:b/>
          <w:bCs/>
          <w:szCs w:val="21"/>
        </w:rPr>
      </w:pPr>
    </w:p>
    <w:p/>
    <w:p>
      <w:pPr>
        <w:rPr>
          <w:rFonts w:ascii="宋体" w:hAnsi="宋体" w:cs="宋体"/>
          <w:b/>
          <w:sz w:val="36"/>
          <w:szCs w:val="36"/>
        </w:rPr>
      </w:pPr>
      <w:r>
        <w:rPr>
          <w:rFonts w:hint="eastAsia" w:ascii="宋体" w:hAnsi="宋体" w:cs="宋体"/>
          <w:b/>
          <w:sz w:val="36"/>
          <w:szCs w:val="36"/>
        </w:rPr>
        <w:br w:type="page"/>
      </w:r>
    </w:p>
    <w:p>
      <w:pPr>
        <w:spacing w:line="360" w:lineRule="auto"/>
        <w:jc w:val="center"/>
        <w:rPr>
          <w:rFonts w:ascii="宋体" w:hAnsi="宋体" w:cs="宋体"/>
          <w:b/>
          <w:sz w:val="36"/>
          <w:szCs w:val="36"/>
        </w:rPr>
      </w:pPr>
      <w:r>
        <w:rPr>
          <w:rFonts w:hint="eastAsia" w:ascii="宋体" w:hAnsi="宋体" w:cs="宋体"/>
          <w:b/>
          <w:sz w:val="36"/>
          <w:szCs w:val="36"/>
        </w:rPr>
        <w:t>政府采购合同主要条款指引</w:t>
      </w:r>
    </w:p>
    <w:p>
      <w:pPr>
        <w:pStyle w:val="27"/>
        <w:snapToGrid w:val="0"/>
        <w:spacing w:before="120" w:after="120" w:line="360" w:lineRule="auto"/>
        <w:rPr>
          <w:rFonts w:hAnsi="宋体" w:cs="宋体"/>
          <w:color w:val="000000"/>
          <w:sz w:val="24"/>
        </w:rPr>
      </w:pPr>
      <w:r>
        <w:rPr>
          <w:rFonts w:hint="eastAsia" w:hAnsi="宋体" w:cs="宋体"/>
          <w:color w:val="000000"/>
          <w:sz w:val="24"/>
        </w:rPr>
        <w:t xml:space="preserve">甲方：（采购单位）                                                          </w:t>
      </w:r>
    </w:p>
    <w:p>
      <w:pPr>
        <w:pStyle w:val="27"/>
        <w:snapToGrid w:val="0"/>
        <w:spacing w:before="120" w:after="120" w:line="360" w:lineRule="auto"/>
        <w:rPr>
          <w:rFonts w:hAnsi="宋体" w:cs="宋体"/>
          <w:color w:val="000000"/>
          <w:sz w:val="24"/>
        </w:rPr>
      </w:pPr>
      <w:r>
        <w:rPr>
          <w:rFonts w:hint="eastAsia" w:hAnsi="宋体" w:cs="宋体"/>
          <w:color w:val="000000"/>
          <w:sz w:val="24"/>
        </w:rPr>
        <w:t xml:space="preserve">乙方：（中标供应商）                          </w:t>
      </w:r>
    </w:p>
    <w:p>
      <w:pPr>
        <w:widowControl/>
        <w:shd w:val="clear" w:color="auto" w:fill="FFFFFF"/>
        <w:spacing w:line="375" w:lineRule="atLeast"/>
        <w:ind w:firstLine="480" w:firstLineChars="200"/>
        <w:jc w:val="left"/>
        <w:rPr>
          <w:rFonts w:ascii="宋体" w:hAnsi="宋体" w:cs="宋体"/>
          <w:sz w:val="24"/>
        </w:rPr>
      </w:pPr>
      <w:r>
        <w:rPr>
          <w:rFonts w:hint="eastAsia" w:ascii="宋体" w:hAnsi="宋体" w:cs="宋体"/>
          <w:sz w:val="24"/>
        </w:rPr>
        <w:t>甲、乙双方根据</w:t>
      </w:r>
      <w:r>
        <w:rPr>
          <w:rFonts w:hint="eastAsia" w:ascii="宋体" w:hAnsi="宋体" w:cs="宋体"/>
          <w:b/>
          <w:bCs/>
          <w:sz w:val="24"/>
          <w:u w:val="single"/>
        </w:rPr>
        <w:t xml:space="preserve">      </w:t>
      </w:r>
      <w:r>
        <w:rPr>
          <w:rFonts w:hint="eastAsia" w:ascii="宋体" w:hAnsi="宋体" w:cs="宋体"/>
          <w:sz w:val="24"/>
        </w:rPr>
        <w:t>公开招标的结果，签署本合同。</w:t>
      </w:r>
    </w:p>
    <w:p>
      <w:pPr>
        <w:numPr>
          <w:ilvl w:val="0"/>
          <w:numId w:val="28"/>
        </w:numPr>
        <w:spacing w:line="360" w:lineRule="auto"/>
        <w:outlineLvl w:val="1"/>
        <w:rPr>
          <w:rFonts w:ascii="宋体"/>
          <w:b/>
          <w:color w:val="000000"/>
          <w:sz w:val="24"/>
          <w:lang w:val="zh-CN"/>
        </w:rPr>
      </w:pPr>
      <w:bookmarkStart w:id="3" w:name="_Toc14053"/>
      <w:bookmarkStart w:id="4" w:name="_Toc14348"/>
      <w:r>
        <w:rPr>
          <w:rFonts w:hint="eastAsia" w:ascii="宋体"/>
          <w:b/>
          <w:color w:val="000000"/>
          <w:sz w:val="24"/>
          <w:lang w:val="zh-CN"/>
        </w:rPr>
        <w:t>合同文件：</w:t>
      </w:r>
      <w:bookmarkEnd w:id="3"/>
      <w:bookmarkEnd w:id="4"/>
      <w:r>
        <w:rPr>
          <w:rFonts w:hint="eastAsia" w:ascii="宋体"/>
          <w:b/>
          <w:color w:val="000000"/>
          <w:sz w:val="24"/>
          <w:lang w:val="zh-CN"/>
        </w:rPr>
        <w:t xml:space="preserve"> </w:t>
      </w:r>
    </w:p>
    <w:p>
      <w:pPr>
        <w:numPr>
          <w:ilvl w:val="0"/>
          <w:numId w:val="29"/>
        </w:numPr>
        <w:spacing w:line="360" w:lineRule="auto"/>
        <w:ind w:firstLine="480" w:firstLineChars="200"/>
        <w:rPr>
          <w:rFonts w:ascii="宋体"/>
          <w:color w:val="000000"/>
          <w:sz w:val="24"/>
          <w:lang w:val="zh-CN"/>
        </w:rPr>
      </w:pPr>
      <w:r>
        <w:rPr>
          <w:rFonts w:hint="eastAsia" w:ascii="宋体"/>
          <w:color w:val="000000"/>
          <w:sz w:val="24"/>
          <w:lang w:val="zh-CN"/>
        </w:rPr>
        <w:t>合同条款。</w:t>
      </w:r>
    </w:p>
    <w:p>
      <w:pPr>
        <w:numPr>
          <w:ilvl w:val="0"/>
          <w:numId w:val="29"/>
        </w:numPr>
        <w:spacing w:line="360" w:lineRule="auto"/>
        <w:ind w:firstLine="480" w:firstLineChars="200"/>
        <w:rPr>
          <w:rFonts w:ascii="宋体"/>
          <w:color w:val="000000"/>
          <w:sz w:val="24"/>
          <w:lang w:val="zh-CN"/>
        </w:rPr>
      </w:pPr>
      <w:r>
        <w:rPr>
          <w:rFonts w:hint="eastAsia" w:ascii="宋体"/>
          <w:color w:val="000000"/>
          <w:sz w:val="24"/>
          <w:lang w:val="zh-CN"/>
        </w:rPr>
        <w:t>中标通知书。</w:t>
      </w:r>
    </w:p>
    <w:p>
      <w:pPr>
        <w:numPr>
          <w:ilvl w:val="0"/>
          <w:numId w:val="29"/>
        </w:numPr>
        <w:spacing w:line="360" w:lineRule="auto"/>
        <w:ind w:firstLine="480" w:firstLineChars="200"/>
        <w:rPr>
          <w:rFonts w:ascii="宋体"/>
          <w:color w:val="000000"/>
          <w:sz w:val="24"/>
          <w:lang w:val="zh-CN"/>
        </w:rPr>
      </w:pPr>
      <w:r>
        <w:rPr>
          <w:rFonts w:hint="eastAsia" w:ascii="宋体"/>
          <w:color w:val="000000"/>
          <w:sz w:val="24"/>
          <w:lang w:val="zh-CN"/>
        </w:rPr>
        <w:t>更正补充文件。</w:t>
      </w:r>
    </w:p>
    <w:p>
      <w:pPr>
        <w:numPr>
          <w:ilvl w:val="0"/>
          <w:numId w:val="29"/>
        </w:numPr>
        <w:spacing w:line="360" w:lineRule="auto"/>
        <w:ind w:firstLine="480" w:firstLineChars="200"/>
        <w:rPr>
          <w:rFonts w:ascii="宋体"/>
          <w:color w:val="000000"/>
          <w:sz w:val="24"/>
          <w:lang w:val="zh-CN"/>
        </w:rPr>
      </w:pPr>
      <w:r>
        <w:rPr>
          <w:rFonts w:hint="eastAsia" w:ascii="宋体"/>
          <w:color w:val="000000"/>
          <w:sz w:val="24"/>
          <w:lang w:val="zh-CN"/>
        </w:rPr>
        <w:t>招标文件。</w:t>
      </w:r>
    </w:p>
    <w:p>
      <w:pPr>
        <w:numPr>
          <w:ilvl w:val="0"/>
          <w:numId w:val="29"/>
        </w:numPr>
        <w:spacing w:line="360" w:lineRule="auto"/>
        <w:ind w:firstLine="480" w:firstLineChars="200"/>
        <w:rPr>
          <w:rFonts w:ascii="宋体"/>
          <w:color w:val="000000"/>
          <w:sz w:val="24"/>
          <w:lang w:val="zh-CN"/>
        </w:rPr>
      </w:pPr>
      <w:r>
        <w:rPr>
          <w:rFonts w:hint="eastAsia" w:ascii="宋体"/>
          <w:color w:val="000000"/>
          <w:sz w:val="24"/>
          <w:lang w:val="zh-CN"/>
        </w:rPr>
        <w:t>中标供应商投标文件。</w:t>
      </w:r>
    </w:p>
    <w:p>
      <w:pPr>
        <w:numPr>
          <w:ilvl w:val="0"/>
          <w:numId w:val="29"/>
        </w:numPr>
        <w:spacing w:line="360" w:lineRule="auto"/>
        <w:ind w:firstLine="480" w:firstLineChars="200"/>
        <w:rPr>
          <w:rFonts w:ascii="宋体"/>
          <w:color w:val="000000"/>
          <w:sz w:val="24"/>
          <w:lang w:val="zh-CN"/>
        </w:rPr>
      </w:pPr>
      <w:r>
        <w:rPr>
          <w:rFonts w:hint="eastAsia" w:ascii="宋体"/>
          <w:color w:val="000000"/>
          <w:sz w:val="24"/>
          <w:lang w:val="zh-CN"/>
        </w:rPr>
        <w:t>其他。</w:t>
      </w:r>
    </w:p>
    <w:p>
      <w:pPr>
        <w:widowControl/>
        <w:shd w:val="clear" w:color="auto" w:fill="FFFFFF"/>
        <w:spacing w:after="150" w:line="375" w:lineRule="atLeast"/>
        <w:ind w:firstLine="480" w:firstLineChars="200"/>
        <w:jc w:val="left"/>
        <w:rPr>
          <w:rFonts w:ascii="宋体" w:hAnsi="宋体" w:cs="宋体"/>
          <w:b/>
          <w:color w:val="333333"/>
          <w:kern w:val="0"/>
          <w:sz w:val="24"/>
        </w:rPr>
      </w:pPr>
      <w:r>
        <w:rPr>
          <w:rFonts w:hint="eastAsia"/>
          <w:color w:val="000000"/>
          <w:sz w:val="24"/>
          <w:lang w:val="zh-CN"/>
        </w:rPr>
        <w:t>上述所指合同文件应认为是互相补充和解释的，但是有模棱两可或互相矛盾之处，以其所列内容顺序为准。</w:t>
      </w:r>
    </w:p>
    <w:p>
      <w:pPr>
        <w:widowControl/>
        <w:numPr>
          <w:ilvl w:val="0"/>
          <w:numId w:val="28"/>
        </w:numPr>
        <w:shd w:val="clear" w:color="auto" w:fill="FFFFFF"/>
        <w:spacing w:after="150" w:line="375" w:lineRule="atLeast"/>
        <w:jc w:val="left"/>
        <w:outlineLvl w:val="1"/>
        <w:rPr>
          <w:rFonts w:ascii="宋体" w:hAnsi="宋体" w:cs="宋体"/>
          <w:b/>
          <w:color w:val="333333"/>
          <w:kern w:val="0"/>
          <w:sz w:val="24"/>
        </w:rPr>
      </w:pPr>
      <w:bookmarkStart w:id="5" w:name="_Toc25574"/>
      <w:bookmarkStart w:id="6" w:name="_Toc26657"/>
      <w:r>
        <w:rPr>
          <w:rFonts w:hint="eastAsia" w:ascii="宋体" w:hAnsi="宋体" w:cs="宋体"/>
          <w:b/>
          <w:color w:val="333333"/>
          <w:kern w:val="0"/>
          <w:sz w:val="24"/>
        </w:rPr>
        <w:t>合同内容及服务标准</w:t>
      </w:r>
      <w:bookmarkEnd w:id="5"/>
      <w:bookmarkEnd w:id="6"/>
    </w:p>
    <w:p>
      <w:pPr>
        <w:widowControl/>
        <w:shd w:val="clear" w:color="auto" w:fill="FFFFFF"/>
        <w:spacing w:after="150" w:line="375" w:lineRule="atLeast"/>
        <w:ind w:firstLine="480"/>
        <w:jc w:val="left"/>
        <w:rPr>
          <w:rFonts w:ascii="宋体" w:hAnsi="宋体" w:cs="宋体"/>
          <w:color w:val="333333"/>
          <w:kern w:val="0"/>
          <w:sz w:val="24"/>
        </w:rPr>
      </w:pPr>
      <w:r>
        <w:rPr>
          <w:rFonts w:hint="eastAsia" w:ascii="宋体" w:hAnsi="宋体" w:cs="宋体"/>
          <w:color w:val="333333"/>
          <w:kern w:val="0"/>
          <w:sz w:val="24"/>
        </w:rPr>
        <w:t>（具体见项目需求）</w:t>
      </w:r>
    </w:p>
    <w:p>
      <w:pPr>
        <w:pStyle w:val="27"/>
        <w:numPr>
          <w:ilvl w:val="0"/>
          <w:numId w:val="28"/>
        </w:numPr>
        <w:snapToGrid w:val="0"/>
        <w:spacing w:before="120" w:after="120" w:line="360" w:lineRule="auto"/>
        <w:outlineLvl w:val="1"/>
        <w:rPr>
          <w:rFonts w:hAnsi="宋体" w:cs="宋体"/>
          <w:b/>
          <w:sz w:val="24"/>
        </w:rPr>
      </w:pPr>
      <w:bookmarkStart w:id="7" w:name="_Toc7882"/>
      <w:bookmarkStart w:id="8" w:name="_Toc15125"/>
      <w:r>
        <w:rPr>
          <w:rFonts w:hint="eastAsia" w:hAnsi="宋体" w:cs="宋体"/>
          <w:b/>
          <w:sz w:val="24"/>
        </w:rPr>
        <w:t>合同金额</w:t>
      </w:r>
      <w:bookmarkEnd w:id="7"/>
      <w:bookmarkEnd w:id="8"/>
    </w:p>
    <w:p>
      <w:pPr>
        <w:pStyle w:val="27"/>
        <w:snapToGrid w:val="0"/>
        <w:spacing w:line="360" w:lineRule="auto"/>
        <w:ind w:firstLine="480" w:firstLineChars="200"/>
        <w:rPr>
          <w:rFonts w:hAnsi="宋体" w:cs="宋体"/>
          <w:sz w:val="24"/>
        </w:rPr>
      </w:pPr>
      <w:r>
        <w:rPr>
          <w:rFonts w:hint="eastAsia" w:hAnsi="宋体" w:cs="宋体"/>
          <w:sz w:val="24"/>
        </w:rPr>
        <w:t>本合同金额为（大写）：______________元（￥__________元）人民币。</w:t>
      </w:r>
      <w:r>
        <w:rPr>
          <w:rFonts w:hint="eastAsia" w:hAnsi="宋体"/>
          <w:sz w:val="24"/>
        </w:rPr>
        <w:t>在本合同履行期间乙方不得再以任何理由向甲方计取除违约责任外的任何费用。</w:t>
      </w:r>
    </w:p>
    <w:p>
      <w:pPr>
        <w:pStyle w:val="27"/>
        <w:numPr>
          <w:ilvl w:val="0"/>
          <w:numId w:val="28"/>
        </w:numPr>
        <w:adjustRightInd w:val="0"/>
        <w:snapToGrid w:val="0"/>
        <w:spacing w:line="360" w:lineRule="auto"/>
        <w:ind w:firstLine="482" w:firstLineChars="200"/>
        <w:outlineLvl w:val="1"/>
        <w:rPr>
          <w:rFonts w:hAnsi="宋体" w:cs="宋体"/>
          <w:b/>
          <w:sz w:val="24"/>
        </w:rPr>
      </w:pPr>
      <w:bookmarkStart w:id="9" w:name="_Toc15833"/>
      <w:bookmarkStart w:id="10" w:name="_Toc28111"/>
      <w:r>
        <w:rPr>
          <w:rFonts w:hint="eastAsia" w:hAnsi="宋体" w:cs="宋体"/>
          <w:b/>
          <w:sz w:val="24"/>
        </w:rPr>
        <w:t>技术资料</w:t>
      </w:r>
      <w:bookmarkEnd w:id="9"/>
      <w:bookmarkEnd w:id="10"/>
    </w:p>
    <w:p>
      <w:pPr>
        <w:pStyle w:val="27"/>
        <w:numPr>
          <w:ilvl w:val="0"/>
          <w:numId w:val="30"/>
        </w:numPr>
        <w:adjustRightInd w:val="0"/>
        <w:snapToGrid w:val="0"/>
        <w:spacing w:line="360" w:lineRule="auto"/>
        <w:ind w:firstLine="480" w:firstLineChars="200"/>
        <w:rPr>
          <w:rFonts w:hAnsi="宋体" w:cs="宋体"/>
          <w:sz w:val="24"/>
        </w:rPr>
      </w:pPr>
      <w:r>
        <w:rPr>
          <w:rFonts w:hint="eastAsia" w:hAnsi="宋体" w:cs="宋体"/>
          <w:sz w:val="24"/>
        </w:rPr>
        <w:t>乙方应按采购文件规定的时间向甲方提供有关技术资料。</w:t>
      </w:r>
    </w:p>
    <w:p>
      <w:pPr>
        <w:pStyle w:val="27"/>
        <w:numPr>
          <w:ilvl w:val="0"/>
          <w:numId w:val="30"/>
        </w:numPr>
        <w:adjustRightInd w:val="0"/>
        <w:snapToGrid w:val="0"/>
        <w:spacing w:line="360" w:lineRule="auto"/>
        <w:ind w:firstLine="480" w:firstLineChars="200"/>
        <w:rPr>
          <w:rFonts w:hAnsi="宋体" w:cs="宋体"/>
          <w:sz w:val="24"/>
        </w:rPr>
      </w:pPr>
      <w:r>
        <w:rPr>
          <w:rFonts w:hint="eastAsia" w:hAnsi="宋体" w:cs="宋体"/>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7"/>
        <w:numPr>
          <w:ilvl w:val="0"/>
          <w:numId w:val="28"/>
        </w:numPr>
        <w:adjustRightInd w:val="0"/>
        <w:snapToGrid w:val="0"/>
        <w:spacing w:line="360" w:lineRule="auto"/>
        <w:ind w:firstLine="482" w:firstLineChars="200"/>
        <w:outlineLvl w:val="1"/>
        <w:rPr>
          <w:rFonts w:hAnsi="宋体" w:cs="宋体"/>
          <w:b/>
          <w:sz w:val="24"/>
        </w:rPr>
      </w:pPr>
      <w:bookmarkStart w:id="11" w:name="_Toc28968"/>
      <w:bookmarkStart w:id="12" w:name="_Toc4945"/>
      <w:r>
        <w:rPr>
          <w:rFonts w:hint="eastAsia" w:hAnsi="宋体" w:cs="宋体"/>
          <w:b/>
          <w:sz w:val="24"/>
        </w:rPr>
        <w:t>知识产权</w:t>
      </w:r>
      <w:bookmarkEnd w:id="11"/>
      <w:bookmarkEnd w:id="12"/>
    </w:p>
    <w:p>
      <w:pPr>
        <w:pStyle w:val="27"/>
        <w:adjustRightInd w:val="0"/>
        <w:snapToGrid w:val="0"/>
        <w:spacing w:line="360" w:lineRule="auto"/>
        <w:ind w:firstLine="480" w:firstLineChars="200"/>
        <w:rPr>
          <w:rFonts w:hAnsi="宋体" w:cs="宋体"/>
          <w:b/>
          <w:bCs/>
          <w:sz w:val="24"/>
        </w:rPr>
      </w:pPr>
      <w:r>
        <w:rPr>
          <w:rFonts w:hint="eastAsia" w:hAnsi="宋体" w:cs="宋体"/>
          <w:sz w:val="24"/>
        </w:rPr>
        <w:t>乙方应保证提供服务过程中不会侵犯任何第三方的知识产权,否则甲方有权要求乙方承担本合同金额5％的违约金。同时</w:t>
      </w:r>
      <w:r>
        <w:rPr>
          <w:rFonts w:hint="eastAsia" w:hAnsi="宋体"/>
          <w:bCs/>
          <w:sz w:val="24"/>
        </w:rPr>
        <w:t>由此可能发生的一切法律责任及费用均由乙方承担，与甲方无关。</w:t>
      </w:r>
    </w:p>
    <w:p>
      <w:pPr>
        <w:pStyle w:val="27"/>
        <w:numPr>
          <w:ilvl w:val="0"/>
          <w:numId w:val="28"/>
        </w:numPr>
        <w:adjustRightInd w:val="0"/>
        <w:snapToGrid w:val="0"/>
        <w:spacing w:line="360" w:lineRule="auto"/>
        <w:ind w:firstLine="482" w:firstLineChars="200"/>
        <w:outlineLvl w:val="1"/>
        <w:rPr>
          <w:rFonts w:hAnsi="宋体" w:cs="宋体"/>
          <w:b/>
          <w:sz w:val="24"/>
        </w:rPr>
      </w:pPr>
      <w:bookmarkStart w:id="13" w:name="_Toc26731"/>
      <w:bookmarkStart w:id="14" w:name="_Toc26295"/>
      <w:r>
        <w:rPr>
          <w:rFonts w:hint="eastAsia" w:hAnsi="宋体" w:cs="宋体"/>
          <w:b/>
          <w:sz w:val="24"/>
        </w:rPr>
        <w:t>履约保证金</w:t>
      </w:r>
      <w:bookmarkEnd w:id="13"/>
      <w:bookmarkEnd w:id="14"/>
    </w:p>
    <w:p>
      <w:pPr>
        <w:tabs>
          <w:tab w:val="left" w:pos="1418"/>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在合同签订前，中标单位应</w:t>
      </w:r>
      <w:r>
        <w:rPr>
          <w:rFonts w:hint="eastAsia" w:ascii="宋体" w:hAnsi="宋体" w:cs="宋体"/>
          <w:sz w:val="24"/>
          <w:lang w:val="en-US" w:eastAsia="zh-CN"/>
        </w:rPr>
        <w:t>以银行、保险公司出具保函形式</w:t>
      </w:r>
      <w:r>
        <w:rPr>
          <w:rFonts w:hint="eastAsia" w:ascii="宋体" w:hAnsi="宋体" w:cs="宋体"/>
          <w:sz w:val="24"/>
        </w:rPr>
        <w:t>交纳合同金额1 %的履约保证金，如未按规定提交履约保证金，招标人有权拒签合同。</w:t>
      </w:r>
    </w:p>
    <w:p>
      <w:pPr>
        <w:numPr>
          <w:ilvl w:val="0"/>
          <w:numId w:val="28"/>
        </w:numPr>
        <w:adjustRightInd w:val="0"/>
        <w:snapToGrid w:val="0"/>
        <w:spacing w:line="360" w:lineRule="auto"/>
        <w:ind w:firstLine="482" w:firstLineChars="200"/>
        <w:outlineLvl w:val="1"/>
        <w:rPr>
          <w:rFonts w:ascii="宋体" w:hAnsi="宋体" w:cs="宋体"/>
          <w:b/>
          <w:sz w:val="24"/>
        </w:rPr>
      </w:pPr>
      <w:bookmarkStart w:id="15" w:name="_Toc21699"/>
      <w:bookmarkStart w:id="16" w:name="_Toc23596"/>
      <w:r>
        <w:rPr>
          <w:rFonts w:hint="eastAsia" w:ascii="宋体" w:hAnsi="宋体" w:cs="宋体"/>
          <w:b/>
          <w:sz w:val="24"/>
        </w:rPr>
        <w:t>转包或分包</w:t>
      </w:r>
      <w:bookmarkEnd w:id="15"/>
      <w:bookmarkEnd w:id="16"/>
    </w:p>
    <w:p>
      <w:pPr>
        <w:numPr>
          <w:ilvl w:val="0"/>
          <w:numId w:val="31"/>
        </w:numPr>
        <w:snapToGrid w:val="0"/>
        <w:spacing w:line="360" w:lineRule="auto"/>
        <w:ind w:firstLine="480" w:firstLineChars="200"/>
        <w:rPr>
          <w:rFonts w:ascii="宋体" w:hAnsi="宋体" w:cs="宋体"/>
          <w:sz w:val="24"/>
        </w:rPr>
      </w:pPr>
      <w:r>
        <w:rPr>
          <w:rFonts w:hint="eastAsia" w:ascii="宋体" w:hAnsi="宋体" w:cs="宋体"/>
          <w:sz w:val="24"/>
        </w:rPr>
        <w:t>本合同范围的服务，应由乙方直接供应，不得转让他人供应；</w:t>
      </w:r>
    </w:p>
    <w:p>
      <w:pPr>
        <w:numPr>
          <w:ilvl w:val="0"/>
          <w:numId w:val="31"/>
        </w:numPr>
        <w:snapToGrid w:val="0"/>
        <w:spacing w:line="360" w:lineRule="auto"/>
        <w:ind w:firstLine="480" w:firstLineChars="200"/>
        <w:rPr>
          <w:rFonts w:ascii="宋体" w:hAnsi="宋体" w:cs="宋体"/>
          <w:sz w:val="24"/>
        </w:rPr>
      </w:pPr>
      <w:r>
        <w:rPr>
          <w:rFonts w:hint="eastAsia" w:ascii="宋体" w:hAnsi="宋体" w:cs="宋体"/>
          <w:sz w:val="24"/>
        </w:rPr>
        <w:t>除非得到甲方的书面同意，乙方不得将本合同范围的服务全部或部分分包给他人供应；</w:t>
      </w:r>
    </w:p>
    <w:p>
      <w:pPr>
        <w:numPr>
          <w:ilvl w:val="0"/>
          <w:numId w:val="31"/>
        </w:numPr>
        <w:snapToGrid w:val="0"/>
        <w:spacing w:line="360" w:lineRule="auto"/>
        <w:ind w:firstLine="480" w:firstLineChars="200"/>
        <w:rPr>
          <w:rFonts w:ascii="宋体" w:hAnsi="宋体" w:cs="宋体"/>
          <w:sz w:val="24"/>
        </w:rPr>
      </w:pPr>
      <w:r>
        <w:rPr>
          <w:rFonts w:hint="eastAsia" w:ascii="宋体" w:hAnsi="宋体" w:cs="宋体"/>
          <w:sz w:val="24"/>
        </w:rPr>
        <w:t>如有转让和未经甲方同意的分包行为，甲方有权解除合同，要求乙方承担本合同金额5％的违约金，同时要求乙方赔偿损失。</w:t>
      </w:r>
    </w:p>
    <w:p>
      <w:pPr>
        <w:pStyle w:val="27"/>
        <w:numPr>
          <w:ilvl w:val="0"/>
          <w:numId w:val="28"/>
        </w:numPr>
        <w:snapToGrid w:val="0"/>
        <w:spacing w:line="360" w:lineRule="auto"/>
        <w:ind w:firstLine="482" w:firstLineChars="200"/>
        <w:outlineLvl w:val="1"/>
        <w:rPr>
          <w:rFonts w:hAnsi="宋体" w:cs="宋体"/>
          <w:b/>
          <w:sz w:val="24"/>
        </w:rPr>
      </w:pPr>
      <w:bookmarkStart w:id="17" w:name="_Toc28441"/>
      <w:bookmarkStart w:id="18" w:name="_Toc591"/>
      <w:r>
        <w:rPr>
          <w:rFonts w:hint="eastAsia" w:hAnsi="宋体" w:cs="宋体"/>
          <w:b/>
          <w:sz w:val="24"/>
        </w:rPr>
        <w:t>质保期</w:t>
      </w:r>
      <w:r>
        <w:rPr>
          <w:rFonts w:hint="eastAsia" w:hAnsi="宋体" w:cs="宋体"/>
          <w:b/>
          <w:sz w:val="24"/>
          <w:lang w:val="en-US" w:eastAsia="zh-CN"/>
        </w:rPr>
        <w:t>及特征库升级</w:t>
      </w:r>
    </w:p>
    <w:p>
      <w:pPr>
        <w:numPr>
          <w:ilvl w:val="0"/>
          <w:numId w:val="32"/>
        </w:numPr>
        <w:snapToGrid w:val="0"/>
        <w:spacing w:line="360" w:lineRule="auto"/>
        <w:ind w:firstLine="480" w:firstLineChars="200"/>
        <w:rPr>
          <w:rFonts w:hint="eastAsia" w:ascii="宋体" w:hAnsi="宋体" w:cs="宋体"/>
          <w:sz w:val="24"/>
        </w:rPr>
      </w:pPr>
      <w:r>
        <w:rPr>
          <w:rFonts w:hint="eastAsia" w:ascii="宋体" w:hAnsi="宋体" w:cs="宋体"/>
          <w:sz w:val="24"/>
        </w:rPr>
        <w:t>质保期</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年，时间从通过最终验收通过后算起，其中试运行时间至少3个月。具体设备原厂商质保期为3年以上的，根据该设备原厂商质保期执行。</w:t>
      </w:r>
    </w:p>
    <w:p>
      <w:pPr>
        <w:numPr>
          <w:ilvl w:val="0"/>
          <w:numId w:val="32"/>
        </w:numPr>
        <w:snapToGrid w:val="0"/>
        <w:spacing w:line="360" w:lineRule="auto"/>
        <w:ind w:firstLine="480" w:firstLineChars="200"/>
        <w:rPr>
          <w:rFonts w:hint="default" w:ascii="宋体" w:hAnsi="宋体" w:cs="宋体"/>
          <w:sz w:val="24"/>
          <w:lang w:val="en-US" w:eastAsia="zh-CN"/>
        </w:rPr>
      </w:pPr>
      <w:r>
        <w:rPr>
          <w:rFonts w:hint="default" w:ascii="宋体" w:hAnsi="宋体" w:cs="宋体"/>
          <w:sz w:val="24"/>
          <w:lang w:val="en-US" w:eastAsia="zh-CN"/>
        </w:rPr>
        <w:t>特征库升级</w:t>
      </w:r>
      <w:r>
        <w:rPr>
          <w:rFonts w:hint="eastAsia" w:ascii="宋体" w:hAnsi="宋体" w:cs="宋体"/>
          <w:sz w:val="24"/>
          <w:u w:val="single"/>
          <w:lang w:val="en-US" w:eastAsia="zh-CN"/>
        </w:rPr>
        <w:t xml:space="preserve">   </w:t>
      </w:r>
      <w:r>
        <w:rPr>
          <w:rFonts w:hint="eastAsia" w:ascii="宋体" w:hAnsi="宋体" w:cs="宋体"/>
          <w:sz w:val="24"/>
          <w:lang w:val="en-US" w:eastAsia="zh-CN"/>
        </w:rPr>
        <w:t>年，包括</w:t>
      </w:r>
      <w:r>
        <w:rPr>
          <w:rFonts w:hint="eastAsia" w:ascii="宋体" w:hAnsi="宋体" w:cs="仿宋"/>
          <w:color w:val="000000" w:themeColor="text1"/>
          <w:sz w:val="24"/>
          <w:lang w:val="en-US" w:eastAsia="zh-CN"/>
          <w14:textFill>
            <w14:solidFill>
              <w14:schemeClr w14:val="tx1"/>
            </w14:solidFill>
          </w14:textFill>
        </w:rPr>
        <w:t>下一代防火墙</w:t>
      </w:r>
      <w:r>
        <w:rPr>
          <w:rFonts w:hint="eastAsia" w:ascii="宋体" w:hAnsi="宋体" w:cs="仿宋"/>
          <w:color w:val="000000" w:themeColor="text1"/>
          <w:sz w:val="24"/>
          <w14:textFill>
            <w14:solidFill>
              <w14:schemeClr w14:val="tx1"/>
            </w14:solidFill>
          </w14:textFill>
        </w:rPr>
        <w:t>实</w:t>
      </w:r>
      <w:r>
        <w:rPr>
          <w:rFonts w:hint="eastAsia" w:ascii="宋体" w:hAnsi="宋体" w:cs="仿宋"/>
          <w:color w:val="000000" w:themeColor="text1"/>
          <w:sz w:val="24"/>
          <w:lang w:val="en-US" w:eastAsia="zh-CN"/>
          <w14:textFill>
            <w14:solidFill>
              <w14:schemeClr w14:val="tx1"/>
            </w14:solidFill>
          </w14:textFill>
        </w:rPr>
        <w:t>配备</w:t>
      </w:r>
      <w:r>
        <w:rPr>
          <w:rFonts w:hint="eastAsia" w:ascii="宋体" w:hAnsi="宋体" w:cs="仿宋"/>
          <w:color w:val="000000" w:themeColor="text1"/>
          <w:sz w:val="24"/>
          <w14:textFill>
            <w14:solidFill>
              <w14:schemeClr w14:val="tx1"/>
            </w14:solidFill>
          </w14:textFill>
        </w:rPr>
        <w:t>侵防御、防病毒、应用识别特征库</w:t>
      </w:r>
      <w:r>
        <w:rPr>
          <w:rFonts w:hint="eastAsia" w:ascii="宋体" w:hAnsi="宋体" w:cs="仿宋"/>
          <w:color w:val="000000" w:themeColor="text1"/>
          <w:sz w:val="24"/>
          <w:lang w:val="en-US" w:eastAsia="zh-CN"/>
          <w14:textFill>
            <w14:solidFill>
              <w14:schemeClr w14:val="tx1"/>
            </w14:solidFill>
          </w14:textFill>
        </w:rPr>
        <w:t>及上网行为管理器配备</w:t>
      </w:r>
      <w:r>
        <w:rPr>
          <w:rFonts w:hint="eastAsia" w:ascii="宋体" w:hAnsi="宋体" w:cs="仿宋"/>
          <w:color w:val="000000" w:themeColor="text1"/>
          <w:sz w:val="24"/>
          <w14:textFill>
            <w14:solidFill>
              <w14:schemeClr w14:val="tx1"/>
            </w14:solidFill>
          </w14:textFill>
        </w:rPr>
        <w:t>ACG特征库</w:t>
      </w:r>
      <w:r>
        <w:rPr>
          <w:rFonts w:hint="eastAsia" w:ascii="宋体" w:hAnsi="宋体" w:cs="仿宋"/>
          <w:color w:val="000000" w:themeColor="text1"/>
          <w:sz w:val="24"/>
          <w:lang w:eastAsia="zh-CN"/>
          <w14:textFill>
            <w14:solidFill>
              <w14:schemeClr w14:val="tx1"/>
            </w14:solidFill>
          </w14:textFill>
        </w:rPr>
        <w:t>。</w:t>
      </w:r>
    </w:p>
    <w:p>
      <w:pPr>
        <w:pStyle w:val="27"/>
        <w:numPr>
          <w:ilvl w:val="0"/>
          <w:numId w:val="28"/>
        </w:numPr>
        <w:snapToGrid w:val="0"/>
        <w:spacing w:line="360" w:lineRule="auto"/>
        <w:ind w:firstLine="482" w:firstLineChars="200"/>
        <w:outlineLvl w:val="1"/>
        <w:rPr>
          <w:rFonts w:hAnsi="宋体" w:cs="宋体"/>
          <w:b/>
          <w:sz w:val="24"/>
        </w:rPr>
      </w:pPr>
      <w:r>
        <w:rPr>
          <w:rFonts w:hint="eastAsia" w:hAnsi="宋体" w:cs="宋体"/>
          <w:b/>
          <w:sz w:val="24"/>
        </w:rPr>
        <w:t>合同履行时间及履行地点</w:t>
      </w:r>
      <w:bookmarkEnd w:id="17"/>
      <w:bookmarkEnd w:id="18"/>
    </w:p>
    <w:p>
      <w:pPr>
        <w:pStyle w:val="27"/>
        <w:numPr>
          <w:ilvl w:val="0"/>
          <w:numId w:val="33"/>
        </w:numPr>
        <w:snapToGrid w:val="0"/>
        <w:spacing w:line="360" w:lineRule="auto"/>
        <w:ind w:firstLine="480" w:firstLineChars="200"/>
        <w:rPr>
          <w:rFonts w:hAnsi="宋体" w:cs="宋体"/>
          <w:color w:val="000000"/>
          <w:sz w:val="24"/>
        </w:rPr>
      </w:pPr>
      <w:r>
        <w:rPr>
          <w:rFonts w:hint="eastAsia" w:hAnsi="宋体" w:cs="宋体"/>
          <w:sz w:val="24"/>
        </w:rPr>
        <w:t>履行时间</w:t>
      </w:r>
      <w:r>
        <w:rPr>
          <w:rFonts w:hint="eastAsia" w:hAnsi="宋体" w:cs="宋体"/>
          <w:bCs/>
          <w:sz w:val="24"/>
        </w:rPr>
        <w:t>：</w:t>
      </w:r>
      <w:r>
        <w:rPr>
          <w:rFonts w:hint="eastAsia" w:hAnsi="宋体" w:cs="宋体"/>
          <w:sz w:val="24"/>
        </w:rPr>
        <w:t>合同签订后60天内完成供货、安装及调试。</w:t>
      </w:r>
    </w:p>
    <w:p>
      <w:pPr>
        <w:pStyle w:val="27"/>
        <w:numPr>
          <w:ilvl w:val="0"/>
          <w:numId w:val="33"/>
        </w:numPr>
        <w:snapToGrid w:val="0"/>
        <w:spacing w:line="360" w:lineRule="auto"/>
        <w:ind w:firstLine="480" w:firstLineChars="200"/>
        <w:rPr>
          <w:rFonts w:hAnsi="宋体" w:cs="宋体"/>
          <w:color w:val="000000"/>
          <w:sz w:val="24"/>
        </w:rPr>
      </w:pPr>
      <w:r>
        <w:rPr>
          <w:rFonts w:hint="eastAsia" w:hAnsi="宋体" w:cs="宋体"/>
          <w:sz w:val="24"/>
        </w:rPr>
        <w:t>履行地点</w:t>
      </w:r>
      <w:r>
        <w:rPr>
          <w:rFonts w:hint="eastAsia" w:hAnsi="宋体" w:cs="宋体"/>
          <w:bCs/>
          <w:color w:val="000000"/>
          <w:sz w:val="24"/>
        </w:rPr>
        <w:t>：业主指定地点。</w:t>
      </w:r>
    </w:p>
    <w:p>
      <w:pPr>
        <w:pStyle w:val="27"/>
        <w:numPr>
          <w:ilvl w:val="0"/>
          <w:numId w:val="28"/>
        </w:numPr>
        <w:snapToGrid w:val="0"/>
        <w:spacing w:line="360" w:lineRule="auto"/>
        <w:ind w:firstLine="482" w:firstLineChars="200"/>
        <w:outlineLvl w:val="1"/>
        <w:rPr>
          <w:rFonts w:hAnsi="宋体" w:cs="宋体"/>
          <w:b/>
          <w:color w:val="000000"/>
          <w:sz w:val="24"/>
        </w:rPr>
      </w:pPr>
      <w:bookmarkStart w:id="19" w:name="_Toc21504"/>
      <w:bookmarkStart w:id="20" w:name="_Toc18065"/>
      <w:r>
        <w:rPr>
          <w:rFonts w:hint="eastAsia" w:hAnsi="宋体" w:cs="宋体"/>
          <w:b/>
          <w:color w:val="000000"/>
          <w:sz w:val="24"/>
        </w:rPr>
        <w:t>款项支付</w:t>
      </w:r>
      <w:bookmarkEnd w:id="19"/>
      <w:bookmarkEnd w:id="20"/>
    </w:p>
    <w:p>
      <w:pPr>
        <w:spacing w:line="360" w:lineRule="auto"/>
        <w:ind w:firstLine="480" w:firstLineChars="200"/>
        <w:rPr>
          <w:rFonts w:ascii="宋体" w:hAnsi="宋体" w:cs="宋体"/>
          <w:bCs/>
          <w:sz w:val="24"/>
        </w:rPr>
      </w:pPr>
      <w:r>
        <w:rPr>
          <w:rFonts w:hint="eastAsia" w:ascii="宋体" w:hAnsi="宋体" w:cs="宋体"/>
          <w:bCs/>
          <w:sz w:val="24"/>
        </w:rPr>
        <w:t>付款方式：</w:t>
      </w:r>
      <w:r>
        <w:rPr>
          <w:rFonts w:hint="eastAsia" w:cs="宋体"/>
          <w:sz w:val="24"/>
        </w:rPr>
        <w:t>合同生效后7个工作日内向</w:t>
      </w:r>
      <w:r>
        <w:rPr>
          <w:rFonts w:hint="eastAsia" w:cs="宋体"/>
          <w:sz w:val="24"/>
          <w:highlight w:val="yellow"/>
          <w:lang w:val="en-US" w:eastAsia="zh-CN"/>
        </w:rPr>
        <w:t>乙方</w:t>
      </w:r>
      <w:r>
        <w:rPr>
          <w:rFonts w:hint="eastAsia" w:cs="宋体"/>
          <w:sz w:val="24"/>
        </w:rPr>
        <w:t>支付合同总价款的40 %作为预付款；</w:t>
      </w:r>
      <w:r>
        <w:rPr>
          <w:rFonts w:hint="eastAsia" w:ascii="宋体" w:hAnsi="宋体" w:cs="宋体"/>
          <w:kern w:val="0"/>
          <w:sz w:val="24"/>
        </w:rPr>
        <w:t>设备到货经验收无误后支付40%</w:t>
      </w:r>
      <w:r>
        <w:rPr>
          <w:rFonts w:hint="eastAsia" w:cs="宋体"/>
          <w:sz w:val="24"/>
        </w:rPr>
        <w:t>；最终验收合格后，支付合同总价款的20%。</w:t>
      </w:r>
    </w:p>
    <w:p>
      <w:pPr>
        <w:numPr>
          <w:ilvl w:val="0"/>
          <w:numId w:val="28"/>
        </w:numPr>
        <w:snapToGrid w:val="0"/>
        <w:spacing w:line="360" w:lineRule="auto"/>
        <w:ind w:firstLine="482" w:firstLineChars="200"/>
        <w:outlineLvl w:val="1"/>
        <w:rPr>
          <w:rFonts w:ascii="宋体" w:hAnsi="宋体" w:cs="宋体"/>
          <w:b/>
          <w:sz w:val="24"/>
        </w:rPr>
      </w:pPr>
      <w:bookmarkStart w:id="21" w:name="_Toc21135"/>
      <w:bookmarkStart w:id="22" w:name="_Toc2274"/>
      <w:r>
        <w:rPr>
          <w:rFonts w:hint="eastAsia" w:ascii="宋体" w:hAnsi="宋体" w:cs="宋体"/>
          <w:b/>
          <w:sz w:val="24"/>
        </w:rPr>
        <w:t>税费</w:t>
      </w:r>
      <w:bookmarkEnd w:id="21"/>
      <w:bookmarkEnd w:id="22"/>
    </w:p>
    <w:p>
      <w:pPr>
        <w:snapToGrid w:val="0"/>
        <w:spacing w:line="360" w:lineRule="auto"/>
        <w:ind w:firstLine="480" w:firstLineChars="200"/>
        <w:rPr>
          <w:rFonts w:ascii="宋体" w:hAnsi="宋体" w:cs="宋体"/>
          <w:sz w:val="24"/>
        </w:rPr>
      </w:pPr>
      <w:r>
        <w:rPr>
          <w:rFonts w:hint="eastAsia" w:ascii="宋体" w:hAnsi="宋体" w:cs="宋体"/>
          <w:sz w:val="24"/>
        </w:rPr>
        <w:t>本合同执行中相关的一切税费均由乙方负担。</w:t>
      </w:r>
    </w:p>
    <w:p>
      <w:pPr>
        <w:pStyle w:val="27"/>
        <w:numPr>
          <w:ilvl w:val="0"/>
          <w:numId w:val="28"/>
        </w:numPr>
        <w:snapToGrid w:val="0"/>
        <w:spacing w:line="360" w:lineRule="auto"/>
        <w:ind w:firstLine="482" w:firstLineChars="200"/>
        <w:outlineLvl w:val="1"/>
        <w:rPr>
          <w:rFonts w:hAnsi="宋体" w:cs="宋体"/>
          <w:b/>
          <w:sz w:val="24"/>
        </w:rPr>
      </w:pPr>
      <w:bookmarkStart w:id="23" w:name="_Toc679"/>
      <w:bookmarkStart w:id="24" w:name="_Toc4023"/>
      <w:r>
        <w:rPr>
          <w:rFonts w:hint="eastAsia" w:hAnsi="宋体" w:cs="宋体"/>
          <w:b/>
          <w:sz w:val="24"/>
        </w:rPr>
        <w:t>质量保证及后续服务</w:t>
      </w:r>
      <w:bookmarkEnd w:id="23"/>
      <w:bookmarkEnd w:id="24"/>
    </w:p>
    <w:p>
      <w:pPr>
        <w:pStyle w:val="27"/>
        <w:numPr>
          <w:ilvl w:val="0"/>
          <w:numId w:val="34"/>
        </w:numPr>
        <w:snapToGrid w:val="0"/>
        <w:spacing w:line="360" w:lineRule="auto"/>
        <w:ind w:firstLine="480" w:firstLineChars="200"/>
        <w:rPr>
          <w:rFonts w:hAnsi="宋体" w:cs="宋体"/>
          <w:sz w:val="24"/>
        </w:rPr>
      </w:pPr>
      <w:r>
        <w:rPr>
          <w:rFonts w:hint="eastAsia" w:hAnsi="宋体" w:cs="宋体"/>
          <w:sz w:val="24"/>
        </w:rPr>
        <w:t>乙方应按采购文件规定向甲方提供服务。</w:t>
      </w:r>
    </w:p>
    <w:p>
      <w:pPr>
        <w:pStyle w:val="27"/>
        <w:numPr>
          <w:ilvl w:val="0"/>
          <w:numId w:val="34"/>
        </w:numPr>
        <w:snapToGrid w:val="0"/>
        <w:spacing w:line="360" w:lineRule="auto"/>
        <w:ind w:firstLine="480" w:firstLineChars="200"/>
        <w:rPr>
          <w:rFonts w:hAnsi="宋体" w:cs="宋体"/>
          <w:sz w:val="24"/>
        </w:rPr>
      </w:pPr>
      <w:r>
        <w:rPr>
          <w:rFonts w:hint="eastAsia" w:hAnsi="宋体" w:cs="宋体"/>
          <w:sz w:val="24"/>
        </w:rPr>
        <w:t>乙方提供的服务成果在服务质量保证期内发生故障，乙方应负责免费提供后续服务。对达不到要求者，根据实际情况，经双方协商，可按以下</w:t>
      </w:r>
      <w:r>
        <w:rPr>
          <w:rFonts w:hint="eastAsia" w:hAnsi="宋体" w:cs="宋体"/>
          <w:sz w:val="24"/>
          <w:u w:val="single"/>
        </w:rPr>
        <w:t xml:space="preserve"> ① </w:t>
      </w:r>
      <w:r>
        <w:rPr>
          <w:rFonts w:hint="eastAsia" w:hAnsi="宋体" w:cs="宋体"/>
          <w:sz w:val="24"/>
        </w:rPr>
        <w:t>办法处理：</w:t>
      </w:r>
    </w:p>
    <w:p>
      <w:pPr>
        <w:pStyle w:val="27"/>
        <w:numPr>
          <w:ilvl w:val="0"/>
          <w:numId w:val="35"/>
        </w:numPr>
        <w:snapToGrid w:val="0"/>
        <w:spacing w:line="360" w:lineRule="auto"/>
        <w:ind w:firstLine="480" w:firstLineChars="200"/>
        <w:rPr>
          <w:rFonts w:hAnsi="宋体" w:cs="宋体"/>
          <w:sz w:val="24"/>
        </w:rPr>
      </w:pPr>
      <w:r>
        <w:rPr>
          <w:rFonts w:hint="eastAsia" w:hAnsi="宋体" w:cs="宋体"/>
          <w:sz w:val="24"/>
        </w:rPr>
        <w:t>重做：由乙方承担所发生的全部费用。</w:t>
      </w:r>
    </w:p>
    <w:p>
      <w:pPr>
        <w:pStyle w:val="27"/>
        <w:numPr>
          <w:ilvl w:val="0"/>
          <w:numId w:val="35"/>
        </w:numPr>
        <w:snapToGrid w:val="0"/>
        <w:spacing w:line="360" w:lineRule="auto"/>
        <w:ind w:firstLine="480" w:firstLineChars="200"/>
        <w:rPr>
          <w:rFonts w:hAnsi="宋体" w:cs="宋体"/>
          <w:sz w:val="24"/>
        </w:rPr>
      </w:pPr>
      <w:r>
        <w:rPr>
          <w:rFonts w:hint="eastAsia" w:hAnsi="宋体" w:cs="宋体"/>
          <w:sz w:val="24"/>
        </w:rPr>
        <w:t>贬值处理：由甲乙双方合议定价。</w:t>
      </w:r>
    </w:p>
    <w:p>
      <w:pPr>
        <w:pStyle w:val="27"/>
        <w:numPr>
          <w:ilvl w:val="0"/>
          <w:numId w:val="35"/>
        </w:numPr>
        <w:snapToGrid w:val="0"/>
        <w:spacing w:line="360" w:lineRule="auto"/>
        <w:ind w:firstLine="480" w:firstLineChars="200"/>
        <w:rPr>
          <w:rFonts w:hAnsi="宋体" w:cs="宋体"/>
          <w:sz w:val="24"/>
        </w:rPr>
      </w:pPr>
      <w:r>
        <w:rPr>
          <w:rFonts w:hint="eastAsia" w:hAnsi="宋体" w:cs="宋体"/>
          <w:sz w:val="24"/>
        </w:rPr>
        <w:t>解除合同。</w:t>
      </w:r>
    </w:p>
    <w:p>
      <w:pPr>
        <w:pStyle w:val="27"/>
        <w:numPr>
          <w:ilvl w:val="0"/>
          <w:numId w:val="34"/>
        </w:numPr>
        <w:snapToGrid w:val="0"/>
        <w:spacing w:line="360" w:lineRule="auto"/>
        <w:ind w:firstLine="480" w:firstLineChars="200"/>
        <w:rPr>
          <w:rFonts w:hAnsi="宋体" w:cs="宋体"/>
          <w:sz w:val="24"/>
        </w:rPr>
      </w:pPr>
      <w:r>
        <w:rPr>
          <w:rFonts w:hint="eastAsia" w:hAnsi="宋体" w:cs="宋体"/>
          <w:sz w:val="24"/>
        </w:rPr>
        <w:t xml:space="preserve"> 如在使用过程中发生质量问题，乙方在接到甲方通知后在</w:t>
      </w:r>
      <w:r>
        <w:rPr>
          <w:rFonts w:hint="eastAsia" w:hAnsi="宋体" w:cs="宋体"/>
          <w:sz w:val="24"/>
          <w:u w:val="single"/>
        </w:rPr>
        <w:t xml:space="preserve">  </w:t>
      </w:r>
      <w:r>
        <w:rPr>
          <w:rFonts w:hint="eastAsia" w:hAnsi="宋体" w:cs="宋体"/>
          <w:sz w:val="24"/>
        </w:rPr>
        <w:t>小时内到达甲方现场。</w:t>
      </w:r>
    </w:p>
    <w:p>
      <w:pPr>
        <w:pStyle w:val="27"/>
        <w:numPr>
          <w:ilvl w:val="0"/>
          <w:numId w:val="34"/>
        </w:numPr>
        <w:snapToGrid w:val="0"/>
        <w:spacing w:line="360" w:lineRule="auto"/>
        <w:ind w:firstLine="480" w:firstLineChars="200"/>
      </w:pPr>
      <w:r>
        <w:rPr>
          <w:rFonts w:hint="eastAsia" w:hAnsi="宋体" w:cs="宋体"/>
          <w:sz w:val="24"/>
        </w:rPr>
        <w:t xml:space="preserve"> 在质保期内，乙方应对货物出现的质量及安全问题负责处理解决并承担一切费用。  </w:t>
      </w:r>
    </w:p>
    <w:p>
      <w:pPr>
        <w:pStyle w:val="27"/>
        <w:numPr>
          <w:ilvl w:val="0"/>
          <w:numId w:val="28"/>
        </w:numPr>
        <w:snapToGrid w:val="0"/>
        <w:spacing w:line="360" w:lineRule="auto"/>
        <w:ind w:firstLine="482" w:firstLineChars="200"/>
        <w:outlineLvl w:val="1"/>
        <w:rPr>
          <w:rFonts w:hAnsi="宋体" w:cs="宋体"/>
          <w:b/>
          <w:sz w:val="24"/>
        </w:rPr>
      </w:pPr>
      <w:bookmarkStart w:id="25" w:name="_Toc17032"/>
      <w:bookmarkStart w:id="26" w:name="_Toc12933"/>
      <w:r>
        <w:rPr>
          <w:rFonts w:hint="eastAsia" w:hAnsi="宋体" w:cs="宋体"/>
          <w:b/>
          <w:sz w:val="24"/>
        </w:rPr>
        <w:t>违约责任</w:t>
      </w:r>
      <w:bookmarkEnd w:id="25"/>
      <w:bookmarkEnd w:id="26"/>
    </w:p>
    <w:p>
      <w:pPr>
        <w:pStyle w:val="27"/>
        <w:numPr>
          <w:ilvl w:val="0"/>
          <w:numId w:val="36"/>
        </w:numPr>
        <w:snapToGrid w:val="0"/>
        <w:spacing w:line="360" w:lineRule="auto"/>
        <w:ind w:firstLine="480" w:firstLineChars="200"/>
        <w:rPr>
          <w:rFonts w:hAnsi="宋体" w:cs="宋体"/>
          <w:sz w:val="24"/>
        </w:rPr>
      </w:pPr>
      <w:r>
        <w:rPr>
          <w:rFonts w:hint="eastAsia" w:hAnsi="宋体" w:cs="宋体"/>
          <w:sz w:val="24"/>
        </w:rPr>
        <w:t>甲方无正当理由拒收接受服务的，甲方向乙方偿付合同款项</w:t>
      </w:r>
      <w:r>
        <w:rPr>
          <w:rFonts w:hint="eastAsia" w:hAnsi="宋体" w:cs="宋体"/>
          <w:color w:val="FF66CC"/>
          <w:sz w:val="24"/>
        </w:rPr>
        <w:t>百分之五</w:t>
      </w:r>
      <w:r>
        <w:rPr>
          <w:rFonts w:hint="eastAsia" w:hAnsi="宋体" w:cs="宋体"/>
          <w:sz w:val="24"/>
        </w:rPr>
        <w:t>作为违约金。</w:t>
      </w:r>
    </w:p>
    <w:p>
      <w:pPr>
        <w:pStyle w:val="27"/>
        <w:numPr>
          <w:ilvl w:val="0"/>
          <w:numId w:val="36"/>
        </w:numPr>
        <w:snapToGrid w:val="0"/>
        <w:spacing w:line="360" w:lineRule="auto"/>
        <w:ind w:firstLine="480" w:firstLineChars="200"/>
        <w:rPr>
          <w:rFonts w:hAnsi="宋体" w:cs="宋体"/>
          <w:sz w:val="24"/>
        </w:rPr>
      </w:pPr>
      <w:r>
        <w:rPr>
          <w:rFonts w:hint="eastAsia" w:hAnsi="宋体" w:cs="宋体"/>
          <w:sz w:val="24"/>
        </w:rPr>
        <w:t>甲方无故逾期验收和办理款项支付手续的,甲方应按逾期付款总额</w:t>
      </w:r>
      <w:r>
        <w:rPr>
          <w:rFonts w:hint="eastAsia" w:hAnsi="宋体" w:cs="宋体"/>
          <w:color w:val="FF66CC"/>
          <w:sz w:val="24"/>
        </w:rPr>
        <w:t>每日万分之五</w:t>
      </w:r>
      <w:r>
        <w:rPr>
          <w:rFonts w:hint="eastAsia" w:hAnsi="宋体" w:cs="宋体"/>
          <w:sz w:val="24"/>
        </w:rPr>
        <w:t>向乙方支付违约金。</w:t>
      </w:r>
    </w:p>
    <w:p>
      <w:pPr>
        <w:pStyle w:val="27"/>
        <w:numPr>
          <w:ilvl w:val="0"/>
          <w:numId w:val="36"/>
        </w:numPr>
        <w:snapToGrid w:val="0"/>
        <w:spacing w:line="360" w:lineRule="auto"/>
        <w:ind w:firstLine="480" w:firstLineChars="200"/>
        <w:rPr>
          <w:rFonts w:hAnsi="宋体" w:cs="宋体"/>
          <w:sz w:val="24"/>
        </w:rPr>
      </w:pPr>
      <w:r>
        <w:rPr>
          <w:rFonts w:hint="eastAsia" w:hAnsi="宋体" w:cs="宋体"/>
          <w:sz w:val="24"/>
        </w:rPr>
        <w:t xml:space="preserve">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27"/>
        <w:numPr>
          <w:ilvl w:val="0"/>
          <w:numId w:val="36"/>
        </w:numPr>
        <w:snapToGrid w:val="0"/>
        <w:spacing w:line="360" w:lineRule="auto"/>
        <w:ind w:firstLine="480" w:firstLineChars="200"/>
        <w:rPr>
          <w:rFonts w:hAnsi="宋体" w:cs="宋体"/>
          <w:sz w:val="24"/>
        </w:rPr>
      </w:pPr>
      <w:r>
        <w:rPr>
          <w:rFonts w:hint="eastAsia" w:hAnsi="宋体" w:cs="宋体"/>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27"/>
        <w:numPr>
          <w:ilvl w:val="0"/>
          <w:numId w:val="28"/>
        </w:numPr>
        <w:snapToGrid w:val="0"/>
        <w:spacing w:line="360" w:lineRule="auto"/>
        <w:ind w:firstLine="482" w:firstLineChars="200"/>
        <w:outlineLvl w:val="1"/>
        <w:rPr>
          <w:rFonts w:hAnsi="宋体" w:cs="宋体"/>
          <w:b/>
          <w:sz w:val="24"/>
        </w:rPr>
      </w:pPr>
      <w:bookmarkStart w:id="27" w:name="_Toc571"/>
      <w:bookmarkStart w:id="28" w:name="_Toc22535"/>
      <w:r>
        <w:rPr>
          <w:rFonts w:hint="eastAsia" w:hAnsi="宋体" w:cs="宋体"/>
          <w:b/>
          <w:sz w:val="24"/>
        </w:rPr>
        <w:t>不可抗力事件处理</w:t>
      </w:r>
      <w:bookmarkEnd w:id="27"/>
      <w:bookmarkEnd w:id="28"/>
    </w:p>
    <w:p>
      <w:pPr>
        <w:pStyle w:val="27"/>
        <w:snapToGrid w:val="0"/>
        <w:spacing w:line="360" w:lineRule="auto"/>
        <w:ind w:firstLine="480" w:firstLineChars="200"/>
        <w:rPr>
          <w:rFonts w:hAnsi="宋体" w:cs="宋体"/>
          <w:sz w:val="24"/>
        </w:rPr>
      </w:pPr>
      <w:r>
        <w:rPr>
          <w:rFonts w:hint="eastAsia" w:hAnsi="宋体" w:cs="宋体"/>
          <w:sz w:val="24"/>
        </w:rPr>
        <w:t>在合同有效期内，任何一方因不可抗力事件导致不能履行合同，双方应通过友好协商，确定是否继续履行合同。</w:t>
      </w:r>
    </w:p>
    <w:p>
      <w:pPr>
        <w:pStyle w:val="27"/>
        <w:numPr>
          <w:ilvl w:val="0"/>
          <w:numId w:val="28"/>
        </w:numPr>
        <w:snapToGrid w:val="0"/>
        <w:spacing w:line="360" w:lineRule="auto"/>
        <w:ind w:firstLine="482" w:firstLineChars="200"/>
        <w:outlineLvl w:val="1"/>
        <w:rPr>
          <w:rFonts w:hAnsi="宋体" w:cs="宋体"/>
          <w:b/>
          <w:sz w:val="24"/>
        </w:rPr>
      </w:pPr>
      <w:bookmarkStart w:id="29" w:name="_Toc16918"/>
      <w:bookmarkStart w:id="30" w:name="_Toc21992"/>
      <w:r>
        <w:rPr>
          <w:rFonts w:hint="eastAsia" w:hAnsi="宋体" w:cs="宋体"/>
          <w:b/>
          <w:sz w:val="24"/>
        </w:rPr>
        <w:t>解决争议的方法</w:t>
      </w:r>
      <w:bookmarkEnd w:id="29"/>
      <w:bookmarkEnd w:id="30"/>
    </w:p>
    <w:p>
      <w:pPr>
        <w:pStyle w:val="27"/>
        <w:snapToGrid w:val="0"/>
        <w:spacing w:line="360" w:lineRule="auto"/>
        <w:ind w:firstLine="480" w:firstLineChars="200"/>
        <w:rPr>
          <w:rFonts w:hAnsi="宋体" w:cs="宋体"/>
          <w:kern w:val="0"/>
          <w:sz w:val="24"/>
        </w:rPr>
      </w:pPr>
      <w:r>
        <w:rPr>
          <w:rFonts w:hint="eastAsia" w:hAnsi="宋体" w:cs="宋体"/>
          <w:kern w:val="0"/>
          <w:sz w:val="24"/>
        </w:rPr>
        <w:t>如双方在履行合同时发生纠纷，应协商解决；</w:t>
      </w:r>
      <w:r>
        <w:rPr>
          <w:rFonts w:hAnsi="宋体" w:cs="宋体"/>
          <w:kern w:val="0"/>
          <w:sz w:val="24"/>
        </w:rPr>
        <w:t>协商不成时，可通过</w:t>
      </w:r>
      <w:r>
        <w:rPr>
          <w:rFonts w:hint="eastAsia" w:hAnsi="宋体" w:cs="宋体"/>
          <w:kern w:val="0"/>
          <w:sz w:val="24"/>
        </w:rPr>
        <w:t>第（2）种</w:t>
      </w:r>
      <w:r>
        <w:rPr>
          <w:rFonts w:hAnsi="宋体" w:cs="宋体"/>
          <w:kern w:val="0"/>
          <w:sz w:val="24"/>
        </w:rPr>
        <w:t>方式解决：</w:t>
      </w:r>
    </w:p>
    <w:p>
      <w:pPr>
        <w:pStyle w:val="27"/>
        <w:snapToGrid w:val="0"/>
        <w:spacing w:line="360" w:lineRule="auto"/>
        <w:ind w:firstLine="480" w:firstLineChars="200"/>
        <w:rPr>
          <w:rFonts w:hAnsi="宋体" w:cs="宋体"/>
          <w:kern w:val="0"/>
          <w:sz w:val="24"/>
        </w:rPr>
      </w:pPr>
      <w:r>
        <w:rPr>
          <w:rFonts w:hAnsi="宋体" w:cs="宋体"/>
          <w:kern w:val="0"/>
          <w:sz w:val="24"/>
        </w:rPr>
        <w:t>（1） 提交</w:t>
      </w:r>
      <w:r>
        <w:rPr>
          <w:rFonts w:hAnsi="宋体"/>
          <w:color w:val="FF66CC"/>
          <w:sz w:val="24"/>
          <w:u w:val="single"/>
        </w:rPr>
        <w:t>台州</w:t>
      </w:r>
      <w:r>
        <w:rPr>
          <w:rFonts w:hAnsi="宋体" w:cs="宋体"/>
          <w:kern w:val="0"/>
          <w:sz w:val="24"/>
        </w:rPr>
        <w:t>仲裁委员会仲裁。</w:t>
      </w:r>
    </w:p>
    <w:p>
      <w:pPr>
        <w:pStyle w:val="27"/>
        <w:snapToGrid w:val="0"/>
        <w:spacing w:line="360" w:lineRule="auto"/>
        <w:ind w:firstLine="480" w:firstLineChars="200"/>
        <w:rPr>
          <w:rFonts w:hAnsi="宋体" w:cs="宋体"/>
          <w:kern w:val="0"/>
          <w:sz w:val="24"/>
        </w:rPr>
      </w:pPr>
      <w:r>
        <w:rPr>
          <w:rFonts w:hAnsi="宋体" w:cs="宋体"/>
          <w:kern w:val="0"/>
          <w:sz w:val="24"/>
        </w:rPr>
        <w:t>（2） 依法向</w:t>
      </w:r>
      <w:r>
        <w:rPr>
          <w:rFonts w:hint="eastAsia" w:hAnsi="宋体" w:cs="宋体"/>
          <w:kern w:val="0"/>
          <w:sz w:val="24"/>
        </w:rPr>
        <w:t>甲方所在地</w:t>
      </w:r>
      <w:r>
        <w:rPr>
          <w:rFonts w:hAnsi="宋体" w:cs="宋体"/>
          <w:kern w:val="0"/>
          <w:sz w:val="24"/>
        </w:rPr>
        <w:t>人民法院提起诉讼</w:t>
      </w:r>
      <w:r>
        <w:rPr>
          <w:rFonts w:hint="eastAsia" w:hAnsi="宋体" w:cs="宋体"/>
          <w:kern w:val="0"/>
          <w:sz w:val="24"/>
        </w:rPr>
        <w:t>。</w:t>
      </w:r>
    </w:p>
    <w:p>
      <w:pPr>
        <w:pStyle w:val="27"/>
        <w:numPr>
          <w:ilvl w:val="0"/>
          <w:numId w:val="28"/>
        </w:numPr>
        <w:snapToGrid w:val="0"/>
        <w:spacing w:line="360" w:lineRule="auto"/>
        <w:ind w:firstLine="482" w:firstLineChars="200"/>
        <w:outlineLvl w:val="1"/>
        <w:rPr>
          <w:rFonts w:hAnsi="宋体" w:cs="宋体"/>
          <w:b/>
          <w:sz w:val="24"/>
        </w:rPr>
      </w:pPr>
      <w:bookmarkStart w:id="31" w:name="_Toc4330"/>
      <w:bookmarkStart w:id="32" w:name="_Toc18041"/>
      <w:r>
        <w:rPr>
          <w:rFonts w:hint="eastAsia" w:hAnsi="宋体" w:cs="宋体"/>
          <w:b/>
          <w:sz w:val="24"/>
        </w:rPr>
        <w:t>合同生效及其它</w:t>
      </w:r>
      <w:bookmarkEnd w:id="31"/>
      <w:bookmarkEnd w:id="32"/>
    </w:p>
    <w:p>
      <w:pPr>
        <w:pStyle w:val="27"/>
        <w:numPr>
          <w:ilvl w:val="0"/>
          <w:numId w:val="37"/>
        </w:numPr>
        <w:snapToGrid w:val="0"/>
        <w:spacing w:line="360" w:lineRule="auto"/>
        <w:ind w:firstLine="480" w:firstLineChars="200"/>
        <w:rPr>
          <w:rFonts w:hAnsi="宋体" w:cs="宋体"/>
          <w:sz w:val="24"/>
        </w:rPr>
      </w:pPr>
      <w:r>
        <w:rPr>
          <w:rFonts w:hint="eastAsia" w:hAnsi="宋体" w:cs="宋体"/>
          <w:sz w:val="24"/>
        </w:rPr>
        <w:t>合同经双方法定代表人或授权代表签字并加盖单位公章后生效。</w:t>
      </w:r>
    </w:p>
    <w:p>
      <w:pPr>
        <w:pStyle w:val="27"/>
        <w:numPr>
          <w:ilvl w:val="0"/>
          <w:numId w:val="37"/>
        </w:numPr>
        <w:snapToGrid w:val="0"/>
        <w:spacing w:line="360" w:lineRule="auto"/>
        <w:ind w:firstLine="480" w:firstLineChars="200"/>
        <w:rPr>
          <w:rFonts w:hAnsi="宋体" w:cs="宋体"/>
          <w:sz w:val="24"/>
        </w:rPr>
      </w:pPr>
      <w:r>
        <w:rPr>
          <w:rFonts w:hint="eastAsia" w:hAnsi="宋体" w:cs="宋体"/>
          <w:sz w:val="24"/>
        </w:rPr>
        <w:t>本合同未尽事宜，遵照《中华人民共和国民法典》有关条文执行。</w:t>
      </w:r>
    </w:p>
    <w:p>
      <w:pPr>
        <w:widowControl/>
        <w:numPr>
          <w:ilvl w:val="0"/>
          <w:numId w:val="37"/>
        </w:numPr>
        <w:spacing w:line="360" w:lineRule="auto"/>
        <w:ind w:firstLine="480" w:firstLineChars="200"/>
        <w:rPr>
          <w:rFonts w:ascii="宋体" w:hAnsi="宋体" w:cs="宋体"/>
          <w:bCs/>
          <w:sz w:val="24"/>
        </w:rPr>
      </w:pPr>
      <w:r>
        <w:rPr>
          <w:rFonts w:hint="eastAsia" w:ascii="宋体" w:hAnsi="宋体" w:cs="宋体"/>
          <w:sz w:val="24"/>
        </w:rPr>
        <w:t>本合同一式四份。甲、乙双方各执二份</w:t>
      </w:r>
      <w:r>
        <w:rPr>
          <w:rFonts w:hint="eastAsia" w:ascii="宋体" w:hAnsi="宋体" w:cs="宋体"/>
          <w:bCs/>
          <w:sz w:val="24"/>
        </w:rPr>
        <w:t>。本项目未尽事宜以采购文件、投标文件及澄清文件等为准。</w:t>
      </w:r>
    </w:p>
    <w:p>
      <w:pPr>
        <w:widowControl/>
        <w:spacing w:line="360" w:lineRule="auto"/>
        <w:rPr>
          <w:rFonts w:ascii="宋体" w:hAnsi="宋体" w:cs="宋体"/>
          <w:kern w:val="0"/>
          <w:sz w:val="24"/>
        </w:rPr>
      </w:pPr>
      <w:r>
        <w:rPr>
          <w:rFonts w:hint="eastAsia" w:ascii="宋体" w:hAnsi="宋体" w:cs="宋体"/>
          <w:kern w:val="0"/>
          <w:sz w:val="24"/>
        </w:rPr>
        <w:t>以下无内容：</w:t>
      </w:r>
    </w:p>
    <w:tbl>
      <w:tblPr>
        <w:tblStyle w:val="48"/>
        <w:tblpPr w:leftFromText="180" w:rightFromText="180" w:vertAnchor="text" w:horzAnchor="page" w:tblpX="1859" w:tblpY="469"/>
        <w:tblOverlap w:val="never"/>
        <w:tblW w:w="8380" w:type="dxa"/>
        <w:tblInd w:w="0" w:type="dxa"/>
        <w:tblLayout w:type="fixed"/>
        <w:tblCellMar>
          <w:top w:w="0" w:type="dxa"/>
          <w:left w:w="0" w:type="dxa"/>
          <w:bottom w:w="0" w:type="dxa"/>
          <w:right w:w="0" w:type="dxa"/>
        </w:tblCellMar>
      </w:tblPr>
      <w:tblGrid>
        <w:gridCol w:w="1670"/>
        <w:gridCol w:w="600"/>
        <w:gridCol w:w="600"/>
        <w:gridCol w:w="1620"/>
        <w:gridCol w:w="3890"/>
      </w:tblGrid>
      <w:tr>
        <w:tblPrEx>
          <w:tblCellMar>
            <w:top w:w="0" w:type="dxa"/>
            <w:left w:w="0" w:type="dxa"/>
            <w:bottom w:w="0" w:type="dxa"/>
            <w:right w:w="0" w:type="dxa"/>
          </w:tblCellMar>
        </w:tblPrEx>
        <w:trPr>
          <w:trHeight w:val="354" w:hRule="atLeast"/>
        </w:trPr>
        <w:tc>
          <w:tcPr>
            <w:tcW w:w="1670" w:type="dxa"/>
          </w:tcPr>
          <w:p>
            <w:pPr>
              <w:pStyle w:val="86"/>
              <w:spacing w:line="334" w:lineRule="exact"/>
              <w:ind w:left="50"/>
              <w:rPr>
                <w:sz w:val="24"/>
              </w:rPr>
            </w:pPr>
            <w:r>
              <w:rPr>
                <w:rFonts w:hint="eastAsia" w:eastAsia="宋体"/>
                <w:sz w:val="24"/>
              </w:rPr>
              <w:t>甲</w:t>
            </w:r>
            <w:r>
              <w:rPr>
                <w:sz w:val="24"/>
              </w:rPr>
              <w:t>方：</w:t>
            </w:r>
          </w:p>
        </w:tc>
        <w:tc>
          <w:tcPr>
            <w:tcW w:w="600" w:type="dxa"/>
          </w:tcPr>
          <w:p>
            <w:pPr>
              <w:pStyle w:val="86"/>
              <w:rPr>
                <w:rFonts w:ascii="Times New Roman"/>
                <w:sz w:val="22"/>
              </w:rPr>
            </w:pPr>
          </w:p>
        </w:tc>
        <w:tc>
          <w:tcPr>
            <w:tcW w:w="600" w:type="dxa"/>
          </w:tcPr>
          <w:p>
            <w:pPr>
              <w:pStyle w:val="86"/>
              <w:rPr>
                <w:rFonts w:ascii="Times New Roman"/>
                <w:sz w:val="22"/>
              </w:rPr>
            </w:pPr>
          </w:p>
        </w:tc>
        <w:tc>
          <w:tcPr>
            <w:tcW w:w="1620" w:type="dxa"/>
          </w:tcPr>
          <w:p>
            <w:pPr>
              <w:pStyle w:val="86"/>
              <w:rPr>
                <w:rFonts w:ascii="Times New Roman"/>
                <w:sz w:val="22"/>
              </w:rPr>
            </w:pPr>
          </w:p>
        </w:tc>
        <w:tc>
          <w:tcPr>
            <w:tcW w:w="3890" w:type="dxa"/>
          </w:tcPr>
          <w:p>
            <w:pPr>
              <w:pStyle w:val="86"/>
              <w:spacing w:line="334" w:lineRule="exact"/>
              <w:rPr>
                <w:sz w:val="24"/>
              </w:rPr>
            </w:pPr>
            <w:r>
              <w:rPr>
                <w:rFonts w:hint="eastAsia" w:eastAsia="宋体"/>
                <w:sz w:val="24"/>
              </w:rPr>
              <w:t>乙</w:t>
            </w:r>
            <w:r>
              <w:rPr>
                <w:sz w:val="24"/>
              </w:rPr>
              <w:t>方：</w:t>
            </w:r>
          </w:p>
        </w:tc>
      </w:tr>
      <w:tr>
        <w:tblPrEx>
          <w:tblCellMar>
            <w:top w:w="0" w:type="dxa"/>
            <w:left w:w="0" w:type="dxa"/>
            <w:bottom w:w="0" w:type="dxa"/>
            <w:right w:w="0" w:type="dxa"/>
          </w:tblCellMar>
        </w:tblPrEx>
        <w:trPr>
          <w:trHeight w:val="467" w:hRule="atLeast"/>
        </w:trPr>
        <w:tc>
          <w:tcPr>
            <w:tcW w:w="1670" w:type="dxa"/>
          </w:tcPr>
          <w:p>
            <w:pPr>
              <w:pStyle w:val="86"/>
              <w:spacing w:line="448" w:lineRule="exact"/>
              <w:ind w:left="50"/>
              <w:rPr>
                <w:sz w:val="24"/>
              </w:rPr>
            </w:pPr>
            <w:r>
              <w:rPr>
                <w:sz w:val="24"/>
              </w:rPr>
              <w:t>地址：</w:t>
            </w:r>
          </w:p>
        </w:tc>
        <w:tc>
          <w:tcPr>
            <w:tcW w:w="600" w:type="dxa"/>
          </w:tcPr>
          <w:p>
            <w:pPr>
              <w:pStyle w:val="86"/>
              <w:rPr>
                <w:rFonts w:ascii="Times New Roman"/>
                <w:sz w:val="22"/>
              </w:rPr>
            </w:pPr>
          </w:p>
        </w:tc>
        <w:tc>
          <w:tcPr>
            <w:tcW w:w="600" w:type="dxa"/>
          </w:tcPr>
          <w:p>
            <w:pPr>
              <w:pStyle w:val="86"/>
              <w:rPr>
                <w:rFonts w:ascii="Times New Roman"/>
                <w:sz w:val="22"/>
              </w:rPr>
            </w:pPr>
          </w:p>
        </w:tc>
        <w:tc>
          <w:tcPr>
            <w:tcW w:w="1620" w:type="dxa"/>
          </w:tcPr>
          <w:p>
            <w:pPr>
              <w:pStyle w:val="86"/>
              <w:rPr>
                <w:rFonts w:ascii="Times New Roman"/>
                <w:sz w:val="22"/>
              </w:rPr>
            </w:pPr>
          </w:p>
        </w:tc>
        <w:tc>
          <w:tcPr>
            <w:tcW w:w="3890" w:type="dxa"/>
          </w:tcPr>
          <w:p>
            <w:pPr>
              <w:pStyle w:val="86"/>
              <w:spacing w:line="448" w:lineRule="exact"/>
              <w:jc w:val="left"/>
              <w:rPr>
                <w:sz w:val="24"/>
              </w:rPr>
            </w:pPr>
            <w:r>
              <w:rPr>
                <w:sz w:val="24"/>
              </w:rPr>
              <w:t>地址：</w:t>
            </w:r>
          </w:p>
        </w:tc>
      </w:tr>
      <w:tr>
        <w:tblPrEx>
          <w:tblCellMar>
            <w:top w:w="0" w:type="dxa"/>
            <w:left w:w="0" w:type="dxa"/>
            <w:bottom w:w="0" w:type="dxa"/>
            <w:right w:w="0" w:type="dxa"/>
          </w:tblCellMar>
        </w:tblPrEx>
        <w:trPr>
          <w:trHeight w:val="468" w:hRule="atLeast"/>
        </w:trPr>
        <w:tc>
          <w:tcPr>
            <w:tcW w:w="1670" w:type="dxa"/>
          </w:tcPr>
          <w:p>
            <w:pPr>
              <w:pStyle w:val="86"/>
              <w:spacing w:line="448" w:lineRule="exact"/>
              <w:ind w:left="50"/>
              <w:rPr>
                <w:sz w:val="24"/>
              </w:rPr>
            </w:pPr>
            <w:r>
              <w:rPr>
                <w:sz w:val="24"/>
              </w:rPr>
              <w:t>法定代表人：</w:t>
            </w:r>
          </w:p>
        </w:tc>
        <w:tc>
          <w:tcPr>
            <w:tcW w:w="600" w:type="dxa"/>
          </w:tcPr>
          <w:p>
            <w:pPr>
              <w:pStyle w:val="86"/>
              <w:rPr>
                <w:rFonts w:ascii="Times New Roman"/>
                <w:sz w:val="22"/>
              </w:rPr>
            </w:pPr>
          </w:p>
        </w:tc>
        <w:tc>
          <w:tcPr>
            <w:tcW w:w="600" w:type="dxa"/>
          </w:tcPr>
          <w:p>
            <w:pPr>
              <w:pStyle w:val="86"/>
              <w:rPr>
                <w:rFonts w:ascii="Times New Roman"/>
                <w:sz w:val="22"/>
              </w:rPr>
            </w:pPr>
          </w:p>
        </w:tc>
        <w:tc>
          <w:tcPr>
            <w:tcW w:w="1620" w:type="dxa"/>
          </w:tcPr>
          <w:p>
            <w:pPr>
              <w:pStyle w:val="86"/>
              <w:rPr>
                <w:rFonts w:ascii="Times New Roman"/>
                <w:sz w:val="22"/>
              </w:rPr>
            </w:pPr>
          </w:p>
        </w:tc>
        <w:tc>
          <w:tcPr>
            <w:tcW w:w="3890" w:type="dxa"/>
          </w:tcPr>
          <w:p>
            <w:pPr>
              <w:pStyle w:val="86"/>
              <w:spacing w:line="448" w:lineRule="exact"/>
              <w:rPr>
                <w:sz w:val="24"/>
              </w:rPr>
            </w:pPr>
            <w:r>
              <w:rPr>
                <w:sz w:val="24"/>
              </w:rPr>
              <w:t>法定代表人：</w:t>
            </w:r>
          </w:p>
        </w:tc>
      </w:tr>
      <w:tr>
        <w:tblPrEx>
          <w:tblCellMar>
            <w:top w:w="0" w:type="dxa"/>
            <w:left w:w="0" w:type="dxa"/>
            <w:bottom w:w="0" w:type="dxa"/>
            <w:right w:w="0" w:type="dxa"/>
          </w:tblCellMar>
        </w:tblPrEx>
        <w:trPr>
          <w:trHeight w:val="468" w:hRule="atLeast"/>
        </w:trPr>
        <w:tc>
          <w:tcPr>
            <w:tcW w:w="1670" w:type="dxa"/>
          </w:tcPr>
          <w:p>
            <w:pPr>
              <w:pStyle w:val="86"/>
              <w:spacing w:line="448" w:lineRule="exact"/>
              <w:ind w:left="50"/>
              <w:rPr>
                <w:sz w:val="24"/>
              </w:rPr>
            </w:pPr>
            <w:r>
              <w:rPr>
                <w:rFonts w:hint="eastAsia"/>
                <w:sz w:val="24"/>
              </w:rPr>
              <w:t>或授权代表:</w:t>
            </w:r>
          </w:p>
        </w:tc>
        <w:tc>
          <w:tcPr>
            <w:tcW w:w="600" w:type="dxa"/>
          </w:tcPr>
          <w:p>
            <w:pPr>
              <w:pStyle w:val="86"/>
              <w:rPr>
                <w:rFonts w:ascii="Times New Roman"/>
                <w:sz w:val="22"/>
              </w:rPr>
            </w:pPr>
          </w:p>
        </w:tc>
        <w:tc>
          <w:tcPr>
            <w:tcW w:w="600" w:type="dxa"/>
          </w:tcPr>
          <w:p>
            <w:pPr>
              <w:pStyle w:val="86"/>
              <w:rPr>
                <w:rFonts w:ascii="Times New Roman"/>
                <w:sz w:val="22"/>
              </w:rPr>
            </w:pPr>
          </w:p>
        </w:tc>
        <w:tc>
          <w:tcPr>
            <w:tcW w:w="1620" w:type="dxa"/>
          </w:tcPr>
          <w:p>
            <w:pPr>
              <w:pStyle w:val="86"/>
              <w:rPr>
                <w:rFonts w:ascii="Times New Roman"/>
                <w:sz w:val="22"/>
              </w:rPr>
            </w:pPr>
          </w:p>
        </w:tc>
        <w:tc>
          <w:tcPr>
            <w:tcW w:w="3890" w:type="dxa"/>
          </w:tcPr>
          <w:p>
            <w:pPr>
              <w:pStyle w:val="86"/>
              <w:spacing w:line="448" w:lineRule="exact"/>
              <w:rPr>
                <w:sz w:val="24"/>
              </w:rPr>
            </w:pPr>
            <w:r>
              <w:rPr>
                <w:rFonts w:hint="eastAsia"/>
                <w:sz w:val="24"/>
              </w:rPr>
              <w:t>或授权代表:</w:t>
            </w:r>
          </w:p>
        </w:tc>
      </w:tr>
      <w:tr>
        <w:tblPrEx>
          <w:tblCellMar>
            <w:top w:w="0" w:type="dxa"/>
            <w:left w:w="0" w:type="dxa"/>
            <w:bottom w:w="0" w:type="dxa"/>
            <w:right w:w="0" w:type="dxa"/>
          </w:tblCellMar>
        </w:tblPrEx>
        <w:trPr>
          <w:trHeight w:val="468" w:hRule="atLeast"/>
        </w:trPr>
        <w:tc>
          <w:tcPr>
            <w:tcW w:w="1670" w:type="dxa"/>
          </w:tcPr>
          <w:p>
            <w:pPr>
              <w:pStyle w:val="86"/>
              <w:spacing w:line="448" w:lineRule="exact"/>
              <w:ind w:left="50"/>
              <w:rPr>
                <w:sz w:val="24"/>
              </w:rPr>
            </w:pPr>
            <w:r>
              <w:rPr>
                <w:sz w:val="24"/>
              </w:rPr>
              <w:t>联系方式：</w:t>
            </w:r>
          </w:p>
        </w:tc>
        <w:tc>
          <w:tcPr>
            <w:tcW w:w="600" w:type="dxa"/>
          </w:tcPr>
          <w:p>
            <w:pPr>
              <w:pStyle w:val="86"/>
              <w:rPr>
                <w:rFonts w:ascii="Times New Roman"/>
                <w:sz w:val="22"/>
              </w:rPr>
            </w:pPr>
          </w:p>
        </w:tc>
        <w:tc>
          <w:tcPr>
            <w:tcW w:w="600" w:type="dxa"/>
          </w:tcPr>
          <w:p>
            <w:pPr>
              <w:pStyle w:val="86"/>
              <w:rPr>
                <w:rFonts w:ascii="Times New Roman"/>
                <w:sz w:val="22"/>
              </w:rPr>
            </w:pPr>
          </w:p>
        </w:tc>
        <w:tc>
          <w:tcPr>
            <w:tcW w:w="1620" w:type="dxa"/>
          </w:tcPr>
          <w:p>
            <w:pPr>
              <w:pStyle w:val="86"/>
              <w:rPr>
                <w:rFonts w:ascii="Times New Roman"/>
                <w:sz w:val="22"/>
              </w:rPr>
            </w:pPr>
          </w:p>
        </w:tc>
        <w:tc>
          <w:tcPr>
            <w:tcW w:w="3890" w:type="dxa"/>
          </w:tcPr>
          <w:p>
            <w:pPr>
              <w:pStyle w:val="86"/>
              <w:spacing w:line="448" w:lineRule="exact"/>
              <w:rPr>
                <w:sz w:val="24"/>
              </w:rPr>
            </w:pPr>
            <w:r>
              <w:rPr>
                <w:sz w:val="24"/>
              </w:rPr>
              <w:t>联系方式：</w:t>
            </w:r>
          </w:p>
        </w:tc>
      </w:tr>
      <w:tr>
        <w:tblPrEx>
          <w:tblCellMar>
            <w:top w:w="0" w:type="dxa"/>
            <w:left w:w="0" w:type="dxa"/>
            <w:bottom w:w="0" w:type="dxa"/>
            <w:right w:w="0" w:type="dxa"/>
          </w:tblCellMar>
        </w:tblPrEx>
        <w:trPr>
          <w:trHeight w:val="467" w:hRule="atLeast"/>
        </w:trPr>
        <w:tc>
          <w:tcPr>
            <w:tcW w:w="1670" w:type="dxa"/>
          </w:tcPr>
          <w:p>
            <w:pPr>
              <w:pStyle w:val="86"/>
              <w:spacing w:line="448" w:lineRule="exact"/>
              <w:ind w:left="50"/>
              <w:rPr>
                <w:sz w:val="24"/>
              </w:rPr>
            </w:pPr>
            <w:r>
              <w:rPr>
                <w:sz w:val="24"/>
              </w:rPr>
              <w:t>开户行：</w:t>
            </w:r>
          </w:p>
        </w:tc>
        <w:tc>
          <w:tcPr>
            <w:tcW w:w="600" w:type="dxa"/>
          </w:tcPr>
          <w:p>
            <w:pPr>
              <w:pStyle w:val="86"/>
              <w:rPr>
                <w:rFonts w:ascii="Times New Roman"/>
                <w:sz w:val="22"/>
              </w:rPr>
            </w:pPr>
          </w:p>
        </w:tc>
        <w:tc>
          <w:tcPr>
            <w:tcW w:w="600" w:type="dxa"/>
          </w:tcPr>
          <w:p>
            <w:pPr>
              <w:pStyle w:val="86"/>
              <w:rPr>
                <w:rFonts w:ascii="Times New Roman"/>
                <w:sz w:val="22"/>
              </w:rPr>
            </w:pPr>
          </w:p>
        </w:tc>
        <w:tc>
          <w:tcPr>
            <w:tcW w:w="1620" w:type="dxa"/>
          </w:tcPr>
          <w:p>
            <w:pPr>
              <w:pStyle w:val="86"/>
              <w:rPr>
                <w:rFonts w:ascii="Times New Roman"/>
                <w:sz w:val="22"/>
              </w:rPr>
            </w:pPr>
          </w:p>
        </w:tc>
        <w:tc>
          <w:tcPr>
            <w:tcW w:w="3890" w:type="dxa"/>
          </w:tcPr>
          <w:p>
            <w:pPr>
              <w:pStyle w:val="86"/>
              <w:spacing w:line="448" w:lineRule="exact"/>
              <w:rPr>
                <w:sz w:val="24"/>
              </w:rPr>
            </w:pPr>
            <w:r>
              <w:rPr>
                <w:sz w:val="24"/>
              </w:rPr>
              <w:t>开户行：</w:t>
            </w:r>
          </w:p>
        </w:tc>
      </w:tr>
      <w:tr>
        <w:tblPrEx>
          <w:tblCellMar>
            <w:top w:w="0" w:type="dxa"/>
            <w:left w:w="0" w:type="dxa"/>
            <w:bottom w:w="0" w:type="dxa"/>
            <w:right w:w="0" w:type="dxa"/>
          </w:tblCellMar>
        </w:tblPrEx>
        <w:trPr>
          <w:trHeight w:val="468" w:hRule="atLeast"/>
        </w:trPr>
        <w:tc>
          <w:tcPr>
            <w:tcW w:w="1670" w:type="dxa"/>
          </w:tcPr>
          <w:p>
            <w:pPr>
              <w:pStyle w:val="86"/>
              <w:spacing w:line="448" w:lineRule="exact"/>
              <w:ind w:left="50"/>
              <w:rPr>
                <w:sz w:val="24"/>
              </w:rPr>
            </w:pPr>
            <w:r>
              <w:rPr>
                <w:sz w:val="24"/>
              </w:rPr>
              <w:t>账号：</w:t>
            </w:r>
          </w:p>
        </w:tc>
        <w:tc>
          <w:tcPr>
            <w:tcW w:w="600" w:type="dxa"/>
          </w:tcPr>
          <w:p>
            <w:pPr>
              <w:pStyle w:val="86"/>
              <w:rPr>
                <w:rFonts w:ascii="Times New Roman"/>
                <w:sz w:val="22"/>
              </w:rPr>
            </w:pPr>
          </w:p>
        </w:tc>
        <w:tc>
          <w:tcPr>
            <w:tcW w:w="600" w:type="dxa"/>
          </w:tcPr>
          <w:p>
            <w:pPr>
              <w:pStyle w:val="86"/>
              <w:rPr>
                <w:rFonts w:ascii="Times New Roman"/>
                <w:sz w:val="22"/>
              </w:rPr>
            </w:pPr>
          </w:p>
        </w:tc>
        <w:tc>
          <w:tcPr>
            <w:tcW w:w="1620" w:type="dxa"/>
          </w:tcPr>
          <w:p>
            <w:pPr>
              <w:pStyle w:val="86"/>
              <w:rPr>
                <w:rFonts w:ascii="Times New Roman"/>
                <w:sz w:val="22"/>
              </w:rPr>
            </w:pPr>
          </w:p>
        </w:tc>
        <w:tc>
          <w:tcPr>
            <w:tcW w:w="3890" w:type="dxa"/>
          </w:tcPr>
          <w:p>
            <w:pPr>
              <w:pStyle w:val="86"/>
              <w:spacing w:line="448" w:lineRule="exact"/>
              <w:rPr>
                <w:sz w:val="24"/>
              </w:rPr>
            </w:pPr>
            <w:r>
              <w:rPr>
                <w:sz w:val="24"/>
              </w:rPr>
              <w:t>账号：</w:t>
            </w:r>
          </w:p>
        </w:tc>
      </w:tr>
      <w:tr>
        <w:tblPrEx>
          <w:tblCellMar>
            <w:top w:w="0" w:type="dxa"/>
            <w:left w:w="0" w:type="dxa"/>
            <w:bottom w:w="0" w:type="dxa"/>
            <w:right w:w="0" w:type="dxa"/>
          </w:tblCellMar>
        </w:tblPrEx>
        <w:trPr>
          <w:trHeight w:val="354" w:hRule="atLeast"/>
        </w:trPr>
        <w:tc>
          <w:tcPr>
            <w:tcW w:w="1670" w:type="dxa"/>
          </w:tcPr>
          <w:p>
            <w:pPr>
              <w:pStyle w:val="86"/>
              <w:spacing w:line="334" w:lineRule="exact"/>
              <w:ind w:left="50"/>
              <w:rPr>
                <w:sz w:val="24"/>
              </w:rPr>
            </w:pPr>
            <w:r>
              <w:rPr>
                <w:sz w:val="24"/>
              </w:rPr>
              <w:t>签字日期：</w:t>
            </w:r>
          </w:p>
        </w:tc>
        <w:tc>
          <w:tcPr>
            <w:tcW w:w="600" w:type="dxa"/>
          </w:tcPr>
          <w:p>
            <w:pPr>
              <w:pStyle w:val="86"/>
              <w:spacing w:line="334" w:lineRule="exact"/>
              <w:ind w:left="179"/>
              <w:rPr>
                <w:sz w:val="24"/>
              </w:rPr>
            </w:pPr>
            <w:r>
              <w:rPr>
                <w:sz w:val="24"/>
              </w:rPr>
              <w:t>年</w:t>
            </w:r>
          </w:p>
        </w:tc>
        <w:tc>
          <w:tcPr>
            <w:tcW w:w="600" w:type="dxa"/>
          </w:tcPr>
          <w:p>
            <w:pPr>
              <w:pStyle w:val="86"/>
              <w:spacing w:line="334" w:lineRule="exact"/>
              <w:ind w:left="179"/>
              <w:rPr>
                <w:sz w:val="24"/>
              </w:rPr>
            </w:pPr>
            <w:r>
              <w:rPr>
                <w:sz w:val="24"/>
              </w:rPr>
              <w:t>月</w:t>
            </w:r>
          </w:p>
        </w:tc>
        <w:tc>
          <w:tcPr>
            <w:tcW w:w="1620" w:type="dxa"/>
          </w:tcPr>
          <w:p>
            <w:pPr>
              <w:pStyle w:val="86"/>
              <w:spacing w:line="334" w:lineRule="exact"/>
              <w:ind w:left="179"/>
              <w:rPr>
                <w:sz w:val="24"/>
              </w:rPr>
            </w:pPr>
            <w:r>
              <w:rPr>
                <w:sz w:val="24"/>
              </w:rPr>
              <w:t>日</w:t>
            </w:r>
          </w:p>
        </w:tc>
        <w:tc>
          <w:tcPr>
            <w:tcW w:w="3890" w:type="dxa"/>
          </w:tcPr>
          <w:p>
            <w:pPr>
              <w:pStyle w:val="86"/>
              <w:rPr>
                <w:rFonts w:ascii="Times New Roman"/>
                <w:sz w:val="22"/>
              </w:rPr>
            </w:pPr>
          </w:p>
        </w:tc>
      </w:tr>
    </w:tbl>
    <w:p>
      <w:pPr>
        <w:rPr>
          <w:rFonts w:ascii="宋体" w:hAnsi="宋体" w:cs="宋体"/>
          <w:b/>
          <w:sz w:val="36"/>
          <w:szCs w:val="36"/>
        </w:rPr>
      </w:pPr>
      <w:r>
        <w:rPr>
          <w:rFonts w:hint="eastAsia" w:ascii="宋体" w:hAnsi="宋体" w:cs="宋体"/>
          <w:b/>
          <w:sz w:val="36"/>
          <w:szCs w:val="36"/>
        </w:rPr>
        <w:br w:type="page"/>
      </w:r>
    </w:p>
    <w:p>
      <w:pPr>
        <w:numPr>
          <w:ilvl w:val="0"/>
          <w:numId w:val="24"/>
        </w:numPr>
        <w:spacing w:line="360" w:lineRule="auto"/>
        <w:jc w:val="center"/>
        <w:rPr>
          <w:rFonts w:ascii="宋体" w:hAnsi="宋体" w:cs="宋体"/>
          <w:b/>
          <w:sz w:val="36"/>
          <w:szCs w:val="36"/>
        </w:rPr>
      </w:pPr>
      <w:r>
        <w:rPr>
          <w:rFonts w:hint="eastAsia" w:ascii="宋体" w:hAnsi="宋体" w:cs="宋体"/>
          <w:b/>
          <w:sz w:val="36"/>
          <w:szCs w:val="36"/>
        </w:rPr>
        <w:t>投标文件格式附件</w:t>
      </w:r>
    </w:p>
    <w:p>
      <w:pPr>
        <w:rPr>
          <w:rFonts w:ascii="宋体" w:hAnsi="宋体" w:cs="宋体"/>
          <w:b/>
          <w:sz w:val="30"/>
          <w:szCs w:val="30"/>
        </w:rPr>
      </w:pPr>
      <w:r>
        <w:rPr>
          <w:rFonts w:hint="eastAsia" w:ascii="宋体" w:hAnsi="宋体" w:cs="宋体"/>
          <w:b/>
          <w:kern w:val="0"/>
          <w:sz w:val="28"/>
          <w:szCs w:val="28"/>
        </w:rPr>
        <w:t>附件1</w:t>
      </w:r>
      <w:r>
        <w:rPr>
          <w:rFonts w:hint="eastAsia" w:ascii="宋体" w:hAnsi="宋体" w:cs="宋体"/>
          <w:sz w:val="30"/>
          <w:szCs w:val="30"/>
        </w:rPr>
        <w:t xml:space="preserve"> 　　　</w:t>
      </w:r>
    </w:p>
    <w:p>
      <w:pPr>
        <w:spacing w:before="319" w:beforeLines="100" w:line="360" w:lineRule="auto"/>
        <w:ind w:right="-108"/>
        <w:jc w:val="center"/>
        <w:rPr>
          <w:rFonts w:ascii="宋体" w:hAnsi="宋体" w:cs="宋体"/>
          <w:spacing w:val="40"/>
          <w:sz w:val="48"/>
          <w:szCs w:val="48"/>
        </w:rPr>
      </w:pPr>
      <w:r>
        <w:rPr>
          <w:rFonts w:hint="eastAsia" w:ascii="宋体" w:hAnsi="宋体" w:cs="宋体"/>
          <w:spacing w:val="40"/>
          <w:sz w:val="48"/>
          <w:szCs w:val="48"/>
        </w:rPr>
        <w:t>项目名称</w:t>
      </w:r>
    </w:p>
    <w:p>
      <w:pPr>
        <w:spacing w:before="319" w:beforeLines="100" w:line="360" w:lineRule="auto"/>
        <w:ind w:right="-108"/>
        <w:jc w:val="center"/>
        <w:rPr>
          <w:rFonts w:ascii="宋体" w:hAnsi="宋体" w:cs="宋体"/>
          <w:sz w:val="36"/>
          <w:szCs w:val="36"/>
        </w:rPr>
      </w:pPr>
      <w:r>
        <w:rPr>
          <w:rFonts w:hint="eastAsia" w:ascii="宋体" w:hAnsi="宋体" w:cs="宋体"/>
          <w:sz w:val="36"/>
          <w:szCs w:val="36"/>
        </w:rPr>
        <w:t>项目编号：（标段）</w:t>
      </w:r>
    </w:p>
    <w:p>
      <w:pPr>
        <w:autoSpaceDE w:val="0"/>
        <w:autoSpaceDN w:val="0"/>
        <w:adjustRightInd w:val="0"/>
        <w:spacing w:line="360" w:lineRule="auto"/>
        <w:jc w:val="center"/>
        <w:rPr>
          <w:rFonts w:ascii="宋体" w:hAnsi="宋体" w:cs="宋体"/>
          <w:sz w:val="84"/>
          <w:szCs w:val="84"/>
          <w:lang w:val="zh-CN"/>
        </w:rPr>
      </w:pP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投</w:t>
      </w: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标</w:t>
      </w:r>
    </w:p>
    <w:p>
      <w:pPr>
        <w:autoSpaceDE w:val="0"/>
        <w:autoSpaceDN w:val="0"/>
        <w:adjustRightInd w:val="0"/>
        <w:spacing w:line="360" w:lineRule="auto"/>
        <w:jc w:val="center"/>
        <w:rPr>
          <w:rFonts w:ascii="宋体" w:hAnsi="宋体" w:cs="宋体"/>
          <w:sz w:val="84"/>
          <w:szCs w:val="84"/>
        </w:rPr>
      </w:pPr>
      <w:r>
        <w:rPr>
          <w:rFonts w:hint="eastAsia" w:ascii="宋体" w:hAnsi="宋体" w:cs="宋体"/>
          <w:sz w:val="84"/>
          <w:szCs w:val="84"/>
          <w:lang w:val="zh-CN"/>
        </w:rPr>
        <w:t>文</w:t>
      </w:r>
    </w:p>
    <w:p>
      <w:pPr>
        <w:spacing w:after="100" w:afterAutospacing="1" w:line="360" w:lineRule="auto"/>
        <w:ind w:right="-108"/>
        <w:jc w:val="center"/>
        <w:rPr>
          <w:rFonts w:ascii="宋体" w:hAnsi="宋体" w:cs="宋体"/>
          <w:sz w:val="84"/>
          <w:szCs w:val="84"/>
          <w:lang w:val="zh-CN"/>
        </w:rPr>
      </w:pPr>
      <w:r>
        <w:rPr>
          <w:rFonts w:hint="eastAsia" w:ascii="宋体" w:hAnsi="宋体" w:cs="宋体"/>
          <w:sz w:val="84"/>
          <w:szCs w:val="84"/>
          <w:lang w:val="zh-CN"/>
        </w:rPr>
        <w:t>件</w:t>
      </w:r>
    </w:p>
    <w:p>
      <w:pPr>
        <w:spacing w:after="100" w:afterAutospacing="1" w:line="360" w:lineRule="auto"/>
        <w:ind w:right="-108"/>
        <w:jc w:val="center"/>
        <w:rPr>
          <w:rFonts w:ascii="宋体" w:hAnsi="宋体" w:cs="宋体"/>
          <w:b/>
          <w:spacing w:val="40"/>
          <w:sz w:val="28"/>
          <w:szCs w:val="28"/>
        </w:rPr>
      </w:pPr>
      <w:r>
        <w:rPr>
          <w:rFonts w:hint="eastAsia" w:ascii="宋体" w:hAnsi="宋体" w:cs="宋体"/>
          <w:sz w:val="28"/>
          <w:szCs w:val="28"/>
          <w:lang w:val="zh-CN"/>
        </w:rPr>
        <w:t>（</w:t>
      </w:r>
      <w:r>
        <w:rPr>
          <w:rFonts w:hint="eastAsia" w:ascii="宋体" w:hAnsi="宋体" w:cs="宋体"/>
          <w:b/>
          <w:spacing w:val="40"/>
          <w:sz w:val="28"/>
          <w:szCs w:val="28"/>
        </w:rPr>
        <w:t>资格证明文件）</w:t>
      </w:r>
    </w:p>
    <w:p>
      <w:pPr>
        <w:spacing w:line="360" w:lineRule="auto"/>
        <w:ind w:right="532" w:firstLine="720" w:firstLineChars="200"/>
        <w:rPr>
          <w:rFonts w:ascii="宋体" w:hAnsi="宋体" w:cs="宋体"/>
          <w:sz w:val="36"/>
          <w:szCs w:val="36"/>
        </w:rPr>
      </w:pPr>
      <w:r>
        <w:rPr>
          <w:rFonts w:hint="eastAsia" w:ascii="宋体" w:hAnsi="宋体" w:cs="宋体"/>
          <w:sz w:val="36"/>
          <w:szCs w:val="36"/>
        </w:rPr>
        <w:t>投标人全称（公章或CA签章）：</w:t>
      </w:r>
    </w:p>
    <w:p>
      <w:pPr>
        <w:spacing w:line="360" w:lineRule="auto"/>
        <w:ind w:right="532" w:firstLine="720" w:firstLineChars="200"/>
        <w:rPr>
          <w:rFonts w:ascii="宋体" w:hAnsi="宋体" w:cs="宋体"/>
          <w:sz w:val="36"/>
          <w:szCs w:val="36"/>
        </w:rPr>
      </w:pPr>
      <w:r>
        <w:rPr>
          <w:rFonts w:hint="eastAsia" w:ascii="宋体" w:hAnsi="宋体" w:cs="宋体"/>
          <w:sz w:val="36"/>
          <w:szCs w:val="36"/>
        </w:rPr>
        <w:t>地    址：</w:t>
      </w:r>
    </w:p>
    <w:p>
      <w:pPr>
        <w:spacing w:line="360" w:lineRule="auto"/>
        <w:ind w:right="532" w:firstLine="720" w:firstLineChars="200"/>
        <w:rPr>
          <w:rFonts w:ascii="宋体" w:hAnsi="宋体" w:cs="宋体"/>
          <w:sz w:val="36"/>
          <w:szCs w:val="36"/>
        </w:rPr>
      </w:pPr>
      <w:r>
        <w:rPr>
          <w:rFonts w:hint="eastAsia" w:ascii="宋体" w:hAnsi="宋体" w:cs="宋体"/>
          <w:sz w:val="36"/>
          <w:szCs w:val="36"/>
        </w:rPr>
        <w:t>时    间：</w:t>
      </w:r>
    </w:p>
    <w:p>
      <w:pPr>
        <w:snapToGrid w:val="0"/>
        <w:spacing w:before="50" w:after="50" w:line="360" w:lineRule="auto"/>
        <w:rPr>
          <w:rFonts w:ascii="宋体" w:hAnsi="宋体" w:cs="宋体"/>
          <w:b/>
          <w:sz w:val="36"/>
          <w:szCs w:val="36"/>
        </w:rPr>
      </w:pPr>
    </w:p>
    <w:p>
      <w:pPr>
        <w:snapToGrid w:val="0"/>
        <w:spacing w:before="50" w:after="50" w:line="360" w:lineRule="auto"/>
        <w:rPr>
          <w:rFonts w:ascii="宋体" w:hAnsi="宋体" w:cs="宋体"/>
          <w:b/>
          <w:sz w:val="36"/>
          <w:szCs w:val="36"/>
        </w:rPr>
      </w:pPr>
    </w:p>
    <w:p>
      <w:pPr>
        <w:snapToGrid w:val="0"/>
        <w:spacing w:before="50" w:after="50" w:line="360" w:lineRule="auto"/>
        <w:rPr>
          <w:rFonts w:ascii="宋体" w:hAnsi="宋体" w:cs="宋体"/>
          <w:b/>
          <w:sz w:val="36"/>
          <w:szCs w:val="36"/>
        </w:rPr>
      </w:pPr>
    </w:p>
    <w:p>
      <w:pPr>
        <w:snapToGrid w:val="0"/>
        <w:spacing w:before="50" w:after="50" w:line="360" w:lineRule="auto"/>
        <w:jc w:val="center"/>
        <w:rPr>
          <w:rFonts w:ascii="宋体" w:hAnsi="宋体" w:cs="宋体"/>
          <w:b/>
          <w:bCs/>
          <w:sz w:val="36"/>
          <w:szCs w:val="36"/>
        </w:rPr>
      </w:pPr>
      <w:r>
        <w:rPr>
          <w:rFonts w:hint="eastAsia" w:ascii="宋体" w:hAnsi="宋体" w:cs="宋体"/>
          <w:b/>
          <w:bCs/>
          <w:sz w:val="36"/>
          <w:szCs w:val="36"/>
        </w:rPr>
        <w:t>资格证明文件目录</w:t>
      </w:r>
    </w:p>
    <w:p>
      <w:pPr>
        <w:snapToGrid w:val="0"/>
        <w:spacing w:before="50" w:after="50" w:line="360" w:lineRule="auto"/>
        <w:jc w:val="center"/>
        <w:rPr>
          <w:rFonts w:ascii="宋体" w:hAnsi="宋体" w:cs="宋体"/>
          <w:b/>
          <w:bCs/>
          <w:sz w:val="36"/>
          <w:szCs w:val="36"/>
        </w:rPr>
      </w:pPr>
    </w:p>
    <w:p>
      <w:pPr>
        <w:snapToGrid w:val="0"/>
        <w:spacing w:line="360" w:lineRule="auto"/>
        <w:ind w:left="420" w:left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（1）投标声明书（附件2）；</w:t>
      </w:r>
    </w:p>
    <w:p>
      <w:pPr>
        <w:snapToGrid w:val="0"/>
        <w:spacing w:line="360" w:lineRule="auto"/>
        <w:ind w:left="420" w:left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（2）授权委托书（附件3，法定代表人亲自办理投标事宜的，则无需提交本证明书)；</w:t>
      </w:r>
    </w:p>
    <w:p>
      <w:pPr>
        <w:snapToGrid w:val="0"/>
        <w:spacing w:line="360" w:lineRule="auto"/>
        <w:ind w:left="420" w:left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（3）法人或者其他组织的营业执照等证明文件，自然人的身份证明；</w:t>
      </w:r>
    </w:p>
    <w:p>
      <w:pPr>
        <w:snapToGrid w:val="0"/>
        <w:spacing w:line="360" w:lineRule="auto"/>
        <w:ind w:left="420" w:left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（4）具有良好的商业信誉和健全的财务会计制度的承诺（附件4）；</w:t>
      </w:r>
    </w:p>
    <w:p>
      <w:pPr>
        <w:snapToGrid w:val="0"/>
        <w:spacing w:line="360" w:lineRule="auto"/>
        <w:ind w:left="420" w:left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（5）依法缴纳税收和社会保障资金的承诺（附件5）；</w:t>
      </w:r>
    </w:p>
    <w:p>
      <w:pPr>
        <w:snapToGrid w:val="0"/>
        <w:spacing w:line="360" w:lineRule="auto"/>
        <w:ind w:left="420" w:left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（6）参加政府采购活动前三年内，在经营活动中没有重大违法记录（附件6）；</w:t>
      </w:r>
    </w:p>
    <w:p>
      <w:pPr>
        <w:snapToGrid w:val="0"/>
        <w:spacing w:line="360" w:lineRule="auto"/>
        <w:ind w:left="420" w:left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（7）提供采购公告中符合供应商特定条件的有效资质证书复印件（投标供应商特定条件中有要求的必须提供），以及需要说明的其他资料。</w:t>
      </w:r>
    </w:p>
    <w:p/>
    <w:p>
      <w:pPr>
        <w:spacing w:line="360" w:lineRule="auto"/>
        <w:ind w:firstLine="281" w:firstLineChars="100"/>
        <w:rPr>
          <w:rFonts w:ascii="宋体" w:hAnsi="宋体" w:cs="宋体"/>
          <w:b/>
          <w:sz w:val="28"/>
        </w:rPr>
      </w:pPr>
    </w:p>
    <w:p>
      <w:pPr>
        <w:pStyle w:val="45"/>
        <w:rPr>
          <w:rFonts w:ascii="宋体" w:hAnsi="宋体" w:cs="宋体"/>
          <w:sz w:val="28"/>
        </w:rPr>
      </w:pPr>
    </w:p>
    <w:p>
      <w:pPr>
        <w:rPr>
          <w:rFonts w:ascii="宋体" w:hAnsi="宋体" w:cs="宋体"/>
          <w:b/>
          <w:sz w:val="28"/>
        </w:rPr>
      </w:pPr>
    </w:p>
    <w:p>
      <w:pPr>
        <w:pStyle w:val="45"/>
        <w:rPr>
          <w:rFonts w:ascii="宋体" w:hAnsi="宋体" w:cs="宋体"/>
          <w:sz w:val="28"/>
        </w:rPr>
      </w:pPr>
    </w:p>
    <w:p/>
    <w:p>
      <w:pPr>
        <w:spacing w:line="360" w:lineRule="auto"/>
        <w:ind w:left="420"/>
        <w:rPr>
          <w:rFonts w:ascii="宋体" w:hAnsi="宋体" w:cs="宋体"/>
          <w:b/>
          <w:sz w:val="28"/>
        </w:rPr>
      </w:pPr>
    </w:p>
    <w:p>
      <w:pPr>
        <w:spacing w:line="360" w:lineRule="auto"/>
        <w:ind w:left="420"/>
        <w:rPr>
          <w:rFonts w:ascii="宋体" w:hAnsi="宋体" w:cs="宋体"/>
          <w:b/>
          <w:sz w:val="28"/>
        </w:rPr>
      </w:pPr>
    </w:p>
    <w:p>
      <w:pPr>
        <w:spacing w:line="360" w:lineRule="auto"/>
        <w:ind w:left="420"/>
        <w:rPr>
          <w:rFonts w:ascii="宋体" w:hAnsi="宋体" w:cs="宋体"/>
          <w:b/>
          <w:sz w:val="28"/>
        </w:rPr>
      </w:pPr>
    </w:p>
    <w:p>
      <w:pPr>
        <w:pStyle w:val="21"/>
      </w:pPr>
    </w:p>
    <w:p>
      <w:pPr>
        <w:spacing w:line="360" w:lineRule="auto"/>
        <w:ind w:left="420"/>
        <w:rPr>
          <w:rFonts w:ascii="宋体" w:hAnsi="宋体" w:cs="宋体"/>
          <w:b/>
          <w:sz w:val="28"/>
        </w:rPr>
      </w:pPr>
    </w:p>
    <w:p>
      <w:pPr>
        <w:pStyle w:val="61"/>
      </w:pPr>
    </w:p>
    <w:p>
      <w:r>
        <w:br w:type="page"/>
      </w:r>
    </w:p>
    <w:p>
      <w:pPr>
        <w:pStyle w:val="61"/>
      </w:pPr>
    </w:p>
    <w:p>
      <w:pPr>
        <w:spacing w:line="360" w:lineRule="auto"/>
        <w:rPr>
          <w:rFonts w:ascii="宋体" w:hAnsi="宋体" w:cs="宋体"/>
          <w:b/>
          <w:sz w:val="28"/>
        </w:rPr>
      </w:pPr>
      <w:r>
        <w:rPr>
          <w:rFonts w:hint="eastAsia" w:ascii="宋体" w:hAnsi="宋体" w:cs="宋体"/>
          <w:b/>
          <w:sz w:val="28"/>
        </w:rPr>
        <w:t>附件2</w:t>
      </w:r>
    </w:p>
    <w:p>
      <w:pPr>
        <w:adjustRightInd w:val="0"/>
        <w:snapToGrid w:val="0"/>
        <w:spacing w:line="360" w:lineRule="auto"/>
        <w:ind w:right="480"/>
        <w:jc w:val="center"/>
        <w:rPr>
          <w:rFonts w:ascii="宋体" w:hAnsi="宋体" w:cs="宋体"/>
          <w:b/>
          <w:kern w:val="0"/>
          <w:sz w:val="32"/>
          <w:szCs w:val="32"/>
          <w:lang w:val="zh-CN"/>
        </w:rPr>
      </w:pPr>
      <w:r>
        <w:rPr>
          <w:rFonts w:hint="eastAsia" w:ascii="宋体" w:hAnsi="宋体" w:cs="宋体"/>
          <w:b/>
          <w:kern w:val="0"/>
          <w:sz w:val="32"/>
          <w:szCs w:val="32"/>
          <w:lang w:val="zh-CN"/>
        </w:rPr>
        <w:t>投标声明书</w:t>
      </w:r>
    </w:p>
    <w:p>
      <w:pPr>
        <w:snapToGrid w:val="0"/>
        <w:spacing w:line="288" w:lineRule="auto"/>
        <w:ind w:firstLine="480" w:firstLineChars="200"/>
        <w:rPr>
          <w:rFonts w:ascii="宋体" w:hAnsi="宋体" w:cs="宋体"/>
          <w:kern w:val="0"/>
          <w:sz w:val="24"/>
        </w:rPr>
      </w:pPr>
      <w:r>
        <w:rPr>
          <w:rFonts w:hint="eastAsia" w:ascii="宋体" w:hAnsi="宋体" w:cs="宋体"/>
          <w:kern w:val="0"/>
          <w:sz w:val="24"/>
        </w:rPr>
        <w:t>台州市玖诚工程管理有限公司：</w:t>
      </w:r>
    </w:p>
    <w:p>
      <w:pPr>
        <w:snapToGrid w:val="0"/>
        <w:spacing w:line="324"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lang w:eastAsia="zh-CN"/>
        </w:rPr>
        <w:t>台州市三梅中学网络及安全设备采购项目</w:t>
      </w:r>
      <w:r>
        <w:rPr>
          <w:rFonts w:hint="eastAsia" w:ascii="宋体" w:hAnsi="宋体" w:cs="宋体"/>
          <w:kern w:val="0"/>
          <w:sz w:val="24"/>
        </w:rPr>
        <w:t>（编号为</w:t>
      </w:r>
      <w:r>
        <w:rPr>
          <w:rFonts w:hint="eastAsia" w:ascii="宋体" w:hAnsi="宋体" w:cs="宋体"/>
          <w:kern w:val="0"/>
          <w:sz w:val="24"/>
          <w:lang w:eastAsia="zh-CN"/>
        </w:rPr>
        <w:t>JC-GK2024-004</w:t>
      </w:r>
      <w:r>
        <w:rPr>
          <w:rFonts w:hint="eastAsia" w:ascii="宋体" w:hAnsi="宋体" w:cs="宋体"/>
          <w:kern w:val="0"/>
          <w:sz w:val="24"/>
        </w:rPr>
        <w:t>号）的投标，为此，我公司就本次投标有关事项郑重声明如下：</w:t>
      </w:r>
    </w:p>
    <w:p>
      <w:pPr>
        <w:snapToGrid w:val="0"/>
        <w:spacing w:line="360" w:lineRule="auto"/>
        <w:ind w:firstLine="480" w:firstLineChars="200"/>
        <w:rPr>
          <w:rFonts w:ascii="宋体" w:hAnsi="宋体" w:cs="宋体"/>
          <w:b/>
          <w:kern w:val="0"/>
          <w:sz w:val="24"/>
        </w:rPr>
      </w:pPr>
      <w:r>
        <w:rPr>
          <w:rFonts w:hint="eastAsia" w:ascii="宋体" w:hAnsi="宋体" w:cs="宋体"/>
          <w:kern w:val="0"/>
          <w:sz w:val="24"/>
        </w:rPr>
        <w:t>1、</w:t>
      </w:r>
      <w:r>
        <w:rPr>
          <w:rFonts w:hint="eastAsia" w:ascii="宋体" w:hAnsi="宋体" w:cs="宋体"/>
          <w:sz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2、我公司在参与投标前已详细审查了采购文件和所有相关资料，我方完全明白并认为此采购文件没有倾向性，也没有存在排斥潜在投标人的内容，我方同意采购文件的相关条款，放弃对采购文件提出误解和质疑的一切权利。</w:t>
      </w:r>
    </w:p>
    <w:p>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3、我</w:t>
      </w:r>
      <w:r>
        <w:rPr>
          <w:rFonts w:hint="eastAsia" w:ascii="宋体" w:hAnsi="宋体" w:cs="宋体"/>
          <w:kern w:val="0"/>
          <w:sz w:val="24"/>
          <w:lang w:val="zh-CN"/>
        </w:rPr>
        <w:t>公司</w:t>
      </w:r>
      <w:r>
        <w:rPr>
          <w:rFonts w:hint="eastAsia" w:ascii="宋体" w:hAnsi="宋体" w:cs="宋体"/>
          <w:sz w:val="24"/>
        </w:rPr>
        <w:t>不是采购人的附属机构；在获知本项目采购信息后，与采购人聘请的为此项目提供咨询服务的公司及其附属机构没有任何联系。</w:t>
      </w:r>
    </w:p>
    <w:p>
      <w:pPr>
        <w:snapToGrid w:val="0"/>
        <w:spacing w:line="360" w:lineRule="auto"/>
        <w:ind w:firstLine="480" w:firstLineChars="200"/>
        <w:rPr>
          <w:rFonts w:ascii="宋体" w:hAnsi="宋体" w:cs="宋体"/>
          <w:kern w:val="0"/>
          <w:sz w:val="24"/>
          <w:lang w:val="af-ZA"/>
        </w:rPr>
      </w:pPr>
      <w:r>
        <w:rPr>
          <w:rFonts w:hint="eastAsia" w:ascii="宋体" w:hAnsi="宋体" w:cs="宋体"/>
          <w:sz w:val="24"/>
        </w:rPr>
        <w:t>4、</w:t>
      </w: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保证，</w:t>
      </w:r>
      <w:r>
        <w:rPr>
          <w:rFonts w:hint="eastAsia" w:ascii="宋体" w:hAnsi="宋体" w:cs="宋体"/>
          <w:kern w:val="0"/>
          <w:sz w:val="24"/>
          <w:lang w:val="af-ZA"/>
        </w:rPr>
        <w:t>采购人在中华人民共和国境内使用</w:t>
      </w: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napToGrid w:val="0"/>
        <w:spacing w:line="360" w:lineRule="auto"/>
        <w:ind w:firstLine="480" w:firstLineChars="200"/>
        <w:rPr>
          <w:rFonts w:ascii="宋体" w:hAnsi="宋体" w:cs="宋体"/>
          <w:sz w:val="24"/>
        </w:rPr>
      </w:pPr>
      <w:r>
        <w:rPr>
          <w:rFonts w:hint="eastAsia" w:ascii="宋体" w:hAnsi="宋体" w:cs="宋体"/>
          <w:kern w:val="0"/>
          <w:sz w:val="24"/>
          <w:lang w:val="af-ZA"/>
        </w:rPr>
        <w:t>5、我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snapToGrid w:val="0"/>
        <w:spacing w:line="360" w:lineRule="auto"/>
        <w:ind w:firstLine="480" w:firstLineChars="200"/>
        <w:rPr>
          <w:rFonts w:ascii="宋体" w:hAnsi="宋体" w:cs="宋体"/>
          <w:sz w:val="24"/>
        </w:rPr>
      </w:pPr>
      <w:r>
        <w:rPr>
          <w:rFonts w:hint="eastAsia" w:ascii="宋体" w:hAnsi="宋体" w:cs="宋体"/>
          <w:sz w:val="24"/>
        </w:rPr>
        <w:t>6、以上事项如有虚假或隐瞒，我</w:t>
      </w:r>
      <w:r>
        <w:rPr>
          <w:rFonts w:hint="eastAsia" w:ascii="宋体" w:hAnsi="宋体" w:cs="宋体"/>
          <w:kern w:val="0"/>
          <w:sz w:val="24"/>
          <w:lang w:val="zh-CN"/>
        </w:rPr>
        <w:t>公司</w:t>
      </w:r>
      <w:r>
        <w:rPr>
          <w:rFonts w:hint="eastAsia" w:ascii="宋体" w:hAnsi="宋体" w:cs="宋体"/>
          <w:sz w:val="24"/>
        </w:rPr>
        <w:t>愿意承担一切后果，并不再寻求任何旨在减轻或免除法律责任的辩解。</w:t>
      </w:r>
    </w:p>
    <w:p>
      <w:pPr>
        <w:adjustRightInd w:val="0"/>
        <w:snapToGrid w:val="0"/>
        <w:spacing w:line="360" w:lineRule="auto"/>
        <w:ind w:firstLine="480"/>
        <w:rPr>
          <w:rFonts w:ascii="宋体" w:hAnsi="宋体" w:cs="宋体"/>
          <w:kern w:val="0"/>
          <w:sz w:val="24"/>
        </w:rPr>
      </w:pPr>
    </w:p>
    <w:p>
      <w:pPr>
        <w:adjustRightInd w:val="0"/>
        <w:snapToGrid w:val="0"/>
        <w:spacing w:line="360" w:lineRule="auto"/>
        <w:rPr>
          <w:rFonts w:ascii="宋体" w:hAnsi="宋体" w:cs="宋体"/>
          <w:kern w:val="0"/>
          <w:sz w:val="24"/>
          <w:lang w:val="zh-CN"/>
        </w:rPr>
      </w:pPr>
      <w:r>
        <w:rPr>
          <w:rFonts w:hint="eastAsia" w:ascii="宋体" w:hAnsi="宋体" w:cs="宋体"/>
          <w:kern w:val="0"/>
          <w:sz w:val="24"/>
          <w:lang w:val="zh-CN"/>
        </w:rPr>
        <w:t>投标人名称（公章或CA签章）：</w:t>
      </w:r>
    </w:p>
    <w:p>
      <w:pPr>
        <w:adjustRightInd w:val="0"/>
        <w:snapToGrid w:val="0"/>
        <w:spacing w:line="360" w:lineRule="auto"/>
        <w:rPr>
          <w:rFonts w:ascii="宋体" w:hAnsi="宋体" w:cs="宋体"/>
          <w:kern w:val="0"/>
          <w:sz w:val="24"/>
          <w:lang w:val="zh-CN"/>
        </w:rPr>
      </w:pPr>
      <w:r>
        <w:rPr>
          <w:rFonts w:hint="eastAsia" w:ascii="宋体" w:hAnsi="宋体" w:cs="宋体"/>
          <w:sz w:val="24"/>
        </w:rPr>
        <w:t>法定代表人或授权委托人(签字或盖章)</w:t>
      </w:r>
      <w:r>
        <w:rPr>
          <w:rFonts w:hint="eastAsia" w:ascii="宋体" w:hAnsi="宋体" w:cs="宋体"/>
          <w:kern w:val="0"/>
          <w:sz w:val="24"/>
          <w:lang w:val="zh-CN"/>
        </w:rPr>
        <w:t>：</w:t>
      </w:r>
    </w:p>
    <w:p>
      <w:pPr>
        <w:adjustRightInd w:val="0"/>
        <w:snapToGrid w:val="0"/>
        <w:spacing w:line="360" w:lineRule="auto"/>
        <w:ind w:right="480"/>
        <w:rPr>
          <w:rFonts w:ascii="宋体" w:hAnsi="宋体" w:cs="宋体"/>
          <w:kern w:val="0"/>
          <w:sz w:val="24"/>
          <w:lang w:val="zh-CN"/>
        </w:rPr>
      </w:pPr>
      <w:r>
        <w:rPr>
          <w:rFonts w:hint="eastAsia" w:ascii="宋体" w:hAnsi="宋体" w:cs="宋体"/>
          <w:kern w:val="0"/>
          <w:sz w:val="24"/>
          <w:lang w:val="zh-CN"/>
        </w:rPr>
        <w:t>日期：年 月 日</w:t>
      </w:r>
    </w:p>
    <w:p>
      <w:pPr>
        <w:adjustRightInd w:val="0"/>
        <w:snapToGrid w:val="0"/>
        <w:spacing w:line="360" w:lineRule="auto"/>
        <w:ind w:right="480"/>
        <w:rPr>
          <w:rFonts w:ascii="宋体" w:hAnsi="宋体" w:cs="宋体"/>
          <w:b/>
          <w:sz w:val="30"/>
          <w:szCs w:val="30"/>
        </w:rPr>
      </w:pPr>
      <w:r>
        <w:rPr>
          <w:rFonts w:hint="eastAsia" w:ascii="宋体" w:hAnsi="宋体" w:cs="宋体"/>
          <w:b/>
          <w:sz w:val="28"/>
        </w:rPr>
        <w:t>附件3</w:t>
      </w:r>
    </w:p>
    <w:p>
      <w:pPr>
        <w:spacing w:line="360" w:lineRule="auto"/>
        <w:ind w:firstLine="321" w:firstLineChars="100"/>
        <w:jc w:val="center"/>
        <w:rPr>
          <w:rFonts w:ascii="宋体" w:hAnsi="宋体" w:cs="宋体"/>
          <w:b/>
          <w:sz w:val="32"/>
          <w:szCs w:val="32"/>
          <w:u w:val="single"/>
        </w:rPr>
      </w:pPr>
      <w:r>
        <w:rPr>
          <w:rFonts w:hint="eastAsia" w:ascii="宋体" w:hAnsi="宋体" w:cs="宋体"/>
          <w:b/>
          <w:sz w:val="32"/>
          <w:szCs w:val="32"/>
        </w:rPr>
        <w:t>授权委托书</w:t>
      </w:r>
    </w:p>
    <w:p>
      <w:pPr>
        <w:pStyle w:val="27"/>
        <w:spacing w:line="500" w:lineRule="exact"/>
        <w:rPr>
          <w:rFonts w:hAnsi="宋体" w:cs="宋体"/>
          <w:b/>
          <w:sz w:val="24"/>
        </w:rPr>
      </w:pPr>
      <w:r>
        <w:rPr>
          <w:rFonts w:hint="eastAsia" w:hAnsi="宋体" w:cs="宋体"/>
          <w:kern w:val="0"/>
          <w:sz w:val="24"/>
        </w:rPr>
        <w:t>台州市玖诚工程管理有限公司</w:t>
      </w:r>
      <w:r>
        <w:rPr>
          <w:rFonts w:hint="eastAsia" w:hAnsi="宋体" w:cs="宋体"/>
          <w:b/>
          <w:sz w:val="24"/>
        </w:rPr>
        <w:t>：</w:t>
      </w:r>
    </w:p>
    <w:p>
      <w:pPr>
        <w:pStyle w:val="27"/>
        <w:spacing w:line="500" w:lineRule="exact"/>
        <w:ind w:left="240" w:hanging="240" w:hangingChars="100"/>
        <w:rPr>
          <w:rFonts w:hAnsi="宋体" w:cs="宋体"/>
          <w:sz w:val="24"/>
        </w:rPr>
      </w:pPr>
      <w:r>
        <w:rPr>
          <w:rFonts w:hint="eastAsia" w:hAnsi="宋体" w:cs="宋体"/>
          <w:sz w:val="24"/>
          <w:u w:val="single"/>
        </w:rPr>
        <w:t xml:space="preserve">  （投标人全称）  </w:t>
      </w:r>
      <w:r>
        <w:rPr>
          <w:rFonts w:hint="eastAsia" w:hAnsi="宋体" w:cs="宋体"/>
          <w:sz w:val="24"/>
        </w:rPr>
        <w:t>法定代表人（或营业执照中单位负责人）</w:t>
      </w:r>
      <w:r>
        <w:rPr>
          <w:rFonts w:hint="eastAsia" w:hAnsi="宋体" w:cs="宋体"/>
          <w:sz w:val="24"/>
          <w:u w:val="single"/>
        </w:rPr>
        <w:tab/>
      </w:r>
      <w:r>
        <w:rPr>
          <w:rFonts w:hint="eastAsia" w:hAnsi="宋体" w:cs="宋体"/>
          <w:sz w:val="24"/>
          <w:u w:val="single"/>
        </w:rPr>
        <w:t xml:space="preserve">（法定代表人或营业执照中单位负责人姓名） </w:t>
      </w:r>
      <w:r>
        <w:rPr>
          <w:rFonts w:hint="eastAsia" w:hAnsi="宋体" w:cs="宋体"/>
          <w:sz w:val="24"/>
        </w:rPr>
        <w:t>授权</w:t>
      </w:r>
      <w:r>
        <w:rPr>
          <w:rFonts w:hint="eastAsia" w:hAnsi="宋体" w:cs="宋体"/>
          <w:sz w:val="24"/>
          <w:u w:val="single"/>
        </w:rPr>
        <w:t xml:space="preserve">   （全权代表姓名） </w:t>
      </w:r>
      <w:r>
        <w:rPr>
          <w:rFonts w:hint="eastAsia" w:hAnsi="宋体" w:cs="宋体"/>
          <w:sz w:val="24"/>
        </w:rPr>
        <w:t>为全权代表，参加贵单位组织</w:t>
      </w:r>
      <w:r>
        <w:rPr>
          <w:rFonts w:hint="eastAsia" w:hAnsi="宋体" w:cs="宋体"/>
          <w:kern w:val="0"/>
          <w:sz w:val="24"/>
        </w:rPr>
        <w:t>的</w:t>
      </w:r>
      <w:r>
        <w:rPr>
          <w:rFonts w:hint="eastAsia" w:hAnsi="宋体" w:cs="宋体"/>
          <w:kern w:val="0"/>
          <w:sz w:val="24"/>
          <w:lang w:eastAsia="zh-CN"/>
        </w:rPr>
        <w:t>台州市三梅中学网络及安全设备采购项目</w:t>
      </w:r>
      <w:r>
        <w:rPr>
          <w:rFonts w:hint="eastAsia" w:hAnsi="宋体" w:cs="宋体"/>
          <w:sz w:val="24"/>
        </w:rPr>
        <w:t>的采购活动，并代表我方全权办理针对上述项目的投标、开标、评标、签约等具体事务和签署相关文件。我方对全权代表的签字事项负全部责任。</w:t>
      </w:r>
    </w:p>
    <w:p>
      <w:pPr>
        <w:pStyle w:val="27"/>
        <w:spacing w:line="500" w:lineRule="exact"/>
        <w:ind w:left="139" w:leftChars="66" w:firstLine="480" w:firstLineChars="200"/>
        <w:rPr>
          <w:rFonts w:hAnsi="宋体" w:cs="宋体"/>
          <w:sz w:val="24"/>
        </w:rPr>
      </w:pPr>
      <w:r>
        <w:rPr>
          <w:rFonts w:hint="eastAsia" w:hAnsi="宋体" w:cs="宋体"/>
          <w:sz w:val="24"/>
        </w:rPr>
        <w:t>在撤销授权的书面通知以前，本授权书一直有效。全权代表在授权委托书有效期内签署的所有文件不因授权的撤销而失效。</w:t>
      </w:r>
    </w:p>
    <w:p>
      <w:pPr>
        <w:pStyle w:val="27"/>
        <w:spacing w:line="500" w:lineRule="exact"/>
        <w:ind w:left="139" w:leftChars="66" w:firstLine="480" w:firstLineChars="200"/>
        <w:rPr>
          <w:rFonts w:hAnsi="宋体" w:cs="宋体"/>
          <w:sz w:val="24"/>
        </w:rPr>
      </w:pPr>
      <w:r>
        <w:rPr>
          <w:rFonts w:hint="eastAsia" w:hAnsi="宋体" w:cs="宋体"/>
          <w:sz w:val="24"/>
        </w:rPr>
        <w:t>全权代表无转委托权，特此委托。</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法定代表人（签字或盖章）：</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投标人全称（公章或CA签章）：                         日期：</w:t>
      </w:r>
    </w:p>
    <w:p>
      <w:pPr>
        <w:spacing w:line="360" w:lineRule="auto"/>
        <w:rPr>
          <w:rFonts w:ascii="宋体" w:hAnsi="宋体" w:cs="宋体"/>
          <w:sz w:val="24"/>
        </w:rPr>
      </w:pPr>
      <w:r>
        <w:rPr>
          <w:rFonts w:hint="eastAsia" w:ascii="宋体" w:hAnsi="宋体" w:cs="宋体"/>
          <w:sz w:val="24"/>
        </w:rPr>
        <w:t>附：</w:t>
      </w:r>
    </w:p>
    <w:tbl>
      <w:tblPr>
        <w:tblStyle w:val="4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tcPr>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b/>
                <w:bCs/>
                <w:sz w:val="24"/>
              </w:rPr>
              <w:t>法定代表人身份证复印件粘贴处</w:t>
            </w:r>
          </w:p>
        </w:tc>
      </w:tr>
    </w:tbl>
    <w:p>
      <w:pPr>
        <w:spacing w:line="360" w:lineRule="auto"/>
        <w:rPr>
          <w:rFonts w:ascii="宋体" w:hAnsi="宋体" w:cs="宋体"/>
          <w:sz w:val="24"/>
        </w:rPr>
      </w:pPr>
      <w:r>
        <w:rPr>
          <w:rFonts w:hint="eastAsia" w:ascii="宋体" w:hAnsi="宋体" w:cs="宋体"/>
          <w:sz w:val="24"/>
        </w:rPr>
        <w:t xml:space="preserve">法定代表人姓名：                                 </w:t>
      </w:r>
    </w:p>
    <w:p>
      <w:pPr>
        <w:spacing w:line="360" w:lineRule="auto"/>
        <w:rPr>
          <w:rFonts w:ascii="宋体" w:hAnsi="宋体" w:cs="宋体"/>
          <w:sz w:val="24"/>
        </w:rPr>
      </w:pPr>
      <w:r>
        <w:rPr>
          <w:rFonts w:hint="eastAsia" w:ascii="宋体" w:hAnsi="宋体" w:cs="宋体"/>
          <w:sz w:val="24"/>
        </w:rPr>
        <w:t>传真：</w:t>
      </w:r>
    </w:p>
    <w:p>
      <w:pPr>
        <w:spacing w:line="360" w:lineRule="auto"/>
        <w:rPr>
          <w:rFonts w:ascii="宋体" w:hAnsi="宋体" w:cs="宋体"/>
          <w:sz w:val="24"/>
        </w:rPr>
      </w:pPr>
      <w:r>
        <w:rPr>
          <w:rFonts w:hint="eastAsia" w:ascii="宋体" w:hAnsi="宋体" w:cs="宋体"/>
          <w:sz w:val="24"/>
        </w:rPr>
        <w:t>电话：</w:t>
      </w:r>
    </w:p>
    <w:p>
      <w:pPr>
        <w:spacing w:line="360" w:lineRule="auto"/>
        <w:rPr>
          <w:rFonts w:ascii="宋体" w:hAnsi="宋体" w:cs="宋体"/>
          <w:sz w:val="24"/>
        </w:rPr>
      </w:pPr>
      <w:r>
        <w:rPr>
          <w:rFonts w:hint="eastAsia" w:ascii="宋体" w:hAnsi="宋体" w:cs="宋体"/>
          <w:sz w:val="24"/>
        </w:rPr>
        <w:t>详细通讯地址：</w:t>
      </w:r>
    </w:p>
    <w:p>
      <w:pPr>
        <w:spacing w:line="360" w:lineRule="auto"/>
        <w:rPr>
          <w:rFonts w:ascii="宋体" w:hAnsi="宋体" w:cs="宋体"/>
          <w:sz w:val="24"/>
        </w:rPr>
      </w:pPr>
      <w:r>
        <w:rPr>
          <w:rFonts w:hint="eastAsia" w:ascii="宋体" w:hAnsi="宋体" w:cs="宋体"/>
          <w:sz w:val="24"/>
        </w:rPr>
        <w:t>邮政编码：</w:t>
      </w:r>
    </w:p>
    <w:p>
      <w:pPr>
        <w:spacing w:line="360" w:lineRule="auto"/>
        <w:rPr>
          <w:rFonts w:ascii="宋体" w:hAnsi="宋体" w:cs="宋体"/>
          <w:sz w:val="24"/>
        </w:rPr>
      </w:pPr>
    </w:p>
    <w:tbl>
      <w:tblPr>
        <w:tblStyle w:val="4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tcPr>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b/>
                <w:bCs/>
                <w:sz w:val="24"/>
              </w:rPr>
              <w:t>全权代表身份证复印件粘贴处</w:t>
            </w:r>
          </w:p>
        </w:tc>
      </w:tr>
    </w:tbl>
    <w:p>
      <w:pPr>
        <w:spacing w:line="360" w:lineRule="auto"/>
        <w:rPr>
          <w:rFonts w:ascii="宋体" w:hAnsi="宋体" w:cs="宋体"/>
          <w:sz w:val="24"/>
        </w:rPr>
      </w:pPr>
      <w:r>
        <w:rPr>
          <w:rFonts w:hint="eastAsia" w:ascii="宋体" w:hAnsi="宋体" w:cs="宋体"/>
          <w:sz w:val="24"/>
        </w:rPr>
        <w:t xml:space="preserve">全权代表姓名：       </w:t>
      </w:r>
    </w:p>
    <w:p>
      <w:pPr>
        <w:spacing w:line="360" w:lineRule="auto"/>
        <w:rPr>
          <w:rFonts w:ascii="宋体" w:hAnsi="宋体" w:cs="宋体"/>
          <w:sz w:val="24"/>
        </w:rPr>
      </w:pPr>
      <w:r>
        <w:rPr>
          <w:rFonts w:hint="eastAsia" w:ascii="宋体" w:hAnsi="宋体" w:cs="宋体"/>
          <w:sz w:val="24"/>
        </w:rPr>
        <w:t xml:space="preserve">职务：                           </w:t>
      </w:r>
    </w:p>
    <w:p>
      <w:pPr>
        <w:spacing w:line="360" w:lineRule="auto"/>
        <w:rPr>
          <w:rFonts w:ascii="宋体" w:hAnsi="宋体" w:cs="宋体"/>
          <w:sz w:val="24"/>
        </w:rPr>
      </w:pPr>
      <w:r>
        <w:rPr>
          <w:rFonts w:hint="eastAsia" w:ascii="宋体" w:hAnsi="宋体" w:cs="宋体"/>
          <w:sz w:val="24"/>
        </w:rPr>
        <w:t>传真：</w:t>
      </w:r>
    </w:p>
    <w:p>
      <w:pPr>
        <w:spacing w:line="360" w:lineRule="auto"/>
        <w:rPr>
          <w:rFonts w:ascii="宋体" w:hAnsi="宋体" w:cs="宋体"/>
          <w:sz w:val="24"/>
        </w:rPr>
      </w:pPr>
      <w:r>
        <w:rPr>
          <w:rFonts w:hint="eastAsia" w:ascii="宋体" w:hAnsi="宋体" w:cs="宋体"/>
          <w:sz w:val="24"/>
        </w:rPr>
        <w:t>电话：</w:t>
      </w:r>
    </w:p>
    <w:p>
      <w:pPr>
        <w:spacing w:line="360" w:lineRule="auto"/>
        <w:rPr>
          <w:rFonts w:ascii="宋体" w:hAnsi="宋体" w:cs="宋体"/>
          <w:sz w:val="24"/>
        </w:rPr>
      </w:pPr>
      <w:r>
        <w:rPr>
          <w:rFonts w:hint="eastAsia" w:ascii="宋体" w:hAnsi="宋体" w:cs="宋体"/>
          <w:sz w:val="24"/>
        </w:rPr>
        <w:t>详细通讯地址：</w:t>
      </w:r>
    </w:p>
    <w:p>
      <w:pPr>
        <w:spacing w:line="360" w:lineRule="auto"/>
        <w:rPr>
          <w:rFonts w:ascii="宋体" w:hAnsi="宋体" w:cs="宋体"/>
          <w:b/>
          <w:bCs/>
          <w:sz w:val="32"/>
          <w:szCs w:val="32"/>
          <w:lang w:val="zh-CN"/>
        </w:rPr>
      </w:pPr>
      <w:r>
        <w:rPr>
          <w:rFonts w:hint="eastAsia" w:ascii="宋体" w:hAnsi="宋体" w:cs="宋体"/>
          <w:sz w:val="24"/>
        </w:rPr>
        <w:t>邮政编码</w:t>
      </w:r>
      <w:r>
        <w:rPr>
          <w:rFonts w:hint="eastAsia" w:ascii="宋体" w:hAnsi="宋体" w:cs="宋体"/>
        </w:rPr>
        <w:t>：</w:t>
      </w:r>
    </w:p>
    <w:p>
      <w:pPr>
        <w:rPr>
          <w:rFonts w:ascii="宋体" w:hAnsi="宋体" w:cs="宋体"/>
          <w:b/>
          <w:sz w:val="28"/>
        </w:rPr>
      </w:pPr>
      <w:r>
        <w:rPr>
          <w:rFonts w:hint="eastAsia" w:ascii="宋体" w:hAnsi="宋体" w:cs="宋体"/>
          <w:b/>
          <w:sz w:val="28"/>
        </w:rPr>
        <w:br w:type="page"/>
      </w:r>
    </w:p>
    <w:p>
      <w:pPr>
        <w:spacing w:after="319" w:afterLines="100" w:line="480" w:lineRule="auto"/>
        <w:ind w:firstLine="482"/>
        <w:jc w:val="left"/>
        <w:rPr>
          <w:rFonts w:asciiTheme="minorEastAsia" w:hAnsiTheme="minorEastAsia" w:eastAsiaTheme="minorEastAsia" w:cstheme="minorEastAsia"/>
          <w:b/>
          <w:bCs/>
          <w:kern w:val="0"/>
          <w:sz w:val="28"/>
          <w:szCs w:val="36"/>
        </w:rPr>
      </w:pPr>
      <w:r>
        <w:rPr>
          <w:rFonts w:hint="eastAsia" w:asciiTheme="minorEastAsia" w:hAnsiTheme="minorEastAsia" w:eastAsiaTheme="minorEastAsia" w:cstheme="minorEastAsia"/>
          <w:b/>
          <w:bCs/>
          <w:kern w:val="0"/>
          <w:sz w:val="28"/>
          <w:szCs w:val="36"/>
        </w:rPr>
        <w:t>附件4</w:t>
      </w:r>
    </w:p>
    <w:p>
      <w:pPr>
        <w:spacing w:after="319" w:afterLines="100" w:line="480" w:lineRule="auto"/>
        <w:ind w:firstLine="482"/>
        <w:jc w:val="center"/>
        <w:rPr>
          <w:rFonts w:asciiTheme="minorEastAsia" w:hAnsiTheme="minorEastAsia" w:eastAsiaTheme="minorEastAsia" w:cstheme="minorEastAsia"/>
          <w:sz w:val="28"/>
          <w:szCs w:val="36"/>
        </w:rPr>
      </w:pPr>
      <w:r>
        <w:rPr>
          <w:rFonts w:hint="eastAsia" w:asciiTheme="minorEastAsia" w:hAnsiTheme="minorEastAsia" w:eastAsiaTheme="minorEastAsia" w:cstheme="minorEastAsia"/>
          <w:b/>
          <w:bCs/>
          <w:kern w:val="0"/>
          <w:sz w:val="28"/>
          <w:szCs w:val="36"/>
          <w:lang w:val="zh-CN"/>
        </w:rPr>
        <w:t>具备健全的财务会计制度的承诺函</w:t>
      </w:r>
    </w:p>
    <w:p>
      <w:pPr>
        <w:widowControl/>
        <w:spacing w:line="600" w:lineRule="exact"/>
        <w:ind w:firstLine="480"/>
        <w:rPr>
          <w:rFonts w:asciiTheme="minorEastAsia" w:hAnsiTheme="minorEastAsia" w:eastAsiaTheme="minorEastAsia" w:cstheme="minorEastAsia"/>
          <w:kern w:val="0"/>
        </w:rPr>
      </w:pPr>
    </w:p>
    <w:p>
      <w:pPr>
        <w:widowControl/>
        <w:spacing w:line="600" w:lineRule="exact"/>
        <w:ind w:firstLine="480"/>
        <w:rPr>
          <w:rFonts w:ascii="宋体" w:hAnsi="宋体" w:cs="宋体"/>
          <w:sz w:val="24"/>
        </w:rPr>
      </w:pPr>
      <w:r>
        <w:rPr>
          <w:rFonts w:hint="eastAsia" w:ascii="宋体" w:hAnsi="宋体" w:cs="宋体"/>
          <w:kern w:val="0"/>
          <w:sz w:val="24"/>
        </w:rPr>
        <w:t>致：</w:t>
      </w:r>
      <w:r>
        <w:rPr>
          <w:rFonts w:hint="eastAsia" w:ascii="宋体" w:hAnsi="宋体" w:cs="宋体"/>
          <w:sz w:val="24"/>
          <w:u w:val="single"/>
        </w:rPr>
        <w:t>台州市玖诚工程管理有限公司</w:t>
      </w:r>
    </w:p>
    <w:p>
      <w:pPr>
        <w:pStyle w:val="21"/>
        <w:spacing w:line="600" w:lineRule="exact"/>
        <w:ind w:firstLine="480"/>
        <w:rPr>
          <w:rFonts w:ascii="宋体" w:hAnsi="宋体" w:cs="宋体"/>
        </w:rPr>
      </w:pPr>
      <w:r>
        <w:rPr>
          <w:rFonts w:hint="eastAsia" w:ascii="宋体" w:hAnsi="宋体" w:cs="宋体"/>
        </w:rPr>
        <w:t>我公司参加</w:t>
      </w:r>
      <w:r>
        <w:rPr>
          <w:rFonts w:hint="eastAsia" w:ascii="宋体" w:hAnsi="宋体" w:cs="宋体"/>
          <w:u w:val="single"/>
          <w:lang w:eastAsia="zh-CN"/>
        </w:rPr>
        <w:t>台州市三梅中学网络及安全设备采购项目</w:t>
      </w:r>
      <w:r>
        <w:rPr>
          <w:rFonts w:hint="eastAsia" w:ascii="宋体" w:hAnsi="宋体" w:cs="宋体"/>
          <w:u w:val="single"/>
        </w:rPr>
        <w:t>（编号为</w:t>
      </w:r>
      <w:r>
        <w:rPr>
          <w:rFonts w:hint="eastAsia" w:ascii="宋体" w:hAnsi="宋体" w:cs="宋体"/>
          <w:u w:val="single"/>
          <w:lang w:eastAsia="zh-CN"/>
        </w:rPr>
        <w:t>JC-GK2024-004</w:t>
      </w:r>
      <w:r>
        <w:rPr>
          <w:rFonts w:hint="eastAsia" w:ascii="宋体" w:hAnsi="宋体" w:cs="宋体"/>
          <w:u w:val="single"/>
        </w:rPr>
        <w:t>号）</w:t>
      </w:r>
      <w:r>
        <w:rPr>
          <w:rFonts w:hint="eastAsia" w:ascii="宋体" w:hAnsi="宋体" w:cs="宋体"/>
        </w:rPr>
        <w:t>的投标活动，作如下承诺：</w:t>
      </w:r>
    </w:p>
    <w:p>
      <w:pPr>
        <w:pStyle w:val="21"/>
        <w:spacing w:line="600" w:lineRule="exact"/>
        <w:ind w:firstLine="480"/>
        <w:rPr>
          <w:rFonts w:ascii="宋体" w:hAnsi="宋体" w:cs="宋体"/>
        </w:rPr>
      </w:pPr>
      <w:r>
        <w:rPr>
          <w:rFonts w:hint="eastAsia" w:ascii="宋体" w:hAnsi="宋体" w:cs="宋体"/>
        </w:rPr>
        <w:t>我公司在参加本项目政府采购活动前，</w:t>
      </w:r>
      <w:r>
        <w:rPr>
          <w:rFonts w:hint="eastAsia" w:ascii="宋体" w:hAnsi="宋体" w:cs="宋体"/>
          <w:kern w:val="0"/>
        </w:rPr>
        <w:t>没有处于被责令停产、财产被接管、冻结或破产状态，具有足够的流动资金，有能力履行合同；我公司</w:t>
      </w:r>
      <w:r>
        <w:rPr>
          <w:rFonts w:hint="eastAsia" w:ascii="宋体" w:hAnsi="宋体" w:cs="宋体"/>
        </w:rPr>
        <w:t>具有良好的商业信誉和健全的财务会计制度。</w:t>
      </w:r>
    </w:p>
    <w:p>
      <w:pPr>
        <w:spacing w:line="600" w:lineRule="exact"/>
        <w:ind w:firstLine="480"/>
        <w:jc w:val="left"/>
        <w:rPr>
          <w:rFonts w:ascii="宋体" w:hAnsi="宋体" w:cs="宋体"/>
          <w:sz w:val="24"/>
        </w:rPr>
      </w:pPr>
      <w:r>
        <w:rPr>
          <w:rFonts w:hint="eastAsia" w:ascii="宋体" w:hAnsi="宋体" w:cs="宋体"/>
          <w:sz w:val="24"/>
        </w:rPr>
        <w:t>如违反以上承诺，本公司愿承担一切法律责任。</w:t>
      </w:r>
    </w:p>
    <w:p>
      <w:pPr>
        <w:ind w:firstLine="480"/>
        <w:rPr>
          <w:rFonts w:asciiTheme="minorEastAsia" w:hAnsiTheme="minorEastAsia" w:eastAsiaTheme="minorEastAsia" w:cstheme="minorEastAsia"/>
          <w:lang w:val="zh-CN"/>
        </w:rPr>
      </w:pPr>
    </w:p>
    <w:p>
      <w:pPr>
        <w:pStyle w:val="21"/>
        <w:ind w:firstLine="480"/>
        <w:rPr>
          <w:rFonts w:asciiTheme="minorEastAsia" w:hAnsiTheme="minorEastAsia" w:eastAsiaTheme="minorEastAsia" w:cstheme="minorEastAsia"/>
          <w:lang w:val="zh-CN"/>
        </w:rPr>
      </w:pPr>
    </w:p>
    <w:p>
      <w:pPr>
        <w:pStyle w:val="21"/>
        <w:ind w:firstLine="480"/>
        <w:rPr>
          <w:rFonts w:asciiTheme="minorEastAsia" w:hAnsiTheme="minorEastAsia" w:eastAsiaTheme="minorEastAsia" w:cstheme="minorEastAsia"/>
          <w:lang w:val="zh-CN"/>
        </w:rPr>
      </w:pPr>
    </w:p>
    <w:p>
      <w:pPr>
        <w:pStyle w:val="21"/>
        <w:ind w:firstLine="480"/>
        <w:rPr>
          <w:rFonts w:asciiTheme="minorEastAsia" w:hAnsiTheme="minorEastAsia" w:eastAsiaTheme="minorEastAsia" w:cstheme="minorEastAsia"/>
          <w:sz w:val="28"/>
          <w:szCs w:val="28"/>
          <w:lang w:val="zh-CN"/>
        </w:rPr>
      </w:pPr>
    </w:p>
    <w:p>
      <w:pPr>
        <w:widowControl/>
        <w:wordWrap w:val="0"/>
        <w:ind w:firstLine="480"/>
        <w:jc w:val="right"/>
        <w:rPr>
          <w:rFonts w:asciiTheme="minorEastAsia" w:hAnsiTheme="minorEastAsia" w:eastAsiaTheme="minorEastAsia" w:cstheme="minorEastAsia"/>
          <w:kern w:val="0"/>
          <w:sz w:val="24"/>
          <w:szCs w:val="32"/>
        </w:rPr>
      </w:pPr>
      <w:r>
        <w:rPr>
          <w:rFonts w:hint="eastAsia" w:asciiTheme="minorEastAsia" w:hAnsiTheme="minorEastAsia" w:eastAsiaTheme="minorEastAsia" w:cstheme="minorEastAsia"/>
          <w:sz w:val="24"/>
          <w:szCs w:val="32"/>
        </w:rPr>
        <w:t>投标人名称</w:t>
      </w:r>
      <w:r>
        <w:rPr>
          <w:rFonts w:hint="eastAsia" w:asciiTheme="minorEastAsia" w:hAnsiTheme="minorEastAsia" w:eastAsiaTheme="minorEastAsia" w:cstheme="minorEastAsia"/>
          <w:kern w:val="0"/>
          <w:sz w:val="24"/>
          <w:szCs w:val="32"/>
        </w:rPr>
        <w:t>(</w:t>
      </w:r>
      <w:r>
        <w:rPr>
          <w:rFonts w:hint="eastAsia" w:asciiTheme="minorEastAsia" w:hAnsiTheme="minorEastAsia" w:eastAsiaTheme="minorEastAsia" w:cstheme="minorEastAsia"/>
          <w:sz w:val="24"/>
          <w:szCs w:val="32"/>
        </w:rPr>
        <w:t xml:space="preserve">公章或CA签章)： </w:t>
      </w:r>
      <w:r>
        <w:rPr>
          <w:rFonts w:hint="eastAsia" w:asciiTheme="minorEastAsia" w:hAnsiTheme="minorEastAsia" w:eastAsiaTheme="minorEastAsia" w:cstheme="minorEastAsia"/>
          <w:kern w:val="0"/>
          <w:sz w:val="24"/>
          <w:szCs w:val="32"/>
        </w:rPr>
        <w:t xml:space="preserve">            </w:t>
      </w:r>
    </w:p>
    <w:p>
      <w:pPr>
        <w:widowControl/>
        <w:ind w:firstLine="480"/>
        <w:jc w:val="left"/>
        <w:rPr>
          <w:rFonts w:asciiTheme="minorEastAsia" w:hAnsiTheme="minorEastAsia" w:eastAsiaTheme="minorEastAsia" w:cstheme="minorEastAsia"/>
          <w:kern w:val="0"/>
          <w:sz w:val="28"/>
          <w:szCs w:val="36"/>
        </w:rPr>
      </w:pPr>
    </w:p>
    <w:p>
      <w:pPr>
        <w:widowControl/>
        <w:ind w:firstLine="480"/>
        <w:jc w:val="right"/>
        <w:rPr>
          <w:rFonts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法定代表人(签字或盖章)或授权委托代理人(签字)：</w:t>
      </w:r>
    </w:p>
    <w:p>
      <w:pPr>
        <w:widowControl/>
        <w:ind w:firstLine="480"/>
        <w:jc w:val="left"/>
        <w:rPr>
          <w:rFonts w:asciiTheme="minorEastAsia" w:hAnsiTheme="minorEastAsia" w:eastAsiaTheme="minorEastAsia" w:cstheme="minorEastAsia"/>
          <w:kern w:val="0"/>
          <w:sz w:val="24"/>
          <w:szCs w:val="32"/>
        </w:rPr>
      </w:pPr>
    </w:p>
    <w:p>
      <w:pPr>
        <w:ind w:firstLine="480"/>
        <w:jc w:val="right"/>
        <w:rPr>
          <w:rFonts w:asciiTheme="minorEastAsia" w:hAnsiTheme="minorEastAsia" w:eastAsiaTheme="minorEastAsia" w:cstheme="minorEastAsia"/>
          <w:sz w:val="22"/>
          <w:szCs w:val="28"/>
        </w:rPr>
      </w:pPr>
      <w:r>
        <w:rPr>
          <w:rFonts w:hint="eastAsia" w:asciiTheme="minorEastAsia" w:hAnsiTheme="minorEastAsia" w:eastAsiaTheme="minorEastAsia" w:cstheme="minorEastAsia"/>
          <w:kern w:val="0"/>
          <w:sz w:val="24"/>
          <w:szCs w:val="32"/>
        </w:rPr>
        <w:t>日期：</w:t>
      </w:r>
      <w:r>
        <w:rPr>
          <w:rFonts w:hint="eastAsia" w:asciiTheme="minorEastAsia" w:hAnsiTheme="minorEastAsia" w:eastAsiaTheme="minorEastAsia" w:cstheme="minorEastAsia"/>
          <w:sz w:val="24"/>
          <w:szCs w:val="32"/>
          <w:u w:val="single"/>
        </w:rPr>
        <w:t xml:space="preserve">     </w:t>
      </w:r>
      <w:r>
        <w:rPr>
          <w:rFonts w:hint="eastAsia" w:asciiTheme="minorEastAsia" w:hAnsiTheme="minorEastAsia" w:eastAsiaTheme="minorEastAsia" w:cstheme="minorEastAsia"/>
          <w:kern w:val="0"/>
          <w:sz w:val="24"/>
          <w:szCs w:val="32"/>
          <w:lang w:val="zh-CN"/>
        </w:rPr>
        <w:t>年</w:t>
      </w:r>
      <w:r>
        <w:rPr>
          <w:rFonts w:hint="eastAsia" w:asciiTheme="minorEastAsia" w:hAnsiTheme="minorEastAsia" w:eastAsiaTheme="minorEastAsia" w:cstheme="minorEastAsia"/>
          <w:sz w:val="24"/>
          <w:szCs w:val="32"/>
          <w:u w:val="single"/>
        </w:rPr>
        <w:t xml:space="preserve">     </w:t>
      </w:r>
      <w:r>
        <w:rPr>
          <w:rFonts w:hint="eastAsia" w:asciiTheme="minorEastAsia" w:hAnsiTheme="minorEastAsia" w:eastAsiaTheme="minorEastAsia" w:cstheme="minorEastAsia"/>
          <w:kern w:val="0"/>
          <w:sz w:val="24"/>
          <w:szCs w:val="32"/>
          <w:lang w:val="zh-CN"/>
        </w:rPr>
        <w:t>月</w:t>
      </w:r>
      <w:r>
        <w:rPr>
          <w:rFonts w:hint="eastAsia" w:asciiTheme="minorEastAsia" w:hAnsiTheme="minorEastAsia" w:eastAsiaTheme="minorEastAsia" w:cstheme="minorEastAsia"/>
          <w:sz w:val="24"/>
          <w:szCs w:val="32"/>
          <w:u w:val="single"/>
        </w:rPr>
        <w:t xml:space="preserve">     </w:t>
      </w:r>
      <w:r>
        <w:rPr>
          <w:rFonts w:hint="eastAsia" w:asciiTheme="minorEastAsia" w:hAnsiTheme="minorEastAsia" w:eastAsiaTheme="minorEastAsia" w:cstheme="minorEastAsia"/>
          <w:kern w:val="0"/>
          <w:sz w:val="24"/>
          <w:szCs w:val="32"/>
          <w:lang w:val="zh-CN"/>
        </w:rPr>
        <w:t>日</w:t>
      </w:r>
    </w:p>
    <w:p>
      <w:pPr>
        <w:ind w:firstLine="562"/>
        <w:rPr>
          <w:b/>
          <w:bCs/>
          <w:sz w:val="32"/>
          <w:szCs w:val="32"/>
        </w:rPr>
      </w:pPr>
    </w:p>
    <w:p>
      <w:pPr>
        <w:ind w:firstLine="562"/>
        <w:rPr>
          <w:b/>
          <w:bCs/>
          <w:sz w:val="28"/>
          <w:szCs w:val="28"/>
        </w:rPr>
      </w:pPr>
    </w:p>
    <w:p>
      <w:pPr>
        <w:ind w:firstLine="562"/>
        <w:rPr>
          <w:b/>
          <w:bCs/>
          <w:sz w:val="28"/>
          <w:szCs w:val="28"/>
        </w:rPr>
      </w:pPr>
    </w:p>
    <w:p>
      <w:pPr>
        <w:ind w:firstLine="562"/>
        <w:rPr>
          <w:b/>
          <w:bCs/>
          <w:sz w:val="28"/>
          <w:szCs w:val="28"/>
        </w:rPr>
      </w:pPr>
    </w:p>
    <w:p>
      <w:pPr>
        <w:ind w:firstLine="562"/>
        <w:rPr>
          <w:b/>
          <w:bCs/>
          <w:sz w:val="28"/>
          <w:szCs w:val="28"/>
        </w:rPr>
      </w:pPr>
    </w:p>
    <w:p>
      <w:pPr>
        <w:ind w:firstLine="562"/>
        <w:rPr>
          <w:b/>
          <w:bCs/>
          <w:sz w:val="28"/>
          <w:szCs w:val="28"/>
        </w:rPr>
      </w:pPr>
    </w:p>
    <w:p>
      <w:pPr>
        <w:spacing w:line="360" w:lineRule="auto"/>
        <w:ind w:right="-110"/>
        <w:rPr>
          <w:rFonts w:ascii="宋体" w:hAnsi="宋体"/>
          <w:b/>
          <w:sz w:val="32"/>
          <w:szCs w:val="32"/>
        </w:rPr>
      </w:pPr>
      <w:r>
        <w:rPr>
          <w:rFonts w:hint="eastAsia" w:ascii="宋体" w:hAnsi="宋体"/>
          <w:b/>
          <w:sz w:val="32"/>
          <w:szCs w:val="32"/>
        </w:rPr>
        <w:t>附件5：</w:t>
      </w:r>
    </w:p>
    <w:p>
      <w:pPr>
        <w:spacing w:after="319" w:afterLines="100" w:line="480" w:lineRule="auto"/>
        <w:ind w:firstLine="482"/>
        <w:jc w:val="center"/>
        <w:rPr>
          <w:rFonts w:asciiTheme="minorEastAsia" w:hAnsiTheme="minorEastAsia" w:eastAsiaTheme="minorEastAsia" w:cstheme="minorEastAsia"/>
          <w:sz w:val="28"/>
          <w:szCs w:val="36"/>
        </w:rPr>
      </w:pPr>
      <w:r>
        <w:rPr>
          <w:rFonts w:hint="eastAsia" w:asciiTheme="minorEastAsia" w:hAnsiTheme="minorEastAsia" w:eastAsiaTheme="minorEastAsia" w:cstheme="minorEastAsia"/>
          <w:b/>
          <w:bCs/>
          <w:kern w:val="0"/>
          <w:sz w:val="28"/>
          <w:szCs w:val="36"/>
          <w:lang w:val="zh-CN"/>
        </w:rPr>
        <w:t>无税收缴纳、社会保障等方面的失信记录的承诺函</w:t>
      </w:r>
    </w:p>
    <w:p>
      <w:pPr>
        <w:widowControl/>
        <w:spacing w:line="600" w:lineRule="exact"/>
        <w:ind w:firstLine="480"/>
        <w:rPr>
          <w:rFonts w:ascii="宋体" w:hAnsi="宋体" w:cs="宋体"/>
          <w:kern w:val="0"/>
        </w:rPr>
      </w:pPr>
    </w:p>
    <w:p>
      <w:pPr>
        <w:widowControl/>
        <w:spacing w:line="480" w:lineRule="auto"/>
        <w:ind w:firstLine="480"/>
        <w:rPr>
          <w:rFonts w:ascii="宋体" w:hAnsi="宋体" w:cs="宋体"/>
          <w:sz w:val="24"/>
        </w:rPr>
      </w:pPr>
      <w:r>
        <w:rPr>
          <w:rFonts w:hint="eastAsia" w:ascii="宋体" w:hAnsi="宋体" w:cs="宋体"/>
          <w:kern w:val="0"/>
          <w:sz w:val="24"/>
        </w:rPr>
        <w:t>致：</w:t>
      </w:r>
      <w:r>
        <w:rPr>
          <w:rFonts w:hint="eastAsia" w:ascii="宋体" w:hAnsi="宋体" w:cs="宋体"/>
          <w:sz w:val="24"/>
          <w:u w:val="single"/>
        </w:rPr>
        <w:t>台州市玖诚工程管理有限公司</w:t>
      </w:r>
    </w:p>
    <w:p>
      <w:pPr>
        <w:pStyle w:val="21"/>
        <w:spacing w:line="480" w:lineRule="auto"/>
        <w:ind w:firstLine="480"/>
        <w:rPr>
          <w:rFonts w:ascii="宋体" w:hAnsi="宋体" w:cs="宋体"/>
        </w:rPr>
      </w:pPr>
      <w:r>
        <w:rPr>
          <w:rFonts w:hint="eastAsia" w:ascii="宋体" w:hAnsi="宋体" w:cs="宋体"/>
        </w:rPr>
        <w:t>我公司参加</w:t>
      </w:r>
      <w:r>
        <w:rPr>
          <w:rFonts w:hint="eastAsia" w:ascii="宋体" w:hAnsi="宋体" w:cs="宋体"/>
          <w:u w:val="single"/>
          <w:lang w:eastAsia="zh-CN"/>
        </w:rPr>
        <w:t>台州市三梅中学网络及安全设备采购项目</w:t>
      </w:r>
      <w:r>
        <w:rPr>
          <w:rFonts w:hint="eastAsia" w:ascii="宋体" w:hAnsi="宋体" w:cs="宋体"/>
          <w:u w:val="single"/>
        </w:rPr>
        <w:t>（编号为</w:t>
      </w:r>
      <w:r>
        <w:rPr>
          <w:rFonts w:hint="eastAsia" w:ascii="宋体" w:hAnsi="宋体" w:cs="宋体"/>
          <w:u w:val="single"/>
          <w:lang w:eastAsia="zh-CN"/>
        </w:rPr>
        <w:t>JC-GK2024-004</w:t>
      </w:r>
      <w:r>
        <w:rPr>
          <w:rFonts w:hint="eastAsia" w:ascii="宋体" w:hAnsi="宋体" w:cs="宋体"/>
          <w:u w:val="single"/>
        </w:rPr>
        <w:t>号）</w:t>
      </w:r>
      <w:r>
        <w:rPr>
          <w:rFonts w:hint="eastAsia" w:ascii="宋体" w:hAnsi="宋体" w:cs="宋体"/>
        </w:rPr>
        <w:t>的投标活动，作如下承诺：</w:t>
      </w:r>
    </w:p>
    <w:p>
      <w:pPr>
        <w:pStyle w:val="21"/>
        <w:spacing w:line="480" w:lineRule="auto"/>
        <w:ind w:firstLine="480"/>
        <w:rPr>
          <w:rFonts w:ascii="宋体" w:hAnsi="宋体" w:cs="宋体"/>
        </w:rPr>
      </w:pPr>
      <w:r>
        <w:rPr>
          <w:rFonts w:hint="eastAsia" w:ascii="宋体" w:hAnsi="宋体" w:cs="宋体"/>
        </w:rPr>
        <w:t>我公司在参加本项目政府采购活动前，符合参与政府采购活动的资格条件，有依法缴纳税收（享受免税政策的则无欠税）和社会保障资金的良好记录，不存在税收缴纳、社会保障等方面的失信记录。</w:t>
      </w:r>
    </w:p>
    <w:p>
      <w:pPr>
        <w:spacing w:line="480" w:lineRule="auto"/>
        <w:ind w:firstLine="48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如违反以上承诺，本公司愿承担一切法律责任。</w:t>
      </w:r>
    </w:p>
    <w:p>
      <w:pPr>
        <w:ind w:firstLine="480"/>
        <w:rPr>
          <w:rFonts w:asciiTheme="minorEastAsia" w:hAnsiTheme="minorEastAsia" w:eastAsiaTheme="minorEastAsia" w:cstheme="minorEastAsia"/>
          <w:sz w:val="24"/>
          <w:lang w:val="zh-CN"/>
        </w:rPr>
      </w:pPr>
    </w:p>
    <w:p>
      <w:pPr>
        <w:pStyle w:val="21"/>
        <w:ind w:firstLine="480"/>
        <w:rPr>
          <w:rFonts w:asciiTheme="minorEastAsia" w:hAnsiTheme="minorEastAsia" w:eastAsiaTheme="minorEastAsia" w:cstheme="minorEastAsia"/>
          <w:lang w:val="zh-CN"/>
        </w:rPr>
      </w:pPr>
    </w:p>
    <w:p>
      <w:pPr>
        <w:pStyle w:val="21"/>
        <w:ind w:firstLine="480"/>
        <w:rPr>
          <w:rFonts w:asciiTheme="minorEastAsia" w:hAnsiTheme="minorEastAsia" w:eastAsiaTheme="minorEastAsia" w:cstheme="minorEastAsia"/>
          <w:lang w:val="zh-CN"/>
        </w:rPr>
      </w:pPr>
    </w:p>
    <w:p>
      <w:pPr>
        <w:widowControl/>
        <w:wordWrap w:val="0"/>
        <w:ind w:firstLine="480"/>
        <w:jc w:val="right"/>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 xml:space="preserve">投标人名称(公章或CA签章)： </w:t>
      </w:r>
      <w:r>
        <w:rPr>
          <w:rFonts w:hint="eastAsia" w:asciiTheme="minorEastAsia" w:hAnsiTheme="minorEastAsia" w:eastAsiaTheme="minorEastAsia" w:cstheme="minorEastAsia"/>
          <w:kern w:val="0"/>
          <w:sz w:val="24"/>
        </w:rPr>
        <w:t xml:space="preserve">            </w:t>
      </w:r>
    </w:p>
    <w:p>
      <w:pPr>
        <w:widowControl/>
        <w:ind w:firstLine="480"/>
        <w:jc w:val="left"/>
        <w:rPr>
          <w:rFonts w:asciiTheme="minorEastAsia" w:hAnsiTheme="minorEastAsia" w:eastAsiaTheme="minorEastAsia" w:cstheme="minorEastAsia"/>
          <w:kern w:val="0"/>
          <w:sz w:val="24"/>
        </w:rPr>
      </w:pPr>
    </w:p>
    <w:p>
      <w:pPr>
        <w:widowControl/>
        <w:ind w:firstLine="480"/>
        <w:jc w:val="righ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法定代表人(签字或盖章)或授权委托代理人(签字)：</w:t>
      </w:r>
    </w:p>
    <w:p>
      <w:pPr>
        <w:widowControl/>
        <w:ind w:firstLine="480"/>
        <w:jc w:val="left"/>
        <w:rPr>
          <w:rFonts w:asciiTheme="minorEastAsia" w:hAnsiTheme="minorEastAsia" w:eastAsiaTheme="minorEastAsia" w:cstheme="minorEastAsia"/>
          <w:kern w:val="0"/>
          <w:sz w:val="24"/>
        </w:rPr>
      </w:pPr>
    </w:p>
    <w:p>
      <w:pPr>
        <w:ind w:firstLine="48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日期：</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kern w:val="0"/>
          <w:sz w:val="24"/>
          <w:lang w:val="zh-CN"/>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kern w:val="0"/>
          <w:sz w:val="24"/>
          <w:lang w:val="zh-CN"/>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kern w:val="0"/>
          <w:sz w:val="24"/>
          <w:lang w:val="zh-CN"/>
        </w:rPr>
        <w:t>日</w:t>
      </w:r>
    </w:p>
    <w:p>
      <w:pPr>
        <w:ind w:firstLine="562"/>
        <w:rPr>
          <w:b/>
          <w:bCs/>
          <w:sz w:val="28"/>
          <w:szCs w:val="28"/>
        </w:rPr>
      </w:pPr>
    </w:p>
    <w:p>
      <w:pPr>
        <w:ind w:firstLine="562"/>
        <w:rPr>
          <w:b/>
          <w:bCs/>
          <w:sz w:val="28"/>
          <w:szCs w:val="28"/>
        </w:rPr>
      </w:pPr>
    </w:p>
    <w:p>
      <w:pPr>
        <w:ind w:firstLine="562"/>
        <w:rPr>
          <w:b/>
          <w:bCs/>
          <w:sz w:val="28"/>
          <w:szCs w:val="28"/>
        </w:rPr>
      </w:pPr>
    </w:p>
    <w:p>
      <w:pPr>
        <w:ind w:firstLine="562"/>
        <w:rPr>
          <w:b/>
          <w:bCs/>
          <w:sz w:val="28"/>
          <w:szCs w:val="28"/>
        </w:rPr>
      </w:pPr>
    </w:p>
    <w:p>
      <w:pPr>
        <w:ind w:firstLine="562"/>
        <w:rPr>
          <w:b/>
          <w:bCs/>
          <w:sz w:val="28"/>
          <w:szCs w:val="28"/>
        </w:rPr>
      </w:pPr>
    </w:p>
    <w:p>
      <w:pPr>
        <w:ind w:firstLine="562"/>
        <w:rPr>
          <w:b/>
          <w:bCs/>
          <w:sz w:val="28"/>
          <w:szCs w:val="28"/>
        </w:rPr>
      </w:pPr>
    </w:p>
    <w:p>
      <w:pPr>
        <w:spacing w:line="360" w:lineRule="auto"/>
        <w:ind w:right="-110"/>
        <w:rPr>
          <w:rFonts w:ascii="宋体" w:hAnsi="宋体"/>
          <w:b/>
          <w:sz w:val="32"/>
          <w:szCs w:val="32"/>
        </w:rPr>
      </w:pPr>
    </w:p>
    <w:p>
      <w:pPr>
        <w:spacing w:line="360" w:lineRule="auto"/>
        <w:ind w:right="-110"/>
        <w:rPr>
          <w:rFonts w:ascii="宋体" w:hAnsi="宋体"/>
          <w:b/>
          <w:sz w:val="32"/>
          <w:szCs w:val="32"/>
        </w:rPr>
      </w:pPr>
      <w:r>
        <w:rPr>
          <w:rFonts w:hint="eastAsia" w:ascii="宋体" w:hAnsi="宋体"/>
          <w:b/>
          <w:sz w:val="32"/>
          <w:szCs w:val="32"/>
        </w:rPr>
        <w:t>附件6：</w:t>
      </w:r>
    </w:p>
    <w:p>
      <w:pPr>
        <w:widowControl/>
        <w:spacing w:line="360" w:lineRule="auto"/>
        <w:ind w:firstLine="458"/>
        <w:jc w:val="center"/>
        <w:outlineLvl w:val="2"/>
        <w:rPr>
          <w:rFonts w:asciiTheme="minorEastAsia" w:hAnsiTheme="minorEastAsia" w:eastAsiaTheme="minorEastAsia" w:cstheme="minorEastAsia"/>
          <w:b/>
          <w:spacing w:val="-6"/>
          <w:sz w:val="24"/>
          <w:szCs w:val="32"/>
        </w:rPr>
      </w:pPr>
      <w:r>
        <w:rPr>
          <w:rFonts w:hint="eastAsia" w:asciiTheme="minorEastAsia" w:hAnsiTheme="minorEastAsia" w:eastAsiaTheme="minorEastAsia" w:cstheme="minorEastAsia"/>
          <w:b/>
          <w:spacing w:val="-6"/>
          <w:sz w:val="24"/>
          <w:szCs w:val="32"/>
        </w:rPr>
        <w:t>参加政府采购活动前3年内在经营活动中没有重大违法记录的书面声明</w:t>
      </w:r>
    </w:p>
    <w:p>
      <w:pPr>
        <w:pStyle w:val="36"/>
        <w:spacing w:line="360" w:lineRule="auto"/>
        <w:ind w:left="199" w:hanging="199" w:hangingChars="74"/>
        <w:jc w:val="center"/>
        <w:rPr>
          <w:rFonts w:asciiTheme="minorEastAsia" w:hAnsiTheme="minorEastAsia" w:eastAsiaTheme="minorEastAsia" w:cstheme="minorEastAsia"/>
          <w:b/>
          <w:spacing w:val="-6"/>
          <w:sz w:val="28"/>
          <w:szCs w:val="36"/>
        </w:rPr>
      </w:pPr>
      <w:r>
        <w:rPr>
          <w:rFonts w:hint="eastAsia" w:asciiTheme="minorEastAsia" w:hAnsiTheme="minorEastAsia" w:eastAsiaTheme="minorEastAsia" w:cstheme="minorEastAsia"/>
          <w:b/>
          <w:spacing w:val="-6"/>
          <w:sz w:val="28"/>
          <w:szCs w:val="36"/>
        </w:rPr>
        <w:t>声明函</w:t>
      </w:r>
    </w:p>
    <w:p>
      <w:pPr>
        <w:spacing w:line="480" w:lineRule="auto"/>
        <w:ind w:firstLine="456"/>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致：</w:t>
      </w:r>
      <w:r>
        <w:rPr>
          <w:rFonts w:hint="eastAsia" w:asciiTheme="minorEastAsia" w:hAnsiTheme="minorEastAsia" w:eastAsiaTheme="minorEastAsia" w:cstheme="minorEastAsia"/>
          <w:spacing w:val="-6"/>
          <w:sz w:val="24"/>
          <w:u w:val="single"/>
        </w:rPr>
        <w:t>台州市玖诚工程管理有限公司</w:t>
      </w:r>
    </w:p>
    <w:p>
      <w:pPr>
        <w:spacing w:line="480" w:lineRule="auto"/>
        <w:ind w:firstLine="456"/>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我公司郑重承诺在参加本项目政府采购活动前三年内，在经营活动中</w:t>
      </w:r>
      <w:r>
        <w:rPr>
          <w:rFonts w:hint="eastAsia" w:asciiTheme="minorEastAsia" w:hAnsiTheme="minorEastAsia" w:eastAsiaTheme="minorEastAsia" w:cstheme="minorEastAsia"/>
          <w:b/>
          <w:spacing w:val="-6"/>
          <w:sz w:val="24"/>
          <w:u w:val="single"/>
        </w:rPr>
        <w:t xml:space="preserve">     </w:t>
      </w:r>
      <w:r>
        <w:rPr>
          <w:rFonts w:hint="eastAsia" w:asciiTheme="minorEastAsia" w:hAnsiTheme="minorEastAsia" w:eastAsiaTheme="minorEastAsia" w:cstheme="minorEastAsia"/>
          <w:b/>
          <w:spacing w:val="-6"/>
          <w:sz w:val="24"/>
        </w:rPr>
        <w:t>（填写“有”或“没有”，如实填写，如不填写视同未提供本声明函）</w:t>
      </w:r>
      <w:r>
        <w:rPr>
          <w:rFonts w:hint="eastAsia" w:asciiTheme="minorEastAsia" w:hAnsiTheme="minorEastAsia" w:eastAsiaTheme="minorEastAsia" w:cstheme="minorEastAsia"/>
          <w:spacing w:val="-6"/>
          <w:sz w:val="24"/>
        </w:rPr>
        <w:t>重大违法记录，重大违法记录是指供应商因违法经营受到刑事处罚或者责令停产停业、吊销许可证或者执照、较大数额罚款等行政处罚。</w:t>
      </w:r>
    </w:p>
    <w:p>
      <w:pPr>
        <w:spacing w:line="480" w:lineRule="auto"/>
        <w:ind w:firstLine="456"/>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以上事项如有虚假或隐瞒，我方愿意承担一切后果和责任。</w:t>
      </w:r>
    </w:p>
    <w:p>
      <w:pPr>
        <w:spacing w:line="480" w:lineRule="auto"/>
        <w:ind w:firstLine="456"/>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特此声明。</w:t>
      </w:r>
    </w:p>
    <w:p>
      <w:pPr>
        <w:spacing w:line="480" w:lineRule="auto"/>
        <w:ind w:firstLine="456"/>
        <w:rPr>
          <w:rFonts w:asciiTheme="minorEastAsia" w:hAnsiTheme="minorEastAsia" w:eastAsiaTheme="minorEastAsia" w:cstheme="minorEastAsia"/>
          <w:spacing w:val="-6"/>
          <w:sz w:val="24"/>
        </w:rPr>
      </w:pPr>
    </w:p>
    <w:p>
      <w:pPr>
        <w:pStyle w:val="2"/>
        <w:spacing w:line="480" w:lineRule="auto"/>
        <w:rPr>
          <w:rFonts w:asciiTheme="minorEastAsia" w:hAnsiTheme="minorEastAsia" w:eastAsiaTheme="minorEastAsia" w:cstheme="minorEastAsia"/>
          <w:color w:val="auto"/>
          <w:spacing w:val="-6"/>
        </w:rPr>
      </w:pPr>
    </w:p>
    <w:p>
      <w:pPr>
        <w:pStyle w:val="427"/>
        <w:spacing w:line="480" w:lineRule="auto"/>
        <w:ind w:left="0"/>
        <w:rPr>
          <w:rFonts w:asciiTheme="minorEastAsia" w:hAnsiTheme="minorEastAsia" w:eastAsiaTheme="minorEastAsia" w:cstheme="minorEastAsia"/>
          <w:sz w:val="24"/>
          <w:szCs w:val="24"/>
        </w:rPr>
      </w:pPr>
    </w:p>
    <w:p>
      <w:pPr>
        <w:spacing w:line="480" w:lineRule="auto"/>
        <w:ind w:firstLine="456"/>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供应商名称（</w:t>
      </w:r>
      <w:r>
        <w:rPr>
          <w:rFonts w:hint="eastAsia" w:ascii="宋体" w:hAnsi="宋体" w:cs="宋体"/>
          <w:sz w:val="24"/>
        </w:rPr>
        <w:t>公章或CA签章</w:t>
      </w:r>
      <w:r>
        <w:rPr>
          <w:rFonts w:hint="eastAsia" w:asciiTheme="minorEastAsia" w:hAnsiTheme="minorEastAsia" w:eastAsiaTheme="minorEastAsia" w:cstheme="minorEastAsia"/>
          <w:spacing w:val="-6"/>
          <w:sz w:val="24"/>
        </w:rPr>
        <w:t>）：</w:t>
      </w:r>
    </w:p>
    <w:p>
      <w:pPr>
        <w:spacing w:line="480" w:lineRule="auto"/>
        <w:ind w:firstLine="480"/>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kern w:val="0"/>
          <w:sz w:val="24"/>
        </w:rPr>
        <w:t>法定代表人(签字或盖章)或授权委托代理人(签字)</w:t>
      </w:r>
      <w:r>
        <w:rPr>
          <w:rFonts w:hint="eastAsia" w:asciiTheme="minorEastAsia" w:hAnsiTheme="minorEastAsia" w:eastAsiaTheme="minorEastAsia" w:cstheme="minorEastAsia"/>
          <w:spacing w:val="-6"/>
          <w:sz w:val="24"/>
        </w:rPr>
        <w:t>：</w:t>
      </w:r>
    </w:p>
    <w:p>
      <w:pPr>
        <w:widowControl/>
        <w:tabs>
          <w:tab w:val="left" w:pos="3225"/>
        </w:tabs>
        <w:spacing w:line="480" w:lineRule="auto"/>
        <w:ind w:firstLine="456"/>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日期：     年   月   日</w:t>
      </w:r>
    </w:p>
    <w:p>
      <w:pPr>
        <w:snapToGrid w:val="0"/>
        <w:spacing w:before="159" w:beforeLines="50" w:after="50" w:line="360" w:lineRule="auto"/>
        <w:rPr>
          <w:rFonts w:ascii="宋体" w:hAnsi="宋体" w:cs="宋体"/>
          <w:b/>
          <w:sz w:val="28"/>
        </w:rPr>
      </w:pPr>
    </w:p>
    <w:p>
      <w:pPr>
        <w:snapToGrid w:val="0"/>
        <w:spacing w:before="159" w:beforeLines="50" w:after="50" w:line="360" w:lineRule="auto"/>
        <w:rPr>
          <w:rFonts w:ascii="宋体" w:hAnsi="宋体" w:cs="宋体"/>
          <w:b/>
          <w:sz w:val="28"/>
        </w:rPr>
      </w:pPr>
    </w:p>
    <w:p>
      <w:pPr>
        <w:snapToGrid w:val="0"/>
        <w:spacing w:before="159" w:beforeLines="50" w:after="50" w:line="360" w:lineRule="auto"/>
        <w:rPr>
          <w:rFonts w:ascii="宋体" w:hAnsi="宋体" w:cs="宋体"/>
          <w:b/>
          <w:sz w:val="28"/>
        </w:rPr>
        <w:sectPr>
          <w:footerReference r:id="rId4" w:type="default"/>
          <w:pgSz w:w="11906" w:h="16838"/>
          <w:pgMar w:top="1440" w:right="1800" w:bottom="1440" w:left="1800" w:header="851" w:footer="992" w:gutter="0"/>
          <w:cols w:space="0" w:num="1"/>
          <w:docGrid w:type="lines" w:linePitch="319" w:charSpace="0"/>
        </w:sectPr>
      </w:pPr>
    </w:p>
    <w:p>
      <w:pPr>
        <w:spacing w:line="360" w:lineRule="auto"/>
        <w:ind w:right="-110"/>
        <w:rPr>
          <w:rFonts w:ascii="宋体" w:hAnsi="宋体"/>
          <w:b/>
          <w:sz w:val="32"/>
          <w:szCs w:val="32"/>
        </w:rPr>
      </w:pPr>
      <w:r>
        <w:rPr>
          <w:rFonts w:hint="eastAsia" w:ascii="宋体" w:hAnsi="宋体"/>
          <w:b/>
          <w:sz w:val="32"/>
          <w:szCs w:val="32"/>
        </w:rPr>
        <w:t>附件7：</w:t>
      </w:r>
    </w:p>
    <w:p>
      <w:pPr>
        <w:spacing w:line="360" w:lineRule="auto"/>
        <w:ind w:firstLine="482"/>
        <w:jc w:val="center"/>
        <w:rPr>
          <w:rFonts w:asciiTheme="minorEastAsia" w:hAnsiTheme="minorEastAsia" w:eastAsiaTheme="minorEastAsia" w:cstheme="minorEastAsia"/>
          <w:b/>
          <w:bCs/>
          <w:kern w:val="0"/>
          <w:sz w:val="28"/>
          <w:szCs w:val="36"/>
          <w:lang w:val="zh-CN"/>
        </w:rPr>
      </w:pPr>
      <w:r>
        <w:rPr>
          <w:rFonts w:hint="eastAsia" w:asciiTheme="minorEastAsia" w:hAnsiTheme="minorEastAsia" w:eastAsiaTheme="minorEastAsia" w:cstheme="minorEastAsia"/>
          <w:b/>
          <w:bCs/>
          <w:kern w:val="0"/>
          <w:sz w:val="28"/>
          <w:szCs w:val="36"/>
          <w:lang w:val="zh-CN"/>
        </w:rPr>
        <w:t>政府采购活动现场确认声明书</w:t>
      </w:r>
    </w:p>
    <w:p>
      <w:pPr>
        <w:pStyle w:val="430"/>
        <w:tabs>
          <w:tab w:val="left" w:pos="8231"/>
        </w:tabs>
        <w:snapToGrid w:val="0"/>
        <w:spacing w:line="360" w:lineRule="auto"/>
        <w:rPr>
          <w:rFonts w:hAnsi="宋体" w:eastAsia="宋体" w:cs="宋体"/>
          <w:b/>
          <w:sz w:val="24"/>
          <w:szCs w:val="24"/>
        </w:rPr>
      </w:pPr>
      <w:r>
        <w:rPr>
          <w:rFonts w:hint="eastAsia" w:hAnsi="宋体" w:eastAsia="宋体" w:cs="宋体"/>
          <w:kern w:val="0"/>
          <w:sz w:val="24"/>
          <w:szCs w:val="24"/>
          <w:u w:val="single"/>
        </w:rPr>
        <w:t>台州市玖诚工程管理有限公司</w:t>
      </w:r>
      <w:r>
        <w:rPr>
          <w:rFonts w:hint="eastAsia" w:hAnsi="宋体" w:eastAsia="宋体" w:cs="宋体"/>
          <w:kern w:val="0"/>
          <w:sz w:val="24"/>
          <w:szCs w:val="24"/>
        </w:rPr>
        <w:t>（采购组织机构名称）：</w:t>
      </w:r>
      <w:r>
        <w:rPr>
          <w:rFonts w:hint="eastAsia" w:hAnsi="宋体" w:eastAsia="宋体" w:cs="宋体"/>
          <w:kern w:val="0"/>
          <w:sz w:val="24"/>
          <w:szCs w:val="24"/>
        </w:rPr>
        <w:tab/>
      </w:r>
    </w:p>
    <w:p>
      <w:pPr>
        <w:pStyle w:val="430"/>
        <w:snapToGrid w:val="0"/>
        <w:spacing w:line="360" w:lineRule="auto"/>
        <w:ind w:firstLine="504" w:firstLineChars="200"/>
        <w:rPr>
          <w:rFonts w:hAnsi="宋体" w:eastAsia="宋体" w:cs="宋体"/>
          <w:spacing w:val="6"/>
          <w:sz w:val="24"/>
          <w:szCs w:val="24"/>
        </w:rPr>
      </w:pPr>
      <w:r>
        <w:rPr>
          <w:rFonts w:hint="eastAsia" w:hAnsi="宋体" w:eastAsia="宋体" w:cs="宋体"/>
          <w:spacing w:val="6"/>
          <w:sz w:val="24"/>
          <w:szCs w:val="24"/>
        </w:rPr>
        <w:t>本人经由</w:t>
      </w:r>
      <w:r>
        <w:rPr>
          <w:rFonts w:hint="eastAsia" w:hAnsi="宋体" w:eastAsia="宋体" w:cs="宋体"/>
          <w:spacing w:val="6"/>
          <w:sz w:val="24"/>
          <w:szCs w:val="24"/>
          <w:u w:val="single"/>
        </w:rPr>
        <w:t xml:space="preserve">                  （单位）</w:t>
      </w:r>
      <w:r>
        <w:rPr>
          <w:rFonts w:hint="eastAsia" w:hAnsi="宋体" w:eastAsia="宋体" w:cs="宋体"/>
          <w:spacing w:val="6"/>
          <w:sz w:val="24"/>
          <w:szCs w:val="24"/>
        </w:rPr>
        <w:t>负责人</w:t>
      </w:r>
      <w:r>
        <w:rPr>
          <w:rFonts w:hint="eastAsia" w:hAnsi="宋体" w:eastAsia="宋体" w:cs="宋体"/>
          <w:spacing w:val="6"/>
          <w:sz w:val="24"/>
          <w:szCs w:val="24"/>
          <w:u w:val="single"/>
        </w:rPr>
        <w:t xml:space="preserve">        （姓名）</w:t>
      </w:r>
      <w:r>
        <w:rPr>
          <w:rFonts w:hint="eastAsia" w:hAnsi="宋体" w:eastAsia="宋体" w:cs="宋体"/>
          <w:spacing w:val="6"/>
          <w:sz w:val="24"/>
          <w:szCs w:val="24"/>
        </w:rPr>
        <w:t xml:space="preserve">合法授权参加（编号：）政府采购活动，经与本单位法人代表（负责人）联系确认，现就有关公平竞争事项郑重声明如下： </w:t>
      </w:r>
    </w:p>
    <w:p>
      <w:pPr>
        <w:pStyle w:val="126"/>
        <w:numPr>
          <w:ilvl w:val="0"/>
          <w:numId w:val="38"/>
        </w:numPr>
        <w:snapToGrid w:val="0"/>
        <w:spacing w:line="360" w:lineRule="auto"/>
        <w:ind w:firstLine="453" w:firstLineChars="189"/>
        <w:rPr>
          <w:rFonts w:ascii="宋体" w:hAnsi="宋体" w:cs="宋体"/>
          <w:kern w:val="0"/>
          <w:sz w:val="24"/>
          <w:szCs w:val="24"/>
        </w:rPr>
      </w:pPr>
      <w:r>
        <w:rPr>
          <w:rFonts w:ascii="宋体" w:hAnsi="宋体" w:cs="宋体"/>
          <w:kern w:val="0"/>
          <w:sz w:val="24"/>
          <w:szCs w:val="24"/>
        </w:rPr>
        <w:t>本单位与采购人之间 □不存在利害关系 □存在下列利害关系：</w:t>
      </w:r>
    </w:p>
    <w:p>
      <w:pPr>
        <w:pStyle w:val="126"/>
        <w:snapToGrid w:val="0"/>
        <w:spacing w:line="360" w:lineRule="auto"/>
        <w:rPr>
          <w:rFonts w:ascii="宋体" w:hAnsi="宋体" w:cs="宋体"/>
          <w:kern w:val="0"/>
          <w:sz w:val="24"/>
          <w:szCs w:val="24"/>
        </w:rPr>
      </w:pPr>
      <w:r>
        <w:rPr>
          <w:rFonts w:ascii="宋体" w:hAnsi="宋体" w:cs="宋体"/>
          <w:kern w:val="0"/>
          <w:sz w:val="24"/>
          <w:szCs w:val="24"/>
        </w:rPr>
        <w:t xml:space="preserve">  A.投资关系    B.行政隶属关系    C.业务指导关系</w:t>
      </w:r>
    </w:p>
    <w:p>
      <w:pPr>
        <w:pStyle w:val="126"/>
        <w:snapToGrid w:val="0"/>
        <w:spacing w:line="360" w:lineRule="auto"/>
        <w:rPr>
          <w:rFonts w:ascii="宋体" w:hAnsi="宋体" w:cs="宋体"/>
          <w:kern w:val="0"/>
          <w:sz w:val="24"/>
          <w:szCs w:val="24"/>
        </w:rPr>
      </w:pPr>
      <w:r>
        <w:rPr>
          <w:rFonts w:ascii="宋体" w:hAnsi="宋体" w:cs="宋体"/>
          <w:kern w:val="0"/>
          <w:sz w:val="24"/>
          <w:szCs w:val="24"/>
        </w:rPr>
        <w:t xml:space="preserve">  D.其他可能</w:t>
      </w:r>
      <w:r>
        <w:rPr>
          <w:rFonts w:ascii="宋体" w:hAnsi="宋体" w:cs="宋体"/>
          <w:sz w:val="24"/>
          <w:szCs w:val="24"/>
        </w:rPr>
        <w:t>影响采购公正的</w:t>
      </w:r>
      <w:r>
        <w:rPr>
          <w:rFonts w:ascii="宋体" w:hAnsi="宋体" w:cs="宋体"/>
          <w:kern w:val="0"/>
          <w:sz w:val="24"/>
          <w:szCs w:val="24"/>
        </w:rPr>
        <w:t>利害关系</w:t>
      </w:r>
      <w:r>
        <w:rPr>
          <w:rFonts w:ascii="宋体" w:hAnsi="宋体" w:cs="宋体"/>
          <w:kern w:val="0"/>
          <w:sz w:val="24"/>
          <w:szCs w:val="24"/>
          <w:u w:val="single"/>
        </w:rPr>
        <w:t xml:space="preserve">（如有，请如实说明）                 </w:t>
      </w:r>
      <w:r>
        <w:rPr>
          <w:rFonts w:ascii="宋体" w:hAnsi="宋体" w:cs="宋体"/>
          <w:kern w:val="0"/>
          <w:sz w:val="24"/>
          <w:szCs w:val="24"/>
        </w:rPr>
        <w:t>。</w:t>
      </w:r>
    </w:p>
    <w:p>
      <w:pPr>
        <w:pStyle w:val="126"/>
        <w:snapToGrid w:val="0"/>
        <w:spacing w:line="360" w:lineRule="auto"/>
        <w:rPr>
          <w:rFonts w:ascii="宋体" w:hAnsi="宋体" w:cs="宋体"/>
          <w:kern w:val="0"/>
          <w:sz w:val="24"/>
          <w:szCs w:val="24"/>
        </w:rPr>
      </w:pPr>
      <w:r>
        <w:rPr>
          <w:rFonts w:ascii="宋体" w:hAnsi="宋体" w:cs="宋体"/>
          <w:spacing w:val="6"/>
          <w:sz w:val="24"/>
          <w:szCs w:val="24"/>
        </w:rPr>
        <w:t xml:space="preserve">  二、</w:t>
      </w:r>
      <w:r>
        <w:rPr>
          <w:rFonts w:ascii="宋体" w:hAnsi="宋体" w:cs="宋体"/>
          <w:kern w:val="0"/>
          <w:sz w:val="24"/>
          <w:szCs w:val="24"/>
        </w:rPr>
        <w:t>现已清楚知道参加本项目采购活动的其他所有供应商名称，本单位 □与其他所有供应商之间均不存在利害关系 □与</w:t>
      </w:r>
      <w:r>
        <w:rPr>
          <w:rFonts w:ascii="宋体" w:hAnsi="宋体" w:cs="宋体"/>
          <w:kern w:val="0"/>
          <w:sz w:val="24"/>
          <w:szCs w:val="24"/>
          <w:u w:val="single"/>
        </w:rPr>
        <w:t xml:space="preserve">           （供应商名称）</w:t>
      </w:r>
      <w:r>
        <w:rPr>
          <w:rFonts w:ascii="宋体" w:hAnsi="宋体" w:cs="宋体"/>
          <w:kern w:val="0"/>
          <w:sz w:val="24"/>
          <w:szCs w:val="24"/>
        </w:rPr>
        <w:t>之间存在下列利害关系：</w:t>
      </w:r>
    </w:p>
    <w:p>
      <w:pPr>
        <w:pStyle w:val="430"/>
        <w:snapToGrid w:val="0"/>
        <w:spacing w:line="360" w:lineRule="auto"/>
        <w:rPr>
          <w:rFonts w:hAnsi="宋体" w:eastAsia="宋体" w:cs="宋体"/>
          <w:kern w:val="0"/>
          <w:sz w:val="24"/>
          <w:szCs w:val="24"/>
        </w:rPr>
      </w:pPr>
      <w:r>
        <w:rPr>
          <w:rFonts w:hint="eastAsia" w:hAnsi="宋体" w:eastAsia="宋体" w:cs="宋体"/>
          <w:kern w:val="0"/>
          <w:sz w:val="24"/>
          <w:szCs w:val="24"/>
        </w:rPr>
        <w:t xml:space="preserve">  A.法定代表人或负责人或实际控制人是同一人</w:t>
      </w:r>
    </w:p>
    <w:p>
      <w:pPr>
        <w:pStyle w:val="430"/>
        <w:snapToGrid w:val="0"/>
        <w:spacing w:line="360" w:lineRule="auto"/>
        <w:rPr>
          <w:rFonts w:hAnsi="宋体" w:eastAsia="宋体" w:cs="宋体"/>
          <w:spacing w:val="6"/>
          <w:sz w:val="24"/>
          <w:szCs w:val="24"/>
        </w:rPr>
      </w:pPr>
      <w:r>
        <w:rPr>
          <w:rFonts w:hint="eastAsia" w:hAnsi="宋体" w:eastAsia="宋体" w:cs="宋体"/>
          <w:kern w:val="0"/>
          <w:sz w:val="24"/>
          <w:szCs w:val="24"/>
        </w:rPr>
        <w:t xml:space="preserve">  B.法定代表人或负责人或实际控制人是夫妻关系</w:t>
      </w:r>
    </w:p>
    <w:p>
      <w:pPr>
        <w:pStyle w:val="430"/>
        <w:snapToGrid w:val="0"/>
        <w:spacing w:line="360" w:lineRule="auto"/>
        <w:rPr>
          <w:rFonts w:hAnsi="宋体" w:eastAsia="宋体" w:cs="宋体"/>
          <w:spacing w:val="6"/>
          <w:sz w:val="24"/>
          <w:szCs w:val="24"/>
        </w:rPr>
      </w:pPr>
      <w:r>
        <w:rPr>
          <w:rFonts w:hint="eastAsia" w:hAnsi="宋体" w:eastAsia="宋体" w:cs="宋体"/>
          <w:kern w:val="0"/>
          <w:sz w:val="24"/>
          <w:szCs w:val="24"/>
        </w:rPr>
        <w:t xml:space="preserve">  C.法定代表人或负责人或实际控制人是直系血亲关系</w:t>
      </w:r>
    </w:p>
    <w:p>
      <w:pPr>
        <w:pStyle w:val="430"/>
        <w:snapToGrid w:val="0"/>
        <w:spacing w:line="360" w:lineRule="auto"/>
        <w:rPr>
          <w:rFonts w:hAnsi="宋体" w:eastAsia="宋体" w:cs="宋体"/>
          <w:spacing w:val="6"/>
          <w:sz w:val="24"/>
          <w:szCs w:val="24"/>
        </w:rPr>
      </w:pPr>
      <w:r>
        <w:rPr>
          <w:rFonts w:hint="eastAsia" w:hAnsi="宋体" w:eastAsia="宋体" w:cs="宋体"/>
          <w:kern w:val="0"/>
          <w:sz w:val="24"/>
          <w:szCs w:val="24"/>
        </w:rPr>
        <w:t xml:space="preserve">  D.法定代表人或负责人或实际控制人存在三代以内旁系血亲关系</w:t>
      </w:r>
    </w:p>
    <w:p>
      <w:pPr>
        <w:pStyle w:val="430"/>
        <w:snapToGrid w:val="0"/>
        <w:spacing w:line="360" w:lineRule="auto"/>
        <w:rPr>
          <w:rFonts w:hAnsi="宋体" w:eastAsia="宋体" w:cs="宋体"/>
          <w:kern w:val="0"/>
          <w:sz w:val="24"/>
          <w:szCs w:val="24"/>
        </w:rPr>
      </w:pPr>
      <w:r>
        <w:rPr>
          <w:rFonts w:hint="eastAsia" w:hAnsi="宋体" w:eastAsia="宋体" w:cs="宋体"/>
          <w:kern w:val="0"/>
          <w:sz w:val="24"/>
          <w:szCs w:val="24"/>
        </w:rPr>
        <w:t xml:space="preserve">  E.法定代表人或负责人或实际控制人存在近姻亲关系</w:t>
      </w:r>
    </w:p>
    <w:p>
      <w:pPr>
        <w:pStyle w:val="430"/>
        <w:snapToGrid w:val="0"/>
        <w:spacing w:line="360" w:lineRule="auto"/>
        <w:rPr>
          <w:rFonts w:hAnsi="宋体" w:eastAsia="宋体" w:cs="宋体"/>
          <w:kern w:val="0"/>
          <w:sz w:val="24"/>
          <w:szCs w:val="24"/>
        </w:rPr>
      </w:pPr>
      <w:r>
        <w:rPr>
          <w:rFonts w:hint="eastAsia" w:hAnsi="宋体" w:eastAsia="宋体" w:cs="宋体"/>
          <w:kern w:val="0"/>
          <w:sz w:val="24"/>
          <w:szCs w:val="24"/>
        </w:rPr>
        <w:t xml:space="preserve">  F.法定代表人或负责人或实际控制人存在股份控制或实际控制关系</w:t>
      </w:r>
    </w:p>
    <w:p>
      <w:pPr>
        <w:pStyle w:val="430"/>
        <w:snapToGrid w:val="0"/>
        <w:spacing w:line="360" w:lineRule="auto"/>
        <w:ind w:firstLine="240" w:firstLineChars="100"/>
        <w:rPr>
          <w:rFonts w:hAnsi="宋体" w:eastAsia="宋体" w:cs="宋体"/>
          <w:kern w:val="0"/>
          <w:sz w:val="24"/>
          <w:szCs w:val="24"/>
        </w:rPr>
      </w:pPr>
      <w:r>
        <w:rPr>
          <w:rFonts w:hint="eastAsia" w:hAnsi="宋体" w:eastAsia="宋体" w:cs="宋体"/>
          <w:kern w:val="0"/>
          <w:sz w:val="24"/>
          <w:szCs w:val="24"/>
        </w:rPr>
        <w:t>G.存在共同直接或间接投资设立子公司、联营企业和合营企业情况</w:t>
      </w:r>
    </w:p>
    <w:p>
      <w:pPr>
        <w:pStyle w:val="430"/>
        <w:snapToGrid w:val="0"/>
        <w:spacing w:line="360" w:lineRule="auto"/>
        <w:rPr>
          <w:rFonts w:hAnsi="宋体" w:eastAsia="宋体" w:cs="宋体"/>
          <w:sz w:val="24"/>
          <w:szCs w:val="24"/>
        </w:rPr>
      </w:pPr>
      <w:r>
        <w:rPr>
          <w:rFonts w:hint="eastAsia" w:hAnsi="宋体" w:eastAsia="宋体" w:cs="宋体"/>
          <w:kern w:val="0"/>
          <w:sz w:val="24"/>
          <w:szCs w:val="24"/>
        </w:rPr>
        <w:t xml:space="preserve">  H.存在分级代理或代销关系、同一生产制造商关系、</w:t>
      </w:r>
      <w:r>
        <w:rPr>
          <w:rFonts w:hint="eastAsia" w:hAnsi="宋体" w:eastAsia="宋体" w:cs="宋体"/>
          <w:sz w:val="24"/>
          <w:szCs w:val="24"/>
        </w:rPr>
        <w:t>管理关系、重要业务（占主营业务收入50%以上）或重要财务往来关系（如融资）等其他实质性控制关系</w:t>
      </w:r>
    </w:p>
    <w:p>
      <w:pPr>
        <w:pStyle w:val="430"/>
        <w:snapToGrid w:val="0"/>
        <w:spacing w:line="360" w:lineRule="auto"/>
        <w:rPr>
          <w:rFonts w:hAnsi="宋体" w:eastAsia="宋体" w:cs="宋体"/>
          <w:spacing w:val="6"/>
          <w:sz w:val="24"/>
          <w:szCs w:val="24"/>
        </w:rPr>
      </w:pPr>
      <w:r>
        <w:rPr>
          <w:rFonts w:hint="eastAsia" w:hAnsi="宋体" w:eastAsia="宋体" w:cs="宋体"/>
          <w:sz w:val="24"/>
          <w:szCs w:val="24"/>
        </w:rPr>
        <w:t xml:space="preserve">  I</w:t>
      </w:r>
      <w:r>
        <w:rPr>
          <w:rFonts w:hint="eastAsia" w:hAnsi="宋体" w:eastAsia="宋体" w:cs="宋体"/>
          <w:kern w:val="0"/>
          <w:sz w:val="24"/>
          <w:szCs w:val="24"/>
        </w:rPr>
        <w:t>.</w:t>
      </w:r>
      <w:r>
        <w:rPr>
          <w:rFonts w:hint="eastAsia" w:hAnsi="宋体" w:eastAsia="宋体" w:cs="宋体"/>
          <w:sz w:val="24"/>
          <w:szCs w:val="24"/>
        </w:rPr>
        <w:t>其他利害关系情况</w:t>
      </w:r>
      <w:r>
        <w:rPr>
          <w:rFonts w:hint="eastAsia" w:hAnsi="宋体" w:eastAsia="宋体" w:cs="宋体"/>
          <w:kern w:val="0"/>
          <w:sz w:val="24"/>
          <w:szCs w:val="24"/>
        </w:rPr>
        <w:t>。</w:t>
      </w:r>
    </w:p>
    <w:p>
      <w:pPr>
        <w:pStyle w:val="126"/>
        <w:numPr>
          <w:ilvl w:val="0"/>
          <w:numId w:val="39"/>
        </w:numPr>
        <w:snapToGrid w:val="0"/>
        <w:spacing w:line="360" w:lineRule="auto"/>
        <w:ind w:firstLine="453" w:firstLineChars="189"/>
        <w:rPr>
          <w:rFonts w:ascii="宋体" w:hAnsi="宋体" w:cs="宋体"/>
          <w:kern w:val="0"/>
          <w:sz w:val="24"/>
          <w:szCs w:val="24"/>
        </w:rPr>
      </w:pPr>
      <w:r>
        <w:rPr>
          <w:rFonts w:ascii="宋体" w:hAnsi="宋体" w:cs="宋体"/>
          <w:sz w:val="24"/>
          <w:szCs w:val="24"/>
        </w:rPr>
        <w:t>现已清楚知道并</w:t>
      </w:r>
      <w:r>
        <w:rPr>
          <w:rFonts w:ascii="宋体" w:hAnsi="宋体" w:cs="宋体"/>
          <w:kern w:val="0"/>
          <w:sz w:val="24"/>
          <w:szCs w:val="24"/>
        </w:rPr>
        <w:t>严格遵守政府采购法律法规和现场纪律。</w:t>
      </w:r>
    </w:p>
    <w:p>
      <w:pPr>
        <w:pStyle w:val="126"/>
        <w:numPr>
          <w:ilvl w:val="0"/>
          <w:numId w:val="39"/>
        </w:numPr>
        <w:snapToGrid w:val="0"/>
        <w:spacing w:line="360" w:lineRule="auto"/>
        <w:ind w:firstLine="453" w:firstLineChars="189"/>
        <w:rPr>
          <w:rFonts w:ascii="宋体" w:hAnsi="宋体" w:cs="宋体"/>
          <w:kern w:val="0"/>
          <w:sz w:val="24"/>
          <w:szCs w:val="24"/>
        </w:rPr>
      </w:pPr>
      <w:r>
        <w:rPr>
          <w:rFonts w:ascii="宋体" w:hAnsi="宋体" w:cs="宋体"/>
          <w:kern w:val="0"/>
          <w:sz w:val="24"/>
          <w:szCs w:val="24"/>
        </w:rPr>
        <w:t>我发现供应商之间存在或可能存在上述第二条第项利害关系。</w:t>
      </w:r>
    </w:p>
    <w:p>
      <w:pPr>
        <w:pStyle w:val="430"/>
        <w:snapToGrid w:val="0"/>
        <w:spacing w:line="360" w:lineRule="auto"/>
        <w:ind w:firstLine="480" w:firstLineChars="200"/>
        <w:jc w:val="right"/>
        <w:rPr>
          <w:rFonts w:hAnsi="宋体" w:cs="宋体"/>
          <w:sz w:val="24"/>
        </w:rPr>
      </w:pPr>
      <w:r>
        <w:rPr>
          <w:rFonts w:hint="eastAsia" w:hAnsi="宋体" w:eastAsia="宋体" w:cs="宋体"/>
          <w:sz w:val="24"/>
          <w:szCs w:val="24"/>
        </w:rPr>
        <w:t xml:space="preserve">                         </w:t>
      </w:r>
      <w:r>
        <w:rPr>
          <w:rFonts w:hint="eastAsia" w:hAnsi="宋体" w:eastAsia="宋体" w:cs="宋体"/>
          <w:sz w:val="22"/>
          <w:szCs w:val="22"/>
        </w:rPr>
        <w:t xml:space="preserve">         （供应商代表签名）                         年   月   日</w:t>
      </w:r>
    </w:p>
    <w:p>
      <w:pPr>
        <w:spacing w:line="420" w:lineRule="exact"/>
        <w:sectPr>
          <w:pgSz w:w="11906" w:h="16838"/>
          <w:pgMar w:top="1440" w:right="1800" w:bottom="1440" w:left="1800" w:header="851" w:footer="992" w:gutter="0"/>
          <w:cols w:space="425" w:num="1"/>
          <w:docGrid w:type="lines" w:linePitch="312" w:charSpace="0"/>
        </w:sectPr>
      </w:pPr>
      <w:r>
        <w:rPr>
          <w:rFonts w:hint="eastAsia" w:ascii="宋体" w:hAnsi="宋体" w:cs="宋体"/>
          <w:sz w:val="22"/>
          <w:szCs w:val="22"/>
        </w:rPr>
        <w:t>说明：商务技术文件开启后30分钟内供应商通过邮件形式将经授权代表签署的《</w:t>
      </w:r>
      <w:r>
        <w:rPr>
          <w:rFonts w:hint="eastAsia" w:ascii="宋体" w:hAnsi="宋体" w:cs="宋体"/>
          <w:sz w:val="22"/>
          <w:szCs w:val="22"/>
          <w:lang w:val="en-GB"/>
        </w:rPr>
        <w:t>政府采购活动确认声明书</w:t>
      </w:r>
      <w:r>
        <w:rPr>
          <w:rFonts w:hint="eastAsia" w:ascii="宋体" w:hAnsi="宋体" w:cs="宋体"/>
          <w:sz w:val="22"/>
          <w:szCs w:val="22"/>
        </w:rPr>
        <w:t>》扫描件发至代理机构经办人邮箱（邮箱地址：</w:t>
      </w:r>
      <w:r>
        <w:fldChar w:fldCharType="begin"/>
      </w:r>
      <w:r>
        <w:instrText xml:space="preserve"> HYPERLINK "mailto:303054329@qq.com）；" </w:instrText>
      </w:r>
      <w:r>
        <w:fldChar w:fldCharType="separate"/>
      </w:r>
      <w:r>
        <w:rPr>
          <w:rFonts w:hint="eastAsia" w:ascii="宋体" w:hAnsi="宋体" w:cs="宋体"/>
          <w:kern w:val="0"/>
          <w:sz w:val="22"/>
          <w:szCs w:val="22"/>
        </w:rPr>
        <w:t>872868454@qq.com</w:t>
      </w:r>
      <w:r>
        <w:rPr>
          <w:rFonts w:hint="eastAsia" w:ascii="宋体" w:hAnsi="宋体" w:cs="宋体"/>
          <w:sz w:val="22"/>
          <w:szCs w:val="22"/>
        </w:rPr>
        <w:t>）；</w:t>
      </w:r>
      <w:r>
        <w:rPr>
          <w:rFonts w:hint="eastAsia" w:ascii="宋体" w:hAnsi="宋体" w:cs="宋体"/>
          <w:sz w:val="22"/>
          <w:szCs w:val="22"/>
        </w:rPr>
        <w:fldChar w:fldCharType="end"/>
      </w:r>
      <w:r>
        <w:rPr>
          <w:rFonts w:hint="eastAsia" w:ascii="宋体" w:hAnsi="宋体" w:cs="宋体"/>
          <w:sz w:val="22"/>
          <w:szCs w:val="22"/>
        </w:rPr>
        <w:t>不填写或未按规定发出邮件的，视同默认不存在此声明书中的相关违规情形。</w:t>
      </w:r>
    </w:p>
    <w:p>
      <w:pPr>
        <w:snapToGrid w:val="0"/>
        <w:spacing w:before="159" w:beforeLines="50" w:after="50" w:line="360" w:lineRule="auto"/>
        <w:rPr>
          <w:rFonts w:ascii="宋体" w:hAnsi="宋体" w:cs="宋体"/>
          <w:bCs/>
          <w:sz w:val="30"/>
          <w:szCs w:val="30"/>
        </w:rPr>
      </w:pPr>
      <w:r>
        <w:rPr>
          <w:rFonts w:hint="eastAsia" w:ascii="宋体" w:hAnsi="宋体" w:cs="宋体"/>
          <w:b/>
          <w:sz w:val="28"/>
        </w:rPr>
        <w:t>附件8：</w:t>
      </w:r>
    </w:p>
    <w:p>
      <w:pPr>
        <w:spacing w:line="360" w:lineRule="auto"/>
        <w:ind w:right="-110"/>
        <w:jc w:val="center"/>
        <w:rPr>
          <w:rFonts w:ascii="宋体" w:hAnsi="宋体" w:cs="宋体"/>
          <w:spacing w:val="40"/>
          <w:sz w:val="48"/>
          <w:szCs w:val="48"/>
        </w:rPr>
      </w:pPr>
      <w:r>
        <w:rPr>
          <w:rFonts w:hint="eastAsia" w:ascii="宋体" w:hAnsi="宋体" w:cs="宋体"/>
          <w:spacing w:val="40"/>
          <w:sz w:val="48"/>
          <w:szCs w:val="48"/>
        </w:rPr>
        <w:t>项目名称</w:t>
      </w:r>
    </w:p>
    <w:p>
      <w:pPr>
        <w:spacing w:before="319" w:beforeLines="100" w:line="360" w:lineRule="auto"/>
        <w:ind w:right="-108"/>
        <w:jc w:val="center"/>
        <w:rPr>
          <w:rFonts w:ascii="宋体" w:hAnsi="宋体" w:cs="宋体"/>
          <w:sz w:val="36"/>
          <w:szCs w:val="36"/>
        </w:rPr>
      </w:pPr>
      <w:r>
        <w:rPr>
          <w:rFonts w:hint="eastAsia" w:ascii="宋体" w:hAnsi="宋体" w:cs="宋体"/>
          <w:sz w:val="36"/>
          <w:szCs w:val="36"/>
        </w:rPr>
        <w:t>项目编号：（标段）</w:t>
      </w:r>
    </w:p>
    <w:p>
      <w:pPr>
        <w:autoSpaceDE w:val="0"/>
        <w:autoSpaceDN w:val="0"/>
        <w:adjustRightInd w:val="0"/>
        <w:spacing w:line="360" w:lineRule="auto"/>
        <w:jc w:val="center"/>
        <w:rPr>
          <w:rFonts w:ascii="宋体" w:hAnsi="宋体" w:cs="宋体"/>
          <w:sz w:val="84"/>
          <w:szCs w:val="84"/>
          <w:lang w:val="zh-CN"/>
        </w:rPr>
      </w:pPr>
    </w:p>
    <w:p>
      <w:pPr>
        <w:pStyle w:val="62"/>
      </w:pP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投</w:t>
      </w: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标</w:t>
      </w:r>
    </w:p>
    <w:p>
      <w:pPr>
        <w:autoSpaceDE w:val="0"/>
        <w:autoSpaceDN w:val="0"/>
        <w:adjustRightInd w:val="0"/>
        <w:spacing w:line="360" w:lineRule="auto"/>
        <w:jc w:val="center"/>
        <w:rPr>
          <w:rFonts w:ascii="宋体" w:hAnsi="宋体" w:cs="宋体"/>
          <w:sz w:val="84"/>
          <w:szCs w:val="84"/>
        </w:rPr>
      </w:pPr>
      <w:r>
        <w:rPr>
          <w:rFonts w:hint="eastAsia" w:ascii="宋体" w:hAnsi="宋体" w:cs="宋体"/>
          <w:sz w:val="84"/>
          <w:szCs w:val="84"/>
          <w:lang w:val="zh-CN"/>
        </w:rPr>
        <w:t>文</w:t>
      </w:r>
    </w:p>
    <w:p>
      <w:pPr>
        <w:spacing w:after="100" w:afterAutospacing="1" w:line="360" w:lineRule="auto"/>
        <w:ind w:right="-108"/>
        <w:jc w:val="center"/>
        <w:rPr>
          <w:rFonts w:ascii="宋体" w:hAnsi="宋体" w:cs="宋体"/>
          <w:sz w:val="84"/>
          <w:szCs w:val="84"/>
          <w:lang w:val="zh-CN"/>
        </w:rPr>
      </w:pPr>
      <w:r>
        <w:rPr>
          <w:rFonts w:hint="eastAsia" w:ascii="宋体" w:hAnsi="宋体" w:cs="宋体"/>
          <w:sz w:val="84"/>
          <w:szCs w:val="84"/>
          <w:lang w:val="zh-CN"/>
        </w:rPr>
        <w:t>件</w:t>
      </w:r>
    </w:p>
    <w:p>
      <w:pPr>
        <w:pStyle w:val="62"/>
      </w:pPr>
    </w:p>
    <w:p>
      <w:pPr>
        <w:spacing w:after="100" w:afterAutospacing="1" w:line="360" w:lineRule="auto"/>
        <w:ind w:right="-108"/>
        <w:jc w:val="center"/>
        <w:rPr>
          <w:rFonts w:ascii="宋体" w:hAnsi="宋体" w:cs="宋体"/>
          <w:b/>
          <w:spacing w:val="40"/>
          <w:sz w:val="28"/>
          <w:szCs w:val="28"/>
        </w:rPr>
      </w:pPr>
      <w:r>
        <w:rPr>
          <w:rFonts w:hint="eastAsia" w:ascii="宋体" w:hAnsi="宋体" w:cs="宋体"/>
          <w:sz w:val="28"/>
          <w:szCs w:val="28"/>
          <w:lang w:val="zh-CN"/>
        </w:rPr>
        <w:t>（</w:t>
      </w:r>
      <w:r>
        <w:rPr>
          <w:rFonts w:hint="eastAsia" w:ascii="宋体" w:hAnsi="宋体" w:cs="宋体"/>
          <w:bCs/>
          <w:sz w:val="24"/>
          <w:lang w:val="zh-CN"/>
        </w:rPr>
        <w:t>商务与技术文件</w:t>
      </w:r>
      <w:r>
        <w:rPr>
          <w:rFonts w:hint="eastAsia" w:ascii="宋体" w:hAnsi="宋体" w:cs="宋体"/>
          <w:b/>
          <w:spacing w:val="40"/>
          <w:sz w:val="28"/>
          <w:szCs w:val="28"/>
        </w:rPr>
        <w:t>）</w:t>
      </w:r>
    </w:p>
    <w:p>
      <w:pPr>
        <w:spacing w:line="360" w:lineRule="auto"/>
        <w:ind w:right="532" w:firstLine="720" w:firstLineChars="200"/>
        <w:rPr>
          <w:rFonts w:ascii="宋体" w:hAnsi="宋体" w:cs="宋体"/>
          <w:sz w:val="36"/>
          <w:szCs w:val="36"/>
        </w:rPr>
      </w:pPr>
      <w:r>
        <w:rPr>
          <w:rFonts w:hint="eastAsia" w:ascii="宋体" w:hAnsi="宋体" w:cs="宋体"/>
          <w:sz w:val="36"/>
          <w:szCs w:val="36"/>
        </w:rPr>
        <w:t>投标人全称（公章或CA签章）：</w:t>
      </w:r>
    </w:p>
    <w:p>
      <w:pPr>
        <w:spacing w:line="360" w:lineRule="auto"/>
        <w:ind w:right="532" w:firstLine="720" w:firstLineChars="200"/>
        <w:rPr>
          <w:rFonts w:ascii="宋体" w:hAnsi="宋体" w:cs="宋体"/>
          <w:sz w:val="36"/>
          <w:szCs w:val="36"/>
        </w:rPr>
      </w:pPr>
      <w:r>
        <w:rPr>
          <w:rFonts w:hint="eastAsia" w:ascii="宋体" w:hAnsi="宋体" w:cs="宋体"/>
          <w:sz w:val="36"/>
          <w:szCs w:val="36"/>
        </w:rPr>
        <w:t>地    址：</w:t>
      </w:r>
    </w:p>
    <w:p>
      <w:pPr>
        <w:spacing w:line="360" w:lineRule="auto"/>
        <w:ind w:right="532" w:firstLine="720" w:firstLineChars="200"/>
        <w:rPr>
          <w:rFonts w:ascii="宋体" w:hAnsi="宋体" w:cs="宋体"/>
          <w:sz w:val="36"/>
          <w:szCs w:val="36"/>
        </w:rPr>
      </w:pPr>
      <w:r>
        <w:rPr>
          <w:rFonts w:hint="eastAsia" w:ascii="宋体" w:hAnsi="宋体" w:cs="宋体"/>
          <w:sz w:val="36"/>
          <w:szCs w:val="36"/>
        </w:rPr>
        <w:t>时    间：</w:t>
      </w:r>
    </w:p>
    <w:p>
      <w:pPr>
        <w:snapToGrid w:val="0"/>
        <w:spacing w:before="50" w:after="50" w:line="360" w:lineRule="auto"/>
        <w:rPr>
          <w:rFonts w:ascii="宋体" w:hAnsi="宋体" w:cs="宋体"/>
          <w:b/>
          <w:sz w:val="36"/>
          <w:szCs w:val="36"/>
        </w:rPr>
      </w:pPr>
    </w:p>
    <w:p>
      <w:pPr>
        <w:rPr>
          <w:rFonts w:ascii="宋体" w:hAnsi="宋体" w:cs="宋体"/>
          <w:b/>
          <w:sz w:val="28"/>
        </w:rPr>
      </w:pPr>
    </w:p>
    <w:p>
      <w:pPr>
        <w:rPr>
          <w:rFonts w:ascii="宋体" w:hAnsi="宋体"/>
          <w:b/>
          <w:sz w:val="28"/>
        </w:rPr>
      </w:pPr>
      <w:r>
        <w:rPr>
          <w:rFonts w:hint="eastAsia" w:ascii="宋体" w:hAnsi="宋体"/>
          <w:b/>
          <w:sz w:val="28"/>
        </w:rPr>
        <w:t>附件9</w:t>
      </w:r>
    </w:p>
    <w:p>
      <w:pPr>
        <w:spacing w:before="156" w:after="156"/>
        <w:jc w:val="center"/>
        <w:rPr>
          <w:rFonts w:ascii="宋体" w:hAnsi="宋体"/>
          <w:b/>
          <w:sz w:val="44"/>
        </w:rPr>
      </w:pPr>
      <w:r>
        <w:rPr>
          <w:rFonts w:hint="eastAsia" w:ascii="宋体" w:hAnsi="宋体"/>
          <w:b/>
          <w:sz w:val="44"/>
        </w:rPr>
        <w:t>评分索引表</w:t>
      </w:r>
    </w:p>
    <w:tbl>
      <w:tblPr>
        <w:tblStyle w:val="48"/>
        <w:tblW w:w="0" w:type="auto"/>
        <w:jc w:val="center"/>
        <w:tblLayout w:type="fixed"/>
        <w:tblCellMar>
          <w:top w:w="0" w:type="dxa"/>
          <w:left w:w="0" w:type="dxa"/>
          <w:bottom w:w="0" w:type="dxa"/>
          <w:right w:w="0" w:type="dxa"/>
        </w:tblCellMar>
      </w:tblPr>
      <w:tblGrid>
        <w:gridCol w:w="837"/>
        <w:gridCol w:w="4661"/>
        <w:gridCol w:w="1141"/>
        <w:gridCol w:w="2060"/>
      </w:tblGrid>
      <w:tr>
        <w:tblPrEx>
          <w:tblCellMar>
            <w:top w:w="0" w:type="dxa"/>
            <w:left w:w="0" w:type="dxa"/>
            <w:bottom w:w="0" w:type="dxa"/>
            <w:right w:w="0" w:type="dxa"/>
          </w:tblCellMar>
        </w:tblPrEx>
        <w:trPr>
          <w:trHeight w:val="765"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hAnsi="宋体"/>
                <w:b/>
              </w:rPr>
            </w:pPr>
            <w:r>
              <w:rPr>
                <w:rFonts w:hint="eastAsia" w:ascii="宋体" w:hAnsi="宋体"/>
                <w:b/>
              </w:rPr>
              <w:t>序号</w:t>
            </w: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hAnsi="宋体"/>
                <w:b/>
              </w:rPr>
            </w:pPr>
            <w:r>
              <w:rPr>
                <w:rFonts w:hint="eastAsia" w:ascii="宋体" w:hAnsi="宋体"/>
                <w:b/>
                <w:szCs w:val="21"/>
              </w:rPr>
              <w:t>评分项目和评分细则</w:t>
            </w: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hAnsi="宋体"/>
                <w:b/>
              </w:rPr>
            </w:pPr>
            <w:r>
              <w:rPr>
                <w:rFonts w:hint="eastAsia" w:ascii="宋体" w:hAnsi="宋体"/>
                <w:b/>
              </w:rPr>
              <w:t>自评分</w:t>
            </w: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hAnsi="宋体"/>
                <w:b/>
              </w:rPr>
            </w:pPr>
            <w:r>
              <w:rPr>
                <w:rFonts w:hint="eastAsia" w:ascii="宋体" w:hAnsi="宋体"/>
                <w:b/>
              </w:rPr>
              <w:t>在投标文件中所对应的</w:t>
            </w:r>
            <w:r>
              <w:rPr>
                <w:rFonts w:ascii="宋体" w:hAnsi="宋体"/>
                <w:b/>
              </w:rPr>
              <w:t>页码</w:t>
            </w: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rPr>
            </w:pPr>
            <w:r>
              <w:rPr>
                <w:rFonts w:ascii="宋体" w:hAnsi="宋体"/>
                <w:b/>
                <w:sz w:val="24"/>
              </w:rPr>
              <w:t>…</w:t>
            </w: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rPr>
            </w:pP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rPr>
            </w:pP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rPr>
            </w:pP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rPr>
            </w:pP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rPr>
            </w:pP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rPr>
            </w:pP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rPr>
            </w:pP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rPr>
            </w:pP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rPr>
            </w:pP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rPr>
            </w:pP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rPr>
            </w:pP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rPr>
            </w:pP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sz w:val="24"/>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rPr>
            </w:pPr>
          </w:p>
        </w:tc>
      </w:tr>
    </w:tbl>
    <w:p>
      <w:pPr>
        <w:spacing w:line="400" w:lineRule="exact"/>
        <w:ind w:firstLine="413"/>
        <w:rPr>
          <w:rFonts w:ascii="宋体" w:hAnsi="宋体"/>
          <w:b/>
        </w:rPr>
      </w:pPr>
      <w:r>
        <w:rPr>
          <w:rFonts w:ascii="宋体" w:hAnsi="宋体"/>
          <w:b/>
        </w:rPr>
        <w:t>注：</w:t>
      </w:r>
      <w:r>
        <w:rPr>
          <w:rFonts w:hint="eastAsia" w:ascii="宋体" w:hAnsi="宋体"/>
          <w:b/>
        </w:rPr>
        <w:t>1、投标供应商应结合本招标文件评分细则认真填制相关内容，以及在投标文件中所对应的页码，如未提供，评委有权认为不具备或不符合，有可能影响投标人的得分。</w:t>
      </w:r>
    </w:p>
    <w:p>
      <w:pPr>
        <w:numPr>
          <w:ilvl w:val="0"/>
          <w:numId w:val="40"/>
        </w:numPr>
        <w:rPr>
          <w:rFonts w:ascii="宋体" w:hAnsi="宋体"/>
          <w:b/>
        </w:rPr>
      </w:pPr>
      <w:r>
        <w:rPr>
          <w:rFonts w:hint="eastAsia" w:ascii="宋体" w:hAnsi="宋体"/>
          <w:b/>
        </w:rPr>
        <w:t>如本表格不适合投标单位的实际情况，可根据本表格式自行制表填写。</w:t>
      </w:r>
    </w:p>
    <w:p>
      <w:pPr>
        <w:rPr>
          <w:rFonts w:ascii="宋体" w:hAnsi="宋体" w:cs="宋体"/>
          <w:b/>
          <w:sz w:val="28"/>
        </w:rPr>
      </w:pPr>
    </w:p>
    <w:p>
      <w:pPr>
        <w:rPr>
          <w:rFonts w:ascii="宋体" w:hAnsi="宋体" w:cs="宋体"/>
          <w:b/>
          <w:sz w:val="28"/>
        </w:rPr>
      </w:pPr>
    </w:p>
    <w:p>
      <w:pPr>
        <w:rPr>
          <w:rFonts w:ascii="宋体" w:hAnsi="宋体" w:cs="宋体"/>
          <w:b/>
          <w:sz w:val="28"/>
        </w:rPr>
      </w:pPr>
    </w:p>
    <w:p>
      <w:pPr>
        <w:rPr>
          <w:rFonts w:ascii="宋体" w:hAnsi="宋体" w:cs="宋体"/>
          <w:b/>
          <w:sz w:val="28"/>
        </w:rPr>
      </w:pPr>
    </w:p>
    <w:p>
      <w:pPr>
        <w:rPr>
          <w:rFonts w:ascii="宋体" w:hAnsi="宋体" w:cs="宋体"/>
          <w:b/>
          <w:sz w:val="28"/>
        </w:rPr>
      </w:pPr>
    </w:p>
    <w:p>
      <w:pPr>
        <w:pStyle w:val="72"/>
        <w:tabs>
          <w:tab w:val="left" w:pos="1050"/>
        </w:tabs>
        <w:spacing w:line="360" w:lineRule="auto"/>
        <w:rPr>
          <w:rFonts w:ascii="宋体" w:hAnsi="宋体" w:cs="宋体"/>
          <w:b/>
          <w:sz w:val="28"/>
        </w:rPr>
      </w:pPr>
    </w:p>
    <w:p>
      <w:pPr>
        <w:pStyle w:val="72"/>
        <w:tabs>
          <w:tab w:val="left" w:pos="1050"/>
        </w:tabs>
        <w:spacing w:line="360" w:lineRule="auto"/>
        <w:rPr>
          <w:rFonts w:ascii="宋体" w:hAnsi="宋体" w:cs="Arial"/>
          <w:sz w:val="28"/>
          <w:szCs w:val="28"/>
        </w:rPr>
      </w:pPr>
      <w:r>
        <w:rPr>
          <w:rFonts w:hint="eastAsia" w:ascii="宋体" w:hAnsi="宋体" w:cs="宋体"/>
          <w:b/>
          <w:sz w:val="28"/>
        </w:rPr>
        <w:t>附件10：</w:t>
      </w:r>
    </w:p>
    <w:p>
      <w:pPr>
        <w:spacing w:line="360" w:lineRule="auto"/>
        <w:ind w:left="549" w:hanging="549" w:hangingChars="171"/>
        <w:jc w:val="center"/>
        <w:rPr>
          <w:rFonts w:ascii="宋体" w:hAnsi="宋体" w:cs="宋体"/>
          <w:b/>
          <w:sz w:val="18"/>
          <w:szCs w:val="18"/>
        </w:rPr>
      </w:pPr>
      <w:r>
        <w:rPr>
          <w:rFonts w:hint="eastAsia" w:ascii="宋体" w:hAnsi="宋体" w:cs="宋体"/>
          <w:b/>
          <w:sz w:val="32"/>
          <w:szCs w:val="32"/>
          <w:lang w:val="en-US" w:eastAsia="zh-CN"/>
        </w:rPr>
        <w:t>技术/</w:t>
      </w:r>
      <w:r>
        <w:rPr>
          <w:rFonts w:hint="eastAsia" w:ascii="宋体" w:hAnsi="宋体" w:cs="宋体"/>
          <w:b/>
          <w:sz w:val="32"/>
          <w:szCs w:val="32"/>
        </w:rPr>
        <w:t xml:space="preserve">商务需求响应表 </w:t>
      </w:r>
    </w:p>
    <w:tbl>
      <w:tblPr>
        <w:tblStyle w:val="4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rPr>
                <w:rFonts w:ascii="宋体" w:hAnsi="宋体" w:cs="宋体"/>
                <w:b/>
                <w:sz w:val="24"/>
              </w:rPr>
            </w:pPr>
            <w:r>
              <w:rPr>
                <w:rFonts w:hint="eastAsia" w:ascii="宋体" w:hAnsi="宋体" w:cs="宋体"/>
                <w:b/>
                <w:sz w:val="24"/>
              </w:rPr>
              <w:t>序号</w:t>
            </w:r>
          </w:p>
        </w:tc>
        <w:tc>
          <w:tcPr>
            <w:tcW w:w="1785" w:type="dxa"/>
            <w:vAlign w:val="center"/>
          </w:tcPr>
          <w:p>
            <w:pPr>
              <w:rPr>
                <w:rFonts w:ascii="宋体" w:hAnsi="宋体" w:cs="宋体"/>
                <w:b/>
                <w:sz w:val="24"/>
              </w:rPr>
            </w:pPr>
            <w:r>
              <w:rPr>
                <w:rFonts w:hint="eastAsia" w:ascii="宋体" w:hAnsi="宋体" w:cs="宋体"/>
                <w:b/>
                <w:sz w:val="24"/>
              </w:rPr>
              <w:t xml:space="preserve">   内容</w:t>
            </w:r>
          </w:p>
        </w:tc>
        <w:tc>
          <w:tcPr>
            <w:tcW w:w="1785" w:type="dxa"/>
            <w:vAlign w:val="center"/>
          </w:tcPr>
          <w:p>
            <w:pPr>
              <w:ind w:left="53" w:leftChars="25" w:firstLine="241" w:firstLineChars="100"/>
              <w:rPr>
                <w:rFonts w:ascii="宋体" w:hAnsi="宋体" w:cs="宋体"/>
                <w:b/>
                <w:sz w:val="24"/>
              </w:rPr>
            </w:pPr>
            <w:r>
              <w:rPr>
                <w:rFonts w:hint="eastAsia" w:ascii="宋体" w:hAnsi="宋体" w:cs="宋体"/>
                <w:b/>
                <w:sz w:val="24"/>
              </w:rPr>
              <w:t>招标需求</w:t>
            </w:r>
          </w:p>
        </w:tc>
        <w:tc>
          <w:tcPr>
            <w:tcW w:w="1365" w:type="dxa"/>
            <w:vAlign w:val="center"/>
          </w:tcPr>
          <w:p>
            <w:pPr>
              <w:ind w:left="152"/>
              <w:rPr>
                <w:rFonts w:ascii="宋体" w:hAnsi="宋体" w:cs="宋体"/>
                <w:b/>
                <w:sz w:val="24"/>
              </w:rPr>
            </w:pPr>
            <w:r>
              <w:rPr>
                <w:rFonts w:hint="eastAsia" w:ascii="宋体" w:hAnsi="宋体" w:cs="宋体"/>
                <w:b/>
                <w:sz w:val="24"/>
              </w:rPr>
              <w:t>是否响应</w:t>
            </w:r>
          </w:p>
        </w:tc>
        <w:tc>
          <w:tcPr>
            <w:tcW w:w="2625" w:type="dxa"/>
            <w:vAlign w:val="center"/>
          </w:tcPr>
          <w:p>
            <w:pPr>
              <w:jc w:val="center"/>
              <w:rPr>
                <w:rFonts w:ascii="宋体" w:hAnsi="宋体" w:cs="宋体"/>
                <w:b/>
                <w:sz w:val="24"/>
              </w:rPr>
            </w:pPr>
            <w:r>
              <w:rPr>
                <w:rFonts w:hint="eastAsia" w:ascii="宋体" w:hAnsi="宋体" w:cs="宋体"/>
                <w:b/>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rPr>
                <w:rFonts w:ascii="宋体" w:hAnsi="宋体" w:cs="宋体"/>
                <w:sz w:val="24"/>
              </w:rPr>
            </w:pPr>
          </w:p>
        </w:tc>
        <w:tc>
          <w:tcPr>
            <w:tcW w:w="1785" w:type="dxa"/>
          </w:tcPr>
          <w:p>
            <w:pPr>
              <w:snapToGrid w:val="0"/>
              <w:rPr>
                <w:rFonts w:ascii="宋体" w:cs="宋体"/>
                <w:sz w:val="24"/>
              </w:rPr>
            </w:pPr>
          </w:p>
        </w:tc>
        <w:tc>
          <w:tcPr>
            <w:tcW w:w="1785" w:type="dxa"/>
            <w:vAlign w:val="center"/>
          </w:tcPr>
          <w:p>
            <w:pPr>
              <w:rPr>
                <w:rFonts w:ascii="宋体" w:hAnsi="宋体" w:cs="宋体"/>
                <w:sz w:val="24"/>
              </w:rPr>
            </w:pPr>
          </w:p>
        </w:tc>
        <w:tc>
          <w:tcPr>
            <w:tcW w:w="1365" w:type="dxa"/>
            <w:vAlign w:val="center"/>
          </w:tcPr>
          <w:p>
            <w:pPr>
              <w:rPr>
                <w:rFonts w:ascii="宋体" w:hAnsi="宋体" w:cs="宋体"/>
                <w:sz w:val="24"/>
              </w:rPr>
            </w:pPr>
          </w:p>
        </w:tc>
        <w:tc>
          <w:tcPr>
            <w:tcW w:w="2625"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s="宋体"/>
                <w:sz w:val="24"/>
              </w:rPr>
            </w:pPr>
          </w:p>
        </w:tc>
        <w:tc>
          <w:tcPr>
            <w:tcW w:w="1785" w:type="dxa"/>
          </w:tcPr>
          <w:p>
            <w:pPr>
              <w:snapToGrid w:val="0"/>
              <w:rPr>
                <w:rFonts w:ascii="宋体" w:cs="宋体"/>
                <w:sz w:val="24"/>
              </w:rPr>
            </w:pPr>
          </w:p>
        </w:tc>
        <w:tc>
          <w:tcPr>
            <w:tcW w:w="1785" w:type="dxa"/>
            <w:vAlign w:val="center"/>
          </w:tcPr>
          <w:p>
            <w:pPr>
              <w:rPr>
                <w:rFonts w:ascii="宋体" w:hAnsi="宋体" w:cs="宋体"/>
                <w:sz w:val="24"/>
              </w:rPr>
            </w:pPr>
          </w:p>
        </w:tc>
        <w:tc>
          <w:tcPr>
            <w:tcW w:w="1365" w:type="dxa"/>
            <w:vAlign w:val="center"/>
          </w:tcPr>
          <w:p>
            <w:pPr>
              <w:rPr>
                <w:rFonts w:ascii="宋体" w:hAnsi="宋体" w:cs="宋体"/>
                <w:sz w:val="24"/>
              </w:rPr>
            </w:pPr>
          </w:p>
        </w:tc>
        <w:tc>
          <w:tcPr>
            <w:tcW w:w="2625"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s="宋体"/>
                <w:sz w:val="24"/>
              </w:rPr>
            </w:pPr>
          </w:p>
        </w:tc>
        <w:tc>
          <w:tcPr>
            <w:tcW w:w="1785" w:type="dxa"/>
          </w:tcPr>
          <w:p>
            <w:pPr>
              <w:snapToGrid w:val="0"/>
              <w:rPr>
                <w:rFonts w:ascii="宋体" w:cs="宋体"/>
                <w:sz w:val="24"/>
              </w:rPr>
            </w:pPr>
            <w:r>
              <w:rPr>
                <w:rFonts w:hint="eastAsia" w:ascii="宋体" w:cs="宋体"/>
                <w:sz w:val="24"/>
              </w:rPr>
              <w:t>……</w:t>
            </w:r>
          </w:p>
        </w:tc>
        <w:tc>
          <w:tcPr>
            <w:tcW w:w="1785" w:type="dxa"/>
            <w:vAlign w:val="center"/>
          </w:tcPr>
          <w:p>
            <w:pPr>
              <w:rPr>
                <w:rFonts w:ascii="宋体" w:hAnsi="宋体" w:cs="宋体"/>
                <w:sz w:val="24"/>
              </w:rPr>
            </w:pPr>
          </w:p>
        </w:tc>
        <w:tc>
          <w:tcPr>
            <w:tcW w:w="1365" w:type="dxa"/>
            <w:vAlign w:val="center"/>
          </w:tcPr>
          <w:p>
            <w:pPr>
              <w:rPr>
                <w:rFonts w:ascii="宋体" w:hAnsi="宋体" w:cs="宋体"/>
                <w:sz w:val="24"/>
              </w:rPr>
            </w:pPr>
          </w:p>
        </w:tc>
        <w:tc>
          <w:tcPr>
            <w:tcW w:w="2625"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s="宋体"/>
                <w:sz w:val="24"/>
              </w:rPr>
            </w:pPr>
          </w:p>
        </w:tc>
        <w:tc>
          <w:tcPr>
            <w:tcW w:w="1785" w:type="dxa"/>
          </w:tcPr>
          <w:p>
            <w:pPr>
              <w:snapToGrid w:val="0"/>
              <w:rPr>
                <w:rFonts w:ascii="宋体" w:cs="宋体"/>
                <w:sz w:val="24"/>
              </w:rPr>
            </w:pPr>
          </w:p>
        </w:tc>
        <w:tc>
          <w:tcPr>
            <w:tcW w:w="1785" w:type="dxa"/>
            <w:vAlign w:val="center"/>
          </w:tcPr>
          <w:p>
            <w:pPr>
              <w:rPr>
                <w:rFonts w:ascii="宋体" w:hAnsi="宋体" w:cs="宋体"/>
                <w:sz w:val="24"/>
              </w:rPr>
            </w:pPr>
          </w:p>
        </w:tc>
        <w:tc>
          <w:tcPr>
            <w:tcW w:w="1365" w:type="dxa"/>
            <w:vAlign w:val="center"/>
          </w:tcPr>
          <w:p>
            <w:pPr>
              <w:rPr>
                <w:rFonts w:ascii="宋体" w:hAnsi="宋体" w:cs="宋体"/>
                <w:sz w:val="24"/>
              </w:rPr>
            </w:pPr>
          </w:p>
        </w:tc>
        <w:tc>
          <w:tcPr>
            <w:tcW w:w="2625"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rPr>
                <w:rFonts w:ascii="宋体" w:hAnsi="宋体" w:cs="宋体"/>
                <w:sz w:val="24"/>
              </w:rPr>
            </w:pPr>
          </w:p>
        </w:tc>
        <w:tc>
          <w:tcPr>
            <w:tcW w:w="1785" w:type="dxa"/>
          </w:tcPr>
          <w:p>
            <w:pPr>
              <w:snapToGrid w:val="0"/>
              <w:rPr>
                <w:rFonts w:ascii="宋体" w:cs="宋体"/>
                <w:sz w:val="24"/>
              </w:rPr>
            </w:pPr>
          </w:p>
        </w:tc>
        <w:tc>
          <w:tcPr>
            <w:tcW w:w="1785" w:type="dxa"/>
            <w:vAlign w:val="center"/>
          </w:tcPr>
          <w:p>
            <w:pPr>
              <w:rPr>
                <w:rFonts w:ascii="宋体" w:hAnsi="宋体" w:cs="宋体"/>
                <w:sz w:val="24"/>
              </w:rPr>
            </w:pPr>
          </w:p>
        </w:tc>
        <w:tc>
          <w:tcPr>
            <w:tcW w:w="1365" w:type="dxa"/>
            <w:vAlign w:val="center"/>
          </w:tcPr>
          <w:p>
            <w:pPr>
              <w:rPr>
                <w:rFonts w:ascii="宋体" w:hAnsi="宋体" w:cs="宋体"/>
                <w:sz w:val="24"/>
              </w:rPr>
            </w:pPr>
          </w:p>
        </w:tc>
        <w:tc>
          <w:tcPr>
            <w:tcW w:w="2625"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ascii="宋体" w:hAnsi="宋体" w:cs="宋体"/>
                <w:sz w:val="24"/>
              </w:rPr>
            </w:pPr>
          </w:p>
        </w:tc>
        <w:tc>
          <w:tcPr>
            <w:tcW w:w="1785" w:type="dxa"/>
          </w:tcPr>
          <w:p>
            <w:pPr>
              <w:snapToGrid w:val="0"/>
              <w:rPr>
                <w:rFonts w:ascii="宋体" w:cs="宋体"/>
                <w:sz w:val="24"/>
              </w:rPr>
            </w:pPr>
          </w:p>
        </w:tc>
        <w:tc>
          <w:tcPr>
            <w:tcW w:w="1785" w:type="dxa"/>
            <w:vAlign w:val="center"/>
          </w:tcPr>
          <w:p>
            <w:pPr>
              <w:rPr>
                <w:rFonts w:ascii="宋体" w:hAnsi="宋体" w:cs="宋体"/>
                <w:sz w:val="24"/>
              </w:rPr>
            </w:pPr>
          </w:p>
        </w:tc>
        <w:tc>
          <w:tcPr>
            <w:tcW w:w="1365" w:type="dxa"/>
            <w:vAlign w:val="center"/>
          </w:tcPr>
          <w:p>
            <w:pPr>
              <w:rPr>
                <w:rFonts w:ascii="宋体" w:hAnsi="宋体" w:cs="宋体"/>
                <w:sz w:val="24"/>
              </w:rPr>
            </w:pPr>
          </w:p>
        </w:tc>
        <w:tc>
          <w:tcPr>
            <w:tcW w:w="2625"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ascii="宋体" w:hAnsi="宋体" w:cs="宋体"/>
                <w:sz w:val="24"/>
              </w:rPr>
            </w:pPr>
          </w:p>
        </w:tc>
        <w:tc>
          <w:tcPr>
            <w:tcW w:w="1785" w:type="dxa"/>
          </w:tcPr>
          <w:p>
            <w:pPr>
              <w:snapToGrid w:val="0"/>
              <w:rPr>
                <w:rFonts w:ascii="宋体" w:cs="宋体"/>
                <w:sz w:val="24"/>
              </w:rPr>
            </w:pPr>
          </w:p>
        </w:tc>
        <w:tc>
          <w:tcPr>
            <w:tcW w:w="1785" w:type="dxa"/>
            <w:vAlign w:val="center"/>
          </w:tcPr>
          <w:p>
            <w:pPr>
              <w:rPr>
                <w:rFonts w:ascii="宋体" w:hAnsi="宋体" w:cs="宋体"/>
                <w:sz w:val="24"/>
              </w:rPr>
            </w:pPr>
          </w:p>
        </w:tc>
        <w:tc>
          <w:tcPr>
            <w:tcW w:w="1365" w:type="dxa"/>
            <w:vAlign w:val="center"/>
          </w:tcPr>
          <w:p>
            <w:pPr>
              <w:rPr>
                <w:rFonts w:ascii="宋体" w:hAnsi="宋体" w:cs="宋体"/>
                <w:sz w:val="24"/>
              </w:rPr>
            </w:pPr>
          </w:p>
        </w:tc>
        <w:tc>
          <w:tcPr>
            <w:tcW w:w="2625"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ascii="宋体" w:hAnsi="宋体" w:cs="宋体"/>
                <w:sz w:val="24"/>
              </w:rPr>
            </w:pPr>
          </w:p>
        </w:tc>
        <w:tc>
          <w:tcPr>
            <w:tcW w:w="1785" w:type="dxa"/>
          </w:tcPr>
          <w:p>
            <w:pPr>
              <w:snapToGrid w:val="0"/>
              <w:rPr>
                <w:rFonts w:ascii="宋体" w:cs="宋体"/>
                <w:sz w:val="24"/>
              </w:rPr>
            </w:pPr>
          </w:p>
        </w:tc>
        <w:tc>
          <w:tcPr>
            <w:tcW w:w="1785" w:type="dxa"/>
            <w:vAlign w:val="center"/>
          </w:tcPr>
          <w:p>
            <w:pPr>
              <w:rPr>
                <w:rFonts w:ascii="宋体" w:hAnsi="宋体" w:cs="宋体"/>
                <w:sz w:val="24"/>
              </w:rPr>
            </w:pPr>
          </w:p>
        </w:tc>
        <w:tc>
          <w:tcPr>
            <w:tcW w:w="1365" w:type="dxa"/>
            <w:vAlign w:val="center"/>
          </w:tcPr>
          <w:p>
            <w:pPr>
              <w:rPr>
                <w:rFonts w:ascii="宋体" w:hAnsi="宋体" w:cs="宋体"/>
                <w:sz w:val="24"/>
              </w:rPr>
            </w:pPr>
          </w:p>
        </w:tc>
        <w:tc>
          <w:tcPr>
            <w:tcW w:w="2625" w:type="dxa"/>
            <w:vAlign w:val="center"/>
          </w:tcPr>
          <w:p>
            <w:pPr>
              <w:rPr>
                <w:rFonts w:ascii="宋体" w:hAnsi="宋体" w:cs="宋体"/>
                <w:sz w:val="24"/>
              </w:rPr>
            </w:pPr>
          </w:p>
        </w:tc>
      </w:tr>
    </w:tbl>
    <w:p>
      <w:pPr>
        <w:spacing w:line="360" w:lineRule="auto"/>
        <w:rPr>
          <w:rFonts w:ascii="宋体" w:hAnsi="宋体" w:cs="宋体"/>
          <w:sz w:val="24"/>
        </w:rPr>
      </w:pPr>
    </w:p>
    <w:p>
      <w:pPr>
        <w:spacing w:line="360" w:lineRule="auto"/>
        <w:ind w:left="420"/>
        <w:rPr>
          <w:rFonts w:ascii="宋体" w:hAnsi="宋体" w:cs="宋体"/>
          <w:sz w:val="24"/>
          <w:u w:val="single"/>
        </w:rPr>
      </w:pPr>
      <w:r>
        <w:rPr>
          <w:rFonts w:hint="eastAsia" w:ascii="宋体" w:hAnsi="宋体" w:cs="宋体"/>
          <w:sz w:val="24"/>
        </w:rPr>
        <w:t>投标人名称</w:t>
      </w:r>
      <w:r>
        <w:rPr>
          <w:rFonts w:hint="eastAsia" w:ascii="宋体" w:hAnsi="宋体" w:cs="宋体"/>
          <w:spacing w:val="6"/>
          <w:sz w:val="24"/>
        </w:rPr>
        <w:t>（公章或CA签章）</w:t>
      </w:r>
      <w:r>
        <w:rPr>
          <w:rFonts w:hint="eastAsia" w:ascii="宋体" w:hAnsi="宋体" w:cs="宋体"/>
          <w:sz w:val="24"/>
        </w:rPr>
        <w:t>：</w:t>
      </w:r>
    </w:p>
    <w:p>
      <w:pPr>
        <w:spacing w:line="360" w:lineRule="auto"/>
        <w:ind w:left="420"/>
        <w:rPr>
          <w:rFonts w:ascii="宋体" w:hAnsi="宋体" w:cs="宋体"/>
          <w:sz w:val="24"/>
        </w:rPr>
      </w:pPr>
    </w:p>
    <w:p>
      <w:pPr>
        <w:spacing w:line="360" w:lineRule="auto"/>
        <w:ind w:firstLine="435"/>
        <w:rPr>
          <w:rFonts w:ascii="宋体" w:hAnsi="宋体" w:cs="宋体"/>
          <w:sz w:val="24"/>
        </w:rPr>
      </w:pPr>
      <w:r>
        <w:rPr>
          <w:rFonts w:hint="eastAsia" w:ascii="宋体" w:hAnsi="宋体" w:cs="宋体"/>
          <w:sz w:val="24"/>
        </w:rPr>
        <w:t>法定代表人(签字或盖章)或授权委托代理人(签字)：</w:t>
      </w:r>
    </w:p>
    <w:p>
      <w:pPr>
        <w:spacing w:line="360" w:lineRule="auto"/>
        <w:ind w:firstLine="435"/>
        <w:rPr>
          <w:rFonts w:ascii="宋体" w:hAnsi="宋体" w:cs="宋体"/>
          <w:sz w:val="24"/>
        </w:rPr>
      </w:pPr>
    </w:p>
    <w:p>
      <w:pPr>
        <w:spacing w:line="360" w:lineRule="auto"/>
        <w:ind w:firstLine="435"/>
        <w:rPr>
          <w:rFonts w:ascii="宋体" w:hAnsi="宋体" w:cs="宋体"/>
          <w:sz w:val="24"/>
          <w:u w:val="single"/>
        </w:rPr>
      </w:pPr>
      <w:r>
        <w:rPr>
          <w:rFonts w:hint="eastAsia" w:ascii="宋体" w:hAnsi="宋体" w:cs="宋体"/>
          <w:sz w:val="24"/>
        </w:rPr>
        <w:t>日        期：</w:t>
      </w:r>
    </w:p>
    <w:p>
      <w:pPr>
        <w:rPr>
          <w:rFonts w:ascii="宋体" w:hAnsi="宋体" w:cs="宋体"/>
          <w:b/>
          <w:sz w:val="28"/>
        </w:rPr>
      </w:pPr>
      <w:r>
        <w:rPr>
          <w:rFonts w:hint="eastAsia" w:ascii="宋体" w:hAnsi="宋体" w:cs="宋体"/>
          <w:b/>
          <w:sz w:val="28"/>
        </w:rPr>
        <w:br w:type="page"/>
      </w:r>
    </w:p>
    <w:p>
      <w:pPr>
        <w:rPr>
          <w:rFonts w:ascii="宋体" w:hAnsi="宋体" w:cs="宋体"/>
          <w:b/>
          <w:bCs/>
          <w:sz w:val="28"/>
          <w:szCs w:val="36"/>
        </w:rPr>
      </w:pPr>
      <w:r>
        <w:rPr>
          <w:rFonts w:hint="eastAsia" w:ascii="宋体" w:hAnsi="宋体" w:cs="宋体"/>
          <w:b/>
          <w:bCs/>
          <w:sz w:val="28"/>
          <w:szCs w:val="36"/>
          <w:lang w:val="zh-CN"/>
        </w:rPr>
        <w:t>附件</w:t>
      </w:r>
      <w:r>
        <w:rPr>
          <w:rFonts w:hint="eastAsia" w:ascii="宋体" w:hAnsi="宋体" w:cs="宋体"/>
          <w:b/>
          <w:bCs/>
          <w:sz w:val="28"/>
          <w:szCs w:val="36"/>
        </w:rPr>
        <w:t>11</w:t>
      </w:r>
    </w:p>
    <w:p>
      <w:pPr>
        <w:spacing w:line="360" w:lineRule="auto"/>
        <w:jc w:val="center"/>
        <w:rPr>
          <w:rFonts w:ascii="宋体" w:hAnsi="宋体" w:cs="宋体"/>
          <w:b/>
          <w:bCs/>
          <w:sz w:val="32"/>
          <w:szCs w:val="40"/>
          <w:lang w:val="zh-CN"/>
        </w:rPr>
      </w:pPr>
      <w:r>
        <w:rPr>
          <w:rFonts w:hint="eastAsia" w:ascii="宋体" w:hAnsi="宋体" w:cs="宋体"/>
          <w:b/>
          <w:bCs/>
          <w:sz w:val="32"/>
          <w:szCs w:val="40"/>
          <w:lang w:val="zh-CN"/>
        </w:rPr>
        <w:t>投标人基本情况表</w:t>
      </w:r>
    </w:p>
    <w:tbl>
      <w:tblPr>
        <w:tblStyle w:val="48"/>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80" w:type="dxa"/>
            <w:shd w:val="clear" w:color="auto" w:fill="auto"/>
            <w:vAlign w:val="center"/>
          </w:tcPr>
          <w:p>
            <w:pPr>
              <w:jc w:val="center"/>
              <w:rPr>
                <w:rFonts w:ascii="宋体" w:hAnsi="宋体" w:cs="宋体"/>
                <w:sz w:val="24"/>
              </w:rPr>
            </w:pPr>
            <w:r>
              <w:rPr>
                <w:rFonts w:hint="eastAsia" w:ascii="宋体" w:hAnsi="宋体" w:cs="宋体"/>
                <w:sz w:val="24"/>
              </w:rPr>
              <w:t>企业名称</w:t>
            </w:r>
          </w:p>
        </w:tc>
        <w:tc>
          <w:tcPr>
            <w:tcW w:w="3765" w:type="dxa"/>
            <w:gridSpan w:val="6"/>
            <w:shd w:val="clear" w:color="auto" w:fill="auto"/>
            <w:vAlign w:val="center"/>
          </w:tcPr>
          <w:p>
            <w:pPr>
              <w:jc w:val="center"/>
              <w:rPr>
                <w:rFonts w:ascii="宋体" w:hAnsi="宋体" w:cs="宋体"/>
                <w:sz w:val="24"/>
              </w:rPr>
            </w:pPr>
          </w:p>
        </w:tc>
        <w:tc>
          <w:tcPr>
            <w:tcW w:w="1560" w:type="dxa"/>
            <w:shd w:val="clear" w:color="auto" w:fill="auto"/>
            <w:vAlign w:val="center"/>
          </w:tcPr>
          <w:p>
            <w:pPr>
              <w:jc w:val="center"/>
              <w:rPr>
                <w:rFonts w:ascii="宋体" w:hAnsi="宋体" w:cs="宋体"/>
                <w:sz w:val="24"/>
              </w:rPr>
            </w:pPr>
            <w:r>
              <w:rPr>
                <w:rFonts w:hint="eastAsia" w:ascii="宋体" w:hAnsi="宋体" w:cs="宋体"/>
                <w:sz w:val="24"/>
              </w:rPr>
              <w:t>法人代表</w:t>
            </w:r>
          </w:p>
        </w:tc>
        <w:tc>
          <w:tcPr>
            <w:tcW w:w="2608" w:type="dxa"/>
            <w:gridSpan w:val="3"/>
            <w:shd w:val="clear" w:color="auto" w:fill="auto"/>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80" w:type="dxa"/>
            <w:shd w:val="clear" w:color="auto" w:fill="auto"/>
            <w:vAlign w:val="center"/>
          </w:tcPr>
          <w:p>
            <w:pPr>
              <w:jc w:val="center"/>
              <w:rPr>
                <w:rFonts w:ascii="宋体" w:hAnsi="宋体" w:cs="宋体"/>
                <w:sz w:val="24"/>
              </w:rPr>
            </w:pPr>
            <w:r>
              <w:rPr>
                <w:rFonts w:hint="eastAsia" w:ascii="宋体" w:hAnsi="宋体" w:cs="宋体"/>
                <w:sz w:val="24"/>
              </w:rPr>
              <w:t>地址</w:t>
            </w:r>
          </w:p>
        </w:tc>
        <w:tc>
          <w:tcPr>
            <w:tcW w:w="3765" w:type="dxa"/>
            <w:gridSpan w:val="6"/>
            <w:tcBorders>
              <w:bottom w:val="single" w:color="auto" w:sz="4" w:space="0"/>
            </w:tcBorders>
            <w:shd w:val="clear" w:color="auto" w:fill="auto"/>
            <w:vAlign w:val="center"/>
          </w:tcPr>
          <w:p>
            <w:pPr>
              <w:jc w:val="center"/>
              <w:rPr>
                <w:rFonts w:ascii="宋体" w:hAnsi="宋体" w:cs="宋体"/>
                <w:sz w:val="24"/>
              </w:rPr>
            </w:pPr>
          </w:p>
        </w:tc>
        <w:tc>
          <w:tcPr>
            <w:tcW w:w="1560" w:type="dxa"/>
            <w:shd w:val="clear" w:color="auto" w:fill="auto"/>
            <w:vAlign w:val="center"/>
          </w:tcPr>
          <w:p>
            <w:pPr>
              <w:jc w:val="center"/>
              <w:rPr>
                <w:rFonts w:ascii="宋体" w:hAnsi="宋体" w:cs="宋体"/>
                <w:sz w:val="24"/>
              </w:rPr>
            </w:pPr>
            <w:r>
              <w:rPr>
                <w:rFonts w:hint="eastAsia" w:ascii="宋体" w:hAnsi="宋体" w:cs="宋体"/>
                <w:sz w:val="24"/>
              </w:rPr>
              <w:t>企业性质</w:t>
            </w:r>
          </w:p>
        </w:tc>
        <w:tc>
          <w:tcPr>
            <w:tcW w:w="2608" w:type="dxa"/>
            <w:gridSpan w:val="3"/>
            <w:shd w:val="clear" w:color="auto" w:fill="auto"/>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880" w:type="dxa"/>
            <w:tcBorders>
              <w:bottom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股东姓名</w:t>
            </w:r>
          </w:p>
        </w:tc>
        <w:tc>
          <w:tcPr>
            <w:tcW w:w="690" w:type="dxa"/>
            <w:tcBorders>
              <w:bottom w:val="single" w:color="auto" w:sz="4" w:space="0"/>
            </w:tcBorders>
            <w:shd w:val="clear" w:color="auto" w:fill="auto"/>
            <w:vAlign w:val="center"/>
          </w:tcPr>
          <w:p>
            <w:pPr>
              <w:jc w:val="center"/>
              <w:rPr>
                <w:rFonts w:ascii="宋体" w:hAnsi="宋体" w:cs="宋体"/>
                <w:sz w:val="24"/>
              </w:rPr>
            </w:pPr>
          </w:p>
        </w:tc>
        <w:tc>
          <w:tcPr>
            <w:tcW w:w="960" w:type="dxa"/>
            <w:gridSpan w:val="2"/>
            <w:tcBorders>
              <w:bottom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股权结构（%）</w:t>
            </w:r>
          </w:p>
        </w:tc>
        <w:tc>
          <w:tcPr>
            <w:tcW w:w="2115" w:type="dxa"/>
            <w:gridSpan w:val="3"/>
            <w:tcBorders>
              <w:bottom w:val="single" w:color="auto" w:sz="4" w:space="0"/>
            </w:tcBorders>
            <w:shd w:val="clear" w:color="auto" w:fill="auto"/>
            <w:vAlign w:val="center"/>
          </w:tcPr>
          <w:p>
            <w:pPr>
              <w:jc w:val="center"/>
              <w:rPr>
                <w:rFonts w:ascii="宋体" w:hAnsi="宋体" w:cs="宋体"/>
                <w:sz w:val="24"/>
              </w:rPr>
            </w:pPr>
          </w:p>
          <w:p>
            <w:pPr>
              <w:jc w:val="center"/>
              <w:rPr>
                <w:rFonts w:ascii="宋体" w:hAnsi="宋体" w:cs="宋体"/>
                <w:sz w:val="24"/>
              </w:rPr>
            </w:pPr>
          </w:p>
        </w:tc>
        <w:tc>
          <w:tcPr>
            <w:tcW w:w="1560" w:type="dxa"/>
            <w:shd w:val="clear" w:color="auto" w:fill="auto"/>
            <w:vAlign w:val="center"/>
          </w:tcPr>
          <w:p>
            <w:pPr>
              <w:jc w:val="center"/>
              <w:rPr>
                <w:rFonts w:ascii="宋体" w:hAnsi="宋体" w:cs="宋体"/>
                <w:sz w:val="24"/>
              </w:rPr>
            </w:pPr>
            <w:r>
              <w:rPr>
                <w:rFonts w:hint="eastAsia" w:ascii="宋体" w:hAnsi="宋体" w:cs="宋体"/>
                <w:sz w:val="24"/>
              </w:rPr>
              <w:t>股东关系</w:t>
            </w:r>
          </w:p>
        </w:tc>
        <w:tc>
          <w:tcPr>
            <w:tcW w:w="2608" w:type="dxa"/>
            <w:gridSpan w:val="3"/>
            <w:shd w:val="clear" w:color="auto" w:fill="auto"/>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80" w:type="dxa"/>
            <w:vMerge w:val="restart"/>
            <w:shd w:val="clear" w:color="auto" w:fill="auto"/>
            <w:vAlign w:val="center"/>
          </w:tcPr>
          <w:p>
            <w:pPr>
              <w:jc w:val="center"/>
              <w:rPr>
                <w:rFonts w:ascii="宋体" w:hAnsi="宋体" w:cs="宋体"/>
                <w:sz w:val="24"/>
              </w:rPr>
            </w:pPr>
            <w:r>
              <w:rPr>
                <w:rFonts w:hint="eastAsia" w:ascii="宋体" w:hAnsi="宋体" w:cs="宋体"/>
                <w:sz w:val="24"/>
              </w:rPr>
              <w:t>联系人姓名</w:t>
            </w:r>
          </w:p>
        </w:tc>
        <w:tc>
          <w:tcPr>
            <w:tcW w:w="690" w:type="dxa"/>
            <w:vMerge w:val="restart"/>
            <w:tcBorders>
              <w:top w:val="nil"/>
            </w:tcBorders>
            <w:shd w:val="clear" w:color="auto" w:fill="auto"/>
            <w:vAlign w:val="center"/>
          </w:tcPr>
          <w:p>
            <w:pPr>
              <w:jc w:val="center"/>
              <w:rPr>
                <w:rFonts w:ascii="宋体" w:hAnsi="宋体" w:cs="宋体"/>
                <w:sz w:val="24"/>
              </w:rPr>
            </w:pPr>
          </w:p>
        </w:tc>
        <w:tc>
          <w:tcPr>
            <w:tcW w:w="960" w:type="dxa"/>
            <w:gridSpan w:val="2"/>
            <w:tcBorders>
              <w:top w:val="nil"/>
              <w:bottom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固定电话</w:t>
            </w:r>
          </w:p>
        </w:tc>
        <w:tc>
          <w:tcPr>
            <w:tcW w:w="2115" w:type="dxa"/>
            <w:gridSpan w:val="3"/>
            <w:tcBorders>
              <w:top w:val="nil"/>
              <w:bottom w:val="single" w:color="auto" w:sz="4" w:space="0"/>
            </w:tcBorders>
            <w:shd w:val="clear" w:color="auto" w:fill="auto"/>
            <w:vAlign w:val="center"/>
          </w:tcPr>
          <w:p>
            <w:pPr>
              <w:jc w:val="center"/>
              <w:rPr>
                <w:rFonts w:ascii="宋体" w:hAnsi="宋体" w:cs="宋体"/>
                <w:sz w:val="24"/>
              </w:rPr>
            </w:pPr>
          </w:p>
          <w:p>
            <w:pPr>
              <w:jc w:val="center"/>
              <w:rPr>
                <w:rFonts w:ascii="宋体" w:hAnsi="宋体" w:cs="宋体"/>
                <w:sz w:val="24"/>
              </w:rPr>
            </w:pPr>
          </w:p>
        </w:tc>
        <w:tc>
          <w:tcPr>
            <w:tcW w:w="1560" w:type="dxa"/>
            <w:vMerge w:val="restart"/>
            <w:shd w:val="clear" w:color="auto" w:fill="auto"/>
            <w:vAlign w:val="center"/>
          </w:tcPr>
          <w:p>
            <w:pPr>
              <w:jc w:val="center"/>
              <w:rPr>
                <w:rFonts w:ascii="宋体" w:hAnsi="宋体" w:cs="宋体"/>
                <w:sz w:val="24"/>
              </w:rPr>
            </w:pPr>
            <w:r>
              <w:rPr>
                <w:rFonts w:hint="eastAsia" w:ascii="宋体" w:hAnsi="宋体" w:cs="宋体"/>
                <w:sz w:val="24"/>
              </w:rPr>
              <w:t>传真</w:t>
            </w:r>
          </w:p>
        </w:tc>
        <w:tc>
          <w:tcPr>
            <w:tcW w:w="2608" w:type="dxa"/>
            <w:gridSpan w:val="3"/>
            <w:vMerge w:val="restart"/>
            <w:shd w:val="clear" w:color="auto" w:fill="auto"/>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80" w:type="dxa"/>
            <w:vMerge w:val="continue"/>
            <w:tcBorders>
              <w:bottom w:val="single" w:color="auto" w:sz="4" w:space="0"/>
            </w:tcBorders>
            <w:shd w:val="clear" w:color="auto" w:fill="auto"/>
            <w:vAlign w:val="center"/>
          </w:tcPr>
          <w:p>
            <w:pPr>
              <w:jc w:val="center"/>
              <w:rPr>
                <w:rFonts w:ascii="宋体" w:hAnsi="宋体" w:cs="宋体"/>
                <w:sz w:val="24"/>
              </w:rPr>
            </w:pPr>
          </w:p>
        </w:tc>
        <w:tc>
          <w:tcPr>
            <w:tcW w:w="690" w:type="dxa"/>
            <w:vMerge w:val="continue"/>
            <w:tcBorders>
              <w:bottom w:val="single" w:color="auto" w:sz="4" w:space="0"/>
            </w:tcBorders>
            <w:shd w:val="clear" w:color="auto" w:fill="auto"/>
            <w:vAlign w:val="center"/>
          </w:tcPr>
          <w:p>
            <w:pPr>
              <w:jc w:val="center"/>
              <w:rPr>
                <w:rFonts w:ascii="宋体" w:hAnsi="宋体" w:cs="宋体"/>
                <w:sz w:val="24"/>
              </w:rPr>
            </w:pPr>
          </w:p>
        </w:tc>
        <w:tc>
          <w:tcPr>
            <w:tcW w:w="960" w:type="dxa"/>
            <w:gridSpan w:val="2"/>
            <w:tcBorders>
              <w:bottom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手机</w:t>
            </w:r>
          </w:p>
        </w:tc>
        <w:tc>
          <w:tcPr>
            <w:tcW w:w="2115" w:type="dxa"/>
            <w:gridSpan w:val="3"/>
            <w:tcBorders>
              <w:bottom w:val="single" w:color="auto" w:sz="4" w:space="0"/>
            </w:tcBorders>
            <w:shd w:val="clear" w:color="auto" w:fill="auto"/>
            <w:vAlign w:val="center"/>
          </w:tcPr>
          <w:p>
            <w:pPr>
              <w:jc w:val="center"/>
              <w:rPr>
                <w:rFonts w:ascii="宋体" w:hAnsi="宋体" w:cs="宋体"/>
                <w:sz w:val="24"/>
              </w:rPr>
            </w:pPr>
          </w:p>
        </w:tc>
        <w:tc>
          <w:tcPr>
            <w:tcW w:w="1560" w:type="dxa"/>
            <w:vMerge w:val="continue"/>
            <w:shd w:val="clear" w:color="auto" w:fill="auto"/>
            <w:vAlign w:val="center"/>
          </w:tcPr>
          <w:p>
            <w:pPr>
              <w:jc w:val="center"/>
              <w:rPr>
                <w:rFonts w:ascii="宋体" w:hAnsi="宋体" w:cs="宋体"/>
                <w:sz w:val="24"/>
              </w:rPr>
            </w:pPr>
          </w:p>
        </w:tc>
        <w:tc>
          <w:tcPr>
            <w:tcW w:w="2608" w:type="dxa"/>
            <w:gridSpan w:val="3"/>
            <w:vMerge w:val="continue"/>
            <w:shd w:val="clear" w:color="auto" w:fill="auto"/>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80" w:type="dxa"/>
            <w:vMerge w:val="restart"/>
            <w:shd w:val="clear" w:color="auto" w:fill="auto"/>
            <w:vAlign w:val="center"/>
          </w:tcPr>
          <w:p>
            <w:pPr>
              <w:jc w:val="center"/>
              <w:rPr>
                <w:rFonts w:ascii="宋体" w:hAnsi="宋体" w:cs="宋体"/>
                <w:sz w:val="24"/>
              </w:rPr>
            </w:pPr>
            <w:r>
              <w:rPr>
                <w:rFonts w:hint="eastAsia" w:ascii="宋体" w:hAnsi="宋体" w:cs="宋体"/>
                <w:sz w:val="24"/>
              </w:rPr>
              <w:t>1.</w:t>
            </w:r>
          </w:p>
          <w:p>
            <w:pPr>
              <w:jc w:val="center"/>
              <w:rPr>
                <w:rFonts w:ascii="宋体" w:hAnsi="宋体" w:cs="宋体"/>
                <w:sz w:val="24"/>
              </w:rPr>
            </w:pPr>
            <w:r>
              <w:rPr>
                <w:rFonts w:hint="eastAsia" w:ascii="宋体" w:hAnsi="宋体" w:cs="宋体"/>
                <w:sz w:val="24"/>
              </w:rPr>
              <w:t>企</w:t>
            </w:r>
          </w:p>
          <w:p>
            <w:pPr>
              <w:jc w:val="center"/>
              <w:rPr>
                <w:rFonts w:ascii="宋体" w:hAnsi="宋体" w:cs="宋体"/>
                <w:sz w:val="24"/>
              </w:rPr>
            </w:pPr>
            <w:r>
              <w:rPr>
                <w:rFonts w:hint="eastAsia" w:ascii="宋体" w:hAnsi="宋体" w:cs="宋体"/>
                <w:sz w:val="24"/>
              </w:rPr>
              <w:t>业</w:t>
            </w:r>
          </w:p>
          <w:p>
            <w:pPr>
              <w:jc w:val="center"/>
              <w:rPr>
                <w:rFonts w:ascii="宋体" w:hAnsi="宋体" w:cs="宋体"/>
                <w:sz w:val="24"/>
              </w:rPr>
            </w:pPr>
            <w:r>
              <w:rPr>
                <w:rFonts w:hint="eastAsia" w:ascii="宋体" w:hAnsi="宋体" w:cs="宋体"/>
                <w:sz w:val="24"/>
              </w:rPr>
              <w:t>概</w:t>
            </w:r>
          </w:p>
          <w:p>
            <w:pPr>
              <w:jc w:val="center"/>
              <w:rPr>
                <w:rFonts w:ascii="宋体" w:hAnsi="宋体" w:cs="宋体"/>
                <w:sz w:val="24"/>
              </w:rPr>
            </w:pPr>
            <w:r>
              <w:rPr>
                <w:rFonts w:hint="eastAsia" w:ascii="宋体" w:hAnsi="宋体" w:cs="宋体"/>
                <w:sz w:val="24"/>
              </w:rPr>
              <w:t>况</w:t>
            </w:r>
          </w:p>
        </w:tc>
        <w:tc>
          <w:tcPr>
            <w:tcW w:w="690" w:type="dxa"/>
            <w:tcBorders>
              <w:top w:val="nil"/>
            </w:tcBorders>
            <w:shd w:val="clear" w:color="auto" w:fill="auto"/>
            <w:vAlign w:val="center"/>
          </w:tcPr>
          <w:p>
            <w:pPr>
              <w:jc w:val="center"/>
              <w:rPr>
                <w:rFonts w:ascii="宋体" w:hAnsi="宋体" w:cs="宋体"/>
                <w:sz w:val="24"/>
              </w:rPr>
            </w:pPr>
            <w:r>
              <w:rPr>
                <w:rFonts w:hint="eastAsia" w:ascii="宋体" w:hAnsi="宋体" w:cs="宋体"/>
                <w:sz w:val="24"/>
              </w:rPr>
              <w:t>职工人数</w:t>
            </w:r>
          </w:p>
        </w:tc>
        <w:tc>
          <w:tcPr>
            <w:tcW w:w="960" w:type="dxa"/>
            <w:gridSpan w:val="2"/>
            <w:tcBorders>
              <w:top w:val="nil"/>
            </w:tcBorders>
            <w:shd w:val="clear" w:color="auto" w:fill="auto"/>
            <w:vAlign w:val="center"/>
          </w:tcPr>
          <w:p>
            <w:pPr>
              <w:jc w:val="center"/>
              <w:rPr>
                <w:rFonts w:ascii="宋体" w:hAnsi="宋体" w:cs="宋体"/>
                <w:sz w:val="24"/>
              </w:rPr>
            </w:pPr>
          </w:p>
        </w:tc>
        <w:tc>
          <w:tcPr>
            <w:tcW w:w="926" w:type="dxa"/>
            <w:tcBorders>
              <w:top w:val="nil"/>
            </w:tcBorders>
            <w:shd w:val="clear" w:color="auto" w:fill="auto"/>
            <w:vAlign w:val="center"/>
          </w:tcPr>
          <w:p>
            <w:pPr>
              <w:jc w:val="center"/>
              <w:rPr>
                <w:rFonts w:ascii="宋体" w:hAnsi="宋体" w:cs="宋体"/>
                <w:sz w:val="24"/>
              </w:rPr>
            </w:pPr>
            <w:r>
              <w:rPr>
                <w:rFonts w:hint="eastAsia" w:ascii="宋体" w:hAnsi="宋体" w:cs="宋体"/>
                <w:sz w:val="24"/>
              </w:rPr>
              <w:t>具备大专以上学历人数</w:t>
            </w:r>
          </w:p>
        </w:tc>
        <w:tc>
          <w:tcPr>
            <w:tcW w:w="1189" w:type="dxa"/>
            <w:gridSpan w:val="2"/>
            <w:tcBorders>
              <w:top w:val="nil"/>
            </w:tcBorders>
            <w:shd w:val="clear" w:color="auto" w:fill="auto"/>
            <w:vAlign w:val="center"/>
          </w:tcPr>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tc>
        <w:tc>
          <w:tcPr>
            <w:tcW w:w="1560" w:type="dxa"/>
            <w:shd w:val="clear" w:color="auto" w:fill="auto"/>
            <w:vAlign w:val="center"/>
          </w:tcPr>
          <w:p>
            <w:pPr>
              <w:jc w:val="center"/>
              <w:rPr>
                <w:rFonts w:ascii="宋体" w:hAnsi="宋体" w:cs="宋体"/>
                <w:sz w:val="24"/>
              </w:rPr>
            </w:pPr>
            <w:r>
              <w:rPr>
                <w:rFonts w:hint="eastAsia" w:ascii="宋体" w:hAnsi="宋体" w:cs="宋体"/>
                <w:sz w:val="24"/>
              </w:rPr>
              <w:t>国家授予技术职称人数</w:t>
            </w:r>
          </w:p>
        </w:tc>
        <w:tc>
          <w:tcPr>
            <w:tcW w:w="2608" w:type="dxa"/>
            <w:gridSpan w:val="3"/>
            <w:shd w:val="clear" w:color="auto" w:fill="auto"/>
            <w:vAlign w:val="center"/>
          </w:tcPr>
          <w:p>
            <w:pPr>
              <w:jc w:val="center"/>
              <w:rPr>
                <w:rFonts w:ascii="宋体" w:hAnsi="宋体" w:cs="宋体"/>
                <w:sz w:val="24"/>
              </w:rPr>
            </w:pPr>
          </w:p>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880" w:type="dxa"/>
            <w:vMerge w:val="continue"/>
            <w:shd w:val="clear" w:color="auto" w:fill="auto"/>
            <w:vAlign w:val="center"/>
          </w:tcPr>
          <w:p>
            <w:pPr>
              <w:jc w:val="center"/>
              <w:rPr>
                <w:rFonts w:ascii="宋体" w:hAnsi="宋体" w:cs="宋体"/>
                <w:sz w:val="24"/>
              </w:rPr>
            </w:pPr>
          </w:p>
        </w:tc>
        <w:tc>
          <w:tcPr>
            <w:tcW w:w="690" w:type="dxa"/>
            <w:shd w:val="clear" w:color="auto" w:fill="auto"/>
            <w:vAlign w:val="center"/>
          </w:tcPr>
          <w:p>
            <w:pPr>
              <w:jc w:val="center"/>
              <w:rPr>
                <w:rFonts w:ascii="宋体" w:hAnsi="宋体" w:cs="宋体"/>
                <w:sz w:val="24"/>
              </w:rPr>
            </w:pPr>
            <w:r>
              <w:rPr>
                <w:rFonts w:hint="eastAsia" w:ascii="宋体" w:hAnsi="宋体" w:cs="宋体"/>
                <w:sz w:val="24"/>
              </w:rPr>
              <w:t>占地面积</w:t>
            </w:r>
          </w:p>
        </w:tc>
        <w:tc>
          <w:tcPr>
            <w:tcW w:w="960" w:type="dxa"/>
            <w:gridSpan w:val="2"/>
            <w:shd w:val="clear" w:color="auto" w:fill="auto"/>
            <w:vAlign w:val="center"/>
          </w:tcPr>
          <w:p>
            <w:pPr>
              <w:jc w:val="center"/>
              <w:rPr>
                <w:rFonts w:ascii="宋体" w:hAnsi="宋体" w:cs="宋体"/>
                <w:sz w:val="24"/>
              </w:rPr>
            </w:pPr>
          </w:p>
        </w:tc>
        <w:tc>
          <w:tcPr>
            <w:tcW w:w="926" w:type="dxa"/>
            <w:shd w:val="clear" w:color="auto" w:fill="auto"/>
            <w:vAlign w:val="center"/>
          </w:tcPr>
          <w:p>
            <w:pPr>
              <w:jc w:val="center"/>
              <w:rPr>
                <w:rFonts w:ascii="宋体" w:hAnsi="宋体" w:cs="宋体"/>
                <w:sz w:val="24"/>
              </w:rPr>
            </w:pPr>
            <w:r>
              <w:rPr>
                <w:rFonts w:hint="eastAsia" w:ascii="宋体" w:hAnsi="宋体" w:cs="宋体"/>
                <w:sz w:val="24"/>
              </w:rPr>
              <w:t>建筑面积</w:t>
            </w:r>
          </w:p>
        </w:tc>
        <w:tc>
          <w:tcPr>
            <w:tcW w:w="1189" w:type="dxa"/>
            <w:gridSpan w:val="2"/>
            <w:shd w:val="clear" w:color="auto" w:fill="auto"/>
            <w:vAlign w:val="center"/>
          </w:tcPr>
          <w:p>
            <w:pPr>
              <w:jc w:val="center"/>
              <w:rPr>
                <w:rFonts w:ascii="宋体" w:hAnsi="宋体" w:cs="宋体"/>
                <w:sz w:val="24"/>
              </w:rPr>
            </w:pPr>
            <w:r>
              <w:rPr>
                <w:rFonts w:hint="eastAsia" w:ascii="宋体" w:hAnsi="宋体" w:cs="宋体"/>
                <w:sz w:val="24"/>
              </w:rPr>
              <w:t>平方米</w:t>
            </w:r>
          </w:p>
          <w:p>
            <w:pPr>
              <w:jc w:val="center"/>
              <w:rPr>
                <w:rFonts w:ascii="宋体" w:hAnsi="宋体" w:cs="宋体"/>
                <w:sz w:val="24"/>
              </w:rPr>
            </w:pPr>
            <w:r>
              <w:rPr>
                <w:rFonts w:hint="eastAsia" w:ascii="宋体" w:hAnsi="宋体" w:cs="宋体"/>
                <w:sz w:val="24"/>
              </w:rPr>
              <w:t>□自有</w:t>
            </w:r>
          </w:p>
          <w:p>
            <w:pPr>
              <w:jc w:val="center"/>
              <w:rPr>
                <w:rFonts w:ascii="宋体" w:hAnsi="宋体" w:cs="宋体"/>
                <w:sz w:val="24"/>
              </w:rPr>
            </w:pPr>
            <w:r>
              <w:rPr>
                <w:rFonts w:hint="eastAsia" w:ascii="宋体" w:hAnsi="宋体" w:cs="宋体"/>
                <w:sz w:val="24"/>
              </w:rPr>
              <w:t>□租赁</w:t>
            </w:r>
          </w:p>
        </w:tc>
        <w:tc>
          <w:tcPr>
            <w:tcW w:w="1560" w:type="dxa"/>
            <w:shd w:val="clear" w:color="auto" w:fill="auto"/>
            <w:vAlign w:val="center"/>
          </w:tcPr>
          <w:p>
            <w:pPr>
              <w:jc w:val="center"/>
              <w:rPr>
                <w:rFonts w:ascii="宋体" w:hAnsi="宋体" w:cs="宋体"/>
                <w:sz w:val="24"/>
              </w:rPr>
            </w:pPr>
            <w:r>
              <w:rPr>
                <w:rFonts w:hint="eastAsia" w:ascii="宋体" w:hAnsi="宋体" w:cs="宋体"/>
                <w:sz w:val="24"/>
              </w:rPr>
              <w:t>生产经营场所及场所的设施与设备</w:t>
            </w:r>
          </w:p>
        </w:tc>
        <w:tc>
          <w:tcPr>
            <w:tcW w:w="2608" w:type="dxa"/>
            <w:gridSpan w:val="3"/>
            <w:shd w:val="clear" w:color="auto" w:fill="auto"/>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80" w:type="dxa"/>
            <w:vMerge w:val="continue"/>
            <w:shd w:val="clear" w:color="auto" w:fill="auto"/>
            <w:vAlign w:val="center"/>
          </w:tcPr>
          <w:p>
            <w:pPr>
              <w:jc w:val="center"/>
              <w:rPr>
                <w:rFonts w:ascii="宋体" w:hAnsi="宋体" w:cs="宋体"/>
                <w:sz w:val="24"/>
              </w:rPr>
            </w:pPr>
          </w:p>
        </w:tc>
        <w:tc>
          <w:tcPr>
            <w:tcW w:w="690" w:type="dxa"/>
            <w:shd w:val="clear" w:color="auto" w:fill="auto"/>
            <w:vAlign w:val="center"/>
          </w:tcPr>
          <w:p>
            <w:pPr>
              <w:jc w:val="center"/>
              <w:rPr>
                <w:rFonts w:ascii="宋体" w:hAnsi="宋体" w:cs="宋体"/>
                <w:sz w:val="24"/>
              </w:rPr>
            </w:pPr>
            <w:r>
              <w:rPr>
                <w:rFonts w:hint="eastAsia" w:ascii="宋体" w:hAnsi="宋体" w:cs="宋体"/>
                <w:sz w:val="24"/>
              </w:rPr>
              <w:t>注册资金</w:t>
            </w:r>
          </w:p>
        </w:tc>
        <w:tc>
          <w:tcPr>
            <w:tcW w:w="960" w:type="dxa"/>
            <w:gridSpan w:val="2"/>
            <w:shd w:val="clear" w:color="auto" w:fill="auto"/>
            <w:vAlign w:val="center"/>
          </w:tcPr>
          <w:p>
            <w:pPr>
              <w:jc w:val="center"/>
              <w:rPr>
                <w:rFonts w:ascii="宋体" w:hAnsi="宋体" w:cs="宋体"/>
                <w:sz w:val="24"/>
              </w:rPr>
            </w:pPr>
          </w:p>
        </w:tc>
        <w:tc>
          <w:tcPr>
            <w:tcW w:w="926" w:type="dxa"/>
            <w:shd w:val="clear" w:color="auto" w:fill="auto"/>
            <w:vAlign w:val="center"/>
          </w:tcPr>
          <w:p>
            <w:pPr>
              <w:jc w:val="center"/>
              <w:rPr>
                <w:rFonts w:ascii="宋体" w:hAnsi="宋体" w:cs="宋体"/>
                <w:sz w:val="24"/>
              </w:rPr>
            </w:pPr>
            <w:r>
              <w:rPr>
                <w:rFonts w:hint="eastAsia" w:ascii="宋体" w:hAnsi="宋体" w:cs="宋体"/>
                <w:sz w:val="24"/>
              </w:rPr>
              <w:t>注册发证机关</w:t>
            </w:r>
          </w:p>
        </w:tc>
        <w:tc>
          <w:tcPr>
            <w:tcW w:w="2749" w:type="dxa"/>
            <w:gridSpan w:val="3"/>
            <w:shd w:val="clear" w:color="auto" w:fill="auto"/>
            <w:vAlign w:val="center"/>
          </w:tcPr>
          <w:p>
            <w:pPr>
              <w:jc w:val="center"/>
              <w:rPr>
                <w:rFonts w:ascii="宋体" w:hAnsi="宋体" w:cs="宋体"/>
                <w:sz w:val="24"/>
              </w:rPr>
            </w:pPr>
          </w:p>
          <w:p>
            <w:pPr>
              <w:jc w:val="center"/>
              <w:rPr>
                <w:rFonts w:ascii="宋体" w:hAnsi="宋体" w:cs="宋体"/>
                <w:sz w:val="24"/>
              </w:rPr>
            </w:pPr>
          </w:p>
        </w:tc>
        <w:tc>
          <w:tcPr>
            <w:tcW w:w="1675" w:type="dxa"/>
            <w:gridSpan w:val="2"/>
            <w:shd w:val="clear" w:color="auto" w:fill="auto"/>
            <w:vAlign w:val="center"/>
          </w:tcPr>
          <w:p>
            <w:pPr>
              <w:jc w:val="center"/>
              <w:rPr>
                <w:rFonts w:ascii="宋体" w:hAnsi="宋体" w:cs="宋体"/>
                <w:sz w:val="24"/>
              </w:rPr>
            </w:pPr>
            <w:r>
              <w:rPr>
                <w:rFonts w:hint="eastAsia" w:ascii="宋体" w:hAnsi="宋体" w:cs="宋体"/>
                <w:sz w:val="24"/>
              </w:rPr>
              <w:t>公司成立时间</w:t>
            </w:r>
          </w:p>
        </w:tc>
        <w:tc>
          <w:tcPr>
            <w:tcW w:w="933" w:type="dxa"/>
            <w:shd w:val="clear" w:color="auto" w:fill="auto"/>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880" w:type="dxa"/>
            <w:vMerge w:val="continue"/>
            <w:shd w:val="clear" w:color="auto" w:fill="auto"/>
            <w:vAlign w:val="center"/>
          </w:tcPr>
          <w:p>
            <w:pPr>
              <w:jc w:val="center"/>
              <w:rPr>
                <w:rFonts w:ascii="宋体" w:hAnsi="宋体" w:cs="宋体"/>
                <w:sz w:val="24"/>
              </w:rPr>
            </w:pPr>
          </w:p>
        </w:tc>
        <w:tc>
          <w:tcPr>
            <w:tcW w:w="690" w:type="dxa"/>
            <w:shd w:val="clear" w:color="auto" w:fill="auto"/>
            <w:vAlign w:val="center"/>
          </w:tcPr>
          <w:p>
            <w:pPr>
              <w:jc w:val="center"/>
              <w:rPr>
                <w:rFonts w:ascii="宋体" w:hAnsi="宋体" w:cs="宋体"/>
                <w:sz w:val="24"/>
              </w:rPr>
            </w:pPr>
            <w:r>
              <w:rPr>
                <w:rFonts w:hint="eastAsia" w:ascii="宋体" w:hAnsi="宋体" w:cs="宋体"/>
                <w:sz w:val="24"/>
              </w:rPr>
              <w:t>核准经营范围</w:t>
            </w:r>
          </w:p>
        </w:tc>
        <w:tc>
          <w:tcPr>
            <w:tcW w:w="7243" w:type="dxa"/>
            <w:gridSpan w:val="9"/>
            <w:shd w:val="clear" w:color="auto" w:fill="auto"/>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80" w:type="dxa"/>
            <w:vMerge w:val="continue"/>
            <w:shd w:val="clear" w:color="auto" w:fill="auto"/>
            <w:vAlign w:val="center"/>
          </w:tcPr>
          <w:p>
            <w:pPr>
              <w:jc w:val="center"/>
              <w:rPr>
                <w:rFonts w:ascii="宋体" w:hAnsi="宋体" w:cs="宋体"/>
                <w:sz w:val="24"/>
              </w:rPr>
            </w:pPr>
          </w:p>
        </w:tc>
        <w:tc>
          <w:tcPr>
            <w:tcW w:w="7933" w:type="dxa"/>
            <w:gridSpan w:val="10"/>
            <w:shd w:val="clear" w:color="auto" w:fill="auto"/>
            <w:vAlign w:val="center"/>
          </w:tcPr>
          <w:p>
            <w:pPr>
              <w:jc w:val="center"/>
              <w:rPr>
                <w:rFonts w:ascii="宋体" w:hAnsi="宋体" w:cs="宋体"/>
                <w:sz w:val="24"/>
              </w:rPr>
            </w:pPr>
            <w:r>
              <w:rPr>
                <w:rFonts w:hint="eastAsia" w:ascii="宋体" w:hAnsi="宋体" w:cs="宋体"/>
                <w:sz w:val="24"/>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0" w:type="dxa"/>
            <w:vMerge w:val="restart"/>
            <w:shd w:val="clear" w:color="auto" w:fill="auto"/>
            <w:vAlign w:val="center"/>
          </w:tcPr>
          <w:p>
            <w:pPr>
              <w:jc w:val="center"/>
              <w:rPr>
                <w:rFonts w:ascii="宋体" w:hAnsi="宋体" w:cs="宋体"/>
                <w:sz w:val="24"/>
              </w:rPr>
            </w:pPr>
            <w:r>
              <w:rPr>
                <w:rFonts w:hint="eastAsia" w:ascii="宋体" w:hAnsi="宋体" w:cs="宋体"/>
                <w:sz w:val="24"/>
              </w:rPr>
              <w:t>2．</w:t>
            </w:r>
          </w:p>
          <w:p>
            <w:pPr>
              <w:jc w:val="center"/>
              <w:rPr>
                <w:rFonts w:ascii="宋体" w:hAnsi="宋体" w:cs="宋体"/>
                <w:sz w:val="24"/>
              </w:rPr>
            </w:pPr>
            <w:r>
              <w:rPr>
                <w:rFonts w:hint="eastAsia" w:ascii="宋体" w:hAnsi="宋体" w:cs="宋体"/>
                <w:sz w:val="24"/>
              </w:rPr>
              <w:t>企业有关资质获证情况</w:t>
            </w:r>
          </w:p>
        </w:tc>
        <w:tc>
          <w:tcPr>
            <w:tcW w:w="1355" w:type="dxa"/>
            <w:gridSpan w:val="2"/>
            <w:vMerge w:val="restart"/>
            <w:shd w:val="clear" w:color="auto" w:fill="auto"/>
            <w:vAlign w:val="center"/>
          </w:tcPr>
          <w:p>
            <w:pPr>
              <w:jc w:val="center"/>
              <w:rPr>
                <w:rFonts w:ascii="宋体" w:hAnsi="宋体" w:cs="宋体"/>
                <w:sz w:val="24"/>
              </w:rPr>
            </w:pPr>
            <w:r>
              <w:rPr>
                <w:rFonts w:hint="eastAsia" w:ascii="宋体" w:hAnsi="宋体" w:cs="宋体"/>
                <w:sz w:val="24"/>
              </w:rPr>
              <w:t>产品生产许可证情况（对需获得生产许可证的产品要填写此栏）</w:t>
            </w:r>
          </w:p>
        </w:tc>
        <w:tc>
          <w:tcPr>
            <w:tcW w:w="1333" w:type="dxa"/>
            <w:gridSpan w:val="3"/>
            <w:shd w:val="clear" w:color="auto" w:fill="auto"/>
            <w:vAlign w:val="center"/>
          </w:tcPr>
          <w:p>
            <w:pPr>
              <w:jc w:val="center"/>
              <w:rPr>
                <w:rFonts w:ascii="宋体" w:hAnsi="宋体" w:cs="宋体"/>
                <w:sz w:val="24"/>
              </w:rPr>
            </w:pPr>
            <w:r>
              <w:rPr>
                <w:rFonts w:hint="eastAsia" w:ascii="宋体" w:hAnsi="宋体" w:cs="宋体"/>
                <w:sz w:val="24"/>
              </w:rPr>
              <w:t>产品名称</w:t>
            </w:r>
          </w:p>
        </w:tc>
        <w:tc>
          <w:tcPr>
            <w:tcW w:w="1077" w:type="dxa"/>
            <w:shd w:val="clear" w:color="auto" w:fill="auto"/>
            <w:vAlign w:val="center"/>
          </w:tcPr>
          <w:p>
            <w:pPr>
              <w:jc w:val="center"/>
              <w:rPr>
                <w:rFonts w:ascii="宋体" w:hAnsi="宋体" w:cs="宋体"/>
                <w:sz w:val="24"/>
              </w:rPr>
            </w:pPr>
            <w:r>
              <w:rPr>
                <w:rFonts w:hint="eastAsia" w:ascii="宋体" w:hAnsi="宋体" w:cs="宋体"/>
                <w:sz w:val="24"/>
              </w:rPr>
              <w:t>发证机关</w:t>
            </w:r>
          </w:p>
        </w:tc>
        <w:tc>
          <w:tcPr>
            <w:tcW w:w="1617" w:type="dxa"/>
            <w:gridSpan w:val="2"/>
            <w:shd w:val="clear" w:color="auto" w:fill="auto"/>
            <w:vAlign w:val="center"/>
          </w:tcPr>
          <w:p>
            <w:pPr>
              <w:jc w:val="center"/>
              <w:rPr>
                <w:rFonts w:ascii="宋体" w:hAnsi="宋体" w:cs="宋体"/>
                <w:sz w:val="24"/>
              </w:rPr>
            </w:pPr>
            <w:r>
              <w:rPr>
                <w:rFonts w:hint="eastAsia" w:ascii="宋体" w:hAnsi="宋体" w:cs="宋体"/>
                <w:sz w:val="24"/>
              </w:rPr>
              <w:t>编号</w:t>
            </w:r>
          </w:p>
        </w:tc>
        <w:tc>
          <w:tcPr>
            <w:tcW w:w="1618" w:type="dxa"/>
            <w:shd w:val="clear" w:color="auto" w:fill="auto"/>
            <w:vAlign w:val="center"/>
          </w:tcPr>
          <w:p>
            <w:pPr>
              <w:jc w:val="center"/>
              <w:rPr>
                <w:rFonts w:ascii="宋体" w:hAnsi="宋体" w:cs="宋体"/>
                <w:sz w:val="24"/>
              </w:rPr>
            </w:pPr>
            <w:r>
              <w:rPr>
                <w:rFonts w:hint="eastAsia" w:ascii="宋体" w:hAnsi="宋体" w:cs="宋体"/>
                <w:sz w:val="24"/>
              </w:rPr>
              <w:t>发证时间</w:t>
            </w:r>
          </w:p>
        </w:tc>
        <w:tc>
          <w:tcPr>
            <w:tcW w:w="933" w:type="dxa"/>
            <w:shd w:val="clear" w:color="auto" w:fill="auto"/>
            <w:vAlign w:val="center"/>
          </w:tcPr>
          <w:p>
            <w:pPr>
              <w:jc w:val="center"/>
              <w:rPr>
                <w:rFonts w:ascii="宋体" w:hAnsi="宋体" w:cs="宋体"/>
                <w:sz w:val="24"/>
              </w:rPr>
            </w:pPr>
            <w:r>
              <w:rPr>
                <w:rFonts w:hint="eastAsia" w:ascii="宋体" w:hAnsi="宋体" w:cs="宋体"/>
                <w:sz w:val="24"/>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jc w:val="center"/>
        </w:trPr>
        <w:tc>
          <w:tcPr>
            <w:tcW w:w="880" w:type="dxa"/>
            <w:vMerge w:val="continue"/>
            <w:shd w:val="clear" w:color="auto" w:fill="auto"/>
            <w:vAlign w:val="center"/>
          </w:tcPr>
          <w:p>
            <w:pPr>
              <w:jc w:val="center"/>
              <w:rPr>
                <w:rFonts w:ascii="宋体" w:hAnsi="宋体" w:cs="宋体"/>
                <w:sz w:val="24"/>
              </w:rPr>
            </w:pPr>
          </w:p>
        </w:tc>
        <w:tc>
          <w:tcPr>
            <w:tcW w:w="1355" w:type="dxa"/>
            <w:gridSpan w:val="2"/>
            <w:vMerge w:val="continue"/>
            <w:shd w:val="clear" w:color="auto" w:fill="auto"/>
            <w:vAlign w:val="center"/>
          </w:tcPr>
          <w:p>
            <w:pPr>
              <w:jc w:val="center"/>
              <w:rPr>
                <w:rFonts w:ascii="宋体" w:hAnsi="宋体" w:cs="宋体"/>
                <w:sz w:val="24"/>
              </w:rPr>
            </w:pPr>
          </w:p>
        </w:tc>
        <w:tc>
          <w:tcPr>
            <w:tcW w:w="1333" w:type="dxa"/>
            <w:gridSpan w:val="3"/>
            <w:shd w:val="clear" w:color="auto" w:fill="auto"/>
            <w:vAlign w:val="center"/>
          </w:tcPr>
          <w:p>
            <w:pPr>
              <w:jc w:val="center"/>
              <w:rPr>
                <w:rFonts w:ascii="宋体" w:hAnsi="宋体" w:cs="宋体"/>
                <w:sz w:val="24"/>
              </w:rPr>
            </w:pPr>
          </w:p>
        </w:tc>
        <w:tc>
          <w:tcPr>
            <w:tcW w:w="1077" w:type="dxa"/>
            <w:shd w:val="clear" w:color="auto" w:fill="auto"/>
            <w:vAlign w:val="center"/>
          </w:tcPr>
          <w:p>
            <w:pPr>
              <w:jc w:val="center"/>
              <w:rPr>
                <w:rFonts w:ascii="宋体" w:hAnsi="宋体" w:cs="宋体"/>
                <w:sz w:val="24"/>
              </w:rPr>
            </w:pPr>
          </w:p>
        </w:tc>
        <w:tc>
          <w:tcPr>
            <w:tcW w:w="1617" w:type="dxa"/>
            <w:gridSpan w:val="2"/>
            <w:shd w:val="clear" w:color="auto" w:fill="auto"/>
            <w:vAlign w:val="center"/>
          </w:tcPr>
          <w:p>
            <w:pPr>
              <w:jc w:val="center"/>
              <w:rPr>
                <w:rFonts w:ascii="宋体" w:hAnsi="宋体" w:cs="宋体"/>
                <w:sz w:val="24"/>
              </w:rPr>
            </w:pPr>
          </w:p>
        </w:tc>
        <w:tc>
          <w:tcPr>
            <w:tcW w:w="2551" w:type="dxa"/>
            <w:gridSpan w:val="2"/>
            <w:shd w:val="clear" w:color="auto" w:fill="auto"/>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880" w:type="dxa"/>
            <w:vMerge w:val="continue"/>
            <w:shd w:val="clear" w:color="auto" w:fill="auto"/>
            <w:vAlign w:val="center"/>
          </w:tcPr>
          <w:p>
            <w:pPr>
              <w:jc w:val="center"/>
              <w:rPr>
                <w:rFonts w:ascii="宋体" w:hAnsi="宋体" w:cs="宋体"/>
                <w:sz w:val="24"/>
              </w:rPr>
            </w:pPr>
          </w:p>
        </w:tc>
        <w:tc>
          <w:tcPr>
            <w:tcW w:w="1355" w:type="dxa"/>
            <w:gridSpan w:val="2"/>
            <w:shd w:val="clear" w:color="auto" w:fill="auto"/>
            <w:vAlign w:val="center"/>
          </w:tcPr>
          <w:p>
            <w:pPr>
              <w:jc w:val="center"/>
              <w:rPr>
                <w:rFonts w:ascii="宋体" w:hAnsi="宋体" w:cs="宋体"/>
                <w:sz w:val="24"/>
              </w:rPr>
            </w:pPr>
            <w:r>
              <w:rPr>
                <w:rFonts w:hint="eastAsia" w:ascii="宋体" w:hAnsi="宋体" w:cs="宋体"/>
                <w:sz w:val="24"/>
              </w:rPr>
              <w:t>企业通过质量体系、环保体系、计量等认证情况</w:t>
            </w:r>
          </w:p>
        </w:tc>
        <w:tc>
          <w:tcPr>
            <w:tcW w:w="6578" w:type="dxa"/>
            <w:gridSpan w:val="8"/>
            <w:shd w:val="clear" w:color="auto" w:fill="auto"/>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80" w:type="dxa"/>
            <w:vMerge w:val="continue"/>
            <w:shd w:val="clear" w:color="auto" w:fill="auto"/>
            <w:vAlign w:val="center"/>
          </w:tcPr>
          <w:p>
            <w:pPr>
              <w:jc w:val="center"/>
              <w:rPr>
                <w:rFonts w:ascii="宋体" w:hAnsi="宋体" w:cs="宋体"/>
                <w:sz w:val="24"/>
              </w:rPr>
            </w:pPr>
          </w:p>
        </w:tc>
        <w:tc>
          <w:tcPr>
            <w:tcW w:w="1355" w:type="dxa"/>
            <w:gridSpan w:val="2"/>
            <w:shd w:val="clear" w:color="auto" w:fill="auto"/>
            <w:vAlign w:val="center"/>
          </w:tcPr>
          <w:p>
            <w:pPr>
              <w:jc w:val="center"/>
              <w:rPr>
                <w:rFonts w:ascii="宋体" w:hAnsi="宋体" w:cs="宋体"/>
                <w:sz w:val="24"/>
              </w:rPr>
            </w:pPr>
            <w:r>
              <w:rPr>
                <w:rFonts w:hint="eastAsia" w:ascii="宋体" w:hAnsi="宋体" w:cs="宋体"/>
                <w:sz w:val="24"/>
              </w:rPr>
              <w:t>企业获得专利情况</w:t>
            </w:r>
          </w:p>
        </w:tc>
        <w:tc>
          <w:tcPr>
            <w:tcW w:w="6578" w:type="dxa"/>
            <w:gridSpan w:val="8"/>
            <w:shd w:val="clear" w:color="auto" w:fill="auto"/>
            <w:vAlign w:val="center"/>
          </w:tcPr>
          <w:p>
            <w:pPr>
              <w:jc w:val="center"/>
              <w:rPr>
                <w:rFonts w:ascii="宋体" w:hAnsi="宋体" w:cs="宋体"/>
                <w:sz w:val="24"/>
              </w:rPr>
            </w:pPr>
          </w:p>
        </w:tc>
      </w:tr>
    </w:tbl>
    <w:p>
      <w:pPr>
        <w:spacing w:line="360" w:lineRule="auto"/>
        <w:rPr>
          <w:rFonts w:ascii="宋体" w:hAnsi="宋体" w:cs="宋体"/>
          <w:sz w:val="24"/>
          <w:szCs w:val="32"/>
        </w:rPr>
      </w:pPr>
    </w:p>
    <w:p>
      <w:pPr>
        <w:spacing w:line="360" w:lineRule="auto"/>
        <w:rPr>
          <w:rFonts w:ascii="宋体" w:hAnsi="宋体" w:cs="宋体"/>
          <w:sz w:val="24"/>
          <w:szCs w:val="32"/>
        </w:rPr>
      </w:pPr>
      <w:r>
        <w:rPr>
          <w:rFonts w:hint="eastAsia"/>
          <w:b/>
          <w:bCs/>
          <w:sz w:val="24"/>
          <w:szCs w:val="32"/>
        </w:rPr>
        <w:t>要求：</w:t>
      </w:r>
      <w:r>
        <w:rPr>
          <w:rFonts w:hint="eastAsia" w:ascii="宋体" w:hAnsi="宋体" w:cs="宋体"/>
          <w:sz w:val="24"/>
          <w:szCs w:val="32"/>
        </w:rPr>
        <w:t>1.姓名栏必须将所有股东都统计在内，若非股份公司此行（第三行）无需填写；</w:t>
      </w:r>
    </w:p>
    <w:p>
      <w:pPr>
        <w:spacing w:line="360" w:lineRule="auto"/>
        <w:rPr>
          <w:rFonts w:ascii="宋体" w:hAnsi="宋体" w:cs="宋体"/>
          <w:sz w:val="24"/>
          <w:szCs w:val="32"/>
        </w:rPr>
      </w:pPr>
    </w:p>
    <w:p>
      <w:pPr>
        <w:spacing w:line="480" w:lineRule="auto"/>
        <w:rPr>
          <w:rFonts w:ascii="宋体" w:hAnsi="宋体"/>
          <w:sz w:val="24"/>
        </w:rPr>
      </w:pPr>
      <w:r>
        <w:rPr>
          <w:rFonts w:hint="eastAsia" w:ascii="宋体" w:hAnsi="宋体"/>
          <w:sz w:val="24"/>
        </w:rPr>
        <w:t>投标人名称（盖章）：</w:t>
      </w:r>
    </w:p>
    <w:p>
      <w:pPr>
        <w:spacing w:line="480" w:lineRule="auto"/>
        <w:rPr>
          <w:rFonts w:ascii="宋体" w:hAnsi="宋体"/>
          <w:sz w:val="24"/>
        </w:rPr>
      </w:pPr>
      <w:r>
        <w:rPr>
          <w:rFonts w:hint="eastAsia" w:ascii="宋体" w:hAnsi="宋体"/>
          <w:sz w:val="24"/>
        </w:rPr>
        <w:t>法定代表人(签字或盖章)或授权委托代理人(签字)：</w:t>
      </w:r>
    </w:p>
    <w:p>
      <w:pPr>
        <w:spacing w:line="480" w:lineRule="auto"/>
        <w:rPr>
          <w:rFonts w:ascii="宋体" w:hAnsi="宋体"/>
          <w:sz w:val="24"/>
        </w:rPr>
      </w:pPr>
      <w:r>
        <w:rPr>
          <w:rFonts w:hint="eastAsia" w:ascii="宋体" w:hAnsi="宋体"/>
          <w:sz w:val="24"/>
        </w:rPr>
        <w:t>日期：</w:t>
      </w: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b/>
          <w:sz w:val="28"/>
        </w:rPr>
      </w:pPr>
    </w:p>
    <w:p>
      <w:pPr>
        <w:spacing w:line="360" w:lineRule="auto"/>
        <w:rPr>
          <w:rFonts w:ascii="宋体" w:hAnsi="宋体"/>
          <w:sz w:val="24"/>
        </w:rPr>
      </w:pPr>
      <w:r>
        <w:rPr>
          <w:rFonts w:hint="eastAsia" w:ascii="宋体" w:hAnsi="宋体"/>
          <w:b/>
          <w:sz w:val="28"/>
        </w:rPr>
        <w:t>附件12</w:t>
      </w:r>
    </w:p>
    <w:p>
      <w:pPr>
        <w:spacing w:line="360" w:lineRule="auto"/>
        <w:jc w:val="center"/>
        <w:rPr>
          <w:rFonts w:ascii="宋体" w:hAnsi="宋体" w:cs="宋体"/>
          <w:b/>
          <w:bCs/>
          <w:sz w:val="32"/>
          <w:szCs w:val="40"/>
          <w:lang w:val="zh-CN"/>
        </w:rPr>
      </w:pPr>
      <w:r>
        <w:rPr>
          <w:rFonts w:hint="eastAsia" w:ascii="宋体" w:hAnsi="宋体" w:cs="宋体"/>
          <w:b/>
          <w:bCs/>
          <w:sz w:val="32"/>
          <w:szCs w:val="40"/>
          <w:lang w:val="zh-CN"/>
        </w:rPr>
        <w:t>项目实施人员一览表</w:t>
      </w:r>
    </w:p>
    <w:p>
      <w:pPr>
        <w:spacing w:line="360" w:lineRule="auto"/>
        <w:jc w:val="center"/>
        <w:rPr>
          <w:sz w:val="24"/>
          <w:szCs w:val="32"/>
        </w:rPr>
      </w:pPr>
      <w:r>
        <w:rPr>
          <w:rFonts w:hint="eastAsia"/>
          <w:sz w:val="24"/>
          <w:szCs w:val="32"/>
        </w:rPr>
        <w:t>（主要从业人员及其技术资格）</w:t>
      </w:r>
    </w:p>
    <w:tbl>
      <w:tblPr>
        <w:tblStyle w:val="48"/>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hAnsi="宋体"/>
                <w:b/>
                <w:sz w:val="24"/>
                <w:szCs w:val="20"/>
              </w:rPr>
            </w:pPr>
            <w:r>
              <w:rPr>
                <w:rFonts w:hint="eastAsia" w:ascii="宋体" w:hAnsi="宋体"/>
                <w:b/>
                <w:sz w:val="24"/>
                <w:szCs w:val="20"/>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hAnsi="宋体"/>
                <w:b/>
                <w:sz w:val="24"/>
                <w:szCs w:val="20"/>
              </w:rPr>
            </w:pPr>
            <w:r>
              <w:rPr>
                <w:rFonts w:hint="eastAsia" w:ascii="宋体" w:hAnsi="宋体"/>
                <w:b/>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hAnsi="宋体"/>
                <w:b/>
                <w:sz w:val="24"/>
                <w:szCs w:val="20"/>
              </w:rPr>
            </w:pPr>
            <w:r>
              <w:rPr>
                <w:rFonts w:hint="eastAsia" w:ascii="宋体" w:hAnsi="宋体"/>
                <w:b/>
                <w:sz w:val="24"/>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hAnsi="宋体"/>
                <w:b/>
                <w:sz w:val="24"/>
                <w:szCs w:val="20"/>
              </w:rPr>
            </w:pPr>
            <w:r>
              <w:rPr>
                <w:rFonts w:hint="eastAsia" w:ascii="宋体" w:hAnsi="宋体"/>
                <w:b/>
                <w:sz w:val="24"/>
                <w:szCs w:val="20"/>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hAnsi="宋体"/>
                <w:b/>
                <w:sz w:val="24"/>
                <w:szCs w:val="20"/>
              </w:rPr>
            </w:pPr>
            <w:r>
              <w:rPr>
                <w:rFonts w:hint="eastAsia" w:ascii="宋体" w:hAnsi="宋体"/>
                <w:b/>
                <w:sz w:val="24"/>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hAnsi="宋体"/>
                <w:b/>
                <w:sz w:val="24"/>
                <w:szCs w:val="20"/>
              </w:rPr>
            </w:pPr>
            <w:r>
              <w:rPr>
                <w:rFonts w:hint="eastAsia" w:ascii="宋体" w:hAnsi="宋体"/>
                <w:b/>
                <w:sz w:val="24"/>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hAnsi="宋体"/>
                <w:b/>
                <w:bCs/>
                <w:sz w:val="24"/>
                <w:szCs w:val="20"/>
              </w:rPr>
            </w:pPr>
            <w:r>
              <w:rPr>
                <w:rFonts w:hint="eastAsia" w:ascii="宋体" w:hAnsi="宋体"/>
                <w:b/>
                <w:bCs/>
                <w:sz w:val="24"/>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hAnsi="宋体"/>
                <w:b/>
                <w:bCs/>
                <w:sz w:val="24"/>
                <w:szCs w:val="20"/>
              </w:rPr>
            </w:pPr>
            <w:r>
              <w:rPr>
                <w:rFonts w:hint="eastAsia" w:ascii="宋体" w:hAnsi="宋体"/>
                <w:b/>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pStyle w:val="28"/>
              <w:snapToGrid w:val="0"/>
              <w:spacing w:before="159" w:beforeLines="50" w:after="50" w:line="360" w:lineRule="auto"/>
              <w:ind w:left="5250"/>
              <w:rPr>
                <w:rFonts w:ascii="宋体" w:hAnsi="宋体" w:eastAsia="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Pr>
          <w:p>
            <w:pPr>
              <w:pStyle w:val="28"/>
              <w:snapToGrid w:val="0"/>
              <w:spacing w:before="159" w:beforeLines="50" w:after="50" w:line="360" w:lineRule="auto"/>
              <w:ind w:left="5250"/>
              <w:rPr>
                <w:rFonts w:ascii="宋体" w:hAnsi="宋体" w:eastAsia="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28"/>
              <w:spacing w:line="360" w:lineRule="auto"/>
              <w:ind w:left="5250"/>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r>
    </w:tbl>
    <w:p>
      <w:pPr>
        <w:spacing w:line="360" w:lineRule="auto"/>
        <w:jc w:val="left"/>
        <w:rPr>
          <w:b/>
          <w:bCs/>
          <w:sz w:val="24"/>
          <w:szCs w:val="32"/>
        </w:rPr>
      </w:pPr>
      <w:r>
        <w:rPr>
          <w:rFonts w:hint="eastAsia"/>
          <w:b/>
          <w:bCs/>
          <w:sz w:val="24"/>
          <w:szCs w:val="32"/>
        </w:rPr>
        <w:t>要求：</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1.在填写时，如本表格不适合投标单位的实际情况，可根据本表格式自行划表填写。</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2.附人员证书复印件；</w:t>
      </w:r>
    </w:p>
    <w:p>
      <w:pPr>
        <w:spacing w:line="360" w:lineRule="auto"/>
        <w:jc w:val="left"/>
        <w:rPr>
          <w:rFonts w:ascii="宋体" w:hAnsi="宋体" w:cs="宋体"/>
          <w:sz w:val="24"/>
          <w:szCs w:val="32"/>
        </w:rPr>
      </w:pPr>
      <w:r>
        <w:rPr>
          <w:rFonts w:hint="eastAsia" w:ascii="宋体" w:hAnsi="宋体" w:cs="宋体"/>
          <w:sz w:val="24"/>
          <w:szCs w:val="32"/>
        </w:rPr>
        <w:t>　　3.出具上述人员在本单位服务的外部证明，如：投标截止日之前</w:t>
      </w:r>
      <w:r>
        <w:rPr>
          <w:rFonts w:hint="eastAsia" w:ascii="宋体" w:hAnsi="宋体" w:cs="宋体"/>
          <w:sz w:val="24"/>
          <w:szCs w:val="32"/>
          <w:lang w:val="en-US" w:eastAsia="zh-CN"/>
        </w:rPr>
        <w:t>三</w:t>
      </w:r>
      <w:r>
        <w:rPr>
          <w:rFonts w:hint="eastAsia" w:ascii="宋体" w:hAnsi="宋体" w:cs="宋体"/>
          <w:sz w:val="24"/>
          <w:szCs w:val="32"/>
        </w:rPr>
        <w:t>个月参加社会保险的《投保单》或《社会保险参保人员证明》等。</w:t>
      </w:r>
    </w:p>
    <w:p>
      <w:pPr>
        <w:spacing w:line="360" w:lineRule="auto"/>
        <w:rPr>
          <w:rFonts w:ascii="宋体" w:hAnsi="宋体" w:cs="宋体"/>
          <w:sz w:val="24"/>
          <w:szCs w:val="32"/>
        </w:rPr>
      </w:pPr>
    </w:p>
    <w:p>
      <w:pPr>
        <w:spacing w:line="360" w:lineRule="auto"/>
        <w:rPr>
          <w:rFonts w:ascii="宋体" w:hAnsi="宋体"/>
          <w:sz w:val="24"/>
        </w:rPr>
      </w:pPr>
      <w:r>
        <w:rPr>
          <w:rFonts w:hint="eastAsia" w:ascii="宋体" w:hAnsi="宋体"/>
          <w:sz w:val="24"/>
        </w:rPr>
        <w:t>投标人名称（盖章）：</w:t>
      </w:r>
    </w:p>
    <w:p>
      <w:pPr>
        <w:spacing w:line="360" w:lineRule="auto"/>
        <w:rPr>
          <w:rFonts w:ascii="宋体" w:hAnsi="宋体"/>
          <w:sz w:val="24"/>
        </w:rPr>
      </w:pPr>
      <w:r>
        <w:rPr>
          <w:rFonts w:hint="eastAsia" w:ascii="宋体" w:hAnsi="宋体"/>
          <w:sz w:val="24"/>
        </w:rPr>
        <w:t>法定代表人(签字或盖章)或授权委托代理人(签字)：</w:t>
      </w:r>
    </w:p>
    <w:p>
      <w:pPr>
        <w:spacing w:line="360" w:lineRule="auto"/>
        <w:rPr>
          <w:rFonts w:ascii="宋体" w:hAnsi="宋体"/>
          <w:sz w:val="24"/>
        </w:rPr>
      </w:pPr>
      <w:r>
        <w:rPr>
          <w:rFonts w:hint="eastAsia" w:ascii="宋体" w:hAnsi="宋体"/>
          <w:sz w:val="24"/>
        </w:rPr>
        <w:t>日期：</w:t>
      </w:r>
    </w:p>
    <w:p>
      <w:pPr>
        <w:spacing w:line="360" w:lineRule="auto"/>
        <w:rPr>
          <w:rFonts w:ascii="宋体" w:hAnsi="宋体"/>
          <w:b/>
          <w:sz w:val="28"/>
        </w:rPr>
      </w:pPr>
      <w:r>
        <w:rPr>
          <w:rFonts w:hint="eastAsia" w:ascii="宋体" w:hAnsi="宋体"/>
          <w:b/>
          <w:sz w:val="28"/>
        </w:rPr>
        <w:t>附件13</w:t>
      </w:r>
    </w:p>
    <w:p>
      <w:pPr>
        <w:spacing w:before="159" w:beforeLines="50" w:after="159" w:afterLines="50" w:line="360" w:lineRule="auto"/>
        <w:ind w:right="-10"/>
        <w:jc w:val="center"/>
        <w:rPr>
          <w:rFonts w:ascii="宋体" w:hAnsi="宋体"/>
          <w:b/>
          <w:bCs/>
          <w:sz w:val="32"/>
          <w:szCs w:val="32"/>
        </w:rPr>
      </w:pPr>
      <w:r>
        <w:rPr>
          <w:rFonts w:hint="eastAsia" w:ascii="宋体" w:hAnsi="宋体"/>
          <w:b/>
          <w:bCs/>
          <w:sz w:val="32"/>
          <w:szCs w:val="32"/>
        </w:rPr>
        <w:t>项目负责人资格情况表</w:t>
      </w:r>
    </w:p>
    <w:p>
      <w:pPr>
        <w:spacing w:line="360" w:lineRule="auto"/>
        <w:rPr>
          <w:rFonts w:ascii="宋体" w:hAnsi="宋体"/>
          <w:sz w:val="24"/>
          <w:szCs w:val="32"/>
        </w:rPr>
      </w:pPr>
      <w:r>
        <w:rPr>
          <w:rFonts w:hint="eastAsia" w:ascii="宋体" w:hAnsi="宋体"/>
          <w:sz w:val="24"/>
          <w:szCs w:val="32"/>
        </w:rPr>
        <w:t>采购项目：                                        采购编号：</w:t>
      </w:r>
    </w:p>
    <w:tbl>
      <w:tblPr>
        <w:tblStyle w:val="48"/>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pPr>
              <w:jc w:val="center"/>
              <w:rPr>
                <w:b/>
                <w:bCs/>
                <w:sz w:val="24"/>
                <w:lang w:val="zh-CN"/>
              </w:rPr>
            </w:pPr>
            <w:r>
              <w:rPr>
                <w:rFonts w:hint="eastAsia"/>
                <w:b/>
                <w:bCs/>
                <w:sz w:val="24"/>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jc w:val="center"/>
              <w:rPr>
                <w:b/>
                <w:bCs/>
                <w:sz w:val="24"/>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jc w:val="center"/>
              <w:rPr>
                <w:b/>
                <w:bCs/>
                <w:sz w:val="24"/>
                <w:lang w:val="zh-CN"/>
              </w:rPr>
            </w:pPr>
            <w:r>
              <w:rPr>
                <w:rFonts w:hint="eastAsia"/>
                <w:b/>
                <w:bCs/>
                <w:sz w:val="24"/>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b/>
                <w:bCs/>
                <w:sz w:val="24"/>
                <w:lang w:val="zh-CN"/>
              </w:rPr>
            </w:pPr>
            <w:r>
              <w:rPr>
                <w:rFonts w:hint="eastAsia"/>
                <w:b/>
                <w:bCs/>
                <w:sz w:val="24"/>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b/>
                <w:bCs/>
                <w:sz w:val="24"/>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jc w:val="center"/>
              <w:rPr>
                <w:b/>
                <w:bCs/>
                <w:sz w:val="24"/>
              </w:rPr>
            </w:pPr>
            <w:r>
              <w:rPr>
                <w:rFonts w:hint="eastAsia"/>
                <w:b/>
                <w:bCs/>
                <w:sz w:val="24"/>
              </w:rPr>
              <w:t>注：业绩证明应提供旁证材料</w:t>
            </w:r>
          </w:p>
          <w:p>
            <w:pPr>
              <w:jc w:val="center"/>
              <w:rPr>
                <w:b/>
                <w:bCs/>
                <w:sz w:val="24"/>
                <w:lang w:val="zh-CN"/>
              </w:rPr>
            </w:pPr>
            <w:r>
              <w:rPr>
                <w:rFonts w:hint="eastAsia"/>
                <w:b/>
                <w:bCs/>
                <w:sz w:val="24"/>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b/>
                <w:bCs/>
                <w:sz w:val="24"/>
                <w:lang w:val="zh-CN"/>
              </w:rPr>
            </w:pPr>
            <w:r>
              <w:rPr>
                <w:rFonts w:hint="eastAsia"/>
                <w:b/>
                <w:bCs/>
                <w:sz w:val="24"/>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b/>
                <w:bCs/>
                <w:sz w:val="24"/>
                <w:lang w:val="zh-CN"/>
              </w:rPr>
            </w:pPr>
            <w:r>
              <w:rPr>
                <w:rFonts w:hint="eastAsia"/>
                <w:b/>
                <w:bCs/>
                <w:sz w:val="24"/>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b/>
                <w:bCs/>
                <w:sz w:val="24"/>
                <w:lang w:val="zh-CN"/>
              </w:rPr>
            </w:pPr>
            <w:r>
              <w:rPr>
                <w:rFonts w:hint="eastAsia"/>
                <w:b/>
                <w:bCs/>
                <w:sz w:val="24"/>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b/>
                <w:bCs/>
                <w:sz w:val="24"/>
                <w:lang w:val="zh-CN"/>
              </w:rPr>
            </w:pPr>
            <w:r>
              <w:rPr>
                <w:rFonts w:hint="eastAsia"/>
                <w:b/>
                <w:bCs/>
                <w:sz w:val="24"/>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b/>
                <w:bCs/>
                <w:sz w:val="24"/>
                <w:lang w:val="zh-CN"/>
              </w:rPr>
            </w:pPr>
            <w:r>
              <w:rPr>
                <w:rFonts w:hint="eastAsia"/>
                <w:b/>
                <w:bCs/>
                <w:sz w:val="24"/>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b/>
                <w:bCs/>
                <w:sz w:val="24"/>
                <w:lang w:val="zh-CN"/>
              </w:rPr>
            </w:pPr>
            <w:r>
              <w:rPr>
                <w:rFonts w:hint="eastAsia"/>
                <w:b/>
                <w:bCs/>
                <w:sz w:val="24"/>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pPr>
              <w:jc w:val="center"/>
              <w:rPr>
                <w:b/>
                <w:bCs/>
                <w:sz w:val="24"/>
                <w:lang w:val="zh-CN"/>
              </w:rPr>
            </w:pPr>
            <w:r>
              <w:rPr>
                <w:rFonts w:hint="eastAsia"/>
                <w:b/>
                <w:bCs/>
                <w:sz w:val="24"/>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jc w:val="center"/>
              <w:rPr>
                <w:b/>
                <w:bCs/>
                <w:sz w:val="24"/>
                <w:lang w:val="zh-CN"/>
              </w:rPr>
            </w:pPr>
          </w:p>
        </w:tc>
      </w:tr>
    </w:tbl>
    <w:p>
      <w:pPr>
        <w:spacing w:line="360" w:lineRule="auto"/>
        <w:rPr>
          <w:rFonts w:ascii="宋体" w:hAnsi="宋体"/>
          <w:sz w:val="24"/>
        </w:rPr>
      </w:pPr>
    </w:p>
    <w:p>
      <w:pPr>
        <w:spacing w:line="480" w:lineRule="auto"/>
        <w:rPr>
          <w:rFonts w:ascii="宋体" w:hAnsi="宋体"/>
          <w:sz w:val="24"/>
        </w:rPr>
      </w:pPr>
      <w:r>
        <w:rPr>
          <w:rFonts w:hint="eastAsia" w:ascii="宋体" w:hAnsi="宋体"/>
          <w:sz w:val="24"/>
        </w:rPr>
        <w:t>投标人名称（盖章）：</w:t>
      </w:r>
    </w:p>
    <w:p>
      <w:pPr>
        <w:spacing w:line="480" w:lineRule="auto"/>
        <w:rPr>
          <w:rFonts w:ascii="宋体" w:hAnsi="宋体"/>
          <w:sz w:val="24"/>
        </w:rPr>
      </w:pPr>
      <w:r>
        <w:rPr>
          <w:rFonts w:hint="eastAsia" w:ascii="宋体" w:hAnsi="宋体"/>
          <w:sz w:val="24"/>
        </w:rPr>
        <w:t>法定代表人(签字或盖章)或授权委托代理人(签字)：</w:t>
      </w:r>
    </w:p>
    <w:p>
      <w:pPr>
        <w:spacing w:line="480" w:lineRule="auto"/>
        <w:rPr>
          <w:rFonts w:ascii="宋体" w:hAnsi="宋体"/>
          <w:sz w:val="24"/>
        </w:rPr>
      </w:pPr>
      <w:r>
        <w:rPr>
          <w:rFonts w:hint="eastAsia" w:ascii="宋体" w:hAnsi="宋体"/>
          <w:sz w:val="24"/>
        </w:rPr>
        <w:t>日期：</w:t>
      </w:r>
    </w:p>
    <w:p>
      <w:pPr>
        <w:spacing w:line="360" w:lineRule="auto"/>
        <w:rPr>
          <w:rFonts w:ascii="宋体" w:hAnsi="宋体" w:cs="宋体"/>
          <w:sz w:val="24"/>
          <w:szCs w:val="32"/>
        </w:rPr>
      </w:pPr>
    </w:p>
    <w:p>
      <w:pPr>
        <w:spacing w:line="360" w:lineRule="auto"/>
        <w:rPr>
          <w:rFonts w:ascii="宋体" w:hAnsi="宋体" w:cs="宋体"/>
          <w:sz w:val="24"/>
          <w:szCs w:val="32"/>
        </w:rPr>
      </w:pPr>
    </w:p>
    <w:p>
      <w:pPr>
        <w:rPr>
          <w:rFonts w:hint="eastAsia" w:ascii="宋体" w:hAnsi="宋体" w:cs="宋体"/>
          <w:b/>
          <w:bCs/>
          <w:sz w:val="28"/>
          <w:szCs w:val="36"/>
          <w:lang w:val="zh-CN"/>
        </w:rPr>
      </w:pPr>
      <w:r>
        <w:rPr>
          <w:rFonts w:hint="eastAsia" w:ascii="宋体" w:hAnsi="宋体" w:cs="宋体"/>
          <w:b/>
          <w:bCs/>
          <w:sz w:val="28"/>
          <w:szCs w:val="36"/>
          <w:lang w:val="zh-CN"/>
        </w:rPr>
        <w:br w:type="page"/>
      </w:r>
    </w:p>
    <w:p>
      <w:pPr>
        <w:spacing w:line="480" w:lineRule="exact"/>
        <w:jc w:val="left"/>
        <w:rPr>
          <w:rFonts w:ascii="宋体" w:hAnsi="宋体" w:cs="宋体"/>
          <w:b/>
          <w:bCs/>
          <w:sz w:val="28"/>
          <w:szCs w:val="36"/>
        </w:rPr>
      </w:pPr>
      <w:r>
        <w:rPr>
          <w:rFonts w:hint="eastAsia" w:ascii="宋体" w:hAnsi="宋体" w:cs="宋体"/>
          <w:b/>
          <w:bCs/>
          <w:sz w:val="28"/>
          <w:szCs w:val="36"/>
          <w:lang w:val="zh-CN"/>
        </w:rPr>
        <w:t>附件</w:t>
      </w:r>
      <w:r>
        <w:rPr>
          <w:rFonts w:hint="eastAsia" w:ascii="宋体" w:hAnsi="宋体" w:cs="宋体"/>
          <w:b/>
          <w:bCs/>
          <w:sz w:val="28"/>
          <w:szCs w:val="36"/>
        </w:rPr>
        <w:t>14</w:t>
      </w:r>
    </w:p>
    <w:p>
      <w:pPr>
        <w:spacing w:line="480" w:lineRule="exact"/>
        <w:jc w:val="center"/>
        <w:rPr>
          <w:rFonts w:ascii="宋体" w:hAnsi="宋体" w:cs="宋体"/>
          <w:b/>
          <w:bCs/>
          <w:sz w:val="32"/>
          <w:szCs w:val="40"/>
          <w:lang w:val="zh-CN"/>
        </w:rPr>
      </w:pPr>
      <w:r>
        <w:rPr>
          <w:rFonts w:hint="eastAsia" w:ascii="宋体" w:hAnsi="宋体" w:cs="宋体"/>
          <w:b/>
          <w:bCs/>
          <w:sz w:val="32"/>
          <w:szCs w:val="40"/>
          <w:lang w:val="zh-CN"/>
        </w:rPr>
        <w:t>投标人提供的产品供货清单及原产地</w:t>
      </w:r>
    </w:p>
    <w:p>
      <w:pPr>
        <w:spacing w:line="480" w:lineRule="auto"/>
        <w:rPr>
          <w:rFonts w:ascii="宋体" w:hAnsi="宋体" w:cs="宋体"/>
          <w:b/>
          <w:szCs w:val="21"/>
        </w:rPr>
      </w:pPr>
      <w:r>
        <w:rPr>
          <w:rFonts w:hint="eastAsia" w:ascii="宋体" w:hAnsi="宋体"/>
          <w:sz w:val="24"/>
        </w:rPr>
        <w:t>项目编号：</w:t>
      </w:r>
    </w:p>
    <w:tbl>
      <w:tblPr>
        <w:tblStyle w:val="48"/>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316"/>
        <w:gridCol w:w="1138"/>
        <w:gridCol w:w="1139"/>
        <w:gridCol w:w="1139"/>
        <w:gridCol w:w="1139"/>
        <w:gridCol w:w="1139"/>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59" w:type="dxa"/>
            <w:vAlign w:val="center"/>
          </w:tcPr>
          <w:p>
            <w:pPr>
              <w:spacing w:line="360" w:lineRule="auto"/>
              <w:jc w:val="center"/>
              <w:rPr>
                <w:rFonts w:ascii="宋体" w:hAnsi="宋体" w:cs="宋体"/>
                <w:b/>
                <w:szCs w:val="21"/>
              </w:rPr>
            </w:pPr>
            <w:r>
              <w:rPr>
                <w:rFonts w:hint="eastAsia" w:ascii="宋体" w:hAnsi="宋体" w:cs="宋体"/>
                <w:b/>
                <w:szCs w:val="21"/>
              </w:rPr>
              <w:t>序 号</w:t>
            </w:r>
          </w:p>
        </w:tc>
        <w:tc>
          <w:tcPr>
            <w:tcW w:w="1316" w:type="dxa"/>
            <w:vAlign w:val="center"/>
          </w:tcPr>
          <w:p>
            <w:pPr>
              <w:spacing w:line="360" w:lineRule="auto"/>
              <w:jc w:val="center"/>
              <w:rPr>
                <w:rFonts w:ascii="宋体" w:hAnsi="宋体" w:cs="宋体"/>
                <w:b/>
                <w:szCs w:val="21"/>
              </w:rPr>
            </w:pPr>
            <w:r>
              <w:rPr>
                <w:rFonts w:hint="eastAsia" w:ascii="宋体" w:hAnsi="宋体" w:cs="宋体"/>
                <w:b/>
                <w:szCs w:val="21"/>
              </w:rPr>
              <w:t>名  称</w:t>
            </w:r>
          </w:p>
        </w:tc>
        <w:tc>
          <w:tcPr>
            <w:tcW w:w="1138" w:type="dxa"/>
            <w:vAlign w:val="center"/>
          </w:tcPr>
          <w:p>
            <w:pPr>
              <w:spacing w:line="360" w:lineRule="auto"/>
              <w:jc w:val="center"/>
              <w:rPr>
                <w:rFonts w:ascii="宋体" w:hAnsi="宋体" w:cs="宋体"/>
                <w:b/>
                <w:szCs w:val="21"/>
              </w:rPr>
            </w:pPr>
            <w:r>
              <w:rPr>
                <w:rFonts w:hint="eastAsia" w:ascii="宋体" w:hAnsi="宋体" w:cs="宋体"/>
                <w:b/>
                <w:szCs w:val="21"/>
              </w:rPr>
              <w:t>型号</w:t>
            </w:r>
          </w:p>
        </w:tc>
        <w:tc>
          <w:tcPr>
            <w:tcW w:w="1139" w:type="dxa"/>
            <w:vAlign w:val="center"/>
          </w:tcPr>
          <w:p>
            <w:pPr>
              <w:spacing w:line="360" w:lineRule="auto"/>
              <w:jc w:val="center"/>
              <w:rPr>
                <w:rFonts w:ascii="宋体" w:hAnsi="宋体" w:cs="宋体"/>
                <w:b/>
                <w:szCs w:val="21"/>
              </w:rPr>
            </w:pPr>
            <w:r>
              <w:rPr>
                <w:rFonts w:hint="eastAsia" w:ascii="宋体" w:hAnsi="宋体" w:cs="宋体"/>
                <w:b/>
                <w:szCs w:val="21"/>
              </w:rPr>
              <w:t>制造商/原产地</w:t>
            </w:r>
          </w:p>
        </w:tc>
        <w:tc>
          <w:tcPr>
            <w:tcW w:w="1139" w:type="dxa"/>
            <w:vAlign w:val="center"/>
          </w:tcPr>
          <w:p>
            <w:pPr>
              <w:spacing w:line="360" w:lineRule="auto"/>
              <w:jc w:val="center"/>
              <w:rPr>
                <w:rFonts w:ascii="宋体" w:hAnsi="宋体" w:cs="宋体"/>
                <w:b/>
                <w:szCs w:val="21"/>
              </w:rPr>
            </w:pPr>
            <w:r>
              <w:rPr>
                <w:rFonts w:hint="eastAsia" w:ascii="宋体" w:hAnsi="宋体" w:cs="宋体"/>
                <w:b/>
                <w:szCs w:val="21"/>
              </w:rPr>
              <w:t>品牌</w:t>
            </w:r>
          </w:p>
        </w:tc>
        <w:tc>
          <w:tcPr>
            <w:tcW w:w="1139" w:type="dxa"/>
            <w:vAlign w:val="center"/>
          </w:tcPr>
          <w:p>
            <w:pPr>
              <w:spacing w:line="360" w:lineRule="auto"/>
              <w:jc w:val="center"/>
              <w:rPr>
                <w:rFonts w:ascii="宋体" w:hAnsi="宋体" w:cs="宋体"/>
                <w:b/>
                <w:szCs w:val="21"/>
              </w:rPr>
            </w:pPr>
            <w:r>
              <w:rPr>
                <w:rFonts w:hint="eastAsia" w:ascii="宋体" w:hAnsi="宋体" w:cs="宋体"/>
                <w:b/>
                <w:szCs w:val="21"/>
              </w:rPr>
              <w:t>单 位</w:t>
            </w:r>
          </w:p>
        </w:tc>
        <w:tc>
          <w:tcPr>
            <w:tcW w:w="1139" w:type="dxa"/>
            <w:vAlign w:val="center"/>
          </w:tcPr>
          <w:p>
            <w:pPr>
              <w:spacing w:line="360" w:lineRule="auto"/>
              <w:jc w:val="center"/>
              <w:rPr>
                <w:rFonts w:ascii="宋体" w:hAnsi="宋体" w:cs="宋体"/>
                <w:b/>
                <w:szCs w:val="21"/>
              </w:rPr>
            </w:pPr>
            <w:r>
              <w:rPr>
                <w:rFonts w:hint="eastAsia" w:ascii="宋体" w:hAnsi="宋体" w:cs="宋体"/>
                <w:b/>
                <w:szCs w:val="21"/>
              </w:rPr>
              <w:t>数 量</w:t>
            </w:r>
          </w:p>
        </w:tc>
        <w:tc>
          <w:tcPr>
            <w:tcW w:w="1139" w:type="dxa"/>
            <w:vAlign w:val="center"/>
          </w:tcPr>
          <w:p>
            <w:pPr>
              <w:spacing w:line="360" w:lineRule="auto"/>
              <w:jc w:val="center"/>
              <w:rPr>
                <w:rFonts w:ascii="宋体" w:hAnsi="宋体" w:cs="宋体"/>
                <w:b/>
                <w:szCs w:val="21"/>
              </w:rPr>
            </w:pPr>
            <w:r>
              <w:rPr>
                <w:rFonts w:hint="eastAsia" w:ascii="宋体" w:hAnsi="宋体" w:cs="宋体"/>
                <w:b/>
                <w:szCs w:val="21"/>
              </w:rPr>
              <w:t>备 注</w:t>
            </w:r>
          </w:p>
          <w:p>
            <w:pPr>
              <w:spacing w:line="360" w:lineRule="auto"/>
              <w:jc w:val="center"/>
              <w:rPr>
                <w:rFonts w:ascii="宋体" w:hAnsi="宋体" w:cs="宋体"/>
                <w:b/>
                <w:szCs w:val="21"/>
              </w:rPr>
            </w:pPr>
            <w:r>
              <w:rPr>
                <w:rFonts w:hint="eastAsia" w:ascii="宋体" w:hAnsi="宋体" w:cs="宋体"/>
                <w:b/>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59" w:type="dxa"/>
            <w:vAlign w:val="center"/>
          </w:tcPr>
          <w:p>
            <w:pPr>
              <w:spacing w:line="360" w:lineRule="auto"/>
              <w:jc w:val="center"/>
              <w:rPr>
                <w:rFonts w:ascii="宋体" w:hAnsi="宋体" w:cs="宋体"/>
                <w:szCs w:val="21"/>
              </w:rPr>
            </w:pPr>
            <w:r>
              <w:rPr>
                <w:rFonts w:hint="eastAsia" w:ascii="宋体" w:hAnsi="宋体" w:cs="宋体"/>
                <w:szCs w:val="21"/>
              </w:rPr>
              <w:t>1</w:t>
            </w:r>
          </w:p>
        </w:tc>
        <w:tc>
          <w:tcPr>
            <w:tcW w:w="1316" w:type="dxa"/>
            <w:vAlign w:val="center"/>
          </w:tcPr>
          <w:p>
            <w:pPr>
              <w:spacing w:line="360" w:lineRule="auto"/>
              <w:jc w:val="center"/>
              <w:rPr>
                <w:rFonts w:ascii="宋体" w:hAnsi="宋体" w:cs="宋体"/>
                <w:szCs w:val="21"/>
              </w:rPr>
            </w:pPr>
          </w:p>
        </w:tc>
        <w:tc>
          <w:tcPr>
            <w:tcW w:w="1138" w:type="dxa"/>
            <w:vAlign w:val="center"/>
          </w:tcPr>
          <w:p>
            <w:pPr>
              <w:spacing w:line="360" w:lineRule="auto"/>
              <w:jc w:val="center"/>
              <w:rPr>
                <w:rFonts w:ascii="宋体" w:hAnsi="宋体" w:cs="宋体"/>
                <w:szCs w:val="21"/>
              </w:rPr>
            </w:pPr>
          </w:p>
        </w:tc>
        <w:tc>
          <w:tcPr>
            <w:tcW w:w="1139" w:type="dxa"/>
            <w:vAlign w:val="center"/>
          </w:tcPr>
          <w:p>
            <w:pPr>
              <w:spacing w:line="360" w:lineRule="auto"/>
              <w:jc w:val="center"/>
              <w:rPr>
                <w:rFonts w:ascii="宋体" w:hAnsi="宋体" w:cs="宋体"/>
                <w:szCs w:val="21"/>
              </w:rPr>
            </w:pPr>
          </w:p>
        </w:tc>
        <w:tc>
          <w:tcPr>
            <w:tcW w:w="1139" w:type="dxa"/>
            <w:vAlign w:val="center"/>
          </w:tcPr>
          <w:p>
            <w:pPr>
              <w:spacing w:line="360" w:lineRule="auto"/>
              <w:jc w:val="center"/>
              <w:rPr>
                <w:rFonts w:ascii="宋体" w:hAnsi="宋体" w:cs="宋体"/>
                <w:szCs w:val="21"/>
              </w:rPr>
            </w:pPr>
          </w:p>
        </w:tc>
        <w:tc>
          <w:tcPr>
            <w:tcW w:w="1139" w:type="dxa"/>
            <w:vAlign w:val="center"/>
          </w:tcPr>
          <w:p>
            <w:pPr>
              <w:spacing w:line="360" w:lineRule="auto"/>
              <w:jc w:val="center"/>
              <w:rPr>
                <w:rFonts w:ascii="宋体" w:hAnsi="宋体" w:cs="宋体"/>
                <w:szCs w:val="21"/>
              </w:rPr>
            </w:pPr>
          </w:p>
        </w:tc>
        <w:tc>
          <w:tcPr>
            <w:tcW w:w="1139" w:type="dxa"/>
            <w:vAlign w:val="center"/>
          </w:tcPr>
          <w:p>
            <w:pPr>
              <w:spacing w:line="360" w:lineRule="auto"/>
              <w:jc w:val="center"/>
              <w:rPr>
                <w:rFonts w:ascii="宋体" w:hAnsi="宋体" w:cs="宋体"/>
                <w:szCs w:val="21"/>
              </w:rPr>
            </w:pPr>
          </w:p>
        </w:tc>
        <w:tc>
          <w:tcPr>
            <w:tcW w:w="1139"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59" w:type="dxa"/>
          </w:tcPr>
          <w:p>
            <w:pPr>
              <w:spacing w:line="360" w:lineRule="auto"/>
              <w:jc w:val="center"/>
              <w:rPr>
                <w:rFonts w:ascii="宋体" w:hAnsi="宋体" w:cs="宋体"/>
                <w:szCs w:val="21"/>
              </w:rPr>
            </w:pPr>
            <w:r>
              <w:rPr>
                <w:rFonts w:hint="eastAsia" w:ascii="宋体" w:hAnsi="宋体" w:cs="宋体"/>
                <w:szCs w:val="21"/>
              </w:rPr>
              <w:t>2</w:t>
            </w:r>
          </w:p>
        </w:tc>
        <w:tc>
          <w:tcPr>
            <w:tcW w:w="1316" w:type="dxa"/>
          </w:tcPr>
          <w:p>
            <w:pPr>
              <w:spacing w:line="360" w:lineRule="auto"/>
              <w:jc w:val="center"/>
              <w:rPr>
                <w:rFonts w:ascii="宋体" w:hAnsi="宋体" w:cs="宋体"/>
                <w:szCs w:val="21"/>
              </w:rPr>
            </w:pPr>
          </w:p>
        </w:tc>
        <w:tc>
          <w:tcPr>
            <w:tcW w:w="1138"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59" w:type="dxa"/>
          </w:tcPr>
          <w:p>
            <w:pPr>
              <w:spacing w:line="360" w:lineRule="auto"/>
              <w:jc w:val="center"/>
              <w:rPr>
                <w:rFonts w:ascii="宋体" w:hAnsi="宋体" w:cs="宋体"/>
                <w:szCs w:val="21"/>
              </w:rPr>
            </w:pPr>
            <w:r>
              <w:rPr>
                <w:rFonts w:hint="eastAsia" w:ascii="宋体" w:hAnsi="宋体" w:cs="宋体"/>
                <w:szCs w:val="21"/>
              </w:rPr>
              <w:t>3</w:t>
            </w:r>
          </w:p>
        </w:tc>
        <w:tc>
          <w:tcPr>
            <w:tcW w:w="1316" w:type="dxa"/>
          </w:tcPr>
          <w:p>
            <w:pPr>
              <w:spacing w:line="360" w:lineRule="auto"/>
              <w:jc w:val="center"/>
              <w:rPr>
                <w:rFonts w:ascii="宋体" w:hAnsi="宋体" w:cs="宋体"/>
                <w:szCs w:val="21"/>
              </w:rPr>
            </w:pPr>
          </w:p>
        </w:tc>
        <w:tc>
          <w:tcPr>
            <w:tcW w:w="1138"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59" w:type="dxa"/>
          </w:tcPr>
          <w:p>
            <w:pPr>
              <w:spacing w:line="360" w:lineRule="auto"/>
              <w:jc w:val="center"/>
              <w:rPr>
                <w:rFonts w:ascii="宋体" w:hAnsi="宋体" w:cs="宋体"/>
                <w:szCs w:val="21"/>
              </w:rPr>
            </w:pPr>
            <w:r>
              <w:rPr>
                <w:rFonts w:hint="eastAsia" w:ascii="宋体" w:hAnsi="宋体" w:cs="宋体"/>
                <w:szCs w:val="21"/>
              </w:rPr>
              <w:t>4</w:t>
            </w:r>
          </w:p>
        </w:tc>
        <w:tc>
          <w:tcPr>
            <w:tcW w:w="1316" w:type="dxa"/>
          </w:tcPr>
          <w:p>
            <w:pPr>
              <w:spacing w:line="360" w:lineRule="auto"/>
              <w:jc w:val="center"/>
              <w:rPr>
                <w:rFonts w:ascii="宋体" w:hAnsi="宋体" w:cs="宋体"/>
                <w:szCs w:val="21"/>
              </w:rPr>
            </w:pPr>
          </w:p>
        </w:tc>
        <w:tc>
          <w:tcPr>
            <w:tcW w:w="1138"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59" w:type="dxa"/>
          </w:tcPr>
          <w:p>
            <w:pPr>
              <w:spacing w:line="360" w:lineRule="auto"/>
              <w:jc w:val="center"/>
              <w:rPr>
                <w:rFonts w:ascii="宋体" w:hAnsi="宋体" w:cs="宋体"/>
                <w:szCs w:val="21"/>
              </w:rPr>
            </w:pPr>
            <w:r>
              <w:rPr>
                <w:rFonts w:hint="eastAsia" w:ascii="宋体" w:hAnsi="宋体" w:cs="宋体"/>
                <w:szCs w:val="21"/>
              </w:rPr>
              <w:t>5</w:t>
            </w:r>
          </w:p>
        </w:tc>
        <w:tc>
          <w:tcPr>
            <w:tcW w:w="1316" w:type="dxa"/>
          </w:tcPr>
          <w:p>
            <w:pPr>
              <w:spacing w:line="360" w:lineRule="auto"/>
              <w:jc w:val="center"/>
              <w:rPr>
                <w:rFonts w:ascii="宋体" w:hAnsi="宋体" w:cs="宋体"/>
                <w:szCs w:val="21"/>
              </w:rPr>
            </w:pPr>
          </w:p>
        </w:tc>
        <w:tc>
          <w:tcPr>
            <w:tcW w:w="1138"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宋体" w:hAnsi="宋体" w:cs="宋体"/>
                <w:szCs w:val="21"/>
              </w:rPr>
            </w:pPr>
            <w:r>
              <w:rPr>
                <w:rFonts w:hint="eastAsia" w:ascii="宋体" w:hAnsi="宋体" w:cs="宋体"/>
                <w:szCs w:val="21"/>
              </w:rPr>
              <w:t>6</w:t>
            </w:r>
          </w:p>
        </w:tc>
        <w:tc>
          <w:tcPr>
            <w:tcW w:w="1316" w:type="dxa"/>
          </w:tcPr>
          <w:p>
            <w:pPr>
              <w:spacing w:line="360" w:lineRule="auto"/>
              <w:jc w:val="center"/>
              <w:rPr>
                <w:rFonts w:ascii="宋体" w:hAnsi="宋体" w:cs="宋体"/>
                <w:szCs w:val="21"/>
              </w:rPr>
            </w:pPr>
          </w:p>
        </w:tc>
        <w:tc>
          <w:tcPr>
            <w:tcW w:w="1138"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宋体" w:hAnsi="宋体" w:cs="宋体"/>
                <w:szCs w:val="21"/>
              </w:rPr>
            </w:pPr>
            <w:r>
              <w:rPr>
                <w:rFonts w:hint="eastAsia" w:ascii="宋体" w:hAnsi="宋体" w:cs="宋体"/>
                <w:szCs w:val="21"/>
              </w:rPr>
              <w:t>…</w:t>
            </w:r>
          </w:p>
        </w:tc>
        <w:tc>
          <w:tcPr>
            <w:tcW w:w="1316" w:type="dxa"/>
          </w:tcPr>
          <w:p>
            <w:pPr>
              <w:spacing w:line="360" w:lineRule="auto"/>
              <w:jc w:val="center"/>
              <w:rPr>
                <w:rFonts w:ascii="宋体" w:hAnsi="宋体" w:cs="宋体"/>
                <w:szCs w:val="21"/>
              </w:rPr>
            </w:pPr>
          </w:p>
        </w:tc>
        <w:tc>
          <w:tcPr>
            <w:tcW w:w="1138"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宋体" w:hAnsi="宋体" w:cs="宋体"/>
                <w:szCs w:val="21"/>
              </w:rPr>
            </w:pPr>
          </w:p>
        </w:tc>
        <w:tc>
          <w:tcPr>
            <w:tcW w:w="1316" w:type="dxa"/>
          </w:tcPr>
          <w:p>
            <w:pPr>
              <w:spacing w:line="360" w:lineRule="auto"/>
              <w:jc w:val="center"/>
              <w:rPr>
                <w:rFonts w:ascii="宋体" w:hAnsi="宋体" w:cs="宋体"/>
                <w:szCs w:val="21"/>
              </w:rPr>
            </w:pPr>
            <w:r>
              <w:rPr>
                <w:rFonts w:hint="eastAsia" w:ascii="宋体" w:hAnsi="宋体" w:cs="宋体"/>
                <w:szCs w:val="21"/>
              </w:rPr>
              <w:t>随产品备品备件</w:t>
            </w:r>
          </w:p>
        </w:tc>
        <w:tc>
          <w:tcPr>
            <w:tcW w:w="1138"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宋体" w:hAnsi="宋体" w:cs="宋体"/>
                <w:szCs w:val="21"/>
              </w:rPr>
            </w:pPr>
          </w:p>
        </w:tc>
        <w:tc>
          <w:tcPr>
            <w:tcW w:w="1316" w:type="dxa"/>
          </w:tcPr>
          <w:p>
            <w:pPr>
              <w:spacing w:line="360" w:lineRule="auto"/>
              <w:jc w:val="center"/>
              <w:rPr>
                <w:rFonts w:ascii="宋体" w:hAnsi="宋体" w:cs="宋体"/>
                <w:szCs w:val="21"/>
              </w:rPr>
            </w:pPr>
          </w:p>
        </w:tc>
        <w:tc>
          <w:tcPr>
            <w:tcW w:w="1138"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r>
    </w:tbl>
    <w:p>
      <w:pPr>
        <w:spacing w:line="360" w:lineRule="auto"/>
        <w:rPr>
          <w:rFonts w:ascii="宋体" w:hAnsi="宋体"/>
          <w:sz w:val="24"/>
        </w:rPr>
      </w:pPr>
    </w:p>
    <w:p>
      <w:pPr>
        <w:spacing w:line="480" w:lineRule="auto"/>
        <w:rPr>
          <w:rFonts w:ascii="宋体" w:hAnsi="宋体"/>
          <w:sz w:val="24"/>
        </w:rPr>
      </w:pPr>
      <w:r>
        <w:rPr>
          <w:rFonts w:hint="eastAsia" w:ascii="宋体" w:hAnsi="宋体"/>
          <w:sz w:val="24"/>
        </w:rPr>
        <w:t>投标人名称（盖章）：</w:t>
      </w:r>
    </w:p>
    <w:p>
      <w:pPr>
        <w:spacing w:line="480" w:lineRule="auto"/>
        <w:rPr>
          <w:rFonts w:ascii="宋体" w:hAnsi="宋体"/>
          <w:sz w:val="24"/>
        </w:rPr>
      </w:pPr>
      <w:r>
        <w:rPr>
          <w:rFonts w:hint="eastAsia" w:ascii="宋体" w:hAnsi="宋体"/>
          <w:sz w:val="24"/>
        </w:rPr>
        <w:t>法定代表人(签字或盖章)或授权委托代理人(签字)：</w:t>
      </w:r>
    </w:p>
    <w:p>
      <w:pPr>
        <w:spacing w:line="480" w:lineRule="auto"/>
        <w:rPr>
          <w:rFonts w:ascii="宋体" w:hAnsi="宋体"/>
          <w:sz w:val="24"/>
        </w:rPr>
      </w:pPr>
      <w:r>
        <w:rPr>
          <w:rFonts w:hint="eastAsia" w:ascii="宋体" w:hAnsi="宋体"/>
          <w:sz w:val="24"/>
        </w:rPr>
        <w:t>日期：</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left"/>
        <w:rPr>
          <w:rFonts w:ascii="宋体" w:hAnsi="宋体" w:cs="宋体"/>
          <w:b/>
          <w:bCs/>
          <w:sz w:val="28"/>
          <w:szCs w:val="36"/>
        </w:rPr>
      </w:pPr>
      <w:r>
        <w:rPr>
          <w:rFonts w:hint="eastAsia" w:ascii="宋体" w:hAnsi="宋体" w:cs="宋体"/>
          <w:b/>
          <w:bCs/>
          <w:sz w:val="28"/>
          <w:szCs w:val="36"/>
          <w:lang w:val="zh-CN"/>
        </w:rPr>
        <w:t>附件</w:t>
      </w:r>
      <w:r>
        <w:rPr>
          <w:rFonts w:hint="eastAsia" w:ascii="宋体" w:hAnsi="宋体" w:cs="宋体"/>
          <w:b/>
          <w:bCs/>
          <w:sz w:val="28"/>
          <w:szCs w:val="36"/>
        </w:rPr>
        <w:t>15</w:t>
      </w:r>
    </w:p>
    <w:p>
      <w:pPr>
        <w:spacing w:line="360" w:lineRule="auto"/>
        <w:jc w:val="center"/>
        <w:rPr>
          <w:rFonts w:ascii="宋体"/>
          <w:b/>
          <w:bCs/>
          <w:sz w:val="32"/>
          <w:szCs w:val="32"/>
        </w:rPr>
      </w:pPr>
      <w:r>
        <w:rPr>
          <w:rFonts w:hint="eastAsia" w:ascii="宋体" w:hAnsi="宋体"/>
          <w:b/>
          <w:bCs/>
          <w:kern w:val="0"/>
          <w:sz w:val="32"/>
          <w:szCs w:val="32"/>
        </w:rPr>
        <w:t>技术需求响应表</w:t>
      </w:r>
    </w:p>
    <w:p>
      <w:pPr>
        <w:spacing w:line="360" w:lineRule="auto"/>
        <w:rPr>
          <w:rFonts w:ascii="宋体"/>
          <w:sz w:val="24"/>
        </w:rPr>
      </w:pPr>
    </w:p>
    <w:tbl>
      <w:tblPr>
        <w:tblStyle w:val="48"/>
        <w:tblW w:w="8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2752"/>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023" w:type="dxa"/>
            <w:vAlign w:val="center"/>
          </w:tcPr>
          <w:p>
            <w:pPr>
              <w:jc w:val="center"/>
              <w:rPr>
                <w:b/>
                <w:bCs/>
                <w:sz w:val="24"/>
              </w:rPr>
            </w:pPr>
            <w:r>
              <w:rPr>
                <w:rFonts w:hint="eastAsia"/>
                <w:b/>
                <w:bCs/>
                <w:sz w:val="24"/>
              </w:rPr>
              <w:t>序号</w:t>
            </w:r>
          </w:p>
        </w:tc>
        <w:tc>
          <w:tcPr>
            <w:tcW w:w="2752" w:type="dxa"/>
            <w:vAlign w:val="center"/>
          </w:tcPr>
          <w:p>
            <w:pPr>
              <w:jc w:val="center"/>
              <w:rPr>
                <w:b/>
                <w:bCs/>
                <w:sz w:val="24"/>
              </w:rPr>
            </w:pPr>
            <w:r>
              <w:rPr>
                <w:rFonts w:hint="eastAsia"/>
                <w:b/>
                <w:bCs/>
                <w:sz w:val="24"/>
              </w:rPr>
              <w:t>名称</w:t>
            </w:r>
          </w:p>
        </w:tc>
        <w:tc>
          <w:tcPr>
            <w:tcW w:w="1560" w:type="dxa"/>
            <w:vAlign w:val="center"/>
          </w:tcPr>
          <w:p>
            <w:pPr>
              <w:jc w:val="center"/>
              <w:rPr>
                <w:b/>
                <w:bCs/>
                <w:sz w:val="24"/>
              </w:rPr>
            </w:pPr>
            <w:r>
              <w:rPr>
                <w:rFonts w:hint="eastAsia"/>
                <w:b/>
                <w:bCs/>
                <w:sz w:val="24"/>
              </w:rPr>
              <w:t>招标参数</w:t>
            </w:r>
          </w:p>
        </w:tc>
        <w:tc>
          <w:tcPr>
            <w:tcW w:w="1401" w:type="dxa"/>
            <w:vAlign w:val="center"/>
          </w:tcPr>
          <w:p>
            <w:pPr>
              <w:jc w:val="center"/>
              <w:rPr>
                <w:b/>
                <w:bCs/>
                <w:sz w:val="24"/>
              </w:rPr>
            </w:pPr>
            <w:r>
              <w:rPr>
                <w:rFonts w:hint="eastAsia"/>
                <w:b/>
                <w:bCs/>
                <w:sz w:val="24"/>
              </w:rPr>
              <w:t>投标参数</w:t>
            </w:r>
          </w:p>
        </w:tc>
        <w:tc>
          <w:tcPr>
            <w:tcW w:w="1365" w:type="dxa"/>
            <w:vAlign w:val="center"/>
          </w:tcPr>
          <w:p>
            <w:pPr>
              <w:jc w:val="center"/>
              <w:rPr>
                <w:b/>
                <w:bCs/>
                <w:sz w:val="24"/>
              </w:rPr>
            </w:pPr>
            <w:r>
              <w:rPr>
                <w:rFonts w:hint="eastAsia"/>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023" w:type="dxa"/>
            <w:vAlign w:val="center"/>
          </w:tcPr>
          <w:p>
            <w:pPr>
              <w:jc w:val="center"/>
              <w:rPr>
                <w:b/>
                <w:bCs/>
                <w:sz w:val="24"/>
              </w:rPr>
            </w:pPr>
          </w:p>
        </w:tc>
        <w:tc>
          <w:tcPr>
            <w:tcW w:w="2752" w:type="dxa"/>
            <w:vAlign w:val="center"/>
          </w:tcPr>
          <w:p>
            <w:pPr>
              <w:jc w:val="center"/>
              <w:rPr>
                <w:b/>
                <w:bCs/>
                <w:sz w:val="24"/>
              </w:rPr>
            </w:pPr>
          </w:p>
        </w:tc>
        <w:tc>
          <w:tcPr>
            <w:tcW w:w="1560" w:type="dxa"/>
            <w:vAlign w:val="center"/>
          </w:tcPr>
          <w:p>
            <w:pPr>
              <w:jc w:val="center"/>
              <w:rPr>
                <w:b/>
                <w:bCs/>
                <w:sz w:val="24"/>
              </w:rPr>
            </w:pPr>
          </w:p>
        </w:tc>
        <w:tc>
          <w:tcPr>
            <w:tcW w:w="1401" w:type="dxa"/>
            <w:vAlign w:val="center"/>
          </w:tcPr>
          <w:p>
            <w:pPr>
              <w:jc w:val="center"/>
              <w:rPr>
                <w:b/>
                <w:bCs/>
                <w:sz w:val="24"/>
              </w:rPr>
            </w:pPr>
          </w:p>
        </w:tc>
        <w:tc>
          <w:tcPr>
            <w:tcW w:w="1365" w:type="dxa"/>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23" w:type="dxa"/>
            <w:vAlign w:val="center"/>
          </w:tcPr>
          <w:p>
            <w:pPr>
              <w:jc w:val="center"/>
              <w:rPr>
                <w:b/>
                <w:bCs/>
                <w:sz w:val="24"/>
              </w:rPr>
            </w:pPr>
          </w:p>
        </w:tc>
        <w:tc>
          <w:tcPr>
            <w:tcW w:w="2752" w:type="dxa"/>
            <w:vAlign w:val="center"/>
          </w:tcPr>
          <w:p>
            <w:pPr>
              <w:jc w:val="center"/>
              <w:rPr>
                <w:b/>
                <w:bCs/>
                <w:sz w:val="24"/>
              </w:rPr>
            </w:pPr>
          </w:p>
        </w:tc>
        <w:tc>
          <w:tcPr>
            <w:tcW w:w="1560" w:type="dxa"/>
            <w:vAlign w:val="center"/>
          </w:tcPr>
          <w:p>
            <w:pPr>
              <w:jc w:val="center"/>
              <w:rPr>
                <w:b/>
                <w:bCs/>
                <w:sz w:val="24"/>
              </w:rPr>
            </w:pPr>
          </w:p>
        </w:tc>
        <w:tc>
          <w:tcPr>
            <w:tcW w:w="1401" w:type="dxa"/>
            <w:vAlign w:val="center"/>
          </w:tcPr>
          <w:p>
            <w:pPr>
              <w:jc w:val="center"/>
              <w:rPr>
                <w:b/>
                <w:bCs/>
                <w:sz w:val="24"/>
              </w:rPr>
            </w:pPr>
          </w:p>
        </w:tc>
        <w:tc>
          <w:tcPr>
            <w:tcW w:w="1365" w:type="dxa"/>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023" w:type="dxa"/>
            <w:vAlign w:val="center"/>
          </w:tcPr>
          <w:p>
            <w:pPr>
              <w:jc w:val="center"/>
              <w:rPr>
                <w:b/>
                <w:bCs/>
                <w:sz w:val="24"/>
              </w:rPr>
            </w:pPr>
          </w:p>
        </w:tc>
        <w:tc>
          <w:tcPr>
            <w:tcW w:w="2752" w:type="dxa"/>
            <w:vAlign w:val="center"/>
          </w:tcPr>
          <w:p>
            <w:pPr>
              <w:jc w:val="center"/>
              <w:rPr>
                <w:b/>
                <w:bCs/>
                <w:sz w:val="24"/>
              </w:rPr>
            </w:pPr>
          </w:p>
        </w:tc>
        <w:tc>
          <w:tcPr>
            <w:tcW w:w="1560" w:type="dxa"/>
            <w:vAlign w:val="center"/>
          </w:tcPr>
          <w:p>
            <w:pPr>
              <w:jc w:val="center"/>
              <w:rPr>
                <w:b/>
                <w:bCs/>
                <w:sz w:val="24"/>
              </w:rPr>
            </w:pPr>
          </w:p>
        </w:tc>
        <w:tc>
          <w:tcPr>
            <w:tcW w:w="1401" w:type="dxa"/>
            <w:vAlign w:val="center"/>
          </w:tcPr>
          <w:p>
            <w:pPr>
              <w:jc w:val="center"/>
              <w:rPr>
                <w:b/>
                <w:bCs/>
                <w:sz w:val="24"/>
              </w:rPr>
            </w:pPr>
          </w:p>
        </w:tc>
        <w:tc>
          <w:tcPr>
            <w:tcW w:w="1365" w:type="dxa"/>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023" w:type="dxa"/>
            <w:vAlign w:val="center"/>
          </w:tcPr>
          <w:p>
            <w:pPr>
              <w:jc w:val="center"/>
              <w:rPr>
                <w:b/>
                <w:bCs/>
                <w:sz w:val="24"/>
              </w:rPr>
            </w:pPr>
          </w:p>
        </w:tc>
        <w:tc>
          <w:tcPr>
            <w:tcW w:w="2752" w:type="dxa"/>
            <w:vAlign w:val="center"/>
          </w:tcPr>
          <w:p>
            <w:pPr>
              <w:jc w:val="center"/>
              <w:rPr>
                <w:b/>
                <w:bCs/>
                <w:sz w:val="24"/>
              </w:rPr>
            </w:pPr>
          </w:p>
        </w:tc>
        <w:tc>
          <w:tcPr>
            <w:tcW w:w="1560" w:type="dxa"/>
            <w:vAlign w:val="center"/>
          </w:tcPr>
          <w:p>
            <w:pPr>
              <w:jc w:val="center"/>
              <w:rPr>
                <w:b/>
                <w:bCs/>
                <w:sz w:val="24"/>
              </w:rPr>
            </w:pPr>
          </w:p>
        </w:tc>
        <w:tc>
          <w:tcPr>
            <w:tcW w:w="1401" w:type="dxa"/>
            <w:vAlign w:val="center"/>
          </w:tcPr>
          <w:p>
            <w:pPr>
              <w:jc w:val="center"/>
              <w:rPr>
                <w:b/>
                <w:bCs/>
                <w:sz w:val="24"/>
              </w:rPr>
            </w:pPr>
          </w:p>
        </w:tc>
        <w:tc>
          <w:tcPr>
            <w:tcW w:w="1365" w:type="dxa"/>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23" w:type="dxa"/>
            <w:vAlign w:val="center"/>
          </w:tcPr>
          <w:p>
            <w:pPr>
              <w:jc w:val="center"/>
              <w:rPr>
                <w:b/>
                <w:bCs/>
                <w:sz w:val="24"/>
              </w:rPr>
            </w:pPr>
          </w:p>
        </w:tc>
        <w:tc>
          <w:tcPr>
            <w:tcW w:w="2752" w:type="dxa"/>
            <w:vAlign w:val="center"/>
          </w:tcPr>
          <w:p>
            <w:pPr>
              <w:jc w:val="center"/>
              <w:rPr>
                <w:b/>
                <w:bCs/>
                <w:sz w:val="24"/>
              </w:rPr>
            </w:pPr>
          </w:p>
        </w:tc>
        <w:tc>
          <w:tcPr>
            <w:tcW w:w="1560" w:type="dxa"/>
            <w:vAlign w:val="center"/>
          </w:tcPr>
          <w:p>
            <w:pPr>
              <w:jc w:val="center"/>
              <w:rPr>
                <w:b/>
                <w:bCs/>
                <w:sz w:val="24"/>
              </w:rPr>
            </w:pPr>
          </w:p>
        </w:tc>
        <w:tc>
          <w:tcPr>
            <w:tcW w:w="1401" w:type="dxa"/>
            <w:vAlign w:val="center"/>
          </w:tcPr>
          <w:p>
            <w:pPr>
              <w:jc w:val="center"/>
              <w:rPr>
                <w:b/>
                <w:bCs/>
                <w:sz w:val="24"/>
              </w:rPr>
            </w:pPr>
          </w:p>
        </w:tc>
        <w:tc>
          <w:tcPr>
            <w:tcW w:w="1365" w:type="dxa"/>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23" w:type="dxa"/>
            <w:vAlign w:val="center"/>
          </w:tcPr>
          <w:p>
            <w:pPr>
              <w:jc w:val="center"/>
              <w:rPr>
                <w:b/>
                <w:bCs/>
                <w:sz w:val="24"/>
              </w:rPr>
            </w:pPr>
          </w:p>
        </w:tc>
        <w:tc>
          <w:tcPr>
            <w:tcW w:w="2752" w:type="dxa"/>
            <w:vAlign w:val="center"/>
          </w:tcPr>
          <w:p>
            <w:pPr>
              <w:jc w:val="center"/>
              <w:rPr>
                <w:b/>
                <w:bCs/>
                <w:sz w:val="24"/>
              </w:rPr>
            </w:pPr>
          </w:p>
        </w:tc>
        <w:tc>
          <w:tcPr>
            <w:tcW w:w="1560" w:type="dxa"/>
            <w:vAlign w:val="center"/>
          </w:tcPr>
          <w:p>
            <w:pPr>
              <w:jc w:val="center"/>
              <w:rPr>
                <w:b/>
                <w:bCs/>
                <w:sz w:val="24"/>
              </w:rPr>
            </w:pPr>
          </w:p>
        </w:tc>
        <w:tc>
          <w:tcPr>
            <w:tcW w:w="1401" w:type="dxa"/>
            <w:vAlign w:val="center"/>
          </w:tcPr>
          <w:p>
            <w:pPr>
              <w:jc w:val="center"/>
              <w:rPr>
                <w:b/>
                <w:bCs/>
                <w:sz w:val="24"/>
              </w:rPr>
            </w:pPr>
          </w:p>
        </w:tc>
        <w:tc>
          <w:tcPr>
            <w:tcW w:w="1365" w:type="dxa"/>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23" w:type="dxa"/>
            <w:vAlign w:val="center"/>
          </w:tcPr>
          <w:p>
            <w:pPr>
              <w:jc w:val="center"/>
              <w:rPr>
                <w:b/>
                <w:bCs/>
                <w:sz w:val="24"/>
              </w:rPr>
            </w:pPr>
          </w:p>
        </w:tc>
        <w:tc>
          <w:tcPr>
            <w:tcW w:w="2752" w:type="dxa"/>
            <w:vAlign w:val="center"/>
          </w:tcPr>
          <w:p>
            <w:pPr>
              <w:jc w:val="center"/>
              <w:rPr>
                <w:b/>
                <w:bCs/>
                <w:sz w:val="24"/>
              </w:rPr>
            </w:pPr>
          </w:p>
        </w:tc>
        <w:tc>
          <w:tcPr>
            <w:tcW w:w="1560" w:type="dxa"/>
            <w:vAlign w:val="center"/>
          </w:tcPr>
          <w:p>
            <w:pPr>
              <w:jc w:val="center"/>
              <w:rPr>
                <w:b/>
                <w:bCs/>
                <w:sz w:val="24"/>
              </w:rPr>
            </w:pPr>
          </w:p>
        </w:tc>
        <w:tc>
          <w:tcPr>
            <w:tcW w:w="1401" w:type="dxa"/>
            <w:vAlign w:val="center"/>
          </w:tcPr>
          <w:p>
            <w:pPr>
              <w:jc w:val="center"/>
              <w:rPr>
                <w:b/>
                <w:bCs/>
                <w:sz w:val="24"/>
              </w:rPr>
            </w:pPr>
          </w:p>
        </w:tc>
        <w:tc>
          <w:tcPr>
            <w:tcW w:w="1365" w:type="dxa"/>
            <w:vAlign w:val="center"/>
          </w:tcPr>
          <w:p>
            <w:pPr>
              <w:jc w:val="center"/>
              <w:rPr>
                <w:b/>
                <w:bCs/>
                <w:sz w:val="24"/>
              </w:rPr>
            </w:pPr>
          </w:p>
        </w:tc>
      </w:tr>
    </w:tbl>
    <w:p>
      <w:pPr>
        <w:spacing w:line="360" w:lineRule="auto"/>
        <w:rPr>
          <w:rFonts w:ascii="宋体" w:hAnsi="宋体"/>
          <w:b/>
          <w:bCs/>
          <w:sz w:val="24"/>
        </w:rPr>
      </w:pPr>
      <w:r>
        <w:rPr>
          <w:rFonts w:hint="eastAsia" w:ascii="宋体" w:hAnsi="宋体"/>
          <w:b/>
          <w:bCs/>
          <w:sz w:val="24"/>
        </w:rPr>
        <w:t>要求：</w:t>
      </w:r>
    </w:p>
    <w:p>
      <w:pPr>
        <w:spacing w:line="360" w:lineRule="auto"/>
        <w:ind w:firstLine="480" w:firstLineChars="200"/>
        <w:rPr>
          <w:rFonts w:ascii="宋体" w:hAnsi="宋体"/>
          <w:sz w:val="24"/>
        </w:rPr>
      </w:pPr>
      <w:r>
        <w:rPr>
          <w:rFonts w:hint="eastAsia" w:ascii="宋体" w:hAnsi="宋体"/>
          <w:sz w:val="24"/>
        </w:rPr>
        <w:t>1.本表参照本招标文件“第四章 公开招标需求”内容填制，对照招标文件要求在“偏离情况”栏注明“正偏离”、“负偏离”或“无偏离”。</w:t>
      </w:r>
    </w:p>
    <w:p>
      <w:pPr>
        <w:spacing w:line="360" w:lineRule="auto"/>
        <w:ind w:firstLine="480" w:firstLineChars="200"/>
        <w:rPr>
          <w:rFonts w:ascii="宋体" w:hAnsi="宋体"/>
          <w:sz w:val="24"/>
        </w:rPr>
      </w:pPr>
      <w:r>
        <w:rPr>
          <w:rFonts w:hint="eastAsia" w:ascii="宋体" w:hAnsi="宋体"/>
          <w:sz w:val="24"/>
        </w:rPr>
        <w:t>2.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hAnsi="宋体"/>
          <w:sz w:val="24"/>
        </w:rPr>
      </w:pPr>
    </w:p>
    <w:p>
      <w:pPr>
        <w:spacing w:line="480" w:lineRule="auto"/>
        <w:rPr>
          <w:rFonts w:ascii="宋体" w:hAnsi="宋体"/>
          <w:sz w:val="24"/>
        </w:rPr>
      </w:pPr>
      <w:r>
        <w:rPr>
          <w:rFonts w:hint="eastAsia" w:ascii="宋体" w:hAnsi="宋体"/>
          <w:sz w:val="24"/>
        </w:rPr>
        <w:t>投标人名称（盖章）：</w:t>
      </w:r>
    </w:p>
    <w:p>
      <w:pPr>
        <w:spacing w:line="480" w:lineRule="auto"/>
        <w:rPr>
          <w:rFonts w:ascii="宋体" w:hAnsi="宋体"/>
          <w:sz w:val="24"/>
        </w:rPr>
      </w:pPr>
      <w:r>
        <w:rPr>
          <w:rFonts w:hint="eastAsia" w:ascii="宋体" w:hAnsi="宋体"/>
          <w:sz w:val="24"/>
        </w:rPr>
        <w:t>法定代表人(签字或盖章)或授权委托代理人(签字)：</w:t>
      </w:r>
    </w:p>
    <w:p>
      <w:pPr>
        <w:spacing w:line="480" w:lineRule="auto"/>
        <w:rPr>
          <w:rFonts w:ascii="宋体" w:hAnsi="宋体"/>
          <w:sz w:val="24"/>
        </w:rPr>
      </w:pPr>
      <w:r>
        <w:rPr>
          <w:rFonts w:hint="eastAsia" w:ascii="宋体" w:hAnsi="宋体"/>
          <w:sz w:val="24"/>
        </w:rPr>
        <w:t>日期：</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left"/>
        <w:rPr>
          <w:rFonts w:ascii="宋体" w:hAnsi="宋体" w:cs="宋体"/>
          <w:b/>
          <w:bCs/>
          <w:sz w:val="28"/>
          <w:szCs w:val="36"/>
        </w:rPr>
      </w:pPr>
      <w:r>
        <w:rPr>
          <w:rFonts w:hint="eastAsia" w:ascii="宋体" w:hAnsi="宋体" w:cs="宋体"/>
          <w:b/>
          <w:bCs/>
          <w:sz w:val="28"/>
          <w:szCs w:val="36"/>
          <w:lang w:val="zh-CN"/>
        </w:rPr>
        <w:t>附件1</w:t>
      </w:r>
      <w:r>
        <w:rPr>
          <w:rFonts w:hint="eastAsia" w:ascii="宋体" w:hAnsi="宋体" w:cs="宋体"/>
          <w:b/>
          <w:bCs/>
          <w:sz w:val="28"/>
          <w:szCs w:val="36"/>
        </w:rPr>
        <w:t>6</w:t>
      </w:r>
    </w:p>
    <w:p>
      <w:pPr>
        <w:spacing w:line="360" w:lineRule="auto"/>
        <w:jc w:val="center"/>
        <w:rPr>
          <w:rFonts w:ascii="宋体" w:hAnsi="宋体" w:cs="宋体"/>
          <w:b/>
          <w:bCs/>
          <w:sz w:val="32"/>
          <w:szCs w:val="40"/>
          <w:lang w:val="zh-CN"/>
        </w:rPr>
      </w:pPr>
      <w:r>
        <w:rPr>
          <w:rFonts w:hint="eastAsia" w:ascii="宋体" w:hAnsi="宋体" w:cs="宋体"/>
          <w:b/>
          <w:bCs/>
          <w:sz w:val="32"/>
          <w:szCs w:val="40"/>
          <w:lang w:val="zh-CN"/>
        </w:rPr>
        <w:t>投标人类似项目实施情况一览表</w:t>
      </w:r>
    </w:p>
    <w:p>
      <w:pPr>
        <w:spacing w:line="360" w:lineRule="auto"/>
        <w:rPr>
          <w:rFonts w:ascii="宋体" w:hAnsi="宋体"/>
          <w:b/>
          <w:bCs/>
          <w:sz w:val="24"/>
        </w:rPr>
      </w:pPr>
    </w:p>
    <w:tbl>
      <w:tblPr>
        <w:tblStyle w:val="48"/>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71"/>
              <w:spacing w:line="360" w:lineRule="auto"/>
              <w:jc w:val="center"/>
              <w:rPr>
                <w:rFonts w:ascii="宋体" w:cs="Arial"/>
                <w:b/>
                <w:bCs/>
                <w:sz w:val="24"/>
              </w:rPr>
            </w:pPr>
            <w:r>
              <w:rPr>
                <w:rFonts w:hint="eastAsia" w:ascii="宋体" w:hAnsi="宋体" w:cs="Arial"/>
                <w:b/>
                <w:bCs/>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71"/>
              <w:spacing w:line="360" w:lineRule="auto"/>
              <w:jc w:val="center"/>
              <w:rPr>
                <w:rFonts w:ascii="宋体" w:cs="Arial"/>
                <w:b/>
                <w:bCs/>
                <w:sz w:val="24"/>
              </w:rPr>
            </w:pPr>
            <w:r>
              <w:rPr>
                <w:rFonts w:hint="eastAsia" w:ascii="宋体" w:hAnsi="宋体" w:cs="Arial"/>
                <w:b/>
                <w:bCs/>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71"/>
              <w:spacing w:line="360" w:lineRule="auto"/>
              <w:jc w:val="center"/>
              <w:rPr>
                <w:rFonts w:ascii="宋体" w:cs="Arial"/>
                <w:b/>
                <w:bCs/>
                <w:sz w:val="24"/>
              </w:rPr>
            </w:pPr>
            <w:r>
              <w:rPr>
                <w:rFonts w:hint="eastAsia" w:ascii="宋体" w:hAnsi="宋体" w:cs="Arial"/>
                <w:b/>
                <w:bCs/>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71"/>
              <w:spacing w:line="360" w:lineRule="auto"/>
              <w:jc w:val="center"/>
              <w:rPr>
                <w:rFonts w:ascii="宋体" w:cs="Arial"/>
                <w:b/>
                <w:bCs/>
                <w:sz w:val="24"/>
              </w:rPr>
            </w:pPr>
            <w:r>
              <w:rPr>
                <w:rFonts w:hint="eastAsia" w:ascii="宋体" w:hAnsi="宋体" w:cs="Arial"/>
                <w:b/>
                <w:bCs/>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71"/>
              <w:spacing w:line="360" w:lineRule="auto"/>
              <w:jc w:val="center"/>
              <w:rPr>
                <w:rFonts w:ascii="宋体" w:cs="Arial"/>
                <w:b/>
                <w:bCs/>
                <w:sz w:val="24"/>
              </w:rPr>
            </w:pPr>
            <w:r>
              <w:rPr>
                <w:rFonts w:hint="eastAsia" w:ascii="宋体" w:hAnsi="宋体" w:cs="Arial"/>
                <w:b/>
                <w:bCs/>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71"/>
              <w:spacing w:line="360" w:lineRule="auto"/>
              <w:jc w:val="center"/>
              <w:rPr>
                <w:rFonts w:ascii="宋体" w:cs="Arial"/>
                <w:b/>
                <w:bCs/>
                <w:sz w:val="24"/>
              </w:rPr>
            </w:pPr>
            <w:r>
              <w:rPr>
                <w:rFonts w:hint="eastAsia" w:ascii="宋体" w:hAnsi="宋体" w:cs="Arial"/>
                <w:b/>
                <w:bCs/>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71"/>
              <w:spacing w:line="360" w:lineRule="auto"/>
              <w:jc w:val="center"/>
              <w:rPr>
                <w:rFonts w:ascii="宋体" w:cs="Arial"/>
                <w:b/>
                <w:bCs/>
                <w:sz w:val="24"/>
              </w:rPr>
            </w:pPr>
            <w:r>
              <w:rPr>
                <w:rFonts w:hint="eastAsia" w:ascii="宋体" w:hAnsi="宋体" w:cs="Arial"/>
                <w:b/>
                <w:bCs/>
                <w:sz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71"/>
              <w:spacing w:line="360" w:lineRule="auto"/>
              <w:jc w:val="center"/>
              <w:rPr>
                <w:rFonts w:ascii="宋体" w:cs="Arial"/>
                <w:sz w:val="24"/>
              </w:rPr>
            </w:pPr>
            <w:r>
              <w:rPr>
                <w:rFonts w:ascii="宋体" w:hAnsi="宋体" w:cs="Arial"/>
                <w:sz w:val="24"/>
              </w:rPr>
              <w:t>1</w:t>
            </w:r>
          </w:p>
        </w:tc>
        <w:tc>
          <w:tcPr>
            <w:tcW w:w="1293"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71"/>
              <w:spacing w:line="360" w:lineRule="auto"/>
              <w:jc w:val="center"/>
              <w:rPr>
                <w:rFonts w:ascii="宋体" w:cs="Arial"/>
                <w:sz w:val="24"/>
              </w:rPr>
            </w:pPr>
            <w:r>
              <w:rPr>
                <w:rFonts w:ascii="宋体" w:hAnsi="宋体" w:cs="Arial"/>
                <w:sz w:val="24"/>
              </w:rPr>
              <w:t>2</w:t>
            </w:r>
          </w:p>
        </w:tc>
        <w:tc>
          <w:tcPr>
            <w:tcW w:w="1293"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71"/>
              <w:spacing w:line="360" w:lineRule="auto"/>
              <w:jc w:val="center"/>
              <w:rPr>
                <w:rFonts w:ascii="宋体" w:cs="Arial"/>
                <w:sz w:val="24"/>
              </w:rPr>
            </w:pPr>
            <w:r>
              <w:rPr>
                <w:rFonts w:ascii="宋体" w:hAnsi="宋体" w:cs="Arial"/>
                <w:sz w:val="24"/>
              </w:rPr>
              <w:t>3</w:t>
            </w:r>
          </w:p>
        </w:tc>
        <w:tc>
          <w:tcPr>
            <w:tcW w:w="1293"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r>
              <w:rPr>
                <w:rFonts w:hint="eastAsia" w:ascii="宋体" w:hAnsi="宋体" w:cs="Arial"/>
                <w:sz w:val="24"/>
              </w:rPr>
              <w:t>…</w:t>
            </w:r>
          </w:p>
        </w:tc>
        <w:tc>
          <w:tcPr>
            <w:tcW w:w="1293"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71"/>
              <w:spacing w:line="360" w:lineRule="auto"/>
              <w:rPr>
                <w:rFonts w:ascii="宋体" w:cs="Arial"/>
                <w:sz w:val="24"/>
              </w:rPr>
            </w:pPr>
          </w:p>
        </w:tc>
      </w:tr>
    </w:tbl>
    <w:p>
      <w:pPr>
        <w:spacing w:line="360" w:lineRule="auto"/>
        <w:rPr>
          <w:rFonts w:ascii="宋体" w:hAnsi="宋体"/>
          <w:b/>
          <w:bCs/>
          <w:sz w:val="24"/>
        </w:rPr>
      </w:pPr>
      <w:r>
        <w:rPr>
          <w:rFonts w:hint="eastAsia" w:ascii="宋体" w:hAnsi="宋体"/>
          <w:b/>
          <w:bCs/>
          <w:sz w:val="24"/>
        </w:rPr>
        <w:t>要求：</w:t>
      </w:r>
    </w:p>
    <w:p>
      <w:pPr>
        <w:spacing w:line="360" w:lineRule="auto"/>
        <w:ind w:firstLine="480" w:firstLineChars="200"/>
        <w:rPr>
          <w:rFonts w:ascii="宋体" w:hAnsi="宋体"/>
          <w:sz w:val="24"/>
        </w:rPr>
      </w:pPr>
      <w:r>
        <w:rPr>
          <w:rFonts w:hint="eastAsia" w:ascii="宋体" w:hAnsi="宋体"/>
          <w:sz w:val="24"/>
        </w:rPr>
        <w:t>1.业绩证明应提供证明材料（合同复印件可只提供首页、含金额页、盖章页并加盖投标人公章）；</w:t>
      </w:r>
    </w:p>
    <w:p>
      <w:pPr>
        <w:spacing w:line="360" w:lineRule="auto"/>
        <w:ind w:firstLine="480" w:firstLineChars="200"/>
        <w:rPr>
          <w:rFonts w:ascii="宋体" w:hAnsi="宋体"/>
          <w:sz w:val="24"/>
        </w:rPr>
      </w:pPr>
      <w:r>
        <w:rPr>
          <w:rFonts w:hint="eastAsia" w:ascii="宋体" w:hAnsi="宋体"/>
          <w:sz w:val="24"/>
        </w:rPr>
        <w:t>2.报价供应商可按此表格式复制。</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480" w:lineRule="auto"/>
        <w:rPr>
          <w:rFonts w:ascii="宋体" w:hAnsi="宋体"/>
          <w:sz w:val="24"/>
        </w:rPr>
      </w:pPr>
      <w:r>
        <w:rPr>
          <w:rFonts w:hint="eastAsia" w:ascii="宋体" w:hAnsi="宋体"/>
          <w:sz w:val="24"/>
        </w:rPr>
        <w:t>投标人名称（盖章）：</w:t>
      </w:r>
    </w:p>
    <w:p>
      <w:pPr>
        <w:spacing w:line="480" w:lineRule="auto"/>
        <w:rPr>
          <w:rFonts w:ascii="宋体" w:hAnsi="宋体"/>
          <w:sz w:val="24"/>
        </w:rPr>
      </w:pPr>
      <w:r>
        <w:rPr>
          <w:rFonts w:hint="eastAsia" w:ascii="宋体" w:hAnsi="宋体"/>
          <w:sz w:val="24"/>
        </w:rPr>
        <w:t>法定代表人(签字或盖章)或授权委托代理人(签字)：</w:t>
      </w:r>
    </w:p>
    <w:p>
      <w:pPr>
        <w:spacing w:line="480" w:lineRule="auto"/>
        <w:rPr>
          <w:rFonts w:ascii="宋体" w:hAnsi="宋体"/>
          <w:sz w:val="24"/>
        </w:rPr>
      </w:pPr>
      <w:r>
        <w:rPr>
          <w:rFonts w:hint="eastAsia" w:ascii="宋体" w:hAnsi="宋体"/>
          <w:sz w:val="24"/>
        </w:rPr>
        <w:t>日期：</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tabs>
          <w:tab w:val="left" w:pos="2460"/>
        </w:tabs>
        <w:spacing w:line="360" w:lineRule="auto"/>
        <w:rPr>
          <w:rFonts w:ascii="宋体" w:hAnsi="宋体"/>
          <w:b/>
          <w:sz w:val="28"/>
        </w:rPr>
      </w:pPr>
      <w:r>
        <w:rPr>
          <w:rFonts w:hint="eastAsia" w:ascii="宋体" w:hAnsi="宋体"/>
          <w:b/>
          <w:sz w:val="28"/>
        </w:rPr>
        <w:t>附件17</w:t>
      </w:r>
    </w:p>
    <w:p>
      <w:pPr>
        <w:spacing w:line="480" w:lineRule="exact"/>
        <w:jc w:val="center"/>
        <w:rPr>
          <w:rFonts w:ascii="宋体"/>
          <w:b/>
          <w:sz w:val="32"/>
          <w:szCs w:val="32"/>
        </w:rPr>
      </w:pPr>
      <w:r>
        <w:rPr>
          <w:rFonts w:hint="eastAsia" w:ascii="宋体" w:hAnsi="宋体"/>
          <w:b/>
          <w:sz w:val="32"/>
          <w:szCs w:val="32"/>
        </w:rPr>
        <w:t>售后服务情况表</w:t>
      </w:r>
    </w:p>
    <w:p>
      <w:pPr>
        <w:spacing w:line="360" w:lineRule="auto"/>
        <w:rPr>
          <w:rFonts w:ascii="宋体"/>
          <w:b/>
          <w:sz w:val="24"/>
        </w:rPr>
      </w:pPr>
    </w:p>
    <w:tbl>
      <w:tblPr>
        <w:tblStyle w:val="48"/>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pPr>
              <w:pStyle w:val="73"/>
              <w:spacing w:line="360" w:lineRule="auto"/>
              <w:jc w:val="center"/>
              <w:rPr>
                <w:rFonts w:ascii="宋体" w:cs="Arial"/>
                <w:b/>
                <w:sz w:val="24"/>
              </w:rPr>
            </w:pPr>
            <w:r>
              <w:rPr>
                <w:rFonts w:hint="eastAsia" w:ascii="宋体" w:hAnsi="宋体" w:cs="Arial"/>
                <w:b/>
                <w:sz w:val="24"/>
              </w:rPr>
              <w:t>序号</w:t>
            </w:r>
          </w:p>
        </w:tc>
        <w:tc>
          <w:tcPr>
            <w:tcW w:w="2355" w:type="dxa"/>
            <w:tcBorders>
              <w:top w:val="single" w:color="auto" w:sz="4" w:space="0"/>
            </w:tcBorders>
            <w:vAlign w:val="center"/>
          </w:tcPr>
          <w:p>
            <w:pPr>
              <w:pStyle w:val="73"/>
              <w:spacing w:line="360" w:lineRule="auto"/>
              <w:jc w:val="center"/>
              <w:rPr>
                <w:rFonts w:ascii="宋体" w:cs="Arial"/>
                <w:b/>
                <w:sz w:val="24"/>
              </w:rPr>
            </w:pPr>
            <w:r>
              <w:rPr>
                <w:rFonts w:hint="eastAsia" w:ascii="宋体" w:hAnsi="宋体" w:cs="Arial"/>
                <w:b/>
                <w:sz w:val="24"/>
              </w:rPr>
              <w:t>项目</w:t>
            </w:r>
          </w:p>
        </w:tc>
        <w:tc>
          <w:tcPr>
            <w:tcW w:w="4061" w:type="dxa"/>
            <w:tcBorders>
              <w:top w:val="single" w:color="auto" w:sz="4" w:space="0"/>
            </w:tcBorders>
            <w:vAlign w:val="center"/>
          </w:tcPr>
          <w:p>
            <w:pPr>
              <w:pStyle w:val="73"/>
              <w:spacing w:line="360" w:lineRule="auto"/>
              <w:jc w:val="center"/>
              <w:rPr>
                <w:rFonts w:ascii="宋体" w:cs="Arial"/>
                <w:b/>
                <w:sz w:val="24"/>
              </w:rPr>
            </w:pPr>
            <w:r>
              <w:rPr>
                <w:rFonts w:hint="eastAsia" w:ascii="宋体" w:hAnsi="宋体" w:cs="Arial"/>
                <w:b/>
                <w:sz w:val="24"/>
              </w:rPr>
              <w:t>投标人情况</w:t>
            </w:r>
          </w:p>
        </w:tc>
        <w:tc>
          <w:tcPr>
            <w:tcW w:w="1373" w:type="dxa"/>
            <w:tcBorders>
              <w:top w:val="single" w:color="auto" w:sz="4" w:space="0"/>
            </w:tcBorders>
            <w:vAlign w:val="center"/>
          </w:tcPr>
          <w:p>
            <w:pPr>
              <w:pStyle w:val="73"/>
              <w:spacing w:line="360" w:lineRule="auto"/>
              <w:jc w:val="center"/>
              <w:rPr>
                <w:rFonts w:ascii="宋体" w:cs="Arial"/>
                <w:b/>
                <w:sz w:val="24"/>
              </w:rPr>
            </w:pPr>
            <w:r>
              <w:rPr>
                <w:rFonts w:hint="eastAsia" w:ascii="宋体" w:hAnsi="宋体" w:cs="Arial"/>
                <w:b/>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73"/>
              <w:spacing w:line="360" w:lineRule="auto"/>
              <w:jc w:val="center"/>
              <w:rPr>
                <w:rFonts w:ascii="宋体" w:cs="Arial"/>
                <w:bCs/>
                <w:sz w:val="24"/>
              </w:rPr>
            </w:pPr>
            <w:r>
              <w:rPr>
                <w:rFonts w:ascii="宋体" w:hAnsi="宋体" w:cs="Arial"/>
                <w:bCs/>
                <w:sz w:val="24"/>
              </w:rPr>
              <w:t>1</w:t>
            </w:r>
          </w:p>
        </w:tc>
        <w:tc>
          <w:tcPr>
            <w:tcW w:w="2355" w:type="dxa"/>
            <w:vMerge w:val="restart"/>
            <w:vAlign w:val="center"/>
          </w:tcPr>
          <w:p>
            <w:pPr>
              <w:pStyle w:val="73"/>
              <w:widowControl/>
              <w:spacing w:line="360" w:lineRule="auto"/>
              <w:jc w:val="left"/>
              <w:rPr>
                <w:rFonts w:ascii="宋体" w:cs="Arial"/>
                <w:bCs/>
                <w:sz w:val="24"/>
              </w:rPr>
            </w:pPr>
            <w:r>
              <w:rPr>
                <w:rFonts w:hint="eastAsia" w:ascii="宋体" w:hAnsi="宋体" w:cs="Arial"/>
                <w:bCs/>
                <w:sz w:val="24"/>
              </w:rPr>
              <w:t>保修期内售后服务情况</w:t>
            </w:r>
            <w:r>
              <w:rPr>
                <w:rFonts w:ascii="宋体" w:hAnsi="宋体" w:cs="Arial"/>
                <w:bCs/>
                <w:sz w:val="24"/>
              </w:rPr>
              <w:t>(</w:t>
            </w:r>
            <w:r>
              <w:rPr>
                <w:rFonts w:hint="eastAsia" w:ascii="宋体" w:hAnsi="宋体" w:cs="Arial"/>
                <w:bCs/>
                <w:sz w:val="24"/>
              </w:rPr>
              <w:t>服务方式、服务网点、售后服务的内容和措施等等，可用附页和宣传材料</w:t>
            </w:r>
            <w:r>
              <w:rPr>
                <w:rFonts w:ascii="宋体" w:hAnsi="宋体" w:cs="Arial"/>
                <w:bCs/>
                <w:sz w:val="24"/>
              </w:rPr>
              <w:t>)</w:t>
            </w:r>
          </w:p>
        </w:tc>
        <w:tc>
          <w:tcPr>
            <w:tcW w:w="4061" w:type="dxa"/>
          </w:tcPr>
          <w:p>
            <w:pPr>
              <w:pStyle w:val="73"/>
              <w:spacing w:line="360" w:lineRule="auto"/>
              <w:rPr>
                <w:rFonts w:ascii="宋体" w:cs="Arial"/>
                <w:bCs/>
                <w:sz w:val="24"/>
              </w:rPr>
            </w:pPr>
            <w:r>
              <w:rPr>
                <w:rFonts w:hint="eastAsia" w:ascii="宋体" w:hAnsi="宋体" w:cs="Arial"/>
                <w:bCs/>
                <w:sz w:val="24"/>
              </w:rPr>
              <w:t>生产厂商售后服务情况：</w:t>
            </w:r>
          </w:p>
        </w:tc>
        <w:tc>
          <w:tcPr>
            <w:tcW w:w="1373" w:type="dxa"/>
          </w:tcPr>
          <w:p>
            <w:pPr>
              <w:pStyle w:val="73"/>
              <w:spacing w:line="360" w:lineRule="auto"/>
              <w:rPr>
                <w:rFonts w:ascii="宋体" w:cs="Arial"/>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73"/>
              <w:widowControl/>
              <w:spacing w:line="360" w:lineRule="auto"/>
              <w:jc w:val="left"/>
              <w:rPr>
                <w:rFonts w:ascii="宋体" w:cs="Arial"/>
                <w:bCs/>
                <w:sz w:val="24"/>
              </w:rPr>
            </w:pPr>
          </w:p>
        </w:tc>
        <w:tc>
          <w:tcPr>
            <w:tcW w:w="2355" w:type="dxa"/>
            <w:vMerge w:val="continue"/>
            <w:vAlign w:val="center"/>
          </w:tcPr>
          <w:p>
            <w:pPr>
              <w:pStyle w:val="73"/>
              <w:widowControl/>
              <w:spacing w:line="360" w:lineRule="auto"/>
              <w:jc w:val="left"/>
              <w:rPr>
                <w:rFonts w:ascii="宋体" w:cs="Arial"/>
                <w:bCs/>
                <w:sz w:val="24"/>
              </w:rPr>
            </w:pPr>
          </w:p>
        </w:tc>
        <w:tc>
          <w:tcPr>
            <w:tcW w:w="4061" w:type="dxa"/>
          </w:tcPr>
          <w:p>
            <w:pPr>
              <w:pStyle w:val="73"/>
              <w:spacing w:line="360" w:lineRule="auto"/>
              <w:rPr>
                <w:rFonts w:ascii="宋体" w:cs="Arial"/>
                <w:bCs/>
                <w:sz w:val="24"/>
              </w:rPr>
            </w:pPr>
            <w:r>
              <w:rPr>
                <w:rFonts w:hint="eastAsia" w:ascii="宋体" w:hAnsi="宋体" w:cs="Arial"/>
                <w:bCs/>
                <w:sz w:val="24"/>
              </w:rPr>
              <w:t>投标人售后服务情况：</w:t>
            </w:r>
          </w:p>
        </w:tc>
        <w:tc>
          <w:tcPr>
            <w:tcW w:w="1373" w:type="dxa"/>
          </w:tcPr>
          <w:p>
            <w:pPr>
              <w:pStyle w:val="73"/>
              <w:spacing w:line="360" w:lineRule="auto"/>
              <w:jc w:val="left"/>
              <w:rPr>
                <w:rFonts w:ascii="宋体" w:cs="Arial"/>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73"/>
              <w:spacing w:line="360" w:lineRule="auto"/>
              <w:jc w:val="center"/>
              <w:rPr>
                <w:rFonts w:ascii="宋体" w:cs="Arial"/>
                <w:bCs/>
                <w:sz w:val="24"/>
              </w:rPr>
            </w:pPr>
            <w:r>
              <w:rPr>
                <w:rFonts w:ascii="宋体" w:hAnsi="宋体" w:cs="Arial"/>
                <w:bCs/>
                <w:sz w:val="24"/>
              </w:rPr>
              <w:t>2</w:t>
            </w:r>
          </w:p>
        </w:tc>
        <w:tc>
          <w:tcPr>
            <w:tcW w:w="2355" w:type="dxa"/>
            <w:vAlign w:val="center"/>
          </w:tcPr>
          <w:p>
            <w:pPr>
              <w:pStyle w:val="73"/>
              <w:spacing w:line="360" w:lineRule="auto"/>
              <w:rPr>
                <w:rFonts w:ascii="宋体" w:cs="Arial"/>
                <w:bCs/>
                <w:sz w:val="24"/>
              </w:rPr>
            </w:pPr>
            <w:r>
              <w:rPr>
                <w:rFonts w:hint="eastAsia" w:ascii="宋体" w:hAnsi="宋体" w:cs="Arial"/>
                <w:bCs/>
                <w:sz w:val="24"/>
              </w:rPr>
              <w:t>保修期后售后服务</w:t>
            </w:r>
          </w:p>
        </w:tc>
        <w:tc>
          <w:tcPr>
            <w:tcW w:w="4061" w:type="dxa"/>
          </w:tcPr>
          <w:p>
            <w:pPr>
              <w:pStyle w:val="73"/>
              <w:widowControl/>
              <w:spacing w:line="360" w:lineRule="auto"/>
              <w:jc w:val="left"/>
              <w:rPr>
                <w:rFonts w:ascii="宋体" w:cs="Arial"/>
                <w:bCs/>
                <w:sz w:val="24"/>
              </w:rPr>
            </w:pPr>
          </w:p>
          <w:p>
            <w:pPr>
              <w:pStyle w:val="73"/>
              <w:widowControl/>
              <w:spacing w:line="360" w:lineRule="auto"/>
              <w:jc w:val="left"/>
              <w:rPr>
                <w:rFonts w:ascii="宋体" w:cs="Arial"/>
                <w:bCs/>
                <w:sz w:val="24"/>
              </w:rPr>
            </w:pPr>
          </w:p>
          <w:p>
            <w:pPr>
              <w:pStyle w:val="73"/>
              <w:spacing w:line="360" w:lineRule="auto"/>
              <w:rPr>
                <w:rFonts w:ascii="宋体" w:cs="Arial"/>
                <w:bCs/>
                <w:sz w:val="24"/>
              </w:rPr>
            </w:pPr>
          </w:p>
        </w:tc>
        <w:tc>
          <w:tcPr>
            <w:tcW w:w="1373" w:type="dxa"/>
          </w:tcPr>
          <w:p>
            <w:pPr>
              <w:pStyle w:val="73"/>
              <w:widowControl/>
              <w:spacing w:line="360" w:lineRule="auto"/>
              <w:jc w:val="left"/>
              <w:rPr>
                <w:rFonts w:ascii="宋体" w:cs="Arial"/>
                <w:bCs/>
                <w:sz w:val="24"/>
              </w:rPr>
            </w:pPr>
          </w:p>
          <w:p>
            <w:pPr>
              <w:pStyle w:val="73"/>
              <w:widowControl/>
              <w:spacing w:line="360" w:lineRule="auto"/>
              <w:jc w:val="left"/>
              <w:rPr>
                <w:rFonts w:ascii="宋体" w:cs="Arial"/>
                <w:bCs/>
                <w:sz w:val="24"/>
              </w:rPr>
            </w:pPr>
          </w:p>
          <w:p>
            <w:pPr>
              <w:pStyle w:val="73"/>
              <w:spacing w:line="360" w:lineRule="auto"/>
              <w:rPr>
                <w:rFonts w:ascii="宋体" w:cs="Arial"/>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73"/>
              <w:widowControl/>
              <w:spacing w:line="360" w:lineRule="auto"/>
              <w:jc w:val="left"/>
              <w:rPr>
                <w:rFonts w:ascii="宋体" w:cs="Arial"/>
                <w:bCs/>
                <w:sz w:val="24"/>
              </w:rPr>
            </w:pPr>
            <w:r>
              <w:rPr>
                <w:rFonts w:ascii="宋体" w:hAnsi="宋体" w:cs="Arial"/>
                <w:bCs/>
                <w:sz w:val="24"/>
              </w:rPr>
              <w:t xml:space="preserve"> 3</w:t>
            </w:r>
          </w:p>
        </w:tc>
        <w:tc>
          <w:tcPr>
            <w:tcW w:w="2355" w:type="dxa"/>
            <w:vAlign w:val="center"/>
          </w:tcPr>
          <w:p>
            <w:pPr>
              <w:pStyle w:val="73"/>
              <w:widowControl/>
              <w:spacing w:line="360" w:lineRule="auto"/>
              <w:jc w:val="left"/>
              <w:rPr>
                <w:rFonts w:ascii="宋体" w:cs="Arial"/>
                <w:bCs/>
                <w:sz w:val="24"/>
              </w:rPr>
            </w:pPr>
            <w:r>
              <w:rPr>
                <w:rFonts w:hint="eastAsia" w:ascii="宋体" w:hAnsi="宋体" w:cs="Arial"/>
                <w:bCs/>
                <w:sz w:val="24"/>
              </w:rPr>
              <w:t>培训方案（可用附页）</w:t>
            </w:r>
          </w:p>
        </w:tc>
        <w:tc>
          <w:tcPr>
            <w:tcW w:w="4061" w:type="dxa"/>
          </w:tcPr>
          <w:p>
            <w:pPr>
              <w:pStyle w:val="73"/>
              <w:widowControl/>
              <w:spacing w:line="360" w:lineRule="auto"/>
              <w:jc w:val="left"/>
              <w:rPr>
                <w:rFonts w:ascii="宋体" w:cs="Arial"/>
                <w:bCs/>
                <w:i/>
                <w:sz w:val="24"/>
              </w:rPr>
            </w:pPr>
          </w:p>
          <w:p>
            <w:pPr>
              <w:pStyle w:val="73"/>
              <w:widowControl/>
              <w:spacing w:line="360" w:lineRule="auto"/>
              <w:jc w:val="left"/>
              <w:rPr>
                <w:rFonts w:ascii="宋体" w:cs="Arial"/>
                <w:bCs/>
                <w:i/>
                <w:sz w:val="24"/>
              </w:rPr>
            </w:pPr>
          </w:p>
        </w:tc>
        <w:tc>
          <w:tcPr>
            <w:tcW w:w="1373" w:type="dxa"/>
          </w:tcPr>
          <w:p>
            <w:pPr>
              <w:pStyle w:val="73"/>
              <w:widowControl/>
              <w:spacing w:line="360" w:lineRule="auto"/>
              <w:jc w:val="left"/>
              <w:rPr>
                <w:rFonts w:ascii="宋体" w:cs="Arial"/>
                <w:bCs/>
                <w:i/>
                <w:sz w:val="24"/>
              </w:rPr>
            </w:pPr>
          </w:p>
          <w:p>
            <w:pPr>
              <w:pStyle w:val="73"/>
              <w:widowControl/>
              <w:spacing w:line="360" w:lineRule="auto"/>
              <w:jc w:val="left"/>
              <w:rPr>
                <w:rFonts w:ascii="宋体" w:cs="Arial"/>
                <w:bCs/>
                <w:i/>
                <w:sz w:val="24"/>
              </w:rPr>
            </w:pPr>
          </w:p>
          <w:p>
            <w:pPr>
              <w:pStyle w:val="73"/>
              <w:widowControl/>
              <w:spacing w:line="360" w:lineRule="auto"/>
              <w:jc w:val="left"/>
              <w:rPr>
                <w:rFonts w:ascii="宋体" w:cs="Arial"/>
                <w:bCs/>
                <w:i/>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pPr>
              <w:pStyle w:val="73"/>
              <w:widowControl/>
              <w:spacing w:line="360" w:lineRule="auto"/>
              <w:jc w:val="left"/>
              <w:rPr>
                <w:rFonts w:ascii="宋体" w:cs="Arial"/>
                <w:bCs/>
                <w:sz w:val="24"/>
              </w:rPr>
            </w:pPr>
            <w:r>
              <w:rPr>
                <w:rFonts w:hint="eastAsia" w:ascii="宋体" w:cs="Arial"/>
                <w:bCs/>
                <w:sz w:val="24"/>
              </w:rPr>
              <w:t>……</w:t>
            </w:r>
          </w:p>
        </w:tc>
        <w:tc>
          <w:tcPr>
            <w:tcW w:w="2355" w:type="dxa"/>
            <w:tcBorders>
              <w:bottom w:val="single" w:color="auto" w:sz="4" w:space="0"/>
            </w:tcBorders>
            <w:vAlign w:val="center"/>
          </w:tcPr>
          <w:p>
            <w:pPr>
              <w:pStyle w:val="73"/>
              <w:widowControl/>
              <w:spacing w:line="360" w:lineRule="auto"/>
              <w:jc w:val="left"/>
              <w:rPr>
                <w:rFonts w:ascii="宋体" w:cs="Arial"/>
                <w:bCs/>
                <w:sz w:val="24"/>
              </w:rPr>
            </w:pPr>
            <w:r>
              <w:rPr>
                <w:rFonts w:hint="eastAsia" w:ascii="宋体" w:cs="Arial"/>
                <w:bCs/>
                <w:sz w:val="24"/>
              </w:rPr>
              <w:t>……</w:t>
            </w:r>
          </w:p>
        </w:tc>
        <w:tc>
          <w:tcPr>
            <w:tcW w:w="4061" w:type="dxa"/>
            <w:tcBorders>
              <w:bottom w:val="single" w:color="auto" w:sz="4" w:space="0"/>
            </w:tcBorders>
          </w:tcPr>
          <w:p>
            <w:pPr>
              <w:pStyle w:val="73"/>
              <w:widowControl/>
              <w:spacing w:line="360" w:lineRule="auto"/>
              <w:jc w:val="left"/>
              <w:rPr>
                <w:rFonts w:ascii="宋体" w:cs="Arial"/>
                <w:bCs/>
                <w:sz w:val="24"/>
              </w:rPr>
            </w:pPr>
          </w:p>
        </w:tc>
        <w:tc>
          <w:tcPr>
            <w:tcW w:w="1373" w:type="dxa"/>
            <w:tcBorders>
              <w:bottom w:val="single" w:color="auto" w:sz="4" w:space="0"/>
            </w:tcBorders>
          </w:tcPr>
          <w:p>
            <w:pPr>
              <w:pStyle w:val="73"/>
              <w:widowControl/>
              <w:spacing w:line="360" w:lineRule="auto"/>
              <w:jc w:val="left"/>
              <w:rPr>
                <w:rFonts w:ascii="宋体" w:cs="Arial"/>
                <w:bCs/>
                <w:sz w:val="24"/>
              </w:rPr>
            </w:pPr>
          </w:p>
        </w:tc>
      </w:tr>
    </w:tbl>
    <w:p>
      <w:pPr>
        <w:spacing w:line="360" w:lineRule="auto"/>
        <w:ind w:left="549" w:hanging="549" w:hangingChars="171"/>
        <w:jc w:val="center"/>
        <w:rPr>
          <w:rFonts w:ascii="宋体" w:hAnsi="宋体"/>
          <w:b/>
          <w:sz w:val="32"/>
          <w:szCs w:val="32"/>
        </w:rPr>
      </w:pPr>
    </w:p>
    <w:p>
      <w:pPr>
        <w:spacing w:line="360" w:lineRule="auto"/>
        <w:rPr>
          <w:rFonts w:ascii="宋体" w:hAnsi="宋体"/>
          <w:sz w:val="24"/>
        </w:rPr>
      </w:pPr>
    </w:p>
    <w:p>
      <w:pPr>
        <w:spacing w:line="480" w:lineRule="auto"/>
        <w:rPr>
          <w:rFonts w:ascii="宋体" w:hAnsi="宋体"/>
          <w:sz w:val="24"/>
        </w:rPr>
      </w:pPr>
      <w:r>
        <w:rPr>
          <w:rFonts w:hint="eastAsia" w:ascii="宋体" w:hAnsi="宋体"/>
          <w:sz w:val="24"/>
        </w:rPr>
        <w:t>投标人名称（盖章）：</w:t>
      </w:r>
    </w:p>
    <w:p>
      <w:pPr>
        <w:spacing w:line="480" w:lineRule="auto"/>
        <w:rPr>
          <w:rFonts w:ascii="宋体" w:hAnsi="宋体"/>
          <w:sz w:val="24"/>
        </w:rPr>
      </w:pPr>
      <w:r>
        <w:rPr>
          <w:rFonts w:hint="eastAsia" w:ascii="宋体" w:hAnsi="宋体"/>
          <w:sz w:val="24"/>
        </w:rPr>
        <w:t>法定代表人(签字或盖章)或授权委托代理人(签字)：</w:t>
      </w:r>
    </w:p>
    <w:p>
      <w:pPr>
        <w:spacing w:line="480" w:lineRule="auto"/>
        <w:rPr>
          <w:rFonts w:ascii="宋体" w:hAnsi="宋体"/>
          <w:sz w:val="24"/>
        </w:rPr>
      </w:pPr>
      <w:r>
        <w:rPr>
          <w:rFonts w:hint="eastAsia" w:ascii="宋体" w:hAnsi="宋体"/>
          <w:sz w:val="24"/>
        </w:rPr>
        <w:t>日期：</w:t>
      </w:r>
    </w:p>
    <w:p>
      <w:pPr>
        <w:spacing w:line="360" w:lineRule="auto"/>
        <w:rPr>
          <w:rFonts w:ascii="宋体" w:hAnsi="宋体" w:cs="宋体"/>
          <w:sz w:val="24"/>
          <w:szCs w:val="32"/>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pStyle w:val="5"/>
        <w:numPr>
          <w:ilvl w:val="2"/>
          <w:numId w:val="0"/>
        </w:numPr>
        <w:rPr>
          <w:rFonts w:ascii="宋体" w:hAnsi="宋体" w:cs="宋体"/>
          <w:sz w:val="28"/>
          <w:szCs w:val="24"/>
        </w:rPr>
      </w:pPr>
      <w:r>
        <w:rPr>
          <w:rFonts w:hint="eastAsia" w:ascii="宋体" w:hAnsi="宋体" w:cs="宋体"/>
          <w:sz w:val="28"/>
          <w:szCs w:val="24"/>
        </w:rPr>
        <w:t>附件18</w:t>
      </w:r>
    </w:p>
    <w:p>
      <w:pPr>
        <w:pStyle w:val="5"/>
        <w:numPr>
          <w:ilvl w:val="2"/>
          <w:numId w:val="0"/>
        </w:numPr>
        <w:jc w:val="center"/>
        <w:rPr>
          <w:rFonts w:ascii="宋体" w:hAnsi="宋体" w:cs="宋体"/>
          <w:sz w:val="28"/>
          <w:szCs w:val="24"/>
        </w:rPr>
      </w:pPr>
      <w:r>
        <w:rPr>
          <w:rFonts w:hint="eastAsia" w:ascii="宋体" w:hAnsi="宋体" w:cs="宋体"/>
          <w:sz w:val="28"/>
          <w:szCs w:val="24"/>
        </w:rPr>
        <w:t>投标人资料真实性承诺书</w:t>
      </w:r>
    </w:p>
    <w:p>
      <w:pPr>
        <w:spacing w:line="360" w:lineRule="auto"/>
        <w:ind w:firstLine="480" w:firstLineChars="200"/>
        <w:rPr>
          <w:rFonts w:ascii="宋体" w:hAnsi="宋体" w:cs="宋体"/>
          <w:sz w:val="24"/>
        </w:rPr>
      </w:pPr>
    </w:p>
    <w:p>
      <w:pPr>
        <w:spacing w:line="360" w:lineRule="auto"/>
        <w:ind w:firstLine="480" w:firstLineChars="200"/>
        <w:jc w:val="left"/>
        <w:rPr>
          <w:rFonts w:ascii="宋体" w:hAnsi="宋体"/>
          <w:bCs/>
          <w:sz w:val="24"/>
        </w:rPr>
      </w:pPr>
      <w:r>
        <w:rPr>
          <w:rFonts w:hint="eastAsia" w:ascii="宋体" w:hAnsi="宋体"/>
          <w:bCs/>
          <w:sz w:val="24"/>
        </w:rPr>
        <w:t>致:台州市三梅中学</w:t>
      </w:r>
    </w:p>
    <w:p>
      <w:pPr>
        <w:spacing w:line="360" w:lineRule="auto"/>
        <w:ind w:firstLine="480" w:firstLineChars="200"/>
        <w:jc w:val="left"/>
        <w:rPr>
          <w:rFonts w:ascii="宋体" w:hAnsi="宋体"/>
          <w:bCs/>
          <w:sz w:val="24"/>
        </w:rPr>
      </w:pPr>
      <w:r>
        <w:rPr>
          <w:rFonts w:hint="eastAsia" w:ascii="宋体" w:hAnsi="宋体"/>
          <w:bCs/>
          <w:sz w:val="24"/>
        </w:rPr>
        <w:t>台州市玖诚工程管理有限公司：</w:t>
      </w:r>
    </w:p>
    <w:p>
      <w:pPr>
        <w:spacing w:line="360" w:lineRule="auto"/>
        <w:ind w:firstLine="480" w:firstLineChars="200"/>
        <w:jc w:val="left"/>
        <w:rPr>
          <w:rFonts w:ascii="宋体" w:hAnsi="宋体"/>
          <w:bCs/>
          <w:sz w:val="24"/>
        </w:rPr>
      </w:pPr>
    </w:p>
    <w:p>
      <w:pPr>
        <w:spacing w:line="360" w:lineRule="auto"/>
        <w:ind w:firstLine="480" w:firstLineChars="200"/>
        <w:jc w:val="left"/>
        <w:rPr>
          <w:rFonts w:ascii="宋体" w:hAnsi="宋体"/>
          <w:bCs/>
          <w:sz w:val="24"/>
        </w:rPr>
      </w:pPr>
      <w:r>
        <w:rPr>
          <w:rFonts w:hint="eastAsia" w:ascii="宋体" w:hAnsi="宋体"/>
          <w:bCs/>
          <w:sz w:val="24"/>
        </w:rPr>
        <w:t>本人以法定代表人的资格，郑重承诺:本单位此次参加投标所提交的所有资料都是真实的。如有虚假，本单位愿意接受采购人作出的取消投标、中标资格决定，同时愿意接受行政主管部门依法作出的罚款，列入不良行为记录名单，在一至三年内禁止参加政府采购活动，有违法所得的，并处没收违法所得，情节严重的，由工商行政管理机关吊销营业执照；构成犯罪的，依法追究刑事责任等全部处罚。</w:t>
      </w:r>
    </w:p>
    <w:p>
      <w:pPr>
        <w:spacing w:line="360" w:lineRule="auto"/>
        <w:ind w:firstLine="480" w:firstLineChars="200"/>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 </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 xml:space="preserve">                                           投标人:(盖章)</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 xml:space="preserve">                                           法定代表人: (签字)</w:t>
      </w:r>
    </w:p>
    <w:p>
      <w:pPr>
        <w:spacing w:line="360" w:lineRule="auto"/>
        <w:ind w:firstLine="480" w:firstLineChars="200"/>
        <w:rPr>
          <w:rFonts w:ascii="宋体" w:hAnsi="宋体" w:cs="宋体"/>
          <w:sz w:val="24"/>
        </w:rPr>
      </w:pP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 xml:space="preserve">                                           日期:2022年  月  日</w:t>
      </w:r>
    </w:p>
    <w:p>
      <w:pPr>
        <w:rPr>
          <w:rFonts w:ascii="宋体"/>
          <w:b/>
          <w:sz w:val="24"/>
        </w:rPr>
      </w:pPr>
      <w:r>
        <w:rPr>
          <w:rFonts w:ascii="宋体"/>
          <w:b/>
          <w:sz w:val="24"/>
        </w:rPr>
        <w:br w:type="page"/>
      </w:r>
    </w:p>
    <w:p>
      <w:pPr>
        <w:spacing w:line="360" w:lineRule="auto"/>
        <w:ind w:right="-110"/>
        <w:jc w:val="left"/>
        <w:rPr>
          <w:rFonts w:ascii="宋体" w:hAnsi="宋体" w:cs="宋体"/>
          <w:spacing w:val="40"/>
          <w:sz w:val="52"/>
          <w:szCs w:val="52"/>
        </w:rPr>
      </w:pPr>
      <w:r>
        <w:rPr>
          <w:rFonts w:hint="eastAsia" w:ascii="宋体" w:hAnsi="宋体" w:cs="宋体"/>
          <w:b/>
          <w:sz w:val="28"/>
        </w:rPr>
        <w:t>附件19</w:t>
      </w:r>
    </w:p>
    <w:p>
      <w:pPr>
        <w:spacing w:before="319" w:beforeLines="100" w:line="360" w:lineRule="auto"/>
        <w:ind w:right="-108"/>
        <w:jc w:val="center"/>
        <w:rPr>
          <w:rFonts w:ascii="宋体" w:hAnsi="宋体" w:cs="宋体"/>
          <w:spacing w:val="40"/>
          <w:sz w:val="48"/>
          <w:szCs w:val="48"/>
        </w:rPr>
      </w:pPr>
      <w:r>
        <w:rPr>
          <w:rFonts w:hint="eastAsia" w:ascii="宋体" w:hAnsi="宋体" w:cs="宋体"/>
          <w:spacing w:val="40"/>
          <w:sz w:val="48"/>
          <w:szCs w:val="48"/>
        </w:rPr>
        <w:t>项目名称</w:t>
      </w:r>
    </w:p>
    <w:p>
      <w:pPr>
        <w:spacing w:before="319" w:beforeLines="100" w:line="360" w:lineRule="auto"/>
        <w:ind w:right="-108"/>
        <w:jc w:val="center"/>
        <w:rPr>
          <w:rFonts w:ascii="宋体" w:hAnsi="宋体" w:cs="宋体"/>
          <w:sz w:val="36"/>
          <w:szCs w:val="36"/>
        </w:rPr>
      </w:pPr>
      <w:r>
        <w:rPr>
          <w:rFonts w:hint="eastAsia" w:ascii="宋体" w:hAnsi="宋体" w:cs="宋体"/>
          <w:sz w:val="36"/>
          <w:szCs w:val="36"/>
        </w:rPr>
        <w:t>项目编号：（标段）</w:t>
      </w:r>
    </w:p>
    <w:p>
      <w:pPr>
        <w:spacing w:after="100" w:afterAutospacing="1" w:line="360" w:lineRule="auto"/>
        <w:ind w:right="-108"/>
        <w:jc w:val="center"/>
        <w:rPr>
          <w:rFonts w:ascii="宋体" w:hAnsi="宋体" w:cs="宋体"/>
          <w:b/>
          <w:spacing w:val="40"/>
          <w:sz w:val="84"/>
          <w:szCs w:val="84"/>
        </w:rPr>
      </w:pPr>
    </w:p>
    <w:p>
      <w:pPr>
        <w:spacing w:after="100" w:afterAutospacing="1" w:line="360" w:lineRule="auto"/>
        <w:ind w:right="-108"/>
        <w:jc w:val="center"/>
        <w:rPr>
          <w:rFonts w:ascii="宋体" w:hAnsi="宋体" w:cs="宋体"/>
          <w:b/>
          <w:spacing w:val="40"/>
          <w:sz w:val="84"/>
          <w:szCs w:val="84"/>
        </w:rPr>
      </w:pPr>
      <w:r>
        <w:rPr>
          <w:rFonts w:hint="eastAsia" w:ascii="宋体" w:hAnsi="宋体" w:cs="宋体"/>
          <w:b/>
          <w:spacing w:val="40"/>
          <w:sz w:val="84"/>
          <w:szCs w:val="84"/>
        </w:rPr>
        <w:t>报</w:t>
      </w:r>
    </w:p>
    <w:p>
      <w:pPr>
        <w:spacing w:after="100" w:afterAutospacing="1" w:line="360" w:lineRule="auto"/>
        <w:ind w:right="-108"/>
        <w:jc w:val="center"/>
        <w:rPr>
          <w:rFonts w:ascii="宋体" w:hAnsi="宋体" w:cs="宋体"/>
          <w:b/>
          <w:spacing w:val="40"/>
          <w:sz w:val="84"/>
          <w:szCs w:val="84"/>
        </w:rPr>
      </w:pPr>
      <w:r>
        <w:rPr>
          <w:rFonts w:hint="eastAsia" w:ascii="宋体" w:hAnsi="宋体" w:cs="宋体"/>
          <w:b/>
          <w:spacing w:val="40"/>
          <w:sz w:val="84"/>
          <w:szCs w:val="84"/>
        </w:rPr>
        <w:t>价</w:t>
      </w:r>
    </w:p>
    <w:p>
      <w:pPr>
        <w:spacing w:after="100" w:afterAutospacing="1" w:line="360" w:lineRule="auto"/>
        <w:ind w:right="-108"/>
        <w:jc w:val="center"/>
        <w:rPr>
          <w:rFonts w:ascii="宋体" w:hAnsi="宋体" w:cs="宋体"/>
          <w:b/>
          <w:spacing w:val="40"/>
          <w:sz w:val="84"/>
          <w:szCs w:val="84"/>
        </w:rPr>
      </w:pPr>
      <w:r>
        <w:rPr>
          <w:rFonts w:hint="eastAsia" w:ascii="宋体" w:hAnsi="宋体" w:cs="宋体"/>
          <w:b/>
          <w:spacing w:val="40"/>
          <w:sz w:val="84"/>
          <w:szCs w:val="84"/>
        </w:rPr>
        <w:t>文</w:t>
      </w:r>
    </w:p>
    <w:p>
      <w:pPr>
        <w:spacing w:after="100" w:afterAutospacing="1" w:line="360" w:lineRule="auto"/>
        <w:ind w:right="-108"/>
        <w:jc w:val="center"/>
        <w:rPr>
          <w:rFonts w:ascii="宋体" w:hAnsi="宋体" w:cs="宋体"/>
          <w:b/>
          <w:spacing w:val="40"/>
          <w:sz w:val="84"/>
          <w:szCs w:val="84"/>
        </w:rPr>
      </w:pPr>
      <w:r>
        <w:rPr>
          <w:rFonts w:hint="eastAsia" w:ascii="宋体" w:hAnsi="宋体" w:cs="宋体"/>
          <w:b/>
          <w:spacing w:val="40"/>
          <w:sz w:val="84"/>
          <w:szCs w:val="84"/>
        </w:rPr>
        <w:t>件</w:t>
      </w:r>
    </w:p>
    <w:p>
      <w:pPr>
        <w:spacing w:line="360" w:lineRule="auto"/>
        <w:ind w:right="532"/>
        <w:jc w:val="center"/>
        <w:rPr>
          <w:rFonts w:ascii="宋体" w:hAnsi="宋体" w:cs="宋体"/>
          <w:sz w:val="36"/>
          <w:szCs w:val="36"/>
        </w:rPr>
      </w:pPr>
    </w:p>
    <w:p>
      <w:pPr>
        <w:spacing w:line="360" w:lineRule="auto"/>
        <w:ind w:right="532" w:firstLine="720" w:firstLineChars="200"/>
        <w:rPr>
          <w:rFonts w:ascii="宋体" w:hAnsi="宋体" w:cs="宋体"/>
          <w:sz w:val="36"/>
          <w:szCs w:val="36"/>
        </w:rPr>
      </w:pPr>
      <w:r>
        <w:rPr>
          <w:rFonts w:hint="eastAsia" w:ascii="宋体" w:hAnsi="宋体" w:cs="宋体"/>
          <w:sz w:val="36"/>
          <w:szCs w:val="36"/>
        </w:rPr>
        <w:t>供应商全称（公章或CA签章）：</w:t>
      </w:r>
    </w:p>
    <w:p>
      <w:pPr>
        <w:spacing w:line="360" w:lineRule="auto"/>
        <w:ind w:right="-108" w:firstLine="720" w:firstLineChars="200"/>
        <w:rPr>
          <w:rFonts w:ascii="宋体" w:hAnsi="宋体" w:cs="宋体"/>
          <w:sz w:val="36"/>
          <w:szCs w:val="36"/>
        </w:rPr>
      </w:pPr>
      <w:r>
        <w:rPr>
          <w:rFonts w:hint="eastAsia" w:ascii="宋体" w:hAnsi="宋体" w:cs="宋体"/>
          <w:sz w:val="36"/>
          <w:szCs w:val="36"/>
        </w:rPr>
        <w:t>地    址：</w:t>
      </w:r>
    </w:p>
    <w:p>
      <w:pPr>
        <w:spacing w:line="360" w:lineRule="auto"/>
        <w:ind w:right="-108" w:firstLine="720" w:firstLineChars="200"/>
        <w:rPr>
          <w:rFonts w:ascii="宋体" w:hAnsi="宋体" w:cs="宋体"/>
          <w:sz w:val="36"/>
          <w:szCs w:val="36"/>
        </w:rPr>
      </w:pPr>
      <w:r>
        <w:rPr>
          <w:rFonts w:hint="eastAsia" w:ascii="宋体" w:hAnsi="宋体" w:cs="宋体"/>
          <w:sz w:val="36"/>
          <w:szCs w:val="36"/>
        </w:rPr>
        <w:t>时    间：</w:t>
      </w:r>
    </w:p>
    <w:p>
      <w:pPr>
        <w:spacing w:line="360" w:lineRule="auto"/>
        <w:ind w:right="-108"/>
        <w:jc w:val="center"/>
        <w:rPr>
          <w:rFonts w:ascii="宋体" w:hAnsi="宋体" w:cs="宋体"/>
          <w:b/>
          <w:sz w:val="36"/>
          <w:szCs w:val="36"/>
        </w:rPr>
      </w:pPr>
    </w:p>
    <w:p>
      <w:pPr>
        <w:spacing w:line="360" w:lineRule="auto"/>
        <w:ind w:right="-108"/>
        <w:jc w:val="center"/>
        <w:rPr>
          <w:rFonts w:ascii="宋体" w:hAnsi="宋体" w:cs="宋体"/>
          <w:b/>
          <w:sz w:val="32"/>
          <w:szCs w:val="32"/>
        </w:rPr>
      </w:pPr>
    </w:p>
    <w:p>
      <w:pPr>
        <w:spacing w:line="360" w:lineRule="auto"/>
        <w:ind w:right="-108"/>
        <w:jc w:val="center"/>
        <w:rPr>
          <w:rFonts w:ascii="宋体" w:hAnsi="宋体" w:cs="宋体"/>
          <w:b/>
          <w:sz w:val="32"/>
          <w:szCs w:val="32"/>
        </w:rPr>
      </w:pPr>
      <w:r>
        <w:rPr>
          <w:rFonts w:hint="eastAsia" w:ascii="宋体" w:hAnsi="宋体" w:cs="宋体"/>
          <w:b/>
          <w:sz w:val="32"/>
          <w:szCs w:val="32"/>
        </w:rPr>
        <w:t>报价文件目录</w:t>
      </w:r>
    </w:p>
    <w:p>
      <w:pPr>
        <w:spacing w:line="360" w:lineRule="auto"/>
        <w:ind w:right="-108"/>
        <w:jc w:val="center"/>
        <w:rPr>
          <w:rFonts w:ascii="宋体" w:hAnsi="宋体" w:cs="宋体"/>
          <w:b/>
          <w:sz w:val="36"/>
          <w:szCs w:val="36"/>
        </w:rPr>
      </w:pPr>
    </w:p>
    <w:p>
      <w:pPr>
        <w:spacing w:line="360" w:lineRule="auto"/>
        <w:rPr>
          <w:rFonts w:ascii="宋体" w:hAnsi="宋体" w:cs="宋体"/>
          <w:sz w:val="24"/>
        </w:rPr>
      </w:pPr>
    </w:p>
    <w:p>
      <w:pPr>
        <w:numPr>
          <w:ilvl w:val="0"/>
          <w:numId w:val="41"/>
        </w:numPr>
        <w:spacing w:line="360" w:lineRule="auto"/>
        <w:rPr>
          <w:rFonts w:ascii="宋体" w:hAnsi="宋体" w:cs="宋体"/>
          <w:sz w:val="24"/>
        </w:rPr>
      </w:pPr>
      <w:r>
        <w:rPr>
          <w:rFonts w:hint="eastAsia" w:ascii="宋体" w:hAnsi="宋体" w:cs="宋体"/>
          <w:sz w:val="24"/>
        </w:rPr>
        <w:t>开标一览表（附件20）；</w:t>
      </w:r>
    </w:p>
    <w:p>
      <w:pPr>
        <w:numPr>
          <w:ilvl w:val="0"/>
          <w:numId w:val="41"/>
        </w:numPr>
        <w:spacing w:line="360" w:lineRule="auto"/>
        <w:rPr>
          <w:rFonts w:ascii="宋体" w:hAnsi="宋体" w:cs="宋体"/>
          <w:sz w:val="24"/>
        </w:rPr>
      </w:pPr>
      <w:r>
        <w:rPr>
          <w:rFonts w:hint="eastAsia" w:ascii="宋体" w:hAnsi="宋体" w:cs="宋体"/>
          <w:sz w:val="24"/>
        </w:rPr>
        <w:t>报价明细表（附件21）；</w:t>
      </w:r>
    </w:p>
    <w:p>
      <w:pPr>
        <w:numPr>
          <w:ilvl w:val="0"/>
          <w:numId w:val="41"/>
        </w:numPr>
        <w:spacing w:line="360" w:lineRule="auto"/>
        <w:rPr>
          <w:rFonts w:ascii="宋体" w:hAnsi="宋体" w:cs="宋体"/>
          <w:sz w:val="24"/>
        </w:rPr>
      </w:pPr>
      <w:r>
        <w:rPr>
          <w:rFonts w:hint="eastAsia" w:ascii="宋体" w:hAnsi="宋体" w:cs="宋体"/>
          <w:sz w:val="24"/>
        </w:rPr>
        <w:t>针对报价投标人认为其他需要说明的；</w:t>
      </w:r>
    </w:p>
    <w:p>
      <w:pPr>
        <w:spacing w:line="360" w:lineRule="auto"/>
        <w:ind w:left="480"/>
        <w:rPr>
          <w:rFonts w:ascii="宋体" w:hAnsi="宋体" w:cs="宋体"/>
          <w:b/>
          <w:sz w:val="28"/>
        </w:rPr>
      </w:pPr>
    </w:p>
    <w:p>
      <w:pPr>
        <w:spacing w:line="360" w:lineRule="auto"/>
        <w:ind w:left="480"/>
        <w:rPr>
          <w:rFonts w:ascii="宋体" w:hAnsi="宋体" w:cs="宋体"/>
          <w:b/>
          <w:sz w:val="28"/>
        </w:rPr>
      </w:pPr>
    </w:p>
    <w:p>
      <w:pPr>
        <w:spacing w:line="360" w:lineRule="auto"/>
        <w:ind w:left="480"/>
        <w:rPr>
          <w:rFonts w:ascii="宋体" w:hAnsi="宋体" w:cs="宋体"/>
          <w:b/>
          <w:sz w:val="28"/>
        </w:rPr>
      </w:pPr>
    </w:p>
    <w:p>
      <w:pPr>
        <w:spacing w:line="360" w:lineRule="auto"/>
        <w:ind w:left="480"/>
        <w:rPr>
          <w:rFonts w:ascii="宋体" w:hAnsi="宋体" w:cs="宋体"/>
          <w:b/>
          <w:sz w:val="28"/>
        </w:rPr>
      </w:pPr>
    </w:p>
    <w:p>
      <w:pPr>
        <w:spacing w:line="360" w:lineRule="auto"/>
        <w:ind w:left="480"/>
        <w:rPr>
          <w:rFonts w:ascii="宋体" w:hAnsi="宋体" w:cs="宋体"/>
          <w:b/>
          <w:sz w:val="28"/>
        </w:rPr>
      </w:pPr>
    </w:p>
    <w:p>
      <w:pPr>
        <w:spacing w:line="360" w:lineRule="auto"/>
        <w:ind w:left="480"/>
        <w:rPr>
          <w:rFonts w:ascii="宋体" w:hAnsi="宋体" w:cs="宋体"/>
          <w:b/>
          <w:sz w:val="28"/>
        </w:rPr>
      </w:pPr>
    </w:p>
    <w:p>
      <w:pPr>
        <w:spacing w:line="360" w:lineRule="auto"/>
        <w:ind w:left="480"/>
        <w:rPr>
          <w:rFonts w:ascii="宋体" w:hAnsi="宋体" w:cs="宋体"/>
          <w:b/>
          <w:sz w:val="28"/>
        </w:rPr>
      </w:pPr>
    </w:p>
    <w:p>
      <w:pPr>
        <w:spacing w:line="360" w:lineRule="auto"/>
        <w:ind w:left="480"/>
        <w:rPr>
          <w:rFonts w:ascii="宋体" w:hAnsi="宋体" w:cs="宋体"/>
          <w:b/>
          <w:sz w:val="28"/>
        </w:rPr>
      </w:pPr>
    </w:p>
    <w:p>
      <w:pPr>
        <w:spacing w:line="360" w:lineRule="auto"/>
        <w:ind w:left="480"/>
        <w:rPr>
          <w:rFonts w:ascii="宋体" w:hAnsi="宋体" w:cs="宋体"/>
          <w:b/>
          <w:sz w:val="28"/>
        </w:rPr>
      </w:pPr>
    </w:p>
    <w:p>
      <w:pPr>
        <w:spacing w:line="360" w:lineRule="auto"/>
        <w:ind w:left="480"/>
        <w:rPr>
          <w:rFonts w:ascii="宋体" w:hAnsi="宋体" w:cs="宋体"/>
          <w:b/>
          <w:sz w:val="28"/>
        </w:rPr>
      </w:pPr>
    </w:p>
    <w:p>
      <w:pPr>
        <w:spacing w:line="360" w:lineRule="auto"/>
        <w:ind w:left="480"/>
        <w:rPr>
          <w:rFonts w:ascii="宋体" w:hAnsi="宋体" w:cs="宋体"/>
          <w:b/>
          <w:sz w:val="28"/>
        </w:rPr>
      </w:pPr>
    </w:p>
    <w:p>
      <w:pPr>
        <w:spacing w:line="360" w:lineRule="auto"/>
        <w:ind w:left="480"/>
        <w:rPr>
          <w:rFonts w:ascii="宋体" w:hAnsi="宋体" w:cs="宋体"/>
          <w:b/>
          <w:sz w:val="28"/>
        </w:rPr>
      </w:pPr>
    </w:p>
    <w:p>
      <w:pPr>
        <w:rPr>
          <w:rFonts w:ascii="宋体" w:hAnsi="宋体" w:cs="宋体"/>
          <w:b/>
          <w:sz w:val="28"/>
        </w:rPr>
      </w:pPr>
      <w:r>
        <w:rPr>
          <w:rFonts w:hint="eastAsia" w:ascii="宋体" w:hAnsi="宋体" w:cs="宋体"/>
          <w:b/>
          <w:sz w:val="28"/>
        </w:rPr>
        <w:br w:type="page"/>
      </w:r>
    </w:p>
    <w:p>
      <w:pPr>
        <w:spacing w:line="360" w:lineRule="auto"/>
        <w:rPr>
          <w:rFonts w:ascii="宋体" w:hAnsi="宋体" w:cs="宋体"/>
          <w:b/>
          <w:sz w:val="28"/>
        </w:rPr>
      </w:pPr>
      <w:r>
        <w:rPr>
          <w:rFonts w:hint="eastAsia" w:ascii="宋体" w:hAnsi="宋体" w:cs="宋体"/>
          <w:b/>
          <w:sz w:val="28"/>
        </w:rPr>
        <w:t>附件20</w:t>
      </w:r>
    </w:p>
    <w:p>
      <w:pPr>
        <w:spacing w:line="360" w:lineRule="auto"/>
        <w:ind w:left="-2" w:hanging="2"/>
        <w:jc w:val="center"/>
        <w:rPr>
          <w:rFonts w:ascii="宋体" w:hAnsi="宋体"/>
          <w:b/>
          <w:sz w:val="32"/>
          <w:szCs w:val="32"/>
        </w:rPr>
      </w:pPr>
      <w:bookmarkStart w:id="33" w:name="_Toc11149"/>
      <w:bookmarkStart w:id="34" w:name="_Toc18275"/>
      <w:r>
        <w:rPr>
          <w:rFonts w:hint="eastAsia" w:ascii="宋体" w:hAnsi="宋体"/>
          <w:b/>
          <w:sz w:val="32"/>
          <w:szCs w:val="32"/>
        </w:rPr>
        <w:t>开标一览表</w:t>
      </w:r>
    </w:p>
    <w:p>
      <w:pPr>
        <w:spacing w:line="360" w:lineRule="auto"/>
        <w:ind w:left="-2" w:hanging="2"/>
        <w:jc w:val="center"/>
        <w:rPr>
          <w:rFonts w:ascii="宋体" w:hAnsi="宋体"/>
          <w:b/>
          <w:sz w:val="32"/>
          <w:szCs w:val="32"/>
        </w:rPr>
      </w:pPr>
    </w:p>
    <w:p>
      <w:pPr>
        <w:spacing w:line="360" w:lineRule="auto"/>
        <w:ind w:firstLine="480" w:firstLineChars="200"/>
        <w:jc w:val="left"/>
        <w:rPr>
          <w:rFonts w:ascii="宋体" w:hAnsi="宋体" w:cs="宋体"/>
          <w:sz w:val="24"/>
          <w:szCs w:val="32"/>
        </w:rPr>
      </w:pPr>
      <w:r>
        <w:rPr>
          <w:rFonts w:hint="eastAsia" w:ascii="宋体" w:hAnsi="宋体" w:cs="宋体"/>
          <w:sz w:val="24"/>
          <w:szCs w:val="32"/>
        </w:rPr>
        <w:t>项目名称：</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项目编号：                                       [单位：人民币/元]</w:t>
      </w:r>
    </w:p>
    <w:tbl>
      <w:tblPr>
        <w:tblStyle w:val="48"/>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atLeast"/>
          <w:jc w:val="center"/>
        </w:trPr>
        <w:tc>
          <w:tcPr>
            <w:tcW w:w="2694" w:type="dxa"/>
            <w:vMerge w:val="restart"/>
            <w:vAlign w:val="center"/>
          </w:tcPr>
          <w:p>
            <w:pPr>
              <w:autoSpaceDE w:val="0"/>
              <w:autoSpaceDN w:val="0"/>
              <w:spacing w:line="450" w:lineRule="exact"/>
              <w:jc w:val="center"/>
              <w:textAlignment w:val="bottom"/>
              <w:rPr>
                <w:rFonts w:ascii="宋体"/>
                <w:sz w:val="24"/>
              </w:rPr>
            </w:pPr>
            <w:r>
              <w:rPr>
                <w:rFonts w:hint="eastAsia" w:ascii="宋体" w:hAnsi="宋体"/>
                <w:sz w:val="24"/>
              </w:rPr>
              <w:t>投标总报价</w:t>
            </w:r>
            <w:r>
              <w:rPr>
                <w:rFonts w:ascii="宋体" w:hAnsi="宋体"/>
                <w:sz w:val="24"/>
              </w:rPr>
              <w:t>(</w:t>
            </w:r>
            <w:r>
              <w:rPr>
                <w:rFonts w:hint="eastAsia" w:ascii="宋体" w:hAnsi="宋体"/>
                <w:sz w:val="24"/>
              </w:rPr>
              <w:t>元</w:t>
            </w:r>
            <w:r>
              <w:rPr>
                <w:rFonts w:ascii="宋体" w:hAnsi="宋体"/>
                <w:sz w:val="24"/>
              </w:rPr>
              <w:t>)</w:t>
            </w:r>
          </w:p>
        </w:tc>
        <w:tc>
          <w:tcPr>
            <w:tcW w:w="1349" w:type="dxa"/>
            <w:vAlign w:val="center"/>
          </w:tcPr>
          <w:p>
            <w:pPr>
              <w:autoSpaceDE w:val="0"/>
              <w:autoSpaceDN w:val="0"/>
              <w:spacing w:line="450" w:lineRule="exact"/>
              <w:jc w:val="center"/>
              <w:textAlignment w:val="bottom"/>
              <w:rPr>
                <w:rFonts w:ascii="宋体"/>
                <w:sz w:val="24"/>
              </w:rPr>
            </w:pPr>
            <w:r>
              <w:rPr>
                <w:rFonts w:hint="eastAsia" w:ascii="宋体" w:hAnsi="宋体"/>
                <w:sz w:val="24"/>
              </w:rPr>
              <w:t>大写</w:t>
            </w:r>
          </w:p>
        </w:tc>
        <w:tc>
          <w:tcPr>
            <w:tcW w:w="4629" w:type="dxa"/>
            <w:vAlign w:val="center"/>
          </w:tcPr>
          <w:p>
            <w:pPr>
              <w:autoSpaceDE w:val="0"/>
              <w:autoSpaceDN w:val="0"/>
              <w:spacing w:line="450" w:lineRule="exact"/>
              <w:jc w:val="center"/>
              <w:textAlignment w:val="bottom"/>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2694" w:type="dxa"/>
            <w:vMerge w:val="continue"/>
            <w:vAlign w:val="center"/>
          </w:tcPr>
          <w:p>
            <w:pPr>
              <w:rPr>
                <w:rFonts w:ascii="宋体"/>
                <w:sz w:val="24"/>
              </w:rPr>
            </w:pPr>
          </w:p>
        </w:tc>
        <w:tc>
          <w:tcPr>
            <w:tcW w:w="1349" w:type="dxa"/>
            <w:vAlign w:val="center"/>
          </w:tcPr>
          <w:p>
            <w:pPr>
              <w:autoSpaceDE w:val="0"/>
              <w:autoSpaceDN w:val="0"/>
              <w:spacing w:line="450" w:lineRule="exact"/>
              <w:jc w:val="center"/>
              <w:textAlignment w:val="bottom"/>
              <w:rPr>
                <w:rFonts w:ascii="宋体"/>
                <w:sz w:val="24"/>
              </w:rPr>
            </w:pPr>
            <w:r>
              <w:rPr>
                <w:rFonts w:hint="eastAsia" w:ascii="宋体" w:hAnsi="宋体"/>
                <w:sz w:val="24"/>
              </w:rPr>
              <w:t>小写</w:t>
            </w:r>
          </w:p>
        </w:tc>
        <w:tc>
          <w:tcPr>
            <w:tcW w:w="4629" w:type="dxa"/>
            <w:vAlign w:val="center"/>
          </w:tcPr>
          <w:p>
            <w:pPr>
              <w:autoSpaceDE w:val="0"/>
              <w:autoSpaceDN w:val="0"/>
              <w:spacing w:line="450" w:lineRule="exact"/>
              <w:jc w:val="center"/>
              <w:textAlignment w:val="bottom"/>
              <w:rPr>
                <w:rFonts w:ascii="宋体"/>
                <w:sz w:val="24"/>
              </w:rPr>
            </w:pPr>
          </w:p>
        </w:tc>
      </w:tr>
    </w:tbl>
    <w:p>
      <w:pPr>
        <w:spacing w:line="360" w:lineRule="auto"/>
        <w:ind w:firstLine="480" w:firstLineChars="200"/>
        <w:jc w:val="left"/>
        <w:rPr>
          <w:rFonts w:ascii="宋体" w:hAnsi="宋体" w:cs="宋体"/>
          <w:sz w:val="24"/>
          <w:szCs w:val="32"/>
        </w:rPr>
      </w:pPr>
    </w:p>
    <w:p>
      <w:pPr>
        <w:spacing w:line="360" w:lineRule="auto"/>
        <w:jc w:val="left"/>
        <w:rPr>
          <w:rFonts w:ascii="宋体" w:hAnsi="宋体" w:cs="宋体"/>
          <w:b/>
          <w:bCs/>
          <w:sz w:val="24"/>
          <w:szCs w:val="32"/>
        </w:rPr>
      </w:pPr>
      <w:r>
        <w:rPr>
          <w:rFonts w:hint="eastAsia" w:ascii="宋体" w:hAnsi="宋体" w:cs="宋体"/>
          <w:b/>
          <w:bCs/>
          <w:sz w:val="24"/>
          <w:szCs w:val="32"/>
        </w:rPr>
        <w:t>填报要求：</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1.投标报价为完成本项目的所有费用，投标总价包括项目设备、材料、质保期间维护费、运输、保险、税金、验收等所有涉及的费用。供应商应考虑企业自身实力、经验及项目实施过程中的各种因素，在投标报价中应充分考虑所有可能发生的费用，否则采购人将视投标总价中已包括所有费用。</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2.报价一经涂改，应在涂改处加盖单位公章，或者由法定代表人或授权委托代理人签字或盖章，否则其投标作无效标处理。</w:t>
      </w:r>
    </w:p>
    <w:p>
      <w:pPr>
        <w:spacing w:line="360" w:lineRule="auto"/>
        <w:rPr>
          <w:rFonts w:ascii="宋体" w:hAnsi="宋体"/>
          <w:sz w:val="24"/>
        </w:rPr>
      </w:pPr>
    </w:p>
    <w:p>
      <w:pPr>
        <w:spacing w:line="480" w:lineRule="auto"/>
        <w:rPr>
          <w:rFonts w:ascii="宋体" w:hAnsi="宋体"/>
          <w:sz w:val="24"/>
        </w:rPr>
      </w:pPr>
      <w:r>
        <w:rPr>
          <w:rFonts w:hint="eastAsia" w:ascii="宋体" w:hAnsi="宋体"/>
          <w:sz w:val="24"/>
        </w:rPr>
        <w:t>投标人名称（盖章）：</w:t>
      </w:r>
    </w:p>
    <w:p>
      <w:pPr>
        <w:spacing w:line="480" w:lineRule="auto"/>
        <w:rPr>
          <w:rFonts w:ascii="宋体" w:hAnsi="宋体"/>
          <w:sz w:val="24"/>
        </w:rPr>
      </w:pPr>
      <w:r>
        <w:rPr>
          <w:rFonts w:hint="eastAsia" w:ascii="宋体" w:hAnsi="宋体"/>
          <w:sz w:val="24"/>
        </w:rPr>
        <w:t>法定代表人(签字或盖章)或授权委托代理人(签字)：</w:t>
      </w:r>
    </w:p>
    <w:p>
      <w:pPr>
        <w:spacing w:line="480" w:lineRule="auto"/>
        <w:rPr>
          <w:rFonts w:ascii="宋体" w:hAnsi="宋体"/>
          <w:sz w:val="24"/>
        </w:rPr>
      </w:pPr>
      <w:r>
        <w:rPr>
          <w:rFonts w:hint="eastAsia" w:ascii="宋体" w:hAnsi="宋体"/>
          <w:sz w:val="24"/>
        </w:rPr>
        <w:t>日期：</w:t>
      </w: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r>
        <w:rPr>
          <w:rFonts w:hint="eastAsia" w:ascii="宋体" w:hAnsi="宋体"/>
          <w:b/>
          <w:sz w:val="28"/>
        </w:rPr>
        <w:t>附件21</w:t>
      </w:r>
    </w:p>
    <w:p>
      <w:pPr>
        <w:spacing w:line="360" w:lineRule="auto"/>
        <w:jc w:val="center"/>
        <w:rPr>
          <w:rFonts w:ascii="宋体" w:hAnsi="宋体"/>
        </w:rPr>
      </w:pPr>
      <w:r>
        <w:rPr>
          <w:rFonts w:hint="eastAsia" w:ascii="宋体" w:hAnsi="宋体"/>
          <w:b/>
          <w:sz w:val="32"/>
          <w:szCs w:val="32"/>
        </w:rPr>
        <w:t>报价明细表</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项目名称：</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项目编号：                                       [单位：人民币/元]</w:t>
      </w:r>
    </w:p>
    <w:tbl>
      <w:tblPr>
        <w:tblStyle w:val="48"/>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783"/>
        <w:gridCol w:w="1035"/>
        <w:gridCol w:w="1365"/>
        <w:gridCol w:w="1305"/>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vAlign w:val="center"/>
          </w:tcPr>
          <w:p>
            <w:pPr>
              <w:spacing w:line="360" w:lineRule="auto"/>
              <w:rPr>
                <w:rFonts w:ascii="宋体" w:hAnsi="宋体"/>
                <w:b/>
                <w:sz w:val="24"/>
              </w:rPr>
            </w:pPr>
            <w:r>
              <w:rPr>
                <w:rFonts w:hint="eastAsia" w:ascii="宋体" w:hAnsi="宋体"/>
                <w:b/>
                <w:sz w:val="24"/>
              </w:rPr>
              <w:t>序号</w:t>
            </w:r>
          </w:p>
        </w:tc>
        <w:tc>
          <w:tcPr>
            <w:tcW w:w="1460" w:type="dxa"/>
            <w:vAlign w:val="center"/>
          </w:tcPr>
          <w:p>
            <w:pPr>
              <w:tabs>
                <w:tab w:val="left" w:pos="8280"/>
              </w:tabs>
              <w:autoSpaceDE w:val="0"/>
              <w:autoSpaceDN w:val="0"/>
              <w:adjustRightInd w:val="0"/>
              <w:spacing w:line="360" w:lineRule="auto"/>
              <w:ind w:right="25"/>
              <w:rPr>
                <w:rFonts w:ascii="宋体" w:hAnsi="宋体"/>
                <w:b/>
                <w:sz w:val="24"/>
              </w:rPr>
            </w:pPr>
            <w:r>
              <w:rPr>
                <w:rFonts w:hint="eastAsia" w:ascii="宋体" w:hAnsi="宋体"/>
                <w:b/>
                <w:sz w:val="24"/>
              </w:rPr>
              <w:t>报价项目</w:t>
            </w:r>
          </w:p>
        </w:tc>
        <w:tc>
          <w:tcPr>
            <w:tcW w:w="1783" w:type="dxa"/>
            <w:vAlign w:val="center"/>
          </w:tcPr>
          <w:p>
            <w:pPr>
              <w:spacing w:line="360" w:lineRule="auto"/>
              <w:ind w:left="152"/>
              <w:jc w:val="center"/>
              <w:rPr>
                <w:rFonts w:ascii="宋体" w:hAnsi="宋体"/>
                <w:b/>
                <w:sz w:val="24"/>
              </w:rPr>
            </w:pPr>
            <w:r>
              <w:rPr>
                <w:rFonts w:hint="eastAsia" w:ascii="宋体" w:hAnsi="宋体"/>
                <w:b/>
                <w:sz w:val="24"/>
              </w:rPr>
              <w:t>品牌/型号</w:t>
            </w:r>
          </w:p>
        </w:tc>
        <w:tc>
          <w:tcPr>
            <w:tcW w:w="1035" w:type="dxa"/>
            <w:vAlign w:val="center"/>
          </w:tcPr>
          <w:p>
            <w:pPr>
              <w:spacing w:line="360" w:lineRule="auto"/>
              <w:ind w:left="152"/>
              <w:jc w:val="center"/>
              <w:rPr>
                <w:rFonts w:ascii="宋体" w:hAnsi="宋体"/>
                <w:b/>
                <w:sz w:val="24"/>
              </w:rPr>
            </w:pPr>
            <w:r>
              <w:rPr>
                <w:rFonts w:hint="eastAsia" w:ascii="宋体" w:hAnsi="宋体"/>
                <w:b/>
                <w:sz w:val="24"/>
              </w:rPr>
              <w:t>数量</w:t>
            </w:r>
          </w:p>
        </w:tc>
        <w:tc>
          <w:tcPr>
            <w:tcW w:w="1365" w:type="dxa"/>
            <w:vAlign w:val="center"/>
          </w:tcPr>
          <w:p>
            <w:pPr>
              <w:spacing w:line="360" w:lineRule="auto"/>
              <w:jc w:val="center"/>
              <w:rPr>
                <w:rFonts w:ascii="宋体" w:hAnsi="宋体"/>
                <w:b/>
                <w:sz w:val="24"/>
              </w:rPr>
            </w:pPr>
            <w:r>
              <w:rPr>
                <w:rFonts w:hint="eastAsia" w:ascii="宋体" w:hAnsi="宋体"/>
                <w:b/>
                <w:sz w:val="24"/>
              </w:rPr>
              <w:t>单价</w:t>
            </w:r>
          </w:p>
        </w:tc>
        <w:tc>
          <w:tcPr>
            <w:tcW w:w="1305" w:type="dxa"/>
            <w:vAlign w:val="center"/>
          </w:tcPr>
          <w:p>
            <w:pPr>
              <w:spacing w:line="360" w:lineRule="auto"/>
              <w:jc w:val="center"/>
              <w:rPr>
                <w:rFonts w:ascii="宋体" w:hAnsi="宋体"/>
                <w:b/>
                <w:sz w:val="24"/>
              </w:rPr>
            </w:pPr>
            <w:r>
              <w:rPr>
                <w:rFonts w:hint="eastAsia" w:ascii="宋体" w:hAnsi="宋体"/>
                <w:b/>
                <w:sz w:val="24"/>
              </w:rPr>
              <w:t>小计</w:t>
            </w:r>
          </w:p>
        </w:tc>
        <w:tc>
          <w:tcPr>
            <w:tcW w:w="1174" w:type="dxa"/>
            <w:vAlign w:val="center"/>
          </w:tcPr>
          <w:p>
            <w:pPr>
              <w:spacing w:line="360" w:lineRule="auto"/>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sz w:val="24"/>
              </w:rPr>
            </w:pPr>
          </w:p>
        </w:tc>
        <w:tc>
          <w:tcPr>
            <w:tcW w:w="1460" w:type="dxa"/>
            <w:vAlign w:val="center"/>
          </w:tcPr>
          <w:p>
            <w:pPr>
              <w:spacing w:line="360" w:lineRule="auto"/>
              <w:rPr>
                <w:rFonts w:ascii="宋体" w:hAnsi="宋体"/>
                <w:sz w:val="24"/>
              </w:rPr>
            </w:pPr>
          </w:p>
        </w:tc>
        <w:tc>
          <w:tcPr>
            <w:tcW w:w="1783" w:type="dxa"/>
            <w:vAlign w:val="center"/>
          </w:tcPr>
          <w:p>
            <w:pPr>
              <w:spacing w:line="360" w:lineRule="auto"/>
              <w:rPr>
                <w:rFonts w:ascii="宋体" w:hAnsi="宋体"/>
                <w:sz w:val="24"/>
              </w:rPr>
            </w:pPr>
          </w:p>
        </w:tc>
        <w:tc>
          <w:tcPr>
            <w:tcW w:w="1035"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c>
          <w:tcPr>
            <w:tcW w:w="1305" w:type="dxa"/>
            <w:vAlign w:val="center"/>
          </w:tcPr>
          <w:p>
            <w:pPr>
              <w:spacing w:line="360" w:lineRule="auto"/>
              <w:rPr>
                <w:rFonts w:ascii="宋体" w:hAnsi="宋体"/>
                <w:sz w:val="24"/>
              </w:rPr>
            </w:pPr>
          </w:p>
        </w:tc>
        <w:tc>
          <w:tcPr>
            <w:tcW w:w="1174"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sz w:val="24"/>
              </w:rPr>
            </w:pPr>
          </w:p>
        </w:tc>
        <w:tc>
          <w:tcPr>
            <w:tcW w:w="1460" w:type="dxa"/>
            <w:vAlign w:val="center"/>
          </w:tcPr>
          <w:p>
            <w:pPr>
              <w:spacing w:line="360" w:lineRule="auto"/>
              <w:rPr>
                <w:rFonts w:ascii="宋体" w:hAnsi="宋体"/>
                <w:sz w:val="24"/>
              </w:rPr>
            </w:pPr>
          </w:p>
        </w:tc>
        <w:tc>
          <w:tcPr>
            <w:tcW w:w="1783" w:type="dxa"/>
            <w:vAlign w:val="center"/>
          </w:tcPr>
          <w:p>
            <w:pPr>
              <w:spacing w:line="360" w:lineRule="auto"/>
              <w:rPr>
                <w:rFonts w:ascii="宋体" w:hAnsi="宋体"/>
                <w:sz w:val="24"/>
              </w:rPr>
            </w:pPr>
          </w:p>
        </w:tc>
        <w:tc>
          <w:tcPr>
            <w:tcW w:w="1035"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c>
          <w:tcPr>
            <w:tcW w:w="1305" w:type="dxa"/>
            <w:vAlign w:val="center"/>
          </w:tcPr>
          <w:p>
            <w:pPr>
              <w:spacing w:line="360" w:lineRule="auto"/>
              <w:rPr>
                <w:rFonts w:ascii="宋体" w:hAnsi="宋体"/>
                <w:sz w:val="24"/>
              </w:rPr>
            </w:pPr>
          </w:p>
        </w:tc>
        <w:tc>
          <w:tcPr>
            <w:tcW w:w="1174"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sz w:val="24"/>
              </w:rPr>
            </w:pPr>
          </w:p>
        </w:tc>
        <w:tc>
          <w:tcPr>
            <w:tcW w:w="1460" w:type="dxa"/>
            <w:vAlign w:val="center"/>
          </w:tcPr>
          <w:p>
            <w:pPr>
              <w:spacing w:line="360" w:lineRule="auto"/>
              <w:rPr>
                <w:rFonts w:ascii="宋体" w:hAnsi="宋体"/>
                <w:sz w:val="24"/>
              </w:rPr>
            </w:pPr>
          </w:p>
        </w:tc>
        <w:tc>
          <w:tcPr>
            <w:tcW w:w="1783" w:type="dxa"/>
            <w:vAlign w:val="center"/>
          </w:tcPr>
          <w:p>
            <w:pPr>
              <w:spacing w:line="360" w:lineRule="auto"/>
              <w:rPr>
                <w:rFonts w:ascii="宋体" w:hAnsi="宋体"/>
                <w:sz w:val="24"/>
              </w:rPr>
            </w:pPr>
          </w:p>
        </w:tc>
        <w:tc>
          <w:tcPr>
            <w:tcW w:w="1035"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c>
          <w:tcPr>
            <w:tcW w:w="1305" w:type="dxa"/>
            <w:vAlign w:val="center"/>
          </w:tcPr>
          <w:p>
            <w:pPr>
              <w:spacing w:line="360" w:lineRule="auto"/>
              <w:rPr>
                <w:rFonts w:ascii="宋体" w:hAnsi="宋体"/>
                <w:sz w:val="24"/>
              </w:rPr>
            </w:pPr>
          </w:p>
        </w:tc>
        <w:tc>
          <w:tcPr>
            <w:tcW w:w="1174"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sz w:val="24"/>
              </w:rPr>
            </w:pPr>
          </w:p>
        </w:tc>
        <w:tc>
          <w:tcPr>
            <w:tcW w:w="1460" w:type="dxa"/>
            <w:vAlign w:val="center"/>
          </w:tcPr>
          <w:p>
            <w:pPr>
              <w:spacing w:line="360" w:lineRule="auto"/>
              <w:rPr>
                <w:rFonts w:ascii="宋体" w:hAnsi="宋体"/>
                <w:sz w:val="24"/>
              </w:rPr>
            </w:pPr>
          </w:p>
        </w:tc>
        <w:tc>
          <w:tcPr>
            <w:tcW w:w="1783" w:type="dxa"/>
            <w:vAlign w:val="center"/>
          </w:tcPr>
          <w:p>
            <w:pPr>
              <w:spacing w:line="360" w:lineRule="auto"/>
              <w:rPr>
                <w:rFonts w:ascii="宋体" w:hAnsi="宋体"/>
                <w:sz w:val="24"/>
              </w:rPr>
            </w:pPr>
          </w:p>
        </w:tc>
        <w:tc>
          <w:tcPr>
            <w:tcW w:w="1035"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c>
          <w:tcPr>
            <w:tcW w:w="1305" w:type="dxa"/>
            <w:vAlign w:val="center"/>
          </w:tcPr>
          <w:p>
            <w:pPr>
              <w:spacing w:line="360" w:lineRule="auto"/>
              <w:rPr>
                <w:rFonts w:ascii="宋体" w:hAnsi="宋体"/>
                <w:sz w:val="24"/>
              </w:rPr>
            </w:pPr>
          </w:p>
        </w:tc>
        <w:tc>
          <w:tcPr>
            <w:tcW w:w="1174"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sz w:val="24"/>
              </w:rPr>
            </w:pPr>
          </w:p>
        </w:tc>
        <w:tc>
          <w:tcPr>
            <w:tcW w:w="1460" w:type="dxa"/>
            <w:vAlign w:val="center"/>
          </w:tcPr>
          <w:p>
            <w:pPr>
              <w:spacing w:line="360" w:lineRule="auto"/>
              <w:rPr>
                <w:rFonts w:ascii="宋体" w:hAnsi="宋体"/>
                <w:sz w:val="24"/>
              </w:rPr>
            </w:pPr>
            <w:r>
              <w:rPr>
                <w:rFonts w:hint="eastAsia" w:ascii="宋体" w:hAnsi="宋体"/>
                <w:sz w:val="24"/>
              </w:rPr>
              <w:t>...</w:t>
            </w:r>
          </w:p>
        </w:tc>
        <w:tc>
          <w:tcPr>
            <w:tcW w:w="1783" w:type="dxa"/>
            <w:vAlign w:val="center"/>
          </w:tcPr>
          <w:p>
            <w:pPr>
              <w:spacing w:line="360" w:lineRule="auto"/>
              <w:rPr>
                <w:rFonts w:ascii="宋体" w:hAnsi="宋体"/>
                <w:sz w:val="24"/>
              </w:rPr>
            </w:pPr>
          </w:p>
        </w:tc>
        <w:tc>
          <w:tcPr>
            <w:tcW w:w="1035"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c>
          <w:tcPr>
            <w:tcW w:w="1305" w:type="dxa"/>
            <w:vAlign w:val="center"/>
          </w:tcPr>
          <w:p>
            <w:pPr>
              <w:spacing w:line="360" w:lineRule="auto"/>
              <w:rPr>
                <w:rFonts w:ascii="宋体" w:hAnsi="宋体"/>
                <w:sz w:val="24"/>
              </w:rPr>
            </w:pPr>
          </w:p>
        </w:tc>
        <w:tc>
          <w:tcPr>
            <w:tcW w:w="1174"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647" w:type="dxa"/>
            <w:gridSpan w:val="7"/>
            <w:tcBorders>
              <w:bottom w:val="single" w:color="auto" w:sz="4" w:space="0"/>
            </w:tcBorders>
            <w:vAlign w:val="center"/>
          </w:tcPr>
          <w:p>
            <w:pPr>
              <w:spacing w:line="360" w:lineRule="auto"/>
              <w:rPr>
                <w:rFonts w:ascii="宋体" w:hAnsi="宋体"/>
                <w:b/>
                <w:sz w:val="24"/>
              </w:rPr>
            </w:pPr>
            <w:r>
              <w:rPr>
                <w:rFonts w:hint="eastAsia" w:ascii="宋体" w:hAnsi="宋体"/>
                <w:b/>
                <w:sz w:val="24"/>
              </w:rPr>
              <w:t>合计人民币：大写                               小写</w:t>
            </w:r>
          </w:p>
        </w:tc>
      </w:tr>
    </w:tbl>
    <w:p>
      <w:pPr>
        <w:spacing w:line="360" w:lineRule="auto"/>
        <w:jc w:val="left"/>
        <w:rPr>
          <w:rFonts w:ascii="宋体" w:hAnsi="宋体" w:cs="宋体"/>
          <w:b/>
          <w:bCs/>
          <w:sz w:val="24"/>
          <w:szCs w:val="32"/>
        </w:rPr>
      </w:pPr>
      <w:r>
        <w:rPr>
          <w:rFonts w:hint="eastAsia" w:ascii="宋体" w:hAnsi="宋体" w:cs="宋体"/>
          <w:b/>
          <w:bCs/>
          <w:sz w:val="24"/>
          <w:szCs w:val="32"/>
        </w:rPr>
        <w:t>要求：</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1.本表为《开标一览表》的报价明细表，</w:t>
      </w:r>
      <w:r>
        <w:rPr>
          <w:rFonts w:hint="eastAsia" w:ascii="宋体" w:hAnsi="宋体" w:cs="宋体"/>
          <w:sz w:val="24"/>
        </w:rPr>
        <w:t>以上表格要求细分项目及报价，需提供</w:t>
      </w:r>
      <w:bookmarkStart w:id="35" w:name="_Toc78171641"/>
      <w:r>
        <w:rPr>
          <w:rFonts w:hint="eastAsia" w:ascii="宋体" w:hAnsi="宋体" w:cs="宋体"/>
          <w:sz w:val="24"/>
        </w:rPr>
        <w:t>费用构成明细</w:t>
      </w:r>
      <w:bookmarkEnd w:id="35"/>
      <w:r>
        <w:rPr>
          <w:rFonts w:hint="eastAsia" w:ascii="宋体" w:hAnsi="宋体" w:cs="宋体"/>
          <w:sz w:val="24"/>
        </w:rPr>
        <w:t>，</w:t>
      </w:r>
      <w:r>
        <w:rPr>
          <w:rFonts w:hint="eastAsia" w:ascii="宋体" w:hAnsi="宋体" w:cs="宋体"/>
          <w:sz w:val="24"/>
          <w:szCs w:val="32"/>
        </w:rPr>
        <w:t>如有缺项、漏项，视为投标报价中已包含相关费用，采购人无需另外支付任何费用。</w:t>
      </w:r>
    </w:p>
    <w:p>
      <w:pPr>
        <w:spacing w:line="360" w:lineRule="auto"/>
        <w:ind w:firstLine="480" w:firstLineChars="200"/>
        <w:jc w:val="left"/>
        <w:rPr>
          <w:rFonts w:ascii="宋体" w:hAnsi="宋体" w:cs="宋体"/>
          <w:sz w:val="24"/>
          <w:szCs w:val="32"/>
          <w:lang w:val="zh-CN"/>
        </w:rPr>
      </w:pPr>
      <w:r>
        <w:rPr>
          <w:rFonts w:hint="eastAsia" w:ascii="宋体" w:hAnsi="宋体" w:cs="宋体"/>
          <w:sz w:val="24"/>
          <w:szCs w:val="32"/>
        </w:rPr>
        <w:t>2.</w:t>
      </w:r>
      <w:r>
        <w:rPr>
          <w:rFonts w:hint="eastAsia" w:ascii="宋体" w:hAnsi="宋体" w:cs="宋体"/>
          <w:sz w:val="24"/>
          <w:szCs w:val="32"/>
          <w:lang w:val="zh-CN"/>
        </w:rPr>
        <w:t>“报价明细表”中的报价合计应与“开标一览表”中的投标总报价相一致，不一致时，以开标一览表为准。</w:t>
      </w:r>
    </w:p>
    <w:p>
      <w:pPr>
        <w:pStyle w:val="18"/>
        <w:ind w:firstLine="480" w:firstLineChars="200"/>
        <w:rPr>
          <w:rFonts w:ascii="宋体" w:hAnsi="宋体" w:cs="宋体"/>
          <w:szCs w:val="32"/>
        </w:rPr>
      </w:pPr>
      <w:r>
        <w:rPr>
          <w:rFonts w:hint="eastAsia" w:ascii="宋体" w:hAnsi="宋体" w:cs="宋体"/>
          <w:szCs w:val="32"/>
        </w:rPr>
        <w:t>3.单价包含设备价格及安装、使用中需要的辅材价格。</w:t>
      </w:r>
    </w:p>
    <w:p>
      <w:pPr>
        <w:spacing w:line="480" w:lineRule="auto"/>
        <w:rPr>
          <w:rFonts w:ascii="宋体" w:hAnsi="宋体"/>
          <w:sz w:val="24"/>
        </w:rPr>
      </w:pPr>
      <w:r>
        <w:rPr>
          <w:rFonts w:hint="eastAsia" w:ascii="宋体" w:hAnsi="宋体"/>
          <w:sz w:val="24"/>
        </w:rPr>
        <w:t>投标人名称（盖章）：</w:t>
      </w:r>
    </w:p>
    <w:p>
      <w:pPr>
        <w:spacing w:line="480" w:lineRule="auto"/>
        <w:rPr>
          <w:rFonts w:ascii="宋体" w:hAnsi="宋体"/>
          <w:sz w:val="24"/>
        </w:rPr>
      </w:pPr>
      <w:r>
        <w:rPr>
          <w:rFonts w:hint="eastAsia" w:ascii="宋体" w:hAnsi="宋体"/>
          <w:sz w:val="24"/>
        </w:rPr>
        <w:t>法定代表人(签字或盖章)或授权委托代理人(签字)：</w:t>
      </w:r>
    </w:p>
    <w:p>
      <w:pPr>
        <w:spacing w:line="480" w:lineRule="auto"/>
        <w:rPr>
          <w:rFonts w:ascii="宋体" w:hAnsi="宋体"/>
          <w:sz w:val="24"/>
        </w:rPr>
      </w:pPr>
      <w:r>
        <w:rPr>
          <w:rFonts w:hint="eastAsia" w:ascii="宋体" w:hAnsi="宋体"/>
          <w:sz w:val="24"/>
        </w:rPr>
        <w:t>日期：</w:t>
      </w:r>
      <w:bookmarkEnd w:id="33"/>
      <w:bookmarkEnd w:id="34"/>
      <w:bookmarkStart w:id="36" w:name="_Toc11549"/>
      <w:bookmarkEnd w:id="36"/>
    </w:p>
    <w:p>
      <w:pPr>
        <w:pStyle w:val="47"/>
        <w:spacing w:after="319"/>
        <w:ind w:left="420" w:firstLine="480"/>
      </w:pPr>
    </w:p>
    <w:p>
      <w:r>
        <w:rPr>
          <w:rFonts w:hint="eastAsia"/>
        </w:rPr>
        <w:br w:type="page"/>
      </w:r>
    </w:p>
    <w:p/>
    <w:p>
      <w:pPr>
        <w:spacing w:line="360" w:lineRule="auto"/>
        <w:jc w:val="left"/>
        <w:rPr>
          <w:rFonts w:ascii="宋体" w:hAnsi="宋体" w:cs="宋体"/>
          <w:b/>
          <w:bCs/>
          <w:sz w:val="28"/>
          <w:szCs w:val="36"/>
        </w:rPr>
      </w:pPr>
      <w:r>
        <w:rPr>
          <w:rFonts w:hint="eastAsia" w:ascii="宋体" w:hAnsi="宋体" w:cs="宋体"/>
          <w:b/>
          <w:bCs/>
          <w:sz w:val="28"/>
          <w:szCs w:val="36"/>
        </w:rPr>
        <w:t>附件22</w:t>
      </w:r>
    </w:p>
    <w:p>
      <w:pPr>
        <w:spacing w:line="360" w:lineRule="auto"/>
        <w:jc w:val="center"/>
        <w:rPr>
          <w:rFonts w:ascii="宋体" w:hAnsi="宋体" w:cs="宋体"/>
          <w:b/>
          <w:bCs/>
          <w:sz w:val="28"/>
          <w:szCs w:val="36"/>
        </w:rPr>
      </w:pPr>
      <w:r>
        <w:rPr>
          <w:rFonts w:hint="eastAsia" w:ascii="宋体" w:hAnsi="宋体" w:cs="宋体"/>
          <w:b/>
          <w:bCs/>
          <w:sz w:val="28"/>
          <w:szCs w:val="36"/>
        </w:rPr>
        <w:t>中小企业声明函</w:t>
      </w:r>
    </w:p>
    <w:p>
      <w:pPr>
        <w:spacing w:line="360" w:lineRule="auto"/>
        <w:ind w:firstLine="480" w:firstLineChars="200"/>
        <w:jc w:val="left"/>
        <w:rPr>
          <w:rFonts w:ascii="宋体" w:hAnsi="宋体" w:cs="宋体"/>
          <w:bCs/>
          <w:sz w:val="24"/>
        </w:rPr>
      </w:pPr>
      <w:r>
        <w:rPr>
          <w:rFonts w:hint="eastAsia" w:ascii="宋体" w:hAnsi="宋体" w:cs="宋体"/>
          <w:bCs/>
          <w:sz w:val="24"/>
        </w:rPr>
        <w:t>a.中小企业声明函；</w:t>
      </w:r>
    </w:p>
    <w:p>
      <w:pPr>
        <w:spacing w:line="360" w:lineRule="auto"/>
        <w:ind w:firstLine="480" w:firstLineChars="200"/>
        <w:jc w:val="left"/>
        <w:rPr>
          <w:rFonts w:ascii="宋体" w:hAnsi="宋体" w:cs="宋体"/>
          <w:bCs/>
          <w:sz w:val="24"/>
        </w:rPr>
      </w:pPr>
      <w:r>
        <w:rPr>
          <w:rFonts w:hint="eastAsia" w:ascii="宋体" w:hAnsi="宋体" w:cs="宋体"/>
          <w:bCs/>
          <w:sz w:val="24"/>
        </w:rPr>
        <w:t xml:space="preserve">中小企业应当按照《政府采购促进中小企业发展管理办法》规定和《中小企业划型标准规定》（工信部联企业〔2011〕300 号），如实填写并提交《中小企业声明函》。 </w:t>
      </w:r>
    </w:p>
    <w:p>
      <w:pPr>
        <w:spacing w:line="360" w:lineRule="auto"/>
        <w:ind w:firstLine="480" w:firstLineChars="200"/>
        <w:jc w:val="left"/>
        <w:rPr>
          <w:rFonts w:ascii="宋体" w:hAnsi="宋体" w:cs="宋体"/>
          <w:bCs/>
          <w:sz w:val="24"/>
        </w:rPr>
      </w:pPr>
      <w:r>
        <w:rPr>
          <w:rFonts w:hint="eastAsia" w:ascii="宋体" w:hAnsi="宋体" w:cs="宋体"/>
          <w:bCs/>
          <w:sz w:val="24"/>
        </w:rPr>
        <w:t xml:space="preserve">中小企业对其声明内容的真实性负责，声明函内容不实的，属于提供虚假材料谋取中标、成交，依照《中华人民共和国政府采购法》等国家有关规定追究相应责任。 </w:t>
      </w:r>
    </w:p>
    <w:p>
      <w:pPr>
        <w:spacing w:line="360" w:lineRule="auto"/>
        <w:ind w:firstLine="480" w:firstLineChars="200"/>
        <w:jc w:val="left"/>
        <w:rPr>
          <w:rFonts w:ascii="宋体" w:hAnsi="宋体" w:cs="宋体"/>
          <w:bCs/>
          <w:sz w:val="24"/>
          <w:lang w:val="zh-CN"/>
        </w:rPr>
      </w:pPr>
      <w:r>
        <w:rPr>
          <w:rFonts w:hint="eastAsia" w:ascii="宋体" w:hAnsi="宋体" w:cs="宋体"/>
          <w:bCs/>
          <w:sz w:val="24"/>
        </w:rPr>
        <w:t>b.投标人为监狱企业的证明文件：省级以上监狱管理局、戒毒管理局（含新疆生产建设兵团）出具。（如是）</w:t>
      </w:r>
      <w:r>
        <w:rPr>
          <w:rFonts w:hint="eastAsia" w:ascii="宋体" w:hAnsi="宋体" w:cs="宋体"/>
          <w:bCs/>
          <w:sz w:val="24"/>
          <w:lang w:val="zh-CN"/>
        </w:rPr>
        <w:t>。</w:t>
      </w:r>
    </w:p>
    <w:p>
      <w:pPr>
        <w:spacing w:line="360" w:lineRule="auto"/>
        <w:ind w:firstLine="480" w:firstLineChars="200"/>
        <w:jc w:val="left"/>
        <w:rPr>
          <w:rFonts w:ascii="宋体" w:hAnsi="宋体" w:cs="宋体"/>
          <w:bCs/>
          <w:sz w:val="24"/>
        </w:rPr>
      </w:pPr>
      <w:r>
        <w:rPr>
          <w:rFonts w:hint="eastAsia" w:ascii="宋体" w:hAnsi="宋体" w:cs="宋体"/>
          <w:bCs/>
          <w:sz w:val="24"/>
        </w:rPr>
        <w:t>c.投标人如符合《财政部、民政部、中国残疾人联合会关于促进残疾人就业政府采购政策的通知》 （财库〔2017〕141 号）政策规定的，须提供《残疾人福利性单位声明函》；（如是）</w:t>
      </w:r>
    </w:p>
    <w:p>
      <w:pPr>
        <w:pStyle w:val="22"/>
        <w:ind w:firstLine="304"/>
        <w:rPr>
          <w:rFonts w:ascii="宋体" w:hAnsi="宋体" w:cs="宋体"/>
          <w:szCs w:val="36"/>
        </w:rPr>
      </w:pPr>
    </w:p>
    <w:p>
      <w:pPr>
        <w:pStyle w:val="38"/>
        <w:rPr>
          <w:sz w:val="28"/>
          <w:szCs w:val="36"/>
        </w:rPr>
      </w:pPr>
    </w:p>
    <w:p>
      <w:pPr>
        <w:rPr>
          <w:rFonts w:ascii="宋体" w:hAnsi="宋体" w:cs="宋体"/>
          <w:sz w:val="28"/>
          <w:szCs w:val="36"/>
        </w:rPr>
      </w:pPr>
    </w:p>
    <w:p>
      <w:pPr>
        <w:pStyle w:val="22"/>
        <w:ind w:firstLine="304"/>
        <w:rPr>
          <w:rFonts w:ascii="宋体" w:hAnsi="宋体" w:cs="宋体"/>
          <w:szCs w:val="36"/>
        </w:rPr>
      </w:pPr>
    </w:p>
    <w:p>
      <w:pPr>
        <w:pStyle w:val="38"/>
        <w:rPr>
          <w:sz w:val="28"/>
          <w:szCs w:val="36"/>
        </w:rPr>
      </w:pPr>
    </w:p>
    <w:p>
      <w:pPr>
        <w:rPr>
          <w:rFonts w:ascii="宋体" w:hAnsi="宋体" w:cs="宋体"/>
          <w:sz w:val="28"/>
          <w:szCs w:val="36"/>
        </w:rPr>
      </w:pPr>
    </w:p>
    <w:p>
      <w:pPr>
        <w:pStyle w:val="22"/>
        <w:ind w:firstLine="304"/>
        <w:rPr>
          <w:rFonts w:ascii="宋体" w:hAnsi="宋体" w:cs="宋体"/>
          <w:szCs w:val="36"/>
        </w:rPr>
      </w:pPr>
    </w:p>
    <w:p>
      <w:pPr>
        <w:pStyle w:val="38"/>
        <w:rPr>
          <w:sz w:val="28"/>
          <w:szCs w:val="36"/>
        </w:rPr>
      </w:pPr>
    </w:p>
    <w:p>
      <w:pPr>
        <w:rPr>
          <w:rFonts w:ascii="宋体" w:hAnsi="宋体" w:cs="宋体"/>
          <w:sz w:val="28"/>
          <w:szCs w:val="36"/>
        </w:rPr>
      </w:pPr>
    </w:p>
    <w:p>
      <w:pPr>
        <w:pStyle w:val="21"/>
      </w:pPr>
    </w:p>
    <w:p>
      <w:pPr>
        <w:rPr>
          <w:rFonts w:ascii="宋体" w:hAnsi="宋体" w:cs="宋体"/>
          <w:sz w:val="28"/>
          <w:szCs w:val="36"/>
        </w:rPr>
      </w:pPr>
    </w:p>
    <w:p>
      <w:pPr>
        <w:pStyle w:val="21"/>
        <w:rPr>
          <w:rFonts w:ascii="宋体" w:hAnsi="宋体" w:cs="宋体"/>
          <w:sz w:val="28"/>
          <w:szCs w:val="36"/>
        </w:rPr>
      </w:pPr>
    </w:p>
    <w:p>
      <w:pPr>
        <w:pStyle w:val="22"/>
        <w:ind w:firstLine="304"/>
        <w:rPr>
          <w:rFonts w:ascii="宋体" w:hAnsi="宋体" w:cs="宋体"/>
          <w:szCs w:val="36"/>
        </w:rPr>
      </w:pPr>
    </w:p>
    <w:p>
      <w:pPr>
        <w:spacing w:line="360" w:lineRule="auto"/>
        <w:jc w:val="center"/>
        <w:rPr>
          <w:rFonts w:ascii="宋体" w:hAnsi="宋体"/>
          <w:b/>
          <w:sz w:val="32"/>
          <w:szCs w:val="32"/>
        </w:rPr>
      </w:pPr>
      <w:r>
        <w:rPr>
          <w:rFonts w:hint="eastAsia" w:ascii="宋体" w:hAnsi="宋体"/>
          <w:b/>
          <w:sz w:val="32"/>
          <w:szCs w:val="32"/>
        </w:rPr>
        <w:t>中小企业声明函（货物）</w:t>
      </w:r>
    </w:p>
    <w:p>
      <w:pPr>
        <w:spacing w:line="360" w:lineRule="auto"/>
        <w:ind w:firstLine="480" w:firstLineChars="200"/>
        <w:jc w:val="left"/>
        <w:rPr>
          <w:rFonts w:ascii="宋体" w:hAnsi="宋体"/>
          <w:bCs/>
          <w:sz w:val="24"/>
        </w:rPr>
      </w:pPr>
      <w:r>
        <w:rPr>
          <w:rFonts w:hint="eastAsia" w:ascii="宋体" w:hAnsi="宋体"/>
          <w:bCs/>
          <w:sz w:val="24"/>
        </w:rPr>
        <w:t>本公司郑重声明，根据《政府采购促进中小企业发展管理办法》（财库﹝2020﹞46 号）的规定，本公司参加</w:t>
      </w:r>
      <w:r>
        <w:rPr>
          <w:rFonts w:hint="eastAsia" w:ascii="宋体" w:hAnsi="宋体"/>
          <w:bCs/>
          <w:sz w:val="24"/>
          <w:u w:val="single"/>
        </w:rPr>
        <w:t>（单位名称）</w:t>
      </w:r>
      <w:r>
        <w:rPr>
          <w:rFonts w:hint="eastAsia" w:ascii="宋体" w:hAnsi="宋体"/>
          <w:bCs/>
          <w:sz w:val="24"/>
        </w:rPr>
        <w:t>的</w:t>
      </w:r>
      <w:r>
        <w:rPr>
          <w:rFonts w:hint="eastAsia" w:ascii="宋体" w:hAnsi="宋体"/>
          <w:bCs/>
          <w:sz w:val="24"/>
          <w:u w:val="single"/>
        </w:rPr>
        <w:t>（项目名称）</w:t>
      </w:r>
      <w:r>
        <w:rPr>
          <w:rFonts w:hint="eastAsia" w:ascii="宋体" w:hAnsi="宋体"/>
          <w:bCs/>
          <w:sz w:val="24"/>
        </w:rPr>
        <w:t xml:space="preserve">采购活动，提供的货物全部由符合政策要求的中小企业制造。相关企业的具体情况如下： </w:t>
      </w:r>
    </w:p>
    <w:p>
      <w:pPr>
        <w:spacing w:line="360" w:lineRule="auto"/>
        <w:ind w:firstLine="480" w:firstLineChars="200"/>
        <w:jc w:val="left"/>
        <w:rPr>
          <w:rFonts w:ascii="宋体" w:hAnsi="宋体"/>
          <w:bCs/>
          <w:sz w:val="24"/>
        </w:rPr>
      </w:pPr>
      <w:r>
        <w:rPr>
          <w:rFonts w:hint="eastAsia" w:ascii="宋体" w:hAnsi="宋体"/>
          <w:bCs/>
          <w:sz w:val="24"/>
        </w:rPr>
        <w:t>1.</w:t>
      </w:r>
      <w:r>
        <w:rPr>
          <w:rFonts w:hint="eastAsia" w:ascii="宋体" w:hAnsi="宋体"/>
          <w:bCs/>
          <w:sz w:val="24"/>
          <w:u w:val="single"/>
        </w:rPr>
        <w:t>（标的名称）</w:t>
      </w:r>
      <w:r>
        <w:rPr>
          <w:rFonts w:hint="eastAsia" w:ascii="宋体" w:hAnsi="宋体"/>
          <w:bCs/>
          <w:sz w:val="24"/>
        </w:rPr>
        <w:t>，属于</w:t>
      </w:r>
      <w:r>
        <w:rPr>
          <w:rFonts w:hint="eastAsia" w:ascii="宋体" w:hAnsi="宋体"/>
          <w:bCs/>
          <w:sz w:val="24"/>
          <w:u w:val="single"/>
        </w:rPr>
        <w:t>（采购文件中明确的所属行业）</w:t>
      </w:r>
      <w:r>
        <w:rPr>
          <w:rFonts w:hint="eastAsia" w:ascii="宋体" w:hAnsi="宋体"/>
          <w:bCs/>
          <w:sz w:val="24"/>
        </w:rPr>
        <w:t>行业；制造商为</w:t>
      </w:r>
      <w:r>
        <w:rPr>
          <w:rFonts w:hint="eastAsia" w:ascii="宋体" w:hAnsi="宋体"/>
          <w:bCs/>
          <w:sz w:val="24"/>
          <w:u w:val="single"/>
        </w:rPr>
        <w:t>（企业名称）</w:t>
      </w:r>
      <w:r>
        <w:rPr>
          <w:rFonts w:hint="eastAsia" w:ascii="宋体" w:hAnsi="宋体"/>
          <w:bCs/>
          <w:sz w:val="24"/>
        </w:rPr>
        <w:t>，从业人员人，营业收入为万元，资产总额为万元</w:t>
      </w:r>
      <w:r>
        <w:rPr>
          <w:rStyle w:val="57"/>
          <w:rFonts w:hint="eastAsia" w:ascii="宋体" w:hAnsi="宋体"/>
          <w:bCs/>
          <w:sz w:val="24"/>
        </w:rPr>
        <w:footnoteReference w:id="0"/>
      </w:r>
      <w:r>
        <w:rPr>
          <w:rFonts w:hint="eastAsia" w:ascii="宋体" w:hAnsi="宋体"/>
          <w:bCs/>
          <w:sz w:val="24"/>
        </w:rPr>
        <w:t>，属于</w:t>
      </w:r>
      <w:r>
        <w:rPr>
          <w:rFonts w:hint="eastAsia" w:ascii="宋体" w:hAnsi="宋体"/>
          <w:bCs/>
          <w:sz w:val="24"/>
          <w:u w:val="single"/>
        </w:rPr>
        <w:t>（中型企业、小型企业、微型企业）</w:t>
      </w:r>
      <w:r>
        <w:rPr>
          <w:rFonts w:hint="eastAsia" w:ascii="宋体" w:hAnsi="宋体"/>
          <w:bCs/>
          <w:sz w:val="24"/>
        </w:rPr>
        <w:t>；</w:t>
      </w:r>
    </w:p>
    <w:p>
      <w:pPr>
        <w:spacing w:line="360" w:lineRule="auto"/>
        <w:ind w:firstLine="480" w:firstLineChars="200"/>
        <w:jc w:val="left"/>
        <w:rPr>
          <w:rFonts w:ascii="宋体" w:hAnsi="宋体"/>
          <w:bCs/>
          <w:sz w:val="24"/>
        </w:rPr>
      </w:pPr>
      <w:r>
        <w:rPr>
          <w:rFonts w:hint="eastAsia" w:ascii="宋体" w:hAnsi="宋体"/>
          <w:bCs/>
          <w:sz w:val="24"/>
        </w:rPr>
        <w:t>2.</w:t>
      </w:r>
      <w:r>
        <w:rPr>
          <w:rFonts w:hint="eastAsia" w:ascii="宋体" w:hAnsi="宋体"/>
          <w:bCs/>
          <w:sz w:val="24"/>
          <w:u w:val="single"/>
        </w:rPr>
        <w:t>（标的名称）</w:t>
      </w:r>
      <w:r>
        <w:rPr>
          <w:rFonts w:hint="eastAsia" w:ascii="宋体" w:hAnsi="宋体"/>
          <w:bCs/>
          <w:sz w:val="24"/>
        </w:rPr>
        <w:t>，属于</w:t>
      </w:r>
      <w:r>
        <w:rPr>
          <w:rFonts w:hint="eastAsia" w:ascii="宋体" w:hAnsi="宋体"/>
          <w:bCs/>
          <w:sz w:val="24"/>
          <w:u w:val="single"/>
        </w:rPr>
        <w:t>（采购文件中明确的所属行业）</w:t>
      </w:r>
      <w:r>
        <w:rPr>
          <w:rFonts w:hint="eastAsia" w:ascii="宋体" w:hAnsi="宋体"/>
          <w:bCs/>
          <w:sz w:val="24"/>
        </w:rPr>
        <w:t>行业；制造商为</w:t>
      </w:r>
      <w:r>
        <w:rPr>
          <w:rFonts w:hint="eastAsia" w:ascii="宋体" w:hAnsi="宋体"/>
          <w:bCs/>
          <w:sz w:val="24"/>
          <w:u w:val="single"/>
        </w:rPr>
        <w:t>（企业名称）</w:t>
      </w:r>
      <w:r>
        <w:rPr>
          <w:rFonts w:hint="eastAsia" w:ascii="宋体" w:hAnsi="宋体"/>
          <w:bCs/>
          <w:sz w:val="24"/>
        </w:rPr>
        <w:t>，从业人员人，营业收入为万元，资产总额为万元，属于</w:t>
      </w:r>
      <w:r>
        <w:rPr>
          <w:rFonts w:hint="eastAsia" w:ascii="宋体" w:hAnsi="宋体"/>
          <w:bCs/>
          <w:sz w:val="24"/>
          <w:u w:val="single"/>
        </w:rPr>
        <w:t>（中型企业、小型企业、微型企业）</w:t>
      </w:r>
      <w:r>
        <w:rPr>
          <w:rFonts w:hint="eastAsia" w:ascii="宋体" w:hAnsi="宋体"/>
          <w:bCs/>
          <w:sz w:val="24"/>
        </w:rPr>
        <w:t>；</w:t>
      </w:r>
    </w:p>
    <w:p>
      <w:pPr>
        <w:spacing w:line="360" w:lineRule="auto"/>
        <w:ind w:firstLine="480" w:firstLineChars="200"/>
        <w:jc w:val="left"/>
        <w:rPr>
          <w:rFonts w:ascii="宋体" w:hAnsi="宋体"/>
          <w:bCs/>
          <w:sz w:val="24"/>
        </w:rPr>
      </w:pPr>
      <w:r>
        <w:rPr>
          <w:rFonts w:hint="eastAsia" w:ascii="宋体" w:hAnsi="宋体"/>
          <w:bCs/>
          <w:sz w:val="24"/>
        </w:rPr>
        <w:t>……</w:t>
      </w:r>
    </w:p>
    <w:p>
      <w:pPr>
        <w:spacing w:line="360" w:lineRule="auto"/>
        <w:ind w:firstLine="480" w:firstLineChars="200"/>
        <w:jc w:val="left"/>
        <w:rPr>
          <w:rFonts w:ascii="宋体" w:hAnsi="宋体"/>
          <w:bCs/>
          <w:sz w:val="24"/>
        </w:rPr>
      </w:pPr>
      <w:r>
        <w:rPr>
          <w:rFonts w:hint="eastAsia" w:ascii="宋体" w:hAnsi="宋体"/>
          <w:bCs/>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bCs/>
          <w:sz w:val="24"/>
        </w:rPr>
      </w:pPr>
      <w:r>
        <w:rPr>
          <w:rFonts w:hint="eastAsia" w:ascii="宋体" w:hAnsi="宋体"/>
          <w:bCs/>
          <w:sz w:val="24"/>
        </w:rPr>
        <w:t xml:space="preserve">本企业对上述声明内容的真实性负责。如有虚假，将依法承担相应责任。 </w:t>
      </w:r>
    </w:p>
    <w:p>
      <w:pPr>
        <w:spacing w:line="360" w:lineRule="auto"/>
        <w:jc w:val="left"/>
        <w:rPr>
          <w:rFonts w:ascii="宋体" w:hAnsi="宋体"/>
          <w:bCs/>
          <w:sz w:val="24"/>
        </w:rPr>
      </w:pPr>
    </w:p>
    <w:p>
      <w:pPr>
        <w:spacing w:line="360" w:lineRule="auto"/>
        <w:ind w:firstLine="4800" w:firstLineChars="2000"/>
        <w:jc w:val="left"/>
        <w:rPr>
          <w:rFonts w:ascii="宋体" w:hAnsi="宋体"/>
          <w:bCs/>
          <w:sz w:val="24"/>
        </w:rPr>
      </w:pPr>
      <w:r>
        <w:rPr>
          <w:rFonts w:hint="eastAsia" w:ascii="宋体" w:hAnsi="宋体"/>
          <w:bCs/>
          <w:sz w:val="24"/>
        </w:rPr>
        <w:t>企业名称（盖章）：</w:t>
      </w:r>
    </w:p>
    <w:p>
      <w:pPr>
        <w:spacing w:line="360" w:lineRule="auto"/>
        <w:ind w:firstLine="4800" w:firstLineChars="2000"/>
        <w:jc w:val="left"/>
        <w:rPr>
          <w:rFonts w:ascii="宋体" w:hAnsi="宋体"/>
          <w:bCs/>
          <w:sz w:val="24"/>
        </w:rPr>
      </w:pPr>
      <w:r>
        <w:rPr>
          <w:rFonts w:hint="eastAsia" w:ascii="宋体" w:hAnsi="宋体"/>
          <w:bCs/>
          <w:sz w:val="24"/>
        </w:rPr>
        <w:t>日    期：</w:t>
      </w: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center"/>
        <w:rPr>
          <w:rFonts w:ascii="宋体" w:hAnsi="宋体"/>
          <w:b/>
          <w:sz w:val="32"/>
          <w:szCs w:val="32"/>
        </w:rPr>
      </w:pPr>
      <w:r>
        <w:rPr>
          <w:rFonts w:hint="eastAsia" w:ascii="宋体" w:hAnsi="宋体"/>
          <w:b/>
          <w:sz w:val="32"/>
          <w:szCs w:val="32"/>
        </w:rPr>
        <w:t>中小企业声明函（工程、服务）</w:t>
      </w:r>
    </w:p>
    <w:p>
      <w:pPr>
        <w:spacing w:line="360" w:lineRule="auto"/>
        <w:ind w:firstLine="480" w:firstLineChars="200"/>
        <w:jc w:val="left"/>
        <w:rPr>
          <w:rFonts w:ascii="宋体" w:hAnsi="宋体"/>
          <w:bCs/>
          <w:sz w:val="24"/>
        </w:rPr>
      </w:pPr>
      <w:r>
        <w:rPr>
          <w:rFonts w:hint="eastAsia" w:ascii="宋体" w:hAnsi="宋体"/>
          <w:bCs/>
          <w:sz w:val="24"/>
        </w:rPr>
        <w:t>本公司郑重声明，根据《政府采购促进中小企业发展管理办法》（财库﹝2020﹞46 号）的规定，本公司参加</w:t>
      </w:r>
      <w:r>
        <w:rPr>
          <w:rFonts w:hint="eastAsia" w:ascii="宋体" w:hAnsi="宋体"/>
          <w:bCs/>
          <w:sz w:val="24"/>
          <w:u w:val="single"/>
        </w:rPr>
        <w:t>（单位名称）</w:t>
      </w:r>
      <w:r>
        <w:rPr>
          <w:rFonts w:hint="eastAsia" w:ascii="宋体" w:hAnsi="宋体"/>
          <w:bCs/>
          <w:sz w:val="24"/>
        </w:rPr>
        <w:t>的</w:t>
      </w:r>
      <w:r>
        <w:rPr>
          <w:rFonts w:hint="eastAsia" w:ascii="宋体" w:hAnsi="宋体"/>
          <w:bCs/>
          <w:sz w:val="24"/>
          <w:u w:val="single"/>
        </w:rPr>
        <w:t>（项目名称）</w:t>
      </w:r>
      <w:r>
        <w:rPr>
          <w:rFonts w:hint="eastAsia" w:ascii="宋体" w:hAnsi="宋体"/>
          <w:bCs/>
          <w:sz w:val="24"/>
        </w:rPr>
        <w:t>采购活动，工程的施工单位全部为符合政策要求的中小企业（或者：服务全部由符合政策要求的中小企业承接）。相关企业的具体情况如下：</w:t>
      </w:r>
    </w:p>
    <w:p>
      <w:pPr>
        <w:spacing w:line="360" w:lineRule="auto"/>
        <w:ind w:firstLine="480" w:firstLineChars="200"/>
        <w:jc w:val="left"/>
        <w:rPr>
          <w:rFonts w:ascii="宋体" w:hAnsi="宋体"/>
          <w:bCs/>
          <w:sz w:val="24"/>
        </w:rPr>
      </w:pPr>
      <w:r>
        <w:rPr>
          <w:rFonts w:hint="eastAsia" w:ascii="宋体" w:hAnsi="宋体"/>
          <w:bCs/>
          <w:sz w:val="24"/>
        </w:rPr>
        <w:t>1.</w:t>
      </w:r>
      <w:r>
        <w:rPr>
          <w:rFonts w:hint="eastAsia" w:ascii="宋体" w:hAnsi="宋体"/>
          <w:bCs/>
          <w:sz w:val="24"/>
          <w:u w:val="single"/>
        </w:rPr>
        <w:t>（标的名称）</w:t>
      </w:r>
      <w:r>
        <w:rPr>
          <w:rFonts w:hint="eastAsia" w:ascii="宋体" w:hAnsi="宋体"/>
          <w:bCs/>
          <w:sz w:val="24"/>
        </w:rPr>
        <w:t>，属于</w:t>
      </w:r>
      <w:r>
        <w:rPr>
          <w:rFonts w:hint="eastAsia" w:ascii="宋体" w:hAnsi="宋体"/>
          <w:bCs/>
          <w:sz w:val="24"/>
          <w:u w:val="single"/>
        </w:rPr>
        <w:t>（采购文件中明确的所属行业）</w:t>
      </w:r>
      <w:r>
        <w:rPr>
          <w:rFonts w:hint="eastAsia" w:ascii="宋体" w:hAnsi="宋体"/>
          <w:bCs/>
          <w:sz w:val="24"/>
        </w:rPr>
        <w:t>；承建（承接）企业为</w:t>
      </w:r>
      <w:r>
        <w:rPr>
          <w:rFonts w:hint="eastAsia" w:ascii="宋体" w:hAnsi="宋体"/>
          <w:bCs/>
          <w:sz w:val="24"/>
          <w:u w:val="single"/>
        </w:rPr>
        <w:t>（企业名称）</w:t>
      </w:r>
      <w:r>
        <w:rPr>
          <w:rFonts w:hint="eastAsia" w:ascii="宋体" w:hAnsi="宋体"/>
          <w:bCs/>
          <w:sz w:val="24"/>
        </w:rPr>
        <w:t>，从业人员人，营业收入为万元，资产总额为万元</w:t>
      </w:r>
      <w:r>
        <w:rPr>
          <w:rStyle w:val="57"/>
          <w:rFonts w:hint="eastAsia" w:ascii="宋体" w:hAnsi="宋体"/>
          <w:bCs/>
          <w:sz w:val="24"/>
        </w:rPr>
        <w:footnoteReference w:id="1"/>
      </w:r>
      <w:r>
        <w:rPr>
          <w:rFonts w:hint="eastAsia" w:ascii="宋体" w:hAnsi="宋体"/>
          <w:bCs/>
          <w:sz w:val="24"/>
        </w:rPr>
        <w:t>，属于</w:t>
      </w:r>
      <w:r>
        <w:rPr>
          <w:rFonts w:hint="eastAsia" w:ascii="宋体" w:hAnsi="宋体"/>
          <w:bCs/>
          <w:sz w:val="24"/>
          <w:u w:val="single"/>
        </w:rPr>
        <w:t>（中型企业、小型企业、微型企业）</w:t>
      </w:r>
      <w:r>
        <w:rPr>
          <w:rFonts w:hint="eastAsia" w:ascii="宋体" w:hAnsi="宋体"/>
          <w:bCs/>
          <w:sz w:val="24"/>
        </w:rPr>
        <w:t>；</w:t>
      </w:r>
    </w:p>
    <w:p>
      <w:pPr>
        <w:spacing w:line="360" w:lineRule="auto"/>
        <w:ind w:firstLine="480" w:firstLineChars="200"/>
        <w:jc w:val="left"/>
        <w:rPr>
          <w:rFonts w:ascii="宋体" w:hAnsi="宋体"/>
          <w:bCs/>
          <w:sz w:val="24"/>
        </w:rPr>
      </w:pPr>
      <w:r>
        <w:rPr>
          <w:rFonts w:hint="eastAsia" w:ascii="宋体" w:hAnsi="宋体"/>
          <w:bCs/>
          <w:sz w:val="24"/>
        </w:rPr>
        <w:t>2.</w:t>
      </w:r>
      <w:r>
        <w:rPr>
          <w:rFonts w:hint="eastAsia" w:ascii="宋体" w:hAnsi="宋体"/>
          <w:bCs/>
          <w:sz w:val="24"/>
          <w:u w:val="single"/>
        </w:rPr>
        <w:t>（标的名称）</w:t>
      </w:r>
      <w:r>
        <w:rPr>
          <w:rFonts w:hint="eastAsia" w:ascii="宋体" w:hAnsi="宋体"/>
          <w:bCs/>
          <w:sz w:val="24"/>
        </w:rPr>
        <w:t>，属于</w:t>
      </w:r>
      <w:r>
        <w:rPr>
          <w:rFonts w:hint="eastAsia" w:ascii="宋体" w:hAnsi="宋体"/>
          <w:bCs/>
          <w:sz w:val="24"/>
          <w:u w:val="single"/>
        </w:rPr>
        <w:t>（采购文件中明确的所属行业）</w:t>
      </w:r>
      <w:r>
        <w:rPr>
          <w:rFonts w:hint="eastAsia" w:ascii="宋体" w:hAnsi="宋体"/>
          <w:bCs/>
          <w:sz w:val="24"/>
        </w:rPr>
        <w:t>；承建（承接）企业为</w:t>
      </w:r>
      <w:r>
        <w:rPr>
          <w:rFonts w:hint="eastAsia" w:ascii="宋体" w:hAnsi="宋体"/>
          <w:bCs/>
          <w:sz w:val="24"/>
          <w:u w:val="single"/>
        </w:rPr>
        <w:t>（企业名称）</w:t>
      </w:r>
      <w:r>
        <w:rPr>
          <w:rFonts w:hint="eastAsia" w:ascii="宋体" w:hAnsi="宋体"/>
          <w:bCs/>
          <w:sz w:val="24"/>
        </w:rPr>
        <w:t>，从业人员人，营业收入为万元，资产总额为万元，属于</w:t>
      </w:r>
      <w:r>
        <w:rPr>
          <w:rFonts w:hint="eastAsia" w:ascii="宋体" w:hAnsi="宋体"/>
          <w:bCs/>
          <w:sz w:val="24"/>
          <w:u w:val="single"/>
        </w:rPr>
        <w:t>（中型企业、小型企业、微型企业）</w:t>
      </w:r>
      <w:r>
        <w:rPr>
          <w:rFonts w:hint="eastAsia" w:ascii="宋体" w:hAnsi="宋体"/>
          <w:bCs/>
          <w:sz w:val="24"/>
        </w:rPr>
        <w:t>；</w:t>
      </w:r>
    </w:p>
    <w:p>
      <w:pPr>
        <w:spacing w:line="360" w:lineRule="auto"/>
        <w:ind w:firstLine="480" w:firstLineChars="200"/>
        <w:jc w:val="left"/>
        <w:rPr>
          <w:rFonts w:ascii="宋体" w:hAnsi="宋体"/>
          <w:bCs/>
          <w:sz w:val="24"/>
        </w:rPr>
      </w:pPr>
      <w:r>
        <w:rPr>
          <w:rFonts w:hint="eastAsia" w:ascii="宋体" w:hAnsi="宋体"/>
          <w:bCs/>
          <w:sz w:val="24"/>
        </w:rPr>
        <w:t>……</w:t>
      </w:r>
    </w:p>
    <w:p>
      <w:pPr>
        <w:spacing w:line="360" w:lineRule="auto"/>
        <w:ind w:firstLine="480" w:firstLineChars="200"/>
        <w:jc w:val="left"/>
        <w:rPr>
          <w:rFonts w:ascii="宋体" w:hAnsi="宋体"/>
          <w:bCs/>
          <w:sz w:val="24"/>
        </w:rPr>
      </w:pPr>
      <w:r>
        <w:rPr>
          <w:rFonts w:hint="eastAsia" w:ascii="宋体" w:hAnsi="宋体"/>
          <w:bCs/>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bCs/>
          <w:sz w:val="24"/>
        </w:rPr>
      </w:pPr>
      <w:r>
        <w:rPr>
          <w:rFonts w:hint="eastAsia" w:ascii="宋体" w:hAnsi="宋体"/>
          <w:bCs/>
          <w:sz w:val="24"/>
        </w:rPr>
        <w:t xml:space="preserve">本企业对上述声明内容的真实性负责。如有虚假，将依法承担相应责任。 </w:t>
      </w:r>
    </w:p>
    <w:p>
      <w:pPr>
        <w:spacing w:line="360" w:lineRule="auto"/>
        <w:jc w:val="left"/>
        <w:rPr>
          <w:rFonts w:ascii="宋体" w:hAnsi="宋体"/>
          <w:bCs/>
          <w:sz w:val="24"/>
        </w:rPr>
      </w:pPr>
    </w:p>
    <w:p>
      <w:pPr>
        <w:spacing w:line="360" w:lineRule="auto"/>
        <w:ind w:firstLine="4800" w:firstLineChars="2000"/>
        <w:jc w:val="left"/>
        <w:rPr>
          <w:rFonts w:ascii="宋体" w:hAnsi="宋体"/>
          <w:bCs/>
          <w:sz w:val="24"/>
        </w:rPr>
      </w:pPr>
      <w:r>
        <w:rPr>
          <w:rFonts w:hint="eastAsia" w:ascii="宋体" w:hAnsi="宋体"/>
          <w:bCs/>
          <w:sz w:val="24"/>
        </w:rPr>
        <w:t>企业名称（盖章）：</w:t>
      </w:r>
    </w:p>
    <w:p>
      <w:pPr>
        <w:spacing w:line="360" w:lineRule="auto"/>
        <w:ind w:firstLine="4800" w:firstLineChars="2000"/>
        <w:jc w:val="left"/>
        <w:rPr>
          <w:rFonts w:ascii="宋体" w:hAnsi="宋体"/>
          <w:bCs/>
          <w:sz w:val="24"/>
        </w:rPr>
      </w:pPr>
      <w:r>
        <w:rPr>
          <w:rFonts w:hint="eastAsia" w:ascii="宋体" w:hAnsi="宋体"/>
          <w:bCs/>
          <w:sz w:val="24"/>
        </w:rPr>
        <w:t>日    期：</w:t>
      </w: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ind w:left="-2" w:hanging="2"/>
        <w:jc w:val="center"/>
        <w:rPr>
          <w:rFonts w:ascii="宋体" w:hAnsi="宋体"/>
          <w:b/>
          <w:sz w:val="32"/>
          <w:szCs w:val="32"/>
          <w:lang w:val="en-GB"/>
        </w:rPr>
      </w:pPr>
      <w:r>
        <w:rPr>
          <w:rFonts w:hint="eastAsia" w:ascii="宋体" w:hAnsi="宋体"/>
          <w:b/>
          <w:sz w:val="32"/>
          <w:szCs w:val="32"/>
          <w:lang w:val="en-GB"/>
        </w:rPr>
        <w:t>残疾人福利性单位声明函</w:t>
      </w: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3120" w:firstLineChars="1300"/>
        <w:jc w:val="left"/>
        <w:rPr>
          <w:rFonts w:ascii="宋体" w:hAnsi="宋体"/>
          <w:bCs/>
          <w:sz w:val="24"/>
        </w:rPr>
      </w:pPr>
      <w:r>
        <w:rPr>
          <w:rFonts w:hint="eastAsia" w:ascii="宋体" w:hAnsi="宋体"/>
          <w:bCs/>
          <w:sz w:val="24"/>
        </w:rPr>
        <w:t>单位名称（单位公章）：</w:t>
      </w:r>
    </w:p>
    <w:p>
      <w:pPr>
        <w:spacing w:line="360" w:lineRule="auto"/>
        <w:ind w:firstLine="5040" w:firstLineChars="2100"/>
      </w:pPr>
      <w:r>
        <w:rPr>
          <w:rFonts w:hint="eastAsia" w:ascii="宋体" w:hAnsi="宋体"/>
          <w:bCs/>
          <w:sz w:val="24"/>
        </w:rPr>
        <w:t>日期：年月日</w:t>
      </w:r>
    </w:p>
    <w:p>
      <w:pPr>
        <w:spacing w:line="360" w:lineRule="auto"/>
        <w:rPr>
          <w:rFonts w:ascii="宋体" w:hAnsi="宋体" w:cs="宋体"/>
          <w:b/>
          <w:bCs/>
          <w:sz w:val="24"/>
        </w:rPr>
      </w:pPr>
      <w:r>
        <w:rPr>
          <w:rFonts w:hint="eastAsia" w:ascii="宋体" w:hAnsi="宋体" w:cs="宋体"/>
          <w:b/>
          <w:bCs/>
          <w:sz w:val="24"/>
        </w:rPr>
        <w:t>填表说明：</w:t>
      </w:r>
    </w:p>
    <w:p>
      <w:pPr>
        <w:spacing w:line="360" w:lineRule="auto"/>
        <w:rPr>
          <w:rFonts w:ascii="宋体" w:hAnsi="宋体" w:cs="宋体"/>
          <w:b/>
          <w:bCs/>
          <w:sz w:val="24"/>
        </w:rPr>
      </w:pPr>
      <w:r>
        <w:rPr>
          <w:rFonts w:hint="eastAsia" w:ascii="宋体" w:hAnsi="宋体" w:cs="宋体"/>
          <w:b/>
          <w:bCs/>
          <w:sz w:val="24"/>
        </w:rPr>
        <w:t>1、从业人员、营业收入、资产总额填报上一年度数据，无上一年度数据的新成立企业可不填报。</w:t>
      </w:r>
    </w:p>
    <w:p>
      <w:pPr>
        <w:spacing w:line="360" w:lineRule="auto"/>
        <w:rPr>
          <w:rFonts w:ascii="宋体" w:hAnsi="宋体" w:cs="宋体"/>
          <w:b/>
          <w:bCs/>
          <w:sz w:val="24"/>
        </w:rPr>
      </w:pPr>
      <w:r>
        <w:rPr>
          <w:rFonts w:hint="eastAsia" w:ascii="宋体" w:hAnsi="宋体" w:cs="宋体"/>
          <w:b/>
          <w:bCs/>
          <w:sz w:val="24"/>
        </w:rPr>
        <w:t>2、为了更加准确判定投标人是否为小微企业，请供应商根据工业和信息化部官方网站---中小企业规模类型自测小程序来辨别制造商企业规模类型，中小企业规模类型自测小程序链接网址为</w:t>
      </w:r>
    </w:p>
    <w:p>
      <w:pPr>
        <w:spacing w:line="360" w:lineRule="auto"/>
        <w:rPr>
          <w:rFonts w:ascii="宋体" w:hAnsi="宋体" w:cs="宋体"/>
          <w:b/>
          <w:bCs/>
          <w:sz w:val="24"/>
        </w:rPr>
      </w:pPr>
      <w:r>
        <w:rPr>
          <w:rFonts w:hint="eastAsia" w:ascii="宋体" w:hAnsi="宋体" w:cs="宋体"/>
          <w:b/>
          <w:bCs/>
          <w:sz w:val="24"/>
        </w:rPr>
        <w:t>http://202.106.120.146/baosong/appweb/orgScale.html</w:t>
      </w:r>
    </w:p>
    <w:p>
      <w:pPr>
        <w:spacing w:line="360" w:lineRule="auto"/>
        <w:rPr>
          <w:rFonts w:ascii="宋体" w:hAnsi="宋体" w:cs="宋体"/>
          <w:b/>
          <w:bCs/>
          <w:sz w:val="24"/>
        </w:rPr>
      </w:pPr>
      <w:r>
        <w:rPr>
          <w:rFonts w:hint="eastAsia" w:ascii="宋体" w:hAnsi="宋体" w:cs="宋体"/>
          <w:b/>
          <w:bCs/>
          <w:sz w:val="24"/>
        </w:rPr>
        <w:t>3、供应商未提供《中小企业声明函》的、《中小企业声明函》中内容应填写而未进行填写或未如实填写的，自行承担相应责任。</w:t>
      </w:r>
    </w:p>
    <w:p>
      <w:pPr>
        <w:pStyle w:val="47"/>
        <w:spacing w:after="319"/>
        <w:ind w:left="420" w:firstLine="482"/>
      </w:pPr>
      <w:r>
        <w:rPr>
          <w:rFonts w:hint="eastAsia"/>
          <w:b/>
          <w:bCs/>
        </w:rPr>
        <w:t>如国家对中小企业划型标准有新的规定的，从其规定。</w:t>
      </w:r>
      <w:bookmarkStart w:id="37" w:name="_Toc19634"/>
      <w:bookmarkEnd w:id="37"/>
    </w:p>
    <w:sectPr>
      <w:headerReference r:id="rId5" w:type="default"/>
      <w:pgSz w:w="11906" w:h="16838"/>
      <w:pgMar w:top="1440" w:right="1800" w:bottom="1440" w:left="180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2000000000000000000"/>
    <w:charset w:val="86"/>
    <w:family w:val="script"/>
    <w:pitch w:val="default"/>
    <w:sig w:usb0="00000000" w:usb1="00000000" w:usb2="00000012" w:usb3="00000000" w:csb0="00040001" w:csb1="00000000"/>
  </w:font>
  <w:font w:name="Noto Sans Mono CJK JP Regular">
    <w:altName w:val="微软雅黑"/>
    <w:panose1 w:val="00000000000000000000"/>
    <w:charset w:val="00"/>
    <w:family w:val="swiss"/>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圆体-简">
    <w:altName w:val="宋体"/>
    <w:panose1 w:val="00000000000000000000"/>
    <w:charset w:val="86"/>
    <w:family w:val="roman"/>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3" name="文本框 2"/>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6350">
                        <a:noFill/>
                      </a:ln>
                      <a:effectLst/>
                    </wps:spPr>
                    <wps:txbx>
                      <w:txbxContent>
                        <w:p>
                          <w:pPr>
                            <w:pStyle w:val="32"/>
                          </w:pPr>
                          <w:r>
                            <w:rPr>
                              <w:rFonts w:hint="eastAsia"/>
                            </w:rPr>
                            <w:t xml:space="preserve">第 </w:t>
                          </w:r>
                          <w:r>
                            <w:fldChar w:fldCharType="begin"/>
                          </w:r>
                          <w:r>
                            <w:instrText xml:space="preserve"> PAGE  \* MERGEFORMAT </w:instrText>
                          </w:r>
                          <w:r>
                            <w:fldChar w:fldCharType="separate"/>
                          </w:r>
                          <w:r>
                            <w:t>52</w:t>
                          </w:r>
                          <w:r>
                            <w:fldChar w:fldCharType="end"/>
                          </w:r>
                          <w:r>
                            <w:rPr>
                              <w:rFonts w:hint="eastAsia"/>
                            </w:rPr>
                            <w:t xml:space="preserve"> 页 共 </w:t>
                          </w:r>
                          <w:r>
                            <w:fldChar w:fldCharType="begin"/>
                          </w:r>
                          <w:r>
                            <w:instrText xml:space="preserve"> NUMPAGES  \* MERGEFORMAT </w:instrText>
                          </w:r>
                          <w:r>
                            <w:fldChar w:fldCharType="separate"/>
                          </w:r>
                          <w:r>
                            <w:t>88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AdF6OfOAIAAGEEAAAOAAAAAAAAAAEAIAAAACEBAABkcnMvZTJvRG9j&#10;LnhtbFBLBQYAAAAABgAGAFkBAADLBQAAAAA=&#10;">
              <v:fill on="f" focussize="0,0"/>
              <v:stroke on="f" weight="0.5pt"/>
              <v:imagedata o:title=""/>
              <o:lock v:ext="edit" aspectratio="f"/>
              <v:textbox inset="0mm,0mm,0mm,0mm" style="mso-fit-shape-to-text:t;">
                <w:txbxContent>
                  <w:p>
                    <w:pPr>
                      <w:pStyle w:val="32"/>
                    </w:pPr>
                    <w:r>
                      <w:rPr>
                        <w:rFonts w:hint="eastAsia"/>
                      </w:rPr>
                      <w:t xml:space="preserve">第 </w:t>
                    </w:r>
                    <w:r>
                      <w:fldChar w:fldCharType="begin"/>
                    </w:r>
                    <w:r>
                      <w:instrText xml:space="preserve"> PAGE  \* MERGEFORMAT </w:instrText>
                    </w:r>
                    <w:r>
                      <w:fldChar w:fldCharType="separate"/>
                    </w:r>
                    <w:r>
                      <w:t>52</w:t>
                    </w:r>
                    <w:r>
                      <w:fldChar w:fldCharType="end"/>
                    </w:r>
                    <w:r>
                      <w:rPr>
                        <w:rFonts w:hint="eastAsia"/>
                      </w:rPr>
                      <w:t xml:space="preserve"> 页 共 </w:t>
                    </w:r>
                    <w:r>
                      <w:fldChar w:fldCharType="begin"/>
                    </w:r>
                    <w:r>
                      <w:instrText xml:space="preserve"> NUMPAGES  \* MERGEFORMAT </w:instrText>
                    </w:r>
                    <w:r>
                      <w:fldChar w:fldCharType="separate"/>
                    </w:r>
                    <w:r>
                      <w:t>88</w:t>
                    </w:r>
                    <w:r>
                      <w:fldChar w:fldCharType="end"/>
                    </w:r>
                    <w:r>
                      <w:rPr>
                        <w:rFonts w:hint="eastAsia"/>
                      </w:rPr>
                      <w:t xml:space="preserve"> 页</w:t>
                    </w:r>
                  </w:p>
                </w:txbxContent>
              </v:textbox>
            </v:shape>
          </w:pict>
        </mc:Fallback>
      </mc:AlternateContent>
    </w:r>
  </w:p>
  <w:p>
    <w:pPr>
      <w:pStyle w:val="3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37"/>
      </w:pPr>
      <w:r>
        <w:rPr>
          <w:rStyle w:val="57"/>
        </w:rPr>
        <w:footnoteRef/>
      </w:r>
      <w:r>
        <w:rPr>
          <w:rFonts w:hint="eastAsia"/>
          <w:bCs/>
          <w:sz w:val="24"/>
        </w:rPr>
        <w:t>从业人员、营业收入、资产总额填报上一年度数据，无上一年度数据的新成立企业可不填报。</w:t>
      </w:r>
    </w:p>
  </w:footnote>
  <w:footnote w:id="1">
    <w:p>
      <w:pPr>
        <w:pStyle w:val="37"/>
      </w:pPr>
      <w:r>
        <w:rPr>
          <w:rStyle w:val="57"/>
        </w:rPr>
        <w:footnoteRef/>
      </w:r>
      <w:r>
        <w:rPr>
          <w:rFonts w:hint="eastAsia"/>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B351F"/>
    <w:multiLevelType w:val="singleLevel"/>
    <w:tmpl w:val="81DB351F"/>
    <w:lvl w:ilvl="0" w:tentative="0">
      <w:start w:val="1"/>
      <w:numFmt w:val="decimal"/>
      <w:lvlText w:val="%1."/>
      <w:lvlJc w:val="left"/>
      <w:pPr>
        <w:ind w:left="425" w:hanging="425"/>
      </w:pPr>
      <w:rPr>
        <w:rFonts w:hint="default"/>
      </w:rPr>
    </w:lvl>
  </w:abstractNum>
  <w:abstractNum w:abstractNumId="1">
    <w:nsid w:val="8665003F"/>
    <w:multiLevelType w:val="singleLevel"/>
    <w:tmpl w:val="8665003F"/>
    <w:lvl w:ilvl="0" w:tentative="0">
      <w:start w:val="1"/>
      <w:numFmt w:val="decimal"/>
      <w:suff w:val="nothing"/>
      <w:lvlText w:val="%1．"/>
      <w:lvlJc w:val="left"/>
      <w:pPr>
        <w:ind w:left="0" w:firstLine="400"/>
      </w:pPr>
      <w:rPr>
        <w:rFonts w:hint="default"/>
      </w:rPr>
    </w:lvl>
  </w:abstractNum>
  <w:abstractNum w:abstractNumId="2">
    <w:nsid w:val="8906E671"/>
    <w:multiLevelType w:val="singleLevel"/>
    <w:tmpl w:val="8906E671"/>
    <w:lvl w:ilvl="0" w:tentative="0">
      <w:start w:val="1"/>
      <w:numFmt w:val="decimal"/>
      <w:suff w:val="space"/>
      <w:lvlText w:val="%1."/>
      <w:lvlJc w:val="left"/>
      <w:pPr>
        <w:ind w:left="454" w:hanging="454"/>
      </w:pPr>
      <w:rPr>
        <w:rFonts w:hint="default"/>
      </w:rPr>
    </w:lvl>
  </w:abstractNum>
  <w:abstractNum w:abstractNumId="3">
    <w:nsid w:val="A87EFCEA"/>
    <w:multiLevelType w:val="singleLevel"/>
    <w:tmpl w:val="A87EFCEA"/>
    <w:lvl w:ilvl="0" w:tentative="0">
      <w:start w:val="1"/>
      <w:numFmt w:val="decimal"/>
      <w:lvlText w:val="%1."/>
      <w:lvlJc w:val="left"/>
      <w:pPr>
        <w:ind w:left="1134" w:hanging="425"/>
      </w:pPr>
      <w:rPr>
        <w:rFonts w:hint="default"/>
      </w:rPr>
    </w:lvl>
  </w:abstractNum>
  <w:abstractNum w:abstractNumId="4">
    <w:nsid w:val="A88415EC"/>
    <w:multiLevelType w:val="singleLevel"/>
    <w:tmpl w:val="A88415EC"/>
    <w:lvl w:ilvl="0" w:tentative="0">
      <w:start w:val="1"/>
      <w:numFmt w:val="chineseCounting"/>
      <w:suff w:val="nothing"/>
      <w:lvlText w:val="（%1）"/>
      <w:lvlJc w:val="left"/>
      <w:rPr>
        <w:rFonts w:hint="eastAsia"/>
      </w:rPr>
    </w:lvl>
  </w:abstractNum>
  <w:abstractNum w:abstractNumId="5">
    <w:nsid w:val="AC019F3D"/>
    <w:multiLevelType w:val="singleLevel"/>
    <w:tmpl w:val="AC019F3D"/>
    <w:lvl w:ilvl="0" w:tentative="0">
      <w:start w:val="1"/>
      <w:numFmt w:val="decimal"/>
      <w:lvlText w:val="%1."/>
      <w:lvlJc w:val="left"/>
      <w:pPr>
        <w:ind w:left="425" w:hanging="425"/>
      </w:pPr>
      <w:rPr>
        <w:rFonts w:hint="default"/>
      </w:rPr>
    </w:lvl>
  </w:abstractNum>
  <w:abstractNum w:abstractNumId="6">
    <w:nsid w:val="AE2D8F7B"/>
    <w:multiLevelType w:val="singleLevel"/>
    <w:tmpl w:val="AE2D8F7B"/>
    <w:lvl w:ilvl="0" w:tentative="0">
      <w:start w:val="1"/>
      <w:numFmt w:val="decimal"/>
      <w:pStyle w:val="14"/>
      <w:lvlText w:val="%1."/>
      <w:lvlJc w:val="left"/>
      <w:pPr>
        <w:tabs>
          <w:tab w:val="left" w:pos="360"/>
        </w:tabs>
        <w:ind w:left="360" w:hanging="360"/>
      </w:pPr>
    </w:lvl>
  </w:abstractNum>
  <w:abstractNum w:abstractNumId="7">
    <w:nsid w:val="B500ACA7"/>
    <w:multiLevelType w:val="singleLevel"/>
    <w:tmpl w:val="B500ACA7"/>
    <w:lvl w:ilvl="0" w:tentative="0">
      <w:start w:val="1"/>
      <w:numFmt w:val="decimal"/>
      <w:suff w:val="nothing"/>
      <w:lvlText w:val="%1．"/>
      <w:lvlJc w:val="left"/>
      <w:pPr>
        <w:ind w:left="0" w:firstLine="400"/>
      </w:pPr>
      <w:rPr>
        <w:rFonts w:hint="default"/>
      </w:rPr>
    </w:lvl>
  </w:abstractNum>
  <w:abstractNum w:abstractNumId="8">
    <w:nsid w:val="C588194D"/>
    <w:multiLevelType w:val="singleLevel"/>
    <w:tmpl w:val="C588194D"/>
    <w:lvl w:ilvl="0" w:tentative="0">
      <w:start w:val="1"/>
      <w:numFmt w:val="chineseCounting"/>
      <w:suff w:val="space"/>
      <w:lvlText w:val="第%1章"/>
      <w:lvlJc w:val="left"/>
      <w:rPr>
        <w:rFonts w:hint="eastAsia"/>
      </w:rPr>
    </w:lvl>
  </w:abstractNum>
  <w:abstractNum w:abstractNumId="9">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10">
    <w:nsid w:val="CFED0344"/>
    <w:multiLevelType w:val="singleLevel"/>
    <w:tmpl w:val="CFED0344"/>
    <w:lvl w:ilvl="0" w:tentative="0">
      <w:start w:val="1"/>
      <w:numFmt w:val="decimal"/>
      <w:suff w:val="nothing"/>
      <w:lvlText w:val="%1．"/>
      <w:lvlJc w:val="left"/>
      <w:pPr>
        <w:ind w:left="0" w:firstLine="400"/>
      </w:pPr>
      <w:rPr>
        <w:rFonts w:hint="default"/>
      </w:rPr>
    </w:lvl>
  </w:abstractNum>
  <w:abstractNum w:abstractNumId="11">
    <w:nsid w:val="D09F2148"/>
    <w:multiLevelType w:val="singleLevel"/>
    <w:tmpl w:val="D09F2148"/>
    <w:lvl w:ilvl="0" w:tentative="0">
      <w:start w:val="1"/>
      <w:numFmt w:val="decimal"/>
      <w:lvlText w:val="%1."/>
      <w:lvlJc w:val="left"/>
      <w:pPr>
        <w:ind w:left="425" w:hanging="425"/>
      </w:pPr>
      <w:rPr>
        <w:rFonts w:hint="default"/>
      </w:rPr>
    </w:lvl>
  </w:abstractNum>
  <w:abstractNum w:abstractNumId="12">
    <w:nsid w:val="DB1C0AD1"/>
    <w:multiLevelType w:val="singleLevel"/>
    <w:tmpl w:val="DB1C0AD1"/>
    <w:lvl w:ilvl="0" w:tentative="0">
      <w:start w:val="1"/>
      <w:numFmt w:val="decimal"/>
      <w:suff w:val="nothing"/>
      <w:lvlText w:val="%1．"/>
      <w:lvlJc w:val="left"/>
      <w:pPr>
        <w:ind w:left="0" w:firstLine="400"/>
      </w:pPr>
      <w:rPr>
        <w:rFonts w:hint="default"/>
      </w:rPr>
    </w:lvl>
  </w:abstractNum>
  <w:abstractNum w:abstractNumId="13">
    <w:nsid w:val="DDBEDDBE"/>
    <w:multiLevelType w:val="singleLevel"/>
    <w:tmpl w:val="DDBEDDBE"/>
    <w:lvl w:ilvl="0" w:tentative="0">
      <w:start w:val="4"/>
      <w:numFmt w:val="chineseCounting"/>
      <w:suff w:val="nothing"/>
      <w:lvlText w:val="（%1）"/>
      <w:lvlJc w:val="left"/>
      <w:rPr>
        <w:rFonts w:hint="eastAsia"/>
      </w:rPr>
    </w:lvl>
  </w:abstractNum>
  <w:abstractNum w:abstractNumId="14">
    <w:nsid w:val="E2144295"/>
    <w:multiLevelType w:val="singleLevel"/>
    <w:tmpl w:val="E2144295"/>
    <w:lvl w:ilvl="0" w:tentative="0">
      <w:start w:val="1"/>
      <w:numFmt w:val="decimalEnclosedCircleChinese"/>
      <w:suff w:val="nothing"/>
      <w:lvlText w:val="%1　"/>
      <w:lvlJc w:val="left"/>
      <w:pPr>
        <w:ind w:left="0" w:firstLine="400"/>
      </w:pPr>
      <w:rPr>
        <w:rFonts w:hint="eastAsia"/>
      </w:rPr>
    </w:lvl>
  </w:abstractNum>
  <w:abstractNum w:abstractNumId="15">
    <w:nsid w:val="EB1BD96B"/>
    <w:multiLevelType w:val="singleLevel"/>
    <w:tmpl w:val="EB1BD96B"/>
    <w:lvl w:ilvl="0" w:tentative="0">
      <w:start w:val="2"/>
      <w:numFmt w:val="decimal"/>
      <w:suff w:val="nothing"/>
      <w:lvlText w:val="（%1）"/>
      <w:lvlJc w:val="left"/>
    </w:lvl>
  </w:abstractNum>
  <w:abstractNum w:abstractNumId="16">
    <w:nsid w:val="FA74F172"/>
    <w:multiLevelType w:val="singleLevel"/>
    <w:tmpl w:val="FA74F172"/>
    <w:lvl w:ilvl="0" w:tentative="0">
      <w:start w:val="1"/>
      <w:numFmt w:val="decimalEnclosedCircleChinese"/>
      <w:suff w:val="nothing"/>
      <w:lvlText w:val="%1　"/>
      <w:lvlJc w:val="left"/>
      <w:pPr>
        <w:ind w:left="0" w:firstLine="400"/>
      </w:pPr>
      <w:rPr>
        <w:rFonts w:hint="eastAsia"/>
      </w:rPr>
    </w:lvl>
  </w:abstractNum>
  <w:abstractNum w:abstractNumId="17">
    <w:nsid w:val="FF27596F"/>
    <w:multiLevelType w:val="singleLevel"/>
    <w:tmpl w:val="FF27596F"/>
    <w:lvl w:ilvl="0" w:tentative="0">
      <w:start w:val="1"/>
      <w:numFmt w:val="decimal"/>
      <w:lvlText w:val="%1."/>
      <w:lvlJc w:val="left"/>
      <w:pPr>
        <w:ind w:left="425" w:hanging="425"/>
      </w:pPr>
      <w:rPr>
        <w:rFonts w:hint="default"/>
      </w:rPr>
    </w:lvl>
  </w:abstractNum>
  <w:abstractNum w:abstractNumId="18">
    <w:nsid w:val="0000000E"/>
    <w:multiLevelType w:val="multilevel"/>
    <w:tmpl w:val="0000000E"/>
    <w:lvl w:ilvl="0" w:tentative="0">
      <w:start w:val="1"/>
      <w:numFmt w:val="decimal"/>
      <w:pStyle w:val="392"/>
      <w:lvlText w:val="%1."/>
      <w:lvlJc w:val="left"/>
      <w:pPr>
        <w:tabs>
          <w:tab w:val="left" w:pos="420"/>
        </w:tabs>
        <w:ind w:left="420" w:hanging="420"/>
      </w:p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9">
    <w:nsid w:val="00000011"/>
    <w:multiLevelType w:val="singleLevel"/>
    <w:tmpl w:val="00000011"/>
    <w:lvl w:ilvl="0" w:tentative="0">
      <w:start w:val="1"/>
      <w:numFmt w:val="chineseCounting"/>
      <w:suff w:val="nothing"/>
      <w:lvlText w:val="%1、"/>
      <w:lvlJc w:val="left"/>
      <w:pPr>
        <w:ind w:left="0" w:firstLine="420"/>
      </w:pPr>
      <w:rPr>
        <w:rFonts w:hint="eastAsia"/>
      </w:rPr>
    </w:lvl>
  </w:abstractNum>
  <w:abstractNum w:abstractNumId="20">
    <w:nsid w:val="003CB2F1"/>
    <w:multiLevelType w:val="singleLevel"/>
    <w:tmpl w:val="003CB2F1"/>
    <w:lvl w:ilvl="0" w:tentative="0">
      <w:start w:val="2"/>
      <w:numFmt w:val="chineseCounting"/>
      <w:suff w:val="nothing"/>
      <w:lvlText w:val="%1、"/>
      <w:lvlJc w:val="left"/>
      <w:rPr>
        <w:rFonts w:hint="eastAsia"/>
      </w:rPr>
    </w:lvl>
  </w:abstractNum>
  <w:abstractNum w:abstractNumId="21">
    <w:nsid w:val="0A760F1C"/>
    <w:multiLevelType w:val="multilevel"/>
    <w:tmpl w:val="0A760F1C"/>
    <w:lvl w:ilvl="0" w:tentative="0">
      <w:start w:val="1"/>
      <w:numFmt w:val="decimal"/>
      <w:suff w:val="space"/>
      <w:lvlText w:val="第%1章"/>
      <w:lvlJc w:val="center"/>
      <w:pPr>
        <w:ind w:left="0" w:firstLine="288"/>
      </w:pPr>
      <w:rPr>
        <w:rFonts w:hint="eastAsia" w:ascii="黑体" w:hAnsi="黑体" w:eastAsia="黑体"/>
        <w:sz w:val="36"/>
      </w:rPr>
    </w:lvl>
    <w:lvl w:ilvl="1" w:tentative="0">
      <w:start w:val="1"/>
      <w:numFmt w:val="decimal"/>
      <w:suff w:val="space"/>
      <w:lvlText w:val="%1.%2"/>
      <w:lvlJc w:val="left"/>
      <w:pPr>
        <w:ind w:left="0" w:firstLine="0"/>
      </w:pPr>
      <w:rPr>
        <w:rFonts w:hint="eastAsia" w:ascii="黑体" w:hAnsi="黑体" w:eastAsia="黑体"/>
        <w:sz w:val="30"/>
      </w:rPr>
    </w:lvl>
    <w:lvl w:ilvl="2" w:tentative="0">
      <w:start w:val="1"/>
      <w:numFmt w:val="decimal"/>
      <w:pStyle w:val="398"/>
      <w:suff w:val="space"/>
      <w:lvlText w:val="%1.%2.%3"/>
      <w:lvlJc w:val="left"/>
      <w:pPr>
        <w:ind w:left="426" w:firstLine="0"/>
      </w:pPr>
      <w:rPr>
        <w:rFonts w:hint="eastAsia" w:ascii="黑体" w:hAnsi="黑体" w:eastAsia="黑体"/>
        <w:sz w:val="28"/>
      </w:rPr>
    </w:lvl>
    <w:lvl w:ilvl="3" w:tentative="0">
      <w:start w:val="1"/>
      <w:numFmt w:val="decimal"/>
      <w:pStyle w:val="397"/>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2">
    <w:nsid w:val="0C187051"/>
    <w:multiLevelType w:val="singleLevel"/>
    <w:tmpl w:val="0C187051"/>
    <w:lvl w:ilvl="0" w:tentative="0">
      <w:start w:val="1"/>
      <w:numFmt w:val="decimal"/>
      <w:suff w:val="nothing"/>
      <w:lvlText w:val="%1．"/>
      <w:lvlJc w:val="left"/>
      <w:pPr>
        <w:ind w:left="0" w:firstLine="400"/>
      </w:pPr>
      <w:rPr>
        <w:rFonts w:hint="default"/>
      </w:rPr>
    </w:lvl>
  </w:abstractNum>
  <w:abstractNum w:abstractNumId="23">
    <w:nsid w:val="18BE30EF"/>
    <w:multiLevelType w:val="singleLevel"/>
    <w:tmpl w:val="18BE30EF"/>
    <w:lvl w:ilvl="0" w:tentative="0">
      <w:start w:val="1"/>
      <w:numFmt w:val="decimal"/>
      <w:lvlText w:val="%1."/>
      <w:lvlJc w:val="left"/>
      <w:pPr>
        <w:ind w:left="425" w:hanging="425"/>
      </w:pPr>
      <w:rPr>
        <w:rFonts w:hint="default"/>
      </w:rPr>
    </w:lvl>
  </w:abstractNum>
  <w:abstractNum w:abstractNumId="24">
    <w:nsid w:val="19DCF4C9"/>
    <w:multiLevelType w:val="singleLevel"/>
    <w:tmpl w:val="19DCF4C9"/>
    <w:lvl w:ilvl="0" w:tentative="0">
      <w:start w:val="1"/>
      <w:numFmt w:val="decimal"/>
      <w:lvlText w:val="%1."/>
      <w:lvlJc w:val="left"/>
      <w:pPr>
        <w:ind w:left="425" w:hanging="425"/>
      </w:pPr>
      <w:rPr>
        <w:rFonts w:hint="default"/>
      </w:rPr>
    </w:lvl>
  </w:abstractNum>
  <w:abstractNum w:abstractNumId="25">
    <w:nsid w:val="369BE933"/>
    <w:multiLevelType w:val="singleLevel"/>
    <w:tmpl w:val="369BE933"/>
    <w:lvl w:ilvl="0" w:tentative="0">
      <w:start w:val="1"/>
      <w:numFmt w:val="decimal"/>
      <w:suff w:val="nothing"/>
      <w:lvlText w:val="%1、"/>
      <w:lvlJc w:val="left"/>
    </w:lvl>
  </w:abstractNum>
  <w:abstractNum w:abstractNumId="26">
    <w:nsid w:val="3B363D98"/>
    <w:multiLevelType w:val="multilevel"/>
    <w:tmpl w:val="3B363D98"/>
    <w:lvl w:ilvl="0" w:tentative="0">
      <w:start w:val="1"/>
      <w:numFmt w:val="decimal"/>
      <w:pStyle w:val="16"/>
      <w:suff w:val="space"/>
      <w:lvlText w:val="图%1."/>
      <w:lvlJc w:val="left"/>
      <w:pPr>
        <w:ind w:left="2263"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27">
    <w:nsid w:val="461E5E94"/>
    <w:multiLevelType w:val="singleLevel"/>
    <w:tmpl w:val="461E5E94"/>
    <w:lvl w:ilvl="0" w:tentative="0">
      <w:start w:val="2"/>
      <w:numFmt w:val="chineseCounting"/>
      <w:suff w:val="space"/>
      <w:lvlText w:val="第%1章"/>
      <w:lvlJc w:val="left"/>
      <w:rPr>
        <w:rFonts w:hint="eastAsia"/>
      </w:rPr>
    </w:lvl>
  </w:abstractNum>
  <w:abstractNum w:abstractNumId="28">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29">
    <w:nsid w:val="4EB1C310"/>
    <w:multiLevelType w:val="singleLevel"/>
    <w:tmpl w:val="4EB1C310"/>
    <w:lvl w:ilvl="0" w:tentative="0">
      <w:start w:val="1"/>
      <w:numFmt w:val="decimal"/>
      <w:lvlText w:val="%1."/>
      <w:lvlJc w:val="left"/>
      <w:pPr>
        <w:ind w:left="425" w:hanging="425"/>
      </w:pPr>
      <w:rPr>
        <w:rFonts w:hint="default"/>
      </w:rPr>
    </w:lvl>
  </w:abstractNum>
  <w:abstractNum w:abstractNumId="30">
    <w:nsid w:val="54F403B5"/>
    <w:multiLevelType w:val="singleLevel"/>
    <w:tmpl w:val="54F403B5"/>
    <w:lvl w:ilvl="0" w:tentative="0">
      <w:start w:val="1"/>
      <w:numFmt w:val="chineseCounting"/>
      <w:suff w:val="nothing"/>
      <w:lvlText w:val="%1、"/>
      <w:lvlJc w:val="left"/>
    </w:lvl>
  </w:abstractNum>
  <w:abstractNum w:abstractNumId="31">
    <w:nsid w:val="55037710"/>
    <w:multiLevelType w:val="singleLevel"/>
    <w:tmpl w:val="55037710"/>
    <w:lvl w:ilvl="0" w:tentative="0">
      <w:start w:val="1"/>
      <w:numFmt w:val="decimal"/>
      <w:suff w:val="nothing"/>
      <w:lvlText w:val="%1．"/>
      <w:lvlJc w:val="left"/>
      <w:pPr>
        <w:ind w:left="0" w:firstLine="400"/>
      </w:pPr>
      <w:rPr>
        <w:rFonts w:hint="default"/>
      </w:rPr>
    </w:lvl>
  </w:abstractNum>
  <w:abstractNum w:abstractNumId="32">
    <w:nsid w:val="557FD3DA"/>
    <w:multiLevelType w:val="singleLevel"/>
    <w:tmpl w:val="557FD3DA"/>
    <w:lvl w:ilvl="0" w:tentative="0">
      <w:start w:val="3"/>
      <w:numFmt w:val="chineseCounting"/>
      <w:suff w:val="nothing"/>
      <w:lvlText w:val="%1、"/>
      <w:lvlJc w:val="left"/>
    </w:lvl>
  </w:abstractNum>
  <w:abstractNum w:abstractNumId="33">
    <w:nsid w:val="561F21D4"/>
    <w:multiLevelType w:val="multilevel"/>
    <w:tmpl w:val="561F21D4"/>
    <w:lvl w:ilvl="0" w:tentative="0">
      <w:start w:val="1"/>
      <w:numFmt w:val="bullet"/>
      <w:pStyle w:val="391"/>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4">
    <w:nsid w:val="56FB16F3"/>
    <w:multiLevelType w:val="multilevel"/>
    <w:tmpl w:val="56FB16F3"/>
    <w:lvl w:ilvl="0" w:tentative="0">
      <w:start w:val="1"/>
      <w:numFmt w:val="decimal"/>
      <w:pStyle w:val="42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5">
    <w:nsid w:val="632B4536"/>
    <w:multiLevelType w:val="singleLevel"/>
    <w:tmpl w:val="632B4536"/>
    <w:lvl w:ilvl="0" w:tentative="0">
      <w:start w:val="1"/>
      <w:numFmt w:val="decimal"/>
      <w:lvlText w:val="%1."/>
      <w:lvlJc w:val="left"/>
      <w:pPr>
        <w:ind w:left="425" w:hanging="425"/>
      </w:pPr>
      <w:rPr>
        <w:rFonts w:hint="default"/>
      </w:rPr>
    </w:lvl>
  </w:abstractNum>
  <w:abstractNum w:abstractNumId="36">
    <w:nsid w:val="6A6E8E67"/>
    <w:multiLevelType w:val="singleLevel"/>
    <w:tmpl w:val="6A6E8E67"/>
    <w:lvl w:ilvl="0" w:tentative="0">
      <w:start w:val="1"/>
      <w:numFmt w:val="decimal"/>
      <w:suff w:val="space"/>
      <w:lvlText w:val="%1."/>
      <w:lvlJc w:val="left"/>
      <w:pPr>
        <w:ind w:left="454" w:hanging="454"/>
      </w:pPr>
      <w:rPr>
        <w:rFonts w:hint="default"/>
      </w:rPr>
    </w:lvl>
  </w:abstractNum>
  <w:abstractNum w:abstractNumId="37">
    <w:nsid w:val="6DEC3500"/>
    <w:multiLevelType w:val="singleLevel"/>
    <w:tmpl w:val="6DEC3500"/>
    <w:lvl w:ilvl="0" w:tentative="0">
      <w:start w:val="1"/>
      <w:numFmt w:val="decimal"/>
      <w:suff w:val="nothing"/>
      <w:lvlText w:val="%1．"/>
      <w:lvlJc w:val="left"/>
      <w:pPr>
        <w:ind w:left="0" w:firstLine="400"/>
      </w:pPr>
      <w:rPr>
        <w:rFonts w:hint="default"/>
      </w:rPr>
    </w:lvl>
  </w:abstractNum>
  <w:abstractNum w:abstractNumId="38">
    <w:nsid w:val="70C45358"/>
    <w:multiLevelType w:val="multilevel"/>
    <w:tmpl w:val="70C45358"/>
    <w:lvl w:ilvl="0" w:tentative="0">
      <w:start w:val="1"/>
      <w:numFmt w:val="decimal"/>
      <w:lvlText w:val="第%1章 "/>
      <w:lvlJc w:val="left"/>
      <w:pPr>
        <w:tabs>
          <w:tab w:val="left" w:pos="567"/>
        </w:tabs>
        <w:ind w:left="0" w:firstLine="0"/>
      </w:pPr>
      <w:rPr>
        <w:rFonts w:cs="Times New Roman"/>
        <w:lang w:val="en-US"/>
      </w:rPr>
    </w:lvl>
    <w:lvl w:ilvl="1" w:tentative="0">
      <w:start w:val="1"/>
      <w:numFmt w:val="decimal"/>
      <w:pStyle w:val="93"/>
      <w:lvlText w:val="%1.%2"/>
      <w:lvlJc w:val="left"/>
      <w:pPr>
        <w:tabs>
          <w:tab w:val="left" w:pos="993"/>
        </w:tabs>
        <w:ind w:left="426" w:firstLine="0"/>
      </w:pPr>
      <w:rPr>
        <w:rFonts w:cs="Times New Roman"/>
      </w:rPr>
    </w:lvl>
    <w:lvl w:ilvl="2" w:tentative="0">
      <w:start w:val="1"/>
      <w:numFmt w:val="decimal"/>
      <w:pStyle w:val="94"/>
      <w:lvlText w:val="%1.%2.%3"/>
      <w:lvlJc w:val="left"/>
      <w:pPr>
        <w:tabs>
          <w:tab w:val="left" w:pos="98"/>
        </w:tabs>
        <w:ind w:left="-639" w:firstLine="0"/>
      </w:pPr>
      <w:rPr>
        <w:rFonts w:cs="Times New Roman"/>
      </w:rPr>
    </w:lvl>
    <w:lvl w:ilvl="3" w:tentative="0">
      <w:start w:val="1"/>
      <w:numFmt w:val="decimal"/>
      <w:pStyle w:val="95"/>
      <w:lvlText w:val="%1.%2.%3.%4"/>
      <w:lvlJc w:val="left"/>
      <w:pPr>
        <w:tabs>
          <w:tab w:val="left" w:pos="-72"/>
        </w:tabs>
        <w:ind w:left="-639" w:firstLine="0"/>
      </w:pPr>
      <w:rPr>
        <w:rFonts w:cs="Times New Roman"/>
      </w:rPr>
    </w:lvl>
    <w:lvl w:ilvl="4" w:tentative="0">
      <w:start w:val="1"/>
      <w:numFmt w:val="decimal"/>
      <w:lvlText w:val="%1.%2.%3.%4.%5"/>
      <w:lvlJc w:val="left"/>
      <w:pPr>
        <w:tabs>
          <w:tab w:val="left" w:pos="-72"/>
        </w:tabs>
        <w:ind w:left="-639" w:firstLine="0"/>
      </w:pPr>
      <w:rPr>
        <w:rFonts w:cs="Times New Roman"/>
      </w:rPr>
    </w:lvl>
    <w:lvl w:ilvl="5" w:tentative="0">
      <w:start w:val="1"/>
      <w:numFmt w:val="decimal"/>
      <w:lvlText w:val="%1.%2.%3.%4.%5.%6."/>
      <w:lvlJc w:val="left"/>
      <w:pPr>
        <w:tabs>
          <w:tab w:val="left" w:pos="495"/>
        </w:tabs>
        <w:ind w:left="495" w:hanging="1134"/>
      </w:pPr>
      <w:rPr>
        <w:rFonts w:cs="Times New Roman"/>
      </w:rPr>
    </w:lvl>
    <w:lvl w:ilvl="6" w:tentative="0">
      <w:start w:val="1"/>
      <w:numFmt w:val="decimal"/>
      <w:lvlText w:val="%1.%2.%3.%4.%5.%6.%7."/>
      <w:lvlJc w:val="left"/>
      <w:pPr>
        <w:tabs>
          <w:tab w:val="left" w:pos="637"/>
        </w:tabs>
        <w:ind w:left="637" w:hanging="1276"/>
      </w:pPr>
      <w:rPr>
        <w:rFonts w:cs="Times New Roman"/>
      </w:rPr>
    </w:lvl>
    <w:lvl w:ilvl="7" w:tentative="0">
      <w:start w:val="1"/>
      <w:numFmt w:val="decimal"/>
      <w:lvlText w:val="%1.%2.%3.%4.%5.%6.%7.%8."/>
      <w:lvlJc w:val="left"/>
      <w:pPr>
        <w:tabs>
          <w:tab w:val="left" w:pos="779"/>
        </w:tabs>
        <w:ind w:left="779" w:hanging="1418"/>
      </w:pPr>
      <w:rPr>
        <w:rFonts w:cs="Times New Roman"/>
      </w:rPr>
    </w:lvl>
    <w:lvl w:ilvl="8" w:tentative="0">
      <w:start w:val="1"/>
      <w:numFmt w:val="decimal"/>
      <w:lvlText w:val="%1.%2.%3.%4.%5.%6.%7.%8.%9."/>
      <w:lvlJc w:val="left"/>
      <w:pPr>
        <w:tabs>
          <w:tab w:val="left" w:pos="920"/>
        </w:tabs>
        <w:ind w:left="920" w:hanging="1559"/>
      </w:pPr>
      <w:rPr>
        <w:rFonts w:cs="Times New Roman"/>
      </w:rPr>
    </w:lvl>
  </w:abstractNum>
  <w:abstractNum w:abstractNumId="39">
    <w:nsid w:val="773757EB"/>
    <w:multiLevelType w:val="singleLevel"/>
    <w:tmpl w:val="773757EB"/>
    <w:lvl w:ilvl="0" w:tentative="0">
      <w:start w:val="1"/>
      <w:numFmt w:val="decimal"/>
      <w:suff w:val="nothing"/>
      <w:lvlText w:val="%1．"/>
      <w:lvlJc w:val="left"/>
      <w:pPr>
        <w:ind w:left="0" w:firstLine="400"/>
      </w:pPr>
      <w:rPr>
        <w:rFonts w:hint="default"/>
      </w:rPr>
    </w:lvl>
  </w:abstractNum>
  <w:abstractNum w:abstractNumId="40">
    <w:nsid w:val="77B25A75"/>
    <w:multiLevelType w:val="singleLevel"/>
    <w:tmpl w:val="77B25A75"/>
    <w:lvl w:ilvl="0" w:tentative="0">
      <w:start w:val="1"/>
      <w:numFmt w:val="decimal"/>
      <w:suff w:val="nothing"/>
      <w:lvlText w:val="%1、"/>
      <w:lvlJc w:val="left"/>
    </w:lvl>
  </w:abstractNum>
  <w:num w:numId="1">
    <w:abstractNumId w:val="6"/>
  </w:num>
  <w:num w:numId="2">
    <w:abstractNumId w:val="26"/>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18"/>
  </w:num>
  <w:num w:numId="6">
    <w:abstractNumId w:val="21"/>
  </w:num>
  <w:num w:numId="7">
    <w:abstractNumId w:val="34"/>
  </w:num>
  <w:num w:numId="8">
    <w:abstractNumId w:val="28"/>
  </w:num>
  <w:num w:numId="9">
    <w:abstractNumId w:val="8"/>
  </w:num>
  <w:num w:numId="10">
    <w:abstractNumId w:val="14"/>
  </w:num>
  <w:num w:numId="11">
    <w:abstractNumId w:val="3"/>
  </w:num>
  <w:num w:numId="12">
    <w:abstractNumId w:val="11"/>
  </w:num>
  <w:num w:numId="13">
    <w:abstractNumId w:val="2"/>
  </w:num>
  <w:num w:numId="14">
    <w:abstractNumId w:val="9"/>
  </w:num>
  <w:num w:numId="15">
    <w:abstractNumId w:val="15"/>
  </w:num>
  <w:num w:numId="16">
    <w:abstractNumId w:val="0"/>
  </w:num>
  <w:num w:numId="17">
    <w:abstractNumId w:val="35"/>
  </w:num>
  <w:num w:numId="18">
    <w:abstractNumId w:val="36"/>
  </w:num>
  <w:num w:numId="19">
    <w:abstractNumId w:val="5"/>
  </w:num>
  <w:num w:numId="20">
    <w:abstractNumId w:val="17"/>
  </w:num>
  <w:num w:numId="21">
    <w:abstractNumId w:val="24"/>
  </w:num>
  <w:num w:numId="22">
    <w:abstractNumId w:val="29"/>
  </w:num>
  <w:num w:numId="23">
    <w:abstractNumId w:val="23"/>
  </w:num>
  <w:num w:numId="24">
    <w:abstractNumId w:val="27"/>
  </w:num>
  <w:num w:numId="25">
    <w:abstractNumId w:val="13"/>
  </w:num>
  <w:num w:numId="26">
    <w:abstractNumId w:val="20"/>
  </w:num>
  <w:num w:numId="27">
    <w:abstractNumId w:val="4"/>
  </w:num>
  <w:num w:numId="28">
    <w:abstractNumId w:val="19"/>
  </w:num>
  <w:num w:numId="29">
    <w:abstractNumId w:val="10"/>
  </w:num>
  <w:num w:numId="30">
    <w:abstractNumId w:val="12"/>
  </w:num>
  <w:num w:numId="31">
    <w:abstractNumId w:val="22"/>
  </w:num>
  <w:num w:numId="32">
    <w:abstractNumId w:val="31"/>
  </w:num>
  <w:num w:numId="33">
    <w:abstractNumId w:val="1"/>
  </w:num>
  <w:num w:numId="34">
    <w:abstractNumId w:val="39"/>
  </w:num>
  <w:num w:numId="35">
    <w:abstractNumId w:val="16"/>
  </w:num>
  <w:num w:numId="36">
    <w:abstractNumId w:val="7"/>
  </w:num>
  <w:num w:numId="37">
    <w:abstractNumId w:val="37"/>
  </w:num>
  <w:num w:numId="38">
    <w:abstractNumId w:val="30"/>
  </w:num>
  <w:num w:numId="39">
    <w:abstractNumId w:val="32"/>
  </w:num>
  <w:num w:numId="40">
    <w:abstractNumId w:val="4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9"/>
  <w:displayHorizontalDrawingGridEvery w:val="1"/>
  <w:displayVerticalDrawingGridEvery w:val="1"/>
  <w:noPunctuationKerning w:val="1"/>
  <w:characterSpacingControl w:val="compressPunctuation"/>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xM2JhN2JiN2E3MDFhMzRjZDU0MWQwZGY0MWQwYjYifQ=="/>
  </w:docVars>
  <w:rsids>
    <w:rsidRoot w:val="00172A27"/>
    <w:rsid w:val="00034F6D"/>
    <w:rsid w:val="00046E15"/>
    <w:rsid w:val="0006294D"/>
    <w:rsid w:val="00062AB3"/>
    <w:rsid w:val="000903D5"/>
    <w:rsid w:val="000936C9"/>
    <w:rsid w:val="000B57DE"/>
    <w:rsid w:val="00105BD2"/>
    <w:rsid w:val="00107BF6"/>
    <w:rsid w:val="0012305D"/>
    <w:rsid w:val="00130920"/>
    <w:rsid w:val="00131E56"/>
    <w:rsid w:val="00134A5F"/>
    <w:rsid w:val="00157DF0"/>
    <w:rsid w:val="00165F2A"/>
    <w:rsid w:val="00172A27"/>
    <w:rsid w:val="00201D62"/>
    <w:rsid w:val="0021318F"/>
    <w:rsid w:val="00224964"/>
    <w:rsid w:val="00242EEC"/>
    <w:rsid w:val="0025202F"/>
    <w:rsid w:val="002A1620"/>
    <w:rsid w:val="002B48B8"/>
    <w:rsid w:val="002E5C24"/>
    <w:rsid w:val="003102FB"/>
    <w:rsid w:val="0031277A"/>
    <w:rsid w:val="00332E30"/>
    <w:rsid w:val="0037125A"/>
    <w:rsid w:val="00382DD1"/>
    <w:rsid w:val="003B0C36"/>
    <w:rsid w:val="003B2B7B"/>
    <w:rsid w:val="003C5E00"/>
    <w:rsid w:val="003F595C"/>
    <w:rsid w:val="003F78E0"/>
    <w:rsid w:val="0042462B"/>
    <w:rsid w:val="00441FAE"/>
    <w:rsid w:val="00446CEF"/>
    <w:rsid w:val="004530E3"/>
    <w:rsid w:val="00453C6B"/>
    <w:rsid w:val="004635CB"/>
    <w:rsid w:val="00472F98"/>
    <w:rsid w:val="0048507C"/>
    <w:rsid w:val="00491BDF"/>
    <w:rsid w:val="004972D1"/>
    <w:rsid w:val="004B4165"/>
    <w:rsid w:val="004C6060"/>
    <w:rsid w:val="004C75E9"/>
    <w:rsid w:val="004D19C1"/>
    <w:rsid w:val="004E0884"/>
    <w:rsid w:val="005136E3"/>
    <w:rsid w:val="00533F91"/>
    <w:rsid w:val="005367EF"/>
    <w:rsid w:val="00551DEA"/>
    <w:rsid w:val="00552448"/>
    <w:rsid w:val="00580CF7"/>
    <w:rsid w:val="005A0636"/>
    <w:rsid w:val="005A6E52"/>
    <w:rsid w:val="005D2872"/>
    <w:rsid w:val="005F6730"/>
    <w:rsid w:val="00616E31"/>
    <w:rsid w:val="00633CCC"/>
    <w:rsid w:val="00655E3C"/>
    <w:rsid w:val="00672712"/>
    <w:rsid w:val="00674363"/>
    <w:rsid w:val="00674C42"/>
    <w:rsid w:val="00691A5A"/>
    <w:rsid w:val="006A1C16"/>
    <w:rsid w:val="006F4DFE"/>
    <w:rsid w:val="00707674"/>
    <w:rsid w:val="00714ABF"/>
    <w:rsid w:val="007335C3"/>
    <w:rsid w:val="007462BF"/>
    <w:rsid w:val="00772676"/>
    <w:rsid w:val="00774D06"/>
    <w:rsid w:val="00793A6E"/>
    <w:rsid w:val="007A236B"/>
    <w:rsid w:val="007A2629"/>
    <w:rsid w:val="007A373B"/>
    <w:rsid w:val="007C1005"/>
    <w:rsid w:val="007F3C66"/>
    <w:rsid w:val="00802325"/>
    <w:rsid w:val="00847BE5"/>
    <w:rsid w:val="0088009B"/>
    <w:rsid w:val="0088066B"/>
    <w:rsid w:val="00882D8A"/>
    <w:rsid w:val="0089471E"/>
    <w:rsid w:val="008A53AD"/>
    <w:rsid w:val="008D7912"/>
    <w:rsid w:val="00903A43"/>
    <w:rsid w:val="00906412"/>
    <w:rsid w:val="00912983"/>
    <w:rsid w:val="00913BD5"/>
    <w:rsid w:val="00923621"/>
    <w:rsid w:val="00947AA5"/>
    <w:rsid w:val="00975285"/>
    <w:rsid w:val="009B3E22"/>
    <w:rsid w:val="009B4CA9"/>
    <w:rsid w:val="009D5E8E"/>
    <w:rsid w:val="009E4231"/>
    <w:rsid w:val="009F1F48"/>
    <w:rsid w:val="009F3459"/>
    <w:rsid w:val="00A30B75"/>
    <w:rsid w:val="00A355C4"/>
    <w:rsid w:val="00A41902"/>
    <w:rsid w:val="00A41DFA"/>
    <w:rsid w:val="00A730CA"/>
    <w:rsid w:val="00A7355D"/>
    <w:rsid w:val="00A968FC"/>
    <w:rsid w:val="00AB2DE5"/>
    <w:rsid w:val="00B1550F"/>
    <w:rsid w:val="00B17E6F"/>
    <w:rsid w:val="00BB106D"/>
    <w:rsid w:val="00BC4555"/>
    <w:rsid w:val="00BE081B"/>
    <w:rsid w:val="00C425B3"/>
    <w:rsid w:val="00C52E14"/>
    <w:rsid w:val="00C72B8C"/>
    <w:rsid w:val="00C767D4"/>
    <w:rsid w:val="00C81E02"/>
    <w:rsid w:val="00C86AB9"/>
    <w:rsid w:val="00CB7EB0"/>
    <w:rsid w:val="00CC232E"/>
    <w:rsid w:val="00CD1804"/>
    <w:rsid w:val="00CE2C33"/>
    <w:rsid w:val="00CF25D3"/>
    <w:rsid w:val="00CF6EFD"/>
    <w:rsid w:val="00D13C71"/>
    <w:rsid w:val="00D21762"/>
    <w:rsid w:val="00D27612"/>
    <w:rsid w:val="00D30117"/>
    <w:rsid w:val="00D323E8"/>
    <w:rsid w:val="00D556E6"/>
    <w:rsid w:val="00D61084"/>
    <w:rsid w:val="00D61A6A"/>
    <w:rsid w:val="00D97D78"/>
    <w:rsid w:val="00DA1022"/>
    <w:rsid w:val="00DB2CA8"/>
    <w:rsid w:val="00DC3218"/>
    <w:rsid w:val="00DF68EA"/>
    <w:rsid w:val="00E319E7"/>
    <w:rsid w:val="00E31CE4"/>
    <w:rsid w:val="00E35A25"/>
    <w:rsid w:val="00E42FAF"/>
    <w:rsid w:val="00E675E5"/>
    <w:rsid w:val="00E73EE1"/>
    <w:rsid w:val="00E82390"/>
    <w:rsid w:val="00E94D5A"/>
    <w:rsid w:val="00EB1C8A"/>
    <w:rsid w:val="00EB4E41"/>
    <w:rsid w:val="00EC69DC"/>
    <w:rsid w:val="00ED7F52"/>
    <w:rsid w:val="00EE25F8"/>
    <w:rsid w:val="00EE34AF"/>
    <w:rsid w:val="00EF080F"/>
    <w:rsid w:val="00EF2797"/>
    <w:rsid w:val="00F05C63"/>
    <w:rsid w:val="00F127FF"/>
    <w:rsid w:val="00F15903"/>
    <w:rsid w:val="00F82981"/>
    <w:rsid w:val="00F8622D"/>
    <w:rsid w:val="00FA6516"/>
    <w:rsid w:val="00FB70BA"/>
    <w:rsid w:val="0108599E"/>
    <w:rsid w:val="0122167A"/>
    <w:rsid w:val="01245453"/>
    <w:rsid w:val="013E4022"/>
    <w:rsid w:val="014A2188"/>
    <w:rsid w:val="01935887"/>
    <w:rsid w:val="01D52366"/>
    <w:rsid w:val="02291D3B"/>
    <w:rsid w:val="02370322"/>
    <w:rsid w:val="03214116"/>
    <w:rsid w:val="033605E0"/>
    <w:rsid w:val="038F65D0"/>
    <w:rsid w:val="04255409"/>
    <w:rsid w:val="047F2511"/>
    <w:rsid w:val="04CC341D"/>
    <w:rsid w:val="04F8157B"/>
    <w:rsid w:val="05137CD7"/>
    <w:rsid w:val="052F2A11"/>
    <w:rsid w:val="05834B0B"/>
    <w:rsid w:val="0599415A"/>
    <w:rsid w:val="05FA5187"/>
    <w:rsid w:val="06092802"/>
    <w:rsid w:val="060B26E0"/>
    <w:rsid w:val="061C17FE"/>
    <w:rsid w:val="06293766"/>
    <w:rsid w:val="06364625"/>
    <w:rsid w:val="06B843C5"/>
    <w:rsid w:val="06EC3754"/>
    <w:rsid w:val="06F348C6"/>
    <w:rsid w:val="06F51849"/>
    <w:rsid w:val="07260533"/>
    <w:rsid w:val="08505D37"/>
    <w:rsid w:val="08B06CBC"/>
    <w:rsid w:val="09713415"/>
    <w:rsid w:val="0A200B7B"/>
    <w:rsid w:val="0A7E73DA"/>
    <w:rsid w:val="0AC97250"/>
    <w:rsid w:val="0B2C2B7C"/>
    <w:rsid w:val="0B420AE2"/>
    <w:rsid w:val="0BE40A94"/>
    <w:rsid w:val="0BFA1D66"/>
    <w:rsid w:val="0C1E2BA0"/>
    <w:rsid w:val="0C765CB2"/>
    <w:rsid w:val="0CFA78FF"/>
    <w:rsid w:val="0D075B79"/>
    <w:rsid w:val="0D7D13EF"/>
    <w:rsid w:val="0D8576B9"/>
    <w:rsid w:val="0E1F781C"/>
    <w:rsid w:val="0E970358"/>
    <w:rsid w:val="0EE45269"/>
    <w:rsid w:val="0EE52393"/>
    <w:rsid w:val="0EE54E5A"/>
    <w:rsid w:val="0F6A1A20"/>
    <w:rsid w:val="0F972F79"/>
    <w:rsid w:val="0FAE4E7B"/>
    <w:rsid w:val="0FD0632B"/>
    <w:rsid w:val="10093FC5"/>
    <w:rsid w:val="10392EAE"/>
    <w:rsid w:val="10646958"/>
    <w:rsid w:val="10706EC2"/>
    <w:rsid w:val="109F6B76"/>
    <w:rsid w:val="10D3404B"/>
    <w:rsid w:val="114E5D29"/>
    <w:rsid w:val="114F40BB"/>
    <w:rsid w:val="11E03243"/>
    <w:rsid w:val="11EF525A"/>
    <w:rsid w:val="120C1CC5"/>
    <w:rsid w:val="124503FC"/>
    <w:rsid w:val="127C0CA6"/>
    <w:rsid w:val="12807280"/>
    <w:rsid w:val="128E689D"/>
    <w:rsid w:val="129440E9"/>
    <w:rsid w:val="13546461"/>
    <w:rsid w:val="13636FCF"/>
    <w:rsid w:val="13936861"/>
    <w:rsid w:val="13FD1C1B"/>
    <w:rsid w:val="14490CA5"/>
    <w:rsid w:val="145713EB"/>
    <w:rsid w:val="147D0790"/>
    <w:rsid w:val="148463E6"/>
    <w:rsid w:val="148D4AB1"/>
    <w:rsid w:val="14A31221"/>
    <w:rsid w:val="14D20D9B"/>
    <w:rsid w:val="15086354"/>
    <w:rsid w:val="159C41BD"/>
    <w:rsid w:val="15A2564F"/>
    <w:rsid w:val="15A72BED"/>
    <w:rsid w:val="1621170E"/>
    <w:rsid w:val="16BF7198"/>
    <w:rsid w:val="16BF796D"/>
    <w:rsid w:val="16D818E3"/>
    <w:rsid w:val="174619BD"/>
    <w:rsid w:val="176A6744"/>
    <w:rsid w:val="18B91D2B"/>
    <w:rsid w:val="18C40414"/>
    <w:rsid w:val="18C62067"/>
    <w:rsid w:val="192A45C3"/>
    <w:rsid w:val="1935616A"/>
    <w:rsid w:val="193F5D85"/>
    <w:rsid w:val="19693E13"/>
    <w:rsid w:val="19B55BB8"/>
    <w:rsid w:val="19D16D8A"/>
    <w:rsid w:val="19FA6C13"/>
    <w:rsid w:val="1A6A6D44"/>
    <w:rsid w:val="1A6D331F"/>
    <w:rsid w:val="1A817123"/>
    <w:rsid w:val="1ACD5B6C"/>
    <w:rsid w:val="1AF63A1E"/>
    <w:rsid w:val="1B9969DF"/>
    <w:rsid w:val="1BDA2FBC"/>
    <w:rsid w:val="1C093ECB"/>
    <w:rsid w:val="1C1D644D"/>
    <w:rsid w:val="1C502B55"/>
    <w:rsid w:val="1C652823"/>
    <w:rsid w:val="1C71170A"/>
    <w:rsid w:val="1CE4433A"/>
    <w:rsid w:val="1CFF53CB"/>
    <w:rsid w:val="1D0A1321"/>
    <w:rsid w:val="1D6D5250"/>
    <w:rsid w:val="1D89079B"/>
    <w:rsid w:val="1DC62372"/>
    <w:rsid w:val="1DDC5A3C"/>
    <w:rsid w:val="1DE539F7"/>
    <w:rsid w:val="1E1E6F53"/>
    <w:rsid w:val="1EE84AA8"/>
    <w:rsid w:val="1EF6145A"/>
    <w:rsid w:val="1F6542F4"/>
    <w:rsid w:val="1F7550C2"/>
    <w:rsid w:val="1FBC0993"/>
    <w:rsid w:val="1FE67646"/>
    <w:rsid w:val="20623C58"/>
    <w:rsid w:val="20831C11"/>
    <w:rsid w:val="20B428CF"/>
    <w:rsid w:val="20D963A1"/>
    <w:rsid w:val="211E6D74"/>
    <w:rsid w:val="217211C5"/>
    <w:rsid w:val="21C47A14"/>
    <w:rsid w:val="2236615E"/>
    <w:rsid w:val="22556F69"/>
    <w:rsid w:val="225715A1"/>
    <w:rsid w:val="228447E5"/>
    <w:rsid w:val="22BB5608"/>
    <w:rsid w:val="23424F53"/>
    <w:rsid w:val="236E14E2"/>
    <w:rsid w:val="23AB029F"/>
    <w:rsid w:val="240808BA"/>
    <w:rsid w:val="24093984"/>
    <w:rsid w:val="24623DA4"/>
    <w:rsid w:val="2464177D"/>
    <w:rsid w:val="24E76928"/>
    <w:rsid w:val="25057870"/>
    <w:rsid w:val="25113937"/>
    <w:rsid w:val="255B7F1A"/>
    <w:rsid w:val="255F5162"/>
    <w:rsid w:val="25C95F4D"/>
    <w:rsid w:val="260B2FF2"/>
    <w:rsid w:val="26BE2809"/>
    <w:rsid w:val="26F5563E"/>
    <w:rsid w:val="26FB5993"/>
    <w:rsid w:val="27447783"/>
    <w:rsid w:val="2769687D"/>
    <w:rsid w:val="2798423C"/>
    <w:rsid w:val="29D148D0"/>
    <w:rsid w:val="2A3E3DF9"/>
    <w:rsid w:val="2A43565C"/>
    <w:rsid w:val="2AC803DC"/>
    <w:rsid w:val="2ACD0D4B"/>
    <w:rsid w:val="2AF418F0"/>
    <w:rsid w:val="2AFB68A2"/>
    <w:rsid w:val="2B14447A"/>
    <w:rsid w:val="2B1A09BB"/>
    <w:rsid w:val="2B2B50C6"/>
    <w:rsid w:val="2B362300"/>
    <w:rsid w:val="2B657F18"/>
    <w:rsid w:val="2B902755"/>
    <w:rsid w:val="2BB30714"/>
    <w:rsid w:val="2BC24A1B"/>
    <w:rsid w:val="2BCE11B4"/>
    <w:rsid w:val="2C776EE0"/>
    <w:rsid w:val="2D5044F0"/>
    <w:rsid w:val="2D61587D"/>
    <w:rsid w:val="2DEC5949"/>
    <w:rsid w:val="2DF5334F"/>
    <w:rsid w:val="2E334E31"/>
    <w:rsid w:val="2E9B35E2"/>
    <w:rsid w:val="2ED20301"/>
    <w:rsid w:val="2F9E10B4"/>
    <w:rsid w:val="2FA30C45"/>
    <w:rsid w:val="2FCE3214"/>
    <w:rsid w:val="2FF864E7"/>
    <w:rsid w:val="30143D85"/>
    <w:rsid w:val="305461C1"/>
    <w:rsid w:val="30603468"/>
    <w:rsid w:val="30887EF2"/>
    <w:rsid w:val="31734783"/>
    <w:rsid w:val="31752B09"/>
    <w:rsid w:val="323066D2"/>
    <w:rsid w:val="323853F3"/>
    <w:rsid w:val="324A05DB"/>
    <w:rsid w:val="328C4DF3"/>
    <w:rsid w:val="32A16455"/>
    <w:rsid w:val="33104185"/>
    <w:rsid w:val="336B2383"/>
    <w:rsid w:val="33762494"/>
    <w:rsid w:val="34125D6B"/>
    <w:rsid w:val="341548E3"/>
    <w:rsid w:val="34476D51"/>
    <w:rsid w:val="344C2DF3"/>
    <w:rsid w:val="34725022"/>
    <w:rsid w:val="34841780"/>
    <w:rsid w:val="34C56347"/>
    <w:rsid w:val="34FF0747"/>
    <w:rsid w:val="35000D96"/>
    <w:rsid w:val="359A1F3F"/>
    <w:rsid w:val="35E531B2"/>
    <w:rsid w:val="36333F5A"/>
    <w:rsid w:val="3648776F"/>
    <w:rsid w:val="36637EBD"/>
    <w:rsid w:val="36933729"/>
    <w:rsid w:val="36D500B5"/>
    <w:rsid w:val="370B23AB"/>
    <w:rsid w:val="37200D00"/>
    <w:rsid w:val="37621ECE"/>
    <w:rsid w:val="37663AEE"/>
    <w:rsid w:val="37712A39"/>
    <w:rsid w:val="37831A17"/>
    <w:rsid w:val="37CC1631"/>
    <w:rsid w:val="37CD2E69"/>
    <w:rsid w:val="38932B53"/>
    <w:rsid w:val="38A24236"/>
    <w:rsid w:val="38ED3F9D"/>
    <w:rsid w:val="39280784"/>
    <w:rsid w:val="394E0876"/>
    <w:rsid w:val="39761340"/>
    <w:rsid w:val="39E55D12"/>
    <w:rsid w:val="3AAF1BDA"/>
    <w:rsid w:val="3AB807D8"/>
    <w:rsid w:val="3AE50133"/>
    <w:rsid w:val="3AE636B8"/>
    <w:rsid w:val="3AF61231"/>
    <w:rsid w:val="3B345EA5"/>
    <w:rsid w:val="3B5F0CA0"/>
    <w:rsid w:val="3BE35465"/>
    <w:rsid w:val="3BE7779E"/>
    <w:rsid w:val="3BF20317"/>
    <w:rsid w:val="3C2356AF"/>
    <w:rsid w:val="3C834D58"/>
    <w:rsid w:val="3CAA65A9"/>
    <w:rsid w:val="3CC226A9"/>
    <w:rsid w:val="3CCC0B71"/>
    <w:rsid w:val="3D962EF2"/>
    <w:rsid w:val="3DB531EC"/>
    <w:rsid w:val="3DCC30CB"/>
    <w:rsid w:val="3E0D6740"/>
    <w:rsid w:val="3E394E0C"/>
    <w:rsid w:val="3E744678"/>
    <w:rsid w:val="3E7A7D45"/>
    <w:rsid w:val="3E7E033A"/>
    <w:rsid w:val="3EAB6F07"/>
    <w:rsid w:val="3EB04EF5"/>
    <w:rsid w:val="3EF55C06"/>
    <w:rsid w:val="3EFE63F7"/>
    <w:rsid w:val="3F731F4D"/>
    <w:rsid w:val="3F7C4432"/>
    <w:rsid w:val="3FD73B37"/>
    <w:rsid w:val="3FF14728"/>
    <w:rsid w:val="3FF1653A"/>
    <w:rsid w:val="40615E74"/>
    <w:rsid w:val="40AF6EFA"/>
    <w:rsid w:val="40BF6EB5"/>
    <w:rsid w:val="4131094E"/>
    <w:rsid w:val="41442AAE"/>
    <w:rsid w:val="414940CE"/>
    <w:rsid w:val="41C03AF8"/>
    <w:rsid w:val="41C93F46"/>
    <w:rsid w:val="421671F5"/>
    <w:rsid w:val="42324BF0"/>
    <w:rsid w:val="43036342"/>
    <w:rsid w:val="432B139E"/>
    <w:rsid w:val="433C63C3"/>
    <w:rsid w:val="43894FCF"/>
    <w:rsid w:val="43C024AB"/>
    <w:rsid w:val="43D2500C"/>
    <w:rsid w:val="43FF65D9"/>
    <w:rsid w:val="44010B62"/>
    <w:rsid w:val="443C255B"/>
    <w:rsid w:val="445B2D4C"/>
    <w:rsid w:val="447B10FE"/>
    <w:rsid w:val="447C24FE"/>
    <w:rsid w:val="447C7AED"/>
    <w:rsid w:val="44A96C81"/>
    <w:rsid w:val="44B71862"/>
    <w:rsid w:val="44D95148"/>
    <w:rsid w:val="44DA2976"/>
    <w:rsid w:val="4563730C"/>
    <w:rsid w:val="45F0696C"/>
    <w:rsid w:val="4622438D"/>
    <w:rsid w:val="4736526E"/>
    <w:rsid w:val="4753564B"/>
    <w:rsid w:val="47E629E2"/>
    <w:rsid w:val="480C62D5"/>
    <w:rsid w:val="484212CB"/>
    <w:rsid w:val="48625C43"/>
    <w:rsid w:val="48694FA0"/>
    <w:rsid w:val="488E768B"/>
    <w:rsid w:val="489D7366"/>
    <w:rsid w:val="48BA6C5A"/>
    <w:rsid w:val="48BB582D"/>
    <w:rsid w:val="48EB1D78"/>
    <w:rsid w:val="491633CD"/>
    <w:rsid w:val="495F7D2E"/>
    <w:rsid w:val="498F622E"/>
    <w:rsid w:val="49B241EB"/>
    <w:rsid w:val="49CC5F9C"/>
    <w:rsid w:val="49F41D5E"/>
    <w:rsid w:val="4A13644C"/>
    <w:rsid w:val="4A325E82"/>
    <w:rsid w:val="4AA0530C"/>
    <w:rsid w:val="4AAF46FD"/>
    <w:rsid w:val="4AB6441D"/>
    <w:rsid w:val="4ADA01C5"/>
    <w:rsid w:val="4B1E31F7"/>
    <w:rsid w:val="4B533C05"/>
    <w:rsid w:val="4B9B2B3F"/>
    <w:rsid w:val="4BBF0F5D"/>
    <w:rsid w:val="4BCB3573"/>
    <w:rsid w:val="4CAF4277"/>
    <w:rsid w:val="4CB16394"/>
    <w:rsid w:val="4CC103F7"/>
    <w:rsid w:val="4CE75373"/>
    <w:rsid w:val="4D105682"/>
    <w:rsid w:val="4D2D7818"/>
    <w:rsid w:val="4DBC54C9"/>
    <w:rsid w:val="4DE22754"/>
    <w:rsid w:val="4E3A0519"/>
    <w:rsid w:val="4E656969"/>
    <w:rsid w:val="4EA97723"/>
    <w:rsid w:val="4EC70E66"/>
    <w:rsid w:val="4EDF54B5"/>
    <w:rsid w:val="4FD71D64"/>
    <w:rsid w:val="4FFF38AE"/>
    <w:rsid w:val="50136BDE"/>
    <w:rsid w:val="50263BE9"/>
    <w:rsid w:val="50400BF6"/>
    <w:rsid w:val="50B94F2C"/>
    <w:rsid w:val="50F0582A"/>
    <w:rsid w:val="50F57A6E"/>
    <w:rsid w:val="51707B49"/>
    <w:rsid w:val="51A7715F"/>
    <w:rsid w:val="51B1064A"/>
    <w:rsid w:val="520B3852"/>
    <w:rsid w:val="521B4E34"/>
    <w:rsid w:val="52DA2233"/>
    <w:rsid w:val="531541D9"/>
    <w:rsid w:val="53E1102E"/>
    <w:rsid w:val="53ED28CC"/>
    <w:rsid w:val="54157B14"/>
    <w:rsid w:val="545E35F5"/>
    <w:rsid w:val="546A1869"/>
    <w:rsid w:val="547846DC"/>
    <w:rsid w:val="549855E2"/>
    <w:rsid w:val="551579D9"/>
    <w:rsid w:val="551F08C3"/>
    <w:rsid w:val="55770053"/>
    <w:rsid w:val="55C77B84"/>
    <w:rsid w:val="566D4B95"/>
    <w:rsid w:val="567C0D51"/>
    <w:rsid w:val="572656D4"/>
    <w:rsid w:val="57616FF6"/>
    <w:rsid w:val="57651379"/>
    <w:rsid w:val="57780353"/>
    <w:rsid w:val="578D035B"/>
    <w:rsid w:val="579105B6"/>
    <w:rsid w:val="57B9623A"/>
    <w:rsid w:val="580D51F7"/>
    <w:rsid w:val="58573E31"/>
    <w:rsid w:val="58664A9E"/>
    <w:rsid w:val="5903310E"/>
    <w:rsid w:val="59050A31"/>
    <w:rsid w:val="59A059CB"/>
    <w:rsid w:val="59AD06A4"/>
    <w:rsid w:val="59AE2A43"/>
    <w:rsid w:val="59D70A4F"/>
    <w:rsid w:val="5A4D586D"/>
    <w:rsid w:val="5A6249B0"/>
    <w:rsid w:val="5A8606D0"/>
    <w:rsid w:val="5A960EAB"/>
    <w:rsid w:val="5AF641B2"/>
    <w:rsid w:val="5B0C2EBA"/>
    <w:rsid w:val="5B6F4A80"/>
    <w:rsid w:val="5B7439C9"/>
    <w:rsid w:val="5BD36737"/>
    <w:rsid w:val="5BD70632"/>
    <w:rsid w:val="5BEF2875"/>
    <w:rsid w:val="5C797026"/>
    <w:rsid w:val="5CC25D8E"/>
    <w:rsid w:val="5CCE4445"/>
    <w:rsid w:val="5CD2262C"/>
    <w:rsid w:val="5D4E3FA5"/>
    <w:rsid w:val="5D7F0B1D"/>
    <w:rsid w:val="5D7F3676"/>
    <w:rsid w:val="5DAC3F22"/>
    <w:rsid w:val="5E001F43"/>
    <w:rsid w:val="5E71670A"/>
    <w:rsid w:val="5EA210D8"/>
    <w:rsid w:val="5EDF3CD6"/>
    <w:rsid w:val="5EE84C68"/>
    <w:rsid w:val="5F1910B9"/>
    <w:rsid w:val="5F285855"/>
    <w:rsid w:val="5F2C4331"/>
    <w:rsid w:val="5F357D99"/>
    <w:rsid w:val="5F75144C"/>
    <w:rsid w:val="5F7E5731"/>
    <w:rsid w:val="5F9677A5"/>
    <w:rsid w:val="5FAD59C4"/>
    <w:rsid w:val="5FB213EA"/>
    <w:rsid w:val="5FD1342A"/>
    <w:rsid w:val="5FE3043E"/>
    <w:rsid w:val="60927D0B"/>
    <w:rsid w:val="61422EA1"/>
    <w:rsid w:val="61E91B05"/>
    <w:rsid w:val="61F11111"/>
    <w:rsid w:val="621D5BA4"/>
    <w:rsid w:val="62616A1D"/>
    <w:rsid w:val="635B6748"/>
    <w:rsid w:val="63947A95"/>
    <w:rsid w:val="63A26906"/>
    <w:rsid w:val="63AD43A2"/>
    <w:rsid w:val="63C714BF"/>
    <w:rsid w:val="63E90322"/>
    <w:rsid w:val="641B1986"/>
    <w:rsid w:val="646622C5"/>
    <w:rsid w:val="65306571"/>
    <w:rsid w:val="6557284E"/>
    <w:rsid w:val="65927993"/>
    <w:rsid w:val="65AA5795"/>
    <w:rsid w:val="65C92FEA"/>
    <w:rsid w:val="65CE46E6"/>
    <w:rsid w:val="65D84B96"/>
    <w:rsid w:val="66020836"/>
    <w:rsid w:val="665651F8"/>
    <w:rsid w:val="666B6678"/>
    <w:rsid w:val="66943411"/>
    <w:rsid w:val="66A108CB"/>
    <w:rsid w:val="671F6C89"/>
    <w:rsid w:val="677744AA"/>
    <w:rsid w:val="67B167D1"/>
    <w:rsid w:val="67BB7ACC"/>
    <w:rsid w:val="67C1070A"/>
    <w:rsid w:val="67C16058"/>
    <w:rsid w:val="67C8546A"/>
    <w:rsid w:val="68147595"/>
    <w:rsid w:val="6844766A"/>
    <w:rsid w:val="685F1C50"/>
    <w:rsid w:val="689F4646"/>
    <w:rsid w:val="68CA3EEA"/>
    <w:rsid w:val="68DE7E55"/>
    <w:rsid w:val="699022E9"/>
    <w:rsid w:val="69996604"/>
    <w:rsid w:val="69B94C0E"/>
    <w:rsid w:val="69C72C9E"/>
    <w:rsid w:val="69D247C7"/>
    <w:rsid w:val="6A1231B1"/>
    <w:rsid w:val="6A2A15CC"/>
    <w:rsid w:val="6A714498"/>
    <w:rsid w:val="6A8E0ABC"/>
    <w:rsid w:val="6AA36131"/>
    <w:rsid w:val="6B4646A6"/>
    <w:rsid w:val="6B4C6CF4"/>
    <w:rsid w:val="6BAA31DE"/>
    <w:rsid w:val="6BAE0F48"/>
    <w:rsid w:val="6BD23216"/>
    <w:rsid w:val="6BEC38A4"/>
    <w:rsid w:val="6BFB6E2A"/>
    <w:rsid w:val="6C523D39"/>
    <w:rsid w:val="6C58188C"/>
    <w:rsid w:val="6CBE247C"/>
    <w:rsid w:val="6D33687C"/>
    <w:rsid w:val="6D6467B2"/>
    <w:rsid w:val="6D7871A6"/>
    <w:rsid w:val="6DA04EE5"/>
    <w:rsid w:val="6DCD2F33"/>
    <w:rsid w:val="6E601F01"/>
    <w:rsid w:val="6E8D0D3D"/>
    <w:rsid w:val="6F03756C"/>
    <w:rsid w:val="6F3510C4"/>
    <w:rsid w:val="6F3E3D9B"/>
    <w:rsid w:val="6FC634EE"/>
    <w:rsid w:val="6FDE7453"/>
    <w:rsid w:val="70304D45"/>
    <w:rsid w:val="70345B2D"/>
    <w:rsid w:val="7065082F"/>
    <w:rsid w:val="707F5C84"/>
    <w:rsid w:val="70913F9E"/>
    <w:rsid w:val="709D04F4"/>
    <w:rsid w:val="70D44E46"/>
    <w:rsid w:val="70ED402C"/>
    <w:rsid w:val="713F2A8A"/>
    <w:rsid w:val="714375FF"/>
    <w:rsid w:val="71600CA6"/>
    <w:rsid w:val="72532F78"/>
    <w:rsid w:val="72A27523"/>
    <w:rsid w:val="73657593"/>
    <w:rsid w:val="737C0DB1"/>
    <w:rsid w:val="73AD6A5C"/>
    <w:rsid w:val="745919C6"/>
    <w:rsid w:val="74702A9A"/>
    <w:rsid w:val="74883655"/>
    <w:rsid w:val="748A309D"/>
    <w:rsid w:val="74E92E35"/>
    <w:rsid w:val="74ED462C"/>
    <w:rsid w:val="752743F5"/>
    <w:rsid w:val="75B14EE1"/>
    <w:rsid w:val="75D869F6"/>
    <w:rsid w:val="75DF4163"/>
    <w:rsid w:val="75F378C9"/>
    <w:rsid w:val="761C2BBB"/>
    <w:rsid w:val="76A3778E"/>
    <w:rsid w:val="76BD5CD9"/>
    <w:rsid w:val="772467C0"/>
    <w:rsid w:val="776038A8"/>
    <w:rsid w:val="776A1DE8"/>
    <w:rsid w:val="778F2F6E"/>
    <w:rsid w:val="77AE550D"/>
    <w:rsid w:val="780D64CD"/>
    <w:rsid w:val="785D00CA"/>
    <w:rsid w:val="78A53944"/>
    <w:rsid w:val="78CD06B7"/>
    <w:rsid w:val="79330E06"/>
    <w:rsid w:val="795804BC"/>
    <w:rsid w:val="79635820"/>
    <w:rsid w:val="79D03D4B"/>
    <w:rsid w:val="79DA30F6"/>
    <w:rsid w:val="7A156DB0"/>
    <w:rsid w:val="7A6C197B"/>
    <w:rsid w:val="7AE25B62"/>
    <w:rsid w:val="7B0013DB"/>
    <w:rsid w:val="7B73169F"/>
    <w:rsid w:val="7BA91BA6"/>
    <w:rsid w:val="7BC17E60"/>
    <w:rsid w:val="7C264ADD"/>
    <w:rsid w:val="7C927B30"/>
    <w:rsid w:val="7C931089"/>
    <w:rsid w:val="7C9311E1"/>
    <w:rsid w:val="7CAE365B"/>
    <w:rsid w:val="7D2D0B46"/>
    <w:rsid w:val="7D426594"/>
    <w:rsid w:val="7D4A5A41"/>
    <w:rsid w:val="7D503F42"/>
    <w:rsid w:val="7D6E5BA2"/>
    <w:rsid w:val="7DBB772D"/>
    <w:rsid w:val="7DDD6CEA"/>
    <w:rsid w:val="7E1C1241"/>
    <w:rsid w:val="7E1C1443"/>
    <w:rsid w:val="7E242E7A"/>
    <w:rsid w:val="7E251DE7"/>
    <w:rsid w:val="7E305AAE"/>
    <w:rsid w:val="7E4308E9"/>
    <w:rsid w:val="7E636E14"/>
    <w:rsid w:val="7F33321A"/>
    <w:rsid w:val="7F361298"/>
    <w:rsid w:val="7F437B5A"/>
    <w:rsid w:val="7F664B03"/>
    <w:rsid w:val="7F8E0716"/>
    <w:rsid w:val="7FD428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qFormat="1" w:uiPriority="99" w:semiHidden="0" w:name="page number"/>
    <w:lsdException w:uiPriority="0" w:name="endnote reference"/>
    <w:lsdException w:uiPriority="0" w:name="endnote text"/>
    <w:lsdException w:qFormat="1"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iPriority="99" w:semiHidden="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99" w:semiHidden="0" w:name="Body Text First Indent"/>
    <w:lsdException w:qFormat="1" w:unhideWhenUsed="0" w:uiPriority="0" w:semiHidden="0" w:name="Body Text First Indent 2"/>
    <w:lsdException w:uiPriority="0" w:name="Note Heading"/>
    <w:lsdException w:qFormat="1" w:uiPriority="99" w:name="Body Text 2"/>
    <w:lsdException w:uiPriority="0" w:name="Body Text 3"/>
    <w:lsdException w:qFormat="1" w:uiPriority="99"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8"/>
    <w:autoRedefine/>
    <w:qFormat/>
    <w:uiPriority w:val="99"/>
    <w:pPr>
      <w:keepNext/>
      <w:keepLines/>
      <w:spacing w:line="578" w:lineRule="auto"/>
      <w:ind w:left="425" w:hanging="425"/>
      <w:outlineLvl w:val="0"/>
    </w:pPr>
    <w:rPr>
      <w:rFonts w:ascii="宋体" w:hAnsi="宋体" w:cs="宋体"/>
      <w:b/>
      <w:bCs/>
      <w:kern w:val="44"/>
      <w:sz w:val="44"/>
      <w:szCs w:val="44"/>
    </w:rPr>
  </w:style>
  <w:style w:type="paragraph" w:styleId="4">
    <w:name w:val="heading 2"/>
    <w:basedOn w:val="1"/>
    <w:next w:val="1"/>
    <w:link w:val="96"/>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97"/>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99"/>
    <w:autoRedefine/>
    <w:unhideWhenUsed/>
    <w:qFormat/>
    <w:uiPriority w:val="9"/>
    <w:pPr>
      <w:keepNext/>
      <w:keepLines/>
      <w:spacing w:line="376" w:lineRule="auto"/>
      <w:ind w:left="2125" w:hanging="425"/>
      <w:outlineLvl w:val="4"/>
    </w:pPr>
    <w:rPr>
      <w:rFonts w:ascii="宋体" w:hAnsi="宋体" w:cs="宋体"/>
      <w:b/>
      <w:bCs/>
      <w:kern w:val="0"/>
      <w:sz w:val="28"/>
      <w:szCs w:val="28"/>
    </w:rPr>
  </w:style>
  <w:style w:type="paragraph" w:styleId="8">
    <w:name w:val="heading 6"/>
    <w:basedOn w:val="1"/>
    <w:next w:val="1"/>
    <w:link w:val="100"/>
    <w:autoRedefine/>
    <w:unhideWhenUsed/>
    <w:qFormat/>
    <w:uiPriority w:val="9"/>
    <w:pPr>
      <w:keepNext/>
      <w:keepLines/>
      <w:spacing w:line="320" w:lineRule="auto"/>
      <w:ind w:left="2550" w:hanging="425"/>
      <w:outlineLvl w:val="5"/>
    </w:pPr>
    <w:rPr>
      <w:rFonts w:asciiTheme="majorHAnsi" w:hAnsiTheme="majorHAnsi" w:cstheme="majorBidi"/>
      <w:b/>
      <w:bCs/>
      <w:kern w:val="0"/>
      <w:sz w:val="24"/>
    </w:rPr>
  </w:style>
  <w:style w:type="paragraph" w:styleId="9">
    <w:name w:val="heading 7"/>
    <w:basedOn w:val="1"/>
    <w:next w:val="1"/>
    <w:link w:val="101"/>
    <w:autoRedefine/>
    <w:unhideWhenUsed/>
    <w:qFormat/>
    <w:uiPriority w:val="9"/>
    <w:pPr>
      <w:keepNext/>
      <w:keepLines/>
      <w:spacing w:line="320" w:lineRule="auto"/>
      <w:ind w:left="2975" w:hanging="425"/>
      <w:outlineLvl w:val="6"/>
    </w:pPr>
    <w:rPr>
      <w:rFonts w:ascii="宋体" w:hAnsi="宋体" w:cs="宋体"/>
      <w:b/>
      <w:bCs/>
      <w:kern w:val="0"/>
      <w:sz w:val="24"/>
    </w:rPr>
  </w:style>
  <w:style w:type="paragraph" w:styleId="10">
    <w:name w:val="heading 8"/>
    <w:basedOn w:val="1"/>
    <w:next w:val="1"/>
    <w:link w:val="102"/>
    <w:autoRedefine/>
    <w:unhideWhenUsed/>
    <w:qFormat/>
    <w:uiPriority w:val="9"/>
    <w:pPr>
      <w:keepNext/>
      <w:keepLines/>
      <w:spacing w:line="320" w:lineRule="auto"/>
      <w:ind w:left="3400" w:hanging="425"/>
      <w:outlineLvl w:val="7"/>
    </w:pPr>
    <w:rPr>
      <w:rFonts w:asciiTheme="majorHAnsi" w:hAnsiTheme="majorHAnsi" w:cstheme="majorBidi"/>
      <w:b/>
      <w:kern w:val="0"/>
      <w:sz w:val="24"/>
    </w:rPr>
  </w:style>
  <w:style w:type="paragraph" w:styleId="11">
    <w:name w:val="heading 9"/>
    <w:basedOn w:val="1"/>
    <w:next w:val="1"/>
    <w:link w:val="103"/>
    <w:autoRedefine/>
    <w:unhideWhenUsed/>
    <w:qFormat/>
    <w:uiPriority w:val="9"/>
    <w:pPr>
      <w:keepNext/>
      <w:keepLines/>
      <w:spacing w:line="320" w:lineRule="auto"/>
      <w:ind w:left="3825" w:hanging="425"/>
      <w:outlineLvl w:val="8"/>
    </w:pPr>
    <w:rPr>
      <w:rFonts w:asciiTheme="majorHAnsi" w:hAnsiTheme="majorHAnsi" w:cstheme="majorBidi"/>
      <w:b/>
      <w:kern w:val="0"/>
      <w:sz w:val="24"/>
      <w:szCs w:val="21"/>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12">
    <w:name w:val="toc 7"/>
    <w:basedOn w:val="1"/>
    <w:next w:val="1"/>
    <w:autoRedefine/>
    <w:unhideWhenUsed/>
    <w:qFormat/>
    <w:uiPriority w:val="39"/>
    <w:pPr>
      <w:widowControl/>
      <w:ind w:left="2520" w:leftChars="1200"/>
      <w:jc w:val="left"/>
    </w:pPr>
    <w:rPr>
      <w:rFonts w:ascii="宋体" w:hAnsi="宋体" w:cs="宋体"/>
      <w:kern w:val="0"/>
      <w:sz w:val="24"/>
    </w:rPr>
  </w:style>
  <w:style w:type="paragraph" w:styleId="13">
    <w:name w:val="table of authorities"/>
    <w:basedOn w:val="1"/>
    <w:next w:val="1"/>
    <w:autoRedefine/>
    <w:qFormat/>
    <w:uiPriority w:val="0"/>
    <w:pPr>
      <w:ind w:left="420" w:leftChars="200"/>
    </w:pPr>
  </w:style>
  <w:style w:type="paragraph" w:styleId="14">
    <w:name w:val="List Number"/>
    <w:basedOn w:val="1"/>
    <w:autoRedefine/>
    <w:qFormat/>
    <w:uiPriority w:val="0"/>
    <w:pPr>
      <w:numPr>
        <w:ilvl w:val="0"/>
        <w:numId w:val="1"/>
      </w:numPr>
    </w:pPr>
  </w:style>
  <w:style w:type="paragraph" w:styleId="15">
    <w:name w:val="Normal Indent"/>
    <w:basedOn w:val="1"/>
    <w:next w:val="1"/>
    <w:autoRedefine/>
    <w:qFormat/>
    <w:uiPriority w:val="0"/>
    <w:pPr>
      <w:ind w:firstLine="420"/>
    </w:pPr>
    <w:rPr>
      <w:szCs w:val="20"/>
    </w:rPr>
  </w:style>
  <w:style w:type="paragraph" w:styleId="16">
    <w:name w:val="caption"/>
    <w:basedOn w:val="1"/>
    <w:next w:val="1"/>
    <w:link w:val="411"/>
    <w:autoRedefine/>
    <w:unhideWhenUsed/>
    <w:qFormat/>
    <w:uiPriority w:val="35"/>
    <w:pPr>
      <w:numPr>
        <w:ilvl w:val="0"/>
        <w:numId w:val="2"/>
      </w:numPr>
      <w:spacing w:line="360" w:lineRule="auto"/>
      <w:ind w:firstLine="0"/>
      <w:jc w:val="center"/>
    </w:pPr>
    <w:rPr>
      <w:rFonts w:ascii="Arial Unicode MS" w:hAnsi="Arial Unicode MS" w:cs="宋体"/>
      <w:kern w:val="0"/>
      <w:sz w:val="24"/>
      <w:szCs w:val="20"/>
    </w:rPr>
  </w:style>
  <w:style w:type="paragraph" w:styleId="17">
    <w:name w:val="Document Map"/>
    <w:basedOn w:val="1"/>
    <w:link w:val="105"/>
    <w:autoRedefine/>
    <w:unhideWhenUsed/>
    <w:qFormat/>
    <w:uiPriority w:val="99"/>
    <w:pPr>
      <w:widowControl/>
      <w:jc w:val="left"/>
    </w:pPr>
    <w:rPr>
      <w:rFonts w:ascii="宋体" w:hAnsi="宋体" w:cs="宋体"/>
      <w:kern w:val="0"/>
      <w:sz w:val="18"/>
      <w:szCs w:val="18"/>
    </w:rPr>
  </w:style>
  <w:style w:type="paragraph" w:styleId="18">
    <w:name w:val="toa heading"/>
    <w:basedOn w:val="1"/>
    <w:next w:val="1"/>
    <w:autoRedefine/>
    <w:qFormat/>
    <w:uiPriority w:val="0"/>
    <w:pPr>
      <w:spacing w:before="120"/>
    </w:pPr>
    <w:rPr>
      <w:rFonts w:ascii="Arial" w:hAnsi="Arial"/>
      <w:sz w:val="24"/>
    </w:rPr>
  </w:style>
  <w:style w:type="paragraph" w:styleId="19">
    <w:name w:val="annotation text"/>
    <w:basedOn w:val="1"/>
    <w:link w:val="80"/>
    <w:autoRedefine/>
    <w:qFormat/>
    <w:uiPriority w:val="0"/>
    <w:pPr>
      <w:jc w:val="left"/>
    </w:pPr>
  </w:style>
  <w:style w:type="paragraph" w:styleId="20">
    <w:name w:val="Closing"/>
    <w:basedOn w:val="1"/>
    <w:autoRedefine/>
    <w:unhideWhenUsed/>
    <w:qFormat/>
    <w:uiPriority w:val="99"/>
    <w:pPr>
      <w:ind w:left="4320"/>
    </w:pPr>
    <w:rPr>
      <w:rFonts w:ascii="宋体"/>
    </w:rPr>
  </w:style>
  <w:style w:type="paragraph" w:styleId="21">
    <w:name w:val="Body Text"/>
    <w:basedOn w:val="1"/>
    <w:next w:val="22"/>
    <w:link w:val="111"/>
    <w:autoRedefine/>
    <w:qFormat/>
    <w:uiPriority w:val="99"/>
    <w:pPr>
      <w:spacing w:line="360" w:lineRule="exact"/>
    </w:pPr>
    <w:rPr>
      <w:sz w:val="24"/>
    </w:rPr>
  </w:style>
  <w:style w:type="paragraph" w:styleId="22">
    <w:name w:val="Body Text First Indent"/>
    <w:basedOn w:val="21"/>
    <w:next w:val="1"/>
    <w:link w:val="112"/>
    <w:autoRedefine/>
    <w:unhideWhenUsed/>
    <w:qFormat/>
    <w:uiPriority w:val="99"/>
    <w:pPr>
      <w:widowControl/>
      <w:spacing w:after="120" w:line="240" w:lineRule="auto"/>
      <w:ind w:firstLine="420" w:firstLineChars="100"/>
      <w:jc w:val="left"/>
    </w:pPr>
    <w:rPr>
      <w:color w:val="000000"/>
      <w:spacing w:val="12"/>
      <w:kern w:val="0"/>
      <w:sz w:val="28"/>
      <w:szCs w:val="20"/>
    </w:rPr>
  </w:style>
  <w:style w:type="paragraph" w:styleId="23">
    <w:name w:val="Body Text Indent"/>
    <w:basedOn w:val="1"/>
    <w:next w:val="1"/>
    <w:link w:val="83"/>
    <w:autoRedefine/>
    <w:qFormat/>
    <w:uiPriority w:val="0"/>
    <w:pPr>
      <w:spacing w:after="120"/>
      <w:ind w:left="420" w:leftChars="200"/>
    </w:pPr>
  </w:style>
  <w:style w:type="paragraph" w:styleId="24">
    <w:name w:val="index 4"/>
    <w:basedOn w:val="1"/>
    <w:next w:val="1"/>
    <w:autoRedefine/>
    <w:unhideWhenUsed/>
    <w:qFormat/>
    <w:uiPriority w:val="99"/>
    <w:pPr>
      <w:ind w:left="600" w:leftChars="600"/>
    </w:pPr>
    <w:rPr>
      <w:rFonts w:ascii="Verdana" w:hAnsi="Verdana"/>
      <w:szCs w:val="20"/>
    </w:rPr>
  </w:style>
  <w:style w:type="paragraph" w:styleId="25">
    <w:name w:val="toc 5"/>
    <w:basedOn w:val="1"/>
    <w:next w:val="1"/>
    <w:autoRedefine/>
    <w:unhideWhenUsed/>
    <w:qFormat/>
    <w:uiPriority w:val="39"/>
    <w:pPr>
      <w:widowControl/>
      <w:ind w:left="1680" w:leftChars="800"/>
      <w:jc w:val="left"/>
    </w:pPr>
    <w:rPr>
      <w:rFonts w:ascii="宋体" w:hAnsi="宋体" w:cs="宋体"/>
      <w:kern w:val="0"/>
      <w:sz w:val="24"/>
    </w:rPr>
  </w:style>
  <w:style w:type="paragraph" w:styleId="26">
    <w:name w:val="toc 3"/>
    <w:basedOn w:val="1"/>
    <w:next w:val="1"/>
    <w:autoRedefine/>
    <w:unhideWhenUsed/>
    <w:qFormat/>
    <w:uiPriority w:val="39"/>
    <w:pPr>
      <w:widowControl/>
      <w:spacing w:line="360" w:lineRule="auto"/>
      <w:ind w:firstLine="400" w:firstLineChars="400"/>
      <w:jc w:val="left"/>
    </w:pPr>
    <w:rPr>
      <w:rFonts w:cs="宋体"/>
      <w:kern w:val="0"/>
      <w:sz w:val="24"/>
    </w:rPr>
  </w:style>
  <w:style w:type="paragraph" w:styleId="27">
    <w:name w:val="Plain Text"/>
    <w:basedOn w:val="1"/>
    <w:next w:val="28"/>
    <w:link w:val="87"/>
    <w:autoRedefine/>
    <w:qFormat/>
    <w:uiPriority w:val="0"/>
    <w:rPr>
      <w:rFonts w:ascii="宋体" w:hAnsi="Courier New" w:cstheme="minorBidi"/>
    </w:rPr>
  </w:style>
  <w:style w:type="paragraph" w:styleId="28">
    <w:name w:val="Date"/>
    <w:basedOn w:val="1"/>
    <w:next w:val="1"/>
    <w:link w:val="413"/>
    <w:autoRedefine/>
    <w:qFormat/>
    <w:uiPriority w:val="99"/>
    <w:pPr>
      <w:ind w:left="2500" w:leftChars="2500"/>
    </w:pPr>
    <w:rPr>
      <w:rFonts w:eastAsia="楷体_GB2312" w:asciiTheme="minorHAnsi" w:hAnsiTheme="minorHAnsi" w:cstheme="minorBidi"/>
      <w:sz w:val="32"/>
      <w:szCs w:val="22"/>
    </w:rPr>
  </w:style>
  <w:style w:type="paragraph" w:styleId="29">
    <w:name w:val="toc 8"/>
    <w:basedOn w:val="1"/>
    <w:next w:val="1"/>
    <w:autoRedefine/>
    <w:unhideWhenUsed/>
    <w:qFormat/>
    <w:uiPriority w:val="39"/>
    <w:pPr>
      <w:widowControl/>
      <w:ind w:left="2940" w:leftChars="1400"/>
      <w:jc w:val="left"/>
    </w:pPr>
    <w:rPr>
      <w:rFonts w:ascii="宋体" w:hAnsi="宋体" w:cs="宋体"/>
      <w:kern w:val="0"/>
      <w:sz w:val="24"/>
    </w:rPr>
  </w:style>
  <w:style w:type="paragraph" w:styleId="30">
    <w:name w:val="Body Text Indent 2"/>
    <w:basedOn w:val="1"/>
    <w:link w:val="107"/>
    <w:autoRedefine/>
    <w:unhideWhenUsed/>
    <w:qFormat/>
    <w:uiPriority w:val="99"/>
    <w:pPr>
      <w:widowControl/>
      <w:spacing w:after="120" w:line="480" w:lineRule="auto"/>
      <w:ind w:left="420" w:leftChars="200"/>
      <w:jc w:val="left"/>
    </w:pPr>
    <w:rPr>
      <w:rFonts w:ascii="宋体" w:hAnsi="宋体" w:cs="宋体"/>
      <w:kern w:val="0"/>
      <w:sz w:val="24"/>
    </w:rPr>
  </w:style>
  <w:style w:type="paragraph" w:styleId="31">
    <w:name w:val="Balloon Text"/>
    <w:basedOn w:val="1"/>
    <w:link w:val="82"/>
    <w:autoRedefine/>
    <w:qFormat/>
    <w:uiPriority w:val="99"/>
    <w:rPr>
      <w:sz w:val="18"/>
      <w:szCs w:val="18"/>
    </w:rPr>
  </w:style>
  <w:style w:type="paragraph" w:styleId="32">
    <w:name w:val="footer"/>
    <w:basedOn w:val="1"/>
    <w:link w:val="108"/>
    <w:autoRedefine/>
    <w:qFormat/>
    <w:uiPriority w:val="99"/>
    <w:pPr>
      <w:tabs>
        <w:tab w:val="center" w:pos="4153"/>
        <w:tab w:val="right" w:pos="8306"/>
      </w:tabs>
      <w:snapToGrid w:val="0"/>
      <w:jc w:val="left"/>
    </w:pPr>
    <w:rPr>
      <w:sz w:val="18"/>
    </w:rPr>
  </w:style>
  <w:style w:type="paragraph" w:styleId="33">
    <w:name w:val="header"/>
    <w:basedOn w:val="1"/>
    <w:link w:val="109"/>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4">
    <w:name w:val="toc 1"/>
    <w:basedOn w:val="1"/>
    <w:next w:val="1"/>
    <w:autoRedefine/>
    <w:unhideWhenUsed/>
    <w:qFormat/>
    <w:uiPriority w:val="39"/>
    <w:pPr>
      <w:widowControl/>
      <w:jc w:val="left"/>
    </w:pPr>
    <w:rPr>
      <w:rFonts w:cs="宋体"/>
      <w:b/>
      <w:color w:val="000000" w:themeColor="text1"/>
      <w:kern w:val="0"/>
      <w:sz w:val="28"/>
      <w14:textFill>
        <w14:solidFill>
          <w14:schemeClr w14:val="tx1"/>
        </w14:solidFill>
      </w14:textFill>
    </w:rPr>
  </w:style>
  <w:style w:type="paragraph" w:styleId="35">
    <w:name w:val="toc 4"/>
    <w:basedOn w:val="1"/>
    <w:next w:val="1"/>
    <w:autoRedefine/>
    <w:unhideWhenUsed/>
    <w:qFormat/>
    <w:uiPriority w:val="39"/>
    <w:pPr>
      <w:widowControl/>
      <w:ind w:left="1260" w:leftChars="600"/>
      <w:jc w:val="left"/>
    </w:pPr>
    <w:rPr>
      <w:rFonts w:ascii="宋体" w:hAnsi="宋体" w:cs="宋体"/>
      <w:kern w:val="0"/>
      <w:sz w:val="24"/>
    </w:rPr>
  </w:style>
  <w:style w:type="paragraph" w:styleId="36">
    <w:name w:val="List"/>
    <w:basedOn w:val="1"/>
    <w:autoRedefine/>
    <w:qFormat/>
    <w:uiPriority w:val="0"/>
    <w:pPr>
      <w:ind w:left="200" w:hanging="200" w:hangingChars="200"/>
    </w:pPr>
  </w:style>
  <w:style w:type="paragraph" w:styleId="37">
    <w:name w:val="footnote text"/>
    <w:basedOn w:val="1"/>
    <w:link w:val="110"/>
    <w:autoRedefine/>
    <w:unhideWhenUsed/>
    <w:qFormat/>
    <w:uiPriority w:val="99"/>
    <w:pPr>
      <w:widowControl/>
      <w:snapToGrid w:val="0"/>
      <w:jc w:val="left"/>
    </w:pPr>
    <w:rPr>
      <w:rFonts w:ascii="宋体" w:hAnsi="宋体" w:cs="宋体"/>
      <w:kern w:val="0"/>
      <w:sz w:val="18"/>
      <w:szCs w:val="18"/>
    </w:rPr>
  </w:style>
  <w:style w:type="paragraph" w:styleId="38">
    <w:name w:val="toc 6"/>
    <w:basedOn w:val="1"/>
    <w:next w:val="1"/>
    <w:autoRedefine/>
    <w:unhideWhenUsed/>
    <w:qFormat/>
    <w:uiPriority w:val="39"/>
    <w:pPr>
      <w:widowControl/>
      <w:ind w:left="2100" w:leftChars="1000"/>
      <w:jc w:val="left"/>
    </w:pPr>
    <w:rPr>
      <w:rFonts w:ascii="宋体" w:hAnsi="宋体" w:cs="宋体"/>
      <w:kern w:val="0"/>
      <w:sz w:val="24"/>
    </w:rPr>
  </w:style>
  <w:style w:type="paragraph" w:styleId="39">
    <w:name w:val="Body Text Indent 3"/>
    <w:basedOn w:val="1"/>
    <w:autoRedefine/>
    <w:qFormat/>
    <w:uiPriority w:val="0"/>
    <w:pPr>
      <w:spacing w:after="120"/>
      <w:ind w:left="420" w:leftChars="200"/>
    </w:pPr>
    <w:rPr>
      <w:sz w:val="16"/>
      <w:szCs w:val="16"/>
    </w:rPr>
  </w:style>
  <w:style w:type="paragraph" w:styleId="40">
    <w:name w:val="toc 2"/>
    <w:basedOn w:val="1"/>
    <w:next w:val="1"/>
    <w:autoRedefine/>
    <w:unhideWhenUsed/>
    <w:qFormat/>
    <w:uiPriority w:val="39"/>
    <w:pPr>
      <w:widowControl/>
      <w:spacing w:line="360" w:lineRule="auto"/>
      <w:ind w:firstLine="200" w:firstLineChars="200"/>
      <w:jc w:val="left"/>
    </w:pPr>
    <w:rPr>
      <w:rFonts w:cs="宋体"/>
      <w:kern w:val="0"/>
      <w:sz w:val="24"/>
    </w:rPr>
  </w:style>
  <w:style w:type="paragraph" w:styleId="41">
    <w:name w:val="toc 9"/>
    <w:basedOn w:val="1"/>
    <w:next w:val="1"/>
    <w:autoRedefine/>
    <w:unhideWhenUsed/>
    <w:qFormat/>
    <w:uiPriority w:val="39"/>
    <w:pPr>
      <w:widowControl/>
      <w:ind w:left="3360" w:leftChars="1600"/>
      <w:jc w:val="left"/>
    </w:pPr>
    <w:rPr>
      <w:rFonts w:ascii="宋体" w:hAnsi="宋体" w:cs="宋体"/>
      <w:kern w:val="0"/>
      <w:sz w:val="24"/>
    </w:rPr>
  </w:style>
  <w:style w:type="paragraph" w:styleId="42">
    <w:name w:val="Body Text 2"/>
    <w:basedOn w:val="1"/>
    <w:autoRedefine/>
    <w:semiHidden/>
    <w:unhideWhenUsed/>
    <w:qFormat/>
    <w:uiPriority w:val="99"/>
    <w:pPr>
      <w:spacing w:after="120" w:line="480" w:lineRule="auto"/>
    </w:pPr>
  </w:style>
  <w:style w:type="paragraph" w:styleId="43">
    <w:name w:val="HTML Preformatted"/>
    <w:basedOn w:val="1"/>
    <w:link w:val="415"/>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4">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45">
    <w:name w:val="Title"/>
    <w:basedOn w:val="1"/>
    <w:next w:val="1"/>
    <w:link w:val="416"/>
    <w:autoRedefine/>
    <w:qFormat/>
    <w:uiPriority w:val="0"/>
    <w:pPr>
      <w:spacing w:before="240" w:after="60" w:line="360" w:lineRule="auto"/>
      <w:jc w:val="center"/>
      <w:outlineLvl w:val="0"/>
    </w:pPr>
    <w:rPr>
      <w:rFonts w:ascii="Arial" w:hAnsi="Arial"/>
      <w:b/>
      <w:bCs/>
      <w:kern w:val="36"/>
      <w:sz w:val="32"/>
      <w:szCs w:val="32"/>
    </w:rPr>
  </w:style>
  <w:style w:type="paragraph" w:styleId="46">
    <w:name w:val="annotation subject"/>
    <w:basedOn w:val="19"/>
    <w:next w:val="19"/>
    <w:link w:val="81"/>
    <w:autoRedefine/>
    <w:qFormat/>
    <w:uiPriority w:val="99"/>
    <w:rPr>
      <w:b/>
      <w:bCs/>
    </w:rPr>
  </w:style>
  <w:style w:type="paragraph" w:styleId="47">
    <w:name w:val="Body Text First Indent 2"/>
    <w:basedOn w:val="23"/>
    <w:next w:val="1"/>
    <w:link w:val="113"/>
    <w:autoRedefine/>
    <w:qFormat/>
    <w:uiPriority w:val="0"/>
    <w:pPr>
      <w:widowControl/>
      <w:snapToGrid w:val="0"/>
      <w:spacing w:afterLines="100"/>
      <w:ind w:left="200" w:firstLine="210" w:firstLineChars="200"/>
      <w:jc w:val="left"/>
    </w:pPr>
    <w:rPr>
      <w:rFonts w:ascii="宋体" w:hAnsi="宋体" w:cs="宋体"/>
      <w:kern w:val="28"/>
      <w:sz w:val="24"/>
      <w:lang w:val="zh-CN"/>
    </w:rPr>
  </w:style>
  <w:style w:type="table" w:styleId="49">
    <w:name w:val="Table Grid"/>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basedOn w:val="50"/>
    <w:autoRedefine/>
    <w:qFormat/>
    <w:uiPriority w:val="0"/>
    <w:rPr>
      <w:b/>
    </w:rPr>
  </w:style>
  <w:style w:type="character" w:styleId="52">
    <w:name w:val="page number"/>
    <w:basedOn w:val="50"/>
    <w:autoRedefine/>
    <w:unhideWhenUsed/>
    <w:qFormat/>
    <w:uiPriority w:val="99"/>
  </w:style>
  <w:style w:type="character" w:styleId="53">
    <w:name w:val="FollowedHyperlink"/>
    <w:basedOn w:val="50"/>
    <w:autoRedefine/>
    <w:unhideWhenUsed/>
    <w:qFormat/>
    <w:uiPriority w:val="99"/>
    <w:rPr>
      <w:color w:val="800080"/>
      <w:u w:val="single"/>
    </w:rPr>
  </w:style>
  <w:style w:type="character" w:styleId="54">
    <w:name w:val="Emphasis"/>
    <w:basedOn w:val="50"/>
    <w:autoRedefine/>
    <w:qFormat/>
    <w:uiPriority w:val="20"/>
    <w:rPr>
      <w:i/>
      <w:iCs/>
    </w:rPr>
  </w:style>
  <w:style w:type="character" w:styleId="55">
    <w:name w:val="Hyperlink"/>
    <w:basedOn w:val="50"/>
    <w:autoRedefine/>
    <w:qFormat/>
    <w:uiPriority w:val="99"/>
    <w:rPr>
      <w:color w:val="0000FF"/>
      <w:u w:val="single"/>
    </w:rPr>
  </w:style>
  <w:style w:type="character" w:styleId="56">
    <w:name w:val="annotation reference"/>
    <w:basedOn w:val="50"/>
    <w:autoRedefine/>
    <w:qFormat/>
    <w:uiPriority w:val="0"/>
    <w:rPr>
      <w:sz w:val="21"/>
      <w:szCs w:val="21"/>
    </w:rPr>
  </w:style>
  <w:style w:type="character" w:styleId="57">
    <w:name w:val="footnote reference"/>
    <w:basedOn w:val="50"/>
    <w:autoRedefine/>
    <w:unhideWhenUsed/>
    <w:qFormat/>
    <w:uiPriority w:val="99"/>
    <w:rPr>
      <w:vertAlign w:val="superscript"/>
    </w:rPr>
  </w:style>
  <w:style w:type="paragraph" w:customStyle="1" w:styleId="58">
    <w:name w:val="正文文本首行缩进 21"/>
    <w:basedOn w:val="23"/>
    <w:autoRedefine/>
    <w:qFormat/>
    <w:uiPriority w:val="99"/>
    <w:pPr>
      <w:spacing w:line="200" w:lineRule="atLeast"/>
      <w:ind w:firstLine="420"/>
    </w:pPr>
    <w:rPr>
      <w:rFonts w:ascii="宋体" w:hAnsi="Courier New"/>
      <w:spacing w:val="-4"/>
      <w:sz w:val="18"/>
    </w:rPr>
  </w:style>
  <w:style w:type="paragraph" w:customStyle="1" w:styleId="59">
    <w:name w:val="段落"/>
    <w:autoRedefine/>
    <w:qFormat/>
    <w:uiPriority w:val="5"/>
    <w:pPr>
      <w:adjustRightInd w:val="0"/>
      <w:snapToGrid w:val="0"/>
      <w:spacing w:line="360" w:lineRule="auto"/>
      <w:ind w:firstLine="200" w:firstLineChars="200"/>
    </w:pPr>
    <w:rPr>
      <w:rFonts w:ascii="Times New Roman" w:hAnsi="Times New Roman" w:eastAsia="宋体" w:cs="Times New Roman"/>
      <w:snapToGrid w:val="0"/>
      <w:color w:val="000000"/>
      <w:sz w:val="24"/>
      <w:szCs w:val="24"/>
      <w:lang w:val="en-US" w:eastAsia="zh-CN" w:bidi="ar-SA"/>
    </w:rPr>
  </w:style>
  <w:style w:type="paragraph" w:customStyle="1" w:styleId="60">
    <w:name w:val="表格文字"/>
    <w:basedOn w:val="27"/>
    <w:next w:val="21"/>
    <w:autoRedefine/>
    <w:qFormat/>
    <w:uiPriority w:val="0"/>
    <w:rPr>
      <w:sz w:val="24"/>
    </w:rPr>
  </w:style>
  <w:style w:type="paragraph" w:customStyle="1" w:styleId="61">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62">
    <w:name w:val="[Normal]"/>
    <w:autoRedefine/>
    <w:qFormat/>
    <w:uiPriority w:val="0"/>
    <w:rPr>
      <w:rFonts w:ascii="宋体" w:hAnsi="宋体" w:eastAsia="宋体" w:cs="Times New Roman"/>
      <w:sz w:val="24"/>
      <w:szCs w:val="22"/>
      <w:lang w:val="zh-CN" w:eastAsia="zh-CN" w:bidi="ar-SA"/>
    </w:rPr>
  </w:style>
  <w:style w:type="paragraph" w:customStyle="1" w:styleId="63">
    <w:name w:val="无间隔1"/>
    <w:autoRedefine/>
    <w:qFormat/>
    <w:uiPriority w:val="1"/>
    <w:pPr>
      <w:adjustRightInd w:val="0"/>
      <w:snapToGrid w:val="0"/>
    </w:pPr>
    <w:rPr>
      <w:rFonts w:ascii="Tahoma" w:hAnsi="Tahoma" w:eastAsia="微软雅黑" w:cstheme="minorBidi"/>
      <w:sz w:val="22"/>
      <w:szCs w:val="22"/>
      <w:lang w:val="en-US" w:eastAsia="zh-CN" w:bidi="ar-SA"/>
    </w:rPr>
  </w:style>
  <w:style w:type="paragraph" w:customStyle="1" w:styleId="64">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styleId="65">
    <w:name w:val="List Paragraph"/>
    <w:basedOn w:val="1"/>
    <w:link w:val="401"/>
    <w:autoRedefine/>
    <w:qFormat/>
    <w:uiPriority w:val="34"/>
    <w:pPr>
      <w:ind w:firstLine="420" w:firstLineChars="200"/>
    </w:pPr>
    <w:rPr>
      <w:rFonts w:ascii="Calibri" w:hAnsi="Calibri"/>
      <w:szCs w:val="22"/>
    </w:rPr>
  </w:style>
  <w:style w:type="paragraph" w:customStyle="1" w:styleId="66">
    <w:name w:val="列出段落1"/>
    <w:basedOn w:val="1"/>
    <w:autoRedefine/>
    <w:qFormat/>
    <w:uiPriority w:val="34"/>
    <w:pPr>
      <w:ind w:firstLine="420" w:firstLineChars="200"/>
    </w:pPr>
    <w:rPr>
      <w:rFonts w:ascii="Calibri" w:hAnsi="Calibri"/>
      <w:kern w:val="0"/>
      <w:szCs w:val="20"/>
    </w:rPr>
  </w:style>
  <w:style w:type="paragraph" w:customStyle="1" w:styleId="67">
    <w:name w:val="无间隔11"/>
    <w:autoRedefine/>
    <w:qFormat/>
    <w:uiPriority w:val="0"/>
    <w:pPr>
      <w:adjustRightInd w:val="0"/>
      <w:snapToGrid w:val="0"/>
    </w:pPr>
    <w:rPr>
      <w:rFonts w:ascii="Tahoma" w:hAnsi="Tahoma" w:eastAsia="微软雅黑" w:cstheme="minorBidi"/>
      <w:sz w:val="22"/>
      <w:szCs w:val="22"/>
      <w:lang w:val="en-US" w:eastAsia="zh-CN" w:bidi="ar-SA"/>
    </w:rPr>
  </w:style>
  <w:style w:type="paragraph" w:customStyle="1" w:styleId="68">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9">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_14"/>
    <w:autoRedefine/>
    <w:qFormat/>
    <w:uiPriority w:val="0"/>
    <w:rPr>
      <w:rFonts w:ascii="Times New Roman" w:hAnsi="Times New Roman" w:eastAsia="宋体" w:cs="Times New Roman"/>
      <w:sz w:val="21"/>
      <w:szCs w:val="22"/>
      <w:lang w:val="en-US" w:eastAsia="zh-CN" w:bidi="ar-SA"/>
    </w:rPr>
  </w:style>
  <w:style w:type="paragraph" w:customStyle="1" w:styleId="71">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纯文本_3"/>
    <w:basedOn w:val="73"/>
    <w:autoRedefine/>
    <w:qFormat/>
    <w:uiPriority w:val="0"/>
    <w:pPr>
      <w:widowControl/>
      <w:jc w:val="left"/>
    </w:pPr>
    <w:rPr>
      <w:rFonts w:ascii="宋体" w:hAnsi="Courier New" w:eastAsiaTheme="minorEastAsia" w:cstheme="minorBidi"/>
      <w:szCs w:val="21"/>
    </w:rPr>
  </w:style>
  <w:style w:type="paragraph" w:customStyle="1" w:styleId="75">
    <w:name w:val="纯文本_0_1"/>
    <w:basedOn w:val="1"/>
    <w:autoRedefine/>
    <w:qFormat/>
    <w:uiPriority w:val="0"/>
    <w:pPr>
      <w:widowControl/>
      <w:jc w:val="left"/>
    </w:pPr>
    <w:rPr>
      <w:rFonts w:ascii="宋体" w:hAnsi="Courier New" w:eastAsiaTheme="minorEastAsia" w:cstheme="minorBidi"/>
      <w:szCs w:val="21"/>
    </w:rPr>
  </w:style>
  <w:style w:type="paragraph" w:customStyle="1" w:styleId="76">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80">
    <w:name w:val="批注文字 字符"/>
    <w:basedOn w:val="50"/>
    <w:link w:val="19"/>
    <w:autoRedefine/>
    <w:qFormat/>
    <w:uiPriority w:val="0"/>
    <w:rPr>
      <w:rFonts w:ascii="Times New Roman" w:hAnsi="Times New Roman" w:eastAsia="宋体" w:cs="Times New Roman"/>
      <w:kern w:val="2"/>
      <w:sz w:val="21"/>
      <w:szCs w:val="24"/>
    </w:rPr>
  </w:style>
  <w:style w:type="character" w:customStyle="1" w:styleId="81">
    <w:name w:val="批注主题 字符"/>
    <w:basedOn w:val="80"/>
    <w:link w:val="46"/>
    <w:autoRedefine/>
    <w:qFormat/>
    <w:uiPriority w:val="99"/>
    <w:rPr>
      <w:rFonts w:ascii="Times New Roman" w:hAnsi="Times New Roman" w:eastAsia="宋体" w:cs="Times New Roman"/>
      <w:b/>
      <w:bCs/>
      <w:kern w:val="2"/>
      <w:sz w:val="21"/>
      <w:szCs w:val="24"/>
    </w:rPr>
  </w:style>
  <w:style w:type="character" w:customStyle="1" w:styleId="82">
    <w:name w:val="批注框文本 字符"/>
    <w:basedOn w:val="50"/>
    <w:link w:val="31"/>
    <w:autoRedefine/>
    <w:qFormat/>
    <w:uiPriority w:val="99"/>
    <w:rPr>
      <w:rFonts w:ascii="Times New Roman" w:hAnsi="Times New Roman" w:eastAsia="宋体" w:cs="Times New Roman"/>
      <w:kern w:val="2"/>
      <w:sz w:val="18"/>
      <w:szCs w:val="18"/>
    </w:rPr>
  </w:style>
  <w:style w:type="character" w:customStyle="1" w:styleId="83">
    <w:name w:val="正文文本缩进 字符"/>
    <w:basedOn w:val="50"/>
    <w:link w:val="23"/>
    <w:autoRedefine/>
    <w:qFormat/>
    <w:uiPriority w:val="0"/>
    <w:rPr>
      <w:kern w:val="2"/>
      <w:sz w:val="21"/>
      <w:szCs w:val="24"/>
    </w:rPr>
  </w:style>
  <w:style w:type="paragraph" w:customStyle="1" w:styleId="84">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_Style 2"/>
    <w:basedOn w:val="1"/>
    <w:autoRedefine/>
    <w:qFormat/>
    <w:uiPriority w:val="99"/>
    <w:pPr>
      <w:adjustRightInd w:val="0"/>
      <w:snapToGrid w:val="0"/>
    </w:pPr>
    <w:rPr>
      <w:rFonts w:ascii="Tahoma" w:hAnsi="Tahoma" w:eastAsia="微软雅黑" w:cs="Tahoma"/>
      <w:sz w:val="22"/>
      <w:szCs w:val="22"/>
    </w:rPr>
  </w:style>
  <w:style w:type="paragraph" w:customStyle="1" w:styleId="86">
    <w:name w:val="Table Paragraph"/>
    <w:basedOn w:val="1"/>
    <w:autoRedefine/>
    <w:qFormat/>
    <w:uiPriority w:val="1"/>
    <w:rPr>
      <w:rFonts w:ascii="Noto Sans Mono CJK JP Regular" w:hAnsi="Noto Sans Mono CJK JP Regular" w:eastAsia="Noto Sans Mono CJK JP Regular" w:cs="Noto Sans Mono CJK JP Regular"/>
    </w:rPr>
  </w:style>
  <w:style w:type="character" w:customStyle="1" w:styleId="87">
    <w:name w:val="纯文本 字符"/>
    <w:basedOn w:val="50"/>
    <w:link w:val="27"/>
    <w:autoRedefine/>
    <w:qFormat/>
    <w:uiPriority w:val="0"/>
    <w:rPr>
      <w:rFonts w:ascii="宋体" w:hAnsi="Courier New" w:cstheme="minorBidi"/>
      <w:kern w:val="2"/>
      <w:sz w:val="21"/>
      <w:szCs w:val="24"/>
    </w:rPr>
  </w:style>
  <w:style w:type="paragraph" w:customStyle="1" w:styleId="88">
    <w:name w:val="*正文"/>
    <w:link w:val="89"/>
    <w:autoRedefine/>
    <w:qFormat/>
    <w:uiPriority w:val="0"/>
    <w:pPr>
      <w:spacing w:line="360" w:lineRule="auto"/>
      <w:ind w:firstLine="200" w:firstLineChars="200"/>
      <w:jc w:val="both"/>
      <w:textAlignment w:val="baseline"/>
    </w:pPr>
    <w:rPr>
      <w:rFonts w:ascii="Times New Roman" w:hAnsi="Times New Roman" w:eastAsia="宋体" w:cs="Times New Roman"/>
      <w:color w:val="000000"/>
      <w:sz w:val="24"/>
      <w:lang w:val="en-US" w:eastAsia="zh-CN" w:bidi="ar-SA"/>
    </w:rPr>
  </w:style>
  <w:style w:type="character" w:customStyle="1" w:styleId="89">
    <w:name w:val="*正文 Char"/>
    <w:link w:val="88"/>
    <w:autoRedefine/>
    <w:qFormat/>
    <w:uiPriority w:val="0"/>
    <w:rPr>
      <w:color w:val="000000"/>
      <w:sz w:val="24"/>
    </w:rPr>
  </w:style>
  <w:style w:type="paragraph" w:customStyle="1" w:styleId="90">
    <w:name w:val="正文（深信服）"/>
    <w:link w:val="91"/>
    <w:autoRedefine/>
    <w:qFormat/>
    <w:uiPriority w:val="0"/>
    <w:pPr>
      <w:adjustRightInd w:val="0"/>
      <w:snapToGrid w:val="0"/>
      <w:spacing w:line="360" w:lineRule="auto"/>
      <w:ind w:firstLine="480" w:firstLineChars="200"/>
      <w:jc w:val="both"/>
    </w:pPr>
    <w:rPr>
      <w:rFonts w:ascii="Times New Roman" w:hAnsi="Times New Roman" w:eastAsia="宋体" w:cs="Times New Roman"/>
      <w:sz w:val="24"/>
      <w:szCs w:val="21"/>
      <w:lang w:val="en-US" w:eastAsia="zh-CN" w:bidi="ar-SA"/>
    </w:rPr>
  </w:style>
  <w:style w:type="character" w:customStyle="1" w:styleId="91">
    <w:name w:val="正文（深信服） 字符"/>
    <w:link w:val="90"/>
    <w:autoRedefine/>
    <w:qFormat/>
    <w:uiPriority w:val="0"/>
    <w:rPr>
      <w:sz w:val="24"/>
      <w:szCs w:val="21"/>
    </w:rPr>
  </w:style>
  <w:style w:type="paragraph" w:customStyle="1" w:styleId="92">
    <w:name w:val="内容文本"/>
    <w:basedOn w:val="1"/>
    <w:autoRedefine/>
    <w:qFormat/>
    <w:uiPriority w:val="0"/>
    <w:pPr>
      <w:spacing w:line="360" w:lineRule="auto"/>
      <w:ind w:firstLine="200" w:firstLineChars="200"/>
      <w:contextualSpacing/>
      <w:jc w:val="left"/>
    </w:pPr>
    <w:rPr>
      <w:rFonts w:ascii="宋体" w:hAnsi="宋体"/>
      <w:kern w:val="0"/>
      <w:sz w:val="24"/>
      <w:lang w:eastAsia="en-US" w:bidi="en-US"/>
    </w:rPr>
  </w:style>
  <w:style w:type="paragraph" w:customStyle="1" w:styleId="93">
    <w:name w:val="SANGFOR_2_标题2"/>
    <w:basedOn w:val="4"/>
    <w:next w:val="1"/>
    <w:autoRedefine/>
    <w:qFormat/>
    <w:uiPriority w:val="0"/>
    <w:pPr>
      <w:numPr>
        <w:ilvl w:val="1"/>
        <w:numId w:val="3"/>
      </w:numPr>
      <w:tabs>
        <w:tab w:val="left" w:pos="360"/>
        <w:tab w:val="left" w:pos="426"/>
        <w:tab w:val="left" w:pos="567"/>
        <w:tab w:val="left" w:pos="1206"/>
        <w:tab w:val="clear" w:pos="993"/>
      </w:tabs>
      <w:snapToGrid w:val="0"/>
      <w:spacing w:beforeLines="50" w:afterLines="50" w:line="240" w:lineRule="auto"/>
      <w:ind w:left="0"/>
    </w:pPr>
    <w:rPr>
      <w:rFonts w:eastAsia="微软雅黑" w:cs="Times New Roman"/>
      <w:kern w:val="0"/>
      <w:sz w:val="30"/>
      <w:szCs w:val="30"/>
    </w:rPr>
  </w:style>
  <w:style w:type="paragraph" w:customStyle="1" w:styleId="94">
    <w:name w:val="SANGFOR_3_标题3"/>
    <w:basedOn w:val="5"/>
    <w:next w:val="1"/>
    <w:autoRedefine/>
    <w:qFormat/>
    <w:uiPriority w:val="0"/>
    <w:pPr>
      <w:numPr>
        <w:ilvl w:val="2"/>
        <w:numId w:val="3"/>
      </w:numPr>
      <w:tabs>
        <w:tab w:val="left" w:pos="0"/>
        <w:tab w:val="left" w:pos="360"/>
        <w:tab w:val="left" w:pos="426"/>
        <w:tab w:val="left" w:pos="567"/>
        <w:tab w:val="left" w:pos="1206"/>
      </w:tabs>
      <w:snapToGrid w:val="0"/>
      <w:spacing w:beforeLines="50" w:afterLines="50" w:line="240" w:lineRule="auto"/>
    </w:pPr>
    <w:rPr>
      <w:rFonts w:ascii="宋体" w:hAnsi="宋体" w:eastAsia="微软雅黑"/>
      <w:kern w:val="0"/>
    </w:rPr>
  </w:style>
  <w:style w:type="paragraph" w:customStyle="1" w:styleId="95">
    <w:name w:val="SANGFOR_4_标题4"/>
    <w:basedOn w:val="6"/>
    <w:next w:val="1"/>
    <w:autoRedefine/>
    <w:qFormat/>
    <w:uiPriority w:val="0"/>
    <w:pPr>
      <w:numPr>
        <w:ilvl w:val="3"/>
        <w:numId w:val="3"/>
      </w:numPr>
      <w:tabs>
        <w:tab w:val="left" w:pos="360"/>
        <w:tab w:val="left" w:pos="567"/>
        <w:tab w:val="left" w:pos="1206"/>
        <w:tab w:val="clear" w:pos="-72"/>
      </w:tabs>
      <w:snapToGrid w:val="0"/>
      <w:spacing w:beforeLines="50" w:afterLines="50" w:line="240" w:lineRule="auto"/>
      <w:ind w:left="0" w:right="100" w:rightChars="100"/>
    </w:pPr>
    <w:rPr>
      <w:rFonts w:ascii="Arial" w:hAnsi="Arial" w:eastAsia="微软雅黑" w:cs="Times New Roman"/>
      <w:bCs w:val="0"/>
      <w:kern w:val="0"/>
    </w:rPr>
  </w:style>
  <w:style w:type="character" w:customStyle="1" w:styleId="96">
    <w:name w:val="标题 2 字符"/>
    <w:basedOn w:val="50"/>
    <w:link w:val="4"/>
    <w:autoRedefine/>
    <w:qFormat/>
    <w:uiPriority w:val="9"/>
    <w:rPr>
      <w:rFonts w:asciiTheme="majorHAnsi" w:hAnsiTheme="majorHAnsi" w:eastAsiaTheme="majorEastAsia" w:cstheme="majorBidi"/>
      <w:b/>
      <w:bCs/>
      <w:kern w:val="2"/>
      <w:sz w:val="32"/>
      <w:szCs w:val="32"/>
    </w:rPr>
  </w:style>
  <w:style w:type="character" w:customStyle="1" w:styleId="97">
    <w:name w:val="标题 4 字符"/>
    <w:basedOn w:val="50"/>
    <w:link w:val="6"/>
    <w:autoRedefine/>
    <w:qFormat/>
    <w:uiPriority w:val="9"/>
    <w:rPr>
      <w:rFonts w:asciiTheme="majorHAnsi" w:hAnsiTheme="majorHAnsi" w:eastAsiaTheme="majorEastAsia" w:cstheme="majorBidi"/>
      <w:b/>
      <w:bCs/>
      <w:kern w:val="2"/>
      <w:sz w:val="28"/>
      <w:szCs w:val="28"/>
    </w:rPr>
  </w:style>
  <w:style w:type="character" w:customStyle="1" w:styleId="98">
    <w:name w:val="标题 1 字符"/>
    <w:basedOn w:val="50"/>
    <w:link w:val="3"/>
    <w:autoRedefine/>
    <w:qFormat/>
    <w:uiPriority w:val="99"/>
    <w:rPr>
      <w:rFonts w:ascii="宋体" w:hAnsi="宋体" w:cs="宋体"/>
      <w:b/>
      <w:bCs/>
      <w:kern w:val="44"/>
      <w:sz w:val="44"/>
      <w:szCs w:val="44"/>
    </w:rPr>
  </w:style>
  <w:style w:type="character" w:customStyle="1" w:styleId="99">
    <w:name w:val="标题 5 字符"/>
    <w:basedOn w:val="50"/>
    <w:link w:val="7"/>
    <w:autoRedefine/>
    <w:qFormat/>
    <w:uiPriority w:val="9"/>
    <w:rPr>
      <w:rFonts w:ascii="宋体" w:hAnsi="宋体" w:cs="宋体"/>
      <w:b/>
      <w:bCs/>
      <w:sz w:val="28"/>
      <w:szCs w:val="28"/>
    </w:rPr>
  </w:style>
  <w:style w:type="character" w:customStyle="1" w:styleId="100">
    <w:name w:val="标题 6 字符"/>
    <w:basedOn w:val="50"/>
    <w:link w:val="8"/>
    <w:autoRedefine/>
    <w:qFormat/>
    <w:uiPriority w:val="9"/>
    <w:rPr>
      <w:rFonts w:asciiTheme="majorHAnsi" w:hAnsiTheme="majorHAnsi" w:cstheme="majorBidi"/>
      <w:b/>
      <w:bCs/>
      <w:sz w:val="24"/>
      <w:szCs w:val="24"/>
    </w:rPr>
  </w:style>
  <w:style w:type="character" w:customStyle="1" w:styleId="101">
    <w:name w:val="标题 7 字符"/>
    <w:basedOn w:val="50"/>
    <w:link w:val="9"/>
    <w:autoRedefine/>
    <w:qFormat/>
    <w:uiPriority w:val="9"/>
    <w:rPr>
      <w:rFonts w:ascii="宋体" w:hAnsi="宋体" w:cs="宋体"/>
      <w:b/>
      <w:bCs/>
      <w:sz w:val="24"/>
      <w:szCs w:val="24"/>
    </w:rPr>
  </w:style>
  <w:style w:type="character" w:customStyle="1" w:styleId="102">
    <w:name w:val="标题 8 字符"/>
    <w:basedOn w:val="50"/>
    <w:link w:val="10"/>
    <w:autoRedefine/>
    <w:qFormat/>
    <w:uiPriority w:val="9"/>
    <w:rPr>
      <w:rFonts w:asciiTheme="majorHAnsi" w:hAnsiTheme="majorHAnsi" w:cstheme="majorBidi"/>
      <w:b/>
      <w:sz w:val="24"/>
      <w:szCs w:val="24"/>
    </w:rPr>
  </w:style>
  <w:style w:type="character" w:customStyle="1" w:styleId="103">
    <w:name w:val="标题 9 字符"/>
    <w:basedOn w:val="50"/>
    <w:link w:val="11"/>
    <w:autoRedefine/>
    <w:qFormat/>
    <w:uiPriority w:val="9"/>
    <w:rPr>
      <w:rFonts w:asciiTheme="majorHAnsi" w:hAnsiTheme="majorHAnsi" w:cstheme="majorBidi"/>
      <w:b/>
      <w:sz w:val="24"/>
      <w:szCs w:val="21"/>
    </w:rPr>
  </w:style>
  <w:style w:type="character" w:customStyle="1" w:styleId="104">
    <w:name w:val="标题 3 字符"/>
    <w:basedOn w:val="50"/>
    <w:link w:val="5"/>
    <w:autoRedefine/>
    <w:qFormat/>
    <w:uiPriority w:val="9"/>
    <w:rPr>
      <w:b/>
      <w:bCs/>
      <w:kern w:val="2"/>
      <w:sz w:val="32"/>
      <w:szCs w:val="32"/>
    </w:rPr>
  </w:style>
  <w:style w:type="character" w:customStyle="1" w:styleId="105">
    <w:name w:val="文档结构图 字符"/>
    <w:basedOn w:val="50"/>
    <w:link w:val="17"/>
    <w:autoRedefine/>
    <w:qFormat/>
    <w:uiPriority w:val="99"/>
    <w:rPr>
      <w:rFonts w:ascii="宋体" w:hAnsi="宋体" w:cs="宋体"/>
      <w:sz w:val="18"/>
      <w:szCs w:val="18"/>
    </w:rPr>
  </w:style>
  <w:style w:type="character" w:customStyle="1" w:styleId="106">
    <w:name w:val="正文文本 Char"/>
    <w:basedOn w:val="50"/>
    <w:autoRedefine/>
    <w:qFormat/>
    <w:uiPriority w:val="99"/>
    <w:rPr>
      <w:rFonts w:ascii="宋体" w:hAnsi="宋体" w:eastAsia="宋体" w:cs="宋体"/>
      <w:kern w:val="0"/>
      <w:sz w:val="24"/>
    </w:rPr>
  </w:style>
  <w:style w:type="character" w:customStyle="1" w:styleId="107">
    <w:name w:val="正文文本缩进 2 字符"/>
    <w:basedOn w:val="50"/>
    <w:link w:val="30"/>
    <w:autoRedefine/>
    <w:qFormat/>
    <w:uiPriority w:val="99"/>
    <w:rPr>
      <w:rFonts w:ascii="宋体" w:hAnsi="宋体" w:cs="宋体"/>
      <w:sz w:val="24"/>
      <w:szCs w:val="24"/>
    </w:rPr>
  </w:style>
  <w:style w:type="character" w:customStyle="1" w:styleId="108">
    <w:name w:val="页脚 字符"/>
    <w:basedOn w:val="50"/>
    <w:link w:val="32"/>
    <w:autoRedefine/>
    <w:qFormat/>
    <w:uiPriority w:val="99"/>
    <w:rPr>
      <w:kern w:val="2"/>
      <w:sz w:val="18"/>
      <w:szCs w:val="24"/>
    </w:rPr>
  </w:style>
  <w:style w:type="character" w:customStyle="1" w:styleId="109">
    <w:name w:val="页眉 字符"/>
    <w:basedOn w:val="50"/>
    <w:link w:val="33"/>
    <w:autoRedefine/>
    <w:qFormat/>
    <w:uiPriority w:val="99"/>
    <w:rPr>
      <w:kern w:val="2"/>
      <w:sz w:val="18"/>
      <w:szCs w:val="24"/>
    </w:rPr>
  </w:style>
  <w:style w:type="character" w:customStyle="1" w:styleId="110">
    <w:name w:val="脚注文本 字符"/>
    <w:basedOn w:val="50"/>
    <w:link w:val="37"/>
    <w:autoRedefine/>
    <w:qFormat/>
    <w:uiPriority w:val="99"/>
    <w:rPr>
      <w:rFonts w:ascii="宋体" w:hAnsi="宋体" w:cs="宋体"/>
      <w:sz w:val="18"/>
      <w:szCs w:val="18"/>
    </w:rPr>
  </w:style>
  <w:style w:type="character" w:customStyle="1" w:styleId="111">
    <w:name w:val="正文文本 字符"/>
    <w:basedOn w:val="50"/>
    <w:link w:val="21"/>
    <w:autoRedefine/>
    <w:qFormat/>
    <w:uiPriority w:val="99"/>
    <w:rPr>
      <w:kern w:val="2"/>
      <w:sz w:val="24"/>
      <w:szCs w:val="24"/>
    </w:rPr>
  </w:style>
  <w:style w:type="character" w:customStyle="1" w:styleId="112">
    <w:name w:val="正文文本首行缩进 字符"/>
    <w:basedOn w:val="111"/>
    <w:link w:val="22"/>
    <w:autoRedefine/>
    <w:qFormat/>
    <w:uiPriority w:val="99"/>
    <w:rPr>
      <w:color w:val="000000"/>
      <w:spacing w:val="12"/>
      <w:kern w:val="2"/>
      <w:sz w:val="28"/>
      <w:szCs w:val="24"/>
    </w:rPr>
  </w:style>
  <w:style w:type="character" w:customStyle="1" w:styleId="113">
    <w:name w:val="正文文本首行缩进 2 字符"/>
    <w:basedOn w:val="83"/>
    <w:link w:val="47"/>
    <w:autoRedefine/>
    <w:qFormat/>
    <w:uiPriority w:val="0"/>
    <w:rPr>
      <w:rFonts w:ascii="宋体" w:hAnsi="宋体" w:cs="宋体"/>
      <w:kern w:val="28"/>
      <w:sz w:val="24"/>
      <w:szCs w:val="24"/>
      <w:lang w:val="zh-CN"/>
    </w:rPr>
  </w:style>
  <w:style w:type="paragraph" w:styleId="114">
    <w:name w:val="No Spacing"/>
    <w:link w:val="115"/>
    <w:autoRedefine/>
    <w:qFormat/>
    <w:uiPriority w:val="1"/>
    <w:rPr>
      <w:rFonts w:asciiTheme="minorHAnsi" w:hAnsiTheme="minorHAnsi" w:eastAsiaTheme="minorEastAsia" w:cstheme="minorBidi"/>
      <w:sz w:val="22"/>
      <w:szCs w:val="22"/>
      <w:lang w:val="en-US" w:eastAsia="zh-CN" w:bidi="ar-SA"/>
    </w:rPr>
  </w:style>
  <w:style w:type="character" w:customStyle="1" w:styleId="115">
    <w:name w:val="无间隔 字符"/>
    <w:basedOn w:val="50"/>
    <w:link w:val="114"/>
    <w:autoRedefine/>
    <w:qFormat/>
    <w:uiPriority w:val="1"/>
    <w:rPr>
      <w:rFonts w:asciiTheme="minorHAnsi" w:hAnsiTheme="minorHAnsi" w:eastAsiaTheme="minorEastAsia" w:cstheme="minorBidi"/>
      <w:sz w:val="22"/>
      <w:szCs w:val="22"/>
    </w:rPr>
  </w:style>
  <w:style w:type="character" w:customStyle="1" w:styleId="116">
    <w:name w:val="font31"/>
    <w:basedOn w:val="50"/>
    <w:autoRedefine/>
    <w:qFormat/>
    <w:uiPriority w:val="0"/>
    <w:rPr>
      <w:rFonts w:hint="eastAsia" w:ascii="宋体" w:hAnsi="宋体" w:eastAsia="宋体" w:cs="宋体"/>
      <w:color w:val="FF0000"/>
      <w:kern w:val="0"/>
      <w:sz w:val="21"/>
      <w:szCs w:val="21"/>
      <w:u w:val="none"/>
      <w:lang w:eastAsia="en-US"/>
    </w:rPr>
  </w:style>
  <w:style w:type="character" w:customStyle="1" w:styleId="117">
    <w:name w:val="font11"/>
    <w:basedOn w:val="50"/>
    <w:autoRedefine/>
    <w:qFormat/>
    <w:uiPriority w:val="0"/>
    <w:rPr>
      <w:rFonts w:hint="eastAsia" w:ascii="微软雅黑" w:hAnsi="微软雅黑" w:eastAsia="微软雅黑" w:cs="微软雅黑"/>
      <w:color w:val="000000"/>
      <w:kern w:val="0"/>
      <w:sz w:val="20"/>
      <w:szCs w:val="20"/>
      <w:u w:val="single"/>
      <w:lang w:eastAsia="en-US"/>
    </w:rPr>
  </w:style>
  <w:style w:type="character" w:customStyle="1" w:styleId="118">
    <w:name w:val="font21"/>
    <w:basedOn w:val="50"/>
    <w:autoRedefine/>
    <w:qFormat/>
    <w:uiPriority w:val="0"/>
    <w:rPr>
      <w:rFonts w:hint="eastAsia" w:ascii="宋体" w:hAnsi="宋体" w:eastAsia="宋体" w:cs="宋体"/>
      <w:color w:val="000000"/>
      <w:kern w:val="0"/>
      <w:sz w:val="22"/>
      <w:szCs w:val="22"/>
      <w:u w:val="none"/>
      <w:lang w:eastAsia="en-US"/>
    </w:rPr>
  </w:style>
  <w:style w:type="character" w:customStyle="1" w:styleId="119">
    <w:name w:val="font61"/>
    <w:basedOn w:val="50"/>
    <w:autoRedefine/>
    <w:qFormat/>
    <w:uiPriority w:val="0"/>
    <w:rPr>
      <w:rFonts w:hint="eastAsia" w:ascii="仿宋" w:hAnsi="仿宋" w:eastAsia="仿宋" w:cs="仿宋"/>
      <w:color w:val="000000"/>
      <w:kern w:val="0"/>
      <w:sz w:val="20"/>
      <w:szCs w:val="20"/>
      <w:u w:val="none"/>
      <w:lang w:eastAsia="en-US"/>
    </w:rPr>
  </w:style>
  <w:style w:type="character" w:customStyle="1" w:styleId="120">
    <w:name w:val="font41"/>
    <w:basedOn w:val="50"/>
    <w:autoRedefine/>
    <w:qFormat/>
    <w:uiPriority w:val="0"/>
    <w:rPr>
      <w:rFonts w:hint="eastAsia" w:ascii="微软雅黑" w:hAnsi="微软雅黑" w:eastAsia="微软雅黑" w:cs="微软雅黑"/>
      <w:color w:val="000000"/>
      <w:kern w:val="0"/>
      <w:sz w:val="24"/>
      <w:szCs w:val="24"/>
      <w:u w:val="single"/>
      <w:lang w:eastAsia="en-US"/>
    </w:rPr>
  </w:style>
  <w:style w:type="paragraph" w:customStyle="1" w:styleId="121">
    <w:name w:val="正文 样式"/>
    <w:basedOn w:val="1"/>
    <w:link w:val="122"/>
    <w:autoRedefine/>
    <w:qFormat/>
    <w:uiPriority w:val="0"/>
    <w:pPr>
      <w:widowControl/>
      <w:spacing w:before="260" w:line="360" w:lineRule="auto"/>
      <w:ind w:firstLine="480" w:firstLineChars="200"/>
      <w:jc w:val="left"/>
    </w:pPr>
    <w:rPr>
      <w:rFonts w:ascii="宋体" w:hAnsi="宋体" w:cs="宋体"/>
      <w:kern w:val="0"/>
      <w:sz w:val="24"/>
    </w:rPr>
  </w:style>
  <w:style w:type="character" w:customStyle="1" w:styleId="122">
    <w:name w:val="正文 样式 Char"/>
    <w:link w:val="121"/>
    <w:autoRedefine/>
    <w:qFormat/>
    <w:locked/>
    <w:uiPriority w:val="0"/>
    <w:rPr>
      <w:rFonts w:ascii="宋体" w:hAnsi="宋体" w:cs="宋体"/>
      <w:sz w:val="24"/>
      <w:szCs w:val="24"/>
    </w:rPr>
  </w:style>
  <w:style w:type="paragraph" w:customStyle="1" w:styleId="123">
    <w:name w:val="p17"/>
    <w:basedOn w:val="1"/>
    <w:autoRedefine/>
    <w:qFormat/>
    <w:uiPriority w:val="0"/>
    <w:pPr>
      <w:widowControl/>
      <w:spacing w:before="260" w:after="120" w:line="415" w:lineRule="auto"/>
      <w:ind w:firstLine="420"/>
      <w:jc w:val="left"/>
    </w:pPr>
    <w:rPr>
      <w:rFonts w:cs="宋体"/>
      <w:kern w:val="0"/>
      <w:sz w:val="28"/>
      <w:szCs w:val="28"/>
    </w:rPr>
  </w:style>
  <w:style w:type="character" w:customStyle="1" w:styleId="124">
    <w:name w:val="apple-converted-space"/>
    <w:basedOn w:val="50"/>
    <w:autoRedefine/>
    <w:qFormat/>
    <w:uiPriority w:val="0"/>
  </w:style>
  <w:style w:type="paragraph" w:customStyle="1" w:styleId="125">
    <w:name w:val="序号1."/>
    <w:basedOn w:val="1"/>
    <w:autoRedefine/>
    <w:qFormat/>
    <w:uiPriority w:val="0"/>
    <w:pPr>
      <w:widowControl/>
      <w:tabs>
        <w:tab w:val="left" w:pos="720"/>
      </w:tabs>
      <w:adjustRightInd w:val="0"/>
      <w:snapToGrid w:val="0"/>
      <w:spacing w:line="360" w:lineRule="auto"/>
      <w:ind w:left="720" w:hanging="720" w:firstLineChars="200"/>
      <w:jc w:val="left"/>
    </w:pPr>
    <w:rPr>
      <w:kern w:val="0"/>
      <w:sz w:val="24"/>
    </w:rPr>
  </w:style>
  <w:style w:type="paragraph" w:customStyle="1" w:styleId="126">
    <w:name w:val="正文1"/>
    <w:next w:val="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127">
    <w:name w:val="15"/>
    <w:basedOn w:val="50"/>
    <w:autoRedefine/>
    <w:qFormat/>
    <w:uiPriority w:val="0"/>
    <w:rPr>
      <w:rFonts w:hint="eastAsia" w:ascii="宋体" w:hAnsi="宋体" w:eastAsia="宋体" w:cs="Times New Roman"/>
      <w:b/>
      <w:bCs/>
      <w:sz w:val="32"/>
      <w:szCs w:val="32"/>
    </w:rPr>
  </w:style>
  <w:style w:type="paragraph" w:customStyle="1" w:styleId="128">
    <w:name w:val="文章正文"/>
    <w:basedOn w:val="1"/>
    <w:autoRedefine/>
    <w:qFormat/>
    <w:uiPriority w:val="0"/>
    <w:pPr>
      <w:widowControl/>
      <w:spacing w:line="360" w:lineRule="auto"/>
      <w:ind w:firstLine="560" w:firstLineChars="200"/>
      <w:jc w:val="left"/>
    </w:pPr>
    <w:rPr>
      <w:rFonts w:eastAsia="仿宋_GB2312"/>
      <w:kern w:val="0"/>
      <w:sz w:val="28"/>
    </w:rPr>
  </w:style>
  <w:style w:type="paragraph" w:customStyle="1" w:styleId="129">
    <w:name w:val="列出段落2"/>
    <w:basedOn w:val="1"/>
    <w:autoRedefine/>
    <w:unhideWhenUsed/>
    <w:qFormat/>
    <w:uiPriority w:val="99"/>
    <w:pPr>
      <w:widowControl/>
      <w:spacing w:line="360" w:lineRule="auto"/>
      <w:ind w:firstLine="420" w:firstLineChars="200"/>
      <w:jc w:val="left"/>
    </w:pPr>
    <w:rPr>
      <w:rFonts w:cs="宋体"/>
      <w:kern w:val="0"/>
      <w:sz w:val="24"/>
    </w:rPr>
  </w:style>
  <w:style w:type="paragraph" w:customStyle="1" w:styleId="130">
    <w:name w:val="列出段落3"/>
    <w:basedOn w:val="1"/>
    <w:next w:val="1"/>
    <w:autoRedefine/>
    <w:qFormat/>
    <w:uiPriority w:val="34"/>
    <w:pPr>
      <w:widowControl/>
      <w:spacing w:beforeLines="20" w:afterLines="20"/>
      <w:jc w:val="left"/>
      <w:outlineLvl w:val="4"/>
    </w:pPr>
    <w:rPr>
      <w:rFonts w:eastAsia="黑体"/>
      <w:b/>
      <w:kern w:val="0"/>
      <w:sz w:val="24"/>
    </w:rPr>
  </w:style>
  <w:style w:type="paragraph" w:customStyle="1" w:styleId="131">
    <w:name w:val="表格表头"/>
    <w:basedOn w:val="1"/>
    <w:autoRedefine/>
    <w:qFormat/>
    <w:uiPriority w:val="0"/>
    <w:pPr>
      <w:widowControl/>
      <w:spacing w:beforeLines="50" w:afterLines="50" w:line="360" w:lineRule="auto"/>
      <w:jc w:val="center"/>
    </w:pPr>
    <w:rPr>
      <w:b/>
      <w:kern w:val="0"/>
      <w:sz w:val="24"/>
      <w:szCs w:val="21"/>
    </w:rPr>
  </w:style>
  <w:style w:type="paragraph" w:customStyle="1" w:styleId="132">
    <w:name w:val="表格正文"/>
    <w:basedOn w:val="1"/>
    <w:link w:val="133"/>
    <w:autoRedefine/>
    <w:qFormat/>
    <w:uiPriority w:val="0"/>
    <w:pPr>
      <w:widowControl/>
      <w:spacing w:line="360" w:lineRule="auto"/>
      <w:jc w:val="left"/>
    </w:pPr>
    <w:rPr>
      <w:kern w:val="0"/>
      <w:sz w:val="24"/>
      <w:lang w:val="zh-CN"/>
    </w:rPr>
  </w:style>
  <w:style w:type="character" w:customStyle="1" w:styleId="133">
    <w:name w:val="表格正文 Char"/>
    <w:link w:val="132"/>
    <w:autoRedefine/>
    <w:qFormat/>
    <w:uiPriority w:val="0"/>
    <w:rPr>
      <w:sz w:val="24"/>
      <w:szCs w:val="24"/>
      <w:lang w:val="zh-CN"/>
    </w:rPr>
  </w:style>
  <w:style w:type="paragraph" w:customStyle="1" w:styleId="134">
    <w:name w:val="TOC 标题1"/>
    <w:basedOn w:val="3"/>
    <w:next w:val="1"/>
    <w:autoRedefine/>
    <w:unhideWhenUsed/>
    <w:qFormat/>
    <w:uiPriority w:val="39"/>
    <w:pPr>
      <w:widowControl/>
      <w:spacing w:before="480" w:line="276" w:lineRule="auto"/>
      <w:ind w:left="0" w:firstLine="0"/>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135">
    <w:name w:val="表格文字（居左）"/>
    <w:basedOn w:val="136"/>
    <w:autoRedefine/>
    <w:qFormat/>
    <w:uiPriority w:val="0"/>
    <w:pPr>
      <w:jc w:val="left"/>
    </w:pPr>
  </w:style>
  <w:style w:type="paragraph" w:customStyle="1" w:styleId="136">
    <w:name w:val="表格文字（居中）"/>
    <w:basedOn w:val="1"/>
    <w:autoRedefine/>
    <w:qFormat/>
    <w:uiPriority w:val="0"/>
    <w:pPr>
      <w:widowControl/>
      <w:jc w:val="center"/>
    </w:pPr>
    <w:rPr>
      <w:kern w:val="0"/>
      <w:sz w:val="24"/>
    </w:rPr>
  </w:style>
  <w:style w:type="paragraph" w:customStyle="1" w:styleId="137">
    <w:name w:val="表格标题/图片标题/日期格式/图片居中"/>
    <w:autoRedefine/>
    <w:qFormat/>
    <w:uiPriority w:val="0"/>
    <w:pPr>
      <w:jc w:val="center"/>
    </w:pPr>
    <w:rPr>
      <w:rFonts w:ascii="Times New Roman" w:hAnsi="Times New Roman" w:eastAsia="宋体" w:cs="Times New Roman"/>
      <w:b/>
      <w:kern w:val="2"/>
      <w:sz w:val="21"/>
      <w:szCs w:val="24"/>
      <w:lang w:val="en-US" w:eastAsia="zh-CN" w:bidi="ar-SA"/>
    </w:rPr>
  </w:style>
  <w:style w:type="paragraph" w:customStyle="1" w:styleId="138">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39">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40">
    <w:name w:val="font7"/>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141">
    <w:name w:val="font8"/>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42">
    <w:name w:val="font9"/>
    <w:basedOn w:val="1"/>
    <w:autoRedefine/>
    <w:qFormat/>
    <w:uiPriority w:val="0"/>
    <w:pPr>
      <w:widowControl/>
      <w:spacing w:before="100" w:beforeAutospacing="1" w:after="100" w:afterAutospacing="1"/>
      <w:jc w:val="left"/>
    </w:pPr>
    <w:rPr>
      <w:rFonts w:ascii="Arial" w:hAnsi="Arial" w:cs="Arial"/>
      <w:kern w:val="0"/>
      <w:sz w:val="20"/>
      <w:szCs w:val="20"/>
    </w:rPr>
  </w:style>
  <w:style w:type="paragraph" w:customStyle="1" w:styleId="143">
    <w:name w:val="font10"/>
    <w:basedOn w:val="1"/>
    <w:autoRedefine/>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144">
    <w:name w:val="font12"/>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45">
    <w:name w:val="font13"/>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46">
    <w:name w:val="font14"/>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147">
    <w:name w:val="font15"/>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148">
    <w:name w:val="font16"/>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49">
    <w:name w:val="font17"/>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50">
    <w:name w:val="font18"/>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51">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52">
    <w:name w:val="xl105"/>
    <w:basedOn w:val="1"/>
    <w:autoRedefine/>
    <w:qFormat/>
    <w:uiPriority w:val="0"/>
    <w:pPr>
      <w:widowControl/>
      <w:spacing w:before="100" w:beforeAutospacing="1" w:after="100" w:afterAutospacing="1"/>
      <w:jc w:val="center"/>
    </w:pPr>
    <w:rPr>
      <w:rFonts w:ascii="Arial" w:hAnsi="Arial" w:cs="Arial"/>
      <w:kern w:val="0"/>
      <w:sz w:val="20"/>
      <w:szCs w:val="20"/>
    </w:rPr>
  </w:style>
  <w:style w:type="paragraph" w:customStyle="1" w:styleId="153">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54">
    <w:name w:val="xl107"/>
    <w:basedOn w:val="1"/>
    <w:autoRedefine/>
    <w:qFormat/>
    <w:uiPriority w:val="0"/>
    <w:pPr>
      <w:widowControl/>
      <w:spacing w:before="100" w:beforeAutospacing="1" w:after="100" w:afterAutospacing="1"/>
      <w:jc w:val="center"/>
    </w:pPr>
    <w:rPr>
      <w:rFonts w:ascii="Arial" w:hAnsi="Arial" w:cs="Arial"/>
      <w:kern w:val="0"/>
      <w:sz w:val="20"/>
      <w:szCs w:val="20"/>
    </w:rPr>
  </w:style>
  <w:style w:type="paragraph" w:customStyle="1" w:styleId="155">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156">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57">
    <w:name w:val="xl110"/>
    <w:basedOn w:val="1"/>
    <w:autoRedefine/>
    <w:qFormat/>
    <w:uiPriority w:val="0"/>
    <w:pPr>
      <w:widowControl/>
      <w:spacing w:before="100" w:beforeAutospacing="1" w:after="100" w:afterAutospacing="1"/>
      <w:jc w:val="left"/>
    </w:pPr>
    <w:rPr>
      <w:rFonts w:ascii="Arial" w:hAnsi="Arial" w:cs="Arial"/>
      <w:kern w:val="0"/>
      <w:sz w:val="20"/>
      <w:szCs w:val="20"/>
    </w:rPr>
  </w:style>
  <w:style w:type="paragraph" w:customStyle="1" w:styleId="158">
    <w:name w:val="xl111"/>
    <w:basedOn w:val="1"/>
    <w:autoRedefine/>
    <w:qFormat/>
    <w:uiPriority w:val="0"/>
    <w:pPr>
      <w:widowControl/>
      <w:shd w:val="clear" w:color="000000" w:fill="BFBFBF"/>
      <w:spacing w:before="100" w:beforeAutospacing="1" w:after="100" w:afterAutospacing="1"/>
      <w:jc w:val="center"/>
    </w:pPr>
    <w:rPr>
      <w:rFonts w:ascii="Arial" w:hAnsi="Arial" w:cs="Arial"/>
      <w:kern w:val="0"/>
      <w:sz w:val="20"/>
      <w:szCs w:val="20"/>
    </w:rPr>
  </w:style>
  <w:style w:type="paragraph" w:customStyle="1" w:styleId="159">
    <w:name w:val="xl11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b/>
      <w:bCs/>
      <w:color w:val="000000"/>
      <w:kern w:val="0"/>
      <w:sz w:val="20"/>
      <w:szCs w:val="20"/>
    </w:rPr>
  </w:style>
  <w:style w:type="paragraph" w:customStyle="1" w:styleId="160">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61">
    <w:name w:val="xl1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2">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63">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164">
    <w:name w:val="xl1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165">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66">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67">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68">
    <w:name w:val="xl1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69">
    <w:name w:val="xl1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70">
    <w:name w:val="xl1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71">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72">
    <w:name w:val="xl1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73">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74">
    <w:name w:val="xl1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75">
    <w:name w:val="xl1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6">
    <w:name w:val="xl1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7">
    <w:name w:val="xl1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8">
    <w:name w:val="xl1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79">
    <w:name w:val="xl1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0">
    <w:name w:val="xl1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1">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82">
    <w:name w:val="xl1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83">
    <w:name w:val="xl1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4">
    <w:name w:val="xl1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5">
    <w:name w:val="xl1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86">
    <w:name w:val="xl1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187">
    <w:name w:val="xl1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88">
    <w:name w:val="xl1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9">
    <w:name w:val="xl1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90">
    <w:name w:val="xl1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91">
    <w:name w:val="xl144"/>
    <w:basedOn w:val="1"/>
    <w:autoRedefine/>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192">
    <w:name w:val="xl145"/>
    <w:basedOn w:val="1"/>
    <w:autoRedefine/>
    <w:qFormat/>
    <w:uiPriority w:val="0"/>
    <w:pPr>
      <w:widowControl/>
      <w:pBdr>
        <w:top w:val="single" w:color="auto" w:sz="4" w:space="0"/>
        <w:bottom w:val="single" w:color="auto" w:sz="4" w:space="0"/>
        <w:right w:val="single" w:color="auto" w:sz="4" w:space="0"/>
      </w:pBdr>
      <w:shd w:val="clear" w:color="000000" w:fill="BFBFBF"/>
      <w:spacing w:before="100" w:beforeAutospacing="1" w:after="100" w:afterAutospacing="1"/>
      <w:jc w:val="left"/>
    </w:pPr>
    <w:rPr>
      <w:rFonts w:ascii="Arial" w:hAnsi="Arial" w:cs="Arial"/>
      <w:b/>
      <w:bCs/>
      <w:color w:val="000000"/>
      <w:kern w:val="0"/>
      <w:sz w:val="20"/>
      <w:szCs w:val="20"/>
    </w:rPr>
  </w:style>
  <w:style w:type="paragraph" w:customStyle="1" w:styleId="193">
    <w:name w:val="xl146"/>
    <w:basedOn w:val="1"/>
    <w:autoRedefine/>
    <w:qFormat/>
    <w:uiPriority w:val="0"/>
    <w:pPr>
      <w:widowControl/>
      <w:pBdr>
        <w:top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194">
    <w:name w:val="列出段落4"/>
    <w:basedOn w:val="1"/>
    <w:autoRedefine/>
    <w:unhideWhenUsed/>
    <w:qFormat/>
    <w:uiPriority w:val="99"/>
    <w:pPr>
      <w:widowControl/>
      <w:spacing w:line="360" w:lineRule="auto"/>
      <w:ind w:firstLine="420" w:firstLineChars="200"/>
      <w:jc w:val="left"/>
    </w:pPr>
    <w:rPr>
      <w:rFonts w:cs="宋体"/>
      <w:kern w:val="0"/>
      <w:sz w:val="24"/>
    </w:rPr>
  </w:style>
  <w:style w:type="paragraph" w:customStyle="1" w:styleId="195">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96">
    <w:name w:val="xl103"/>
    <w:basedOn w:val="1"/>
    <w:autoRedefine/>
    <w:qFormat/>
    <w:uiPriority w:val="0"/>
    <w:pPr>
      <w:widowControl/>
      <w:spacing w:before="100" w:beforeAutospacing="1" w:after="100" w:afterAutospacing="1"/>
      <w:jc w:val="center"/>
    </w:pPr>
    <w:rPr>
      <w:rFonts w:ascii="Arial" w:hAnsi="Arial" w:cs="Arial"/>
      <w:kern w:val="0"/>
      <w:sz w:val="20"/>
      <w:szCs w:val="20"/>
    </w:rPr>
  </w:style>
  <w:style w:type="paragraph" w:customStyle="1" w:styleId="197">
    <w:name w:val="xl1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szCs w:val="20"/>
    </w:rPr>
  </w:style>
  <w:style w:type="paragraph" w:customStyle="1" w:styleId="198">
    <w:name w:val="xl1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99">
    <w:name w:val="xl1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0">
    <w:name w:val="xl1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1">
    <w:name w:val="xl1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2">
    <w:name w:val="xl1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3">
    <w:name w:val="xl1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4">
    <w:name w:val="xl15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5">
    <w:name w:val="xl15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06">
    <w:name w:val="xl15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7">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08">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9">
    <w:name w:val="xl1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10">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1">
    <w:name w:val="xl16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12">
    <w:name w:val="xl16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213">
    <w:name w:val="xl163"/>
    <w:basedOn w:val="1"/>
    <w:autoRedefine/>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214">
    <w:name w:val="xl164"/>
    <w:basedOn w:val="1"/>
    <w:autoRedefine/>
    <w:qFormat/>
    <w:uiPriority w:val="0"/>
    <w:pPr>
      <w:widowControl/>
      <w:pBdr>
        <w:top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215">
    <w:name w:val="xl165"/>
    <w:basedOn w:val="1"/>
    <w:autoRedefine/>
    <w:qFormat/>
    <w:uiPriority w:val="0"/>
    <w:pPr>
      <w:widowControl/>
      <w:pBdr>
        <w:top w:val="single" w:color="auto" w:sz="4" w:space="0"/>
        <w:bottom w:val="single" w:color="auto" w:sz="4" w:space="0"/>
        <w:right w:val="single" w:color="auto" w:sz="4" w:space="0"/>
      </w:pBdr>
      <w:shd w:val="clear" w:color="000000" w:fill="BFBFBF"/>
      <w:spacing w:before="100" w:beforeAutospacing="1" w:after="100" w:afterAutospacing="1"/>
      <w:jc w:val="left"/>
    </w:pPr>
    <w:rPr>
      <w:rFonts w:ascii="Arial" w:hAnsi="Arial" w:cs="Arial"/>
      <w:b/>
      <w:bCs/>
      <w:color w:val="000000"/>
      <w:kern w:val="0"/>
      <w:sz w:val="20"/>
      <w:szCs w:val="20"/>
    </w:rPr>
  </w:style>
  <w:style w:type="paragraph" w:customStyle="1" w:styleId="216">
    <w:name w:val="font19"/>
    <w:basedOn w:val="1"/>
    <w:autoRedefine/>
    <w:qFormat/>
    <w:uiPriority w:val="0"/>
    <w:pPr>
      <w:widowControl/>
      <w:spacing w:before="100" w:beforeAutospacing="1" w:after="100" w:afterAutospacing="1"/>
      <w:jc w:val="left"/>
    </w:pPr>
    <w:rPr>
      <w:rFonts w:ascii="宋体" w:hAnsi="宋体" w:cs="宋体"/>
      <w:b/>
      <w:bCs/>
      <w:color w:val="000000"/>
      <w:kern w:val="0"/>
      <w:sz w:val="20"/>
      <w:szCs w:val="20"/>
      <w:u w:val="single"/>
    </w:rPr>
  </w:style>
  <w:style w:type="paragraph" w:customStyle="1" w:styleId="217">
    <w:name w:val="font20"/>
    <w:basedOn w:val="1"/>
    <w:autoRedefine/>
    <w:qFormat/>
    <w:uiPriority w:val="0"/>
    <w:pPr>
      <w:widowControl/>
      <w:spacing w:before="100" w:beforeAutospacing="1" w:after="100" w:afterAutospacing="1"/>
      <w:jc w:val="left"/>
    </w:pPr>
    <w:rPr>
      <w:rFonts w:ascii="Arial" w:hAnsi="Arial" w:cs="Arial"/>
      <w:b/>
      <w:bCs/>
      <w:color w:val="000000"/>
      <w:kern w:val="0"/>
      <w:sz w:val="20"/>
      <w:szCs w:val="20"/>
      <w:u w:val="single"/>
    </w:rPr>
  </w:style>
  <w:style w:type="paragraph" w:customStyle="1" w:styleId="218">
    <w:name w:val="font22"/>
    <w:basedOn w:val="1"/>
    <w:autoRedefine/>
    <w:qFormat/>
    <w:uiPriority w:val="0"/>
    <w:pPr>
      <w:widowControl/>
      <w:spacing w:before="100" w:beforeAutospacing="1" w:after="100" w:afterAutospacing="1"/>
      <w:jc w:val="left"/>
    </w:pPr>
    <w:rPr>
      <w:rFonts w:ascii="Arial" w:hAnsi="Arial" w:cs="Arial"/>
      <w:b/>
      <w:bCs/>
      <w:color w:val="000000"/>
      <w:kern w:val="0"/>
      <w:sz w:val="20"/>
      <w:szCs w:val="20"/>
      <w:u w:val="single"/>
    </w:rPr>
  </w:style>
  <w:style w:type="paragraph" w:customStyle="1" w:styleId="219">
    <w:name w:val="font23"/>
    <w:basedOn w:val="1"/>
    <w:autoRedefine/>
    <w:qFormat/>
    <w:uiPriority w:val="0"/>
    <w:pPr>
      <w:widowControl/>
      <w:spacing w:before="100" w:beforeAutospacing="1" w:after="100" w:afterAutospacing="1"/>
      <w:jc w:val="left"/>
    </w:pPr>
    <w:rPr>
      <w:kern w:val="0"/>
      <w:sz w:val="18"/>
      <w:szCs w:val="18"/>
    </w:rPr>
  </w:style>
  <w:style w:type="paragraph" w:customStyle="1" w:styleId="220">
    <w:name w:val="font24"/>
    <w:basedOn w:val="1"/>
    <w:autoRedefine/>
    <w:qFormat/>
    <w:uiPriority w:val="0"/>
    <w:pPr>
      <w:widowControl/>
      <w:spacing w:before="100" w:beforeAutospacing="1" w:after="100" w:afterAutospacing="1"/>
      <w:jc w:val="left"/>
    </w:pPr>
    <w:rPr>
      <w:kern w:val="0"/>
      <w:sz w:val="18"/>
      <w:szCs w:val="18"/>
    </w:rPr>
  </w:style>
  <w:style w:type="paragraph" w:customStyle="1" w:styleId="221">
    <w:name w:val="font25"/>
    <w:basedOn w:val="1"/>
    <w:autoRedefine/>
    <w:qFormat/>
    <w:uiPriority w:val="0"/>
    <w:pPr>
      <w:widowControl/>
      <w:spacing w:before="100" w:beforeAutospacing="1" w:after="100" w:afterAutospacing="1"/>
      <w:jc w:val="left"/>
    </w:pPr>
    <w:rPr>
      <w:rFonts w:ascii="宋体" w:hAnsi="宋体" w:cs="宋体"/>
      <w:b/>
      <w:bCs/>
      <w:kern w:val="0"/>
      <w:sz w:val="20"/>
      <w:szCs w:val="20"/>
      <w:u w:val="single"/>
    </w:rPr>
  </w:style>
  <w:style w:type="paragraph" w:customStyle="1" w:styleId="222">
    <w:name w:val="font26"/>
    <w:basedOn w:val="1"/>
    <w:autoRedefine/>
    <w:qFormat/>
    <w:uiPriority w:val="0"/>
    <w:pPr>
      <w:widowControl/>
      <w:spacing w:before="100" w:beforeAutospacing="1" w:after="100" w:afterAutospacing="1"/>
      <w:jc w:val="left"/>
    </w:pPr>
    <w:rPr>
      <w:rFonts w:ascii="Arial" w:hAnsi="Arial" w:cs="Arial"/>
      <w:b/>
      <w:bCs/>
      <w:kern w:val="0"/>
      <w:sz w:val="20"/>
      <w:szCs w:val="20"/>
      <w:u w:val="single"/>
    </w:rPr>
  </w:style>
  <w:style w:type="paragraph" w:customStyle="1" w:styleId="223">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24">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25">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26">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227">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28">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229">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0">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31">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33">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4">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235">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236">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237">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38">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39">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40">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241">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2">
    <w:name w:val="xl1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24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45">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46">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47">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48">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49">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51">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2">
    <w:name w:val="xl1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3">
    <w:name w:val="xl1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4">
    <w:name w:val="xl1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5">
    <w:name w:val="xl1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56">
    <w:name w:val="xl18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7">
    <w:name w:val="xl1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8">
    <w:name w:val="xl18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59">
    <w:name w:val="xl1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Arial" w:hAnsi="Arial" w:cs="Arial"/>
      <w:color w:val="000000"/>
      <w:kern w:val="0"/>
      <w:sz w:val="20"/>
      <w:szCs w:val="20"/>
    </w:rPr>
  </w:style>
  <w:style w:type="paragraph" w:customStyle="1" w:styleId="260">
    <w:name w:val="xl187"/>
    <w:basedOn w:val="1"/>
    <w:autoRedefine/>
    <w:qFormat/>
    <w:uiPriority w:val="0"/>
    <w:pPr>
      <w:widowControl/>
      <w:shd w:val="clear" w:color="000000" w:fill="FFFF00"/>
      <w:spacing w:before="100" w:beforeAutospacing="1" w:after="100" w:afterAutospacing="1"/>
      <w:jc w:val="center"/>
    </w:pPr>
    <w:rPr>
      <w:rFonts w:ascii="Arial" w:hAnsi="Arial" w:cs="Arial"/>
      <w:kern w:val="0"/>
      <w:sz w:val="20"/>
      <w:szCs w:val="20"/>
    </w:rPr>
  </w:style>
  <w:style w:type="paragraph" w:customStyle="1" w:styleId="261">
    <w:name w:val="xl1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Arial" w:hAnsi="Arial" w:cs="Arial"/>
      <w:kern w:val="0"/>
      <w:sz w:val="20"/>
      <w:szCs w:val="20"/>
    </w:rPr>
  </w:style>
  <w:style w:type="paragraph" w:customStyle="1" w:styleId="262">
    <w:name w:val="xl1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263">
    <w:name w:val="xl1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64">
    <w:name w:val="xl1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Arial" w:hAnsi="Arial" w:cs="Arial"/>
      <w:kern w:val="0"/>
      <w:sz w:val="20"/>
      <w:szCs w:val="20"/>
    </w:rPr>
  </w:style>
  <w:style w:type="paragraph" w:customStyle="1" w:styleId="265">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66">
    <w:name w:val="xl19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67">
    <w:name w:val="xl1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宋体" w:hAnsi="宋体" w:cs="宋体"/>
      <w:b/>
      <w:bCs/>
      <w:color w:val="000000"/>
      <w:kern w:val="0"/>
      <w:sz w:val="20"/>
      <w:szCs w:val="20"/>
    </w:rPr>
  </w:style>
  <w:style w:type="paragraph" w:customStyle="1" w:styleId="268">
    <w:name w:val="xl1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69">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70">
    <w:name w:val="xl1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71">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72">
    <w:name w:val="xl1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273">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274">
    <w:name w:val="TOC 标题2"/>
    <w:basedOn w:val="3"/>
    <w:next w:val="1"/>
    <w:autoRedefine/>
    <w:semiHidden/>
    <w:unhideWhenUsed/>
    <w:qFormat/>
    <w:uiPriority w:val="39"/>
    <w:pPr>
      <w:widowControl/>
      <w:spacing w:before="480" w:line="276" w:lineRule="auto"/>
      <w:ind w:left="0" w:firstLine="0"/>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275">
    <w:name w:val="font0"/>
    <w:basedOn w:val="1"/>
    <w:autoRedefine/>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6">
    <w:name w:val="font27"/>
    <w:basedOn w:val="1"/>
    <w:autoRedefine/>
    <w:qFormat/>
    <w:uiPriority w:val="0"/>
    <w:pPr>
      <w:widowControl/>
      <w:spacing w:before="100" w:beforeAutospacing="1" w:after="100" w:afterAutospacing="1"/>
      <w:jc w:val="left"/>
    </w:pPr>
    <w:rPr>
      <w:rFonts w:ascii="宋体" w:hAnsi="宋体" w:cs="宋体"/>
      <w:b/>
      <w:bCs/>
      <w:color w:val="000000"/>
      <w:kern w:val="0"/>
      <w:sz w:val="20"/>
      <w:szCs w:val="20"/>
      <w:u w:val="single"/>
    </w:rPr>
  </w:style>
  <w:style w:type="paragraph" w:customStyle="1" w:styleId="277">
    <w:name w:val="font28"/>
    <w:basedOn w:val="1"/>
    <w:autoRedefine/>
    <w:qFormat/>
    <w:uiPriority w:val="0"/>
    <w:pPr>
      <w:widowControl/>
      <w:spacing w:before="100" w:beforeAutospacing="1" w:after="100" w:afterAutospacing="1"/>
      <w:jc w:val="left"/>
    </w:pPr>
    <w:rPr>
      <w:rFonts w:ascii="Arial" w:hAnsi="Arial" w:cs="Arial"/>
      <w:b/>
      <w:bCs/>
      <w:color w:val="000000"/>
      <w:kern w:val="0"/>
      <w:sz w:val="20"/>
      <w:szCs w:val="20"/>
      <w:u w:val="single"/>
    </w:rPr>
  </w:style>
  <w:style w:type="paragraph" w:customStyle="1" w:styleId="278">
    <w:name w:val="font29"/>
    <w:basedOn w:val="1"/>
    <w:autoRedefine/>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279">
    <w:name w:val="xl20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color w:val="000000"/>
      <w:kern w:val="0"/>
      <w:sz w:val="20"/>
      <w:szCs w:val="20"/>
    </w:rPr>
  </w:style>
  <w:style w:type="paragraph" w:customStyle="1" w:styleId="280">
    <w:name w:val="xl20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color w:val="000000"/>
      <w:kern w:val="0"/>
      <w:sz w:val="20"/>
      <w:szCs w:val="20"/>
    </w:rPr>
  </w:style>
  <w:style w:type="paragraph" w:customStyle="1" w:styleId="281">
    <w:name w:val="xl2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000000"/>
      <w:kern w:val="0"/>
      <w:sz w:val="20"/>
      <w:szCs w:val="20"/>
    </w:rPr>
  </w:style>
  <w:style w:type="paragraph" w:customStyle="1" w:styleId="282">
    <w:name w:val="xl2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83">
    <w:name w:val="xl2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84">
    <w:name w:val="xl20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285">
    <w:name w:val="xl20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86">
    <w:name w:val="xl208"/>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87">
    <w:name w:val="xl20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88">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89">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90">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91">
    <w:name w:val="xl84"/>
    <w:basedOn w:val="1"/>
    <w:autoRedefine/>
    <w:qFormat/>
    <w:uiPriority w:val="0"/>
    <w:pPr>
      <w:widowControl/>
      <w:spacing w:before="100" w:beforeAutospacing="1" w:after="100" w:afterAutospacing="1"/>
      <w:jc w:val="center"/>
    </w:pPr>
    <w:rPr>
      <w:rFonts w:ascii="宋体" w:hAnsi="宋体" w:cs="宋体"/>
      <w:kern w:val="0"/>
      <w:sz w:val="20"/>
      <w:szCs w:val="20"/>
    </w:rPr>
  </w:style>
  <w:style w:type="paragraph" w:customStyle="1" w:styleId="292">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93">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圆体-简" w:hAnsi="宋体" w:eastAsia="圆体-简" w:cs="宋体"/>
      <w:color w:val="000000"/>
      <w:kern w:val="0"/>
      <w:sz w:val="20"/>
      <w:szCs w:val="20"/>
    </w:rPr>
  </w:style>
  <w:style w:type="paragraph" w:customStyle="1" w:styleId="294">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9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296">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97">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8">
    <w:name w:val="xl2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99">
    <w:name w:val="xl2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30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圆体-简" w:hAnsi="宋体" w:eastAsia="圆体-简" w:cs="宋体"/>
      <w:kern w:val="0"/>
      <w:sz w:val="20"/>
      <w:szCs w:val="20"/>
    </w:rPr>
  </w:style>
  <w:style w:type="paragraph" w:customStyle="1" w:styleId="301">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302">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03">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04">
    <w:name w:val="xl2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u w:val="single"/>
    </w:rPr>
  </w:style>
  <w:style w:type="paragraph" w:customStyle="1" w:styleId="305">
    <w:name w:val="xl2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306">
    <w:name w:val="xl2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07">
    <w:name w:val="xl2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08">
    <w:name w:val="xl2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宋体" w:hAnsi="宋体" w:cs="宋体"/>
      <w:b/>
      <w:bCs/>
      <w:color w:val="000000"/>
      <w:kern w:val="0"/>
      <w:sz w:val="20"/>
      <w:szCs w:val="20"/>
    </w:rPr>
  </w:style>
  <w:style w:type="paragraph" w:customStyle="1" w:styleId="309">
    <w:name w:val="xl22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310">
    <w:name w:val="xl2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311">
    <w:name w:val="xl2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2">
    <w:name w:val="xl2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13">
    <w:name w:val="xl23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14">
    <w:name w:val="xl23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15">
    <w:name w:val="xl23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16">
    <w:name w:val="xl236"/>
    <w:basedOn w:val="1"/>
    <w:autoRedefine/>
    <w:qFormat/>
    <w:uiPriority w:val="0"/>
    <w:pPr>
      <w:widowControl/>
      <w:pBdr>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17">
    <w:name w:val="xl2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18">
    <w:name w:val="xl238"/>
    <w:basedOn w:val="1"/>
    <w:autoRedefine/>
    <w:qFormat/>
    <w:uiPriority w:val="0"/>
    <w:pPr>
      <w:widowControl/>
      <w:pBdr>
        <w:left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319">
    <w:name w:val="xl23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320">
    <w:name w:val="xl24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321">
    <w:name w:val="xl241"/>
    <w:basedOn w:val="1"/>
    <w:autoRedefine/>
    <w:qFormat/>
    <w:uiPriority w:val="0"/>
    <w:pPr>
      <w:widowControl/>
      <w:pBdr>
        <w:left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322">
    <w:name w:val="xl24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323">
    <w:name w:val="xl2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24">
    <w:name w:val="xl244"/>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325">
    <w:name w:val="xl2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0"/>
      <w:szCs w:val="20"/>
    </w:rPr>
  </w:style>
  <w:style w:type="paragraph" w:customStyle="1" w:styleId="326">
    <w:name w:val="xl2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327">
    <w:name w:val="xl2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28">
    <w:name w:val="xl2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29">
    <w:name w:val="xl2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330">
    <w:name w:val="xl2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31">
    <w:name w:val="xl2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332">
    <w:name w:val="xl2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33">
    <w:name w:val="xl2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4">
    <w:name w:val="xl25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35">
    <w:name w:val="xl25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36">
    <w:name w:val="xl25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Arial" w:hAnsi="Arial" w:cs="Arial"/>
      <w:color w:val="000000"/>
      <w:kern w:val="0"/>
      <w:sz w:val="20"/>
      <w:szCs w:val="20"/>
    </w:rPr>
  </w:style>
  <w:style w:type="paragraph" w:customStyle="1" w:styleId="337">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3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color w:val="000000"/>
      <w:kern w:val="0"/>
      <w:sz w:val="20"/>
      <w:szCs w:val="20"/>
    </w:rPr>
  </w:style>
  <w:style w:type="paragraph" w:customStyle="1" w:styleId="33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szCs w:val="20"/>
    </w:rPr>
  </w:style>
  <w:style w:type="paragraph" w:customStyle="1" w:styleId="34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4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kern w:val="0"/>
      <w:sz w:val="20"/>
      <w:szCs w:val="20"/>
    </w:rPr>
  </w:style>
  <w:style w:type="paragraph" w:customStyle="1" w:styleId="342">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43">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0"/>
      <w:szCs w:val="20"/>
    </w:rPr>
  </w:style>
  <w:style w:type="paragraph" w:customStyle="1" w:styleId="344">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kern w:val="0"/>
      <w:sz w:val="20"/>
      <w:szCs w:val="20"/>
    </w:rPr>
  </w:style>
  <w:style w:type="paragraph" w:customStyle="1" w:styleId="345">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color w:val="000000"/>
      <w:kern w:val="0"/>
      <w:sz w:val="20"/>
      <w:szCs w:val="20"/>
    </w:rPr>
  </w:style>
  <w:style w:type="paragraph" w:customStyle="1" w:styleId="346">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kern w:val="0"/>
      <w:sz w:val="20"/>
      <w:szCs w:val="20"/>
    </w:rPr>
  </w:style>
  <w:style w:type="paragraph" w:customStyle="1" w:styleId="347">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kern w:val="0"/>
      <w:sz w:val="20"/>
      <w:szCs w:val="20"/>
    </w:rPr>
  </w:style>
  <w:style w:type="paragraph" w:customStyle="1" w:styleId="34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color w:val="000000"/>
      <w:kern w:val="0"/>
      <w:sz w:val="20"/>
      <w:szCs w:val="20"/>
    </w:rPr>
  </w:style>
  <w:style w:type="paragraph" w:customStyle="1" w:styleId="349">
    <w:name w:val="xl76"/>
    <w:basedOn w:val="1"/>
    <w:autoRedefine/>
    <w:qFormat/>
    <w:uiPriority w:val="0"/>
    <w:pPr>
      <w:widowControl/>
      <w:spacing w:before="100" w:beforeAutospacing="1" w:after="100" w:afterAutospacing="1"/>
      <w:jc w:val="left"/>
    </w:pPr>
    <w:rPr>
      <w:rFonts w:ascii="Arial" w:hAnsi="Arial" w:cs="Arial"/>
      <w:kern w:val="0"/>
      <w:sz w:val="24"/>
    </w:rPr>
  </w:style>
  <w:style w:type="paragraph" w:customStyle="1" w:styleId="350">
    <w:name w:val="xl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Arial" w:hAnsi="Arial" w:cs="Arial"/>
      <w:b/>
      <w:bCs/>
      <w:color w:val="000000"/>
      <w:kern w:val="0"/>
      <w:sz w:val="20"/>
      <w:szCs w:val="20"/>
    </w:rPr>
  </w:style>
  <w:style w:type="paragraph" w:customStyle="1" w:styleId="351">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Arial" w:hAnsi="Arial" w:cs="Arial"/>
      <w:b/>
      <w:bCs/>
      <w:color w:val="000000"/>
      <w:kern w:val="0"/>
      <w:sz w:val="20"/>
      <w:szCs w:val="20"/>
    </w:rPr>
  </w:style>
  <w:style w:type="paragraph" w:customStyle="1" w:styleId="352">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right"/>
      <w:textAlignment w:val="center"/>
    </w:pPr>
    <w:rPr>
      <w:rFonts w:ascii="Arial" w:hAnsi="Arial" w:cs="Arial"/>
      <w:b/>
      <w:bCs/>
      <w:color w:val="000000"/>
      <w:kern w:val="0"/>
      <w:sz w:val="20"/>
      <w:szCs w:val="20"/>
    </w:rPr>
  </w:style>
  <w:style w:type="paragraph" w:customStyle="1" w:styleId="35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4"/>
    </w:rPr>
  </w:style>
  <w:style w:type="paragraph" w:customStyle="1" w:styleId="354">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16"/>
      <w:szCs w:val="16"/>
    </w:rPr>
  </w:style>
  <w:style w:type="paragraph" w:customStyle="1" w:styleId="35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16"/>
      <w:szCs w:val="16"/>
    </w:rPr>
  </w:style>
  <w:style w:type="paragraph" w:customStyle="1" w:styleId="356">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16"/>
      <w:szCs w:val="16"/>
    </w:rPr>
  </w:style>
  <w:style w:type="character" w:customStyle="1" w:styleId="357">
    <w:name w:val="font01"/>
    <w:basedOn w:val="50"/>
    <w:autoRedefine/>
    <w:qFormat/>
    <w:uiPriority w:val="0"/>
    <w:rPr>
      <w:rFonts w:hint="eastAsia" w:ascii="宋体" w:hAnsi="宋体" w:eastAsia="宋体" w:cs="宋体"/>
      <w:color w:val="000000"/>
      <w:sz w:val="20"/>
      <w:szCs w:val="20"/>
      <w:u w:val="none"/>
    </w:rPr>
  </w:style>
  <w:style w:type="character" w:customStyle="1" w:styleId="358">
    <w:name w:val="font191"/>
    <w:basedOn w:val="50"/>
    <w:autoRedefine/>
    <w:qFormat/>
    <w:uiPriority w:val="0"/>
    <w:rPr>
      <w:rFonts w:hint="eastAsia" w:ascii="宋体" w:hAnsi="宋体" w:eastAsia="宋体" w:cs="宋体"/>
      <w:b/>
      <w:color w:val="000000"/>
      <w:sz w:val="20"/>
      <w:szCs w:val="20"/>
      <w:u w:val="none"/>
    </w:rPr>
  </w:style>
  <w:style w:type="character" w:customStyle="1" w:styleId="359">
    <w:name w:val="font161"/>
    <w:basedOn w:val="50"/>
    <w:autoRedefine/>
    <w:qFormat/>
    <w:uiPriority w:val="0"/>
    <w:rPr>
      <w:rFonts w:hint="default" w:ascii="Arial" w:hAnsi="Arial" w:cs="Arial"/>
      <w:b/>
      <w:color w:val="000000"/>
      <w:sz w:val="20"/>
      <w:szCs w:val="20"/>
      <w:u w:val="none"/>
    </w:rPr>
  </w:style>
  <w:style w:type="character" w:customStyle="1" w:styleId="360">
    <w:name w:val="font181"/>
    <w:basedOn w:val="50"/>
    <w:autoRedefine/>
    <w:qFormat/>
    <w:uiPriority w:val="0"/>
    <w:rPr>
      <w:rFonts w:hint="eastAsia" w:ascii="宋体" w:hAnsi="宋体" w:eastAsia="宋体" w:cs="宋体"/>
      <w:color w:val="000000"/>
      <w:sz w:val="20"/>
      <w:szCs w:val="20"/>
      <w:u w:val="none"/>
    </w:rPr>
  </w:style>
  <w:style w:type="character" w:customStyle="1" w:styleId="361">
    <w:name w:val="font171"/>
    <w:basedOn w:val="50"/>
    <w:autoRedefine/>
    <w:qFormat/>
    <w:uiPriority w:val="0"/>
    <w:rPr>
      <w:rFonts w:hint="default" w:ascii="Arial" w:hAnsi="Arial" w:cs="Arial"/>
      <w:color w:val="000000"/>
      <w:sz w:val="20"/>
      <w:szCs w:val="20"/>
      <w:u w:val="none"/>
    </w:rPr>
  </w:style>
  <w:style w:type="character" w:customStyle="1" w:styleId="362">
    <w:name w:val="font112"/>
    <w:basedOn w:val="50"/>
    <w:autoRedefine/>
    <w:qFormat/>
    <w:uiPriority w:val="0"/>
    <w:rPr>
      <w:rFonts w:hint="default" w:ascii="Arial" w:hAnsi="Arial" w:cs="Arial"/>
      <w:color w:val="000000"/>
      <w:sz w:val="16"/>
      <w:szCs w:val="16"/>
      <w:u w:val="none"/>
    </w:rPr>
  </w:style>
  <w:style w:type="character" w:customStyle="1" w:styleId="363">
    <w:name w:val="font101"/>
    <w:basedOn w:val="50"/>
    <w:autoRedefine/>
    <w:qFormat/>
    <w:uiPriority w:val="0"/>
    <w:rPr>
      <w:rFonts w:hint="eastAsia" w:ascii="宋体" w:hAnsi="宋体" w:eastAsia="宋体" w:cs="宋体"/>
      <w:b/>
      <w:color w:val="000000"/>
      <w:sz w:val="20"/>
      <w:szCs w:val="20"/>
      <w:u w:val="none"/>
    </w:rPr>
  </w:style>
  <w:style w:type="character" w:customStyle="1" w:styleId="364">
    <w:name w:val="font91"/>
    <w:basedOn w:val="50"/>
    <w:autoRedefine/>
    <w:qFormat/>
    <w:uiPriority w:val="0"/>
    <w:rPr>
      <w:rFonts w:ascii="Segoe UI Symbol" w:hAnsi="Segoe UI Symbol" w:eastAsia="Segoe UI Symbol" w:cs="Segoe UI Symbol"/>
      <w:color w:val="000000"/>
      <w:sz w:val="20"/>
      <w:szCs w:val="20"/>
      <w:u w:val="none"/>
    </w:rPr>
  </w:style>
  <w:style w:type="character" w:customStyle="1" w:styleId="365">
    <w:name w:val="font81"/>
    <w:basedOn w:val="50"/>
    <w:autoRedefine/>
    <w:qFormat/>
    <w:uiPriority w:val="0"/>
    <w:rPr>
      <w:rFonts w:hint="default" w:ascii="Arial" w:hAnsi="Arial" w:cs="Arial"/>
      <w:color w:val="000000"/>
      <w:sz w:val="24"/>
      <w:szCs w:val="24"/>
      <w:u w:val="none"/>
      <w:vertAlign w:val="superscript"/>
    </w:rPr>
  </w:style>
  <w:style w:type="character" w:customStyle="1" w:styleId="366">
    <w:name w:val="font212"/>
    <w:basedOn w:val="50"/>
    <w:autoRedefine/>
    <w:qFormat/>
    <w:uiPriority w:val="0"/>
    <w:rPr>
      <w:rFonts w:hint="default" w:ascii="Arial" w:hAnsi="Arial" w:cs="Arial"/>
      <w:color w:val="000000"/>
      <w:sz w:val="20"/>
      <w:szCs w:val="20"/>
      <w:u w:val="none"/>
    </w:rPr>
  </w:style>
  <w:style w:type="character" w:customStyle="1" w:styleId="367">
    <w:name w:val="font131"/>
    <w:basedOn w:val="50"/>
    <w:autoRedefine/>
    <w:qFormat/>
    <w:uiPriority w:val="0"/>
    <w:rPr>
      <w:rFonts w:hint="eastAsia" w:ascii="宋体" w:hAnsi="宋体" w:eastAsia="宋体" w:cs="宋体"/>
      <w:color w:val="000000"/>
      <w:sz w:val="20"/>
      <w:szCs w:val="20"/>
      <w:u w:val="none"/>
    </w:rPr>
  </w:style>
  <w:style w:type="character" w:customStyle="1" w:styleId="368">
    <w:name w:val="font241"/>
    <w:basedOn w:val="50"/>
    <w:autoRedefine/>
    <w:qFormat/>
    <w:uiPriority w:val="0"/>
    <w:rPr>
      <w:rFonts w:hint="eastAsia" w:ascii="宋体" w:hAnsi="宋体" w:eastAsia="宋体" w:cs="宋体"/>
      <w:color w:val="000000"/>
      <w:sz w:val="20"/>
      <w:szCs w:val="20"/>
      <w:u w:val="none"/>
    </w:rPr>
  </w:style>
  <w:style w:type="character" w:customStyle="1" w:styleId="369">
    <w:name w:val="font231"/>
    <w:basedOn w:val="50"/>
    <w:autoRedefine/>
    <w:qFormat/>
    <w:uiPriority w:val="0"/>
    <w:rPr>
      <w:rFonts w:hint="default" w:ascii="Arial" w:hAnsi="Arial" w:cs="Arial"/>
      <w:color w:val="000000"/>
      <w:sz w:val="20"/>
      <w:szCs w:val="20"/>
      <w:u w:val="none"/>
    </w:rPr>
  </w:style>
  <w:style w:type="character" w:customStyle="1" w:styleId="370">
    <w:name w:val="font71"/>
    <w:basedOn w:val="50"/>
    <w:autoRedefine/>
    <w:qFormat/>
    <w:uiPriority w:val="0"/>
    <w:rPr>
      <w:rFonts w:ascii="微软雅黑" w:hAnsi="微软雅黑" w:eastAsia="微软雅黑" w:cs="微软雅黑"/>
      <w:color w:val="000000"/>
      <w:sz w:val="20"/>
      <w:szCs w:val="20"/>
      <w:u w:val="none"/>
    </w:rPr>
  </w:style>
  <w:style w:type="character" w:customStyle="1" w:styleId="371">
    <w:name w:val="font51"/>
    <w:basedOn w:val="50"/>
    <w:autoRedefine/>
    <w:qFormat/>
    <w:uiPriority w:val="0"/>
    <w:rPr>
      <w:rFonts w:hint="eastAsia" w:ascii="宋体" w:hAnsi="宋体" w:eastAsia="宋体" w:cs="宋体"/>
      <w:color w:val="000000"/>
      <w:sz w:val="20"/>
      <w:szCs w:val="20"/>
      <w:u w:val="none"/>
    </w:rPr>
  </w:style>
  <w:style w:type="character" w:customStyle="1" w:styleId="372">
    <w:name w:val="font121"/>
    <w:basedOn w:val="50"/>
    <w:autoRedefine/>
    <w:qFormat/>
    <w:uiPriority w:val="0"/>
    <w:rPr>
      <w:rFonts w:hint="default" w:ascii="Arial" w:hAnsi="Arial" w:cs="Arial"/>
      <w:color w:val="000000"/>
      <w:sz w:val="20"/>
      <w:szCs w:val="20"/>
      <w:u w:val="none"/>
    </w:rPr>
  </w:style>
  <w:style w:type="character" w:customStyle="1" w:styleId="373">
    <w:name w:val="font132"/>
    <w:basedOn w:val="50"/>
    <w:autoRedefine/>
    <w:qFormat/>
    <w:uiPriority w:val="0"/>
    <w:rPr>
      <w:rFonts w:hint="eastAsia" w:ascii="宋体" w:hAnsi="宋体" w:eastAsia="宋体" w:cs="宋体"/>
      <w:color w:val="000000"/>
      <w:sz w:val="20"/>
      <w:szCs w:val="20"/>
      <w:u w:val="none"/>
    </w:rPr>
  </w:style>
  <w:style w:type="character" w:customStyle="1" w:styleId="374">
    <w:name w:val="font111"/>
    <w:basedOn w:val="50"/>
    <w:autoRedefine/>
    <w:qFormat/>
    <w:uiPriority w:val="0"/>
    <w:rPr>
      <w:rFonts w:hint="default" w:ascii="Arial" w:hAnsi="Arial" w:cs="Arial"/>
      <w:color w:val="000000"/>
      <w:sz w:val="20"/>
      <w:szCs w:val="20"/>
      <w:u w:val="none"/>
    </w:rPr>
  </w:style>
  <w:style w:type="character" w:customStyle="1" w:styleId="375">
    <w:name w:val="font122"/>
    <w:basedOn w:val="50"/>
    <w:autoRedefine/>
    <w:qFormat/>
    <w:uiPriority w:val="0"/>
    <w:rPr>
      <w:rFonts w:hint="eastAsia" w:ascii="宋体" w:hAnsi="宋体" w:eastAsia="宋体" w:cs="宋体"/>
      <w:color w:val="000000"/>
      <w:sz w:val="20"/>
      <w:szCs w:val="20"/>
      <w:u w:val="none"/>
    </w:rPr>
  </w:style>
  <w:style w:type="character" w:customStyle="1" w:styleId="376">
    <w:name w:val="font222"/>
    <w:basedOn w:val="50"/>
    <w:autoRedefine/>
    <w:qFormat/>
    <w:uiPriority w:val="0"/>
    <w:rPr>
      <w:rFonts w:hint="eastAsia" w:ascii="宋体" w:hAnsi="宋体" w:eastAsia="宋体" w:cs="宋体"/>
      <w:b/>
      <w:color w:val="000000"/>
      <w:sz w:val="20"/>
      <w:szCs w:val="20"/>
      <w:u w:val="none"/>
    </w:rPr>
  </w:style>
  <w:style w:type="character" w:customStyle="1" w:styleId="377">
    <w:name w:val="font211"/>
    <w:basedOn w:val="50"/>
    <w:autoRedefine/>
    <w:qFormat/>
    <w:uiPriority w:val="0"/>
    <w:rPr>
      <w:rFonts w:hint="default" w:ascii="Arial" w:hAnsi="Arial" w:cs="Arial"/>
      <w:color w:val="000000"/>
      <w:sz w:val="20"/>
      <w:szCs w:val="20"/>
      <w:u w:val="none"/>
    </w:rPr>
  </w:style>
  <w:style w:type="character" w:customStyle="1" w:styleId="378">
    <w:name w:val="font201"/>
    <w:basedOn w:val="50"/>
    <w:autoRedefine/>
    <w:qFormat/>
    <w:uiPriority w:val="0"/>
    <w:rPr>
      <w:rFonts w:hint="default" w:ascii="Arial" w:hAnsi="Arial" w:cs="Arial"/>
      <w:color w:val="000000"/>
      <w:sz w:val="20"/>
      <w:szCs w:val="20"/>
      <w:u w:val="none"/>
    </w:rPr>
  </w:style>
  <w:style w:type="character" w:customStyle="1" w:styleId="379">
    <w:name w:val="font151"/>
    <w:basedOn w:val="50"/>
    <w:autoRedefine/>
    <w:qFormat/>
    <w:uiPriority w:val="0"/>
    <w:rPr>
      <w:rFonts w:hint="eastAsia" w:ascii="宋体" w:hAnsi="宋体" w:eastAsia="宋体" w:cs="宋体"/>
      <w:color w:val="000000"/>
      <w:sz w:val="16"/>
      <w:szCs w:val="16"/>
      <w:u w:val="none"/>
    </w:rPr>
  </w:style>
  <w:style w:type="character" w:customStyle="1" w:styleId="380">
    <w:name w:val="font141"/>
    <w:basedOn w:val="50"/>
    <w:autoRedefine/>
    <w:qFormat/>
    <w:uiPriority w:val="0"/>
    <w:rPr>
      <w:rFonts w:hint="eastAsia" w:ascii="宋体" w:hAnsi="宋体" w:eastAsia="宋体" w:cs="宋体"/>
      <w:b/>
      <w:color w:val="000000"/>
      <w:sz w:val="20"/>
      <w:szCs w:val="20"/>
      <w:u w:val="none"/>
    </w:rPr>
  </w:style>
  <w:style w:type="paragraph" w:customStyle="1" w:styleId="381">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82">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83">
    <w:name w:val="编号，小四"/>
    <w:basedOn w:val="1"/>
    <w:autoRedefine/>
    <w:qFormat/>
    <w:uiPriority w:val="0"/>
    <w:pPr>
      <w:widowControl/>
      <w:tabs>
        <w:tab w:val="left" w:pos="2211"/>
      </w:tabs>
      <w:spacing w:line="360" w:lineRule="auto"/>
      <w:ind w:left="2211" w:hanging="510"/>
      <w:jc w:val="left"/>
    </w:pPr>
    <w:rPr>
      <w:rFonts w:ascii="Arial" w:hAnsi="Arial" w:cs="宋体"/>
      <w:kern w:val="0"/>
      <w:sz w:val="24"/>
      <w:szCs w:val="20"/>
    </w:rPr>
  </w:style>
  <w:style w:type="paragraph" w:customStyle="1" w:styleId="384">
    <w:name w:val="标准正文"/>
    <w:basedOn w:val="1"/>
    <w:autoRedefine/>
    <w:qFormat/>
    <w:uiPriority w:val="0"/>
    <w:pPr>
      <w:widowControl/>
      <w:spacing w:before="156" w:after="156" w:line="360" w:lineRule="auto"/>
      <w:ind w:firstLine="480" w:firstLineChars="200"/>
      <w:jc w:val="left"/>
    </w:pPr>
    <w:rPr>
      <w:kern w:val="0"/>
      <w:sz w:val="24"/>
      <w:szCs w:val="20"/>
      <w:lang w:val="zh-CN"/>
    </w:rPr>
  </w:style>
  <w:style w:type="paragraph" w:customStyle="1" w:styleId="385">
    <w:name w:val="首行缩进"/>
    <w:basedOn w:val="1"/>
    <w:autoRedefine/>
    <w:qFormat/>
    <w:uiPriority w:val="0"/>
    <w:pPr>
      <w:widowControl/>
      <w:ind w:firstLine="480" w:firstLineChars="200"/>
      <w:jc w:val="left"/>
    </w:pPr>
    <w:rPr>
      <w:rFonts w:ascii="宋体" w:hAnsi="宋体" w:cs="宋体"/>
      <w:kern w:val="0"/>
      <w:sz w:val="24"/>
      <w:lang w:val="zh-CN"/>
    </w:rPr>
  </w:style>
  <w:style w:type="paragraph" w:customStyle="1" w:styleId="386">
    <w:name w:val="SANGFOR_6_正文"/>
    <w:basedOn w:val="1"/>
    <w:autoRedefine/>
    <w:qFormat/>
    <w:uiPriority w:val="0"/>
    <w:pPr>
      <w:widowControl/>
      <w:spacing w:line="360" w:lineRule="auto"/>
      <w:jc w:val="left"/>
    </w:pPr>
    <w:rPr>
      <w:rFonts w:ascii="宋体" w:hAnsi="宋体" w:cs="宋体"/>
      <w:kern w:val="0"/>
      <w:sz w:val="24"/>
      <w:szCs w:val="21"/>
    </w:rPr>
  </w:style>
  <w:style w:type="paragraph" w:customStyle="1" w:styleId="387">
    <w:name w:val="列表段落1"/>
    <w:basedOn w:val="1"/>
    <w:autoRedefine/>
    <w:qFormat/>
    <w:uiPriority w:val="34"/>
    <w:pPr>
      <w:widowControl/>
      <w:ind w:firstLine="420" w:firstLineChars="200"/>
      <w:jc w:val="left"/>
    </w:pPr>
    <w:rPr>
      <w:rFonts w:ascii="宋体" w:hAnsi="宋体" w:cs="宋体"/>
      <w:kern w:val="0"/>
      <w:sz w:val="24"/>
    </w:rPr>
  </w:style>
  <w:style w:type="paragraph" w:customStyle="1" w:styleId="388">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89">
    <w:name w:val="样式2 Char Char"/>
    <w:link w:val="390"/>
    <w:autoRedefine/>
    <w:qFormat/>
    <w:uiPriority w:val="0"/>
    <w:rPr>
      <w:rFonts w:ascii="Calibri" w:hAnsi="Calibri" w:eastAsia="微软雅黑"/>
      <w:b/>
      <w:color w:val="FF6600"/>
      <w:sz w:val="24"/>
    </w:rPr>
  </w:style>
  <w:style w:type="paragraph" w:customStyle="1" w:styleId="390">
    <w:name w:val="样式2"/>
    <w:basedOn w:val="1"/>
    <w:link w:val="389"/>
    <w:autoRedefine/>
    <w:qFormat/>
    <w:uiPriority w:val="0"/>
    <w:pPr>
      <w:widowControl/>
      <w:overflowPunct w:val="0"/>
      <w:autoSpaceDE w:val="0"/>
      <w:autoSpaceDN w:val="0"/>
      <w:adjustRightInd w:val="0"/>
      <w:spacing w:line="336" w:lineRule="auto"/>
      <w:jc w:val="left"/>
    </w:pPr>
    <w:rPr>
      <w:rFonts w:ascii="Calibri" w:hAnsi="Calibri" w:eastAsia="微软雅黑"/>
      <w:b/>
      <w:color w:val="FF6600"/>
      <w:kern w:val="0"/>
      <w:sz w:val="24"/>
      <w:szCs w:val="20"/>
    </w:rPr>
  </w:style>
  <w:style w:type="paragraph" w:customStyle="1" w:styleId="391">
    <w:name w:val="样式4"/>
    <w:basedOn w:val="1"/>
    <w:autoRedefine/>
    <w:qFormat/>
    <w:uiPriority w:val="0"/>
    <w:pPr>
      <w:numPr>
        <w:ilvl w:val="0"/>
        <w:numId w:val="4"/>
      </w:numPr>
      <w:tabs>
        <w:tab w:val="left" w:pos="720"/>
      </w:tabs>
      <w:overflowPunct w:val="0"/>
      <w:autoSpaceDE w:val="0"/>
      <w:autoSpaceDN w:val="0"/>
      <w:adjustRightInd w:val="0"/>
      <w:spacing w:line="336" w:lineRule="auto"/>
      <w:jc w:val="left"/>
    </w:pPr>
    <w:rPr>
      <w:rFonts w:ascii="Calibri" w:hAnsi="Calibri" w:eastAsia="微软雅黑"/>
      <w:color w:val="808080"/>
      <w:kern w:val="0"/>
      <w:sz w:val="24"/>
      <w:szCs w:val="21"/>
    </w:rPr>
  </w:style>
  <w:style w:type="paragraph" w:customStyle="1" w:styleId="392">
    <w:name w:val="样式3"/>
    <w:basedOn w:val="1"/>
    <w:autoRedefine/>
    <w:qFormat/>
    <w:uiPriority w:val="0"/>
    <w:pPr>
      <w:numPr>
        <w:ilvl w:val="0"/>
        <w:numId w:val="5"/>
      </w:numPr>
      <w:tabs>
        <w:tab w:val="left" w:pos="360"/>
      </w:tabs>
      <w:overflowPunct w:val="0"/>
      <w:autoSpaceDE w:val="0"/>
      <w:autoSpaceDN w:val="0"/>
      <w:adjustRightInd w:val="0"/>
      <w:spacing w:line="336" w:lineRule="auto"/>
      <w:ind w:right="210" w:rightChars="100"/>
      <w:jc w:val="left"/>
    </w:pPr>
    <w:rPr>
      <w:rFonts w:ascii="Calibri" w:hAnsi="Calibri" w:eastAsia="微软雅黑" w:cs="宋体"/>
      <w:color w:val="808080"/>
      <w:kern w:val="0"/>
      <w:sz w:val="24"/>
      <w:lang w:val="zh-CN"/>
    </w:rPr>
  </w:style>
  <w:style w:type="character" w:customStyle="1" w:styleId="393">
    <w:name w:val="3zw1"/>
    <w:autoRedefine/>
    <w:qFormat/>
    <w:uiPriority w:val="0"/>
    <w:rPr>
      <w:rFonts w:ascii="Times New Roman"/>
    </w:rPr>
  </w:style>
  <w:style w:type="paragraph" w:customStyle="1" w:styleId="394">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95">
    <w:name w:val="正文首行缩进（深信服）"/>
    <w:basedOn w:val="1"/>
    <w:autoRedefine/>
    <w:qFormat/>
    <w:uiPriority w:val="0"/>
    <w:pPr>
      <w:widowControl/>
      <w:spacing w:after="50" w:line="360" w:lineRule="auto"/>
      <w:ind w:firstLine="480" w:firstLineChars="200"/>
      <w:jc w:val="left"/>
    </w:pPr>
    <w:rPr>
      <w:rFonts w:ascii="Arial" w:hAnsi="Arial"/>
      <w:kern w:val="0"/>
      <w:sz w:val="24"/>
      <w:szCs w:val="21"/>
    </w:rPr>
  </w:style>
  <w:style w:type="paragraph" w:customStyle="1" w:styleId="396">
    <w:name w:val="正文首行缩进1"/>
    <w:basedOn w:val="21"/>
    <w:autoRedefine/>
    <w:qFormat/>
    <w:uiPriority w:val="0"/>
    <w:pPr>
      <w:widowControl/>
      <w:spacing w:line="360" w:lineRule="auto"/>
      <w:ind w:firstLine="200" w:firstLineChars="200"/>
      <w:jc w:val="left"/>
    </w:pPr>
    <w:rPr>
      <w:rFonts w:eastAsia="仿宋_GB2312"/>
      <w:kern w:val="0"/>
      <w:sz w:val="28"/>
    </w:rPr>
  </w:style>
  <w:style w:type="paragraph" w:customStyle="1" w:styleId="397">
    <w:name w:val="4级标题"/>
    <w:basedOn w:val="66"/>
    <w:autoRedefine/>
    <w:qFormat/>
    <w:uiPriority w:val="0"/>
    <w:pPr>
      <w:keepLines/>
      <w:widowControl/>
      <w:numPr>
        <w:ilvl w:val="3"/>
        <w:numId w:val="6"/>
      </w:numPr>
      <w:spacing w:line="360" w:lineRule="auto"/>
      <w:ind w:firstLineChars="0"/>
      <w:contextualSpacing/>
      <w:jc w:val="left"/>
      <w:outlineLvl w:val="3"/>
    </w:pPr>
    <w:rPr>
      <w:rFonts w:ascii="黑体" w:hAnsi="黑体" w:eastAsia="黑体"/>
      <w:sz w:val="24"/>
      <w:szCs w:val="24"/>
      <w:lang w:eastAsia="en-US" w:bidi="en-US"/>
    </w:rPr>
  </w:style>
  <w:style w:type="paragraph" w:customStyle="1" w:styleId="398">
    <w:name w:val="3级标题"/>
    <w:basedOn w:val="66"/>
    <w:link w:val="400"/>
    <w:autoRedefine/>
    <w:qFormat/>
    <w:uiPriority w:val="0"/>
    <w:pPr>
      <w:keepLines/>
      <w:widowControl/>
      <w:numPr>
        <w:ilvl w:val="2"/>
        <w:numId w:val="6"/>
      </w:numPr>
      <w:spacing w:before="120" w:after="120" w:line="360" w:lineRule="auto"/>
      <w:ind w:firstLineChars="0"/>
      <w:contextualSpacing/>
      <w:jc w:val="left"/>
      <w:outlineLvl w:val="2"/>
    </w:pPr>
    <w:rPr>
      <w:rFonts w:ascii="黑体" w:hAnsi="黑体" w:eastAsia="黑体"/>
      <w:sz w:val="28"/>
      <w:szCs w:val="36"/>
      <w:lang w:eastAsia="en-US" w:bidi="en-US"/>
    </w:rPr>
  </w:style>
  <w:style w:type="paragraph" w:customStyle="1" w:styleId="399">
    <w:name w:val="样式 首行缩进:  0 字符"/>
    <w:basedOn w:val="1"/>
    <w:link w:val="402"/>
    <w:autoRedefine/>
    <w:qFormat/>
    <w:uiPriority w:val="0"/>
    <w:pPr>
      <w:widowControl/>
      <w:spacing w:line="360" w:lineRule="auto"/>
      <w:ind w:firstLine="200" w:firstLineChars="200"/>
      <w:jc w:val="left"/>
    </w:pPr>
    <w:rPr>
      <w:rFonts w:cs="宋体"/>
      <w:kern w:val="0"/>
      <w:sz w:val="24"/>
      <w:szCs w:val="20"/>
    </w:rPr>
  </w:style>
  <w:style w:type="character" w:customStyle="1" w:styleId="400">
    <w:name w:val="3级标题 Char"/>
    <w:link w:val="398"/>
    <w:autoRedefine/>
    <w:qFormat/>
    <w:uiPriority w:val="0"/>
    <w:rPr>
      <w:rFonts w:ascii="黑体" w:hAnsi="黑体" w:eastAsia="黑体"/>
      <w:sz w:val="28"/>
      <w:szCs w:val="36"/>
      <w:lang w:eastAsia="en-US" w:bidi="en-US"/>
    </w:rPr>
  </w:style>
  <w:style w:type="character" w:customStyle="1" w:styleId="401">
    <w:name w:val="列表段落 字符"/>
    <w:link w:val="65"/>
    <w:autoRedefine/>
    <w:qFormat/>
    <w:locked/>
    <w:uiPriority w:val="34"/>
    <w:rPr>
      <w:rFonts w:ascii="Calibri" w:hAnsi="Calibri"/>
      <w:kern w:val="2"/>
      <w:sz w:val="21"/>
      <w:szCs w:val="22"/>
    </w:rPr>
  </w:style>
  <w:style w:type="character" w:customStyle="1" w:styleId="402">
    <w:name w:val="样式 首行缩进:  0 字符 Char"/>
    <w:link w:val="399"/>
    <w:autoRedefine/>
    <w:qFormat/>
    <w:locked/>
    <w:uiPriority w:val="0"/>
    <w:rPr>
      <w:rFonts w:cs="宋体"/>
      <w:sz w:val="24"/>
    </w:rPr>
  </w:style>
  <w:style w:type="paragraph" w:customStyle="1" w:styleId="403">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404">
    <w:name w:val="正文 A A"/>
    <w:autoRedefine/>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405">
    <w:name w:val="列表段落11"/>
    <w:basedOn w:val="1"/>
    <w:autoRedefine/>
    <w:qFormat/>
    <w:uiPriority w:val="34"/>
    <w:pPr>
      <w:ind w:firstLine="420" w:firstLineChars="200"/>
    </w:pPr>
    <w:rPr>
      <w:rFonts w:ascii="Calibri" w:hAnsi="Calibri"/>
      <w:szCs w:val="22"/>
    </w:rPr>
  </w:style>
  <w:style w:type="paragraph" w:customStyle="1" w:styleId="406">
    <w:name w:val="0表格样式"/>
    <w:autoRedefine/>
    <w:qFormat/>
    <w:uiPriority w:val="0"/>
    <w:rPr>
      <w:rFonts w:ascii="Calibri" w:hAnsi="Calibri" w:eastAsia="仿宋" w:cs="仿宋_GB2312"/>
      <w:kern w:val="2"/>
      <w:sz w:val="21"/>
      <w:szCs w:val="28"/>
      <w:lang w:val="en-US" w:eastAsia="zh-CN" w:bidi="ar-SA"/>
    </w:rPr>
  </w:style>
  <w:style w:type="paragraph" w:customStyle="1" w:styleId="407">
    <w:name w:val="修订3"/>
    <w:autoRedefine/>
    <w:hidden/>
    <w:semiHidden/>
    <w:qFormat/>
    <w:uiPriority w:val="99"/>
    <w:rPr>
      <w:rFonts w:ascii="宋体" w:hAnsi="宋体" w:eastAsia="宋体" w:cs="宋体"/>
      <w:sz w:val="24"/>
      <w:szCs w:val="24"/>
      <w:lang w:val="en-US" w:eastAsia="zh-CN" w:bidi="ar-SA"/>
    </w:rPr>
  </w:style>
  <w:style w:type="character" w:customStyle="1" w:styleId="408">
    <w:name w:val="方案正文 Char"/>
    <w:link w:val="409"/>
    <w:autoRedefine/>
    <w:qFormat/>
    <w:locked/>
    <w:uiPriority w:val="0"/>
    <w:rPr>
      <w:rFonts w:ascii="宋体" w:hAnsi="宋体" w:eastAsia="微软雅黑" w:cs="宋体"/>
      <w:color w:val="000000"/>
      <w:sz w:val="24"/>
    </w:rPr>
  </w:style>
  <w:style w:type="paragraph" w:customStyle="1" w:styleId="409">
    <w:name w:val="方案正文"/>
    <w:basedOn w:val="1"/>
    <w:link w:val="408"/>
    <w:autoRedefine/>
    <w:qFormat/>
    <w:uiPriority w:val="0"/>
    <w:pPr>
      <w:widowControl/>
      <w:adjustRightInd w:val="0"/>
      <w:snapToGrid w:val="0"/>
      <w:spacing w:line="288" w:lineRule="auto"/>
      <w:ind w:firstLine="200" w:firstLineChars="200"/>
    </w:pPr>
    <w:rPr>
      <w:rFonts w:ascii="宋体" w:hAnsi="宋体" w:eastAsia="微软雅黑" w:cs="宋体"/>
      <w:color w:val="000000"/>
      <w:kern w:val="0"/>
      <w:sz w:val="24"/>
      <w:szCs w:val="20"/>
    </w:rPr>
  </w:style>
  <w:style w:type="paragraph" w:customStyle="1" w:styleId="410">
    <w:name w:val="技术文档正文"/>
    <w:basedOn w:val="1"/>
    <w:autoRedefine/>
    <w:qFormat/>
    <w:uiPriority w:val="0"/>
    <w:pPr>
      <w:spacing w:line="360" w:lineRule="auto"/>
      <w:ind w:firstLine="200" w:firstLineChars="200"/>
    </w:pPr>
    <w:rPr>
      <w:rFonts w:cstheme="minorBidi"/>
      <w:sz w:val="24"/>
      <w:szCs w:val="21"/>
    </w:rPr>
  </w:style>
  <w:style w:type="character" w:customStyle="1" w:styleId="411">
    <w:name w:val="题注 字符"/>
    <w:link w:val="16"/>
    <w:autoRedefine/>
    <w:qFormat/>
    <w:uiPriority w:val="35"/>
    <w:rPr>
      <w:rFonts w:ascii="Arial Unicode MS" w:hAnsi="Arial Unicode MS" w:cs="宋体"/>
      <w:sz w:val="24"/>
    </w:rPr>
  </w:style>
  <w:style w:type="character" w:customStyle="1" w:styleId="412">
    <w:name w:val="未处理的提及1"/>
    <w:basedOn w:val="50"/>
    <w:autoRedefine/>
    <w:semiHidden/>
    <w:unhideWhenUsed/>
    <w:qFormat/>
    <w:uiPriority w:val="99"/>
    <w:rPr>
      <w:color w:val="605E5C"/>
      <w:shd w:val="clear" w:color="auto" w:fill="E1DFDD"/>
    </w:rPr>
  </w:style>
  <w:style w:type="character" w:customStyle="1" w:styleId="413">
    <w:name w:val="日期 字符"/>
    <w:basedOn w:val="50"/>
    <w:link w:val="28"/>
    <w:autoRedefine/>
    <w:qFormat/>
    <w:uiPriority w:val="99"/>
    <w:rPr>
      <w:rFonts w:eastAsia="楷体_GB2312" w:asciiTheme="minorHAnsi" w:hAnsiTheme="minorHAnsi" w:cstheme="minorBidi"/>
      <w:kern w:val="2"/>
      <w:sz w:val="32"/>
      <w:szCs w:val="22"/>
    </w:rPr>
  </w:style>
  <w:style w:type="character" w:customStyle="1" w:styleId="414">
    <w:name w:val="param-explain"/>
    <w:basedOn w:val="50"/>
    <w:autoRedefine/>
    <w:qFormat/>
    <w:uiPriority w:val="0"/>
  </w:style>
  <w:style w:type="character" w:customStyle="1" w:styleId="415">
    <w:name w:val="HTML 预设格式 字符"/>
    <w:basedOn w:val="50"/>
    <w:link w:val="43"/>
    <w:autoRedefine/>
    <w:qFormat/>
    <w:uiPriority w:val="99"/>
    <w:rPr>
      <w:rFonts w:ascii="宋体" w:hAnsi="宋体" w:cs="宋体"/>
      <w:sz w:val="24"/>
      <w:szCs w:val="24"/>
    </w:rPr>
  </w:style>
  <w:style w:type="character" w:customStyle="1" w:styleId="416">
    <w:name w:val="标题 字符"/>
    <w:basedOn w:val="50"/>
    <w:link w:val="45"/>
    <w:autoRedefine/>
    <w:qFormat/>
    <w:uiPriority w:val="0"/>
    <w:rPr>
      <w:rFonts w:ascii="Arial" w:hAnsi="Arial"/>
      <w:b/>
      <w:bCs/>
      <w:kern w:val="36"/>
      <w:sz w:val="32"/>
      <w:szCs w:val="32"/>
    </w:rPr>
  </w:style>
  <w:style w:type="paragraph" w:customStyle="1" w:styleId="417">
    <w:name w:val="Char1"/>
    <w:basedOn w:val="1"/>
    <w:autoRedefine/>
    <w:qFormat/>
    <w:uiPriority w:val="0"/>
    <w:rPr>
      <w:rFonts w:ascii="Tahoma" w:hAnsi="Tahoma"/>
      <w:sz w:val="24"/>
      <w:szCs w:val="20"/>
    </w:rPr>
  </w:style>
  <w:style w:type="paragraph" w:customStyle="1" w:styleId="418">
    <w:name w:val="正文（首行缩进2字符）"/>
    <w:basedOn w:val="1"/>
    <w:autoRedefine/>
    <w:qFormat/>
    <w:uiPriority w:val="0"/>
    <w:pPr>
      <w:ind w:firstLine="480" w:firstLineChars="200"/>
    </w:pPr>
    <w:rPr>
      <w:sz w:val="24"/>
      <w:szCs w:val="20"/>
    </w:rPr>
  </w:style>
  <w:style w:type="paragraph" w:customStyle="1" w:styleId="419">
    <w:name w:val="表格内文"/>
    <w:basedOn w:val="1"/>
    <w:autoRedefine/>
    <w:qFormat/>
    <w:uiPriority w:val="99"/>
    <w:pPr>
      <w:spacing w:line="400" w:lineRule="exact"/>
    </w:pPr>
    <w:rPr>
      <w:rFonts w:ascii="Arial" w:hAnsi="Arial" w:cs="宋体"/>
      <w:szCs w:val="20"/>
    </w:rPr>
  </w:style>
  <w:style w:type="paragraph" w:customStyle="1" w:styleId="420">
    <w:name w:val="_Style 1"/>
    <w:autoRedefine/>
    <w:qFormat/>
    <w:uiPriority w:val="99"/>
    <w:rPr>
      <w:rFonts w:ascii="Calibri" w:hAnsi="Calibri" w:eastAsia="宋体" w:cs="Times New Roman"/>
      <w:kern w:val="2"/>
      <w:sz w:val="28"/>
      <w:szCs w:val="22"/>
      <w:lang w:val="en-US" w:eastAsia="zh-CN" w:bidi="ar-SA"/>
    </w:rPr>
  </w:style>
  <w:style w:type="character" w:customStyle="1" w:styleId="421">
    <w:name w:val="NormalCharacter"/>
    <w:autoRedefine/>
    <w:semiHidden/>
    <w:qFormat/>
    <w:uiPriority w:val="0"/>
  </w:style>
  <w:style w:type="paragraph" w:customStyle="1" w:styleId="422">
    <w:name w:val="_Style 116"/>
    <w:autoRedefine/>
    <w:qFormat/>
    <w:uiPriority w:val="99"/>
    <w:rPr>
      <w:rFonts w:ascii="Times New Roman" w:hAnsi="Times New Roman" w:eastAsia="宋体" w:cs="Times New Roman"/>
      <w:sz w:val="24"/>
      <w:szCs w:val="22"/>
      <w:lang w:val="en-US" w:eastAsia="zh-CN" w:bidi="ar-SA"/>
    </w:rPr>
  </w:style>
  <w:style w:type="paragraph" w:customStyle="1" w:styleId="423">
    <w:name w:val="hea"/>
    <w:basedOn w:val="1"/>
    <w:next w:val="1"/>
    <w:autoRedefine/>
    <w:qFormat/>
    <w:uiPriority w:val="0"/>
    <w:pPr>
      <w:keepNext/>
      <w:keepLines/>
      <w:numPr>
        <w:ilvl w:val="0"/>
        <w:numId w:val="7"/>
      </w:numPr>
      <w:spacing w:before="340" w:after="330" w:line="578" w:lineRule="auto"/>
      <w:outlineLvl w:val="0"/>
    </w:pPr>
    <w:rPr>
      <w:b/>
      <w:bCs/>
      <w:kern w:val="44"/>
      <w:sz w:val="44"/>
      <w:szCs w:val="44"/>
    </w:rPr>
  </w:style>
  <w:style w:type="paragraph" w:customStyle="1" w:styleId="424">
    <w:name w:val="￥正文"/>
    <w:basedOn w:val="1"/>
    <w:autoRedefine/>
    <w:qFormat/>
    <w:uiPriority w:val="0"/>
    <w:pPr>
      <w:ind w:firstLine="200" w:firstLineChars="200"/>
    </w:pPr>
    <w:rPr>
      <w:rFonts w:ascii="Calibri" w:hAnsi="Calibri"/>
    </w:rPr>
  </w:style>
  <w:style w:type="paragraph" w:customStyle="1" w:styleId="425">
    <w:name w:val="正文空格"/>
    <w:basedOn w:val="1"/>
    <w:next w:val="1"/>
    <w:autoRedefine/>
    <w:qFormat/>
    <w:uiPriority w:val="0"/>
    <w:pPr>
      <w:spacing w:line="400" w:lineRule="exact"/>
      <w:ind w:firstLine="200" w:firstLineChars="200"/>
    </w:pPr>
    <w:rPr>
      <w:sz w:val="24"/>
      <w:szCs w:val="22"/>
    </w:rPr>
  </w:style>
  <w:style w:type="paragraph" w:customStyle="1" w:styleId="426">
    <w:name w:val="纯文本11"/>
    <w:basedOn w:val="1"/>
    <w:autoRedefine/>
    <w:qFormat/>
    <w:uiPriority w:val="0"/>
    <w:rPr>
      <w:rFonts w:ascii="宋体" w:hAnsi="Courier New"/>
    </w:rPr>
  </w:style>
  <w:style w:type="paragraph" w:customStyle="1" w:styleId="427">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28">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429">
    <w:name w:val="Body Text First Indent 21"/>
    <w:basedOn w:val="1"/>
    <w:autoRedefine/>
    <w:qFormat/>
    <w:uiPriority w:val="0"/>
    <w:pPr>
      <w:autoSpaceDE w:val="0"/>
      <w:autoSpaceDN w:val="0"/>
      <w:adjustRightInd w:val="0"/>
      <w:spacing w:after="120"/>
      <w:ind w:left="200" w:leftChars="200" w:firstLine="420"/>
    </w:pPr>
    <w:rPr>
      <w:rFonts w:ascii="宋体" w:hAnsi="Calibri" w:cs="宋体"/>
      <w:sz w:val="24"/>
      <w:szCs w:val="21"/>
    </w:rPr>
  </w:style>
  <w:style w:type="paragraph" w:customStyle="1" w:styleId="430">
    <w:name w:val="纯文本1"/>
    <w:basedOn w:val="1"/>
    <w:autoRedefine/>
    <w:qFormat/>
    <w:uiPriority w:val="0"/>
    <w:pPr>
      <w:adjustRightInd w:val="0"/>
      <w:textAlignment w:val="baseline"/>
    </w:pPr>
    <w:rPr>
      <w:rFonts w:ascii="宋体" w:hAnsi="Courier New" w:eastAsia="楷体_GB2312"/>
      <w:sz w:val="28"/>
      <w:szCs w:val="20"/>
    </w:rPr>
  </w:style>
  <w:style w:type="table" w:customStyle="1" w:styleId="431">
    <w:name w:val="Table Normal"/>
    <w:autoRedefine/>
    <w:qFormat/>
    <w:uiPriority w:val="0"/>
    <w:rPr>
      <w:rFonts w:eastAsia="Arial Unicode M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80</Pages>
  <Words>6570</Words>
  <Characters>37454</Characters>
  <Lines>312</Lines>
  <Paragraphs>87</Paragraphs>
  <TotalTime>56</TotalTime>
  <ScaleCrop>false</ScaleCrop>
  <LinksUpToDate>false</LinksUpToDate>
  <CharactersWithSpaces>43937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2024-02-28T01:36:00Z</dcterms:created>
  <dc:creator>S-mile</dc:creator>
  <cp:lastModifiedBy>LUCKYQAQ</cp:lastModifiedBy>
  <cp:lastPrinted>2024-04-10T00:49:17Z</cp:lastPrinted>
  <dcterms:modified xsi:type="dcterms:W3CDTF">2024-04-10T01:27:18Z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43501450267D48ECA490235C11D2DD9B_13</vt:lpwstr>
  </property>
</Properties>
</file>