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highlight w:val="none"/>
          <w14:textFill>
            <w14:solidFill>
              <w14:schemeClr w14:val="tx1"/>
            </w14:solidFill>
          </w14:textFill>
        </w:rPr>
      </w:pPr>
    </w:p>
    <w:p>
      <w:pPr>
        <w:widowControl/>
        <w:adjustRightInd w:val="0"/>
        <w:snapToGrid w:val="0"/>
        <w:spacing w:line="360" w:lineRule="auto"/>
        <w:jc w:val="center"/>
        <w:rPr>
          <w:rFonts w:ascii="宋体" w:hAnsi="宋体"/>
          <w:b/>
          <w:bCs/>
          <w:kern w:val="0"/>
          <w:sz w:val="72"/>
          <w:szCs w:val="72"/>
          <w:highlight w:val="none"/>
        </w:rPr>
      </w:pPr>
      <w:r>
        <w:rPr>
          <w:rFonts w:hint="eastAsia" w:ascii="宋体" w:hAnsi="宋体"/>
          <w:b/>
          <w:bCs/>
          <w:kern w:val="0"/>
          <w:sz w:val="72"/>
          <w:szCs w:val="72"/>
          <w:highlight w:val="none"/>
        </w:rPr>
        <w:t>竞争性磋商文件</w:t>
      </w:r>
    </w:p>
    <w:p>
      <w:pPr>
        <w:autoSpaceDE w:val="0"/>
        <w:autoSpaceDN w:val="0"/>
        <w:adjustRightInd w:val="0"/>
        <w:spacing w:line="360" w:lineRule="auto"/>
        <w:ind w:left="1440" w:right="1800" w:firstLine="735" w:firstLineChars="350"/>
        <w:jc w:val="left"/>
        <w:rPr>
          <w:rFonts w:ascii="宋体" w:hAnsi="宋体" w:cs="Calibri Light"/>
          <w:color w:val="000000"/>
          <w:kern w:val="0"/>
          <w:sz w:val="30"/>
          <w:szCs w:val="30"/>
          <w:highlight w:val="none"/>
        </w:rPr>
      </w:pPr>
      <w:r>
        <w:rPr>
          <w:rFonts w:hint="eastAsia" w:ascii="宋体" w:hAnsi="宋体"/>
          <w:highlight w:val="none"/>
        </w:rPr>
        <w:t xml:space="preserve"> </w:t>
      </w:r>
      <w:r>
        <w:rPr>
          <w:rFonts w:hint="eastAsia" w:ascii="宋体" w:hAnsi="宋体"/>
          <w:b/>
          <w:bCs/>
          <w:color w:val="000000"/>
          <w:sz w:val="36"/>
          <w:szCs w:val="36"/>
          <w:highlight w:val="none"/>
        </w:rPr>
        <w:t>（线上电子招投标）</w:t>
      </w:r>
    </w:p>
    <w:p>
      <w:pPr>
        <w:rPr>
          <w:rFonts w:ascii="宋体" w:hAnsi="宋体"/>
          <w:szCs w:val="21"/>
          <w:highlight w:val="none"/>
        </w:rPr>
      </w:pPr>
    </w:p>
    <w:p>
      <w:pPr>
        <w:adjustRightInd w:val="0"/>
        <w:snapToGrid w:val="0"/>
        <w:spacing w:line="600" w:lineRule="exact"/>
        <w:jc w:val="center"/>
        <w:rPr>
          <w:rFonts w:ascii="楷体_GB2312" w:hAnsi="宋体" w:eastAsia="楷体_GB2312"/>
          <w:b/>
          <w:bCs/>
          <w:kern w:val="0"/>
          <w:sz w:val="30"/>
          <w:szCs w:val="30"/>
          <w:highlight w:val="none"/>
        </w:rPr>
      </w:pPr>
      <w:r>
        <w:rPr>
          <w:rFonts w:hint="eastAsia" w:ascii="楷体_GB2312" w:hAnsi="宋体" w:eastAsia="楷体_GB2312"/>
          <w:b/>
          <w:bCs/>
          <w:kern w:val="0"/>
          <w:sz w:val="30"/>
          <w:szCs w:val="30"/>
          <w:highlight w:val="none"/>
        </w:rPr>
        <w:t xml:space="preserve"> </w:t>
      </w:r>
    </w:p>
    <w:p>
      <w:pPr>
        <w:adjustRightInd w:val="0"/>
        <w:snapToGrid w:val="0"/>
        <w:spacing w:line="600" w:lineRule="exact"/>
        <w:jc w:val="center"/>
        <w:rPr>
          <w:rFonts w:ascii="宋体" w:hAnsi="宋体"/>
          <w:szCs w:val="21"/>
          <w:highlight w:val="none"/>
        </w:rPr>
      </w:pPr>
      <w:r>
        <w:rPr>
          <w:rFonts w:hint="eastAsia" w:ascii="楷体_GB2312" w:hAnsi="宋体" w:eastAsia="楷体_GB2312"/>
          <w:b/>
          <w:bCs/>
          <w:kern w:val="0"/>
          <w:sz w:val="30"/>
          <w:szCs w:val="30"/>
          <w:highlight w:val="none"/>
        </w:rPr>
        <w:t xml:space="preserve">  </w:t>
      </w:r>
    </w:p>
    <w:p>
      <w:pPr>
        <w:ind w:left="-420" w:leftChars="-200" w:right="-512" w:rightChars="-244"/>
        <w:rPr>
          <w:rFonts w:ascii="楷体_GB2312" w:hAnsi="宋体" w:eastAsia="楷体_GB2312"/>
          <w:b/>
          <w:bCs/>
          <w:sz w:val="30"/>
          <w:szCs w:val="30"/>
          <w:highlight w:val="none"/>
        </w:rPr>
        <w:pPrChange w:id="0" w:author="永生@油条" w:date="2020-09-23T10:53:00Z">
          <w:pPr/>
        </w:pPrChange>
      </w:pPr>
      <w:r>
        <w:rPr>
          <w:rFonts w:hint="eastAsia" w:ascii="楷体_GB2312" w:hAnsi="宋体" w:eastAsia="楷体_GB2312"/>
          <w:b/>
          <w:bCs/>
          <w:sz w:val="30"/>
          <w:szCs w:val="30"/>
          <w:highlight w:val="none"/>
        </w:rPr>
        <w:t xml:space="preserve"> </w:t>
      </w:r>
    </w:p>
    <w:p>
      <w:pPr>
        <w:ind w:left="-1039" w:leftChars="-495" w:right="-932" w:rightChars="-444"/>
        <w:rPr>
          <w:rFonts w:ascii="楷体_GB2312" w:hAnsi="宋体" w:eastAsia="楷体_GB2312"/>
          <w:b/>
          <w:bCs/>
          <w:sz w:val="30"/>
          <w:szCs w:val="30"/>
          <w:highlight w:val="none"/>
        </w:rPr>
        <w:pPrChange w:id="1" w:author="永生@油条" w:date="2020-09-23T10:53:00Z">
          <w:pPr/>
        </w:pPrChange>
      </w:pPr>
      <w:r>
        <w:rPr>
          <w:rFonts w:hint="eastAsia" w:ascii="楷体_GB2312" w:hAnsi="宋体" w:eastAsia="楷体_GB2312"/>
          <w:b/>
          <w:bCs/>
          <w:sz w:val="30"/>
          <w:szCs w:val="30"/>
          <w:highlight w:val="none"/>
        </w:rPr>
        <w:t xml:space="preserve"> </w:t>
      </w:r>
    </w:p>
    <w:p>
      <w:pPr>
        <w:rPr>
          <w:rFonts w:ascii="楷体_GB2312" w:hAnsi="宋体" w:eastAsia="楷体_GB2312"/>
          <w:b/>
          <w:bCs/>
          <w:sz w:val="30"/>
          <w:szCs w:val="30"/>
          <w:highlight w:val="none"/>
        </w:rPr>
      </w:pPr>
      <w:r>
        <w:rPr>
          <w:rFonts w:hint="eastAsia" w:ascii="楷体_GB2312" w:hAnsi="宋体" w:eastAsia="楷体_GB2312"/>
          <w:b/>
          <w:bCs/>
          <w:sz w:val="30"/>
          <w:szCs w:val="30"/>
          <w:highlight w:val="none"/>
        </w:rPr>
        <w:t xml:space="preserve"> </w:t>
      </w:r>
    </w:p>
    <w:p>
      <w:pPr>
        <w:adjustRightInd w:val="0"/>
        <w:snapToGrid w:val="0"/>
        <w:spacing w:line="360" w:lineRule="auto"/>
        <w:ind w:firstLine="560" w:firstLineChars="200"/>
        <w:jc w:val="left"/>
        <w:rPr>
          <w:rFonts w:hint="eastAsia" w:ascii="宋体" w:hAnsi="宋体" w:eastAsia="宋体"/>
          <w:kern w:val="0"/>
          <w:sz w:val="28"/>
          <w:szCs w:val="28"/>
          <w:highlight w:val="none"/>
          <w:lang w:eastAsia="zh-CN"/>
        </w:rPr>
      </w:pPr>
      <w:r>
        <w:rPr>
          <w:rFonts w:hint="eastAsia" w:ascii="宋体" w:hAnsi="宋体"/>
          <w:kern w:val="0"/>
          <w:sz w:val="28"/>
          <w:szCs w:val="28"/>
          <w:highlight w:val="none"/>
        </w:rPr>
        <w:t>项目编号：</w:t>
      </w:r>
      <w:r>
        <w:rPr>
          <w:rFonts w:hint="eastAsia" w:ascii="宋体" w:hAnsi="宋体"/>
          <w:kern w:val="0"/>
          <w:sz w:val="28"/>
          <w:szCs w:val="28"/>
          <w:highlight w:val="none"/>
          <w:lang w:eastAsia="zh-CN"/>
        </w:rPr>
        <w:t>杭政采分-2020-02923[HZZFCG-YS-2020-08323]</w:t>
      </w:r>
    </w:p>
    <w:p>
      <w:pPr>
        <w:adjustRightInd w:val="0"/>
        <w:snapToGrid w:val="0"/>
        <w:spacing w:line="360" w:lineRule="auto"/>
        <w:ind w:left="0" w:leftChars="0" w:right="-512" w:rightChars="-244" w:firstLine="1478" w:firstLineChars="528"/>
        <w:rPr>
          <w:rFonts w:ascii="宋体" w:hAnsi="宋体"/>
          <w:kern w:val="0"/>
          <w:sz w:val="28"/>
          <w:szCs w:val="28"/>
          <w:highlight w:val="none"/>
        </w:rPr>
      </w:pPr>
      <w:r>
        <w:rPr>
          <w:rFonts w:hint="eastAsia" w:ascii="宋体" w:hAnsi="宋体"/>
          <w:kern w:val="0"/>
          <w:sz w:val="28"/>
          <w:szCs w:val="28"/>
          <w:highlight w:val="none"/>
        </w:rPr>
        <w:t>项目名称：大楼中央空调整体改造项目一期</w:t>
      </w:r>
    </w:p>
    <w:p>
      <w:pPr>
        <w:ind w:firstLine="900" w:firstLineChars="300"/>
        <w:jc w:val="left"/>
        <w:rPr>
          <w:rFonts w:ascii="宋体" w:hAnsi="宋体"/>
          <w:color w:val="000000"/>
          <w:sz w:val="30"/>
          <w:szCs w:val="30"/>
          <w:highlight w:val="none"/>
        </w:rPr>
      </w:pPr>
      <w:r>
        <w:rPr>
          <w:rFonts w:hint="eastAsia" w:ascii="宋体" w:hAnsi="宋体"/>
          <w:color w:val="000000"/>
          <w:sz w:val="30"/>
          <w:szCs w:val="30"/>
          <w:highlight w:val="none"/>
        </w:rPr>
        <w:t xml:space="preserve">  </w:t>
      </w:r>
    </w:p>
    <w:p>
      <w:pPr>
        <w:ind w:firstLine="900" w:firstLineChars="300"/>
        <w:jc w:val="left"/>
        <w:rPr>
          <w:rFonts w:ascii="宋体" w:hAnsi="宋体"/>
          <w:color w:val="000000"/>
          <w:sz w:val="30"/>
          <w:szCs w:val="30"/>
          <w:highlight w:val="none"/>
        </w:rPr>
      </w:pPr>
      <w:r>
        <w:rPr>
          <w:rFonts w:hint="eastAsia" w:ascii="宋体" w:hAnsi="宋体"/>
          <w:color w:val="000000"/>
          <w:sz w:val="30"/>
          <w:szCs w:val="30"/>
          <w:highlight w:val="none"/>
        </w:rPr>
        <w:t xml:space="preserve">  </w:t>
      </w:r>
    </w:p>
    <w:p>
      <w:pPr>
        <w:adjustRightInd w:val="0"/>
        <w:snapToGrid w:val="0"/>
        <w:spacing w:line="360" w:lineRule="auto"/>
        <w:ind w:firstLine="1960" w:firstLineChars="700"/>
        <w:jc w:val="left"/>
        <w:rPr>
          <w:rFonts w:ascii="宋体" w:hAnsi="宋体"/>
          <w:kern w:val="0"/>
          <w:sz w:val="28"/>
          <w:szCs w:val="28"/>
          <w:highlight w:val="none"/>
        </w:rPr>
      </w:pPr>
      <w:r>
        <w:rPr>
          <w:rFonts w:hint="eastAsia" w:ascii="宋体" w:hAnsi="宋体"/>
          <w:kern w:val="0"/>
          <w:sz w:val="28"/>
          <w:szCs w:val="28"/>
          <w:highlight w:val="none"/>
        </w:rPr>
        <w:t>采购人：杭州市市场监督管理局</w:t>
      </w:r>
    </w:p>
    <w:p>
      <w:pPr>
        <w:adjustRightInd w:val="0"/>
        <w:snapToGrid w:val="0"/>
        <w:spacing w:line="360" w:lineRule="auto"/>
        <w:ind w:firstLine="1960" w:firstLineChars="700"/>
        <w:jc w:val="left"/>
        <w:rPr>
          <w:rFonts w:ascii="宋体" w:hAnsi="宋体"/>
          <w:kern w:val="0"/>
          <w:sz w:val="28"/>
          <w:szCs w:val="28"/>
          <w:highlight w:val="none"/>
        </w:rPr>
      </w:pPr>
      <w:r>
        <w:rPr>
          <w:rFonts w:hint="eastAsia" w:ascii="宋体" w:hAnsi="宋体"/>
          <w:kern w:val="0"/>
          <w:sz w:val="28"/>
          <w:szCs w:val="28"/>
          <w:highlight w:val="none"/>
        </w:rPr>
        <w:t>采购代理机构：浙江广通工程咨询有限公司</w:t>
      </w:r>
    </w:p>
    <w:p>
      <w:pPr>
        <w:adjustRightInd w:val="0"/>
        <w:snapToGrid w:val="0"/>
        <w:spacing w:line="360" w:lineRule="auto"/>
        <w:ind w:firstLine="1680" w:firstLineChars="600"/>
        <w:jc w:val="left"/>
        <w:rPr>
          <w:rFonts w:ascii="宋体" w:hAnsi="宋体"/>
          <w:kern w:val="0"/>
          <w:sz w:val="28"/>
          <w:szCs w:val="28"/>
          <w:highlight w:val="none"/>
        </w:rPr>
      </w:pPr>
      <w:r>
        <w:rPr>
          <w:rFonts w:hint="eastAsia" w:ascii="宋体" w:hAnsi="宋体"/>
          <w:kern w:val="0"/>
          <w:sz w:val="28"/>
          <w:szCs w:val="28"/>
          <w:highlight w:val="none"/>
        </w:rPr>
        <w:t xml:space="preserve">  </w:t>
      </w:r>
    </w:p>
    <w:p>
      <w:pPr>
        <w:adjustRightInd w:val="0"/>
        <w:snapToGrid w:val="0"/>
        <w:spacing w:line="700" w:lineRule="exact"/>
        <w:ind w:firstLine="840" w:firstLineChars="300"/>
        <w:jc w:val="left"/>
        <w:rPr>
          <w:rFonts w:ascii="宋体" w:hAnsi="宋体"/>
          <w:kern w:val="0"/>
          <w:sz w:val="28"/>
          <w:szCs w:val="28"/>
          <w:highlight w:val="none"/>
        </w:rPr>
      </w:pPr>
      <w:r>
        <w:rPr>
          <w:rFonts w:hint="eastAsia" w:ascii="宋体" w:hAnsi="宋体"/>
          <w:kern w:val="0"/>
          <w:sz w:val="28"/>
          <w:szCs w:val="28"/>
          <w:highlight w:val="none"/>
        </w:rPr>
        <w:t xml:space="preserve"> </w:t>
      </w:r>
    </w:p>
    <w:p>
      <w:pPr>
        <w:spacing w:line="360" w:lineRule="auto"/>
        <w:jc w:val="center"/>
        <w:rPr>
          <w:rFonts w:ascii="宋体" w:hAnsi="宋体"/>
          <w:kern w:val="0"/>
          <w:position w:val="-3"/>
          <w:sz w:val="36"/>
          <w:szCs w:val="36"/>
          <w:highlight w:val="none"/>
        </w:rPr>
      </w:pPr>
      <w:r>
        <w:rPr>
          <w:rFonts w:hint="eastAsia" w:ascii="宋体" w:hAnsi="宋体"/>
          <w:kern w:val="0"/>
          <w:position w:val="-3"/>
          <w:sz w:val="36"/>
          <w:szCs w:val="36"/>
          <w:highlight w:val="none"/>
        </w:rPr>
        <w:t>二0二0年九月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Calibri Light"/>
          <w:color w:val="000000" w:themeColor="text1"/>
          <w:kern w:val="0"/>
          <w:sz w:val="28"/>
          <w:szCs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Calibri Light"/>
          <w:color w:val="000000" w:themeColor="text1"/>
          <w:kern w:val="0"/>
          <w:sz w:val="28"/>
          <w:szCs w:val="28"/>
          <w:highlight w:val="none"/>
          <w14:textFill>
            <w14:solidFill>
              <w14:schemeClr w14:val="tx1"/>
            </w14:solidFill>
          </w14:textFill>
        </w:rPr>
      </w:pPr>
    </w:p>
    <w:p>
      <w:pPr>
        <w:jc w:val="center"/>
        <w:rPr>
          <w:rFonts w:ascii="宋体" w:hAnsi="宋体" w:cs="仿宋"/>
          <w:b/>
          <w:bCs/>
          <w:color w:val="000000" w:themeColor="text1"/>
          <w:sz w:val="36"/>
          <w:szCs w:val="36"/>
          <w:highlight w:val="none"/>
          <w14:textFill>
            <w14:solidFill>
              <w14:schemeClr w14:val="tx1"/>
            </w14:solidFill>
          </w14:textFill>
        </w:rPr>
      </w:pPr>
    </w:p>
    <w:p>
      <w:pPr>
        <w:jc w:val="center"/>
        <w:rPr>
          <w:rFonts w:ascii="宋体" w:hAnsi="宋体" w:cs="仿宋"/>
          <w:b/>
          <w:bCs/>
          <w:color w:val="000000" w:themeColor="text1"/>
          <w:sz w:val="36"/>
          <w:szCs w:val="36"/>
          <w:highlight w:val="none"/>
          <w14:textFill>
            <w14:solidFill>
              <w14:schemeClr w14:val="tx1"/>
            </w14:solidFill>
          </w14:textFill>
        </w:rPr>
      </w:pPr>
    </w:p>
    <w:p>
      <w:pPr>
        <w:jc w:val="center"/>
        <w:rPr>
          <w:rFonts w:ascii="宋体" w:hAnsi="宋体" w:cs="仿宋"/>
          <w:b/>
          <w:bCs/>
          <w:color w:val="000000" w:themeColor="text1"/>
          <w:sz w:val="36"/>
          <w:szCs w:val="36"/>
          <w:highlight w:val="none"/>
          <w14:textFill>
            <w14:solidFill>
              <w14:schemeClr w14:val="tx1"/>
            </w14:solidFill>
          </w14:textFill>
        </w:rPr>
      </w:pPr>
      <w:r>
        <w:rPr>
          <w:rFonts w:hint="eastAsia" w:ascii="宋体" w:hAnsi="宋体" w:cs="仿宋"/>
          <w:b/>
          <w:bCs/>
          <w:color w:val="000000" w:themeColor="text1"/>
          <w:sz w:val="36"/>
          <w:szCs w:val="36"/>
          <w:highlight w:val="none"/>
          <w14:textFill>
            <w14:solidFill>
              <w14:schemeClr w14:val="tx1"/>
            </w14:solidFill>
          </w14:textFill>
        </w:rPr>
        <w:t>目    录</w:t>
      </w:r>
    </w:p>
    <w:p>
      <w:pPr>
        <w:spacing w:line="360" w:lineRule="auto"/>
        <w:ind w:left="960"/>
        <w:rPr>
          <w:rFonts w:ascii="宋体" w:hAnsi="宋体"/>
          <w:color w:val="000000" w:themeColor="text1"/>
          <w:sz w:val="10"/>
          <w:highlight w:val="none"/>
          <w14:textFill>
            <w14:solidFill>
              <w14:schemeClr w14:val="tx1"/>
            </w14:solidFill>
          </w14:textFill>
        </w:rPr>
      </w:pPr>
    </w:p>
    <w:p>
      <w:pPr>
        <w:spacing w:line="360" w:lineRule="auto"/>
        <w:ind w:left="960"/>
        <w:rPr>
          <w:rFonts w:ascii="宋体" w:hAnsi="宋体"/>
          <w:color w:val="000000" w:themeColor="text1"/>
          <w:sz w:val="10"/>
          <w:highlight w:val="none"/>
          <w14:textFill>
            <w14:solidFill>
              <w14:schemeClr w14:val="tx1"/>
            </w14:solidFill>
          </w14:textFill>
        </w:rPr>
      </w:pPr>
    </w:p>
    <w:p>
      <w:pPr>
        <w:spacing w:line="360" w:lineRule="auto"/>
        <w:ind w:left="960"/>
        <w:rPr>
          <w:rFonts w:ascii="宋体" w:hAnsi="宋体"/>
          <w:color w:val="000000" w:themeColor="text1"/>
          <w:sz w:val="10"/>
          <w:highlight w:val="none"/>
          <w14:textFill>
            <w14:solidFill>
              <w14:schemeClr w14:val="tx1"/>
            </w14:solidFill>
          </w14:textFill>
        </w:rPr>
      </w:pPr>
    </w:p>
    <w:p>
      <w:pPr>
        <w:spacing w:line="360" w:lineRule="auto"/>
        <w:ind w:left="359" w:leftChars="171" w:firstLine="481" w:firstLineChars="17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一、竞争性</w:t>
      </w:r>
      <w:r>
        <w:rPr>
          <w:rFonts w:ascii="宋体" w:hAnsi="宋体"/>
          <w:b/>
          <w:color w:val="000000" w:themeColor="text1"/>
          <w:sz w:val="28"/>
          <w:szCs w:val="28"/>
          <w:highlight w:val="none"/>
          <w14:textFill>
            <w14:solidFill>
              <w14:schemeClr w14:val="tx1"/>
            </w14:solidFill>
          </w14:textFill>
        </w:rPr>
        <w:t>磋商</w:t>
      </w:r>
      <w:r>
        <w:rPr>
          <w:rFonts w:hint="eastAsia" w:ascii="宋体" w:hAnsi="宋体"/>
          <w:b/>
          <w:color w:val="000000" w:themeColor="text1"/>
          <w:sz w:val="28"/>
          <w:szCs w:val="28"/>
          <w:highlight w:val="none"/>
          <w14:textFill>
            <w14:solidFill>
              <w14:schemeClr w14:val="tx1"/>
            </w14:solidFill>
          </w14:textFill>
        </w:rPr>
        <w:t>公告</w:t>
      </w:r>
    </w:p>
    <w:p>
      <w:pPr>
        <w:spacing w:line="360" w:lineRule="auto"/>
        <w:ind w:left="359" w:leftChars="171" w:firstLine="481" w:firstLineChars="17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二、供应商须知</w:t>
      </w:r>
    </w:p>
    <w:p>
      <w:pPr>
        <w:spacing w:line="360" w:lineRule="auto"/>
        <w:ind w:left="359" w:leftChars="171" w:firstLine="481" w:firstLineChars="17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三、评审办法及评审标准</w:t>
      </w:r>
      <w:r>
        <w:rPr>
          <w:rFonts w:ascii="宋体" w:hAnsi="宋体"/>
          <w:b/>
          <w:color w:val="000000" w:themeColor="text1"/>
          <w:sz w:val="28"/>
          <w:szCs w:val="28"/>
          <w:highlight w:val="none"/>
          <w14:textFill>
            <w14:solidFill>
              <w14:schemeClr w14:val="tx1"/>
            </w14:solidFill>
          </w14:textFill>
        </w:rPr>
        <w:t xml:space="preserve">  </w:t>
      </w:r>
    </w:p>
    <w:p>
      <w:pPr>
        <w:spacing w:line="360" w:lineRule="auto"/>
        <w:ind w:left="359" w:leftChars="171" w:firstLine="481" w:firstLineChars="17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四、</w:t>
      </w:r>
      <w:r>
        <w:rPr>
          <w:rFonts w:hint="eastAsia" w:ascii="宋体" w:hAnsi="宋体"/>
          <w:b/>
          <w:color w:val="000000" w:themeColor="text1"/>
          <w:kern w:val="0"/>
          <w:sz w:val="28"/>
          <w:szCs w:val="28"/>
          <w:highlight w:val="none"/>
          <w14:textFill>
            <w14:solidFill>
              <w14:schemeClr w14:val="tx1"/>
            </w14:solidFill>
          </w14:textFill>
        </w:rPr>
        <w:t>项目需求</w:t>
      </w:r>
    </w:p>
    <w:p>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五、政府采购合同主要条款指引</w:t>
      </w:r>
      <w:r>
        <w:rPr>
          <w:rFonts w:ascii="宋体" w:hAnsi="宋体"/>
          <w:b/>
          <w:color w:val="000000" w:themeColor="text1"/>
          <w:sz w:val="28"/>
          <w:szCs w:val="28"/>
          <w:highlight w:val="none"/>
          <w14:textFill>
            <w14:solidFill>
              <w14:schemeClr w14:val="tx1"/>
            </w14:solidFill>
          </w14:textFill>
        </w:rPr>
        <w:t xml:space="preserve">       </w:t>
      </w:r>
    </w:p>
    <w:p>
      <w:pPr>
        <w:spacing w:line="360" w:lineRule="auto"/>
        <w:ind w:left="359" w:leftChars="171" w:firstLine="481" w:firstLineChars="17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六、响应文件格式附件</w:t>
      </w:r>
    </w:p>
    <w:p>
      <w:pPr>
        <w:spacing w:line="360" w:lineRule="auto"/>
        <w:rPr>
          <w:rFonts w:ascii="宋体" w:hAnsi="宋体"/>
          <w:b/>
          <w:color w:val="000000" w:themeColor="text1"/>
          <w:sz w:val="28"/>
          <w:szCs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rPr>
          <w:rFonts w:ascii="宋体" w:hAnsi="宋体" w:cs="Calibri Light"/>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sz w:val="36"/>
          <w:szCs w:val="36"/>
          <w:highlight w:val="none"/>
          <w14:textFill>
            <w14:solidFill>
              <w14:schemeClr w14:val="tx1"/>
            </w14:solidFill>
          </w14:textFill>
        </w:rPr>
        <w:sectPr>
          <w:headerReference r:id="rId3" w:type="default"/>
          <w:footerReference r:id="rId4" w:type="default"/>
          <w:pgSz w:w="11906" w:h="16838"/>
          <w:pgMar w:top="1440" w:right="1286" w:bottom="1440" w:left="1800" w:header="851" w:footer="992" w:gutter="0"/>
          <w:cols w:space="720" w:num="1"/>
          <w:docGrid w:type="lines" w:linePitch="312" w:charSpace="0"/>
        </w:sectPr>
      </w:pPr>
    </w:p>
    <w:p>
      <w:pPr>
        <w:numPr>
          <w:ilvl w:val="0"/>
          <w:numId w:val="2"/>
        </w:numPr>
        <w:autoSpaceDE w:val="0"/>
        <w:autoSpaceDN w:val="0"/>
        <w:spacing w:line="360" w:lineRule="auto"/>
        <w:jc w:val="center"/>
        <w:textAlignment w:val="bottom"/>
        <w:outlineLvl w:val="0"/>
        <w:rPr>
          <w:rFonts w:hint="eastAsia" w:ascii="宋体" w:hAnsi="宋体"/>
          <w:b/>
          <w:bCs/>
          <w:sz w:val="32"/>
          <w:szCs w:val="32"/>
          <w:highlight w:val="none"/>
        </w:rPr>
      </w:pPr>
      <w:r>
        <w:rPr>
          <w:rFonts w:hint="eastAsia" w:ascii="宋体" w:hAnsi="宋体"/>
          <w:b/>
          <w:bCs/>
          <w:sz w:val="32"/>
          <w:szCs w:val="32"/>
          <w:highlight w:val="none"/>
        </w:rPr>
        <w:t>竞争性磋商公告</w:t>
      </w:r>
    </w:p>
    <w:p>
      <w:pPr>
        <w:numPr>
          <w:numId w:val="0"/>
        </w:numPr>
        <w:autoSpaceDE w:val="0"/>
        <w:autoSpaceDN w:val="0"/>
        <w:spacing w:line="360" w:lineRule="auto"/>
        <w:jc w:val="both"/>
        <w:textAlignment w:val="bottom"/>
        <w:outlineLvl w:val="0"/>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t>项目概况</w:t>
      </w:r>
    </w:p>
    <w:p>
      <w:pPr>
        <w:widowControl/>
        <w:spacing w:before="100" w:beforeAutospacing="1" w:after="100" w:afterAutospacing="1" w:line="360" w:lineRule="exact"/>
        <w:jc w:val="left"/>
        <w:rPr>
          <w:rFonts w:hint="default" w:ascii="宋体" w:hAnsi="宋体" w:eastAsia="仿宋"/>
          <w:sz w:val="25"/>
          <w:szCs w:val="25"/>
          <w:highlight w:val="none"/>
          <w:lang w:val="en-US" w:eastAsia="zh-CN"/>
        </w:rPr>
      </w:pPr>
      <w:r>
        <w:rPr>
          <w:rFonts w:hint="default" w:ascii="宋体" w:hAnsi="宋体" w:eastAsia="仿宋"/>
          <w:sz w:val="25"/>
          <w:szCs w:val="25"/>
          <w:highlight w:val="none"/>
          <w:lang w:val="en-US" w:eastAsia="zh-CN"/>
        </w:rPr>
        <w:t>现有中央空调主控系统设备描述：本大楼中央空调共有机组7台，每台功率为128KW，其中3楼平台为3台，循环泵3台，每台功率为11KW，正常运行时二用一备；楼顶平台为4台，循环泵4台，每台功率为11KW，正常运行时三用一备。由于使用年限已长，机组运行效率下降（经常报警），造成耗电增加也导致维修费用的增加。</w:t>
      </w:r>
    </w:p>
    <w:p>
      <w:pPr>
        <w:widowControl/>
        <w:spacing w:before="100" w:beforeAutospacing="1" w:after="100" w:afterAutospacing="1" w:line="360" w:lineRule="exact"/>
        <w:jc w:val="left"/>
        <w:rPr>
          <w:rFonts w:hint="default" w:ascii="宋体" w:hAnsi="宋体" w:eastAsia="仿宋"/>
          <w:sz w:val="25"/>
          <w:szCs w:val="25"/>
          <w:highlight w:val="none"/>
          <w:lang w:val="en-US" w:eastAsia="zh-CN"/>
        </w:rPr>
      </w:pPr>
      <w:r>
        <w:rPr>
          <w:rFonts w:hint="default" w:ascii="宋体" w:hAnsi="宋体" w:eastAsia="仿宋"/>
          <w:sz w:val="25"/>
          <w:szCs w:val="25"/>
          <w:highlight w:val="none"/>
          <w:lang w:val="en-US" w:eastAsia="zh-CN"/>
        </w:rPr>
        <w:t>项目改造原则：本大楼中央空调系统安装使用已有多年的历史，按建筑布局已经定型，空调管路大部分走在暗处,原有吊顶须局部拆除，待改造完成后复原。所以，中央空调的改造原则就是：</w:t>
      </w:r>
    </w:p>
    <w:p>
      <w:pPr>
        <w:widowControl/>
        <w:spacing w:before="100" w:beforeAutospacing="1" w:after="100" w:afterAutospacing="1" w:line="360" w:lineRule="exact"/>
        <w:jc w:val="left"/>
        <w:rPr>
          <w:rFonts w:hint="default" w:ascii="宋体" w:hAnsi="宋体" w:eastAsia="仿宋"/>
          <w:sz w:val="25"/>
          <w:szCs w:val="25"/>
          <w:highlight w:val="none"/>
          <w:lang w:val="en-US" w:eastAsia="zh-CN"/>
        </w:rPr>
      </w:pPr>
      <w:r>
        <w:rPr>
          <w:rFonts w:hint="default" w:ascii="宋体" w:hAnsi="宋体" w:eastAsia="仿宋"/>
          <w:sz w:val="25"/>
          <w:szCs w:val="25"/>
          <w:highlight w:val="none"/>
          <w:lang w:val="en-US" w:eastAsia="zh-CN"/>
        </w:rPr>
        <w:t>1、不影响大楼的整体布局；</w:t>
      </w:r>
    </w:p>
    <w:p>
      <w:pPr>
        <w:widowControl/>
        <w:spacing w:before="100" w:beforeAutospacing="1" w:after="100" w:afterAutospacing="1" w:line="360" w:lineRule="exact"/>
        <w:jc w:val="left"/>
        <w:rPr>
          <w:rFonts w:hint="default" w:ascii="宋体" w:hAnsi="宋体" w:eastAsia="仿宋"/>
          <w:sz w:val="25"/>
          <w:szCs w:val="25"/>
          <w:highlight w:val="none"/>
          <w:lang w:val="en-US" w:eastAsia="zh-CN"/>
        </w:rPr>
      </w:pPr>
      <w:r>
        <w:rPr>
          <w:rFonts w:hint="default" w:ascii="宋体" w:hAnsi="宋体" w:eastAsia="仿宋"/>
          <w:sz w:val="25"/>
          <w:szCs w:val="25"/>
          <w:highlight w:val="none"/>
          <w:lang w:val="en-US" w:eastAsia="zh-CN"/>
        </w:rPr>
        <w:t>2、不影响大楼的正常工作秩序；</w:t>
      </w:r>
    </w:p>
    <w:p>
      <w:pPr>
        <w:widowControl/>
        <w:spacing w:before="100" w:beforeAutospacing="1" w:after="100" w:afterAutospacing="1" w:line="360" w:lineRule="exact"/>
        <w:jc w:val="left"/>
        <w:rPr>
          <w:rFonts w:hint="default" w:ascii="宋体" w:hAnsi="宋体" w:eastAsia="仿宋"/>
          <w:sz w:val="25"/>
          <w:szCs w:val="25"/>
          <w:highlight w:val="none"/>
          <w:lang w:val="en-US" w:eastAsia="zh-CN"/>
        </w:rPr>
      </w:pPr>
      <w:r>
        <w:rPr>
          <w:rFonts w:hint="default" w:ascii="宋体" w:hAnsi="宋体" w:eastAsia="仿宋"/>
          <w:sz w:val="25"/>
          <w:szCs w:val="25"/>
          <w:highlight w:val="none"/>
          <w:lang w:val="en-US" w:eastAsia="zh-CN"/>
        </w:rPr>
        <w:t>3、以最小的代价实现新机组安装和控制系统的建立;</w:t>
      </w:r>
      <w:bookmarkStart w:id="1041" w:name="_GoBack"/>
      <w:bookmarkEnd w:id="1041"/>
    </w:p>
    <w:p>
      <w:pPr>
        <w:widowControl/>
        <w:spacing w:before="100" w:beforeAutospacing="1" w:after="100" w:afterAutospacing="1" w:line="360" w:lineRule="exact"/>
        <w:jc w:val="left"/>
        <w:rPr>
          <w:rFonts w:hint="default" w:ascii="宋体" w:hAnsi="宋体" w:eastAsia="仿宋"/>
          <w:sz w:val="25"/>
          <w:szCs w:val="25"/>
          <w:highlight w:val="none"/>
          <w:lang w:val="en-US" w:eastAsia="zh-CN"/>
        </w:rPr>
      </w:pPr>
      <w:r>
        <w:rPr>
          <w:rFonts w:hint="default" w:ascii="宋体" w:hAnsi="宋体" w:eastAsia="仿宋"/>
          <w:sz w:val="25"/>
          <w:szCs w:val="25"/>
          <w:highlight w:val="none"/>
          <w:lang w:val="en-US" w:eastAsia="zh-CN"/>
        </w:rPr>
        <w:t>4、考虑到1至3楼为通顶，建议保留一台原有机组。</w:t>
      </w:r>
    </w:p>
    <w:p>
      <w:pPr>
        <w:widowControl/>
        <w:spacing w:before="100" w:beforeAutospacing="1" w:after="100" w:afterAutospacing="1" w:line="360" w:lineRule="exact"/>
        <w:jc w:val="left"/>
        <w:rPr>
          <w:rFonts w:hint="default" w:ascii="宋体" w:hAnsi="宋体" w:eastAsia="仿宋"/>
          <w:sz w:val="25"/>
          <w:szCs w:val="25"/>
          <w:highlight w:val="none"/>
          <w:lang w:val="en-US" w:eastAsia="zh-CN"/>
        </w:rPr>
      </w:pPr>
      <w:r>
        <w:rPr>
          <w:rFonts w:hint="default" w:ascii="宋体" w:hAnsi="宋体" w:eastAsia="仿宋"/>
          <w:sz w:val="25"/>
          <w:szCs w:val="25"/>
          <w:highlight w:val="none"/>
          <w:lang w:val="en-US" w:eastAsia="zh-CN"/>
        </w:rPr>
        <w:t>本期实施范围为大楼十一层至二十一层的空调通风改造工程。招标范围为：招标文件、工程量清单所列的全部内容及项目检测、试运行等实现本项目功能需求的工作内容。</w:t>
      </w:r>
    </w:p>
    <w:p>
      <w:pPr>
        <w:widowControl/>
        <w:spacing w:before="231" w:after="231" w:line="400" w:lineRule="exact"/>
        <w:rPr>
          <w:rFonts w:ascii="黑体" w:hAnsi="黑体" w:eastAsia="黑体" w:cs="宋体"/>
          <w:kern w:val="0"/>
          <w:sz w:val="29"/>
          <w:szCs w:val="29"/>
          <w:highlight w:val="none"/>
        </w:rPr>
      </w:pPr>
      <w:bookmarkStart w:id="0" w:name="_Toc385439898"/>
      <w:bookmarkEnd w:id="0"/>
      <w:r>
        <w:rPr>
          <w:rFonts w:hint="eastAsia" w:ascii="黑体" w:hAnsi="黑体" w:eastAsia="黑体" w:cs="宋体"/>
          <w:b/>
          <w:bCs/>
          <w:kern w:val="0"/>
          <w:sz w:val="25"/>
          <w:szCs w:val="25"/>
          <w:highlight w:val="none"/>
        </w:rPr>
        <w:t>一、项目基本情况</w:t>
      </w:r>
    </w:p>
    <w:p>
      <w:pPr>
        <w:widowControl/>
        <w:spacing w:before="100" w:beforeAutospacing="1" w:after="100" w:afterAutospacing="1" w:line="360" w:lineRule="exact"/>
        <w:jc w:val="left"/>
        <w:rPr>
          <w:rFonts w:hint="eastAsia" w:ascii="仿宋" w:hAnsi="仿宋" w:eastAsia="宋体"/>
          <w:kern w:val="0"/>
          <w:sz w:val="24"/>
          <w:highlight w:val="none"/>
          <w:lang w:eastAsia="zh-CN"/>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项目编号：</w:t>
      </w:r>
      <w:r>
        <w:rPr>
          <w:rFonts w:hint="eastAsia" w:ascii="宋体" w:hAnsi="宋体"/>
          <w:kern w:val="0"/>
          <w:sz w:val="25"/>
          <w:szCs w:val="25"/>
          <w:highlight w:val="none"/>
          <w:lang w:eastAsia="zh-CN"/>
        </w:rPr>
        <w:t>杭政采分-2020-02923[HZZFCG-YS-2020-08323]</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项目名称：</w:t>
      </w:r>
      <w:r>
        <w:rPr>
          <w:rFonts w:hint="eastAsia" w:ascii="仿宋" w:hAnsi="仿宋" w:eastAsia="仿宋"/>
          <w:sz w:val="25"/>
          <w:szCs w:val="25"/>
          <w:highlight w:val="none"/>
        </w:rPr>
        <w:t xml:space="preserve"> </w:t>
      </w:r>
      <w:r>
        <w:rPr>
          <w:rFonts w:hint="eastAsia" w:ascii="宋体" w:hAnsi="宋体" w:eastAsia="仿宋"/>
          <w:sz w:val="25"/>
          <w:szCs w:val="25"/>
          <w:highlight w:val="none"/>
        </w:rPr>
        <w:t>大楼中央空调整体改造项目一期</w:t>
      </w:r>
      <w:r>
        <w:rPr>
          <w:rFonts w:hint="eastAsia" w:ascii="仿宋" w:hAnsi="仿宋" w:eastAsia="仿宋" w:cs="宋体"/>
          <w:kern w:val="0"/>
          <w:sz w:val="25"/>
          <w:szCs w:val="25"/>
          <w:highlight w:val="none"/>
        </w:rPr>
        <w:t xml:space="preserve"> </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采购方式：竞争性磋商</w:t>
      </w:r>
      <w:r>
        <w:rPr>
          <w:rFonts w:hint="eastAsia" w:ascii="仿宋" w:hAnsi="仿宋" w:eastAsia="仿宋" w:cs="宋体"/>
          <w:kern w:val="0"/>
          <w:sz w:val="24"/>
          <w:highlight w:val="none"/>
        </w:rPr>
        <w:t xml:space="preserve"> </w:t>
      </w:r>
    </w:p>
    <w:p>
      <w:pPr>
        <w:widowControl/>
        <w:spacing w:before="100" w:beforeAutospacing="1" w:after="100" w:afterAutospacing="1" w:line="360" w:lineRule="exact"/>
        <w:jc w:val="left"/>
        <w:rPr>
          <w:rFonts w:ascii="仿宋" w:hAnsi="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预算金额（元）：</w:t>
      </w:r>
      <w:r>
        <w:rPr>
          <w:rFonts w:hint="eastAsia" w:ascii="仿宋" w:hAnsi="仿宋"/>
          <w:kern w:val="0"/>
          <w:sz w:val="25"/>
          <w:szCs w:val="25"/>
          <w:highlight w:val="none"/>
        </w:rPr>
        <w:t>3900000.00</w:t>
      </w:r>
    </w:p>
    <w:p>
      <w:pPr>
        <w:widowControl/>
        <w:spacing w:before="100" w:beforeAutospacing="1" w:after="100" w:afterAutospacing="1" w:line="360" w:lineRule="exact"/>
        <w:ind w:firstLine="500"/>
        <w:jc w:val="left"/>
        <w:rPr>
          <w:rFonts w:ascii="仿宋" w:hAnsi="仿宋"/>
          <w:kern w:val="0"/>
          <w:sz w:val="25"/>
          <w:szCs w:val="25"/>
          <w:highlight w:val="none"/>
        </w:rPr>
      </w:pPr>
      <w:r>
        <w:rPr>
          <w:rFonts w:hint="eastAsia" w:ascii="宋体" w:hAnsi="宋体" w:cs="宋体"/>
          <w:kern w:val="0"/>
          <w:sz w:val="25"/>
          <w:szCs w:val="25"/>
          <w:highlight w:val="none"/>
        </w:rPr>
        <w:t>最高限价（元）：</w:t>
      </w:r>
      <w:r>
        <w:rPr>
          <w:rFonts w:hint="eastAsia" w:ascii="仿宋" w:hAnsi="仿宋"/>
          <w:kern w:val="0"/>
          <w:sz w:val="25"/>
          <w:szCs w:val="25"/>
          <w:highlight w:val="none"/>
        </w:rPr>
        <w:t>3</w:t>
      </w:r>
      <w:r>
        <w:rPr>
          <w:rFonts w:ascii="仿宋" w:hAnsi="仿宋"/>
          <w:kern w:val="0"/>
          <w:sz w:val="25"/>
          <w:szCs w:val="25"/>
          <w:highlight w:val="none"/>
        </w:rPr>
        <w:t>9</w:t>
      </w:r>
      <w:r>
        <w:rPr>
          <w:rFonts w:hint="eastAsia" w:ascii="仿宋" w:hAnsi="仿宋"/>
          <w:kern w:val="0"/>
          <w:sz w:val="25"/>
          <w:szCs w:val="25"/>
          <w:highlight w:val="none"/>
        </w:rPr>
        <w:t>00000.00</w:t>
      </w:r>
    </w:p>
    <w:p>
      <w:pPr>
        <w:widowControl/>
        <w:spacing w:before="100" w:beforeAutospacing="1" w:after="100" w:afterAutospacing="1" w:line="360" w:lineRule="exact"/>
        <w:ind w:firstLine="500"/>
        <w:jc w:val="left"/>
        <w:rPr>
          <w:rFonts w:ascii="仿宋" w:hAnsi="仿宋" w:eastAsia="仿宋" w:cs="宋体"/>
          <w:kern w:val="0"/>
          <w:sz w:val="25"/>
          <w:szCs w:val="25"/>
          <w:highlight w:val="none"/>
        </w:rPr>
      </w:pPr>
      <w:r>
        <w:rPr>
          <w:rFonts w:hint="eastAsia" w:ascii="宋体" w:hAnsi="宋体" w:cs="宋体"/>
          <w:kern w:val="0"/>
          <w:sz w:val="25"/>
          <w:szCs w:val="25"/>
          <w:highlight w:val="none"/>
        </w:rPr>
        <w:t>采购需求：</w:t>
      </w:r>
      <w:r>
        <w:rPr>
          <w:rFonts w:hint="eastAsia" w:ascii="宋体" w:hAnsi="宋体"/>
          <w:kern w:val="0"/>
          <w:sz w:val="25"/>
          <w:szCs w:val="25"/>
          <w:highlight w:val="none"/>
        </w:rPr>
        <w:t>详见磋商文件第四部分</w:t>
      </w:r>
    </w:p>
    <w:p>
      <w:pPr>
        <w:widowControl/>
        <w:spacing w:before="100" w:beforeAutospacing="1" w:after="100" w:afterAutospacing="1" w:line="360" w:lineRule="exact"/>
        <w:jc w:val="left"/>
        <w:rPr>
          <w:rFonts w:ascii="宋体" w:hAnsi="宋体" w:cs="宋体"/>
          <w:kern w:val="0"/>
          <w:sz w:val="25"/>
          <w:szCs w:val="25"/>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 xml:space="preserve">  标项一 </w:t>
      </w:r>
    </w:p>
    <w:p>
      <w:pPr>
        <w:widowControl/>
        <w:spacing w:before="100" w:beforeAutospacing="1" w:after="100" w:afterAutospacing="1" w:line="360" w:lineRule="exact"/>
        <w:jc w:val="left"/>
        <w:rPr>
          <w:rFonts w:ascii="宋体" w:hAnsi="宋体" w:cs="宋体"/>
          <w:kern w:val="0"/>
          <w:sz w:val="25"/>
          <w:szCs w:val="25"/>
          <w:highlight w:val="none"/>
        </w:rPr>
      </w:pPr>
      <w:r>
        <w:rPr>
          <w:rFonts w:hint="eastAsia" w:ascii="宋体" w:hAnsi="宋体" w:cs="宋体"/>
          <w:kern w:val="0"/>
          <w:sz w:val="25"/>
          <w:szCs w:val="25"/>
          <w:highlight w:val="none"/>
        </w:rPr>
        <w:t xml:space="preserve">   标项名称:  大楼中央空调整体改造项目一期</w:t>
      </w:r>
    </w:p>
    <w:p>
      <w:pPr>
        <w:widowControl/>
        <w:spacing w:before="100" w:beforeAutospacing="1" w:after="100" w:afterAutospacing="1" w:line="360" w:lineRule="exact"/>
        <w:jc w:val="left"/>
        <w:rPr>
          <w:rFonts w:ascii="仿宋" w:hAnsi="仿宋" w:eastAsia="仿宋" w:cs="宋体"/>
          <w:kern w:val="0"/>
          <w:sz w:val="25"/>
          <w:szCs w:val="25"/>
          <w:highlight w:val="none"/>
        </w:rPr>
      </w:pPr>
      <w:r>
        <w:rPr>
          <w:rFonts w:hint="eastAsia" w:ascii="宋体" w:hAnsi="宋体" w:cs="宋体"/>
          <w:kern w:val="0"/>
          <w:sz w:val="25"/>
          <w:szCs w:val="25"/>
          <w:highlight w:val="none"/>
        </w:rPr>
        <w:br w:type="textWrapping"/>
      </w:r>
      <w:r>
        <w:rPr>
          <w:rFonts w:hint="eastAsia" w:ascii="宋体" w:hAnsi="宋体" w:cs="宋体"/>
          <w:kern w:val="0"/>
          <w:sz w:val="25"/>
          <w:szCs w:val="25"/>
          <w:highlight w:val="none"/>
        </w:rPr>
        <w:t xml:space="preserve">   数量：1 </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预算金额（元）：</w:t>
      </w:r>
      <w:r>
        <w:rPr>
          <w:rFonts w:hint="eastAsia" w:ascii="仿宋" w:hAnsi="仿宋"/>
          <w:kern w:val="0"/>
          <w:sz w:val="25"/>
          <w:szCs w:val="25"/>
          <w:highlight w:val="none"/>
        </w:rPr>
        <w:t>3900000.00</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单位：项</w:t>
      </w:r>
      <w:r>
        <w:rPr>
          <w:rFonts w:hint="eastAsia" w:ascii="仿宋" w:hAnsi="仿宋" w:eastAsia="仿宋" w:cs="宋体"/>
          <w:kern w:val="0"/>
          <w:sz w:val="25"/>
          <w:szCs w:val="25"/>
          <w:highlight w:val="none"/>
        </w:rPr>
        <w:t xml:space="preserve"> </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简要规格描述：详见</w:t>
      </w:r>
      <w:r>
        <w:rPr>
          <w:rFonts w:hint="eastAsia" w:ascii="宋体" w:hAnsi="宋体"/>
          <w:kern w:val="0"/>
          <w:sz w:val="25"/>
          <w:szCs w:val="25"/>
          <w:highlight w:val="none"/>
        </w:rPr>
        <w:t>磋商文件</w:t>
      </w:r>
      <w:r>
        <w:rPr>
          <w:rFonts w:hint="eastAsia" w:ascii="仿宋" w:hAnsi="仿宋" w:eastAsia="仿宋" w:cs="宋体"/>
          <w:kern w:val="0"/>
          <w:sz w:val="25"/>
          <w:szCs w:val="25"/>
          <w:highlight w:val="none"/>
        </w:rPr>
        <w:t xml:space="preserve"> </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备注：</w:t>
      </w:r>
      <w:r>
        <w:rPr>
          <w:rFonts w:hint="eastAsia" w:ascii="仿宋" w:hAnsi="仿宋" w:eastAsia="仿宋" w:cs="宋体"/>
          <w:kern w:val="0"/>
          <w:sz w:val="25"/>
          <w:szCs w:val="25"/>
          <w:highlight w:val="none"/>
        </w:rPr>
        <w:t xml:space="preserve"> </w:t>
      </w:r>
    </w:p>
    <w:p>
      <w:pPr>
        <w:widowControl/>
        <w:spacing w:line="360" w:lineRule="exact"/>
        <w:jc w:val="left"/>
        <w:rPr>
          <w:rFonts w:ascii="仿宋" w:hAnsi="仿宋" w:eastAsia="仿宋" w:cs="宋体"/>
          <w:kern w:val="0"/>
          <w:sz w:val="25"/>
          <w:szCs w:val="25"/>
          <w:highlight w:val="none"/>
        </w:rPr>
      </w:pPr>
      <w:r>
        <w:rPr>
          <w:rFonts w:hint="eastAsia" w:ascii="仿宋" w:hAnsi="仿宋" w:eastAsia="仿宋" w:cs="宋体"/>
          <w:kern w:val="0"/>
          <w:sz w:val="24"/>
          <w:highlight w:val="none"/>
        </w:rPr>
        <w:t xml:space="preserve">  </w:t>
      </w: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合同履约期限：</w:t>
      </w:r>
      <w:r>
        <w:rPr>
          <w:rFonts w:hint="eastAsia" w:ascii="宋体" w:hAnsi="宋体"/>
          <w:kern w:val="0"/>
          <w:sz w:val="25"/>
          <w:szCs w:val="25"/>
          <w:highlight w:val="none"/>
        </w:rPr>
        <w:t>合同签订后</w:t>
      </w:r>
      <w:r>
        <w:rPr>
          <w:rFonts w:ascii="仿宋" w:hAnsi="仿宋"/>
          <w:kern w:val="0"/>
          <w:sz w:val="25"/>
          <w:szCs w:val="25"/>
          <w:highlight w:val="none"/>
        </w:rPr>
        <w:t>6</w:t>
      </w:r>
      <w:r>
        <w:rPr>
          <w:rFonts w:hint="eastAsia" w:ascii="仿宋" w:hAnsi="仿宋"/>
          <w:kern w:val="0"/>
          <w:sz w:val="25"/>
          <w:szCs w:val="25"/>
          <w:highlight w:val="none"/>
        </w:rPr>
        <w:t>0</w:t>
      </w:r>
      <w:r>
        <w:rPr>
          <w:rFonts w:hint="eastAsia" w:ascii="宋体" w:hAnsi="宋体"/>
          <w:kern w:val="0"/>
          <w:sz w:val="25"/>
          <w:szCs w:val="25"/>
          <w:highlight w:val="none"/>
        </w:rPr>
        <w:t>天内完成。</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本项目（否）接受联合体投标。</w:t>
      </w:r>
      <w:r>
        <w:rPr>
          <w:rFonts w:hint="eastAsia" w:ascii="仿宋" w:hAnsi="仿宋" w:eastAsia="仿宋" w:cs="宋体"/>
          <w:kern w:val="0"/>
          <w:sz w:val="24"/>
          <w:highlight w:val="none"/>
        </w:rPr>
        <w:t xml:space="preserve">  </w:t>
      </w:r>
    </w:p>
    <w:p>
      <w:pPr>
        <w:widowControl/>
        <w:spacing w:before="231" w:after="231" w:line="360" w:lineRule="exact"/>
        <w:rPr>
          <w:rFonts w:ascii="黑体" w:hAnsi="黑体" w:eastAsia="黑体" w:cs="宋体"/>
          <w:kern w:val="0"/>
          <w:sz w:val="25"/>
          <w:szCs w:val="25"/>
          <w:highlight w:val="none"/>
        </w:rPr>
      </w:pPr>
      <w:r>
        <w:rPr>
          <w:rFonts w:hint="eastAsia" w:ascii="黑体" w:hAnsi="黑体" w:eastAsia="黑体" w:cs="宋体"/>
          <w:b/>
          <w:bCs/>
          <w:kern w:val="0"/>
          <w:sz w:val="25"/>
          <w:szCs w:val="25"/>
          <w:highlight w:val="none"/>
        </w:rPr>
        <w:t>二、申请人的资格要求：</w:t>
      </w:r>
    </w:p>
    <w:p>
      <w:pPr>
        <w:widowControl/>
        <w:spacing w:before="100" w:beforeAutospacing="1" w:after="100" w:afterAutospacing="1" w:line="360" w:lineRule="exact"/>
        <w:jc w:val="left"/>
        <w:rPr>
          <w:rFonts w:ascii="仿宋" w:hAnsi="仿宋"/>
          <w:kern w:val="0"/>
          <w:sz w:val="24"/>
          <w:highlight w:val="none"/>
        </w:rPr>
      </w:pPr>
      <w:r>
        <w:rPr>
          <w:rFonts w:hint="eastAsia" w:ascii="仿宋" w:hAnsi="仿宋" w:eastAsia="仿宋" w:cs="宋体"/>
          <w:kern w:val="0"/>
          <w:sz w:val="25"/>
          <w:szCs w:val="25"/>
          <w:highlight w:val="none"/>
        </w:rPr>
        <w:t xml:space="preserve">    1.</w:t>
      </w:r>
      <w:r>
        <w:rPr>
          <w:rFonts w:hint="eastAsia" w:ascii="宋体" w:hAnsi="宋体" w:cs="宋体"/>
          <w:kern w:val="0"/>
          <w:sz w:val="25"/>
          <w:szCs w:val="25"/>
          <w:highlight w:val="none"/>
        </w:rPr>
        <w:t>满足《中华人民共和国政府采购法》第二十二条规定；未被</w:t>
      </w:r>
      <w:r>
        <w:rPr>
          <w:rFonts w:hint="eastAsia" w:ascii="仿宋" w:hAnsi="仿宋" w:eastAsia="仿宋" w:cs="宋体"/>
          <w:kern w:val="0"/>
          <w:sz w:val="25"/>
          <w:szCs w:val="25"/>
          <w:highlight w:val="none"/>
        </w:rPr>
        <w:t>“</w:t>
      </w:r>
      <w:r>
        <w:rPr>
          <w:rFonts w:hint="eastAsia" w:ascii="宋体" w:hAnsi="宋体" w:cs="宋体"/>
          <w:kern w:val="0"/>
          <w:sz w:val="25"/>
          <w:szCs w:val="25"/>
          <w:highlight w:val="none"/>
        </w:rPr>
        <w:t>信用中国</w:t>
      </w:r>
      <w:r>
        <w:rPr>
          <w:rFonts w:hint="eastAsia" w:ascii="仿宋" w:hAnsi="仿宋" w:eastAsia="仿宋" w:cs="宋体"/>
          <w:kern w:val="0"/>
          <w:sz w:val="25"/>
          <w:szCs w:val="25"/>
          <w:highlight w:val="none"/>
        </w:rPr>
        <w:t>”</w:t>
      </w:r>
      <w:r>
        <w:rPr>
          <w:rFonts w:hint="eastAsia" w:ascii="宋体" w:hAnsi="宋体" w:cs="宋体"/>
          <w:kern w:val="0"/>
          <w:sz w:val="25"/>
          <w:szCs w:val="25"/>
          <w:highlight w:val="none"/>
        </w:rPr>
        <w:t>（</w:t>
      </w:r>
      <w:r>
        <w:rPr>
          <w:rFonts w:hint="eastAsia" w:ascii="仿宋" w:hAnsi="仿宋" w:eastAsia="仿宋" w:cs="宋体"/>
          <w:kern w:val="0"/>
          <w:sz w:val="25"/>
          <w:szCs w:val="25"/>
          <w:highlight w:val="none"/>
        </w:rPr>
        <w:t>www.creditchina.gov.cn)</w:t>
      </w:r>
      <w:r>
        <w:rPr>
          <w:rFonts w:hint="eastAsia" w:ascii="宋体" w:hAnsi="宋体" w:cs="宋体"/>
          <w:kern w:val="0"/>
          <w:sz w:val="25"/>
          <w:szCs w:val="25"/>
          <w:highlight w:val="none"/>
        </w:rPr>
        <w:t>、中国政府采购网（</w:t>
      </w:r>
      <w:r>
        <w:rPr>
          <w:rFonts w:hint="eastAsia" w:ascii="仿宋" w:hAnsi="仿宋" w:eastAsia="仿宋" w:cs="宋体"/>
          <w:kern w:val="0"/>
          <w:sz w:val="25"/>
          <w:szCs w:val="25"/>
          <w:highlight w:val="none"/>
        </w:rPr>
        <w:t>www.ccgp.gov.cn</w:t>
      </w:r>
      <w:r>
        <w:rPr>
          <w:rFonts w:hint="eastAsia" w:ascii="宋体" w:hAnsi="宋体" w:cs="宋体"/>
          <w:kern w:val="0"/>
          <w:sz w:val="25"/>
          <w:szCs w:val="25"/>
          <w:highlight w:val="none"/>
        </w:rPr>
        <w:t>）列入失信被执行人、重大税收违法案件当事人名单、政府采购严重违法失信行为记录名单。</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2.</w:t>
      </w:r>
      <w:r>
        <w:rPr>
          <w:rFonts w:hint="eastAsia" w:ascii="宋体" w:hAnsi="宋体" w:cs="宋体"/>
          <w:kern w:val="0"/>
          <w:sz w:val="25"/>
          <w:szCs w:val="25"/>
          <w:highlight w:val="none"/>
        </w:rPr>
        <w:t>落实政府采购政策需满足的资格要求：</w:t>
      </w:r>
      <w:r>
        <w:rPr>
          <w:rStyle w:val="66"/>
          <w:rFonts w:hint="eastAsia" w:ascii="宋体" w:hAnsi="宋体"/>
          <w:sz w:val="25"/>
          <w:szCs w:val="25"/>
          <w:highlight w:val="none"/>
        </w:rPr>
        <w:t>本项目对符合财政扶持政策的中小企业（小型、微型）、监狱企业、残疾人福利性单位给予价格优惠扶持，执行节能产品政府强制采购和优先采购政策，执行环境标志产品政府优先采购政策。</w:t>
      </w:r>
      <w:r>
        <w:rPr>
          <w:rStyle w:val="66"/>
          <w:rFonts w:hint="eastAsia" w:ascii="仿宋" w:hAnsi="仿宋" w:eastAsia="仿宋"/>
          <w:sz w:val="25"/>
          <w:szCs w:val="25"/>
          <w:highlight w:val="none"/>
        </w:rPr>
        <w:t xml:space="preserve"> </w:t>
      </w:r>
      <w:r>
        <w:rPr>
          <w:rFonts w:hint="eastAsia" w:ascii="仿宋" w:hAnsi="仿宋" w:eastAsia="仿宋"/>
          <w:sz w:val="25"/>
          <w:szCs w:val="25"/>
          <w:highlight w:val="none"/>
        </w:rPr>
        <w:t xml:space="preserve"> </w:t>
      </w:r>
      <w:r>
        <w:rPr>
          <w:rFonts w:hint="eastAsia" w:ascii="仿宋" w:hAnsi="仿宋" w:eastAsia="仿宋" w:cs="宋体"/>
          <w:kern w:val="0"/>
          <w:sz w:val="25"/>
          <w:szCs w:val="25"/>
          <w:highlight w:val="none"/>
        </w:rPr>
        <w:t xml:space="preserve"> </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3.</w:t>
      </w:r>
      <w:r>
        <w:rPr>
          <w:rFonts w:hint="eastAsia" w:ascii="宋体" w:hAnsi="宋体" w:cs="宋体"/>
          <w:kern w:val="0"/>
          <w:sz w:val="25"/>
          <w:szCs w:val="25"/>
          <w:highlight w:val="none"/>
        </w:rPr>
        <w:t>本项目的特定资格要求：</w:t>
      </w:r>
      <w:r>
        <w:rPr>
          <w:rFonts w:hint="eastAsia" w:ascii="宋体" w:hAnsi="宋体"/>
          <w:kern w:val="0"/>
          <w:sz w:val="25"/>
          <w:szCs w:val="25"/>
          <w:highlight w:val="none"/>
        </w:rPr>
        <w:t>无</w:t>
      </w:r>
      <w:r>
        <w:rPr>
          <w:rFonts w:hint="eastAsia" w:ascii="仿宋" w:hAnsi="仿宋" w:eastAsia="仿宋" w:cs="宋体"/>
          <w:kern w:val="0"/>
          <w:sz w:val="25"/>
          <w:szCs w:val="25"/>
          <w:highlight w:val="none"/>
        </w:rPr>
        <w:t xml:space="preserve"> </w:t>
      </w:r>
    </w:p>
    <w:p>
      <w:pPr>
        <w:widowControl/>
        <w:spacing w:before="231" w:after="231" w:line="360" w:lineRule="exact"/>
        <w:rPr>
          <w:rFonts w:ascii="黑体" w:hAnsi="黑体" w:eastAsia="黑体" w:cs="宋体"/>
          <w:kern w:val="0"/>
          <w:sz w:val="25"/>
          <w:szCs w:val="25"/>
          <w:highlight w:val="none"/>
        </w:rPr>
      </w:pPr>
      <w:r>
        <w:rPr>
          <w:rFonts w:hint="eastAsia" w:ascii="黑体" w:hAnsi="黑体" w:eastAsia="黑体" w:cs="宋体"/>
          <w:b/>
          <w:bCs/>
          <w:kern w:val="0"/>
          <w:sz w:val="25"/>
          <w:szCs w:val="25"/>
          <w:highlight w:val="none"/>
        </w:rPr>
        <w:t>三、获取（下载）采购文件</w:t>
      </w:r>
    </w:p>
    <w:p>
      <w:pPr>
        <w:pStyle w:val="26"/>
        <w:spacing w:line="300" w:lineRule="atLeast"/>
        <w:rPr>
          <w:rFonts w:hint="eastAsia" w:ascii="仿宋" w:hAnsi="仿宋" w:eastAsia="宋体"/>
          <w:highlight w:val="none"/>
          <w:lang w:val="en-US" w:eastAsia="zh-CN"/>
        </w:rPr>
      </w:pPr>
      <w:r>
        <w:rPr>
          <w:rFonts w:ascii="仿宋" w:hAnsi="仿宋" w:eastAsia="仿宋" w:cs="宋体"/>
          <w:sz w:val="25"/>
          <w:szCs w:val="25"/>
          <w:highlight w:val="none"/>
        </w:rPr>
        <w:t xml:space="preserve">    </w:t>
      </w:r>
      <w:r>
        <w:rPr>
          <w:rFonts w:ascii="宋体" w:hAnsi="宋体" w:cs="宋体"/>
          <w:sz w:val="25"/>
          <w:szCs w:val="25"/>
          <w:highlight w:val="none"/>
        </w:rPr>
        <w:t>时间：</w:t>
      </w:r>
      <w:r>
        <w:rPr>
          <w:rFonts w:hint="eastAsia" w:ascii="宋体" w:hAnsi="宋体" w:cs="宋体"/>
          <w:sz w:val="25"/>
          <w:szCs w:val="25"/>
          <w:highlight w:val="none"/>
          <w:lang w:val="en-US" w:eastAsia="zh-CN"/>
        </w:rPr>
        <w:t>2020年9月27日至</w:t>
      </w:r>
      <w:r>
        <w:rPr>
          <w:rFonts w:ascii="仿宋" w:hAnsi="仿宋" w:eastAsia="仿宋" w:cs="宋体"/>
          <w:sz w:val="25"/>
          <w:szCs w:val="25"/>
          <w:highlight w:val="none"/>
        </w:rPr>
        <w:t>2020</w:t>
      </w:r>
      <w:r>
        <w:rPr>
          <w:rFonts w:ascii="宋体" w:hAnsi="宋体" w:cs="宋体"/>
          <w:sz w:val="25"/>
          <w:szCs w:val="25"/>
          <w:highlight w:val="none"/>
        </w:rPr>
        <w:t>年</w:t>
      </w:r>
      <w:r>
        <w:rPr>
          <w:rFonts w:hint="eastAsia" w:ascii="仿宋" w:hAnsi="仿宋"/>
          <w:sz w:val="25"/>
          <w:szCs w:val="25"/>
          <w:highlight w:val="none"/>
          <w:lang w:val="en-US" w:eastAsia="zh-CN"/>
        </w:rPr>
        <w:t>10</w:t>
      </w:r>
      <w:r>
        <w:rPr>
          <w:rFonts w:ascii="宋体" w:hAnsi="宋体" w:cs="宋体"/>
          <w:sz w:val="25"/>
          <w:szCs w:val="25"/>
          <w:highlight w:val="none"/>
        </w:rPr>
        <w:t>月</w:t>
      </w:r>
      <w:r>
        <w:rPr>
          <w:rFonts w:hint="eastAsia" w:ascii="仿宋" w:hAnsi="仿宋"/>
          <w:sz w:val="25"/>
          <w:szCs w:val="25"/>
          <w:highlight w:val="none"/>
          <w:lang w:val="en-US" w:eastAsia="zh-CN"/>
        </w:rPr>
        <w:t>9</w:t>
      </w:r>
      <w:r>
        <w:rPr>
          <w:rFonts w:ascii="宋体" w:hAnsi="宋体" w:cs="宋体"/>
          <w:sz w:val="25"/>
          <w:szCs w:val="25"/>
          <w:highlight w:val="none"/>
        </w:rPr>
        <w:t>日，每天上午</w:t>
      </w:r>
      <w:r>
        <w:rPr>
          <w:rFonts w:ascii="仿宋" w:hAnsi="仿宋" w:eastAsia="仿宋" w:cs="宋体"/>
          <w:sz w:val="25"/>
          <w:szCs w:val="25"/>
          <w:highlight w:val="none"/>
        </w:rPr>
        <w:t>00:00</w:t>
      </w:r>
      <w:r>
        <w:rPr>
          <w:rFonts w:ascii="宋体" w:hAnsi="宋体" w:cs="宋体"/>
          <w:sz w:val="25"/>
          <w:szCs w:val="25"/>
          <w:highlight w:val="none"/>
        </w:rPr>
        <w:t>至</w:t>
      </w:r>
      <w:r>
        <w:rPr>
          <w:rFonts w:ascii="仿宋" w:hAnsi="仿宋" w:eastAsia="仿宋" w:cs="宋体"/>
          <w:sz w:val="25"/>
          <w:szCs w:val="25"/>
          <w:highlight w:val="none"/>
        </w:rPr>
        <w:t>12:00</w:t>
      </w:r>
      <w:r>
        <w:rPr>
          <w:rFonts w:ascii="宋体" w:hAnsi="宋体" w:cs="宋体"/>
          <w:sz w:val="25"/>
          <w:szCs w:val="25"/>
          <w:highlight w:val="none"/>
        </w:rPr>
        <w:t>，下午</w:t>
      </w:r>
      <w:r>
        <w:rPr>
          <w:rFonts w:ascii="仿宋" w:hAnsi="仿宋" w:eastAsia="仿宋" w:cs="宋体"/>
          <w:sz w:val="25"/>
          <w:szCs w:val="25"/>
          <w:highlight w:val="none"/>
        </w:rPr>
        <w:t>12:00</w:t>
      </w:r>
      <w:r>
        <w:rPr>
          <w:rFonts w:ascii="宋体" w:hAnsi="宋体" w:cs="宋体"/>
          <w:sz w:val="25"/>
          <w:szCs w:val="25"/>
          <w:highlight w:val="none"/>
        </w:rPr>
        <w:t>至</w:t>
      </w:r>
      <w:r>
        <w:rPr>
          <w:rFonts w:ascii="仿宋" w:hAnsi="仿宋" w:eastAsia="仿宋" w:cs="宋体"/>
          <w:sz w:val="25"/>
          <w:szCs w:val="25"/>
          <w:highlight w:val="none"/>
        </w:rPr>
        <w:t>23:59</w:t>
      </w:r>
      <w:r>
        <w:rPr>
          <w:rFonts w:ascii="宋体" w:hAnsi="宋体" w:cs="宋体"/>
          <w:sz w:val="25"/>
          <w:szCs w:val="25"/>
          <w:highlight w:val="none"/>
        </w:rPr>
        <w:t>（北京时间，线上获取法定节假日均可，线下获取文件法定节假日除外</w:t>
      </w:r>
      <w:r>
        <w:rPr>
          <w:highlight w:val="none"/>
        </w:rPr>
        <w:t>）</w:t>
      </w:r>
      <w:r>
        <w:rPr>
          <w:rFonts w:hint="eastAsia"/>
          <w:highlight w:val="none"/>
          <w:lang w:val="en-US" w:eastAsia="zh-CN"/>
        </w:rPr>
        <w:tab/>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地点（网址）：申请注册成为政采云平台供应商会员后登录政府采购云平台（</w:t>
      </w:r>
      <w:r>
        <w:rPr>
          <w:rFonts w:hint="eastAsia" w:ascii="仿宋" w:hAnsi="仿宋" w:eastAsia="仿宋" w:cs="宋体"/>
          <w:kern w:val="0"/>
          <w:sz w:val="25"/>
          <w:szCs w:val="25"/>
          <w:highlight w:val="none"/>
        </w:rPr>
        <w:t>https://login.zcygov.cn/login</w:t>
      </w:r>
      <w:r>
        <w:rPr>
          <w:rFonts w:hint="eastAsia" w:ascii="宋体" w:hAnsi="宋体" w:cs="宋体"/>
          <w:kern w:val="0"/>
          <w:sz w:val="25"/>
          <w:szCs w:val="25"/>
          <w:highlight w:val="none"/>
        </w:rPr>
        <w:t>）通过</w:t>
      </w:r>
      <w:r>
        <w:rPr>
          <w:rFonts w:hint="eastAsia" w:ascii="仿宋" w:hAnsi="仿宋" w:eastAsia="仿宋" w:cs="宋体"/>
          <w:kern w:val="0"/>
          <w:sz w:val="25"/>
          <w:szCs w:val="25"/>
          <w:highlight w:val="none"/>
        </w:rPr>
        <w:t>“</w:t>
      </w:r>
      <w:r>
        <w:rPr>
          <w:rFonts w:hint="eastAsia" w:ascii="宋体" w:hAnsi="宋体" w:cs="宋体"/>
          <w:kern w:val="0"/>
          <w:sz w:val="25"/>
          <w:szCs w:val="25"/>
          <w:highlight w:val="none"/>
        </w:rPr>
        <w:t>项目采购</w:t>
      </w:r>
      <w:r>
        <w:rPr>
          <w:rFonts w:hint="eastAsia" w:ascii="仿宋" w:hAnsi="仿宋" w:eastAsia="仿宋" w:cs="宋体"/>
          <w:kern w:val="0"/>
          <w:sz w:val="25"/>
          <w:szCs w:val="25"/>
          <w:highlight w:val="none"/>
        </w:rPr>
        <w:t>”</w:t>
      </w:r>
      <w:r>
        <w:rPr>
          <w:rFonts w:hint="eastAsia" w:ascii="宋体" w:hAnsi="宋体" w:cs="宋体"/>
          <w:kern w:val="0"/>
          <w:sz w:val="25"/>
          <w:szCs w:val="25"/>
          <w:highlight w:val="none"/>
        </w:rPr>
        <w:t>模块中</w:t>
      </w:r>
      <w:r>
        <w:rPr>
          <w:rFonts w:hint="eastAsia" w:ascii="仿宋" w:hAnsi="仿宋" w:eastAsia="仿宋" w:cs="宋体"/>
          <w:kern w:val="0"/>
          <w:sz w:val="25"/>
          <w:szCs w:val="25"/>
          <w:highlight w:val="none"/>
        </w:rPr>
        <w:t>“</w:t>
      </w:r>
      <w:r>
        <w:rPr>
          <w:rFonts w:hint="eastAsia" w:ascii="宋体" w:hAnsi="宋体" w:cs="宋体"/>
          <w:kern w:val="0"/>
          <w:sz w:val="25"/>
          <w:szCs w:val="25"/>
          <w:highlight w:val="none"/>
        </w:rPr>
        <w:t>项目文件获取</w:t>
      </w: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进行获取磋商文件。（本项目竞争性磋商文件不收取工本费）</w:t>
      </w:r>
      <w:r>
        <w:rPr>
          <w:rFonts w:hint="eastAsia" w:ascii="仿宋" w:hAnsi="仿宋" w:eastAsia="仿宋" w:cs="宋体"/>
          <w:kern w:val="0"/>
          <w:sz w:val="25"/>
          <w:szCs w:val="25"/>
          <w:highlight w:val="none"/>
        </w:rPr>
        <w:t xml:space="preserve"> </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方式：申请注册成为政采云平台供应商会员后登录政府采购云平台（</w:t>
      </w:r>
      <w:r>
        <w:rPr>
          <w:rFonts w:hint="eastAsia" w:ascii="仿宋" w:hAnsi="仿宋" w:eastAsia="仿宋" w:cs="宋体"/>
          <w:kern w:val="0"/>
          <w:sz w:val="25"/>
          <w:szCs w:val="25"/>
          <w:highlight w:val="none"/>
        </w:rPr>
        <w:t>https://login.zcygov.cn/login</w:t>
      </w:r>
      <w:r>
        <w:rPr>
          <w:rFonts w:hint="eastAsia" w:ascii="宋体" w:hAnsi="宋体" w:cs="宋体"/>
          <w:kern w:val="0"/>
          <w:sz w:val="25"/>
          <w:szCs w:val="25"/>
          <w:highlight w:val="none"/>
        </w:rPr>
        <w:t>）通过</w:t>
      </w:r>
      <w:r>
        <w:rPr>
          <w:rFonts w:hint="eastAsia" w:ascii="仿宋" w:hAnsi="仿宋" w:eastAsia="仿宋" w:cs="宋体"/>
          <w:kern w:val="0"/>
          <w:sz w:val="25"/>
          <w:szCs w:val="25"/>
          <w:highlight w:val="none"/>
        </w:rPr>
        <w:t>“</w:t>
      </w:r>
      <w:r>
        <w:rPr>
          <w:rFonts w:hint="eastAsia" w:ascii="宋体" w:hAnsi="宋体" w:cs="宋体"/>
          <w:kern w:val="0"/>
          <w:sz w:val="25"/>
          <w:szCs w:val="25"/>
          <w:highlight w:val="none"/>
        </w:rPr>
        <w:t>项目采购</w:t>
      </w:r>
      <w:r>
        <w:rPr>
          <w:rFonts w:hint="eastAsia" w:ascii="仿宋" w:hAnsi="仿宋" w:eastAsia="仿宋" w:cs="宋体"/>
          <w:kern w:val="0"/>
          <w:sz w:val="25"/>
          <w:szCs w:val="25"/>
          <w:highlight w:val="none"/>
        </w:rPr>
        <w:t>”</w:t>
      </w:r>
      <w:r>
        <w:rPr>
          <w:rFonts w:hint="eastAsia" w:ascii="宋体" w:hAnsi="宋体" w:cs="宋体"/>
          <w:kern w:val="0"/>
          <w:sz w:val="25"/>
          <w:szCs w:val="25"/>
          <w:highlight w:val="none"/>
        </w:rPr>
        <w:t>模块中</w:t>
      </w:r>
      <w:r>
        <w:rPr>
          <w:rFonts w:hint="eastAsia" w:ascii="仿宋" w:hAnsi="仿宋" w:eastAsia="仿宋" w:cs="宋体"/>
          <w:kern w:val="0"/>
          <w:sz w:val="25"/>
          <w:szCs w:val="25"/>
          <w:highlight w:val="none"/>
        </w:rPr>
        <w:t>“</w:t>
      </w:r>
      <w:r>
        <w:rPr>
          <w:rFonts w:hint="eastAsia" w:ascii="宋体" w:hAnsi="宋体" w:cs="宋体"/>
          <w:kern w:val="0"/>
          <w:sz w:val="25"/>
          <w:szCs w:val="25"/>
          <w:highlight w:val="none"/>
        </w:rPr>
        <w:t>项目文件获取</w:t>
      </w: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进行获取磋商文件。（本项目竞争性磋商文件不收取工本费）</w:t>
      </w:r>
      <w:r>
        <w:rPr>
          <w:rFonts w:hint="eastAsia" w:ascii="仿宋" w:hAnsi="仿宋" w:eastAsia="仿宋" w:cs="宋体"/>
          <w:kern w:val="0"/>
          <w:sz w:val="25"/>
          <w:szCs w:val="25"/>
          <w:highlight w:val="none"/>
        </w:rPr>
        <w:t xml:space="preserve"> </w:t>
      </w: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售价（元）：</w:t>
      </w:r>
      <w:r>
        <w:rPr>
          <w:rFonts w:hint="eastAsia" w:ascii="仿宋" w:hAnsi="仿宋" w:eastAsia="仿宋" w:cs="宋体"/>
          <w:kern w:val="0"/>
          <w:sz w:val="25"/>
          <w:szCs w:val="25"/>
          <w:highlight w:val="none"/>
        </w:rPr>
        <w:t xml:space="preserve">0 </w:t>
      </w:r>
    </w:p>
    <w:p>
      <w:pPr>
        <w:widowControl/>
        <w:spacing w:before="231" w:after="231" w:line="360" w:lineRule="exact"/>
        <w:rPr>
          <w:rFonts w:ascii="黑体" w:hAnsi="黑体" w:eastAsia="黑体" w:cs="宋体"/>
          <w:kern w:val="0"/>
          <w:sz w:val="25"/>
          <w:szCs w:val="25"/>
          <w:highlight w:val="none"/>
        </w:rPr>
      </w:pPr>
      <w:r>
        <w:rPr>
          <w:rFonts w:hint="eastAsia" w:ascii="黑体" w:hAnsi="黑体" w:eastAsia="黑体" w:cs="宋体"/>
          <w:b/>
          <w:bCs/>
          <w:kern w:val="0"/>
          <w:sz w:val="25"/>
          <w:szCs w:val="25"/>
          <w:highlight w:val="none"/>
        </w:rPr>
        <w:t>四、响应文件提交（上传）</w:t>
      </w:r>
      <w:r>
        <w:rPr>
          <w:rFonts w:hint="eastAsia" w:ascii="宋体" w:hAnsi="宋体"/>
          <w:kern w:val="0"/>
          <w:sz w:val="25"/>
          <w:szCs w:val="25"/>
          <w:highlight w:val="none"/>
        </w:rPr>
        <w:t xml:space="preserve"> </w:t>
      </w:r>
    </w:p>
    <w:p>
      <w:pPr>
        <w:widowControl/>
        <w:spacing w:before="100" w:beforeAutospacing="1" w:after="100" w:afterAutospacing="1" w:line="360" w:lineRule="exact"/>
        <w:jc w:val="left"/>
        <w:rPr>
          <w:rFonts w:ascii="仿宋" w:hAnsi="仿宋"/>
          <w:kern w:val="0"/>
          <w:sz w:val="25"/>
          <w:szCs w:val="25"/>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截止时间：</w:t>
      </w:r>
      <w:r>
        <w:rPr>
          <w:rFonts w:hint="eastAsia" w:ascii="仿宋" w:hAnsi="仿宋" w:eastAsia="仿宋" w:cs="宋体"/>
          <w:kern w:val="0"/>
          <w:sz w:val="25"/>
          <w:szCs w:val="25"/>
          <w:highlight w:val="none"/>
        </w:rPr>
        <w:t>2020</w:t>
      </w:r>
      <w:r>
        <w:rPr>
          <w:rFonts w:hint="eastAsia" w:ascii="宋体" w:hAnsi="宋体" w:cs="宋体"/>
          <w:kern w:val="0"/>
          <w:sz w:val="25"/>
          <w:szCs w:val="25"/>
          <w:highlight w:val="none"/>
        </w:rPr>
        <w:t>年</w:t>
      </w:r>
      <w:r>
        <w:rPr>
          <w:rFonts w:hint="eastAsia" w:ascii="仿宋" w:hAnsi="仿宋"/>
          <w:kern w:val="0"/>
          <w:sz w:val="25"/>
          <w:szCs w:val="25"/>
          <w:highlight w:val="none"/>
          <w:lang w:val="en-US" w:eastAsia="zh-CN"/>
        </w:rPr>
        <w:t>10</w:t>
      </w:r>
      <w:r>
        <w:rPr>
          <w:rFonts w:hint="eastAsia" w:ascii="宋体" w:hAnsi="宋体" w:cs="宋体"/>
          <w:kern w:val="0"/>
          <w:sz w:val="25"/>
          <w:szCs w:val="25"/>
          <w:highlight w:val="none"/>
        </w:rPr>
        <w:t>月</w:t>
      </w:r>
      <w:r>
        <w:rPr>
          <w:rFonts w:hint="eastAsia" w:ascii="仿宋" w:hAnsi="仿宋"/>
          <w:kern w:val="0"/>
          <w:sz w:val="25"/>
          <w:szCs w:val="25"/>
          <w:highlight w:val="none"/>
          <w:lang w:val="en-US" w:eastAsia="zh-CN"/>
        </w:rPr>
        <w:t>12</w:t>
      </w:r>
      <w:r>
        <w:rPr>
          <w:rFonts w:hint="eastAsia" w:ascii="宋体" w:hAnsi="宋体" w:cs="宋体"/>
          <w:kern w:val="0"/>
          <w:sz w:val="25"/>
          <w:szCs w:val="25"/>
          <w:highlight w:val="none"/>
        </w:rPr>
        <w:t>日</w:t>
      </w:r>
      <w:r>
        <w:rPr>
          <w:rFonts w:hint="eastAsia" w:ascii="仿宋" w:hAnsi="仿宋" w:eastAsia="仿宋" w:cs="宋体"/>
          <w:kern w:val="0"/>
          <w:sz w:val="25"/>
          <w:szCs w:val="25"/>
          <w:highlight w:val="none"/>
        </w:rPr>
        <w:t xml:space="preserve"> 14:</w:t>
      </w:r>
      <w:r>
        <w:rPr>
          <w:rFonts w:hint="eastAsia" w:ascii="仿宋" w:hAnsi="仿宋" w:eastAsia="仿宋" w:cs="宋体"/>
          <w:kern w:val="0"/>
          <w:sz w:val="25"/>
          <w:szCs w:val="25"/>
          <w:highlight w:val="none"/>
          <w:lang w:val="en-US" w:eastAsia="zh-CN"/>
        </w:rPr>
        <w:t>00</w:t>
      </w:r>
      <w:r>
        <w:rPr>
          <w:rFonts w:hint="eastAsia" w:ascii="宋体" w:hAnsi="宋体" w:cs="宋体"/>
          <w:kern w:val="0"/>
          <w:sz w:val="25"/>
          <w:szCs w:val="25"/>
          <w:highlight w:val="none"/>
        </w:rPr>
        <w:t>（北京时间）</w:t>
      </w:r>
    </w:p>
    <w:p>
      <w:pPr>
        <w:widowControl/>
        <w:spacing w:before="100" w:beforeAutospacing="1" w:after="100" w:afterAutospacing="1" w:line="360" w:lineRule="exact"/>
        <w:jc w:val="left"/>
        <w:rPr>
          <w:rFonts w:ascii="仿宋" w:hAnsi="仿宋" w:eastAsia="仿宋" w:cs="宋体"/>
          <w:kern w:val="0"/>
          <w:sz w:val="25"/>
          <w:szCs w:val="25"/>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地点（网址）：</w:t>
      </w:r>
      <w:r>
        <w:rPr>
          <w:rFonts w:hint="eastAsia" w:ascii="宋体" w:hAnsi="宋体"/>
          <w:sz w:val="25"/>
          <w:szCs w:val="25"/>
          <w:highlight w:val="none"/>
        </w:rPr>
        <w:t>通过“政府采购云平台（www.zcygov.cn）”实行在线投标响应</w:t>
      </w:r>
      <w:r>
        <w:rPr>
          <w:rStyle w:val="66"/>
          <w:rFonts w:hint="eastAsia" w:ascii="仿宋" w:hAnsi="仿宋" w:eastAsia="仿宋"/>
          <w:sz w:val="25"/>
          <w:szCs w:val="25"/>
          <w:highlight w:val="none"/>
        </w:rPr>
        <w:t xml:space="preserve"> </w:t>
      </w:r>
      <w:r>
        <w:rPr>
          <w:rFonts w:hint="eastAsia" w:ascii="仿宋" w:hAnsi="仿宋" w:eastAsia="仿宋"/>
          <w:sz w:val="25"/>
          <w:szCs w:val="25"/>
          <w:highlight w:val="none"/>
        </w:rPr>
        <w:t xml:space="preserve"> </w:t>
      </w:r>
    </w:p>
    <w:p>
      <w:pPr>
        <w:widowControl/>
        <w:spacing w:before="231" w:after="231" w:line="360" w:lineRule="exact"/>
        <w:rPr>
          <w:rFonts w:ascii="黑体" w:hAnsi="黑体" w:eastAsia="黑体" w:cs="宋体"/>
          <w:kern w:val="0"/>
          <w:sz w:val="25"/>
          <w:szCs w:val="25"/>
          <w:highlight w:val="none"/>
        </w:rPr>
      </w:pPr>
      <w:r>
        <w:rPr>
          <w:rFonts w:hint="eastAsia" w:ascii="黑体" w:hAnsi="黑体" w:eastAsia="黑体" w:cs="宋体"/>
          <w:b/>
          <w:bCs/>
          <w:kern w:val="0"/>
          <w:sz w:val="25"/>
          <w:szCs w:val="25"/>
          <w:highlight w:val="none"/>
        </w:rPr>
        <w:t>五、响应文件开启</w:t>
      </w:r>
      <w:r>
        <w:rPr>
          <w:rFonts w:hint="eastAsia" w:ascii="宋体" w:hAnsi="宋体"/>
          <w:kern w:val="0"/>
          <w:sz w:val="25"/>
          <w:szCs w:val="25"/>
          <w:highlight w:val="none"/>
        </w:rPr>
        <w:t xml:space="preserve"> </w:t>
      </w:r>
    </w:p>
    <w:p>
      <w:pPr>
        <w:widowControl/>
        <w:spacing w:before="100" w:beforeAutospacing="1" w:after="100" w:afterAutospacing="1" w:line="360" w:lineRule="exact"/>
        <w:jc w:val="left"/>
        <w:rPr>
          <w:rFonts w:ascii="仿宋" w:hAnsi="仿宋"/>
          <w:kern w:val="0"/>
          <w:sz w:val="25"/>
          <w:szCs w:val="25"/>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开启时间：</w:t>
      </w:r>
      <w:r>
        <w:rPr>
          <w:rFonts w:hint="eastAsia" w:ascii="仿宋" w:hAnsi="仿宋" w:eastAsia="仿宋" w:cs="宋体"/>
          <w:kern w:val="0"/>
          <w:sz w:val="25"/>
          <w:szCs w:val="25"/>
          <w:highlight w:val="none"/>
        </w:rPr>
        <w:t>2020</w:t>
      </w:r>
      <w:r>
        <w:rPr>
          <w:rFonts w:hint="eastAsia" w:ascii="宋体" w:hAnsi="宋体" w:cs="宋体"/>
          <w:kern w:val="0"/>
          <w:sz w:val="25"/>
          <w:szCs w:val="25"/>
          <w:highlight w:val="none"/>
        </w:rPr>
        <w:t>年</w:t>
      </w:r>
      <w:r>
        <w:rPr>
          <w:rFonts w:hint="eastAsia" w:ascii="仿宋" w:hAnsi="仿宋"/>
          <w:kern w:val="0"/>
          <w:sz w:val="25"/>
          <w:szCs w:val="25"/>
          <w:highlight w:val="none"/>
          <w:lang w:val="en-US" w:eastAsia="zh-CN"/>
        </w:rPr>
        <w:t>10</w:t>
      </w:r>
      <w:r>
        <w:rPr>
          <w:rFonts w:hint="eastAsia" w:ascii="宋体" w:hAnsi="宋体" w:cs="宋体"/>
          <w:kern w:val="0"/>
          <w:sz w:val="25"/>
          <w:szCs w:val="25"/>
          <w:highlight w:val="none"/>
        </w:rPr>
        <w:t>月</w:t>
      </w:r>
      <w:r>
        <w:rPr>
          <w:rFonts w:hint="eastAsia" w:ascii="仿宋" w:hAnsi="仿宋"/>
          <w:kern w:val="0"/>
          <w:sz w:val="25"/>
          <w:szCs w:val="25"/>
          <w:highlight w:val="none"/>
          <w:lang w:val="en-US" w:eastAsia="zh-CN"/>
        </w:rPr>
        <w:t>12</w:t>
      </w:r>
      <w:r>
        <w:rPr>
          <w:rFonts w:hint="eastAsia" w:ascii="宋体" w:hAnsi="宋体" w:cs="宋体"/>
          <w:kern w:val="0"/>
          <w:sz w:val="25"/>
          <w:szCs w:val="25"/>
          <w:highlight w:val="none"/>
        </w:rPr>
        <w:t>日</w:t>
      </w:r>
      <w:r>
        <w:rPr>
          <w:rFonts w:hint="eastAsia" w:ascii="仿宋" w:hAnsi="仿宋" w:eastAsia="仿宋" w:cs="宋体"/>
          <w:kern w:val="0"/>
          <w:sz w:val="25"/>
          <w:szCs w:val="25"/>
          <w:highlight w:val="none"/>
        </w:rPr>
        <w:t xml:space="preserve"> 14:</w:t>
      </w:r>
      <w:r>
        <w:rPr>
          <w:rFonts w:hint="eastAsia" w:ascii="仿宋" w:hAnsi="仿宋" w:eastAsia="仿宋" w:cs="宋体"/>
          <w:kern w:val="0"/>
          <w:sz w:val="25"/>
          <w:szCs w:val="25"/>
          <w:highlight w:val="none"/>
          <w:lang w:val="en-US" w:eastAsia="zh-CN"/>
        </w:rPr>
        <w:t>00</w:t>
      </w:r>
      <w:r>
        <w:rPr>
          <w:rFonts w:hint="eastAsia" w:ascii="宋体" w:hAnsi="宋体" w:cs="宋体"/>
          <w:kern w:val="0"/>
          <w:sz w:val="25"/>
          <w:szCs w:val="25"/>
          <w:highlight w:val="none"/>
        </w:rPr>
        <w:t>（北京时间）</w:t>
      </w:r>
    </w:p>
    <w:p>
      <w:pPr>
        <w:widowControl/>
        <w:spacing w:before="100" w:beforeAutospacing="1" w:after="100" w:afterAutospacing="1" w:line="360" w:lineRule="exact"/>
        <w:jc w:val="left"/>
        <w:rPr>
          <w:rFonts w:ascii="仿宋" w:hAnsi="仿宋" w:eastAsia="仿宋" w:cs="宋体"/>
          <w:kern w:val="0"/>
          <w:sz w:val="25"/>
          <w:szCs w:val="25"/>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地点（网址）：</w:t>
      </w:r>
      <w:r>
        <w:rPr>
          <w:rFonts w:hint="eastAsia" w:ascii="宋体" w:hAnsi="宋体"/>
          <w:sz w:val="25"/>
          <w:szCs w:val="25"/>
          <w:highlight w:val="none"/>
        </w:rPr>
        <w:t>通过“政府采购云平台（www.zcygov.cn）”实行在线投标响应</w:t>
      </w:r>
      <w:r>
        <w:rPr>
          <w:rStyle w:val="66"/>
          <w:rFonts w:hint="eastAsia" w:ascii="仿宋" w:hAnsi="仿宋" w:eastAsia="仿宋"/>
          <w:sz w:val="25"/>
          <w:szCs w:val="25"/>
          <w:highlight w:val="none"/>
        </w:rPr>
        <w:t xml:space="preserve"> </w:t>
      </w:r>
      <w:r>
        <w:rPr>
          <w:rFonts w:hint="eastAsia" w:ascii="仿宋" w:hAnsi="仿宋" w:eastAsia="仿宋"/>
          <w:sz w:val="25"/>
          <w:szCs w:val="25"/>
          <w:highlight w:val="none"/>
        </w:rPr>
        <w:t xml:space="preserve"> </w:t>
      </w:r>
    </w:p>
    <w:p>
      <w:pPr>
        <w:widowControl/>
        <w:spacing w:before="231" w:after="231" w:line="360" w:lineRule="exact"/>
        <w:rPr>
          <w:rFonts w:ascii="黑体" w:hAnsi="黑体" w:eastAsia="黑体" w:cs="宋体"/>
          <w:kern w:val="0"/>
          <w:sz w:val="29"/>
          <w:szCs w:val="29"/>
          <w:highlight w:val="none"/>
        </w:rPr>
      </w:pPr>
      <w:r>
        <w:rPr>
          <w:rFonts w:hint="eastAsia" w:ascii="黑体" w:hAnsi="黑体" w:eastAsia="黑体" w:cs="宋体"/>
          <w:b/>
          <w:bCs/>
          <w:kern w:val="0"/>
          <w:sz w:val="25"/>
          <w:szCs w:val="25"/>
          <w:highlight w:val="none"/>
        </w:rPr>
        <w:t>六、公告期限</w:t>
      </w:r>
    </w:p>
    <w:p>
      <w:pPr>
        <w:widowControl/>
        <w:spacing w:before="100" w:beforeAutospacing="1" w:after="100" w:afterAutospacing="1" w:line="360" w:lineRule="exact"/>
        <w:jc w:val="left"/>
        <w:rPr>
          <w:rFonts w:ascii="宋体" w:hAnsi="宋体"/>
          <w:kern w:val="0"/>
          <w:sz w:val="24"/>
          <w:highlight w:val="none"/>
        </w:rPr>
      </w:pPr>
      <w:r>
        <w:rPr>
          <w:rFonts w:hint="eastAsia" w:ascii="仿宋" w:hAnsi="仿宋" w:eastAsia="仿宋" w:cs="宋体"/>
          <w:kern w:val="0"/>
          <w:sz w:val="25"/>
          <w:szCs w:val="25"/>
          <w:highlight w:val="none"/>
        </w:rPr>
        <w:t xml:space="preserve">    </w:t>
      </w:r>
      <w:r>
        <w:rPr>
          <w:rFonts w:hint="eastAsia" w:ascii="宋体" w:hAnsi="宋体" w:cs="宋体"/>
          <w:kern w:val="0"/>
          <w:sz w:val="25"/>
          <w:szCs w:val="25"/>
          <w:highlight w:val="none"/>
        </w:rPr>
        <w:t>自本公告发布之日起</w:t>
      </w:r>
      <w:r>
        <w:rPr>
          <w:rFonts w:hint="eastAsia" w:ascii="仿宋" w:hAnsi="仿宋" w:eastAsia="仿宋" w:cs="宋体"/>
          <w:kern w:val="0"/>
          <w:sz w:val="25"/>
          <w:szCs w:val="25"/>
          <w:highlight w:val="none"/>
        </w:rPr>
        <w:t>3</w:t>
      </w:r>
      <w:r>
        <w:rPr>
          <w:rFonts w:hint="eastAsia" w:ascii="宋体" w:hAnsi="宋体" w:cs="宋体"/>
          <w:kern w:val="0"/>
          <w:sz w:val="25"/>
          <w:szCs w:val="25"/>
          <w:highlight w:val="none"/>
        </w:rPr>
        <w:t>个工作日。</w:t>
      </w:r>
    </w:p>
    <w:p>
      <w:pPr>
        <w:widowControl/>
        <w:spacing w:before="231" w:after="231" w:line="360" w:lineRule="exact"/>
        <w:rPr>
          <w:rFonts w:ascii="黑体" w:hAnsi="黑体" w:eastAsia="黑体" w:cs="宋体"/>
          <w:kern w:val="0"/>
          <w:sz w:val="25"/>
          <w:szCs w:val="25"/>
          <w:highlight w:val="none"/>
        </w:rPr>
      </w:pPr>
      <w:r>
        <w:rPr>
          <w:rFonts w:hint="eastAsia" w:ascii="黑体" w:hAnsi="黑体" w:eastAsia="黑体" w:cs="宋体"/>
          <w:b/>
          <w:bCs/>
          <w:kern w:val="0"/>
          <w:sz w:val="25"/>
          <w:szCs w:val="25"/>
          <w:highlight w:val="none"/>
        </w:rPr>
        <w:t>七、其他补充事宜</w:t>
      </w:r>
      <w:r>
        <w:rPr>
          <w:rFonts w:hint="eastAsia" w:ascii="宋体" w:hAnsi="宋体"/>
          <w:kern w:val="0"/>
          <w:sz w:val="25"/>
          <w:szCs w:val="25"/>
          <w:highlight w:val="none"/>
        </w:rPr>
        <w:t xml:space="preserve"> </w:t>
      </w:r>
    </w:p>
    <w:p>
      <w:pPr>
        <w:widowControl/>
        <w:spacing w:before="100" w:beforeAutospacing="1" w:after="100" w:afterAutospacing="1" w:line="360" w:lineRule="exact"/>
        <w:jc w:val="left"/>
        <w:rPr>
          <w:rFonts w:ascii="宋体" w:hAnsi="宋体"/>
          <w:kern w:val="0"/>
          <w:sz w:val="24"/>
          <w:highlight w:val="none"/>
        </w:rPr>
      </w:pPr>
      <w:r>
        <w:rPr>
          <w:rFonts w:hint="eastAsia" w:ascii="仿宋" w:hAnsi="仿宋" w:eastAsia="仿宋" w:cs="宋体"/>
          <w:kern w:val="0"/>
          <w:sz w:val="25"/>
          <w:szCs w:val="25"/>
          <w:highlight w:val="none"/>
        </w:rPr>
        <w:t xml:space="preserve">    1.</w:t>
      </w:r>
      <w:r>
        <w:rPr>
          <w:rFonts w:hint="eastAsia" w:ascii="宋体" w:hAnsi="宋体" w:cs="宋体"/>
          <w:kern w:val="0"/>
          <w:sz w:val="25"/>
          <w:szCs w:val="25"/>
          <w:highlight w:val="none"/>
        </w:rPr>
        <w:t>供应商认为采购文件使自己的权益受到损害的，可以自获取采购文件之日或者采购文件公告期限届满之日（公告期限届满后获取采购文件的，以公告期限届满之日为准）起</w:t>
      </w:r>
      <w:r>
        <w:rPr>
          <w:rFonts w:hint="eastAsia" w:ascii="仿宋" w:hAnsi="仿宋" w:eastAsia="仿宋" w:cs="宋体"/>
          <w:kern w:val="0"/>
          <w:sz w:val="25"/>
          <w:szCs w:val="25"/>
          <w:highlight w:val="none"/>
        </w:rPr>
        <w:t>7</w:t>
      </w:r>
      <w:r>
        <w:rPr>
          <w:rFonts w:hint="eastAsia" w:ascii="宋体" w:hAnsi="宋体" w:cs="宋体"/>
          <w:kern w:val="0"/>
          <w:sz w:val="25"/>
          <w:szCs w:val="25"/>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宋体"/>
          <w:kern w:val="0"/>
          <w:sz w:val="25"/>
          <w:szCs w:val="25"/>
          <w:highlight w:val="none"/>
        </w:rPr>
        <w:br w:type="textWrapping"/>
      </w:r>
      <w:r>
        <w:rPr>
          <w:rFonts w:hint="eastAsia" w:ascii="仿宋" w:hAnsi="仿宋" w:eastAsia="仿宋" w:cs="宋体"/>
          <w:kern w:val="0"/>
          <w:sz w:val="25"/>
          <w:szCs w:val="25"/>
          <w:highlight w:val="none"/>
        </w:rPr>
        <w:t xml:space="preserve">    2.</w:t>
      </w:r>
      <w:r>
        <w:rPr>
          <w:rFonts w:hint="eastAsia" w:ascii="宋体" w:hAnsi="宋体" w:cs="宋体"/>
          <w:kern w:val="0"/>
          <w:sz w:val="25"/>
          <w:szCs w:val="25"/>
          <w:highlight w:val="none"/>
        </w:rPr>
        <w:t>其他事项：</w:t>
      </w:r>
      <w:r>
        <w:rPr>
          <w:rFonts w:hint="eastAsia" w:ascii="仿宋" w:hAnsi="仿宋" w:eastAsia="仿宋" w:cs="宋体"/>
          <w:kern w:val="0"/>
          <w:sz w:val="25"/>
          <w:szCs w:val="25"/>
          <w:highlight w:val="none"/>
        </w:rPr>
        <w:t xml:space="preserve">/  </w:t>
      </w:r>
    </w:p>
    <w:p>
      <w:pPr>
        <w:widowControl/>
        <w:spacing w:before="231" w:after="231" w:line="360" w:lineRule="exact"/>
        <w:rPr>
          <w:rFonts w:ascii="黑体" w:hAnsi="黑体" w:eastAsia="黑体" w:cs="宋体"/>
          <w:kern w:val="0"/>
          <w:sz w:val="29"/>
          <w:szCs w:val="29"/>
          <w:highlight w:val="none"/>
        </w:rPr>
      </w:pPr>
      <w:r>
        <w:rPr>
          <w:rFonts w:hint="eastAsia" w:ascii="黑体" w:hAnsi="黑体" w:eastAsia="黑体" w:cs="宋体"/>
          <w:b/>
          <w:bCs/>
          <w:kern w:val="0"/>
          <w:sz w:val="25"/>
          <w:szCs w:val="25"/>
          <w:highlight w:val="none"/>
        </w:rPr>
        <w:t>八、凡对本次招标提出询问、质疑、投诉，请按以下方式联系</w:t>
      </w:r>
    </w:p>
    <w:p>
      <w:pPr>
        <w:widowControl/>
        <w:spacing w:before="100" w:beforeAutospacing="1" w:after="100" w:afterAutospacing="1" w:line="360" w:lineRule="exact"/>
        <w:jc w:val="left"/>
        <w:rPr>
          <w:rFonts w:ascii="仿宋" w:hAnsi="仿宋"/>
          <w:kern w:val="0"/>
          <w:sz w:val="24"/>
          <w:highlight w:val="none"/>
        </w:rPr>
      </w:pPr>
      <w:r>
        <w:rPr>
          <w:rFonts w:hint="eastAsia" w:ascii="仿宋" w:hAnsi="仿宋" w:eastAsia="仿宋" w:cs="宋体"/>
          <w:kern w:val="0"/>
          <w:sz w:val="25"/>
          <w:szCs w:val="25"/>
          <w:highlight w:val="none"/>
        </w:rPr>
        <w:t xml:space="preserve">    1.</w:t>
      </w:r>
      <w:r>
        <w:rPr>
          <w:rFonts w:hint="eastAsia" w:ascii="宋体" w:hAnsi="宋体" w:cs="宋体"/>
          <w:kern w:val="0"/>
          <w:sz w:val="25"/>
          <w:szCs w:val="25"/>
          <w:highlight w:val="none"/>
        </w:rPr>
        <w:t>采购人信息</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采购人名称：杭州市市场监督管理局</w:t>
      </w:r>
    </w:p>
    <w:p>
      <w:pPr>
        <w:spacing w:line="360" w:lineRule="exact"/>
        <w:ind w:firstLine="500"/>
        <w:rPr>
          <w:rFonts w:ascii="宋体" w:hAnsi="宋体" w:cs="宋体"/>
          <w:kern w:val="0"/>
          <w:sz w:val="25"/>
          <w:szCs w:val="25"/>
          <w:highlight w:val="none"/>
        </w:rPr>
      </w:pP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联系人：任荣、郑金春</w:t>
      </w:r>
    </w:p>
    <w:p>
      <w:pPr>
        <w:spacing w:line="360" w:lineRule="exact"/>
        <w:ind w:firstLine="420"/>
        <w:rPr>
          <w:rFonts w:ascii="宋体" w:hAnsi="宋体" w:cs="宋体"/>
          <w:kern w:val="0"/>
          <w:sz w:val="25"/>
          <w:szCs w:val="25"/>
          <w:highlight w:val="none"/>
        </w:rPr>
      </w:pP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联系电话：0571-86438526、86438515</w:t>
      </w:r>
    </w:p>
    <w:p>
      <w:pPr>
        <w:spacing w:line="360" w:lineRule="exact"/>
        <w:ind w:firstLine="420"/>
        <w:rPr>
          <w:rFonts w:ascii="宋体" w:hAnsi="宋体" w:cs="宋体"/>
          <w:kern w:val="0"/>
          <w:sz w:val="25"/>
          <w:szCs w:val="25"/>
          <w:highlight w:val="none"/>
        </w:rPr>
      </w:pP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传真：0571-86438526、86438515</w:t>
      </w:r>
    </w:p>
    <w:p>
      <w:pPr>
        <w:spacing w:line="360" w:lineRule="exact"/>
        <w:ind w:firstLine="420"/>
        <w:rPr>
          <w:rFonts w:ascii="宋体" w:hAnsi="宋体" w:cs="宋体"/>
          <w:kern w:val="0"/>
          <w:sz w:val="25"/>
          <w:szCs w:val="25"/>
          <w:highlight w:val="none"/>
        </w:rPr>
      </w:pP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地址：杭州市凤起东路109号</w:t>
      </w:r>
    </w:p>
    <w:p>
      <w:pPr>
        <w:widowControl/>
        <w:spacing w:before="100" w:beforeAutospacing="1" w:after="100" w:afterAutospacing="1" w:line="360" w:lineRule="exact"/>
        <w:jc w:val="left"/>
        <w:rPr>
          <w:rFonts w:ascii="仿宋" w:hAnsi="仿宋" w:eastAsia="仿宋" w:cs="宋体"/>
          <w:kern w:val="0"/>
          <w:sz w:val="25"/>
          <w:szCs w:val="25"/>
          <w:highlight w:val="none"/>
        </w:rPr>
      </w:pPr>
    </w:p>
    <w:p>
      <w:pPr>
        <w:widowControl/>
        <w:spacing w:before="100" w:beforeAutospacing="1" w:after="100" w:afterAutospacing="1" w:line="360" w:lineRule="exact"/>
        <w:jc w:val="left"/>
        <w:rPr>
          <w:rFonts w:ascii="仿宋" w:hAnsi="仿宋" w:eastAsia="仿宋" w:cs="宋体"/>
          <w:kern w:val="0"/>
          <w:sz w:val="24"/>
          <w:highlight w:val="none"/>
        </w:rPr>
      </w:pPr>
      <w:r>
        <w:rPr>
          <w:rFonts w:hint="eastAsia" w:ascii="仿宋" w:hAnsi="仿宋" w:eastAsia="仿宋" w:cs="宋体"/>
          <w:kern w:val="0"/>
          <w:sz w:val="25"/>
          <w:szCs w:val="25"/>
          <w:highlight w:val="none"/>
        </w:rPr>
        <w:t xml:space="preserve">    2.</w:t>
      </w:r>
      <w:r>
        <w:rPr>
          <w:rFonts w:hint="eastAsia" w:ascii="宋体" w:hAnsi="宋体" w:cs="宋体"/>
          <w:kern w:val="0"/>
          <w:sz w:val="25"/>
          <w:szCs w:val="25"/>
          <w:highlight w:val="none"/>
        </w:rPr>
        <w:t>采购代理机构信息</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采购代理机构名称：浙江广通工程咨询有限公司</w:t>
      </w:r>
    </w:p>
    <w:p>
      <w:pPr>
        <w:spacing w:line="360" w:lineRule="exact"/>
        <w:ind w:firstLine="420"/>
        <w:rPr>
          <w:rFonts w:ascii="宋体" w:hAnsi="宋体" w:cs="宋体"/>
          <w:kern w:val="0"/>
          <w:sz w:val="25"/>
          <w:szCs w:val="25"/>
          <w:highlight w:val="none"/>
        </w:rPr>
      </w:pP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联系人：叶工、徐工</w:t>
      </w:r>
    </w:p>
    <w:p>
      <w:pPr>
        <w:spacing w:line="360" w:lineRule="exact"/>
        <w:ind w:firstLine="420"/>
        <w:rPr>
          <w:rFonts w:ascii="宋体" w:hAnsi="宋体" w:cs="宋体"/>
          <w:kern w:val="0"/>
          <w:sz w:val="25"/>
          <w:szCs w:val="25"/>
          <w:highlight w:val="none"/>
        </w:rPr>
      </w:pP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 xml:space="preserve">联系电话：0571-87763237、13989457364    </w:t>
      </w:r>
    </w:p>
    <w:p>
      <w:pPr>
        <w:spacing w:line="360" w:lineRule="exact"/>
        <w:ind w:firstLine="420"/>
        <w:rPr>
          <w:rFonts w:ascii="宋体" w:hAnsi="宋体" w:cs="宋体"/>
          <w:kern w:val="0"/>
          <w:sz w:val="25"/>
          <w:szCs w:val="25"/>
          <w:highlight w:val="none"/>
        </w:rPr>
      </w:pP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传真：0571-87763237</w:t>
      </w:r>
    </w:p>
    <w:p>
      <w:pPr>
        <w:spacing w:line="360" w:lineRule="exact"/>
        <w:ind w:firstLine="420"/>
        <w:rPr>
          <w:rFonts w:ascii="宋体" w:hAnsi="宋体" w:cs="宋体"/>
          <w:kern w:val="0"/>
          <w:sz w:val="25"/>
          <w:szCs w:val="25"/>
          <w:highlight w:val="none"/>
        </w:rPr>
      </w:pP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地址：浙江省杭州市祥茂路166号华滋科欣设计创业园3号楼801</w:t>
      </w:r>
    </w:p>
    <w:p>
      <w:pPr>
        <w:widowControl/>
        <w:spacing w:before="100" w:beforeAutospacing="1" w:after="100" w:afterAutospacing="1" w:line="360" w:lineRule="exact"/>
        <w:jc w:val="left"/>
        <w:rPr>
          <w:rFonts w:ascii="仿宋" w:hAnsi="仿宋" w:eastAsia="仿宋" w:cs="宋体"/>
          <w:kern w:val="0"/>
          <w:sz w:val="25"/>
          <w:szCs w:val="25"/>
          <w:highlight w:val="none"/>
        </w:rPr>
      </w:pPr>
    </w:p>
    <w:p>
      <w:pPr>
        <w:widowControl/>
        <w:spacing w:before="100" w:beforeAutospacing="1" w:after="100" w:afterAutospacing="1" w:line="360" w:lineRule="exact"/>
        <w:jc w:val="left"/>
        <w:rPr>
          <w:rFonts w:ascii="仿宋" w:hAnsi="仿宋" w:eastAsia="仿宋" w:cs="宋体"/>
          <w:kern w:val="0"/>
          <w:sz w:val="25"/>
          <w:szCs w:val="25"/>
          <w:highlight w:val="none"/>
        </w:rPr>
      </w:pPr>
      <w:r>
        <w:rPr>
          <w:rFonts w:hint="eastAsia" w:ascii="仿宋" w:hAnsi="仿宋" w:eastAsia="仿宋" w:cs="宋体"/>
          <w:kern w:val="0"/>
          <w:sz w:val="25"/>
          <w:szCs w:val="25"/>
          <w:highlight w:val="none"/>
        </w:rPr>
        <w:br w:type="textWrapping"/>
      </w:r>
      <w:r>
        <w:rPr>
          <w:rFonts w:hint="eastAsia" w:ascii="仿宋" w:hAnsi="仿宋" w:eastAsia="仿宋" w:cs="宋体"/>
          <w:kern w:val="0"/>
          <w:sz w:val="25"/>
          <w:szCs w:val="25"/>
          <w:highlight w:val="none"/>
        </w:rPr>
        <w:t xml:space="preserve">    3.</w:t>
      </w:r>
      <w:r>
        <w:rPr>
          <w:rFonts w:hint="eastAsia" w:ascii="宋体" w:hAnsi="宋体" w:cs="宋体"/>
          <w:kern w:val="0"/>
          <w:sz w:val="25"/>
          <w:szCs w:val="25"/>
          <w:highlight w:val="none"/>
        </w:rPr>
        <w:t>同级政府采购监督管理部门</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名称：杭州市财政局政府采购监管处 </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            </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地  址：杭州市中河中路152号617办公室</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             </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传  真：87715261 </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            </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联系人 ：吕先生  </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           </w:t>
      </w:r>
    </w:p>
    <w:p>
      <w:pPr>
        <w:spacing w:line="360" w:lineRule="exact"/>
        <w:ind w:firstLine="420"/>
        <w:rPr>
          <w:rFonts w:ascii="宋体" w:hAnsi="宋体" w:cs="宋体"/>
          <w:kern w:val="0"/>
          <w:sz w:val="25"/>
          <w:szCs w:val="25"/>
          <w:highlight w:val="none"/>
        </w:rPr>
      </w:pPr>
      <w:r>
        <w:rPr>
          <w:rFonts w:hint="eastAsia" w:ascii="宋体" w:hAnsi="宋体" w:cs="宋体"/>
          <w:kern w:val="0"/>
          <w:sz w:val="25"/>
          <w:szCs w:val="25"/>
          <w:highlight w:val="none"/>
        </w:rPr>
        <w:t>监督投诉电话：87715261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auto"/>
        <w:ind w:left="1440" w:right="-94"/>
        <w:jc w:val="right"/>
        <w:rPr>
          <w:rFonts w:ascii="宋体" w:hAnsi="宋体"/>
          <w:color w:val="000000" w:themeColor="text1"/>
          <w:kern w:val="0"/>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olor w:val="000000" w:themeColor="text1"/>
          <w:kern w:val="0"/>
          <w:sz w:val="24"/>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第二章  供应商须知</w:t>
      </w:r>
    </w:p>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前附表</w:t>
      </w:r>
    </w:p>
    <w:tbl>
      <w:tblPr>
        <w:tblStyle w:val="2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398"/>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项    目</w:t>
            </w:r>
          </w:p>
        </w:tc>
        <w:tc>
          <w:tcPr>
            <w:tcW w:w="5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1</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供应商特定资格要求</w:t>
            </w:r>
          </w:p>
        </w:tc>
        <w:tc>
          <w:tcPr>
            <w:tcW w:w="57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2</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答疑会或</w:t>
            </w:r>
            <w:r>
              <w:rPr>
                <w:rFonts w:hint="eastAsia" w:ascii="宋体" w:hAnsi="宋体" w:cs="Calibri Light"/>
                <w:color w:val="000000" w:themeColor="text1"/>
                <w:sz w:val="24"/>
                <w:highlight w:val="none"/>
                <w14:textFill>
                  <w14:solidFill>
                    <w14:schemeClr w14:val="tx1"/>
                  </w14:solidFill>
                </w14:textFill>
              </w:rPr>
              <w:t>现场踏勘</w:t>
            </w:r>
          </w:p>
        </w:tc>
        <w:tc>
          <w:tcPr>
            <w:tcW w:w="57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b/>
                <w:bCs/>
                <w:color w:val="000000" w:themeColor="text1"/>
                <w:sz w:val="24"/>
                <w:highlight w:val="none"/>
                <w14:textFill>
                  <w14:solidFill>
                    <w14:schemeClr w14:val="tx1"/>
                  </w14:solidFill>
                </w14:textFill>
              </w:rPr>
              <w:t>不组织</w:t>
            </w:r>
            <w:r>
              <w:rPr>
                <w:rFonts w:hint="eastAsia" w:ascii="宋体" w:hAnsi="宋体" w:cs="Calibri Light"/>
                <w:color w:val="000000" w:themeColor="text1"/>
                <w:sz w:val="24"/>
                <w:highlight w:val="none"/>
                <w14:textFill>
                  <w14:solidFill>
                    <w14:schemeClr w14:val="tx1"/>
                  </w14:solidFill>
                </w14:textFill>
              </w:rPr>
              <w:t>，投标人如有需要，经采购人同意后可自行前往，现场踏勘期间发生的费用或意外导致伤亡等一切责任和损失均由投标人自负。</w:t>
            </w:r>
          </w:p>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联系人：任荣、郑金春</w:t>
            </w:r>
          </w:p>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联系电话：0571-86438526、86438515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磋商响应文件（即响应文件）的编制</w:t>
            </w:r>
          </w:p>
        </w:tc>
        <w:tc>
          <w:tcPr>
            <w:tcW w:w="57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一</w:t>
            </w:r>
            <w:r>
              <w:rPr>
                <w:rFonts w:ascii="宋体" w:hAnsi="宋体" w:cs="Calibri Light"/>
                <w:color w:val="000000" w:themeColor="text1"/>
                <w:sz w:val="24"/>
                <w:highlight w:val="none"/>
                <w14:textFill>
                  <w14:solidFill>
                    <w14:schemeClr w14:val="tx1"/>
                  </w14:solidFill>
                </w14:textFill>
              </w:rPr>
              <w:t>、</w:t>
            </w:r>
            <w:r>
              <w:rPr>
                <w:rFonts w:hint="eastAsia" w:ascii="宋体" w:hAnsi="宋体" w:cs="Calibri Light"/>
                <w:color w:val="000000" w:themeColor="text1"/>
                <w:sz w:val="24"/>
                <w:highlight w:val="none"/>
                <w14:textFill>
                  <w14:solidFill>
                    <w14:schemeClr w14:val="tx1"/>
                  </w14:solidFill>
                </w14:textFill>
              </w:rPr>
              <w:t>供应商应先安装“政采云电子交易客户端”，并按照本招标文件和“政府采购云平台”的要求，通过“政采云电子交易客户端”编制并加密响应文件。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响应文件的签章</w:t>
            </w:r>
          </w:p>
        </w:tc>
        <w:tc>
          <w:tcPr>
            <w:tcW w:w="57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响应文件的形式</w:t>
            </w:r>
          </w:p>
        </w:tc>
        <w:tc>
          <w:tcPr>
            <w:tcW w:w="57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ascii="Segoe UI Emoji" w:hAnsi="Segoe UI Emoji" w:cs="Segoe UI Emoji"/>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电子响应文件（包括“电子加密响应文件”和“备份响应文件”，在响应文件编制完成后同时生成）；</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（1）“电子加密响应文件”是指通过“政采云电子交易客户端”完成响应文件编制后生成并加密的数据电文形式的响应文件。</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（2）“备份响应文件”是指与“电子加密响应文件”同时生成的数据电文形式的电子文件（备份标书），其他方式编制的备份响应文件视为无效备份响应文件。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highlight w:val="none"/>
                <w14:textFill>
                  <w14:solidFill>
                    <w14:schemeClr w14:val="tx1"/>
                  </w14:solidFill>
                </w14:textFill>
              </w:rPr>
              <w:t>6</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响应文件份数</w:t>
            </w:r>
          </w:p>
        </w:tc>
        <w:tc>
          <w:tcPr>
            <w:tcW w:w="57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（1）“电子加密响应文件”：在线上传递交、一份。</w:t>
            </w:r>
          </w:p>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sz w:val="24"/>
                <w:highlight w:val="none"/>
              </w:rPr>
              <w:t>“备份响应文件”：密封包装后于投标截止时间前邮寄至招标代理处、一份。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7</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响应文件的上传和递交</w:t>
            </w:r>
          </w:p>
        </w:tc>
        <w:tc>
          <w:tcPr>
            <w:tcW w:w="57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（1）“电子加密响应文件”的上传、递交：</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a.投标供应商应在投标截止时间前将“电子加密响应文件”成功上传递交至“政府采购云平台”，否则投标无效。</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b.“电子加密响应文件”成功上传递交后，供应商可自行打印响应文件接收回执。</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（2）“备份响应文件”的密封包装、递交：</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a.投标供应商在“政府采购云平台”完成“电子加密响应文件”的上传递交后，还可以（顺丰邮寄形式）在投标截止时间前递交以介质（U盘）存储的 “备份响应文件”（一份）；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邮寄地址：浙江省杭州市祥茂路166号华滋科欣设计创业园3号楼801</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 xml:space="preserve">收件人：叶永生 </w:t>
            </w:r>
          </w:p>
          <w:p>
            <w:pPr>
              <w:spacing w:line="360" w:lineRule="auto"/>
              <w:rPr>
                <w:rFonts w:ascii="宋体" w:hAnsi="宋体" w:cs="Calibri Light"/>
                <w:b/>
                <w:bCs/>
                <w:sz w:val="24"/>
                <w:highlight w:val="none"/>
              </w:rPr>
            </w:pPr>
            <w:r>
              <w:rPr>
                <w:rFonts w:hint="eastAsia" w:ascii="宋体" w:hAnsi="宋体" w:cs="宋体"/>
                <w:color w:val="000000" w:themeColor="text1"/>
                <w:sz w:val="24"/>
                <w:highlight w:val="none"/>
                <w14:textFill>
                  <w14:solidFill>
                    <w14:schemeClr w14:val="tx1"/>
                  </w14:solidFill>
                </w14:textFill>
              </w:rPr>
              <w:t>联系电话：13989457364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8</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电子加密响应文件的解密和异常情况处理</w:t>
            </w:r>
          </w:p>
          <w:p>
            <w:pPr>
              <w:spacing w:line="400" w:lineRule="exact"/>
              <w:jc w:val="center"/>
              <w:rPr>
                <w:rFonts w:ascii="宋体" w:hAnsi="宋体" w:cs="Calibri Light"/>
                <w:color w:val="000000" w:themeColor="text1"/>
                <w:sz w:val="24"/>
                <w:highlight w:val="none"/>
                <w14:textFill>
                  <w14:solidFill>
                    <w14:schemeClr w14:val="tx1"/>
                  </w14:solidFill>
                </w14:textFill>
              </w:rPr>
            </w:pPr>
          </w:p>
        </w:tc>
        <w:tc>
          <w:tcPr>
            <w:tcW w:w="57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（1）开标后，采购组织机构将向各投标供应商发出“电子加密响应文件”的解密通知，各投标供应商代表应当在接到解密通知后30分钟内自行完成“电子加密响应文件”的在线解密。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通过“政府采购云平台”成功上传递交的“电子加密响应文件”无法按时解密，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（3）投标截止时间前，投标供应商仅递交了“备份响应文件”而未将电子加密响应文件上传至“政府采购云平台”的，投标无效。</w:t>
            </w:r>
          </w:p>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b/>
                <w:bCs/>
                <w:color w:val="000000" w:themeColor="text1"/>
                <w:sz w:val="24"/>
                <w:highlight w:val="none"/>
                <w14:textFill>
                  <w14:solidFill>
                    <w14:schemeClr w14:val="tx1"/>
                  </w14:solidFill>
                </w14:textFill>
              </w:rPr>
              <w:t>注：供应商在使用系统进行投标的过程中遇到涉及平台使用的任何问题，可致电政采云平台技术支持热线咨询，联系方式：400-881-7190。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9</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磋商响应文件有效期</w:t>
            </w:r>
          </w:p>
        </w:tc>
        <w:tc>
          <w:tcPr>
            <w:tcW w:w="57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磋商响应有效期为磋商后90天，磋商响应</w:t>
            </w:r>
            <w:r>
              <w:rPr>
                <w:rFonts w:hint="eastAsia" w:ascii="宋体" w:hAnsi="宋体" w:cs="Calibri Light"/>
                <w:color w:val="000000" w:themeColor="text1"/>
                <w:kern w:val="0"/>
                <w:sz w:val="24"/>
                <w:highlight w:val="none"/>
                <w14:textFill>
                  <w14:solidFill>
                    <w14:schemeClr w14:val="tx1"/>
                  </w14:solidFill>
                </w14:textFill>
              </w:rPr>
              <w:t>有效期从提交</w:t>
            </w:r>
            <w:r>
              <w:rPr>
                <w:rFonts w:hint="eastAsia" w:ascii="宋体" w:hAnsi="宋体" w:cs="Calibri Light"/>
                <w:color w:val="000000" w:themeColor="text1"/>
                <w:sz w:val="24"/>
                <w:highlight w:val="none"/>
                <w14:textFill>
                  <w14:solidFill>
                    <w14:schemeClr w14:val="tx1"/>
                  </w14:solidFill>
                </w14:textFill>
              </w:rPr>
              <w:t>磋商响应</w:t>
            </w:r>
            <w:r>
              <w:rPr>
                <w:rFonts w:hint="eastAsia" w:ascii="宋体" w:hAnsi="宋体" w:cs="Calibri Light"/>
                <w:color w:val="000000" w:themeColor="text1"/>
                <w:kern w:val="0"/>
                <w:sz w:val="24"/>
                <w:highlight w:val="none"/>
                <w14:textFill>
                  <w14:solidFill>
                    <w14:schemeClr w14:val="tx1"/>
                  </w14:solidFill>
                </w14:textFill>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10</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磋商响应文件递交截止时间及地点</w:t>
            </w:r>
          </w:p>
        </w:tc>
        <w:tc>
          <w:tcPr>
            <w:tcW w:w="57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11</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磋商时间及地点</w:t>
            </w:r>
          </w:p>
        </w:tc>
        <w:tc>
          <w:tcPr>
            <w:tcW w:w="57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12</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磋商保证金</w:t>
            </w:r>
          </w:p>
        </w:tc>
        <w:tc>
          <w:tcPr>
            <w:tcW w:w="577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Calibri Light"/>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履约保证金</w:t>
            </w:r>
          </w:p>
        </w:tc>
        <w:tc>
          <w:tcPr>
            <w:tcW w:w="5776" w:type="dxa"/>
            <w:tcBorders>
              <w:top w:val="single" w:color="auto" w:sz="4" w:space="0"/>
              <w:left w:val="single" w:color="auto" w:sz="4" w:space="0"/>
              <w:bottom w:val="single" w:color="auto" w:sz="4" w:space="0"/>
              <w:right w:val="single" w:color="auto" w:sz="4" w:space="0"/>
            </w:tcBorders>
            <w:vAlign w:val="center"/>
          </w:tcPr>
          <w:p>
            <w:pPr>
              <w:pStyle w:val="19"/>
              <w:spacing w:line="400" w:lineRule="exact"/>
              <w:ind w:left="0" w:leftChars="0"/>
              <w:jc w:val="left"/>
              <w:rPr>
                <w:rFonts w:ascii="宋体" w:hAnsi="宋体" w:eastAsia="宋体" w:cs="Calibri Light"/>
                <w:color w:val="000000" w:themeColor="text1"/>
                <w:sz w:val="24"/>
                <w:szCs w:val="24"/>
                <w:highlight w:val="none"/>
                <w14:textFill>
                  <w14:solidFill>
                    <w14:schemeClr w14:val="tx1"/>
                  </w14:solidFill>
                </w14:textFill>
              </w:rPr>
            </w:pPr>
            <w:r>
              <w:rPr>
                <w:rFonts w:hint="eastAsia" w:ascii="宋体" w:hAnsi="宋体" w:eastAsia="宋体" w:cs="Calibri Light"/>
                <w:color w:val="000000" w:themeColor="text1"/>
                <w:sz w:val="24"/>
                <w:szCs w:val="24"/>
                <w:highlight w:val="none"/>
                <w14:textFill>
                  <w14:solidFill>
                    <w14:schemeClr w14:val="tx1"/>
                  </w14:solidFill>
                </w14:textFill>
              </w:rPr>
              <w:t>供应商在签订合同前须交纳本项目履约保证金为合同金额的</w:t>
            </w:r>
            <w:r>
              <w:rPr>
                <w:rFonts w:ascii="宋体" w:hAnsi="宋体" w:eastAsia="宋体" w:cs="Calibri Light"/>
                <w:color w:val="000000" w:themeColor="text1"/>
                <w:sz w:val="24"/>
                <w:szCs w:val="24"/>
                <w:highlight w:val="none"/>
                <w14:textFill>
                  <w14:solidFill>
                    <w14:schemeClr w14:val="tx1"/>
                  </w14:solidFill>
                </w14:textFill>
              </w:rPr>
              <w:t>2</w:t>
            </w:r>
            <w:r>
              <w:rPr>
                <w:rFonts w:hint="eastAsia" w:ascii="宋体" w:hAnsi="宋体" w:eastAsia="宋体" w:cs="Calibri Light"/>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14</w:t>
            </w:r>
          </w:p>
        </w:tc>
        <w:tc>
          <w:tcPr>
            <w:tcW w:w="23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Calibri Light"/>
                <w:color w:val="000000" w:themeColor="text1"/>
                <w:sz w:val="24"/>
                <w:highlight w:val="none"/>
                <w:lang w:val="zh-CN"/>
                <w14:textFill>
                  <w14:solidFill>
                    <w14:schemeClr w14:val="tx1"/>
                  </w14:solidFill>
                </w14:textFill>
              </w:rPr>
            </w:pPr>
            <w:r>
              <w:rPr>
                <w:rFonts w:hint="eastAsia" w:ascii="宋体" w:hAnsi="宋体" w:cs="Calibri Light"/>
                <w:color w:val="000000" w:themeColor="text1"/>
                <w:sz w:val="24"/>
                <w:highlight w:val="none"/>
                <w:lang w:val="zh-CN"/>
                <w14:textFill>
                  <w14:solidFill>
                    <w14:schemeClr w14:val="tx1"/>
                  </w14:solidFill>
                </w14:textFill>
              </w:rPr>
              <w:t>实质性条款</w:t>
            </w:r>
          </w:p>
        </w:tc>
        <w:tc>
          <w:tcPr>
            <w:tcW w:w="5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hanging="39"/>
              <w:jc w:val="left"/>
              <w:rPr>
                <w:rFonts w:ascii="宋体" w:hAnsi="宋体" w:cs="Calibri Light"/>
                <w:color w:val="000000" w:themeColor="text1"/>
                <w:kern w:val="0"/>
                <w:sz w:val="24"/>
                <w:highlight w:val="none"/>
                <w:lang w:val="zh-CN"/>
                <w14:textFill>
                  <w14:solidFill>
                    <w14:schemeClr w14:val="tx1"/>
                  </w14:solidFill>
                </w14:textFill>
              </w:rPr>
            </w:pPr>
            <w:r>
              <w:rPr>
                <w:rFonts w:hint="eastAsia" w:ascii="宋体" w:hAnsi="宋体" w:cs="Calibri Light"/>
                <w:color w:val="000000" w:themeColor="text1"/>
                <w:kern w:val="0"/>
                <w:sz w:val="24"/>
                <w:highlight w:val="none"/>
                <w:lang w:val="zh-CN"/>
                <w14:textFill>
                  <w14:solidFill>
                    <w14:schemeClr w14:val="tx1"/>
                  </w14:solidFill>
                </w14:textFill>
              </w:rPr>
              <w:t>带“</w:t>
            </w:r>
            <w:r>
              <w:rPr>
                <w:rFonts w:hint="eastAsia" w:ascii="宋体" w:hAnsi="宋体" w:cs="Calibri Light"/>
                <w:bCs/>
                <w:color w:val="000000" w:themeColor="text1"/>
                <w:sz w:val="24"/>
                <w:highlight w:val="none"/>
                <w14:textFill>
                  <w14:solidFill>
                    <w14:schemeClr w14:val="tx1"/>
                  </w14:solidFill>
                </w14:textFill>
              </w:rPr>
              <w:t>▲”的条款是实质性条款，磋商</w:t>
            </w:r>
            <w:r>
              <w:rPr>
                <w:rFonts w:hint="eastAsia" w:ascii="宋体" w:hAnsi="宋体" w:cs="Calibri Light"/>
                <w:color w:val="000000" w:themeColor="text1"/>
                <w:sz w:val="24"/>
                <w:highlight w:val="none"/>
                <w14:textFill>
                  <w14:solidFill>
                    <w14:schemeClr w14:val="tx1"/>
                  </w14:solidFill>
                </w14:textFill>
              </w:rPr>
              <w:t>响应</w:t>
            </w:r>
            <w:r>
              <w:rPr>
                <w:rFonts w:hint="eastAsia" w:ascii="宋体" w:hAnsi="宋体" w:cs="Calibri Light"/>
                <w:bCs/>
                <w:color w:val="000000" w:themeColor="text1"/>
                <w:sz w:val="24"/>
                <w:highlight w:val="none"/>
                <w14:textFill>
                  <w14:solidFill>
                    <w14:schemeClr w14:val="tx1"/>
                  </w14:solidFill>
                </w14:textFill>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Calibri Light"/>
                <w:color w:val="000000" w:themeColor="text1"/>
                <w:sz w:val="24"/>
                <w:highlight w:val="none"/>
                <w14:textFill>
                  <w14:solidFill>
                    <w14:schemeClr w14:val="tx1"/>
                  </w14:solidFill>
                </w14:textFill>
              </w:rPr>
            </w:pPr>
            <w:r>
              <w:rPr>
                <w:rFonts w:ascii="宋体" w:hAnsi="宋体" w:cs="Calibri Light"/>
                <w:color w:val="000000" w:themeColor="text1"/>
                <w:sz w:val="24"/>
                <w:highlight w:val="none"/>
                <w14:textFill>
                  <w14:solidFill>
                    <w14:schemeClr w14:val="tx1"/>
                  </w14:solidFill>
                </w14:textFill>
              </w:rPr>
              <w:t>15</w:t>
            </w:r>
          </w:p>
        </w:tc>
        <w:tc>
          <w:tcPr>
            <w:tcW w:w="23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解释权</w:t>
            </w:r>
          </w:p>
        </w:tc>
        <w:tc>
          <w:tcPr>
            <w:tcW w:w="5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本磋商文件解释权属于采购人和</w:t>
            </w:r>
            <w:r>
              <w:rPr>
                <w:rFonts w:hint="eastAsia" w:ascii="宋体" w:hAnsi="宋体" w:cs="仿宋"/>
                <w:color w:val="000000" w:themeColor="text1"/>
                <w:sz w:val="24"/>
                <w:highlight w:val="none"/>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6</w:t>
            </w:r>
          </w:p>
        </w:tc>
        <w:tc>
          <w:tcPr>
            <w:tcW w:w="23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招标代理费</w:t>
            </w:r>
          </w:p>
        </w:tc>
        <w:tc>
          <w:tcPr>
            <w:tcW w:w="5776" w:type="dxa"/>
            <w:tcBorders>
              <w:top w:val="single" w:color="auto" w:sz="4" w:space="0"/>
              <w:left w:val="single" w:color="auto" w:sz="4" w:space="0"/>
              <w:bottom w:val="single" w:color="auto" w:sz="4" w:space="0"/>
              <w:right w:val="single" w:color="auto" w:sz="4" w:space="0"/>
            </w:tcBorders>
            <w:vAlign w:val="center"/>
          </w:tcPr>
          <w:p>
            <w:pPr>
              <w:pStyle w:val="68"/>
              <w:snapToGrid w:val="0"/>
              <w:spacing w:line="360" w:lineRule="auto"/>
              <w:ind w:firstLine="0" w:firstLineChars="0"/>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采购代理服务费金额：以标项中标金额为计算基数，按以下标准费率计算值收取。费率标准（工程</w:t>
            </w:r>
            <w:r>
              <w:rPr>
                <w:rFonts w:ascii="宋体" w:hAnsi="宋体" w:cs="Calibri Light"/>
                <w:color w:val="000000" w:themeColor="text1"/>
                <w:sz w:val="24"/>
                <w:highlight w:val="none"/>
                <w14:textFill>
                  <w14:solidFill>
                    <w14:schemeClr w14:val="tx1"/>
                  </w14:solidFill>
                </w14:textFill>
              </w:rPr>
              <w:t>类</w:t>
            </w:r>
            <w:r>
              <w:rPr>
                <w:rFonts w:hint="eastAsia" w:ascii="宋体" w:hAnsi="宋体" w:cs="Calibri Light"/>
                <w:color w:val="000000" w:themeColor="text1"/>
                <w:sz w:val="24"/>
                <w:highlight w:val="none"/>
                <w14:textFill>
                  <w14:solidFill>
                    <w14:schemeClr w14:val="tx1"/>
                  </w14:solidFill>
                </w14:textFill>
              </w:rPr>
              <w:t>）如下：</w:t>
            </w:r>
          </w:p>
          <w:tbl>
            <w:tblPr>
              <w:tblStyle w:val="28"/>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68"/>
                    <w:snapToGrid w:val="0"/>
                    <w:spacing w:line="360" w:lineRule="auto"/>
                    <w:ind w:firstLine="0" w:firstLineChars="0"/>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金额（万元）</w:t>
                  </w:r>
                </w:p>
              </w:tc>
              <w:tc>
                <w:tcPr>
                  <w:tcW w:w="2943" w:type="dxa"/>
                  <w:vAlign w:val="center"/>
                </w:tcPr>
                <w:p>
                  <w:pPr>
                    <w:pStyle w:val="68"/>
                    <w:snapToGrid w:val="0"/>
                    <w:spacing w:line="360" w:lineRule="auto"/>
                    <w:ind w:firstLine="0" w:firstLineChars="0"/>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68"/>
                    <w:snapToGrid w:val="0"/>
                    <w:spacing w:line="360" w:lineRule="auto"/>
                    <w:ind w:firstLine="0" w:firstLineChars="0"/>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100以下部分</w:t>
                  </w:r>
                </w:p>
              </w:tc>
              <w:tc>
                <w:tcPr>
                  <w:tcW w:w="2943" w:type="dxa"/>
                  <w:vAlign w:val="center"/>
                </w:tcPr>
                <w:p>
                  <w:pPr>
                    <w:pStyle w:val="68"/>
                    <w:snapToGrid w:val="0"/>
                    <w:spacing w:line="360" w:lineRule="auto"/>
                    <w:ind w:firstLine="0" w:firstLineChars="0"/>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1.</w:t>
                  </w:r>
                  <w:r>
                    <w:rPr>
                      <w:rFonts w:ascii="宋体" w:hAnsi="宋体" w:cs="Calibri Light"/>
                      <w:color w:val="000000" w:themeColor="text1"/>
                      <w:sz w:val="24"/>
                      <w:highlight w:val="none"/>
                      <w14:textFill>
                        <w14:solidFill>
                          <w14:schemeClr w14:val="tx1"/>
                        </w14:solidFill>
                      </w14:textFill>
                    </w:rPr>
                    <w:t>0</w:t>
                  </w:r>
                  <w:r>
                    <w:rPr>
                      <w:rFonts w:hint="eastAsia" w:ascii="宋体" w:hAnsi="宋体" w:cs="Calibri Light"/>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68"/>
                    <w:snapToGrid w:val="0"/>
                    <w:spacing w:line="360" w:lineRule="auto"/>
                    <w:ind w:firstLine="0" w:firstLineChars="0"/>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100~500之间部分</w:t>
                  </w:r>
                </w:p>
              </w:tc>
              <w:tc>
                <w:tcPr>
                  <w:tcW w:w="2943" w:type="dxa"/>
                  <w:vAlign w:val="center"/>
                </w:tcPr>
                <w:p>
                  <w:pPr>
                    <w:pStyle w:val="68"/>
                    <w:snapToGrid w:val="0"/>
                    <w:spacing w:line="360" w:lineRule="auto"/>
                    <w:ind w:firstLine="0" w:firstLineChars="0"/>
                    <w:jc w:val="center"/>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0.</w:t>
                  </w:r>
                  <w:r>
                    <w:rPr>
                      <w:rFonts w:ascii="宋体" w:hAnsi="宋体" w:cs="Calibri Light"/>
                      <w:color w:val="000000" w:themeColor="text1"/>
                      <w:sz w:val="24"/>
                      <w:highlight w:val="none"/>
                      <w14:textFill>
                        <w14:solidFill>
                          <w14:schemeClr w14:val="tx1"/>
                        </w14:solidFill>
                      </w14:textFill>
                    </w:rPr>
                    <w:t>7</w:t>
                  </w:r>
                  <w:r>
                    <w:rPr>
                      <w:rFonts w:hint="eastAsia" w:ascii="宋体" w:hAnsi="宋体" w:cs="Calibri Light"/>
                      <w:color w:val="000000" w:themeColor="text1"/>
                      <w:sz w:val="24"/>
                      <w:highlight w:val="none"/>
                      <w14:textFill>
                        <w14:solidFill>
                          <w14:schemeClr w14:val="tx1"/>
                        </w14:solidFill>
                      </w14:textFill>
                    </w:rPr>
                    <w:t>%</w:t>
                  </w:r>
                </w:p>
              </w:tc>
            </w:tr>
          </w:tbl>
          <w:p>
            <w:pPr>
              <w:pStyle w:val="68"/>
              <w:snapToGrid w:val="0"/>
              <w:spacing w:line="360" w:lineRule="auto"/>
              <w:ind w:firstLine="0" w:firstLineChars="0"/>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收费计算示例：（标项中标金额200万元）</w:t>
            </w:r>
          </w:p>
          <w:p>
            <w:pPr>
              <w:pStyle w:val="68"/>
              <w:snapToGrid w:val="0"/>
              <w:spacing w:line="360" w:lineRule="auto"/>
              <w:ind w:firstLine="0" w:firstLineChars="0"/>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100*1.</w:t>
            </w:r>
            <w:r>
              <w:rPr>
                <w:rFonts w:ascii="宋体" w:hAnsi="宋体" w:cs="Calibri Light"/>
                <w:color w:val="000000" w:themeColor="text1"/>
                <w:sz w:val="24"/>
                <w:highlight w:val="none"/>
                <w14:textFill>
                  <w14:solidFill>
                    <w14:schemeClr w14:val="tx1"/>
                  </w14:solidFill>
                </w14:textFill>
              </w:rPr>
              <w:t>0</w:t>
            </w:r>
            <w:r>
              <w:rPr>
                <w:rFonts w:hint="eastAsia" w:ascii="宋体" w:hAnsi="宋体" w:cs="Calibri Light"/>
                <w:color w:val="000000" w:themeColor="text1"/>
                <w:sz w:val="24"/>
                <w:highlight w:val="none"/>
                <w14:textFill>
                  <w14:solidFill>
                    <w14:schemeClr w14:val="tx1"/>
                  </w14:solidFill>
                </w14:textFill>
              </w:rPr>
              <w:t>%+100*0.</w:t>
            </w:r>
            <w:r>
              <w:rPr>
                <w:rFonts w:ascii="宋体" w:hAnsi="宋体" w:cs="Calibri Light"/>
                <w:color w:val="000000" w:themeColor="text1"/>
                <w:sz w:val="24"/>
                <w:highlight w:val="none"/>
                <w14:textFill>
                  <w14:solidFill>
                    <w14:schemeClr w14:val="tx1"/>
                  </w14:solidFill>
                </w14:textFill>
              </w:rPr>
              <w:t>7</w:t>
            </w:r>
            <w:r>
              <w:rPr>
                <w:rFonts w:hint="eastAsia" w:ascii="宋体" w:hAnsi="宋体" w:cs="Calibri Light"/>
                <w:color w:val="000000" w:themeColor="text1"/>
                <w:sz w:val="24"/>
                <w:highlight w:val="none"/>
                <w14:textFill>
                  <w14:solidFill>
                    <w14:schemeClr w14:val="tx1"/>
                  </w14:solidFill>
                </w14:textFill>
              </w:rPr>
              <w:t>%=</w:t>
            </w:r>
            <w:r>
              <w:rPr>
                <w:rFonts w:ascii="宋体" w:hAnsi="宋体" w:cs="Calibri Light"/>
                <w:color w:val="000000" w:themeColor="text1"/>
                <w:sz w:val="24"/>
                <w:highlight w:val="none"/>
                <w14:textFill>
                  <w14:solidFill>
                    <w14:schemeClr w14:val="tx1"/>
                  </w14:solidFill>
                </w14:textFill>
              </w:rPr>
              <w:t>1.7</w:t>
            </w:r>
            <w:r>
              <w:rPr>
                <w:rFonts w:hint="eastAsia" w:ascii="宋体" w:hAnsi="宋体" w:cs="Calibri Light"/>
                <w:color w:val="000000" w:themeColor="text1"/>
                <w:sz w:val="24"/>
                <w:highlight w:val="none"/>
                <w14:textFill>
                  <w14:solidFill>
                    <w14:schemeClr w14:val="tx1"/>
                  </w14:solidFill>
                </w14:textFill>
              </w:rPr>
              <w:t>万元。</w:t>
            </w:r>
          </w:p>
          <w:p>
            <w:pPr>
              <w:pStyle w:val="68"/>
              <w:snapToGrid w:val="0"/>
              <w:spacing w:line="360" w:lineRule="auto"/>
              <w:ind w:firstLine="0" w:firstLineChars="0"/>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采购代理服务费缴纳形式：汇票/支票/电汇/现金</w:t>
            </w:r>
          </w:p>
          <w:p>
            <w:pPr>
              <w:pStyle w:val="68"/>
              <w:snapToGrid w:val="0"/>
              <w:spacing w:line="360" w:lineRule="auto"/>
              <w:ind w:firstLine="0" w:firstLineChars="0"/>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采购代理服务费由中标人在采购结果公示期结束时以人民币方式向采购代理机构支付。汇入以下账户 ：</w:t>
            </w:r>
          </w:p>
          <w:p>
            <w:pPr>
              <w:pStyle w:val="68"/>
              <w:snapToGrid w:val="0"/>
              <w:spacing w:line="360" w:lineRule="auto"/>
              <w:ind w:firstLine="0" w:firstLineChars="0"/>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户 名：浙江广通工程咨询有限公司</w:t>
            </w:r>
          </w:p>
          <w:p>
            <w:pPr>
              <w:pStyle w:val="68"/>
              <w:snapToGrid w:val="0"/>
              <w:spacing w:line="360" w:lineRule="auto"/>
              <w:ind w:firstLine="0" w:firstLineChars="0"/>
              <w:rPr>
                <w:rFonts w:ascii="宋体" w:hAnsi="宋体" w:cs="Calibri Light"/>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 xml:space="preserve">开 户：中国工商银行杭州之江支行 </w:t>
            </w:r>
          </w:p>
          <w:p>
            <w:pPr>
              <w:autoSpaceDE w:val="0"/>
              <w:autoSpaceDN w:val="0"/>
              <w:adjustRightIn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Calibri Light"/>
                <w:color w:val="000000" w:themeColor="text1"/>
                <w:sz w:val="24"/>
                <w:highlight w:val="none"/>
                <w14:textFill>
                  <w14:solidFill>
                    <w14:schemeClr w14:val="tx1"/>
                  </w14:solidFill>
                </w14:textFill>
              </w:rPr>
              <w:t>账 号：1202022909900102259</w:t>
            </w:r>
          </w:p>
        </w:tc>
      </w:tr>
    </w:tbl>
    <w:p>
      <w:pPr>
        <w:pStyle w:val="18"/>
        <w:snapToGrid w:val="0"/>
        <w:spacing w:before="120" w:after="120" w:line="360" w:lineRule="auto"/>
        <w:jc w:val="left"/>
        <w:rPr>
          <w:rFonts w:ascii="宋体" w:hAnsi="宋体" w:eastAsia="宋体"/>
          <w:b/>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18"/>
        <w:snapToGrid w:val="0"/>
        <w:spacing w:before="120" w:after="120" w:line="360" w:lineRule="auto"/>
        <w:jc w:val="left"/>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一 、总  则</w:t>
      </w:r>
    </w:p>
    <w:p>
      <w:pPr>
        <w:pStyle w:val="18"/>
        <w:snapToGrid w:val="0"/>
        <w:spacing w:before="120" w:after="120" w:line="360" w:lineRule="auto"/>
        <w:ind w:firstLine="361" w:firstLineChars="150"/>
        <w:jc w:val="left"/>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（一）</w:t>
      </w:r>
      <w:r>
        <w:rPr>
          <w:rFonts w:ascii="宋体" w:hAnsi="宋体" w:eastAsia="宋体"/>
          <w:b/>
          <w:color w:val="000000" w:themeColor="text1"/>
          <w:sz w:val="24"/>
          <w:highlight w:val="none"/>
          <w14:textFill>
            <w14:solidFill>
              <w14:schemeClr w14:val="tx1"/>
            </w14:solidFill>
          </w14:textFill>
        </w:rPr>
        <w:t xml:space="preserve"> 适用范围</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w:t>
      </w:r>
      <w:r>
        <w:rPr>
          <w:rFonts w:hint="eastAsia" w:ascii="宋体" w:hAnsi="宋体"/>
          <w:bCs/>
          <w:color w:val="000000" w:themeColor="text1"/>
          <w:sz w:val="24"/>
          <w:highlight w:val="none"/>
          <w14:textFill>
            <w14:solidFill>
              <w14:schemeClr w14:val="tx1"/>
            </w14:solidFill>
          </w14:textFill>
        </w:rPr>
        <w:t>磋商文件</w:t>
      </w:r>
      <w:r>
        <w:rPr>
          <w:rFonts w:hint="eastAsia" w:ascii="宋体" w:hAnsi="宋体"/>
          <w:color w:val="000000" w:themeColor="text1"/>
          <w:sz w:val="24"/>
          <w:highlight w:val="none"/>
          <w14:textFill>
            <w14:solidFill>
              <w14:schemeClr w14:val="tx1"/>
            </w14:solidFill>
          </w14:textFill>
        </w:rPr>
        <w:t>适用于</w:t>
      </w:r>
      <w:r>
        <w:rPr>
          <w:rFonts w:hint="eastAsia" w:ascii="宋体" w:hAnsi="宋体"/>
          <w:bCs/>
          <w:color w:val="000000" w:themeColor="text1"/>
          <w:sz w:val="24"/>
          <w:highlight w:val="none"/>
          <w14:textFill>
            <w14:solidFill>
              <w14:schemeClr w14:val="tx1"/>
            </w14:solidFill>
          </w14:textFill>
        </w:rPr>
        <w:t>本次</w:t>
      </w:r>
      <w:r>
        <w:rPr>
          <w:rFonts w:hint="eastAsia" w:ascii="宋体" w:hAnsi="宋体"/>
          <w:color w:val="000000" w:themeColor="text1"/>
          <w:sz w:val="24"/>
          <w:highlight w:val="none"/>
          <w14:textFill>
            <w14:solidFill>
              <w14:schemeClr w14:val="tx1"/>
            </w14:solidFill>
          </w14:textFill>
        </w:rPr>
        <w:t>项目的磋商、</w:t>
      </w:r>
      <w:r>
        <w:rPr>
          <w:rFonts w:hint="eastAsia" w:ascii="宋体" w:hAnsi="宋体"/>
          <w:bCs/>
          <w:color w:val="000000" w:themeColor="text1"/>
          <w:sz w:val="24"/>
          <w:highlight w:val="none"/>
          <w14:textFill>
            <w14:solidFill>
              <w14:schemeClr w14:val="tx1"/>
            </w14:solidFill>
          </w14:textFill>
        </w:rPr>
        <w:t>评审、确定成交供应商</w:t>
      </w:r>
      <w:r>
        <w:rPr>
          <w:rFonts w:hint="eastAsia" w:ascii="宋体" w:hAnsi="宋体"/>
          <w:color w:val="000000" w:themeColor="text1"/>
          <w:sz w:val="24"/>
          <w:highlight w:val="none"/>
          <w14:textFill>
            <w14:solidFill>
              <w14:schemeClr w14:val="tx1"/>
            </w14:solidFill>
          </w14:textFill>
        </w:rPr>
        <w:t>、验收、合同履约、付款等行为（法律、法规另有规定的，从其规定）。</w:t>
      </w:r>
    </w:p>
    <w:p>
      <w:pPr>
        <w:snapToGrid w:val="0"/>
        <w:spacing w:line="360" w:lineRule="auto"/>
        <w:ind w:firstLine="482" w:firstLineChars="200"/>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pPr>
        <w:pStyle w:val="4"/>
        <w:keepNext w:val="0"/>
        <w:keepLines w:val="0"/>
        <w:tabs>
          <w:tab w:val="left" w:pos="0"/>
          <w:tab w:val="left" w:pos="851"/>
        </w:tabs>
        <w:autoSpaceDE w:val="0"/>
        <w:autoSpaceDN w:val="0"/>
        <w:adjustRightInd w:val="0"/>
        <w:snapToGrid w:val="0"/>
        <w:spacing w:before="0" w:after="0"/>
        <w:ind w:firstLine="566" w:firstLineChars="236"/>
        <w:jc w:val="left"/>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1、</w:t>
      </w:r>
      <w:r>
        <w:rPr>
          <w:rFonts w:hint="eastAsia" w:ascii="宋体" w:hAnsi="宋体" w:eastAsia="宋体"/>
          <w:b w:val="0"/>
          <w:bCs w:val="0"/>
          <w:color w:val="000000" w:themeColor="text1"/>
          <w:sz w:val="24"/>
          <w:szCs w:val="24"/>
          <w:highlight w:val="none"/>
          <w:lang w:val="zh-CN"/>
          <w14:textFill>
            <w14:solidFill>
              <w14:schemeClr w14:val="tx1"/>
            </w14:solidFill>
          </w14:textFill>
        </w:rPr>
        <w:t>“采购组织机构”指采购人委托组织磋商的采购代理机构。</w:t>
      </w:r>
    </w:p>
    <w:p>
      <w:pPr>
        <w:snapToGrid w:val="0"/>
        <w:spacing w:line="360" w:lineRule="auto"/>
        <w:ind w:firstLine="566" w:firstLineChars="23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3、磋商供应商：是指向</w:t>
      </w:r>
      <w:r>
        <w:rPr>
          <w:rFonts w:hint="eastAsia" w:ascii="宋体" w:hAnsi="宋体"/>
          <w:color w:val="000000" w:themeColor="text1"/>
          <w:sz w:val="24"/>
          <w:highlight w:val="none"/>
          <w:lang w:val="zh-CN"/>
          <w14:textFill>
            <w14:solidFill>
              <w14:schemeClr w14:val="tx1"/>
            </w14:solidFill>
          </w14:textFill>
        </w:rPr>
        <w:t>采购组织机构</w:t>
      </w:r>
      <w:r>
        <w:rPr>
          <w:rFonts w:hint="eastAsia" w:ascii="宋体" w:hAnsi="宋体"/>
          <w:color w:val="000000" w:themeColor="text1"/>
          <w:sz w:val="24"/>
          <w:highlight w:val="none"/>
          <w14:textFill>
            <w14:solidFill>
              <w14:schemeClr w14:val="tx1"/>
            </w14:solidFill>
          </w14:textFill>
        </w:rPr>
        <w:t>提交磋商响应文件的单位或个人。</w:t>
      </w:r>
    </w:p>
    <w:p>
      <w:pPr>
        <w:snapToGrid w:val="0"/>
        <w:spacing w:line="360" w:lineRule="auto"/>
        <w:ind w:left="424" w:leftChars="202" w:firstLine="143"/>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4、货物：是指各种形态和种类的物品，包括原材料、燃料、设备、产品等。</w:t>
      </w:r>
    </w:p>
    <w:p>
      <w:pPr>
        <w:snapToGrid w:val="0"/>
        <w:spacing w:line="360" w:lineRule="auto"/>
        <w:ind w:firstLine="566" w:firstLineChars="236"/>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5、服务：是指除货物和工程以外的政府采购</w:t>
      </w:r>
      <w:r>
        <w:rPr>
          <w:rFonts w:ascii="宋体" w:hAnsi="宋体"/>
          <w:color w:val="000000" w:themeColor="text1"/>
          <w:sz w:val="24"/>
          <w:highlight w:val="none"/>
          <w14:textFill>
            <w14:solidFill>
              <w14:schemeClr w14:val="tx1"/>
            </w14:solidFill>
          </w14:textFill>
        </w:rPr>
        <w:t>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“▲”系指实质性要求条款。</w:t>
      </w:r>
    </w:p>
    <w:p>
      <w:pPr>
        <w:snapToGrid w:val="0"/>
        <w:spacing w:before="156" w:beforeLines="50" w:line="360" w:lineRule="auto"/>
        <w:ind w:firstLine="472"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（三）磋商费用</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不论磋商结果如何，供应商均应自行承担所有与磋商有关的全部费用（</w:t>
      </w:r>
      <w:r>
        <w:rPr>
          <w:rFonts w:hint="eastAsia" w:ascii="宋体" w:hAnsi="宋体"/>
          <w:bCs/>
          <w:color w:val="000000" w:themeColor="text1"/>
          <w:sz w:val="24"/>
          <w:highlight w:val="none"/>
          <w14:textFill>
            <w14:solidFill>
              <w14:schemeClr w14:val="tx1"/>
            </w14:solidFill>
          </w14:textFill>
        </w:rPr>
        <w:t>磋商文件</w:t>
      </w:r>
      <w:r>
        <w:rPr>
          <w:rFonts w:hint="eastAsia" w:ascii="宋体" w:hAnsi="宋体"/>
          <w:color w:val="000000" w:themeColor="text1"/>
          <w:sz w:val="24"/>
          <w:highlight w:val="none"/>
          <w14:textFill>
            <w14:solidFill>
              <w14:schemeClr w14:val="tx1"/>
            </w14:solidFill>
          </w14:textFill>
        </w:rPr>
        <w:t>有相关规定除外）。</w:t>
      </w:r>
    </w:p>
    <w:p>
      <w:pPr>
        <w:pStyle w:val="18"/>
        <w:snapToGrid w:val="0"/>
        <w:spacing w:line="360" w:lineRule="auto"/>
        <w:ind w:left="2" w:leftChars="1"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（四）特别说明</w:t>
      </w:r>
    </w:p>
    <w:p>
      <w:pPr>
        <w:pStyle w:val="18"/>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1、供应商</w:t>
      </w:r>
      <w:r>
        <w:rPr>
          <w:rFonts w:ascii="宋体" w:hAnsi="宋体" w:eastAsia="宋体"/>
          <w:color w:val="000000" w:themeColor="text1"/>
          <w:sz w:val="24"/>
          <w:highlight w:val="none"/>
          <w14:textFill>
            <w14:solidFill>
              <w14:schemeClr w14:val="tx1"/>
            </w14:solidFill>
          </w14:textFill>
        </w:rPr>
        <w:t>磋商所使用的资格、信誉、荣誉、业绩与企业认证必须为本法人所拥有。</w:t>
      </w:r>
      <w:r>
        <w:rPr>
          <w:rFonts w:hint="eastAsia" w:ascii="宋体" w:hAnsi="宋体" w:eastAsia="宋体"/>
          <w:color w:val="000000" w:themeColor="text1"/>
          <w:sz w:val="24"/>
          <w:highlight w:val="none"/>
          <w14:textFill>
            <w14:solidFill>
              <w14:schemeClr w14:val="tx1"/>
            </w14:solidFill>
          </w14:textFill>
        </w:rPr>
        <w:t>供应商</w:t>
      </w:r>
      <w:r>
        <w:rPr>
          <w:rFonts w:ascii="宋体" w:hAnsi="宋体" w:eastAsia="宋体"/>
          <w:color w:val="000000" w:themeColor="text1"/>
          <w:sz w:val="24"/>
          <w:highlight w:val="none"/>
          <w14:textFill>
            <w14:solidFill>
              <w14:schemeClr w14:val="tx1"/>
            </w14:solidFill>
          </w14:textFill>
        </w:rPr>
        <w:t>磋商所使用的采购项目实施人员必须为本法人员工（</w:t>
      </w:r>
      <w:r>
        <w:rPr>
          <w:rFonts w:hint="eastAsia" w:ascii="宋体" w:hAnsi="宋体" w:eastAsia="宋体"/>
          <w:color w:val="000000" w:themeColor="text1"/>
          <w:sz w:val="24"/>
          <w:highlight w:val="none"/>
          <w14:textFill>
            <w14:solidFill>
              <w14:schemeClr w14:val="tx1"/>
            </w14:solidFill>
          </w14:textFill>
        </w:rPr>
        <w:t>指</w:t>
      </w:r>
      <w:r>
        <w:rPr>
          <w:rFonts w:ascii="宋体" w:hAnsi="宋体" w:eastAsia="宋体"/>
          <w:color w:val="000000" w:themeColor="text1"/>
          <w:sz w:val="24"/>
          <w:highlight w:val="none"/>
          <w14:textFill>
            <w14:solidFill>
              <w14:schemeClr w14:val="tx1"/>
            </w14:solidFill>
          </w14:textFill>
        </w:rPr>
        <w:t>必须为本法人或控股公司正式员工）。</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2、供应商所标产品除</w:t>
      </w:r>
      <w:r>
        <w:rPr>
          <w:rFonts w:hint="eastAsia" w:ascii="宋体" w:hAnsi="宋体"/>
          <w:bCs/>
          <w:color w:val="000000" w:themeColor="text1"/>
          <w:sz w:val="24"/>
          <w:highlight w:val="none"/>
          <w14:textFill>
            <w14:solidFill>
              <w14:schemeClr w14:val="tx1"/>
            </w14:solidFill>
          </w14:textFill>
        </w:rPr>
        <w:t>磋商文件</w:t>
      </w:r>
      <w:r>
        <w:rPr>
          <w:rFonts w:hint="eastAsia" w:ascii="宋体" w:hAnsi="宋体"/>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rFonts w:hint="eastAsia" w:ascii="宋体" w:hAnsi="宋体"/>
          <w:b/>
          <w:color w:val="000000" w:themeColor="text1"/>
          <w:sz w:val="24"/>
          <w:highlight w:val="none"/>
          <w14:textFill>
            <w14:solidFill>
              <w14:schemeClr w14:val="tx1"/>
            </w14:solidFill>
          </w14:textFill>
        </w:rPr>
        <w:t>磋商供应商对所标产品技术参数的真实性承担法律责任。</w:t>
      </w:r>
      <w:r>
        <w:rPr>
          <w:rFonts w:hint="eastAsia" w:ascii="宋体" w:hAnsi="宋体"/>
          <w:color w:val="000000" w:themeColor="text1"/>
          <w:sz w:val="24"/>
          <w:highlight w:val="none"/>
          <w14:textFill>
            <w14:solidFill>
              <w14:schemeClr w14:val="tx1"/>
            </w14:solidFill>
          </w14:textFill>
        </w:rPr>
        <w:t>项目</w:t>
      </w:r>
      <w:r>
        <w:rPr>
          <w:rFonts w:hint="eastAsia" w:ascii="宋体" w:hAnsi="宋体"/>
          <w:bCs/>
          <w:color w:val="000000" w:themeColor="text1"/>
          <w:sz w:val="24"/>
          <w:highlight w:val="none"/>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color w:val="000000" w:themeColor="text1"/>
          <w:sz w:val="24"/>
          <w:highlight w:val="none"/>
          <w14:textFill>
            <w14:solidFill>
              <w14:schemeClr w14:val="tx1"/>
            </w14:solidFill>
          </w14:textFill>
        </w:rPr>
        <w:tab/>
      </w:r>
    </w:p>
    <w:p>
      <w:pPr>
        <w:pStyle w:val="44"/>
        <w:snapToGrid w:val="0"/>
        <w:spacing w:line="360" w:lineRule="auto"/>
        <w:ind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3、供应商</w:t>
      </w:r>
      <w:r>
        <w:rPr>
          <w:rFonts w:ascii="宋体" w:hAnsi="宋体" w:eastAsia="宋体"/>
          <w:color w:val="000000" w:themeColor="text1"/>
          <w:sz w:val="24"/>
          <w:szCs w:val="24"/>
          <w:highlight w:val="none"/>
          <w14:textFill>
            <w14:solidFill>
              <w14:schemeClr w14:val="tx1"/>
            </w14:solidFill>
          </w14:textFill>
        </w:rPr>
        <w:t>在</w:t>
      </w:r>
      <w:r>
        <w:rPr>
          <w:rFonts w:hint="eastAsia" w:ascii="宋体" w:hAnsi="宋体" w:eastAsia="宋体"/>
          <w:bCs/>
          <w:color w:val="000000" w:themeColor="text1"/>
          <w:sz w:val="24"/>
          <w:szCs w:val="24"/>
          <w:highlight w:val="none"/>
          <w14:textFill>
            <w14:solidFill>
              <w14:schemeClr w14:val="tx1"/>
            </w14:solidFill>
          </w14:textFill>
        </w:rPr>
        <w:t>磋商</w:t>
      </w:r>
      <w:r>
        <w:rPr>
          <w:rFonts w:ascii="宋体" w:hAnsi="宋体" w:eastAsia="宋体"/>
          <w:color w:val="000000" w:themeColor="text1"/>
          <w:sz w:val="24"/>
          <w:szCs w:val="24"/>
          <w:highlight w:val="none"/>
          <w14:textFill>
            <w14:solidFill>
              <w14:schemeClr w14:val="tx1"/>
            </w14:solidFill>
          </w14:textFill>
        </w:rPr>
        <w:t>活动中提供任何虚假材料</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其</w:t>
      </w:r>
      <w:r>
        <w:rPr>
          <w:rFonts w:hint="eastAsia" w:ascii="宋体" w:hAnsi="宋体" w:eastAsia="宋体"/>
          <w:color w:val="000000" w:themeColor="text1"/>
          <w:sz w:val="24"/>
          <w:szCs w:val="24"/>
          <w:highlight w:val="none"/>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无效，并报监管部门查处；</w:t>
      </w:r>
      <w:r>
        <w:rPr>
          <w:rFonts w:hint="eastAsia" w:ascii="宋体" w:hAnsi="宋体" w:eastAsia="宋体"/>
          <w:color w:val="000000" w:themeColor="text1"/>
          <w:sz w:val="24"/>
          <w:szCs w:val="24"/>
          <w:highlight w:val="none"/>
          <w14:textFill>
            <w14:solidFill>
              <w14:schemeClr w14:val="tx1"/>
            </w14:solidFill>
          </w14:textFill>
        </w:rPr>
        <w:t>成交</w:t>
      </w:r>
      <w:r>
        <w:rPr>
          <w:rFonts w:ascii="宋体" w:hAnsi="宋体" w:eastAsia="宋体"/>
          <w:color w:val="000000" w:themeColor="text1"/>
          <w:sz w:val="24"/>
          <w:szCs w:val="24"/>
          <w:highlight w:val="none"/>
          <w14:textFill>
            <w14:solidFill>
              <w14:schemeClr w14:val="tx1"/>
            </w14:solidFill>
          </w14:textFill>
        </w:rPr>
        <w:t>后发现的,成交人须依照根据《中华人民共和国政府采购法》第七十七条第一款第一项之规定</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olor w:val="000000" w:themeColor="text1"/>
          <w:sz w:val="24"/>
          <w:szCs w:val="24"/>
          <w:highlight w:val="none"/>
          <w14:textFill>
            <w14:solidFill>
              <w14:schemeClr w14:val="tx1"/>
            </w14:solidFill>
          </w14:textFill>
        </w:rPr>
        <w:t>。</w:t>
      </w:r>
    </w:p>
    <w:p>
      <w:pPr>
        <w:pStyle w:val="44"/>
        <w:snapToGrid w:val="0"/>
        <w:spacing w:line="360" w:lineRule="auto"/>
        <w:ind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pPr>
        <w:pStyle w:val="44"/>
        <w:snapToGrid w:val="0"/>
        <w:spacing w:line="360" w:lineRule="auto"/>
        <w:ind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44"/>
        <w:snapToGrid w:val="0"/>
        <w:spacing w:line="360" w:lineRule="auto"/>
        <w:ind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ind w:firstLine="480"/>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ind w:firstLine="480"/>
        <w:rPr>
          <w:rFonts w:ascii="宋体" w:hAnsi="宋体" w:eastAsia="宋体" w:cs="Calibri"/>
          <w:color w:val="000000" w:themeColor="text1"/>
          <w:sz w:val="24"/>
          <w:szCs w:val="24"/>
          <w:highlight w:val="none"/>
          <w:shd w:val="clear" w:color="FFFFFF" w:fill="D9D9D9"/>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8、本项目不允许分包。（若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二、磋商</w:t>
      </w:r>
      <w:r>
        <w:rPr>
          <w:rFonts w:ascii="宋体" w:hAnsi="宋体"/>
          <w:b/>
          <w:color w:val="000000" w:themeColor="text1"/>
          <w:kern w:val="0"/>
          <w:sz w:val="24"/>
          <w:highlight w:val="none"/>
          <w14:textFill>
            <w14:solidFill>
              <w14:schemeClr w14:val="tx1"/>
            </w14:solidFill>
          </w14:textFill>
        </w:rPr>
        <w:t>响应</w:t>
      </w:r>
      <w:r>
        <w:rPr>
          <w:rFonts w:hint="eastAsia" w:ascii="宋体" w:hAnsi="宋体"/>
          <w:b/>
          <w:color w:val="000000" w:themeColor="text1"/>
          <w:kern w:val="0"/>
          <w:sz w:val="24"/>
          <w:highlight w:val="none"/>
          <w14:textFill>
            <w14:solidFill>
              <w14:schemeClr w14:val="tx1"/>
            </w14:solidFill>
          </w14:textFill>
        </w:rPr>
        <w:t>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（一）磋商</w:t>
      </w:r>
      <w:r>
        <w:rPr>
          <w:rFonts w:ascii="宋体" w:hAnsi="宋体"/>
          <w:b/>
          <w:color w:val="000000" w:themeColor="text1"/>
          <w:kern w:val="0"/>
          <w:sz w:val="24"/>
          <w:highlight w:val="none"/>
          <w14:textFill>
            <w14:solidFill>
              <w14:schemeClr w14:val="tx1"/>
            </w14:solidFill>
          </w14:textFill>
        </w:rPr>
        <w:t>响应文件的</w:t>
      </w:r>
      <w:r>
        <w:rPr>
          <w:rFonts w:hint="eastAsia" w:ascii="宋体" w:hAnsi="宋体"/>
          <w:b/>
          <w:color w:val="000000" w:themeColor="text1"/>
          <w:kern w:val="0"/>
          <w:sz w:val="24"/>
          <w:highlight w:val="none"/>
          <w14:textFill>
            <w14:solidFill>
              <w14:schemeClr w14:val="tx1"/>
            </w14:solidFill>
          </w14:textFill>
        </w:rPr>
        <w:t>组成</w:t>
      </w:r>
    </w:p>
    <w:p>
      <w:pPr>
        <w:snapToGri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rFonts w:ascii="宋体" w:hAnsi="宋体"/>
          <w:color w:val="000000" w:themeColor="text1"/>
          <w:sz w:val="24"/>
          <w:highlight w:val="none"/>
          <w14:textFill>
            <w14:solidFill>
              <w14:schemeClr w14:val="tx1"/>
            </w14:solidFill>
          </w14:textFill>
        </w:rPr>
        <w:t>。</w:t>
      </w:r>
    </w:p>
    <w:p>
      <w:pPr>
        <w:snapToGrid w:val="0"/>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1、资格证明文件的组成：</w:t>
      </w:r>
    </w:p>
    <w:p>
      <w:pPr>
        <w:spacing w:line="360" w:lineRule="auto"/>
        <w:ind w:firstLine="482" w:firstLineChars="200"/>
        <w:rPr>
          <w:rFonts w:ascii="宋体" w:hAnsi="宋体"/>
          <w:b/>
          <w:bCs/>
          <w:sz w:val="24"/>
          <w:highlight w:val="none"/>
        </w:rPr>
      </w:pPr>
      <w:r>
        <w:rPr>
          <w:rFonts w:hint="eastAsia" w:ascii="宋体" w:hAnsi="宋体"/>
          <w:b/>
          <w:bCs/>
          <w:sz w:val="24"/>
          <w:highlight w:val="none"/>
        </w:rPr>
        <w:t>(1）符合《中华人民共和国政府采购法》第二十二条的规定；</w:t>
      </w:r>
    </w:p>
    <w:p>
      <w:pPr>
        <w:spacing w:line="360" w:lineRule="auto"/>
        <w:ind w:firstLine="482" w:firstLineChars="200"/>
        <w:rPr>
          <w:rFonts w:ascii="宋体" w:hAnsi="宋体"/>
          <w:b/>
          <w:bCs/>
          <w:sz w:val="24"/>
          <w:highlight w:val="none"/>
        </w:rPr>
      </w:pPr>
      <w:r>
        <w:rPr>
          <w:rFonts w:hint="eastAsia" w:ascii="宋体" w:hAnsi="宋体"/>
          <w:b/>
          <w:bCs/>
          <w:sz w:val="24"/>
          <w:highlight w:val="none"/>
        </w:rPr>
        <w:t>①具有独立承担民事责任的能力；</w:t>
      </w:r>
    </w:p>
    <w:p>
      <w:pPr>
        <w:spacing w:line="360" w:lineRule="auto"/>
        <w:ind w:firstLine="482" w:firstLineChars="200"/>
        <w:rPr>
          <w:rFonts w:ascii="宋体" w:hAnsi="宋体"/>
          <w:b/>
          <w:bCs/>
          <w:sz w:val="24"/>
          <w:highlight w:val="none"/>
        </w:rPr>
      </w:pPr>
      <w:r>
        <w:rPr>
          <w:rFonts w:hint="eastAsia" w:ascii="宋体" w:hAnsi="宋体"/>
          <w:b/>
          <w:bCs/>
          <w:sz w:val="24"/>
          <w:highlight w:val="none"/>
        </w:rPr>
        <w:t>②具有良好的商业信誉和健全的财务会计制度；</w:t>
      </w:r>
    </w:p>
    <w:p>
      <w:pPr>
        <w:spacing w:line="360" w:lineRule="auto"/>
        <w:ind w:firstLine="482" w:firstLineChars="200"/>
        <w:rPr>
          <w:rFonts w:ascii="宋体" w:hAnsi="宋体"/>
          <w:b/>
          <w:bCs/>
          <w:sz w:val="24"/>
          <w:highlight w:val="none"/>
        </w:rPr>
      </w:pPr>
      <w:r>
        <w:rPr>
          <w:rFonts w:hint="eastAsia" w:ascii="宋体" w:hAnsi="宋体"/>
          <w:b/>
          <w:bCs/>
          <w:sz w:val="24"/>
          <w:highlight w:val="none"/>
        </w:rPr>
        <w:t>③具有履行合同所必需的设备和专业技术能力；</w:t>
      </w:r>
    </w:p>
    <w:p>
      <w:pPr>
        <w:spacing w:line="360" w:lineRule="auto"/>
        <w:ind w:firstLine="482" w:firstLineChars="200"/>
        <w:rPr>
          <w:rFonts w:ascii="宋体" w:hAnsi="宋体"/>
          <w:b/>
          <w:bCs/>
          <w:sz w:val="24"/>
          <w:highlight w:val="none"/>
        </w:rPr>
      </w:pPr>
      <w:r>
        <w:rPr>
          <w:rFonts w:hint="eastAsia" w:ascii="宋体" w:hAnsi="宋体"/>
          <w:b/>
          <w:bCs/>
          <w:sz w:val="24"/>
          <w:highlight w:val="none"/>
        </w:rPr>
        <w:t>④有依法缴纳税收和社会保障资金的良好记录；</w:t>
      </w:r>
    </w:p>
    <w:p>
      <w:pPr>
        <w:spacing w:line="360" w:lineRule="auto"/>
        <w:ind w:firstLine="482" w:firstLineChars="200"/>
        <w:rPr>
          <w:rFonts w:ascii="宋体" w:hAnsi="宋体"/>
          <w:b/>
          <w:bCs/>
          <w:sz w:val="24"/>
          <w:highlight w:val="none"/>
        </w:rPr>
      </w:pPr>
      <w:r>
        <w:rPr>
          <w:rFonts w:hint="eastAsia" w:ascii="宋体" w:hAnsi="宋体"/>
          <w:b/>
          <w:bCs/>
          <w:sz w:val="24"/>
          <w:highlight w:val="none"/>
        </w:rPr>
        <w:t>⑤参加政府采购活动前三年内，在经营活动中没有重大违法记录；</w:t>
      </w:r>
    </w:p>
    <w:p>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2、商务与技术文件的组成：</w:t>
      </w:r>
    </w:p>
    <w:p>
      <w:pPr>
        <w:spacing w:line="360" w:lineRule="auto"/>
        <w:ind w:firstLine="482" w:firstLineChars="200"/>
        <w:rPr>
          <w:rFonts w:ascii="宋体" w:hAnsi="宋体"/>
          <w:b/>
          <w:bCs/>
          <w:sz w:val="24"/>
          <w:highlight w:val="none"/>
        </w:rPr>
      </w:pPr>
      <w:r>
        <w:rPr>
          <w:rFonts w:hint="eastAsia" w:ascii="宋体" w:hAnsi="宋体"/>
          <w:b/>
          <w:bCs/>
          <w:sz w:val="24"/>
          <w:highlight w:val="none"/>
        </w:rPr>
        <w:t>①法定代表人授权书（如供应商的法定代表人不参加办理投标事宜，由他人办理的适用）。</w:t>
      </w:r>
    </w:p>
    <w:p>
      <w:pPr>
        <w:spacing w:line="360" w:lineRule="auto"/>
        <w:ind w:firstLine="482" w:firstLineChars="200"/>
        <w:rPr>
          <w:rFonts w:ascii="宋体" w:hAnsi="宋体"/>
          <w:b/>
          <w:bCs/>
          <w:sz w:val="24"/>
          <w:highlight w:val="none"/>
        </w:rPr>
      </w:pPr>
      <w:r>
        <w:rPr>
          <w:rFonts w:hint="eastAsia" w:ascii="宋体" w:hAnsi="宋体"/>
          <w:b/>
          <w:bCs/>
          <w:sz w:val="24"/>
          <w:highlight w:val="none"/>
        </w:rPr>
        <w:t>②供应商基本情况表；</w:t>
      </w:r>
    </w:p>
    <w:p>
      <w:pPr>
        <w:ind w:firstLine="482" w:firstLineChars="200"/>
        <w:rPr>
          <w:rFonts w:ascii="宋体" w:hAnsi="宋体"/>
          <w:b/>
          <w:bCs/>
          <w:sz w:val="24"/>
          <w:highlight w:val="none"/>
        </w:rPr>
      </w:pPr>
      <w:r>
        <w:rPr>
          <w:rFonts w:hint="eastAsia" w:ascii="宋体" w:hAnsi="宋体"/>
          <w:b/>
          <w:bCs/>
          <w:sz w:val="24"/>
          <w:highlight w:val="none"/>
        </w:rPr>
        <w:t>③类似项目实施情况一览表（如有）；</w:t>
      </w:r>
    </w:p>
    <w:p>
      <w:pPr>
        <w:spacing w:line="360" w:lineRule="auto"/>
        <w:ind w:firstLine="482" w:firstLineChars="200"/>
        <w:rPr>
          <w:rFonts w:ascii="宋体" w:hAnsi="宋体"/>
          <w:b/>
          <w:bCs/>
          <w:sz w:val="24"/>
          <w:highlight w:val="none"/>
        </w:rPr>
      </w:pPr>
      <w:r>
        <w:rPr>
          <w:rFonts w:hint="eastAsia" w:ascii="宋体" w:hAnsi="宋体"/>
          <w:b/>
          <w:bCs/>
          <w:sz w:val="24"/>
          <w:highlight w:val="none"/>
        </w:rPr>
        <w:t xml:space="preserve">④商务响应表； </w:t>
      </w:r>
    </w:p>
    <w:p>
      <w:pPr>
        <w:spacing w:line="360" w:lineRule="auto"/>
        <w:ind w:firstLine="482" w:firstLineChars="200"/>
        <w:rPr>
          <w:rFonts w:ascii="宋体" w:hAnsi="宋体"/>
          <w:b/>
          <w:bCs/>
          <w:sz w:val="24"/>
          <w:highlight w:val="none"/>
        </w:rPr>
      </w:pPr>
      <w:r>
        <w:rPr>
          <w:rFonts w:hint="eastAsia" w:ascii="宋体" w:hAnsi="宋体"/>
          <w:b/>
          <w:bCs/>
          <w:sz w:val="24"/>
          <w:highlight w:val="none"/>
        </w:rPr>
        <w:t>⑤技术偏离表；</w:t>
      </w:r>
    </w:p>
    <w:p>
      <w:pPr>
        <w:spacing w:line="360" w:lineRule="auto"/>
        <w:ind w:firstLine="482" w:firstLineChars="200"/>
        <w:rPr>
          <w:rFonts w:ascii="宋体" w:hAnsi="宋体"/>
          <w:b/>
          <w:bCs/>
          <w:sz w:val="24"/>
          <w:highlight w:val="none"/>
        </w:rPr>
      </w:pPr>
      <w:r>
        <w:rPr>
          <w:rFonts w:hint="eastAsia" w:ascii="宋体" w:hAnsi="宋体"/>
          <w:b/>
          <w:bCs/>
          <w:sz w:val="24"/>
          <w:highlight w:val="none"/>
        </w:rPr>
        <w:t>⑥其余内容根据评标办法自拟（供应商根据评标细则自行编制）；</w:t>
      </w:r>
    </w:p>
    <w:p>
      <w:pPr>
        <w:pStyle w:val="9"/>
        <w:widowControl/>
        <w:adjustRightInd w:val="0"/>
        <w:snapToGrid w:val="0"/>
        <w:spacing w:line="360" w:lineRule="auto"/>
        <w:ind w:left="218" w:leftChars="104" w:firstLine="0"/>
        <w:rPr>
          <w:rFonts w:ascii="宋体" w:hAnsi="宋体" w:cs="Calibri Light"/>
          <w:color w:val="000000" w:themeColor="text1"/>
          <w:sz w:val="24"/>
          <w:szCs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 xml:space="preserve"> 招标需求中要求提供的相关证明材料及根据评标办法提供的证明材料均需在响应文件中提供扫描件。</w:t>
      </w:r>
    </w:p>
    <w:p>
      <w:pPr>
        <w:autoSpaceDE w:val="0"/>
        <w:autoSpaceDN w:val="0"/>
        <w:adjustRightInd w:val="0"/>
        <w:spacing w:line="360" w:lineRule="auto"/>
        <w:ind w:left="426" w:firstLine="65" w:firstLineChars="27"/>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3、报价</w:t>
      </w:r>
      <w:r>
        <w:rPr>
          <w:rFonts w:hint="eastAsia" w:ascii="宋体" w:hAnsi="宋体"/>
          <w:b/>
          <w:color w:val="000000" w:themeColor="text1"/>
          <w:sz w:val="24"/>
          <w:highlight w:val="none"/>
          <w14:textFill>
            <w14:solidFill>
              <w14:schemeClr w14:val="tx1"/>
            </w14:solidFill>
          </w14:textFill>
        </w:rPr>
        <w:t>文件</w:t>
      </w:r>
      <w:r>
        <w:rPr>
          <w:rFonts w:hint="eastAsia" w:ascii="宋体" w:hAnsi="宋体"/>
          <w:b/>
          <w:color w:val="000000" w:themeColor="text1"/>
          <w:kern w:val="0"/>
          <w:sz w:val="24"/>
          <w:highlight w:val="none"/>
          <w14:textFill>
            <w14:solidFill>
              <w14:schemeClr w14:val="tx1"/>
            </w14:solidFill>
          </w14:textFill>
        </w:rPr>
        <w:t>的组成</w:t>
      </w:r>
    </w:p>
    <w:p>
      <w:pPr>
        <w:pStyle w:val="40"/>
        <w:ind w:left="0" w:leftChars="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（1）报价内容由首次报价一览表、首次报价明细表，以及供应商认为其他需要说明的内容组成（如</w:t>
      </w:r>
      <w:r>
        <w:rPr>
          <w:rFonts w:ascii="宋体" w:hAnsi="宋体"/>
          <w:color w:val="000000" w:themeColor="text1"/>
          <w:kern w:val="0"/>
          <w:highlight w:val="none"/>
          <w14:textFill>
            <w14:solidFill>
              <w14:schemeClr w14:val="tx1"/>
            </w14:solidFill>
          </w14:textFill>
        </w:rPr>
        <w:t>小微企业证明材料</w:t>
      </w:r>
      <w:r>
        <w:rPr>
          <w:rFonts w:hint="eastAsia" w:ascii="宋体" w:hAnsi="宋体"/>
          <w:color w:val="000000" w:themeColor="text1"/>
          <w:kern w:val="0"/>
          <w:highlight w:val="none"/>
          <w14:textFill>
            <w14:solidFill>
              <w14:schemeClr w14:val="tx1"/>
            </w14:solidFill>
          </w14:textFill>
        </w:rPr>
        <w:t>）。</w:t>
      </w:r>
    </w:p>
    <w:p>
      <w:pPr>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lang w:val="zh-CN"/>
          <w14:textFill>
            <w14:solidFill>
              <w14:schemeClr w14:val="tx1"/>
            </w14:solidFill>
          </w14:textFill>
        </w:rPr>
        <w:t>）总报价应当包括</w:t>
      </w:r>
      <w:r>
        <w:rPr>
          <w:rFonts w:hint="eastAsia" w:ascii="宋体" w:hAnsi="宋体"/>
          <w:kern w:val="0"/>
          <w:sz w:val="24"/>
          <w:highlight w:val="none"/>
          <w:lang w:val="zh-CN"/>
        </w:rPr>
        <w:t>货款、标准附件、备品备件、专用工具、包装、运输、装卸、保险、税金、货到就位以及安装、调试、培训、保修、合同包含的所有风险责任等各项费用及不可预见费等所需的全部费用。</w:t>
      </w:r>
    </w:p>
    <w:p>
      <w:pPr>
        <w:snapToGri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政府采购优惠政策相关资料、产品适用政府采购政策情况表（如有）。</w:t>
      </w:r>
    </w:p>
    <w:p>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磋商响应报价表不得涂改和增删，如有错漏必须修改，修改处须由同一签署人签字或盖章。由于字迹模糊或表达不清引起的后果由供应商负责。</w:t>
      </w:r>
    </w:p>
    <w:p>
      <w:pPr>
        <w:snapToGrid w:val="0"/>
        <w:spacing w:line="360" w:lineRule="auto"/>
        <w:ind w:left="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有关表格</w:t>
      </w:r>
      <w:r>
        <w:rPr>
          <w:rFonts w:ascii="宋体" w:hAnsi="宋体"/>
          <w:color w:val="000000" w:themeColor="text1"/>
          <w:sz w:val="24"/>
          <w:highlight w:val="none"/>
          <w14:textFill>
            <w14:solidFill>
              <w14:schemeClr w14:val="tx1"/>
            </w14:solidFill>
          </w14:textFill>
        </w:rPr>
        <w:t>应按</w:t>
      </w:r>
      <w:r>
        <w:rPr>
          <w:rFonts w:hint="eastAsia" w:ascii="宋体" w:hAnsi="宋体"/>
          <w:color w:val="000000" w:themeColor="text1"/>
          <w:sz w:val="24"/>
          <w:highlight w:val="none"/>
          <w14:textFill>
            <w14:solidFill>
              <w14:schemeClr w14:val="tx1"/>
            </w14:solidFill>
          </w14:textFill>
        </w:rPr>
        <w:t>磋商采购</w:t>
      </w:r>
      <w:r>
        <w:rPr>
          <w:rFonts w:ascii="宋体" w:hAnsi="宋体"/>
          <w:color w:val="000000" w:themeColor="text1"/>
          <w:sz w:val="24"/>
          <w:highlight w:val="none"/>
          <w14:textFill>
            <w14:solidFill>
              <w14:schemeClr w14:val="tx1"/>
            </w14:solidFill>
          </w14:textFill>
        </w:rPr>
        <w:t>文件中相关附表格式填写。</w:t>
      </w:r>
    </w:p>
    <w:p>
      <w:pPr>
        <w:snapToGrid w:val="0"/>
        <w:spacing w:line="360" w:lineRule="auto"/>
        <w:rPr>
          <w:rFonts w:ascii="宋体" w:hAnsi="宋体" w:cs="Calibri Light"/>
          <w:b/>
          <w:bCs/>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（7）</w:t>
      </w:r>
      <w:r>
        <w:rPr>
          <w:rFonts w:hint="eastAsia" w:ascii="宋体" w:hAnsi="宋体"/>
          <w:b/>
          <w:bCs/>
          <w:color w:val="000000" w:themeColor="text1"/>
          <w:sz w:val="24"/>
          <w:highlight w:val="none"/>
          <w14:textFill>
            <w14:solidFill>
              <w14:schemeClr w14:val="tx1"/>
            </w14:solidFill>
          </w14:textFill>
        </w:rPr>
        <w:t>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pPr>
        <w:numPr>
          <w:ilvl w:val="0"/>
          <w:numId w:val="3"/>
        </w:numPr>
        <w:snapToGrid w:val="0"/>
        <w:spacing w:line="360" w:lineRule="auto"/>
        <w:rPr>
          <w:rFonts w:ascii="宋体" w:hAnsi="宋体" w:cs="楷体_GB2312"/>
          <w:color w:val="000000" w:themeColor="text1"/>
          <w:sz w:val="24"/>
          <w:highlight w:val="none"/>
          <w:lang w:val="zh-CN"/>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磋商响应文件的制作及递交要求</w:t>
      </w:r>
    </w:p>
    <w:p>
      <w:pPr>
        <w:autoSpaceDE w:val="0"/>
        <w:autoSpaceDN w:val="0"/>
        <w:adjustRightInd w:val="0"/>
        <w:spacing w:line="360" w:lineRule="auto"/>
        <w:ind w:firstLine="48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1、磋商响应文件的制作要求</w:t>
      </w:r>
    </w:p>
    <w:p>
      <w:pPr>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w:t>
      </w:r>
      <w:r>
        <w:rPr>
          <w:rFonts w:asciiTheme="minorEastAsia" w:hAnsiTheme="minorEastAsia"/>
          <w:color w:val="000000" w:themeColor="text1"/>
          <w:sz w:val="24"/>
          <w:highlight w:val="none"/>
          <w14:textFill>
            <w14:solidFill>
              <w14:schemeClr w14:val="tx1"/>
            </w14:solidFill>
          </w14:textFill>
        </w:rPr>
        <w:t>1）</w:t>
      </w:r>
      <w:r>
        <w:rPr>
          <w:rFonts w:hint="eastAsia" w:ascii="宋体" w:hAnsi="宋体" w:cs="Arial"/>
          <w:color w:val="000000" w:themeColor="text1"/>
          <w:sz w:val="24"/>
          <w:highlight w:val="none"/>
          <w14:textFill>
            <w14:solidFill>
              <w14:schemeClr w14:val="tx1"/>
            </w14:solidFill>
          </w14:textFill>
        </w:rPr>
        <w:t>本项目通过“政府采购云平台（</w:t>
      </w:r>
      <w:r>
        <w:rPr>
          <w:rFonts w:ascii="宋体" w:hAnsi="宋体" w:cs="Arial"/>
          <w:color w:val="000000" w:themeColor="text1"/>
          <w:sz w:val="24"/>
          <w:highlight w:val="none"/>
          <w14:textFill>
            <w14:solidFill>
              <w14:schemeClr w14:val="tx1"/>
            </w14:solidFill>
          </w14:textFill>
        </w:rPr>
        <w:t>www.</w:t>
      </w:r>
      <w:r>
        <w:rPr>
          <w:rFonts w:hint="eastAsia" w:ascii="宋体" w:hAnsi="宋体" w:cs="Arial"/>
          <w:color w:val="000000" w:themeColor="text1"/>
          <w:sz w:val="24"/>
          <w:highlight w:val="none"/>
          <w14:textFill>
            <w14:solidFill>
              <w14:schemeClr w14:val="tx1"/>
            </w14:solidFill>
          </w14:textFill>
        </w:rPr>
        <w:t>zcy</w:t>
      </w:r>
      <w:r>
        <w:rPr>
          <w:rFonts w:ascii="宋体" w:hAnsi="宋体" w:cs="Arial"/>
          <w:color w:val="000000" w:themeColor="text1"/>
          <w:sz w:val="24"/>
          <w:highlight w:val="none"/>
          <w14:textFill>
            <w14:solidFill>
              <w14:schemeClr w14:val="tx1"/>
            </w14:solidFill>
          </w14:textFill>
        </w:rPr>
        <w:t>gov.cn</w:t>
      </w:r>
      <w:r>
        <w:rPr>
          <w:rFonts w:hint="eastAsia" w:ascii="宋体" w:hAnsi="宋体" w:cs="Arial"/>
          <w:color w:val="000000" w:themeColor="text1"/>
          <w:sz w:val="24"/>
          <w:highlight w:val="none"/>
          <w14:textFill>
            <w14:solidFill>
              <w14:schemeClr w14:val="tx1"/>
            </w14:solidFill>
          </w14:textFill>
        </w:rPr>
        <w:t>）”实行在线投标响应（电子投标）。供应商应通过“政采云电子交易客户端”，并按照本招标文件和“政府采购云平台”的要求编制并加密响应文件。</w:t>
      </w:r>
    </w:p>
    <w:p>
      <w:pPr>
        <w:spacing w:line="360" w:lineRule="auto"/>
        <w:ind w:firstLine="420" w:firstLineChars="175"/>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（2）投标供应商应当按照</w:t>
      </w:r>
      <w:r>
        <w:rPr>
          <w:rFonts w:ascii="宋体" w:hAnsi="宋体" w:cs="Arial"/>
          <w:color w:val="000000" w:themeColor="text1"/>
          <w:kern w:val="0"/>
          <w:sz w:val="24"/>
          <w:highlight w:val="none"/>
          <w14:textFill>
            <w14:solidFill>
              <w14:schemeClr w14:val="tx1"/>
            </w14:solidFill>
          </w14:textFill>
        </w:rPr>
        <w:t>本</w:t>
      </w:r>
      <w:r>
        <w:rPr>
          <w:rFonts w:hint="eastAsia" w:ascii="宋体" w:hAnsi="宋体" w:cs="Arial"/>
          <w:color w:val="000000" w:themeColor="text1"/>
          <w:kern w:val="0"/>
          <w:sz w:val="24"/>
          <w:highlight w:val="none"/>
          <w14:textFill>
            <w14:solidFill>
              <w14:schemeClr w14:val="tx1"/>
            </w14:solidFill>
          </w14:textFill>
        </w:rPr>
        <w:t>章节 “响应文件组成”规定的内容及顺序在“政采云电子交易客户端”编制响应文件。</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（3）本文件《第六章  响应文件格式附件》中有</w:t>
      </w:r>
      <w:r>
        <w:rPr>
          <w:rFonts w:ascii="宋体" w:hAnsi="宋体"/>
          <w:bCs/>
          <w:color w:val="000000" w:themeColor="text1"/>
          <w:sz w:val="24"/>
          <w:highlight w:val="none"/>
          <w14:textFill>
            <w14:solidFill>
              <w14:schemeClr w14:val="tx1"/>
            </w14:solidFill>
          </w14:textFill>
        </w:rPr>
        <w:t>提供格式的，投标</w:t>
      </w:r>
      <w:r>
        <w:rPr>
          <w:rFonts w:hint="eastAsia" w:ascii="宋体" w:hAnsi="宋体"/>
          <w:bCs/>
          <w:color w:val="000000" w:themeColor="text1"/>
          <w:sz w:val="24"/>
          <w:highlight w:val="none"/>
          <w14:textFill>
            <w14:solidFill>
              <w14:schemeClr w14:val="tx1"/>
            </w14:solidFill>
          </w14:textFill>
        </w:rPr>
        <w:t>供应商须参</w:t>
      </w:r>
      <w:r>
        <w:rPr>
          <w:rFonts w:ascii="宋体" w:hAnsi="宋体"/>
          <w:bCs/>
          <w:color w:val="000000" w:themeColor="text1"/>
          <w:sz w:val="24"/>
          <w:highlight w:val="none"/>
          <w14:textFill>
            <w14:solidFill>
              <w14:schemeClr w14:val="tx1"/>
            </w14:solidFill>
          </w14:textFill>
        </w:rPr>
        <w:t>照格式</w:t>
      </w:r>
      <w:r>
        <w:rPr>
          <w:rFonts w:hint="eastAsia" w:ascii="宋体" w:hAnsi="宋体"/>
          <w:bCs/>
          <w:color w:val="000000" w:themeColor="text1"/>
          <w:sz w:val="24"/>
          <w:highlight w:val="none"/>
          <w14:textFill>
            <w14:solidFill>
              <w14:schemeClr w14:val="tx1"/>
            </w14:solidFill>
          </w14:textFill>
        </w:rPr>
        <w:t>进行编制（格式中要求提供相关证明材料的还需后附相关证明材料），并按格式要求在指定位置根据要求进行电子签章，否则视为未提供；本文件《第六章  响应文件格式附件》</w:t>
      </w:r>
      <w:r>
        <w:rPr>
          <w:rFonts w:ascii="宋体" w:hAnsi="宋体"/>
          <w:bCs/>
          <w:color w:val="000000" w:themeColor="text1"/>
          <w:sz w:val="24"/>
          <w:highlight w:val="none"/>
          <w14:textFill>
            <w14:solidFill>
              <w14:schemeClr w14:val="tx1"/>
            </w14:solidFill>
          </w14:textFill>
        </w:rPr>
        <w:t>未提供格式的，请各投标单位自行拟定格式</w:t>
      </w:r>
      <w:r>
        <w:rPr>
          <w:rFonts w:hint="eastAsia" w:ascii="宋体" w:hAnsi="宋体"/>
          <w:color w:val="000000" w:themeColor="text1"/>
          <w:sz w:val="24"/>
          <w:highlight w:val="none"/>
          <w14:textFill>
            <w14:solidFill>
              <w14:schemeClr w14:val="tx1"/>
            </w14:solidFill>
          </w14:textFill>
        </w:rPr>
        <w:t>。</w:t>
      </w:r>
    </w:p>
    <w:p>
      <w:pPr>
        <w:autoSpaceDE w:val="0"/>
        <w:autoSpaceDN w:val="0"/>
        <w:adjustRightIn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）供应商应对所提供的全部资料的真实性承担法律责任。</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磋商响应文件</w:t>
      </w:r>
      <w:r>
        <w:rPr>
          <w:rFonts w:ascii="宋体" w:hAnsi="宋体"/>
          <w:color w:val="000000" w:themeColor="text1"/>
          <w:sz w:val="24"/>
          <w:highlight w:val="none"/>
          <w14:textFill>
            <w14:solidFill>
              <w14:schemeClr w14:val="tx1"/>
            </w14:solidFill>
          </w14:textFill>
        </w:rPr>
        <w:t>以及</w:t>
      </w:r>
      <w:r>
        <w:rPr>
          <w:rFonts w:hint="eastAsia" w:ascii="宋体" w:hAnsi="宋体"/>
          <w:color w:val="000000" w:themeColor="text1"/>
          <w:sz w:val="24"/>
          <w:highlight w:val="none"/>
          <w14:textFill>
            <w14:solidFill>
              <w14:schemeClr w14:val="tx1"/>
            </w14:solidFill>
          </w14:textFill>
        </w:rPr>
        <w:t>磋商供应商</w:t>
      </w:r>
      <w:r>
        <w:rPr>
          <w:rFonts w:ascii="宋体" w:hAnsi="宋体"/>
          <w:color w:val="000000" w:themeColor="text1"/>
          <w:sz w:val="24"/>
          <w:highlight w:val="none"/>
          <w14:textFill>
            <w14:solidFill>
              <w14:schemeClr w14:val="tx1"/>
            </w14:solidFill>
          </w14:textFill>
        </w:rPr>
        <w:t>与</w:t>
      </w:r>
      <w:r>
        <w:rPr>
          <w:rFonts w:hint="eastAsia" w:ascii="宋体" w:hAnsi="宋体"/>
          <w:color w:val="000000" w:themeColor="text1"/>
          <w:sz w:val="24"/>
          <w:highlight w:val="none"/>
          <w14:textFill>
            <w14:solidFill>
              <w14:schemeClr w14:val="tx1"/>
            </w14:solidFill>
          </w14:textFill>
        </w:rPr>
        <w:t>采购组织机构</w:t>
      </w:r>
      <w:r>
        <w:rPr>
          <w:rFonts w:ascii="宋体" w:hAnsi="宋体"/>
          <w:color w:val="000000" w:themeColor="text1"/>
          <w:sz w:val="24"/>
          <w:highlight w:val="none"/>
          <w14:textFill>
            <w14:solidFill>
              <w14:schemeClr w14:val="tx1"/>
            </w14:solidFill>
          </w14:textFill>
        </w:rPr>
        <w:t>就有关磋商事宜的所有来往函电，均应以中文汉语书写。除</w:t>
      </w:r>
      <w:r>
        <w:rPr>
          <w:rFonts w:hint="eastAsia" w:ascii="宋体" w:hAnsi="宋体"/>
          <w:color w:val="000000" w:themeColor="text1"/>
          <w:sz w:val="24"/>
          <w:highlight w:val="none"/>
          <w14:textFill>
            <w14:solidFill>
              <w14:schemeClr w14:val="tx1"/>
            </w14:solidFill>
          </w14:textFill>
        </w:rPr>
        <w:t>签字</w:t>
      </w:r>
      <w:r>
        <w:rPr>
          <w:rFonts w:ascii="宋体" w:hAnsi="宋体"/>
          <w:color w:val="000000" w:themeColor="text1"/>
          <w:sz w:val="24"/>
          <w:highlight w:val="none"/>
          <w14:textFill>
            <w14:solidFill>
              <w14:schemeClr w14:val="tx1"/>
            </w14:solidFill>
          </w14:textFill>
        </w:rPr>
        <w:t>、盖章、专用名称等特殊情形外，以中文汉语以外的文字表述的</w:t>
      </w:r>
      <w:r>
        <w:rPr>
          <w:rFonts w:hint="eastAsia" w:ascii="宋体" w:hAnsi="宋体"/>
          <w:color w:val="000000" w:themeColor="text1"/>
          <w:sz w:val="24"/>
          <w:highlight w:val="none"/>
          <w14:textFill>
            <w14:solidFill>
              <w14:schemeClr w14:val="tx1"/>
            </w14:solidFill>
          </w14:textFill>
        </w:rPr>
        <w:t>磋商响应文件</w:t>
      </w:r>
      <w:r>
        <w:rPr>
          <w:rFonts w:ascii="宋体" w:hAnsi="宋体"/>
          <w:color w:val="000000" w:themeColor="text1"/>
          <w:sz w:val="24"/>
          <w:highlight w:val="none"/>
          <w14:textFill>
            <w14:solidFill>
              <w14:schemeClr w14:val="tx1"/>
            </w14:solidFill>
          </w14:textFill>
        </w:rPr>
        <w:t>视同未提供。</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磋商计量单位，</w:t>
      </w:r>
      <w:r>
        <w:rPr>
          <w:rFonts w:hint="eastAsia" w:ascii="宋体" w:hAnsi="宋体"/>
          <w:bCs/>
          <w:color w:val="000000" w:themeColor="text1"/>
          <w:sz w:val="24"/>
          <w:highlight w:val="none"/>
          <w14:textFill>
            <w14:solidFill>
              <w14:schemeClr w14:val="tx1"/>
            </w14:solidFill>
          </w14:textFill>
        </w:rPr>
        <w:t>磋商采购文件</w:t>
      </w:r>
      <w:r>
        <w:rPr>
          <w:rFonts w:ascii="宋体" w:hAnsi="宋体"/>
          <w:color w:val="000000" w:themeColor="text1"/>
          <w:sz w:val="24"/>
          <w:highlight w:val="none"/>
          <w14:textFill>
            <w14:solidFill>
              <w14:schemeClr w14:val="tx1"/>
            </w14:solidFill>
          </w14:textFill>
        </w:rPr>
        <w:t>已有明确规定的，使用</w:t>
      </w:r>
      <w:r>
        <w:rPr>
          <w:rFonts w:hint="eastAsia" w:ascii="宋体" w:hAnsi="宋体"/>
          <w:bCs/>
          <w:color w:val="000000" w:themeColor="text1"/>
          <w:sz w:val="24"/>
          <w:highlight w:val="none"/>
          <w14:textFill>
            <w14:solidFill>
              <w14:schemeClr w14:val="tx1"/>
            </w14:solidFill>
          </w14:textFill>
        </w:rPr>
        <w:t>磋商采购文件</w:t>
      </w:r>
      <w:r>
        <w:rPr>
          <w:rFonts w:ascii="宋体" w:hAnsi="宋体"/>
          <w:color w:val="000000" w:themeColor="text1"/>
          <w:sz w:val="24"/>
          <w:highlight w:val="none"/>
          <w14:textFill>
            <w14:solidFill>
              <w14:schemeClr w14:val="tx1"/>
            </w14:solidFill>
          </w14:textFill>
        </w:rPr>
        <w:t>规定的计量单位；</w:t>
      </w:r>
      <w:r>
        <w:rPr>
          <w:rFonts w:hint="eastAsia" w:ascii="宋体" w:hAnsi="宋体"/>
          <w:bCs/>
          <w:color w:val="000000" w:themeColor="text1"/>
          <w:sz w:val="24"/>
          <w:highlight w:val="none"/>
          <w14:textFill>
            <w14:solidFill>
              <w14:schemeClr w14:val="tx1"/>
            </w14:solidFill>
          </w14:textFill>
        </w:rPr>
        <w:t>磋商采购文件</w:t>
      </w:r>
      <w:r>
        <w:rPr>
          <w:rFonts w:ascii="宋体" w:hAnsi="宋体"/>
          <w:color w:val="000000" w:themeColor="text1"/>
          <w:sz w:val="24"/>
          <w:highlight w:val="none"/>
          <w14:textFill>
            <w14:solidFill>
              <w14:schemeClr w14:val="tx1"/>
            </w14:solidFill>
          </w14:textFill>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若</w:t>
      </w:r>
      <w:r>
        <w:rPr>
          <w:rFonts w:hint="eastAsia" w:ascii="宋体" w:hAnsi="宋体"/>
          <w:color w:val="000000" w:themeColor="text1"/>
          <w:sz w:val="24"/>
          <w:highlight w:val="none"/>
          <w14:textFill>
            <w14:solidFill>
              <w14:schemeClr w14:val="tx1"/>
            </w14:solidFill>
          </w14:textFill>
        </w:rPr>
        <w:t>磋商供应商</w:t>
      </w:r>
      <w:r>
        <w:rPr>
          <w:rFonts w:ascii="宋体" w:hAnsi="宋体"/>
          <w:color w:val="000000" w:themeColor="text1"/>
          <w:sz w:val="24"/>
          <w:highlight w:val="none"/>
          <w14:textFill>
            <w14:solidFill>
              <w14:schemeClr w14:val="tx1"/>
            </w14:solidFill>
          </w14:textFill>
        </w:rPr>
        <w:t>不按</w:t>
      </w:r>
      <w:r>
        <w:rPr>
          <w:rFonts w:hint="eastAsia" w:ascii="宋体" w:hAnsi="宋体"/>
          <w:color w:val="000000" w:themeColor="text1"/>
          <w:sz w:val="24"/>
          <w:highlight w:val="none"/>
          <w14:textFill>
            <w14:solidFill>
              <w14:schemeClr w14:val="tx1"/>
            </w14:solidFill>
          </w14:textFill>
        </w:rPr>
        <w:t>磋商</w:t>
      </w:r>
      <w:r>
        <w:rPr>
          <w:rFonts w:ascii="宋体" w:hAnsi="宋体"/>
          <w:color w:val="000000" w:themeColor="text1"/>
          <w:sz w:val="24"/>
          <w:highlight w:val="none"/>
          <w14:textFill>
            <w14:solidFill>
              <w14:schemeClr w14:val="tx1"/>
            </w14:solidFill>
          </w14:textFill>
        </w:rPr>
        <w:t>文件的要求提供资格审查材料，其风险由</w:t>
      </w:r>
      <w:r>
        <w:rPr>
          <w:rFonts w:hint="eastAsia" w:ascii="宋体" w:hAnsi="宋体"/>
          <w:color w:val="000000" w:themeColor="text1"/>
          <w:sz w:val="24"/>
          <w:highlight w:val="none"/>
          <w14:textFill>
            <w14:solidFill>
              <w14:schemeClr w14:val="tx1"/>
            </w14:solidFill>
          </w14:textFill>
        </w:rPr>
        <w:t>磋商供应商</w:t>
      </w:r>
      <w:r>
        <w:rPr>
          <w:rFonts w:ascii="宋体" w:hAnsi="宋体"/>
          <w:color w:val="000000" w:themeColor="text1"/>
          <w:sz w:val="24"/>
          <w:highlight w:val="none"/>
          <w14:textFill>
            <w14:solidFill>
              <w14:schemeClr w14:val="tx1"/>
            </w14:solidFill>
          </w14:textFill>
        </w:rPr>
        <w:t>自行承担。</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与本次磋商无关的内容请不要制作在内，确保磋商响应文件有针对性、简洁明了。</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2、响应文件的签章</w:t>
      </w:r>
    </w:p>
    <w:p>
      <w:pPr>
        <w:spacing w:line="360" w:lineRule="auto"/>
        <w:ind w:firstLine="460" w:firstLineChars="192"/>
        <w:rPr>
          <w:rFonts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（1）《</w:t>
      </w:r>
      <w:r>
        <w:rPr>
          <w:rFonts w:ascii="宋体" w:hAnsi="宋体" w:cs="Arial"/>
          <w:bCs/>
          <w:color w:val="000000" w:themeColor="text1"/>
          <w:kern w:val="0"/>
          <w:sz w:val="24"/>
          <w:highlight w:val="none"/>
          <w14:textFill>
            <w14:solidFill>
              <w14:schemeClr w14:val="tx1"/>
            </w14:solidFill>
          </w14:textFill>
        </w:rPr>
        <w:t>响应文件</w:t>
      </w:r>
      <w:r>
        <w:rPr>
          <w:rFonts w:hint="eastAsia" w:ascii="宋体" w:hAnsi="宋体" w:cs="Arial"/>
          <w:bCs/>
          <w:color w:val="000000" w:themeColor="text1"/>
          <w:kern w:val="0"/>
          <w:sz w:val="24"/>
          <w:highlight w:val="none"/>
          <w14:textFill>
            <w14:solidFill>
              <w14:schemeClr w14:val="tx1"/>
            </w14:solidFill>
          </w14:textFill>
        </w:rPr>
        <w:t>》的签章：</w:t>
      </w:r>
      <w:r>
        <w:rPr>
          <w:rFonts w:hint="eastAsia" w:ascii="宋体" w:hAnsi="宋体"/>
          <w:bCs/>
          <w:color w:val="000000" w:themeColor="text1"/>
          <w:sz w:val="24"/>
          <w:highlight w:val="none"/>
          <w14:textFill>
            <w14:solidFill>
              <w14:schemeClr w14:val="tx1"/>
            </w14:solidFill>
          </w14:textFill>
        </w:rPr>
        <w:t>见《前附表》；</w:t>
      </w:r>
    </w:p>
    <w:p>
      <w:pPr>
        <w:spacing w:line="360" w:lineRule="auto"/>
        <w:ind w:firstLine="460" w:firstLineChars="192"/>
        <w:rPr>
          <w:rFonts w:ascii="宋体" w:hAnsi="宋体" w:cs="Arial"/>
          <w:bCs/>
          <w:color w:val="000000" w:themeColor="text1"/>
          <w:kern w:val="0"/>
          <w:sz w:val="24"/>
          <w:highlight w:val="none"/>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（2）《</w:t>
      </w:r>
      <w:r>
        <w:rPr>
          <w:rFonts w:ascii="宋体" w:hAnsi="宋体" w:cs="Arial"/>
          <w:bCs/>
          <w:color w:val="000000" w:themeColor="text1"/>
          <w:kern w:val="0"/>
          <w:sz w:val="24"/>
          <w:highlight w:val="none"/>
          <w14:textFill>
            <w14:solidFill>
              <w14:schemeClr w14:val="tx1"/>
            </w14:solidFill>
          </w14:textFill>
        </w:rPr>
        <w:t>响应文件</w:t>
      </w:r>
      <w:r>
        <w:rPr>
          <w:rFonts w:hint="eastAsia" w:ascii="宋体" w:hAnsi="宋体" w:cs="Arial"/>
          <w:bCs/>
          <w:color w:val="000000" w:themeColor="text1"/>
          <w:kern w:val="0"/>
          <w:sz w:val="24"/>
          <w:highlight w:val="none"/>
          <w14:textFill>
            <w14:solidFill>
              <w14:schemeClr w14:val="tx1"/>
            </w14:solidFill>
          </w14:textFill>
        </w:rPr>
        <w:t>》应由投标供应商法定代表人或其授权代表签字（或签章），并时加盖投标供应商公章。</w:t>
      </w:r>
    </w:p>
    <w:p>
      <w:pPr>
        <w:autoSpaceDE w:val="0"/>
        <w:autoSpaceDN w:val="0"/>
        <w:adjustRightInd w:val="0"/>
        <w:spacing w:line="360" w:lineRule="auto"/>
        <w:ind w:firstLine="480"/>
        <w:rPr>
          <w:rFonts w:ascii="宋体" w:hAnsi="宋体"/>
          <w:color w:val="000000" w:themeColor="text1"/>
          <w:kern w:val="0"/>
          <w:sz w:val="24"/>
          <w:highlight w:val="none"/>
          <w:lang w:val="zh-CN"/>
          <w14:textFill>
            <w14:solidFill>
              <w14:schemeClr w14:val="tx1"/>
            </w14:solidFill>
          </w14:textFill>
        </w:rPr>
      </w:pPr>
      <w:r>
        <w:rPr>
          <w:rFonts w:hint="eastAsia" w:ascii="宋体" w:hAnsi="宋体" w:cs="Arial"/>
          <w:bCs/>
          <w:color w:val="000000" w:themeColor="text1"/>
          <w:kern w:val="0"/>
          <w:sz w:val="24"/>
          <w:highlight w:val="none"/>
          <w14:textFill>
            <w14:solidFill>
              <w14:schemeClr w14:val="tx1"/>
            </w14:solidFill>
          </w14:textFill>
        </w:rPr>
        <w:t>（</w:t>
      </w:r>
      <w:r>
        <w:rPr>
          <w:rFonts w:ascii="宋体" w:hAnsi="宋体" w:cs="Arial"/>
          <w:bCs/>
          <w:color w:val="000000" w:themeColor="text1"/>
          <w:kern w:val="0"/>
          <w:sz w:val="24"/>
          <w:highlight w:val="none"/>
          <w14:textFill>
            <w14:solidFill>
              <w14:schemeClr w14:val="tx1"/>
            </w14:solidFill>
          </w14:textFill>
        </w:rPr>
        <w:t>3</w:t>
      </w:r>
      <w:r>
        <w:rPr>
          <w:rFonts w:hint="eastAsia" w:ascii="宋体" w:hAnsi="宋体" w:cs="Arial"/>
          <w:bCs/>
          <w:color w:val="000000" w:themeColor="text1"/>
          <w:kern w:val="0"/>
          <w:sz w:val="24"/>
          <w:highlight w:val="none"/>
          <w14:textFill>
            <w14:solidFill>
              <w14:schemeClr w14:val="tx1"/>
            </w14:solidFill>
          </w14:textFill>
        </w:rPr>
        <w:t>）电子签章操作指南详见</w:t>
      </w:r>
      <w:r>
        <w:rPr>
          <w:rFonts w:hint="eastAsia" w:ascii="宋体" w:hAnsi="宋体" w:cs="Arial"/>
          <w:bCs/>
          <w:color w:val="000000" w:themeColor="text1"/>
          <w:sz w:val="24"/>
          <w:highlight w:val="none"/>
          <w14:textFill>
            <w14:solidFill>
              <w14:schemeClr w14:val="tx1"/>
            </w14:solidFill>
          </w14:textFill>
        </w:rPr>
        <w:t>《供应商项目采购-电子招投标操作指南》。</w:t>
      </w:r>
    </w:p>
    <w:p>
      <w:pPr>
        <w:autoSpaceDE w:val="0"/>
        <w:autoSpaceDN w:val="0"/>
        <w:adjustRightInd w:val="0"/>
        <w:spacing w:line="360" w:lineRule="auto"/>
        <w:ind w:firstLine="48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3、响应文件的形式</w:t>
      </w:r>
    </w:p>
    <w:p>
      <w:pPr>
        <w:spacing w:line="360" w:lineRule="auto"/>
        <w:ind w:firstLine="422" w:firstLineChars="176"/>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（1）响应文件的形式：</w:t>
      </w:r>
      <w:r>
        <w:rPr>
          <w:rFonts w:hint="eastAsia" w:ascii="宋体" w:hAnsi="宋体"/>
          <w:bCs/>
          <w:color w:val="000000" w:themeColor="text1"/>
          <w:sz w:val="24"/>
          <w:highlight w:val="none"/>
          <w14:textFill>
            <w14:solidFill>
              <w14:schemeClr w14:val="tx1"/>
            </w14:solidFill>
          </w14:textFill>
        </w:rPr>
        <w:t>见《前附表》；</w:t>
      </w:r>
    </w:p>
    <w:p>
      <w:pPr>
        <w:spacing w:line="360" w:lineRule="auto"/>
        <w:ind w:firstLine="422" w:firstLineChars="176"/>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（2）“电子加密响应文件”：“电子加密响应文件”是指通过“政采云电子交易客户端”完成响应文件编制后生成并加密的数据电文形式的响应文件。</w:t>
      </w:r>
    </w:p>
    <w:p>
      <w:pPr>
        <w:autoSpaceDE w:val="0"/>
        <w:autoSpaceDN w:val="0"/>
        <w:adjustRightInd w:val="0"/>
        <w:spacing w:line="360" w:lineRule="auto"/>
        <w:ind w:firstLine="480"/>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（3）“备份响应文件”：“备份响应文件”是指与“电子加密响应文件”同时生成的数据电文形式的电子文件（备份标书），其他方式编制的“备份响应文件”视为无效的“备份响应文件”。</w:t>
      </w:r>
    </w:p>
    <w:p>
      <w:pPr>
        <w:autoSpaceDE w:val="0"/>
        <w:autoSpaceDN w:val="0"/>
        <w:adjustRightInd w:val="0"/>
        <w:spacing w:line="360" w:lineRule="auto"/>
        <w:ind w:firstLine="48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4、响应文件的份数</w:t>
      </w:r>
    </w:p>
    <w:p>
      <w:pPr>
        <w:autoSpaceDE w:val="0"/>
        <w:autoSpaceDN w:val="0"/>
        <w:adjustRightInd w:val="0"/>
        <w:spacing w:line="360" w:lineRule="auto"/>
        <w:ind w:firstLine="480"/>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（1）响应文件的份数：见《前附表》。</w:t>
      </w:r>
    </w:p>
    <w:p>
      <w:pPr>
        <w:tabs>
          <w:tab w:val="left" w:pos="1898"/>
        </w:tabs>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5</w:t>
      </w:r>
      <w:r>
        <w:rPr>
          <w:rFonts w:hint="eastAsia" w:ascii="宋体" w:hAnsi="宋体"/>
          <w:b/>
          <w:color w:val="000000" w:themeColor="text1"/>
          <w:kern w:val="0"/>
          <w:sz w:val="24"/>
          <w:highlight w:val="none"/>
          <w14:textFill>
            <w14:solidFill>
              <w14:schemeClr w14:val="tx1"/>
            </w14:solidFill>
          </w14:textFill>
        </w:rPr>
        <w:t>、磋商响应文件的补充、修改和撤回。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供应商应当在投标截止时间前完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w:t>
      </w:r>
    </w:p>
    <w:p>
      <w:pPr>
        <w:numPr>
          <w:ilvl w:val="0"/>
          <w:numId w:val="4"/>
        </w:numPr>
        <w:tabs>
          <w:tab w:val="left" w:pos="141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投标截止时间后，投标供应商不得撤回、修改《响应文件》。</w:t>
      </w:r>
    </w:p>
    <w:p>
      <w:pPr>
        <w:tabs>
          <w:tab w:val="left" w:pos="1418"/>
        </w:tabs>
        <w:autoSpaceDE w:val="0"/>
        <w:autoSpaceDN w:val="0"/>
        <w:adjustRightInd w:val="0"/>
        <w:spacing w:line="360" w:lineRule="auto"/>
        <w:ind w:left="480"/>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（三）磋商响应文件的有效期</w:t>
      </w:r>
    </w:p>
    <w:p>
      <w:pPr>
        <w:pStyle w:val="8"/>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000000" w:themeColor="text1"/>
          <w:szCs w:val="24"/>
          <w:highlight w:val="none"/>
          <w:lang w:val="en-GB"/>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r>
        <w:rPr>
          <w:rFonts w:hint="eastAsia" w:ascii="宋体" w:hAnsi="宋体"/>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pPr>
        <w:pStyle w:val="8"/>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pPr>
        <w:pStyle w:val="8"/>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3、磋商供应商可拒绝接受延期要求。同意延长有效期的磋商供应商不能修改磋商响应文件。</w:t>
      </w:r>
      <w:r>
        <w:rPr>
          <w:rFonts w:ascii="宋体" w:hAnsi="宋体"/>
          <w:color w:val="000000" w:themeColor="text1"/>
          <w:szCs w:val="24"/>
          <w:highlight w:val="none"/>
          <w14:textFill>
            <w14:solidFill>
              <w14:schemeClr w14:val="tx1"/>
            </w14:solidFill>
          </w14:textFill>
        </w:rPr>
        <w:t xml:space="preserve"> </w:t>
      </w:r>
    </w:p>
    <w:p>
      <w:pPr>
        <w:snapToGrid w:val="0"/>
        <w:spacing w:line="360" w:lineRule="auto"/>
        <w:ind w:firstLine="480" w:firstLineChars="200"/>
        <w:jc w:val="left"/>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.成交供应商</w:t>
      </w:r>
      <w:r>
        <w:rPr>
          <w:rFonts w:ascii="宋体" w:hAnsi="宋体"/>
          <w:color w:val="000000" w:themeColor="text1"/>
          <w:kern w:val="0"/>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磋商响应文件</w:t>
      </w:r>
      <w:r>
        <w:rPr>
          <w:rFonts w:ascii="宋体" w:hAnsi="宋体"/>
          <w:color w:val="000000" w:themeColor="text1"/>
          <w:kern w:val="0"/>
          <w:sz w:val="24"/>
          <w:highlight w:val="none"/>
          <w14:textFill>
            <w14:solidFill>
              <w14:schemeClr w14:val="tx1"/>
            </w14:solidFill>
          </w14:textFill>
        </w:rPr>
        <w:t>自磋商之日起至合同履行完毕均应保持有效。</w:t>
      </w:r>
    </w:p>
    <w:p>
      <w:pPr>
        <w:snapToGrid w:val="0"/>
        <w:spacing w:line="360" w:lineRule="auto"/>
        <w:ind w:firstLine="482" w:firstLineChars="200"/>
        <w:jc w:val="left"/>
        <w:outlineLvl w:val="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（四）响应文件的备选方案</w:t>
      </w:r>
    </w:p>
    <w:p>
      <w:pPr>
        <w:snapToGrid w:val="0"/>
        <w:spacing w:line="360" w:lineRule="auto"/>
        <w:ind w:firstLine="480" w:firstLineChars="200"/>
        <w:jc w:val="left"/>
        <w:outlineLvl w:val="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1、投标供应商不得递交任何的投标备选（替代）方案，否则其响应文件将作无效标处理。</w:t>
      </w:r>
      <w:r>
        <w:rPr>
          <w:rFonts w:hint="eastAsia" w:ascii="宋体" w:hAnsi="宋体"/>
          <w:b/>
          <w:bCs/>
          <w:color w:val="000000" w:themeColor="text1"/>
          <w:kern w:val="0"/>
          <w:sz w:val="24"/>
          <w:highlight w:val="none"/>
          <w14:textFill>
            <w14:solidFill>
              <w14:schemeClr w14:val="tx1"/>
            </w14:solidFill>
          </w14:textFill>
        </w:rPr>
        <w:t>与“电子加密响应文件”同时生成的“备份响应文件”不是投标备选（替代）方案。</w:t>
      </w:r>
    </w:p>
    <w:p>
      <w:pPr>
        <w:tabs>
          <w:tab w:val="left" w:pos="1418"/>
        </w:tabs>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三、磋商保证金</w:t>
      </w:r>
    </w:p>
    <w:p>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无</w:t>
      </w:r>
    </w:p>
    <w:p>
      <w:pPr>
        <w:tabs>
          <w:tab w:val="left" w:pos="1418"/>
        </w:tabs>
        <w:autoSpaceDE w:val="0"/>
        <w:autoSpaceDN w:val="0"/>
        <w:adjustRightInd w:val="0"/>
        <w:spacing w:line="360" w:lineRule="auto"/>
        <w:ind w:firstLine="364" w:firstLineChars="151"/>
        <w:rPr>
          <w:rFonts w:ascii="宋体" w:hAnsi="宋体" w:cs="楷体_GB2312"/>
          <w:b/>
          <w:color w:val="000000" w:themeColor="text1"/>
          <w:kern w:val="0"/>
          <w:sz w:val="24"/>
          <w:highlight w:val="none"/>
          <w14:textFill>
            <w14:solidFill>
              <w14:schemeClr w14:val="tx1"/>
            </w14:solidFill>
          </w14:textFill>
        </w:rPr>
      </w:pPr>
      <w:r>
        <w:rPr>
          <w:rFonts w:hint="eastAsia" w:ascii="宋体" w:hAnsi="宋体" w:cs="楷体_GB2312"/>
          <w:b/>
          <w:color w:val="000000" w:themeColor="text1"/>
          <w:kern w:val="0"/>
          <w:sz w:val="24"/>
          <w:highlight w:val="none"/>
          <w14:textFill>
            <w14:solidFill>
              <w14:schemeClr w14:val="tx1"/>
            </w14:solidFill>
          </w14:textFill>
        </w:rPr>
        <w:t>四、磋商</w:t>
      </w:r>
    </w:p>
    <w:p>
      <w:pPr>
        <w:autoSpaceDE w:val="0"/>
        <w:autoSpaceDN w:val="0"/>
        <w:adjustRightIn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（一）磋商说明</w:t>
      </w:r>
    </w:p>
    <w:p>
      <w:pPr>
        <w:autoSpaceDE w:val="0"/>
        <w:autoSpaceDN w:val="0"/>
        <w:adjustRightIn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组织机构将按照磋商文件规定的时间通过“政府采购云平台”组织磋商、开启响应文件，所有供应商均应当准时在线参加，同时投标供应商因未在线参加开标而导致响应文件无法按时解密等一切后果由供应商自己承担。</w:t>
      </w:r>
    </w:p>
    <w:p>
      <w:pPr>
        <w:autoSpaceDE w:val="0"/>
        <w:autoSpaceDN w:val="0"/>
        <w:adjustRightInd w:val="0"/>
        <w:spacing w:line="360" w:lineRule="auto"/>
        <w:ind w:firstLine="477" w:firstLineChars="198"/>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（二）磋商流程</w:t>
      </w:r>
    </w:p>
    <w:p>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1</w:t>
      </w:r>
      <w:r>
        <w:rPr>
          <w:rFonts w:hint="eastAsia" w:ascii="宋体" w:hAnsi="宋体" w:cs="Arial"/>
          <w:color w:val="000000" w:themeColor="text1"/>
          <w:kern w:val="0"/>
          <w:sz w:val="24"/>
          <w:highlight w:val="none"/>
          <w14:textFill>
            <w14:solidFill>
              <w14:schemeClr w14:val="tx1"/>
            </w14:solidFill>
          </w14:textFill>
        </w:rPr>
        <w:t>）向各投标供应商发出电子加密响应文件【开始解密】通知，由供应商按招标文件规定的时间内自行进行响应文件解密。投标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2</w:t>
      </w:r>
      <w:r>
        <w:rPr>
          <w:rFonts w:hint="eastAsia" w:ascii="宋体" w:hAnsi="宋体" w:cs="Arial"/>
          <w:color w:val="000000" w:themeColor="text1"/>
          <w:kern w:val="0"/>
          <w:sz w:val="24"/>
          <w:highlight w:val="none"/>
          <w14:textFill>
            <w14:solidFill>
              <w14:schemeClr w14:val="tx1"/>
            </w14:solidFill>
          </w14:textFill>
        </w:rPr>
        <w:t>）响应文件解密结束，通过邮件形式发送各供应商组织签署《政府采购活动现场确认声明书》；</w:t>
      </w:r>
    </w:p>
    <w:p>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3</w:t>
      </w:r>
      <w:r>
        <w:rPr>
          <w:rFonts w:hint="eastAsia" w:ascii="宋体" w:hAnsi="宋体" w:cs="Arial"/>
          <w:color w:val="000000" w:themeColor="text1"/>
          <w:kern w:val="0"/>
          <w:sz w:val="24"/>
          <w:highlight w:val="none"/>
          <w14:textFill>
            <w14:solidFill>
              <w14:schemeClr w14:val="tx1"/>
            </w14:solidFill>
          </w14:textFill>
        </w:rPr>
        <w:t>）</w:t>
      </w:r>
      <w:r>
        <w:rPr>
          <w:rFonts w:hint="eastAsia" w:ascii="宋体" w:hAnsi="宋体" w:cs="Arial"/>
          <w:kern w:val="0"/>
          <w:sz w:val="24"/>
          <w:highlight w:val="none"/>
        </w:rPr>
        <w:t>开启响应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4</w:t>
      </w:r>
      <w:r>
        <w:rPr>
          <w:rFonts w:hint="eastAsia" w:ascii="宋体" w:hAnsi="宋体" w:cs="Arial"/>
          <w:color w:val="000000" w:themeColor="text1"/>
          <w:kern w:val="0"/>
          <w:sz w:val="24"/>
          <w:highlight w:val="none"/>
          <w14:textFill>
            <w14:solidFill>
              <w14:schemeClr w14:val="tx1"/>
            </w14:solidFill>
          </w14:textFill>
        </w:rPr>
        <w:t>）资格审查通过的投标供应商的进入商务与技术的符合性审查、评审；</w:t>
      </w:r>
    </w:p>
    <w:p>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（5）公布资格审查、符合性审查、商务技术文件评审无效供应商名称及理由；公布有效磋商供应商的名单。</w:t>
      </w:r>
    </w:p>
    <w:p>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6</w:t>
      </w:r>
      <w:r>
        <w:rPr>
          <w:rFonts w:hint="eastAsia" w:ascii="宋体" w:hAnsi="宋体" w:cs="Arial"/>
          <w:color w:val="000000" w:themeColor="text1"/>
          <w:kern w:val="0"/>
          <w:sz w:val="24"/>
          <w:highlight w:val="none"/>
          <w14:textFill>
            <w14:solidFill>
              <w14:schemeClr w14:val="tx1"/>
            </w14:solidFill>
          </w14:textFill>
        </w:rPr>
        <w:t>）磋商小组所有成员集中与单一供应商分别进行磋商，并给予所有参加磋商的供应商平等的磋商机会。</w:t>
      </w:r>
    </w:p>
    <w:p>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7</w:t>
      </w:r>
      <w:r>
        <w:rPr>
          <w:rFonts w:hint="eastAsia" w:ascii="宋体" w:hAnsi="宋体" w:cs="Arial"/>
          <w:color w:val="000000" w:themeColor="text1"/>
          <w:kern w:val="0"/>
          <w:sz w:val="24"/>
          <w:highlight w:val="none"/>
          <w14:textFill>
            <w14:solidFill>
              <w14:schemeClr w14:val="tx1"/>
            </w14:solidFill>
          </w14:textFill>
        </w:rPr>
        <w:t>）磋商文件能够详细列明采购标的的技术、服务要求的，磋商结束后，磋商小组将要求所有实质性响应的供应商在规定时间内在“政采云平台”上提交最后报价，最后报价是供应商响应文件的有效组成部分（</w:t>
      </w:r>
      <w:r>
        <w:rPr>
          <w:rFonts w:hint="eastAsia" w:ascii="宋体" w:hAnsi="宋体" w:cs="Arial"/>
          <w:b/>
          <w:bCs/>
          <w:color w:val="000000" w:themeColor="text1"/>
          <w:kern w:val="0"/>
          <w:sz w:val="24"/>
          <w:highlight w:val="none"/>
          <w14:textFill>
            <w14:solidFill>
              <w14:schemeClr w14:val="tx1"/>
            </w14:solidFill>
          </w14:textFill>
        </w:rPr>
        <w:t>本项目磋商分二轮进行，第一轮为首次报价在响应文件中体现，第二轮为最后报价</w:t>
      </w:r>
      <w:r>
        <w:rPr>
          <w:rFonts w:hint="eastAsia" w:ascii="宋体" w:hAnsi="宋体" w:cs="Arial"/>
          <w:color w:val="000000" w:themeColor="text1"/>
          <w:kern w:val="0"/>
          <w:sz w:val="24"/>
          <w:highlight w:val="none"/>
          <w14:textFill>
            <w14:solidFill>
              <w14:schemeClr w14:val="tx1"/>
            </w14:solidFill>
          </w14:textFill>
        </w:rPr>
        <w:t xml:space="preserve">）。 </w:t>
      </w:r>
    </w:p>
    <w:p>
      <w:pPr>
        <w:spacing w:line="360" w:lineRule="auto"/>
        <w:ind w:firstLine="426" w:firstLineChars="177"/>
        <w:jc w:val="left"/>
        <w:rPr>
          <w:rFonts w:ascii="宋体" w:hAnsi="宋体" w:cs="Arial"/>
          <w:b/>
          <w:bCs/>
          <w:color w:val="000000" w:themeColor="text1"/>
          <w:kern w:val="0"/>
          <w:sz w:val="24"/>
          <w:highlight w:val="none"/>
          <w14:textFill>
            <w14:solidFill>
              <w14:schemeClr w14:val="tx1"/>
            </w14:solidFill>
          </w14:textFill>
        </w:rPr>
      </w:pPr>
      <w:r>
        <w:rPr>
          <w:rFonts w:hint="eastAsia" w:ascii="宋体" w:hAnsi="宋体" w:cs="Arial"/>
          <w:b/>
          <w:bCs/>
          <w:color w:val="000000" w:themeColor="text1"/>
          <w:kern w:val="0"/>
          <w:sz w:val="24"/>
          <w:highlight w:val="none"/>
          <w14:textFill>
            <w14:solidFill>
              <w14:schemeClr w14:val="tx1"/>
            </w14:solidFill>
          </w14:textFill>
        </w:rPr>
        <w:t>若在规定报价时间内，供应商因CA锁等原因无法完成最终报价的，供应商可将最终报价扫描件通过邮件形式发送至代理机构处，由代理机构按照异常处理录入最终报价（该操作不是代理机构义务），若无法按照异常处理录入的，则该供应商最终报价无效，由此引起的后果由供应商自行承担。</w:t>
      </w:r>
    </w:p>
    <w:p>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8</w:t>
      </w:r>
      <w:r>
        <w:rPr>
          <w:rFonts w:hint="eastAsia" w:ascii="宋体" w:hAnsi="宋体" w:cs="Arial"/>
          <w:color w:val="000000" w:themeColor="text1"/>
          <w:kern w:val="0"/>
          <w:sz w:val="24"/>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9</w:t>
      </w:r>
      <w:r>
        <w:rPr>
          <w:rFonts w:hint="eastAsia" w:ascii="宋体" w:hAnsi="宋体" w:cs="Arial"/>
          <w:color w:val="000000" w:themeColor="text1"/>
          <w:kern w:val="0"/>
          <w:sz w:val="24"/>
          <w:highlight w:val="none"/>
          <w14:textFill>
            <w14:solidFill>
              <w14:schemeClr w14:val="tx1"/>
            </w14:solidFill>
          </w14:textFill>
        </w:rPr>
        <w:t>）磋商小组根据综合评分情况，按照评审得分由高到低顺序确定预成交供应商，编写评审报告。</w:t>
      </w:r>
    </w:p>
    <w:p>
      <w:pPr>
        <w:spacing w:line="360" w:lineRule="auto"/>
        <w:ind w:firstLine="424" w:firstLineChars="177"/>
        <w:jc w:val="left"/>
        <w:rPr>
          <w:rFonts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（1</w:t>
      </w:r>
      <w:r>
        <w:rPr>
          <w:rFonts w:ascii="宋体" w:hAnsi="宋体" w:cs="Arial"/>
          <w:color w:val="000000" w:themeColor="text1"/>
          <w:kern w:val="0"/>
          <w:sz w:val="24"/>
          <w:highlight w:val="none"/>
          <w14:textFill>
            <w14:solidFill>
              <w14:schemeClr w14:val="tx1"/>
            </w14:solidFill>
          </w14:textFill>
        </w:rPr>
        <w:t>0</w:t>
      </w:r>
      <w:r>
        <w:rPr>
          <w:rFonts w:hint="eastAsia" w:ascii="宋体" w:hAnsi="宋体" w:cs="Arial"/>
          <w:color w:val="000000" w:themeColor="text1"/>
          <w:kern w:val="0"/>
          <w:sz w:val="24"/>
          <w:highlight w:val="none"/>
          <w14:textFill>
            <w14:solidFill>
              <w14:schemeClr w14:val="tx1"/>
            </w14:solidFill>
          </w14:textFill>
        </w:rPr>
        <w:t>）评审结束后，公布中标（成交）候选供应商名单，或在政釆云平台上进行公布结果。</w:t>
      </w:r>
    </w:p>
    <w:p>
      <w:pPr>
        <w:spacing w:line="360" w:lineRule="auto"/>
        <w:ind w:firstLine="426" w:firstLineChars="177"/>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特别说明：1、如遇“政府采购云平台”电子化开标或评审程序调整的，按调整后程序执行。</w:t>
      </w:r>
    </w:p>
    <w:p>
      <w:pPr>
        <w:spacing w:line="360" w:lineRule="auto"/>
        <w:ind w:firstLine="480" w:firstLineChars="200"/>
        <w:rPr>
          <w:rFonts w:ascii="宋体" w:hAnsi="宋体" w:cs="楷体_GB2312"/>
          <w:color w:val="000000" w:themeColor="text1"/>
          <w:sz w:val="24"/>
          <w:highlight w:val="none"/>
          <w14:textFill>
            <w14:solidFill>
              <w14:schemeClr w14:val="tx1"/>
            </w14:solidFill>
          </w14:textFill>
        </w:rPr>
      </w:pPr>
      <w:r>
        <w:rPr>
          <w:rFonts w:ascii="宋体" w:hAnsi="宋体" w:cs="楷体_GB2312"/>
          <w:color w:val="000000" w:themeColor="text1"/>
          <w:sz w:val="24"/>
          <w:highlight w:val="none"/>
          <w14:textFill>
            <w14:solidFill>
              <w14:schemeClr w14:val="tx1"/>
            </w14:solidFill>
          </w14:textFill>
        </w:rPr>
        <w:t>2</w:t>
      </w:r>
      <w:r>
        <w:rPr>
          <w:rFonts w:hint="eastAsia" w:ascii="宋体" w:hAnsi="宋体" w:cs="楷体_GB2312"/>
          <w:color w:val="000000" w:themeColor="text1"/>
          <w:sz w:val="24"/>
          <w:highlight w:val="none"/>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pStyle w:val="18"/>
        <w:snapToGrid w:val="0"/>
        <w:spacing w:line="360" w:lineRule="auto"/>
        <w:ind w:left="720" w:leftChars="228" w:hanging="241" w:hangingChars="1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（三）澄清问题的形式</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（四）错误修正</w:t>
      </w:r>
    </w:p>
    <w:p>
      <w:pPr>
        <w:pStyle w:val="26"/>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磋商响应文件报价出现前后不一致的，除</w:t>
      </w:r>
      <w:r>
        <w:rPr>
          <w:rFonts w:ascii="宋体" w:hAnsi="宋体"/>
          <w:bCs/>
          <w:color w:val="000000" w:themeColor="text1"/>
          <w:highlight w:val="none"/>
          <w14:textFill>
            <w14:solidFill>
              <w14:schemeClr w14:val="tx1"/>
            </w14:solidFill>
          </w14:textFill>
        </w:rPr>
        <w:t>磋商采购文件</w:t>
      </w:r>
      <w:r>
        <w:rPr>
          <w:rFonts w:ascii="宋体" w:hAnsi="宋体"/>
          <w:color w:val="000000" w:themeColor="text1"/>
          <w:highlight w:val="none"/>
          <w14:textFill>
            <w14:solidFill>
              <w14:schemeClr w14:val="tx1"/>
            </w14:solidFill>
          </w14:textFill>
        </w:rPr>
        <w:t>另有规定外，按照下列规定修正：</w:t>
      </w:r>
    </w:p>
    <w:p>
      <w:pPr>
        <w:pStyle w:val="26"/>
        <w:spacing w:before="0" w:beforeAutospacing="0" w:after="0" w:afterAutospacing="0" w:line="360" w:lineRule="auto"/>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1、磋商响应文件中首次报价一览表内容与磋商响应文件中相应内容不一致的，以首次报价一览表为准；</w:t>
      </w:r>
    </w:p>
    <w:p>
      <w:pPr>
        <w:pStyle w:val="26"/>
        <w:spacing w:before="0" w:beforeAutospacing="0" w:after="0" w:afterAutospacing="0" w:line="360" w:lineRule="auto"/>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2、大写金额和小写金额不一致的，以大写金额为准；</w:t>
      </w:r>
    </w:p>
    <w:p>
      <w:pPr>
        <w:pStyle w:val="26"/>
        <w:spacing w:before="0" w:beforeAutospacing="0" w:after="0" w:afterAutospacing="0" w:line="360" w:lineRule="auto"/>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3、单价金额小数点或者百分比有明显错位的，以首次报价一览表的总价为准，并修改单价；</w:t>
      </w:r>
    </w:p>
    <w:p>
      <w:pPr>
        <w:pStyle w:val="26"/>
        <w:spacing w:before="0" w:beforeAutospacing="0" w:after="0" w:afterAutospacing="0" w:line="360" w:lineRule="auto"/>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4、总价金额与按单价汇总金额不一致的，以单价金额计算结果为准。</w:t>
      </w:r>
    </w:p>
    <w:p>
      <w:pPr>
        <w:pStyle w:val="26"/>
        <w:spacing w:before="0" w:beforeAutospacing="0" w:after="0" w:afterAutospacing="0" w:line="360" w:lineRule="auto"/>
        <w:ind w:firstLine="48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的，将终止磋商。</w:t>
      </w:r>
    </w:p>
    <w:p>
      <w:pPr>
        <w:pStyle w:val="26"/>
        <w:spacing w:before="0" w:beforeAutospacing="0" w:after="0" w:afterAutospacing="0" w:line="360" w:lineRule="auto"/>
        <w:ind w:firstLine="480"/>
        <w:rPr>
          <w:rFonts w:hint="default" w:ascii="宋体" w:hAnsi="宋体"/>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（五）</w:t>
      </w:r>
      <w:r>
        <w:rPr>
          <w:rFonts w:ascii="宋体" w:hAnsi="宋体"/>
          <w:b/>
          <w:color w:val="000000" w:themeColor="text1"/>
          <w:highlight w:val="none"/>
          <w14:textFill>
            <w14:solidFill>
              <w14:schemeClr w14:val="tx1"/>
            </w14:solidFill>
          </w14:textFill>
        </w:rPr>
        <w:t>磋商供应商存在下列情况之一的，响应无效，终止磋商</w:t>
      </w:r>
    </w:p>
    <w:p>
      <w:pPr>
        <w:adjustRightInd w:val="0"/>
        <w:snapToGrid w:val="0"/>
        <w:spacing w:line="360" w:lineRule="auto"/>
        <w:ind w:firstLine="480" w:firstLineChars="200"/>
        <w:jc w:val="left"/>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1、磋商响应文件中的报价货物跟商务与技术内容中的供应货物出现重大偏差的；</w:t>
      </w:r>
    </w:p>
    <w:p>
      <w:pPr>
        <w:pStyle w:val="26"/>
        <w:tabs>
          <w:tab w:val="left" w:pos="7380"/>
        </w:tabs>
        <w:adjustRightInd w:val="0"/>
        <w:snapToGrid w:val="0"/>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2、不具备磋商采购文件中规定的资格要求的。</w:t>
      </w:r>
    </w:p>
    <w:p>
      <w:pPr>
        <w:pStyle w:val="26"/>
        <w:adjustRightInd w:val="0"/>
        <w:snapToGrid w:val="0"/>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3、磋商响应文件含有采购人不能接受的附加条件的。</w:t>
      </w:r>
    </w:p>
    <w:p>
      <w:pPr>
        <w:pStyle w:val="26"/>
        <w:adjustRightInd w:val="0"/>
        <w:snapToGrid w:val="0"/>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26"/>
        <w:adjustRightInd w:val="0"/>
        <w:snapToGrid w:val="0"/>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5、报价超过磋商采购文件中规定的预算金额/最高限价。</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6、磋商参数未如实填写的。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w:t>
      </w:r>
      <w:r>
        <w:rPr>
          <w:rFonts w:ascii="宋体" w:hAnsi="宋体"/>
          <w:color w:val="000000" w:themeColor="text1"/>
          <w:kern w:val="0"/>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不同</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磋商响应</w:t>
      </w:r>
      <w:r>
        <w:rPr>
          <w:rFonts w:ascii="宋体" w:hAnsi="宋体"/>
          <w:color w:val="000000" w:themeColor="text1"/>
          <w:sz w:val="24"/>
          <w:highlight w:val="none"/>
          <w14:textFill>
            <w14:solidFill>
              <w14:schemeClr w14:val="tx1"/>
            </w14:solidFill>
          </w14:textFill>
        </w:rPr>
        <w:t>文件由同一单位或者个人编制；</w:t>
      </w:r>
    </w:p>
    <w:p>
      <w:pPr>
        <w:pStyle w:val="26"/>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9、不同供应商委托同一单位或者个人办理磋商事宜；</w:t>
      </w:r>
    </w:p>
    <w:p>
      <w:pPr>
        <w:pStyle w:val="26"/>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10、不同供应商的磋商响应文件载明的项目管理成员或者联系人员为同一人；</w:t>
      </w:r>
    </w:p>
    <w:p>
      <w:pPr>
        <w:pStyle w:val="26"/>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11、不同供应商的磋商响应文件异常一致或者报价呈规律性差异；</w:t>
      </w:r>
    </w:p>
    <w:p>
      <w:pPr>
        <w:pStyle w:val="26"/>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12、不同供应商的磋商响应文件相互混装；</w:t>
      </w:r>
    </w:p>
    <w:p>
      <w:pPr>
        <w:pStyle w:val="68"/>
        <w:spacing w:line="240" w:lineRule="auto"/>
        <w:ind w:firstLine="480"/>
        <w:rPr>
          <w:rFonts w:cs="Arial"/>
          <w:b/>
          <w:bCs/>
          <w:highlight w:val="none"/>
        </w:rPr>
      </w:pPr>
      <w:r>
        <w:rPr>
          <w:rFonts w:hint="eastAsia" w:ascii="宋体" w:hAnsi="宋体"/>
          <w:color w:val="000000" w:themeColor="text1"/>
          <w:kern w:val="0"/>
          <w:sz w:val="24"/>
          <w:highlight w:val="none"/>
          <w14:textFill>
            <w14:solidFill>
              <w14:schemeClr w14:val="tx1"/>
            </w14:solidFill>
          </w14:textFill>
        </w:rPr>
        <w:t>13、</w:t>
      </w:r>
      <w:r>
        <w:rPr>
          <w:rFonts w:hint="eastAsia" w:cs="Arial"/>
          <w:b/>
          <w:bCs/>
          <w:highlight w:val="none"/>
        </w:rPr>
        <w:t>▲投标人为多联机设备制造商或多联机设备制造商针对本项目的唯一授权代理商；代理商投标的，代理商须持制造商针对本项目的唯一授权代理证书，且同一品牌只能以一家单位的名义申请投标，同一代理商只能参与一个品牌的投标。</w:t>
      </w:r>
    </w:p>
    <w:p>
      <w:pPr>
        <w:pStyle w:val="68"/>
        <w:spacing w:line="240" w:lineRule="auto"/>
        <w:ind w:firstLine="480"/>
        <w:rPr>
          <w:rFonts w:hint="eastAsia" w:cs="Arial"/>
          <w:b/>
          <w:bCs/>
          <w:highlight w:val="none"/>
        </w:rPr>
      </w:pPr>
      <w:r>
        <w:rPr>
          <w:rFonts w:ascii="宋体" w:hAnsi="宋体"/>
          <w:color w:val="000000" w:themeColor="text1"/>
          <w:kern w:val="0"/>
          <w:sz w:val="24"/>
          <w:highlight w:val="none"/>
          <w14:textFill>
            <w14:solidFill>
              <w14:schemeClr w14:val="tx1"/>
            </w14:solidFill>
          </w14:textFill>
        </w:rPr>
        <w:t>14</w:t>
      </w:r>
      <w:r>
        <w:rPr>
          <w:rFonts w:hint="eastAsia" w:ascii="宋体" w:hAnsi="宋体"/>
          <w:color w:val="000000" w:themeColor="text1"/>
          <w:kern w:val="0"/>
          <w:sz w:val="24"/>
          <w:highlight w:val="none"/>
          <w14:textFill>
            <w14:solidFill>
              <w14:schemeClr w14:val="tx1"/>
            </w14:solidFill>
          </w14:textFill>
        </w:rPr>
        <w:t>、</w:t>
      </w:r>
      <w:r>
        <w:rPr>
          <w:rFonts w:hint="eastAsia" w:cs="Arial"/>
          <w:b/>
          <w:bCs/>
          <w:highlight w:val="none"/>
        </w:rPr>
        <w:t>▲本次招标所选用变频多联式空调系统设备为全直流变频涡旋式压缩机，压缩机与所投品牌为同一品牌，空调品牌室内机及室外机产地一致，提供证明文件加盖制造商及投标人公章。</w:t>
      </w:r>
    </w:p>
    <w:p>
      <w:pPr>
        <w:pStyle w:val="68"/>
        <w:spacing w:line="240" w:lineRule="auto"/>
        <w:ind w:firstLine="480"/>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15、</w:t>
      </w:r>
      <w:r>
        <w:rPr>
          <w:rFonts w:hint="eastAsia" w:ascii="宋体" w:hAnsi="宋体"/>
          <w:b/>
          <w:bCs/>
          <w:color w:val="000000" w:themeColor="text1"/>
          <w:kern w:val="0"/>
          <w:sz w:val="24"/>
          <w:highlight w:val="none"/>
          <w14:textFill>
            <w14:solidFill>
              <w14:schemeClr w14:val="tx1"/>
            </w14:solidFill>
          </w14:textFill>
        </w:rPr>
        <w:t>▲商务报价书需加盖本单位一级造价工程师（或注册造价工程师）执业印章，或委托专业咨询机构实施（提供委托咨询合同，且报价书需同时有咨询机构资质印章及造价工程师执业印章）。</w:t>
      </w:r>
    </w:p>
    <w:p>
      <w:pPr>
        <w:pStyle w:val="68"/>
        <w:spacing w:line="240" w:lineRule="auto"/>
        <w:ind w:firstLine="480"/>
        <w:rPr>
          <w:rFonts w:cs="Arial"/>
          <w:b/>
          <w:bCs/>
          <w:highlight w:val="none"/>
        </w:rPr>
      </w:pPr>
      <w:r>
        <w:rPr>
          <w:rFonts w:hint="eastAsia"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w:t>
      </w:r>
      <w:r>
        <w:rPr>
          <w:rFonts w:hint="eastAsia" w:cs="Arial"/>
          <w:b/>
          <w:bCs/>
          <w:highlight w:val="none"/>
        </w:rPr>
        <w:t>▲本项目</w:t>
      </w:r>
      <w:r>
        <w:rPr>
          <w:rFonts w:cs="Arial"/>
          <w:b/>
          <w:bCs/>
          <w:highlight w:val="none"/>
        </w:rPr>
        <w:t>设备、材料品牌需求情况</w:t>
      </w:r>
      <w:r>
        <w:rPr>
          <w:rFonts w:hint="eastAsia" w:cs="Arial"/>
          <w:b/>
          <w:bCs/>
          <w:highlight w:val="none"/>
        </w:rPr>
        <w:t>详项目工程量</w:t>
      </w:r>
      <w:r>
        <w:rPr>
          <w:rFonts w:cs="Arial"/>
          <w:b/>
          <w:bCs/>
          <w:highlight w:val="none"/>
        </w:rPr>
        <w:t>清单编制说明</w:t>
      </w:r>
      <w:r>
        <w:rPr>
          <w:rFonts w:hint="eastAsia" w:cs="Arial"/>
          <w:b/>
          <w:bCs/>
          <w:highlight w:val="none"/>
        </w:rPr>
        <w:t>；</w:t>
      </w:r>
      <w:r>
        <w:rPr>
          <w:rFonts w:cs="Arial"/>
          <w:b/>
          <w:bCs/>
          <w:highlight w:val="none"/>
        </w:rPr>
        <w:t>投标人投标时需明确使用品牌。</w:t>
      </w:r>
    </w:p>
    <w:p>
      <w:pPr>
        <w:pStyle w:val="26"/>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val="en-US" w:eastAsia="zh-CN"/>
          <w14:textFill>
            <w14:solidFill>
              <w14:schemeClr w14:val="tx1"/>
            </w14:solidFill>
          </w14:textFill>
        </w:rPr>
        <w:t>7</w:t>
      </w:r>
      <w:r>
        <w:rPr>
          <w:rFonts w:ascii="宋体" w:hAnsi="宋体"/>
          <w:color w:val="000000" w:themeColor="text1"/>
          <w:highlight w:val="none"/>
          <w14:textFill>
            <w14:solidFill>
              <w14:schemeClr w14:val="tx1"/>
            </w14:solidFill>
          </w14:textFill>
        </w:rPr>
        <w:t>、不符合法律、法规和磋商采购文件中规定的其他实质性要求的（磋商采购文件中打“▲”内容及被拒绝的条款）。</w:t>
      </w:r>
    </w:p>
    <w:p>
      <w:pPr>
        <w:pStyle w:val="26"/>
        <w:spacing w:before="0" w:beforeAutospacing="0" w:after="0" w:afterAutospacing="0" w:line="360" w:lineRule="auto"/>
        <w:ind w:firstLine="480" w:firstLineChars="20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val="en-US" w:eastAsia="zh-CN"/>
          <w14:textFill>
            <w14:solidFill>
              <w14:schemeClr w14:val="tx1"/>
            </w14:solidFill>
          </w14:textFill>
        </w:rPr>
        <w:t>8</w:t>
      </w:r>
      <w:r>
        <w:rPr>
          <w:rFonts w:ascii="宋体" w:hAnsi="宋体"/>
          <w:color w:val="000000" w:themeColor="text1"/>
          <w:highlight w:val="none"/>
          <w14:textFill>
            <w14:solidFill>
              <w14:schemeClr w14:val="tx1"/>
            </w14:solidFill>
          </w14:textFill>
        </w:rPr>
        <w:t>、</w:t>
      </w:r>
      <w:r>
        <w:rPr>
          <w:rFonts w:ascii="宋体" w:hAnsi="宋体"/>
          <w:b/>
          <w:bCs/>
          <w:color w:val="000000" w:themeColor="text1"/>
          <w:highlight w:val="none"/>
          <w14:textFill>
            <w14:solidFill>
              <w14:schemeClr w14:val="tx1"/>
            </w14:solidFill>
          </w14:textFill>
        </w:rPr>
        <w:t>仅提交“备份响应文件”或电子磋商响应文件未按时完成解密，又未提供备份电子磋商响应文件的；</w:t>
      </w:r>
    </w:p>
    <w:p>
      <w:pPr>
        <w:autoSpaceDE w:val="0"/>
        <w:autoSpaceDN w:val="0"/>
        <w:adjustRightInd w:val="0"/>
        <w:spacing w:line="360" w:lineRule="auto"/>
        <w:ind w:firstLine="482"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（六）有下列情况之一的，本次磋商终止。</w:t>
      </w:r>
    </w:p>
    <w:p>
      <w:pPr>
        <w:pStyle w:val="26"/>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1、出现影响采购公正的违法、违规行为的；</w:t>
      </w:r>
    </w:p>
    <w:p>
      <w:pPr>
        <w:pStyle w:val="26"/>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2、磋商小组发现磋商文件存在歧义、重大缺陷导致评审工作无法进行，或者磋商文件内容违反国家有关强制性规定的； </w:t>
      </w:r>
    </w:p>
    <w:p>
      <w:pPr>
        <w:pStyle w:val="26"/>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3、因重大变故，采购任务取消的；</w:t>
      </w:r>
    </w:p>
    <w:p>
      <w:pPr>
        <w:pStyle w:val="26"/>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4、法律、法规和磋商文件规定的其他导致评审结果无效的。</w:t>
      </w:r>
    </w:p>
    <w:p>
      <w:pPr>
        <w:pStyle w:val="26"/>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5、因电子交易平台故障无法登录、无法正常操作等导致平台无法正常运行，或者无法保证电子交易的公平、公正和安全时，采购组织机构可中止电子交易活动。</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（七）磋商原则和方法</w:t>
      </w:r>
    </w:p>
    <w:p>
      <w:pPr>
        <w:pStyle w:val="18"/>
        <w:snapToGrid w:val="0"/>
        <w:spacing w:line="360" w:lineRule="auto"/>
        <w:ind w:firstLine="600" w:firstLineChars="25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w:t>
      </w:r>
      <w:r>
        <w:rPr>
          <w:rFonts w:hint="eastAsia" w:ascii="宋体" w:hAnsi="宋体" w:eastAsia="宋体"/>
          <w:color w:val="000000" w:themeColor="text1"/>
          <w:sz w:val="24"/>
          <w:highlight w:val="none"/>
          <w14:textFill>
            <w14:solidFill>
              <w14:schemeClr w14:val="tx1"/>
            </w14:solidFill>
          </w14:textFill>
        </w:rPr>
        <w:t>、磋商</w:t>
      </w:r>
      <w:r>
        <w:rPr>
          <w:rFonts w:ascii="宋体" w:hAnsi="宋体" w:eastAsia="宋体"/>
          <w:color w:val="000000" w:themeColor="text1"/>
          <w:sz w:val="24"/>
          <w:highlight w:val="none"/>
          <w14:textFill>
            <w14:solidFill>
              <w14:schemeClr w14:val="tx1"/>
            </w14:solidFill>
          </w14:textFill>
        </w:rPr>
        <w:t>原则。磋商小组必须公平、公正、客观，不带任何倾向性和启发性；不得向外界透露任何与评审有关的内容；任何单位和个人不得干扰、影响评审的正常进行；磋商小组及有关工作人员不得私下与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olor w:val="000000" w:themeColor="text1"/>
          <w:sz w:val="24"/>
          <w:highlight w:val="none"/>
          <w14:textFill>
            <w14:solidFill>
              <w14:schemeClr w14:val="tx1"/>
            </w14:solidFill>
          </w14:textFill>
        </w:rPr>
        <w:t>磋商供应商</w:t>
      </w:r>
      <w:r>
        <w:rPr>
          <w:rFonts w:ascii="宋体" w:hAnsi="宋体" w:eastAsia="宋体"/>
          <w:color w:val="000000" w:themeColor="text1"/>
          <w:sz w:val="24"/>
          <w:highlight w:val="none"/>
          <w14:textFill>
            <w14:solidFill>
              <w14:schemeClr w14:val="tx1"/>
            </w14:solidFill>
          </w14:textFill>
        </w:rPr>
        <w:t>接触。</w:t>
      </w:r>
    </w:p>
    <w:p>
      <w:pPr>
        <w:pStyle w:val="18"/>
        <w:snapToGrid w:val="0"/>
        <w:spacing w:line="360" w:lineRule="auto"/>
        <w:ind w:firstLine="600" w:firstLineChars="25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、磋商</w:t>
      </w:r>
      <w:r>
        <w:rPr>
          <w:rFonts w:ascii="宋体" w:hAnsi="宋体" w:eastAsia="宋体"/>
          <w:color w:val="000000" w:themeColor="text1"/>
          <w:sz w:val="24"/>
          <w:highlight w:val="none"/>
          <w14:textFill>
            <w14:solidFill>
              <w14:schemeClr w14:val="tx1"/>
            </w14:solidFill>
          </w14:textFill>
        </w:rPr>
        <w:t>办法。具体</w:t>
      </w:r>
      <w:r>
        <w:rPr>
          <w:rFonts w:hint="eastAsia" w:ascii="宋体" w:hAnsi="宋体" w:eastAsia="宋体"/>
          <w:color w:val="000000" w:themeColor="text1"/>
          <w:sz w:val="24"/>
          <w:highlight w:val="none"/>
          <w14:textFill>
            <w14:solidFill>
              <w14:schemeClr w14:val="tx1"/>
            </w14:solidFill>
          </w14:textFill>
        </w:rPr>
        <w:t>磋商</w:t>
      </w:r>
      <w:r>
        <w:rPr>
          <w:rFonts w:ascii="宋体" w:hAnsi="宋体" w:eastAsia="宋体"/>
          <w:color w:val="000000" w:themeColor="text1"/>
          <w:sz w:val="24"/>
          <w:highlight w:val="none"/>
          <w14:textFill>
            <w14:solidFill>
              <w14:schemeClr w14:val="tx1"/>
            </w14:solidFill>
          </w14:textFill>
        </w:rPr>
        <w:t>内容及评分标准等详见《第</w:t>
      </w:r>
      <w:r>
        <w:rPr>
          <w:rFonts w:hint="eastAsia" w:ascii="宋体" w:hAnsi="宋体" w:eastAsia="宋体"/>
          <w:color w:val="000000" w:themeColor="text1"/>
          <w:sz w:val="24"/>
          <w:highlight w:val="none"/>
          <w14:textFill>
            <w14:solidFill>
              <w14:schemeClr w14:val="tx1"/>
            </w14:solidFill>
          </w14:textFill>
        </w:rPr>
        <w:t>三章</w:t>
      </w:r>
      <w:r>
        <w:rPr>
          <w:rFonts w:ascii="宋体" w:hAnsi="宋体" w:eastAsia="宋体"/>
          <w:color w:val="000000" w:themeColor="text1"/>
          <w:sz w:val="24"/>
          <w:highlight w:val="none"/>
          <w14:textFill>
            <w14:solidFill>
              <w14:schemeClr w14:val="tx1"/>
            </w14:solidFill>
          </w14:textFill>
        </w:rPr>
        <w:t>：评审</w:t>
      </w:r>
      <w:r>
        <w:rPr>
          <w:rFonts w:hint="eastAsia" w:ascii="宋体" w:hAnsi="宋体" w:eastAsia="宋体"/>
          <w:color w:val="000000" w:themeColor="text1"/>
          <w:sz w:val="24"/>
          <w:highlight w:val="none"/>
          <w14:textFill>
            <w14:solidFill>
              <w14:schemeClr w14:val="tx1"/>
            </w14:solidFill>
          </w14:textFill>
        </w:rPr>
        <w:t>方</w:t>
      </w:r>
      <w:r>
        <w:rPr>
          <w:rFonts w:ascii="宋体" w:hAnsi="宋体" w:eastAsia="宋体"/>
          <w:color w:val="000000" w:themeColor="text1"/>
          <w:sz w:val="24"/>
          <w:highlight w:val="none"/>
          <w14:textFill>
            <w14:solidFill>
              <w14:schemeClr w14:val="tx1"/>
            </w14:solidFill>
          </w14:textFill>
        </w:rPr>
        <w:t>法及评分标准》。</w:t>
      </w:r>
    </w:p>
    <w:p>
      <w:pPr>
        <w:pStyle w:val="18"/>
        <w:snapToGrid w:val="0"/>
        <w:spacing w:line="360" w:lineRule="auto"/>
        <w:ind w:firstLine="602" w:firstLineChars="250"/>
        <w:rPr>
          <w:rFonts w:ascii="宋体" w:hAnsi="宋体" w:eastAsia="宋体"/>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八</w:t>
      </w:r>
      <w:r>
        <w:rPr>
          <w:rFonts w:ascii="宋体" w:hAnsi="宋体" w:eastAsia="宋体"/>
          <w:b/>
          <w:color w:val="000000" w:themeColor="text1"/>
          <w:sz w:val="24"/>
          <w:highlight w:val="none"/>
          <w14:textFill>
            <w14:solidFill>
              <w14:schemeClr w14:val="tx1"/>
            </w14:solidFill>
          </w14:textFill>
        </w:rPr>
        <w:t>）评审过程的监控</w:t>
      </w:r>
    </w:p>
    <w:p>
      <w:pPr>
        <w:pStyle w:val="26"/>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pPr>
        <w:pStyle w:val="26"/>
        <w:spacing w:before="0" w:beforeAutospacing="0" w:after="0" w:afterAutospacing="0" w:line="360" w:lineRule="auto"/>
        <w:ind w:firstLine="482" w:firstLineChars="200"/>
        <w:jc w:val="both"/>
        <w:rPr>
          <w:rFonts w:hint="default"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五、磋商结果确定</w:t>
      </w:r>
    </w:p>
    <w:p>
      <w:pPr>
        <w:pStyle w:val="26"/>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2、发布成交结果公告。采购组织机构应当在</w:t>
      </w:r>
      <w:r>
        <w:rPr>
          <w:rFonts w:ascii="宋体" w:hAnsi="宋体"/>
          <w:color w:val="000000" w:themeColor="text1"/>
          <w:kern w:val="0"/>
          <w:sz w:val="24"/>
          <w:highlight w:val="none"/>
          <w14:textFill>
            <w14:solidFill>
              <w14:schemeClr w14:val="tx1"/>
            </w14:solidFill>
          </w14:textFill>
        </w:rPr>
        <w:t>成交供应商确定</w:t>
      </w:r>
      <w:r>
        <w:rPr>
          <w:rFonts w:hint="eastAsia" w:ascii="宋体" w:hAnsi="宋体"/>
          <w:color w:val="000000" w:themeColor="text1"/>
          <w:kern w:val="0"/>
          <w:sz w:val="24"/>
          <w:highlight w:val="none"/>
          <w14:textFill>
            <w14:solidFill>
              <w14:schemeClr w14:val="tx1"/>
            </w14:solidFill>
          </w14:textFill>
        </w:rPr>
        <w:t>后</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成交结果，并将磋商文件随同公告。</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六、合同签订及公告</w:t>
      </w:r>
    </w:p>
    <w:p>
      <w:pPr>
        <w:pStyle w:val="14"/>
        <w:ind w:firstLine="482" w:firstLineChars="200"/>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（一）签订合同</w:t>
      </w:r>
    </w:p>
    <w:p>
      <w:pPr>
        <w:pStyle w:val="14"/>
        <w:ind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1、采购人应当自成交通知书发出之日起30日内，</w:t>
      </w:r>
      <w:r>
        <w:rPr>
          <w:rFonts w:ascii="宋体" w:hAnsi="宋体"/>
          <w:color w:val="000000" w:themeColor="text1"/>
          <w:szCs w:val="24"/>
          <w:highlight w:val="none"/>
          <w14:textFill>
            <w14:solidFill>
              <w14:schemeClr w14:val="tx1"/>
            </w14:solidFill>
          </w14:textFill>
        </w:rPr>
        <w:t>按照磋商文件</w:t>
      </w:r>
      <w:r>
        <w:rPr>
          <w:rFonts w:hint="eastAsia" w:ascii="宋体" w:hAnsi="宋体"/>
          <w:color w:val="000000" w:themeColor="text1"/>
          <w:szCs w:val="24"/>
          <w:highlight w:val="none"/>
          <w14:textFill>
            <w14:solidFill>
              <w14:schemeClr w14:val="tx1"/>
            </w14:solidFill>
          </w14:textFill>
        </w:rPr>
        <w:t>确定的合同文本以及采购标的、规格型号、采购金额、采购数量和服务要求等事项签订政府采购合同。</w:t>
      </w:r>
    </w:p>
    <w:p>
      <w:pPr>
        <w:pStyle w:val="26"/>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6"/>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成交供应商无故拖延、拒签合同的,取消成交资格。</w:t>
      </w:r>
    </w:p>
    <w:p>
      <w:pPr>
        <w:pStyle w:val="26"/>
        <w:spacing w:before="0" w:beforeAutospacing="0" w:after="0" w:afterAutospacing="0" w:line="360" w:lineRule="auto"/>
        <w:ind w:firstLine="600" w:firstLineChars="250"/>
        <w:jc w:val="both"/>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6"/>
        <w:spacing w:line="360" w:lineRule="auto"/>
        <w:ind w:firstLine="600" w:firstLineChars="250"/>
        <w:rPr>
          <w:rFonts w:hint="default"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26"/>
        <w:spacing w:line="360" w:lineRule="auto"/>
        <w:ind w:firstLine="602" w:firstLineChars="250"/>
        <w:rPr>
          <w:rFonts w:hint="default" w:ascii="宋体" w:hAnsi="宋体" w:cs="方正书宋简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（二）合同公告及备案</w:t>
      </w:r>
    </w:p>
    <w:p>
      <w:pPr>
        <w:pStyle w:val="14"/>
        <w:ind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1、采购人应当自政府采购合同签订之日起2个工作日内，</w:t>
      </w:r>
      <w:r>
        <w:rPr>
          <w:rFonts w:ascii="宋体" w:hAnsi="宋体"/>
          <w:color w:val="000000" w:themeColor="text1"/>
          <w:szCs w:val="24"/>
          <w:highlight w:val="none"/>
          <w14:textFill>
            <w14:solidFill>
              <w14:schemeClr w14:val="tx1"/>
            </w14:solidFill>
          </w14:textFill>
        </w:rPr>
        <w:t>在省级以上财政部门指定的</w:t>
      </w:r>
      <w:r>
        <w:rPr>
          <w:rFonts w:hint="eastAsia" w:ascii="宋体" w:hAnsi="宋体"/>
          <w:color w:val="000000" w:themeColor="text1"/>
          <w:szCs w:val="24"/>
          <w:highlight w:val="none"/>
          <w14:textFill>
            <w14:solidFill>
              <w14:schemeClr w14:val="tx1"/>
            </w14:solidFill>
          </w14:textFill>
        </w:rPr>
        <w:t>政府采购信息发布</w:t>
      </w:r>
      <w:r>
        <w:rPr>
          <w:rFonts w:ascii="宋体" w:hAnsi="宋体"/>
          <w:color w:val="000000" w:themeColor="text1"/>
          <w:szCs w:val="24"/>
          <w:highlight w:val="none"/>
          <w14:textFill>
            <w14:solidFill>
              <w14:schemeClr w14:val="tx1"/>
            </w14:solidFill>
          </w14:textFill>
        </w:rPr>
        <w:t>媒体及相关网站</w:t>
      </w:r>
      <w:r>
        <w:rPr>
          <w:rFonts w:hint="eastAsia" w:ascii="宋体" w:hAnsi="宋体"/>
          <w:color w:val="000000" w:themeColor="text1"/>
          <w:szCs w:val="24"/>
          <w:highlight w:val="none"/>
          <w14:textFill>
            <w14:solidFill>
              <w14:schemeClr w14:val="tx1"/>
            </w14:solidFill>
          </w14:textFill>
        </w:rPr>
        <w:t>上</w:t>
      </w:r>
      <w:r>
        <w:rPr>
          <w:rFonts w:ascii="宋体" w:hAnsi="宋体"/>
          <w:color w:val="000000" w:themeColor="text1"/>
          <w:szCs w:val="24"/>
          <w:highlight w:val="none"/>
          <w14:textFill>
            <w14:solidFill>
              <w14:schemeClr w14:val="tx1"/>
            </w14:solidFill>
          </w14:textFill>
        </w:rPr>
        <w:t>公告</w:t>
      </w:r>
      <w:r>
        <w:rPr>
          <w:rFonts w:hint="eastAsia" w:ascii="宋体" w:hAnsi="宋体"/>
          <w:color w:val="000000" w:themeColor="text1"/>
          <w:szCs w:val="24"/>
          <w:highlight w:val="none"/>
          <w14:textFill>
            <w14:solidFill>
              <w14:schemeClr w14:val="tx1"/>
            </w14:solidFill>
          </w14:textFill>
        </w:rPr>
        <w:t>。</w:t>
      </w:r>
    </w:p>
    <w:p>
      <w:pPr>
        <w:pStyle w:val="14"/>
        <w:ind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14"/>
        <w:ind w:firstLine="480" w:firstLineChars="200"/>
        <w:rPr>
          <w:rFonts w:ascii="宋体" w:hAnsi="宋体"/>
          <w:color w:val="000000" w:themeColor="text1"/>
          <w:highlight w:val="none"/>
          <w14:textFill>
            <w14:solidFill>
              <w14:schemeClr w14:val="tx1"/>
            </w14:solidFill>
          </w14:textFill>
        </w:rPr>
      </w:pPr>
    </w:p>
    <w:p>
      <w:pPr>
        <w:pStyle w:val="14"/>
        <w:ind w:firstLine="480" w:firstLineChars="200"/>
        <w:rPr>
          <w:rFonts w:ascii="宋体" w:hAnsi="宋体"/>
          <w:color w:val="000000" w:themeColor="text1"/>
          <w:highlight w:val="none"/>
          <w14:textFill>
            <w14:solidFill>
              <w14:schemeClr w14:val="tx1"/>
            </w14:solidFill>
          </w14:textFill>
        </w:rPr>
      </w:pPr>
    </w:p>
    <w:p>
      <w:pPr>
        <w:pStyle w:val="14"/>
        <w:ind w:firstLine="480" w:firstLineChars="200"/>
        <w:rPr>
          <w:rFonts w:ascii="宋体" w:hAnsi="宋体"/>
          <w:color w:val="000000" w:themeColor="text1"/>
          <w:highlight w:val="none"/>
          <w14:textFill>
            <w14:solidFill>
              <w14:schemeClr w14:val="tx1"/>
            </w14:solidFill>
          </w14:textFill>
        </w:rPr>
      </w:pPr>
    </w:p>
    <w:p>
      <w:pPr>
        <w:pStyle w:val="14"/>
        <w:ind w:firstLine="480" w:firstLineChars="200"/>
        <w:rPr>
          <w:rFonts w:ascii="宋体" w:hAnsi="宋体"/>
          <w:color w:val="000000" w:themeColor="text1"/>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第三章　评审办法及评审标准</w:t>
      </w:r>
    </w:p>
    <w:p>
      <w:pPr>
        <w:autoSpaceDE w:val="0"/>
        <w:autoSpaceDN w:val="0"/>
        <w:spacing w:line="360" w:lineRule="auto"/>
        <w:ind w:firstLine="480" w:firstLineChars="200"/>
        <w:rPr>
          <w:rFonts w:ascii="宋体" w:hAnsi="宋体"/>
          <w:b/>
          <w:i/>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一、采购组织机构将组织</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color w:val="000000" w:themeColor="text1"/>
          <w:kern w:val="0"/>
          <w:sz w:val="24"/>
          <w:highlight w:val="none"/>
          <w14:textFill>
            <w14:solidFill>
              <w14:schemeClr w14:val="tx1"/>
            </w14:solidFill>
          </w14:textFill>
        </w:rPr>
        <w:t>，对</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kern w:val="0"/>
          <w:sz w:val="24"/>
          <w:highlight w:val="none"/>
          <w14:textFill>
            <w14:solidFill>
              <w14:schemeClr w14:val="tx1"/>
            </w14:solidFill>
          </w14:textFill>
        </w:rPr>
        <w:t>提供的</w:t>
      </w:r>
      <w:r>
        <w:rPr>
          <w:rFonts w:hint="eastAsia" w:ascii="宋体" w:hAnsi="宋体"/>
          <w:color w:val="000000" w:themeColor="text1"/>
          <w:sz w:val="24"/>
          <w:highlight w:val="none"/>
          <w14:textFill>
            <w14:solidFill>
              <w14:schemeClr w14:val="tx1"/>
            </w14:solidFill>
          </w14:textFill>
        </w:rPr>
        <w:t>磋商响应文件</w:t>
      </w:r>
      <w:r>
        <w:rPr>
          <w:rFonts w:hint="eastAsia" w:ascii="宋体" w:hAnsi="宋体"/>
          <w:color w:val="000000" w:themeColor="text1"/>
          <w:kern w:val="0"/>
          <w:sz w:val="24"/>
          <w:highlight w:val="none"/>
          <w14:textFill>
            <w14:solidFill>
              <w14:schemeClr w14:val="tx1"/>
            </w14:solidFill>
          </w14:textFill>
        </w:rPr>
        <w:t>进行综合评审。</w:t>
      </w:r>
      <w:r>
        <w:rPr>
          <w:rFonts w:ascii="宋体" w:hAnsi="宋体"/>
          <w:color w:val="000000" w:themeColor="text1"/>
          <w:kern w:val="0"/>
          <w:sz w:val="24"/>
          <w:highlight w:val="none"/>
          <w14:textFill>
            <w14:solidFill>
              <w14:schemeClr w14:val="tx1"/>
            </w14:solidFill>
          </w14:textFill>
        </w:rPr>
        <w:t xml:space="preserve">   </w:t>
      </w:r>
    </w:p>
    <w:p>
      <w:pPr>
        <w:autoSpaceDE w:val="0"/>
        <w:autoSpaceDN w:val="0"/>
        <w:adjustRightInd w:val="0"/>
        <w:spacing w:line="360" w:lineRule="auto"/>
        <w:ind w:left="359" w:leftChars="171" w:firstLine="120" w:firstLineChars="5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二、本次磋商项目的评审方法为</w:t>
      </w:r>
      <w:r>
        <w:rPr>
          <w:rFonts w:hint="eastAsia" w:ascii="宋体" w:hAnsi="宋体"/>
          <w:b/>
          <w:color w:val="000000" w:themeColor="text1"/>
          <w:kern w:val="0"/>
          <w:sz w:val="24"/>
          <w:highlight w:val="none"/>
          <w14:textFill>
            <w14:solidFill>
              <w14:schemeClr w14:val="tx1"/>
            </w14:solidFill>
          </w14:textFill>
        </w:rPr>
        <w:t>综合评分法</w:t>
      </w:r>
      <w:r>
        <w:rPr>
          <w:rFonts w:hint="eastAsia" w:ascii="宋体" w:hAnsi="宋体"/>
          <w:color w:val="000000" w:themeColor="text1"/>
          <w:kern w:val="0"/>
          <w:sz w:val="24"/>
          <w:highlight w:val="none"/>
          <w14:textFill>
            <w14:solidFill>
              <w14:schemeClr w14:val="tx1"/>
            </w14:solidFill>
          </w14:textFill>
        </w:rPr>
        <w:t>，总计100分。评审标准按以下</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项内容及分值进行评审。</w:t>
      </w:r>
    </w:p>
    <w:tbl>
      <w:tblPr>
        <w:tblStyle w:val="2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002" w:type="dxa"/>
            <w:tcBorders>
              <w:tl2br w:val="single" w:color="auto" w:sz="4" w:space="0"/>
            </w:tcBorders>
          </w:tcPr>
          <w:p>
            <w:pPr>
              <w:autoSpaceDE w:val="0"/>
              <w:autoSpaceDN w:val="0"/>
              <w:adjustRightInd w:val="0"/>
              <w:jc w:val="left"/>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 xml:space="preserve">           标段</w:t>
            </w:r>
          </w:p>
          <w:p>
            <w:pPr>
              <w:autoSpaceDE w:val="0"/>
              <w:autoSpaceDN w:val="0"/>
              <w:adjustRightInd w:val="0"/>
              <w:jc w:val="left"/>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类别</w:t>
            </w:r>
          </w:p>
        </w:tc>
        <w:tc>
          <w:tcPr>
            <w:tcW w:w="4305" w:type="dxa"/>
            <w:vAlign w:val="center"/>
          </w:tcPr>
          <w:p>
            <w:pPr>
              <w:autoSpaceDE w:val="0"/>
              <w:autoSpaceDN w:val="0"/>
              <w:adjustRightInd w:val="0"/>
              <w:spacing w:line="480" w:lineRule="auto"/>
              <w:jc w:val="center"/>
              <w:rPr>
                <w:rFonts w:ascii="宋体" w:hAnsi="宋体" w:cs="Tahoma"/>
                <w:color w:val="000000" w:themeColor="text1"/>
                <w:sz w:val="24"/>
                <w:highlight w:val="none"/>
                <w14:textFill>
                  <w14:solidFill>
                    <w14:schemeClr w14:val="tx1"/>
                  </w14:solidFill>
                </w14:textFill>
              </w:rPr>
            </w:pPr>
            <w:r>
              <w:rPr>
                <w:rFonts w:ascii="宋体" w:hAnsi="宋体" w:cs="Tahoma"/>
                <w:color w:val="000000" w:themeColor="text1"/>
                <w:sz w:val="24"/>
                <w:highlight w:val="none"/>
                <w14:textFill>
                  <w14:solidFill>
                    <w14:schemeClr w14:val="tx1"/>
                  </w14:solidFill>
                </w14:textFill>
              </w:rPr>
              <w:fldChar w:fldCharType="begin"/>
            </w:r>
            <w:r>
              <w:rPr>
                <w:rFonts w:hint="eastAsia" w:ascii="宋体" w:hAnsi="宋体" w:cs="Tahoma"/>
                <w:color w:val="000000" w:themeColor="text1"/>
                <w:sz w:val="24"/>
                <w:highlight w:val="none"/>
                <w14:textFill>
                  <w14:solidFill>
                    <w14:schemeClr w14:val="tx1"/>
                  </w14:solidFill>
                </w14:textFill>
              </w:rPr>
              <w:instrText xml:space="preserve">= 1 \* CHINESENUM3</w:instrText>
            </w:r>
            <w:r>
              <w:rPr>
                <w:rFonts w:ascii="宋体" w:hAnsi="宋体" w:cs="Tahoma"/>
                <w:color w:val="000000" w:themeColor="text1"/>
                <w:sz w:val="24"/>
                <w:highlight w:val="none"/>
                <w14:textFill>
                  <w14:solidFill>
                    <w14:schemeClr w14:val="tx1"/>
                  </w14:solidFill>
                </w14:textFill>
              </w:rPr>
              <w:fldChar w:fldCharType="separate"/>
            </w:r>
            <w:r>
              <w:rPr>
                <w:rFonts w:hint="eastAsia" w:ascii="宋体" w:hAnsi="宋体" w:cs="Tahoma"/>
                <w:color w:val="000000" w:themeColor="text1"/>
                <w:sz w:val="24"/>
                <w:highlight w:val="none"/>
                <w14:textFill>
                  <w14:solidFill>
                    <w14:schemeClr w14:val="tx1"/>
                  </w14:solidFill>
                </w14:textFill>
              </w:rPr>
              <w:t>一</w:t>
            </w:r>
            <w:r>
              <w:rPr>
                <w:rFonts w:ascii="宋体" w:hAnsi="宋体" w:cs="Tahoma"/>
                <w:color w:val="000000" w:themeColor="text1"/>
                <w:sz w:val="24"/>
                <w:highlight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02" w:type="dxa"/>
            <w:vAlign w:val="center"/>
          </w:tcPr>
          <w:p>
            <w:pPr>
              <w:autoSpaceDE w:val="0"/>
              <w:autoSpaceDN w:val="0"/>
              <w:adjustRightInd w:val="0"/>
              <w:jc w:val="center"/>
              <w:rPr>
                <w:rFonts w:ascii="宋体" w:hAnsi="宋体" w:cs="Tahoma"/>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商务</w:t>
            </w:r>
            <w:r>
              <w:rPr>
                <w:rFonts w:ascii="宋体" w:hAnsi="宋体"/>
                <w:color w:val="000000" w:themeColor="text1"/>
                <w:kern w:val="0"/>
                <w:sz w:val="24"/>
                <w:highlight w:val="none"/>
                <w14:textFill>
                  <w14:solidFill>
                    <w14:schemeClr w14:val="tx1"/>
                  </w14:solidFill>
                </w14:textFill>
              </w:rPr>
              <w:t>与技术</w:t>
            </w:r>
          </w:p>
        </w:tc>
        <w:tc>
          <w:tcPr>
            <w:tcW w:w="4305" w:type="dxa"/>
            <w:vAlign w:val="center"/>
          </w:tcPr>
          <w:p>
            <w:pPr>
              <w:autoSpaceDE w:val="0"/>
              <w:autoSpaceDN w:val="0"/>
              <w:adjustRightInd w:val="0"/>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7</w:t>
            </w:r>
            <w:r>
              <w:rPr>
                <w:rFonts w:ascii="宋体" w:hAnsi="宋体" w:cs="Tahoma"/>
                <w:color w:val="000000" w:themeColor="text1"/>
                <w:sz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02" w:type="dxa"/>
            <w:vAlign w:val="center"/>
          </w:tcPr>
          <w:p>
            <w:pPr>
              <w:autoSpaceDE w:val="0"/>
              <w:autoSpaceDN w:val="0"/>
              <w:adjustRightInd w:val="0"/>
              <w:jc w:val="center"/>
              <w:rPr>
                <w:rFonts w:ascii="宋体" w:hAnsi="宋体" w:cs="Tahoma"/>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价格</w:t>
            </w:r>
          </w:p>
        </w:tc>
        <w:tc>
          <w:tcPr>
            <w:tcW w:w="4305" w:type="dxa"/>
            <w:vAlign w:val="center"/>
          </w:tcPr>
          <w:p>
            <w:pPr>
              <w:autoSpaceDE w:val="0"/>
              <w:autoSpaceDN w:val="0"/>
              <w:adjustRightInd w:val="0"/>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30</w:t>
            </w:r>
          </w:p>
        </w:tc>
      </w:tr>
    </w:tbl>
    <w:p>
      <w:pPr>
        <w:autoSpaceDE w:val="0"/>
        <w:autoSpaceDN w:val="0"/>
        <w:adjustRightInd w:val="0"/>
        <w:spacing w:line="360" w:lineRule="auto"/>
        <w:ind w:right="84" w:firstLine="472"/>
        <w:rPr>
          <w:rFonts w:ascii="宋体" w:hAnsi="宋体"/>
          <w:bCs/>
          <w:color w:val="000000" w:themeColor="text1"/>
          <w:sz w:val="24"/>
          <w:highlight w:val="none"/>
          <w:lang w:val="zh-CN"/>
          <w14:textFill>
            <w14:solidFill>
              <w14:schemeClr w14:val="tx1"/>
            </w14:solidFill>
          </w14:textFill>
        </w:rPr>
      </w:pPr>
      <w:r>
        <w:rPr>
          <w:rFonts w:hint="eastAsia" w:ascii="宋体" w:hAnsi="宋体"/>
          <w:bCs/>
          <w:color w:val="000000" w:themeColor="text1"/>
          <w:sz w:val="24"/>
          <w:highlight w:val="none"/>
          <w:lang w:val="zh-CN"/>
          <w14:textFill>
            <w14:solidFill>
              <w14:schemeClr w14:val="tx1"/>
            </w14:solidFill>
          </w14:textFill>
        </w:rPr>
        <w:t>（一）商务与技术文件中的客观分由</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bCs/>
          <w:color w:val="000000" w:themeColor="text1"/>
          <w:sz w:val="24"/>
          <w:highlight w:val="none"/>
          <w:lang w:val="zh-CN"/>
          <w14:textFill>
            <w14:solidFill>
              <w14:schemeClr w14:val="tx1"/>
            </w14:solidFill>
          </w14:textFill>
        </w:rPr>
        <w:t>讨论后统一打分；其余在规定的分值内单独评定打分。</w:t>
      </w:r>
    </w:p>
    <w:p>
      <w:pPr>
        <w:autoSpaceDE w:val="0"/>
        <w:autoSpaceDN w:val="0"/>
        <w:adjustRightInd w:val="0"/>
        <w:spacing w:line="360" w:lineRule="auto"/>
        <w:ind w:right="84" w:firstLine="472"/>
        <w:rPr>
          <w:rFonts w:ascii="宋体" w:hAnsi="宋体"/>
          <w:bCs/>
          <w:color w:val="000000" w:themeColor="text1"/>
          <w:sz w:val="24"/>
          <w:highlight w:val="none"/>
          <w:shd w:val="clear" w:color="FFFFFF" w:fill="D9D9D9"/>
          <w:lang w:val="zh-CN"/>
          <w14:textFill>
            <w14:solidFill>
              <w14:schemeClr w14:val="tx1"/>
            </w14:solidFill>
          </w14:textFill>
        </w:rPr>
      </w:pPr>
      <w:r>
        <w:rPr>
          <w:rFonts w:hint="eastAsia" w:ascii="宋体" w:hAnsi="宋体"/>
          <w:bCs/>
          <w:color w:val="000000" w:themeColor="text1"/>
          <w:sz w:val="24"/>
          <w:highlight w:val="none"/>
          <w:lang w:val="zh-CN"/>
          <w14:textFill>
            <w14:solidFill>
              <w14:schemeClr w14:val="tx1"/>
            </w14:solidFill>
          </w14:textFill>
        </w:rPr>
        <w:t>（二）各磋商供应商商务与技术文件</w:t>
      </w:r>
      <w:r>
        <w:rPr>
          <w:rFonts w:hint="eastAsia" w:ascii="宋体" w:hAnsi="宋体"/>
          <w:color w:val="000000" w:themeColor="text1"/>
          <w:kern w:val="0"/>
          <w:sz w:val="24"/>
          <w:highlight w:val="none"/>
          <w:lang w:val="zh-CN"/>
          <w14:textFill>
            <w14:solidFill>
              <w14:schemeClr w14:val="tx1"/>
            </w14:solidFill>
          </w14:textFill>
        </w:rPr>
        <w:t>得分按照</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color w:val="000000" w:themeColor="text1"/>
          <w:kern w:val="0"/>
          <w:sz w:val="24"/>
          <w:highlight w:val="none"/>
          <w:lang w:val="zh-CN"/>
          <w14:textFill>
            <w14:solidFill>
              <w14:schemeClr w14:val="tx1"/>
            </w14:solidFill>
          </w14:textFill>
        </w:rPr>
        <w:t>成</w:t>
      </w:r>
      <w:r>
        <w:rPr>
          <w:rFonts w:hint="eastAsia" w:ascii="宋体" w:hAns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hAns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hAnsi="宋体"/>
          <w:bCs/>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bCs/>
          <w:color w:val="000000" w:themeColor="text1"/>
          <w:sz w:val="24"/>
          <w:highlight w:val="none"/>
          <w:lang w:val="zh-CN"/>
          <w14:textFill>
            <w14:solidFill>
              <w14:schemeClr w14:val="tx1"/>
            </w14:solidFill>
          </w14:textFill>
        </w:rPr>
        <w:t>所有成员评分合计数/</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bCs/>
          <w:color w:val="000000" w:themeColor="text1"/>
          <w:sz w:val="24"/>
          <w:highlight w:val="none"/>
          <w:lang w:val="zh-CN"/>
          <w14:textFill>
            <w14:solidFill>
              <w14:schemeClr w14:val="tx1"/>
            </w14:solidFill>
          </w14:textFill>
        </w:rPr>
        <w:t>组成人员数。</w:t>
      </w:r>
    </w:p>
    <w:p>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bCs/>
          <w:color w:val="000000" w:themeColor="text1"/>
          <w:sz w:val="24"/>
          <w:highlight w:val="none"/>
          <w:lang w:val="zh-CN"/>
          <w14:textFill>
            <w14:solidFill>
              <w14:schemeClr w14:val="tx1"/>
            </w14:solidFill>
          </w14:textFill>
        </w:rPr>
        <w:t>（三）</w:t>
      </w:r>
      <w:r>
        <w:rPr>
          <w:rFonts w:hint="eastAsia" w:ascii="宋体" w:hAnsi="宋体"/>
          <w:color w:val="000000" w:themeColor="text1"/>
          <w:sz w:val="24"/>
          <w:highlight w:val="none"/>
          <w:u w:val="single"/>
          <w14:textFill>
            <w14:solidFill>
              <w14:schemeClr w14:val="tx1"/>
            </w14:solidFill>
          </w14:textFill>
        </w:rPr>
        <w:t>综合评分法中的价格分统一</w:t>
      </w:r>
      <w:r>
        <w:rPr>
          <w:rFonts w:hint="eastAsia" w:ascii="宋体" w:hAnsi="宋体"/>
          <w:color w:val="000000" w:themeColor="text1"/>
          <w:sz w:val="24"/>
          <w:highlight w:val="none"/>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磋商报价得</w:t>
      </w:r>
      <w:r>
        <w:rPr>
          <w:rFonts w:ascii="宋体" w:hAnsi="宋体"/>
          <w:color w:val="000000" w:themeColor="text1"/>
          <w:sz w:val="24"/>
          <w:highlight w:val="none"/>
          <w:u w:val="single"/>
          <w14:textFill>
            <w14:solidFill>
              <w14:schemeClr w14:val="tx1"/>
            </w14:solidFill>
          </w14:textFill>
        </w:rPr>
        <w:t>分=(</w:t>
      </w:r>
      <w:r>
        <w:rPr>
          <w:rFonts w:hint="eastAsia" w:ascii="宋体" w:hAnsi="宋体"/>
          <w:color w:val="000000" w:themeColor="text1"/>
          <w:sz w:val="24"/>
          <w:highlight w:val="none"/>
          <w:u w:val="single"/>
          <w:lang w:val="zh-CN"/>
          <w14:textFill>
            <w14:solidFill>
              <w14:schemeClr w14:val="tx1"/>
            </w14:solidFill>
          </w14:textFill>
        </w:rPr>
        <w:t>磋商基准价</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最后磋商</w:t>
      </w:r>
      <w:r>
        <w:rPr>
          <w:rFonts w:ascii="宋体" w:hAnsi="宋体"/>
          <w:color w:val="000000" w:themeColor="text1"/>
          <w:sz w:val="24"/>
          <w:highlight w:val="none"/>
          <w:u w:val="single"/>
          <w14:textFill>
            <w14:solidFill>
              <w14:schemeClr w14:val="tx1"/>
            </w14:solidFill>
          </w14:textFill>
        </w:rPr>
        <w:t>报价)×</w:t>
      </w:r>
      <w:r>
        <w:rPr>
          <w:rFonts w:hint="eastAsia" w:ascii="宋体" w:hAnsi="宋体"/>
          <w:color w:val="000000" w:themeColor="text1"/>
          <w:sz w:val="24"/>
          <w:highlight w:val="none"/>
          <w:u w:val="single"/>
          <w14:textFill>
            <w14:solidFill>
              <w14:schemeClr w14:val="tx1"/>
            </w14:solidFill>
          </w14:textFill>
        </w:rPr>
        <w:t>3</w:t>
      </w:r>
      <w:r>
        <w:rPr>
          <w:rFonts w:ascii="宋体" w:hAnsi="宋体"/>
          <w:color w:val="000000" w:themeColor="text1"/>
          <w:sz w:val="24"/>
          <w:highlight w:val="none"/>
          <w:u w:val="single"/>
          <w14:textFill>
            <w14:solidFill>
              <w14:schemeClr w14:val="tx1"/>
            </w14:solidFill>
          </w14:textFill>
        </w:rPr>
        <w:t>0%×100</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（四）政府采购政策及优惠：</w:t>
      </w:r>
    </w:p>
    <w:p>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关于小型、微型企业（简称小微企业）磋商：小微企业是指符合《中小企业划型标准规定》的供应商，通过磋商提供本企业制造的货物、承担的工程或者服务，或者提供其他小微企业制造的货物。本项所指货物不包括使用大、中型企业注册商标的货物。小微企业</w:t>
      </w:r>
      <w:r>
        <w:rPr>
          <w:rFonts w:hint="eastAsia" w:ascii="宋体" w:hAnsi="宋体"/>
          <w:color w:val="000000" w:themeColor="text1"/>
          <w:sz w:val="24"/>
          <w:highlight w:val="none"/>
          <w:u w:val="single"/>
          <w14:textFill>
            <w14:solidFill>
              <w14:schemeClr w14:val="tx1"/>
            </w14:solidFill>
          </w14:textFill>
        </w:rPr>
        <w:t>磋商</w:t>
      </w:r>
      <w:r>
        <w:rPr>
          <w:rFonts w:hint="eastAsia" w:ascii="宋体" w:hAnsi="宋体"/>
          <w:color w:val="000000" w:themeColor="text1"/>
          <w:sz w:val="24"/>
          <w:highlight w:val="none"/>
          <w:lang w:val="zh-CN"/>
          <w14:textFill>
            <w14:solidFill>
              <w14:schemeClr w14:val="tx1"/>
            </w14:solidFill>
          </w14:textFill>
        </w:rPr>
        <w:t>应提供《小微企业声明函》、国家企业信用信息公示系统——小微企业名录”页面查询结果（查询时间为</w:t>
      </w:r>
      <w:r>
        <w:rPr>
          <w:rFonts w:hint="eastAsia" w:ascii="宋体" w:hAnsi="宋体"/>
          <w:color w:val="000000" w:themeColor="text1"/>
          <w:sz w:val="24"/>
          <w:highlight w:val="none"/>
          <w:u w:val="single"/>
          <w14:textFill>
            <w14:solidFill>
              <w14:schemeClr w14:val="tx1"/>
            </w14:solidFill>
          </w14:textFill>
        </w:rPr>
        <w:t>磋商</w:t>
      </w:r>
      <w:r>
        <w:rPr>
          <w:rFonts w:hint="eastAsia" w:ascii="宋体" w:hAnsi="宋体"/>
          <w:color w:val="000000" w:themeColor="text1"/>
          <w:sz w:val="24"/>
          <w:highlight w:val="none"/>
          <w:lang w:val="zh-CN"/>
          <w14:textFill>
            <w14:solidFill>
              <w14:schemeClr w14:val="tx1"/>
            </w14:solidFill>
          </w14:textFill>
        </w:rPr>
        <w:t>前一周内，并加盖单位公章）等相关证明材料（磋商小组据此进行核查）；</w:t>
      </w:r>
    </w:p>
    <w:p>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具体优惠：</w:t>
      </w:r>
      <w:r>
        <w:rPr>
          <w:rFonts w:hint="eastAsia" w:ascii="宋体" w:hAnsi="宋体"/>
          <w:b/>
          <w:color w:val="000000" w:themeColor="text1"/>
          <w:sz w:val="24"/>
          <w:highlight w:val="none"/>
          <w:lang w:val="zh-CN"/>
          <w14:textFill>
            <w14:solidFill>
              <w14:schemeClr w14:val="tx1"/>
            </w14:solidFill>
          </w14:textFill>
        </w:rPr>
        <w:t>对于小型微型企业产品的价格给予</w:t>
      </w:r>
      <w:r>
        <w:rPr>
          <w:rFonts w:ascii="宋体" w:hAnsi="宋体"/>
          <w:b/>
          <w:color w:val="000000" w:themeColor="text1"/>
          <w:sz w:val="24"/>
          <w:highlight w:val="none"/>
          <w:u w:val="single"/>
          <w:lang w:val="zh-CN"/>
          <w14:textFill>
            <w14:solidFill>
              <w14:schemeClr w14:val="tx1"/>
            </w14:solidFill>
          </w14:textFill>
        </w:rPr>
        <w:t>6</w:t>
      </w:r>
      <w:r>
        <w:rPr>
          <w:rFonts w:hint="eastAsia" w:ascii="宋体" w:hAnsi="宋体"/>
          <w:b/>
          <w:color w:val="000000" w:themeColor="text1"/>
          <w:sz w:val="24"/>
          <w:highlight w:val="none"/>
          <w:lang w:val="zh-CN"/>
          <w14:textFill>
            <w14:solidFill>
              <w14:schemeClr w14:val="tx1"/>
            </w14:solidFill>
          </w14:textFill>
        </w:rPr>
        <w:t>%的扣除，用扣除后的价格计算评审基准价和最后报价。</w:t>
      </w:r>
      <w:r>
        <w:rPr>
          <w:rFonts w:hint="eastAsia" w:ascii="宋体" w:hAnsi="宋体"/>
          <w:color w:val="000000" w:themeColor="text1"/>
          <w:sz w:val="24"/>
          <w:highlight w:val="none"/>
          <w:lang w:val="zh-CN"/>
          <w14:textFill>
            <w14:solidFill>
              <w14:schemeClr w14:val="tx1"/>
            </w14:solidFill>
          </w14:textFill>
        </w:rPr>
        <w:t>同一供应商（包括联合体），小微企业、监狱企业、残疾人福利性单位价格扣除优惠只享受一次，不得重复享受。</w:t>
      </w:r>
    </w:p>
    <w:p>
      <w:pPr>
        <w:autoSpaceDE w:val="0"/>
        <w:autoSpaceDN w:val="0"/>
        <w:adjustRightInd w:val="0"/>
        <w:spacing w:line="360" w:lineRule="auto"/>
        <w:ind w:right="84" w:firstLine="472"/>
        <w:rPr>
          <w:rFonts w:ascii="宋体" w:hAns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注：得分保留2位小数。</w:t>
      </w:r>
    </w:p>
    <w:p>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三、在最大限度地满足磋商文件实质性要求前提下，</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color w:val="000000" w:themeColor="text1"/>
          <w:sz w:val="24"/>
          <w:highlight w:val="none"/>
          <w:lang w:val="zh-CN"/>
          <w14:textFill>
            <w14:solidFill>
              <w14:schemeClr w14:val="tx1"/>
            </w14:solidFill>
          </w14:textFill>
        </w:rPr>
        <w:t>按照磋商文件中规定的各项因素进行综合评审后，以评审总得分最高的供应商为第一成交候选供应商，总得分次高的为第二成交候选供应商，总得分第三高的为第三成交候选供应商。</w:t>
      </w:r>
    </w:p>
    <w:p>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四、如综合得分相同，最后报价低者为先；如综合得分且最后报价相同的，货物类采购项目以技术性能得分较高者为先，服务类采购项目以实力信誉及业绩得分较高者为先。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五、提供相同品牌产品的不同供应商参加同一合同项下磋商的，按一家供应商认定：（1）采用最低评标价法的采购项目，以其中通过资格审查、符合性审查且报价最低的参加评标；报价相同的，由</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color w:val="000000" w:themeColor="text1"/>
          <w:sz w:val="24"/>
          <w:highlight w:val="none"/>
          <w:lang w:val="zh-CN"/>
          <w14:textFill>
            <w14:solidFill>
              <w14:schemeClr w14:val="tx1"/>
            </w14:solidFill>
          </w14:textFill>
        </w:rPr>
        <w:t>集体确定一个供应商参加磋商，其他供应商不再参加。（2）使用综合评分法的采购项目，评审后得分最高的同品牌供应商获得成交推荐资格；评审得分相同的，由</w:t>
      </w:r>
      <w:r>
        <w:rPr>
          <w:rFonts w:hint="eastAsia" w:ascii="宋体" w:hAnsi="宋体"/>
          <w:color w:val="000000" w:themeColor="text1"/>
          <w:sz w:val="24"/>
          <w:highlight w:val="none"/>
          <w14:textFill>
            <w14:solidFill>
              <w14:schemeClr w14:val="tx1"/>
            </w14:solidFill>
          </w14:textFill>
        </w:rPr>
        <w:t>磋商小组</w:t>
      </w:r>
      <w:r>
        <w:rPr>
          <w:rFonts w:hint="eastAsia" w:ascii="宋体" w:hAnsi="宋体"/>
          <w:color w:val="000000" w:themeColor="text1"/>
          <w:sz w:val="24"/>
          <w:highlight w:val="none"/>
          <w:lang w:val="zh-CN"/>
          <w14:textFill>
            <w14:solidFill>
              <w14:schemeClr w14:val="tx1"/>
            </w14:solidFill>
          </w14:textFill>
        </w:rPr>
        <w:t>集体推荐一个供应商作为成交候选人，其他同品牌供应商不作为成交候选人。</w:t>
      </w:r>
    </w:p>
    <w:p>
      <w:pPr>
        <w:autoSpaceDE w:val="0"/>
        <w:autoSpaceDN w:val="0"/>
        <w:adjustRightInd w:val="0"/>
        <w:spacing w:line="360" w:lineRule="auto"/>
        <w:ind w:firstLine="360" w:firstLineChars="15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六、本次评分具体分值细化条款如下表：</w:t>
      </w:r>
    </w:p>
    <w:p>
      <w:pPr>
        <w:ind w:firstLine="420"/>
        <w:rPr>
          <w:rFonts w:ascii="宋体" w:hAnsi="宋体"/>
          <w:sz w:val="24"/>
          <w:highlight w:val="none"/>
        </w:rPr>
      </w:pPr>
      <w:r>
        <w:rPr>
          <w:rFonts w:hint="eastAsia" w:ascii="宋体" w:hAnsi="宋体"/>
          <w:sz w:val="24"/>
          <w:highlight w:val="none"/>
        </w:rPr>
        <w:t>（一）商务部分 （10分）</w:t>
      </w:r>
    </w:p>
    <w:tbl>
      <w:tblPr>
        <w:tblStyle w:val="28"/>
        <w:tblW w:w="92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华文中宋" w:hAnsi="华文中宋" w:eastAsia="华文中宋" w:cs="宋体"/>
                <w:sz w:val="24"/>
                <w:highlight w:val="none"/>
              </w:rPr>
            </w:pPr>
            <w:r>
              <w:rPr>
                <w:rFonts w:hint="eastAsia" w:ascii="宋体" w:hAnsi="宋体"/>
                <w:sz w:val="24"/>
                <w:highlight w:val="none"/>
              </w:rPr>
              <w:t>序号</w:t>
            </w:r>
          </w:p>
        </w:tc>
        <w:tc>
          <w:tcPr>
            <w:tcW w:w="7229" w:type="dxa"/>
            <w:tcBorders>
              <w:top w:val="single" w:color="auto" w:sz="4" w:space="0"/>
              <w:left w:val="nil"/>
              <w:bottom w:val="single" w:color="auto" w:sz="4" w:space="0"/>
              <w:right w:val="single" w:color="auto" w:sz="4" w:space="0"/>
            </w:tcBorders>
            <w:vAlign w:val="center"/>
          </w:tcPr>
          <w:p>
            <w:pPr>
              <w:wordWrap w:val="0"/>
              <w:spacing w:line="360" w:lineRule="auto"/>
              <w:contextualSpacing/>
              <w:jc w:val="center"/>
              <w:rPr>
                <w:rFonts w:ascii="华文中宋" w:hAnsi="华文中宋" w:eastAsia="华文中宋" w:cs="宋体"/>
                <w:sz w:val="24"/>
                <w:highlight w:val="none"/>
              </w:rPr>
            </w:pPr>
            <w:bookmarkStart w:id="1" w:name="OLE_LINK6"/>
            <w:r>
              <w:rPr>
                <w:rFonts w:hint="eastAsia" w:ascii="宋体" w:hAnsi="宋体"/>
                <w:sz w:val="24"/>
                <w:highlight w:val="none"/>
              </w:rPr>
              <w:t>评分细则</w:t>
            </w:r>
            <w:bookmarkEnd w:id="1"/>
          </w:p>
        </w:tc>
        <w:tc>
          <w:tcPr>
            <w:tcW w:w="1310" w:type="dxa"/>
            <w:tcBorders>
              <w:top w:val="single" w:color="auto" w:sz="4" w:space="0"/>
              <w:left w:val="nil"/>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hint="eastAsia" w:ascii="宋体" w:hAnsi="宋体"/>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华文中宋" w:hAnsi="华文中宋" w:eastAsia="华文中宋" w:cs="宋体"/>
                <w:sz w:val="24"/>
                <w:highlight w:val="none"/>
              </w:rPr>
            </w:pPr>
            <w:r>
              <w:rPr>
                <w:rFonts w:hint="eastAsia" w:ascii="宋体" w:hAnsi="宋体" w:cs="宋体"/>
                <w:kern w:val="0"/>
                <w:szCs w:val="21"/>
                <w:highlight w:val="none"/>
              </w:rPr>
              <w:t>1</w:t>
            </w:r>
          </w:p>
        </w:tc>
        <w:tc>
          <w:tcPr>
            <w:tcW w:w="7229" w:type="dxa"/>
            <w:tcBorders>
              <w:top w:val="single" w:color="auto" w:sz="4" w:space="0"/>
              <w:left w:val="nil"/>
              <w:bottom w:val="single" w:color="auto" w:sz="4" w:space="0"/>
              <w:right w:val="single" w:color="auto" w:sz="4" w:space="0"/>
            </w:tcBorders>
            <w:vAlign w:val="center"/>
          </w:tcPr>
          <w:p>
            <w:pPr>
              <w:adjustRightInd w:val="0"/>
              <w:snapToGrid w:val="0"/>
              <w:rPr>
                <w:sz w:val="24"/>
                <w:highlight w:val="none"/>
              </w:rPr>
            </w:pPr>
            <w:r>
              <w:rPr>
                <w:rFonts w:hint="eastAsia" w:ascii="宋体" w:hAnsi="宋体" w:cs="宋体"/>
                <w:szCs w:val="21"/>
                <w:highlight w:val="none"/>
              </w:rPr>
              <w:t>同时具备质量管理认证体系、环境管理认证体系、职业健康安全认证体系；其余不得分。</w:t>
            </w:r>
          </w:p>
        </w:tc>
        <w:tc>
          <w:tcPr>
            <w:tcW w:w="131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highlight w:val="none"/>
              </w:rPr>
            </w:pPr>
            <w:r>
              <w:rPr>
                <w:rFonts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highlight w:val="none"/>
              </w:rPr>
            </w:pPr>
            <w:r>
              <w:rPr>
                <w:rFonts w:hint="eastAsia" w:ascii="宋体" w:hAnsi="宋体" w:cs="宋体"/>
                <w:kern w:val="0"/>
                <w:szCs w:val="21"/>
                <w:highlight w:val="none"/>
              </w:rPr>
              <w:t>2</w:t>
            </w:r>
          </w:p>
        </w:tc>
        <w:tc>
          <w:tcPr>
            <w:tcW w:w="722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sz w:val="24"/>
                <w:highlight w:val="none"/>
              </w:rPr>
            </w:pPr>
            <w:r>
              <w:rPr>
                <w:rFonts w:hint="eastAsia" w:ascii="宋体" w:hAnsi="宋体" w:cs="宋体"/>
                <w:szCs w:val="21"/>
                <w:highlight w:val="none"/>
              </w:rPr>
              <w:t>企业信用等级AAA得2分；企业信用等级AA得1分；企业信用等级A得0.5分；其余不得分。</w:t>
            </w:r>
          </w:p>
        </w:tc>
        <w:tc>
          <w:tcPr>
            <w:tcW w:w="131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highlight w:val="none"/>
              </w:rPr>
            </w:pPr>
            <w:r>
              <w:rPr>
                <w:rFonts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highlight w:val="none"/>
              </w:rPr>
            </w:pPr>
            <w:r>
              <w:rPr>
                <w:rFonts w:hint="eastAsia" w:ascii="宋体" w:hAnsi="宋体" w:cs="宋体"/>
                <w:kern w:val="0"/>
                <w:szCs w:val="21"/>
                <w:highlight w:val="none"/>
              </w:rPr>
              <w:t>3</w:t>
            </w:r>
          </w:p>
        </w:tc>
        <w:tc>
          <w:tcPr>
            <w:tcW w:w="722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sz w:val="24"/>
                <w:highlight w:val="none"/>
              </w:rPr>
            </w:pPr>
            <w:r>
              <w:rPr>
                <w:rFonts w:hint="eastAsia" w:ascii="宋体" w:hAnsi="宋体" w:cs="宋体"/>
                <w:kern w:val="0"/>
                <w:szCs w:val="21"/>
                <w:highlight w:val="none"/>
              </w:rPr>
              <w:t>企业近三年内完成过政府类300万以上业绩，每项0.5分；最高得2分。（要求提供合同协议书）</w:t>
            </w:r>
          </w:p>
        </w:tc>
        <w:tc>
          <w:tcPr>
            <w:tcW w:w="131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highlight w:val="none"/>
              </w:rPr>
            </w:pPr>
            <w:r>
              <w:rPr>
                <w:rFonts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highlight w:val="none"/>
              </w:rPr>
            </w:pPr>
            <w:r>
              <w:rPr>
                <w:rFonts w:hint="eastAsia" w:ascii="宋体" w:hAnsi="宋体" w:cs="宋体"/>
                <w:kern w:val="0"/>
                <w:szCs w:val="21"/>
                <w:highlight w:val="none"/>
              </w:rPr>
              <w:t>4</w:t>
            </w:r>
          </w:p>
        </w:tc>
        <w:tc>
          <w:tcPr>
            <w:tcW w:w="7229"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000000"/>
                <w:sz w:val="24"/>
                <w:highlight w:val="none"/>
              </w:rPr>
            </w:pPr>
            <w:r>
              <w:rPr>
                <w:rFonts w:hint="eastAsia" w:ascii="宋体" w:hAnsi="宋体" w:cs="宋体"/>
                <w:kern w:val="0"/>
                <w:szCs w:val="21"/>
                <w:highlight w:val="none"/>
              </w:rPr>
              <w:t>投标品牌产品的知名度及市场占有率，根据投标品牌知名度及市场占有率横向对比，最高5分</w:t>
            </w:r>
          </w:p>
        </w:tc>
        <w:tc>
          <w:tcPr>
            <w:tcW w:w="131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4"/>
                <w:highlight w:val="none"/>
              </w:rPr>
            </w:pPr>
            <w:r>
              <w:rPr>
                <w:rFonts w:ascii="宋体" w:hAnsi="宋体" w:cs="宋体"/>
                <w:szCs w:val="21"/>
                <w:highlight w:val="none"/>
              </w:rPr>
              <w:t>5</w:t>
            </w:r>
          </w:p>
        </w:tc>
      </w:tr>
    </w:tbl>
    <w:p>
      <w:pPr>
        <w:ind w:firstLine="420"/>
        <w:rPr>
          <w:rFonts w:ascii="宋体" w:hAnsi="宋体"/>
          <w:sz w:val="24"/>
          <w:highlight w:val="none"/>
        </w:rPr>
      </w:pPr>
    </w:p>
    <w:p>
      <w:pPr>
        <w:ind w:firstLine="420"/>
        <w:rPr>
          <w:rFonts w:ascii="宋体" w:hAnsi="宋体"/>
          <w:sz w:val="24"/>
          <w:highlight w:val="none"/>
        </w:rPr>
      </w:pPr>
    </w:p>
    <w:p>
      <w:pPr>
        <w:ind w:firstLine="420"/>
        <w:rPr>
          <w:rFonts w:ascii="宋体" w:hAnsi="宋体"/>
          <w:sz w:val="24"/>
          <w:highlight w:val="none"/>
        </w:rPr>
      </w:pPr>
    </w:p>
    <w:p>
      <w:pPr>
        <w:ind w:firstLine="420"/>
        <w:rPr>
          <w:rFonts w:ascii="宋体" w:hAnsi="宋体"/>
          <w:sz w:val="24"/>
          <w:highlight w:val="none"/>
        </w:rPr>
      </w:pPr>
      <w:r>
        <w:rPr>
          <w:rFonts w:hint="eastAsia" w:ascii="宋体" w:hAnsi="宋体"/>
          <w:sz w:val="24"/>
          <w:highlight w:val="none"/>
        </w:rPr>
        <w:t xml:space="preserve"> </w:t>
      </w:r>
    </w:p>
    <w:p>
      <w:pPr>
        <w:ind w:firstLine="420"/>
        <w:rPr>
          <w:rFonts w:ascii="Times New Roman" w:hAnsi="Times New Roman"/>
          <w:sz w:val="24"/>
          <w:highlight w:val="none"/>
        </w:rPr>
      </w:pPr>
      <w:r>
        <w:rPr>
          <w:rFonts w:hint="eastAsia" w:ascii="宋体" w:hAnsi="宋体"/>
          <w:sz w:val="24"/>
          <w:highlight w:val="none"/>
        </w:rPr>
        <w:t>（二）技术部分   （60分）</w:t>
      </w:r>
    </w:p>
    <w:tbl>
      <w:tblPr>
        <w:tblStyle w:val="2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77"/>
        <w:gridCol w:w="61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华文中宋" w:hAnsi="华文中宋" w:eastAsia="华文中宋" w:cs="宋体"/>
                <w:sz w:val="24"/>
                <w:highlight w:val="none"/>
              </w:rPr>
            </w:pPr>
            <w:r>
              <w:rPr>
                <w:rFonts w:hint="eastAsia" w:ascii="宋体" w:hAnsi="宋体"/>
                <w:sz w:val="24"/>
                <w:highlight w:val="none"/>
              </w:rPr>
              <w:t>序号</w:t>
            </w:r>
          </w:p>
        </w:tc>
        <w:tc>
          <w:tcPr>
            <w:tcW w:w="1077" w:type="dxa"/>
            <w:tcBorders>
              <w:top w:val="single" w:color="auto" w:sz="4" w:space="0"/>
              <w:left w:val="nil"/>
              <w:bottom w:val="single" w:color="auto" w:sz="4" w:space="0"/>
              <w:right w:val="single" w:color="auto" w:sz="4" w:space="0"/>
            </w:tcBorders>
            <w:vAlign w:val="center"/>
          </w:tcPr>
          <w:p>
            <w:pPr>
              <w:wordWrap w:val="0"/>
              <w:spacing w:line="360" w:lineRule="auto"/>
              <w:contextualSpacing/>
              <w:jc w:val="center"/>
              <w:rPr>
                <w:rFonts w:ascii="华文中宋" w:hAnsi="华文中宋" w:eastAsia="华文中宋" w:cs="宋体"/>
                <w:sz w:val="24"/>
                <w:highlight w:val="none"/>
              </w:rPr>
            </w:pPr>
            <w:r>
              <w:rPr>
                <w:rFonts w:hint="eastAsia" w:ascii="宋体" w:hAnsi="宋体"/>
                <w:sz w:val="24"/>
                <w:highlight w:val="none"/>
              </w:rPr>
              <w:t>评审内容</w:t>
            </w:r>
          </w:p>
        </w:tc>
        <w:tc>
          <w:tcPr>
            <w:tcW w:w="6181" w:type="dxa"/>
            <w:tcBorders>
              <w:top w:val="single" w:color="auto" w:sz="4" w:space="0"/>
              <w:left w:val="nil"/>
              <w:bottom w:val="single" w:color="auto" w:sz="4" w:space="0"/>
              <w:right w:val="single" w:color="auto" w:sz="4" w:space="0"/>
            </w:tcBorders>
            <w:vAlign w:val="center"/>
          </w:tcPr>
          <w:p>
            <w:pPr>
              <w:wordWrap w:val="0"/>
              <w:spacing w:line="360" w:lineRule="auto"/>
              <w:contextualSpacing/>
              <w:jc w:val="center"/>
              <w:rPr>
                <w:rFonts w:ascii="华文中宋" w:hAnsi="华文中宋" w:eastAsia="华文中宋" w:cs="宋体"/>
                <w:sz w:val="24"/>
                <w:highlight w:val="none"/>
              </w:rPr>
            </w:pPr>
            <w:r>
              <w:rPr>
                <w:rFonts w:hint="eastAsia" w:ascii="宋体" w:hAnsi="宋体"/>
                <w:sz w:val="24"/>
                <w:highlight w:val="none"/>
              </w:rPr>
              <w:t>评分细则</w:t>
            </w:r>
          </w:p>
        </w:tc>
        <w:tc>
          <w:tcPr>
            <w:tcW w:w="1276" w:type="dxa"/>
            <w:tcBorders>
              <w:top w:val="single" w:color="auto" w:sz="4" w:space="0"/>
              <w:left w:val="nil"/>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hint="eastAsia" w:ascii="宋体" w:hAnsi="宋体"/>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hint="eastAsia" w:ascii="宋体" w:hAnsi="宋体"/>
                <w:sz w:val="24"/>
                <w:highlight w:val="none"/>
              </w:rPr>
              <w:t>1</w:t>
            </w:r>
          </w:p>
        </w:tc>
        <w:tc>
          <w:tcPr>
            <w:tcW w:w="1077" w:type="dxa"/>
            <w:tcBorders>
              <w:top w:val="single" w:color="auto" w:sz="4" w:space="0"/>
              <w:left w:val="nil"/>
              <w:bottom w:val="single" w:color="auto" w:sz="4" w:space="0"/>
              <w:right w:val="single" w:color="auto" w:sz="4" w:space="0"/>
            </w:tcBorders>
            <w:vAlign w:val="center"/>
          </w:tcPr>
          <w:p>
            <w:pPr>
              <w:jc w:val="center"/>
              <w:rPr>
                <w:rFonts w:ascii="宋体" w:hAnsi="宋体"/>
                <w:color w:val="000000"/>
                <w:kern w:val="0"/>
                <w:sz w:val="24"/>
                <w:highlight w:val="none"/>
              </w:rPr>
            </w:pPr>
            <w:r>
              <w:rPr>
                <w:rFonts w:hint="eastAsia" w:ascii="宋体" w:hAnsi="宋体" w:cs="宋体"/>
                <w:szCs w:val="21"/>
                <w:highlight w:val="none"/>
              </w:rPr>
              <w:t>产品设备的先进性和合理性</w:t>
            </w:r>
          </w:p>
        </w:tc>
        <w:tc>
          <w:tcPr>
            <w:tcW w:w="6181" w:type="dxa"/>
            <w:tcBorders>
              <w:top w:val="single" w:color="auto" w:sz="4" w:space="0"/>
              <w:left w:val="nil"/>
              <w:bottom w:val="single" w:color="auto" w:sz="4" w:space="0"/>
              <w:right w:val="single" w:color="auto" w:sz="4" w:space="0"/>
            </w:tcBorders>
            <w:vAlign w:val="center"/>
          </w:tcPr>
          <w:p>
            <w:pPr>
              <w:numPr>
                <w:ilvl w:val="0"/>
                <w:numId w:val="5"/>
              </w:numPr>
              <w:adjustRightInd w:val="0"/>
              <w:snapToGrid w:val="0"/>
              <w:rPr>
                <w:rFonts w:ascii="宋体" w:hAnsi="宋体" w:cs="宋体"/>
                <w:szCs w:val="21"/>
                <w:highlight w:val="none"/>
              </w:rPr>
            </w:pPr>
            <w:r>
              <w:rPr>
                <w:rFonts w:hint="eastAsia" w:ascii="宋体" w:hAnsi="宋体" w:cs="宋体"/>
                <w:szCs w:val="21"/>
                <w:highlight w:val="none"/>
              </w:rPr>
              <w:t>投标产品所用压缩机品牌有8年及以上生产使用历史，满足的得5分，否则得0分，（若采用国产压缩机，提供本次投标产品所含同类压缩机的201</w:t>
            </w:r>
            <w:r>
              <w:rPr>
                <w:rFonts w:ascii="宋体" w:hAnsi="宋体" w:cs="宋体"/>
                <w:szCs w:val="21"/>
                <w:highlight w:val="none"/>
              </w:rPr>
              <w:t>3</w:t>
            </w:r>
            <w:r>
              <w:rPr>
                <w:rFonts w:hint="eastAsia" w:ascii="宋体" w:hAnsi="宋体" w:cs="宋体"/>
                <w:szCs w:val="21"/>
                <w:highlight w:val="none"/>
              </w:rPr>
              <w:t>年以来的生产许可证加盖制造商公章；若采用进口压缩机，提供201</w:t>
            </w:r>
            <w:r>
              <w:rPr>
                <w:rFonts w:ascii="宋体" w:hAnsi="宋体" w:cs="宋体"/>
                <w:szCs w:val="21"/>
                <w:highlight w:val="none"/>
              </w:rPr>
              <w:t>3</w:t>
            </w:r>
            <w:r>
              <w:rPr>
                <w:rFonts w:hint="eastAsia" w:ascii="宋体" w:hAnsi="宋体" w:cs="宋体"/>
                <w:szCs w:val="21"/>
                <w:highlight w:val="none"/>
              </w:rPr>
              <w:t>-2020年8年报关单复印件加盖制造商公章），0-5分</w:t>
            </w:r>
          </w:p>
          <w:p>
            <w:pPr>
              <w:numPr>
                <w:ilvl w:val="0"/>
                <w:numId w:val="5"/>
              </w:numPr>
              <w:adjustRightInd w:val="0"/>
              <w:snapToGrid w:val="0"/>
              <w:rPr>
                <w:rFonts w:ascii="宋体" w:hAnsi="宋体" w:cs="宋体"/>
                <w:szCs w:val="21"/>
                <w:highlight w:val="none"/>
              </w:rPr>
            </w:pPr>
            <w:r>
              <w:rPr>
                <w:rFonts w:hint="eastAsia" w:ascii="宋体" w:hAnsi="宋体" w:cs="宋体"/>
                <w:szCs w:val="21"/>
                <w:highlight w:val="none"/>
              </w:rPr>
              <w:t>所投产品的主要零部件（压缩机、变频功率模块、电子膨胀阀、电磁阀、高低压力传感器）品牌、产地、先进性进行综合打分；如有进口零部件需提供海关报关单复印件或中国电子口岸打印的报关单证明联（需提供网上打印并加盖企业公章的复印件）并加盖制造商公章。0-4分</w:t>
            </w:r>
          </w:p>
          <w:p>
            <w:pPr>
              <w:numPr>
                <w:ilvl w:val="0"/>
                <w:numId w:val="5"/>
              </w:numPr>
              <w:adjustRightInd w:val="0"/>
              <w:snapToGrid w:val="0"/>
              <w:rPr>
                <w:rFonts w:ascii="宋体" w:hAnsi="宋体" w:cs="宋体"/>
                <w:szCs w:val="21"/>
                <w:highlight w:val="none"/>
              </w:rPr>
            </w:pPr>
            <w:r>
              <w:rPr>
                <w:rFonts w:ascii="宋体" w:hAnsi="宋体" w:cs="宋体"/>
                <w:szCs w:val="21"/>
                <w:highlight w:val="none"/>
              </w:rPr>
              <w:t>投标机组具有高环温制冷能力零衰减、长配管制冷能力低衰减、室外机高机外静压下制冷能力零衰减（提供权威第三方检测机构证书并加盖制造商公章）</w:t>
            </w:r>
            <w:r>
              <w:rPr>
                <w:rFonts w:hint="eastAsia" w:ascii="宋体" w:hAnsi="宋体" w:cs="宋体"/>
                <w:szCs w:val="21"/>
                <w:highlight w:val="none"/>
              </w:rPr>
              <w:t>，0-3分</w:t>
            </w:r>
          </w:p>
          <w:p>
            <w:pPr>
              <w:numPr>
                <w:ilvl w:val="0"/>
                <w:numId w:val="5"/>
              </w:numPr>
              <w:adjustRightInd w:val="0"/>
              <w:snapToGrid w:val="0"/>
              <w:rPr>
                <w:rFonts w:ascii="宋体" w:hAnsi="宋体" w:cs="宋体"/>
                <w:szCs w:val="21"/>
                <w:highlight w:val="none"/>
              </w:rPr>
            </w:pPr>
            <w:r>
              <w:rPr>
                <w:rFonts w:hint="eastAsia" w:ascii="宋体" w:hAnsi="宋体" w:cs="宋体"/>
                <w:szCs w:val="21"/>
                <w:highlight w:val="none"/>
              </w:rPr>
              <w:t>室内机配置冷凝水提升泵得1分</w:t>
            </w:r>
            <w:r>
              <w:rPr>
                <w:rFonts w:ascii="宋体" w:hAnsi="宋体" w:cs="宋体"/>
                <w:szCs w:val="21"/>
                <w:highlight w:val="none"/>
              </w:rPr>
              <w:t>，其余不得分</w:t>
            </w:r>
          </w:p>
          <w:p>
            <w:pPr>
              <w:numPr>
                <w:ilvl w:val="0"/>
                <w:numId w:val="5"/>
              </w:numPr>
              <w:adjustRightInd w:val="0"/>
              <w:snapToGrid w:val="0"/>
              <w:rPr>
                <w:rFonts w:ascii="宋体" w:hAnsi="宋体" w:cs="宋体"/>
                <w:szCs w:val="21"/>
                <w:highlight w:val="none"/>
              </w:rPr>
            </w:pPr>
            <w:r>
              <w:rPr>
                <w:rFonts w:ascii="宋体" w:hAnsi="宋体" w:cs="宋体"/>
                <w:szCs w:val="21"/>
                <w:highlight w:val="none"/>
              </w:rPr>
              <w:t>室内机温度控制技术先进性</w:t>
            </w:r>
            <w:r>
              <w:rPr>
                <w:rFonts w:hint="eastAsia" w:ascii="宋体" w:hAnsi="宋体" w:cs="宋体"/>
                <w:szCs w:val="21"/>
                <w:highlight w:val="none"/>
              </w:rPr>
              <w:t>，横向比较，0-</w:t>
            </w:r>
            <w:r>
              <w:rPr>
                <w:rFonts w:ascii="宋体" w:hAnsi="宋体" w:cs="宋体"/>
                <w:szCs w:val="21"/>
                <w:highlight w:val="none"/>
              </w:rPr>
              <w:t>1</w:t>
            </w:r>
            <w:r>
              <w:rPr>
                <w:rFonts w:hint="eastAsia" w:ascii="宋体" w:hAnsi="宋体" w:cs="宋体"/>
                <w:szCs w:val="21"/>
                <w:highlight w:val="none"/>
              </w:rPr>
              <w:t>分</w:t>
            </w:r>
          </w:p>
          <w:p>
            <w:pPr>
              <w:numPr>
                <w:ilvl w:val="0"/>
                <w:numId w:val="5"/>
              </w:numPr>
              <w:adjustRightInd w:val="0"/>
              <w:snapToGrid w:val="0"/>
              <w:rPr>
                <w:rFonts w:ascii="宋体" w:hAnsi="宋体" w:cs="宋体"/>
                <w:szCs w:val="21"/>
                <w:highlight w:val="none"/>
              </w:rPr>
            </w:pPr>
            <w:r>
              <w:rPr>
                <w:rFonts w:hint="eastAsia" w:ascii="宋体" w:hAnsi="宋体" w:cs="宋体"/>
                <w:szCs w:val="21"/>
                <w:highlight w:val="none"/>
              </w:rPr>
              <w:t>室外机除霜技术先进性同时具有智能除霜技术、底部防结霜技术，横向比较，0-2分</w:t>
            </w:r>
          </w:p>
          <w:p>
            <w:pPr>
              <w:numPr>
                <w:ilvl w:val="0"/>
                <w:numId w:val="5"/>
              </w:numPr>
              <w:adjustRightInd w:val="0"/>
              <w:snapToGrid w:val="0"/>
              <w:rPr>
                <w:rFonts w:ascii="宋体" w:hAnsi="宋体" w:cs="宋体"/>
                <w:szCs w:val="21"/>
                <w:highlight w:val="none"/>
              </w:rPr>
            </w:pPr>
            <w:r>
              <w:rPr>
                <w:rFonts w:ascii="宋体" w:hAnsi="宋体" w:cs="宋体"/>
                <w:szCs w:val="21"/>
                <w:highlight w:val="none"/>
              </w:rPr>
              <w:t>节能先进性</w:t>
            </w:r>
            <w:r>
              <w:rPr>
                <w:rFonts w:hint="eastAsia" w:ascii="宋体" w:hAnsi="宋体" w:cs="宋体"/>
                <w:szCs w:val="21"/>
                <w:highlight w:val="none"/>
              </w:rPr>
              <w:t>，横向比较，0-2分</w:t>
            </w:r>
          </w:p>
          <w:p>
            <w:pPr>
              <w:numPr>
                <w:ilvl w:val="0"/>
                <w:numId w:val="5"/>
              </w:numPr>
              <w:adjustRightInd w:val="0"/>
              <w:snapToGrid w:val="0"/>
              <w:rPr>
                <w:rFonts w:ascii="宋体" w:hAnsi="宋体" w:cs="宋体"/>
                <w:szCs w:val="21"/>
                <w:highlight w:val="none"/>
              </w:rPr>
            </w:pPr>
            <w:r>
              <w:rPr>
                <w:rFonts w:ascii="宋体" w:hAnsi="宋体" w:cs="宋体"/>
                <w:szCs w:val="21"/>
                <w:highlight w:val="none"/>
              </w:rPr>
              <w:t>室外机模块可通过电梯运输</w:t>
            </w:r>
            <w:r>
              <w:rPr>
                <w:rFonts w:hint="eastAsia" w:ascii="宋体" w:hAnsi="宋体" w:cs="宋体"/>
                <w:szCs w:val="21"/>
                <w:highlight w:val="none"/>
              </w:rPr>
              <w:t>，横向比较，0-2分</w:t>
            </w:r>
          </w:p>
          <w:p>
            <w:pPr>
              <w:rPr>
                <w:highlight w:val="none"/>
              </w:rPr>
            </w:pPr>
            <w:r>
              <w:rPr>
                <w:rFonts w:ascii="宋体" w:hAnsi="宋体" w:cs="宋体"/>
                <w:szCs w:val="21"/>
                <w:highlight w:val="none"/>
              </w:rPr>
              <w:t>室外机具有双轮换运作功能</w:t>
            </w:r>
            <w:r>
              <w:rPr>
                <w:rFonts w:hint="eastAsia" w:ascii="宋体" w:hAnsi="宋体" w:cs="宋体"/>
                <w:szCs w:val="21"/>
                <w:highlight w:val="none"/>
              </w:rPr>
              <w:t>，横向比较，0-2分</w:t>
            </w:r>
          </w:p>
        </w:tc>
        <w:tc>
          <w:tcPr>
            <w:tcW w:w="1276" w:type="dxa"/>
            <w:tcBorders>
              <w:top w:val="single" w:color="auto" w:sz="4" w:space="0"/>
              <w:left w:val="nil"/>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ascii="宋体" w:hAnsi="宋体" w:cs="宋体"/>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华文中宋" w:hAnsi="华文中宋" w:eastAsia="华文中宋" w:cs="宋体"/>
                <w:sz w:val="24"/>
                <w:highlight w:val="none"/>
              </w:rPr>
            </w:pPr>
            <w:r>
              <w:rPr>
                <w:rFonts w:hint="eastAsia" w:ascii="宋体" w:hAnsi="宋体"/>
                <w:sz w:val="24"/>
                <w:highlight w:val="none"/>
              </w:rPr>
              <w:t>2</w:t>
            </w:r>
          </w:p>
        </w:tc>
        <w:tc>
          <w:tcPr>
            <w:tcW w:w="1077" w:type="dxa"/>
            <w:tcBorders>
              <w:top w:val="single" w:color="auto" w:sz="4" w:space="0"/>
              <w:left w:val="nil"/>
              <w:bottom w:val="single" w:color="auto" w:sz="4" w:space="0"/>
              <w:right w:val="single" w:color="auto" w:sz="4" w:space="0"/>
            </w:tcBorders>
            <w:vAlign w:val="center"/>
          </w:tcPr>
          <w:p>
            <w:pPr>
              <w:rPr>
                <w:sz w:val="24"/>
                <w:highlight w:val="none"/>
              </w:rPr>
            </w:pPr>
            <w:r>
              <w:rPr>
                <w:rFonts w:hint="eastAsia" w:ascii="宋体" w:hAnsi="宋体" w:cs="宋体"/>
                <w:szCs w:val="21"/>
                <w:highlight w:val="none"/>
              </w:rPr>
              <w:t>项目方案</w:t>
            </w:r>
          </w:p>
        </w:tc>
        <w:tc>
          <w:tcPr>
            <w:tcW w:w="6181" w:type="dxa"/>
            <w:tcBorders>
              <w:top w:val="single" w:color="auto" w:sz="4" w:space="0"/>
              <w:left w:val="nil"/>
              <w:bottom w:val="single" w:color="auto" w:sz="4" w:space="0"/>
              <w:right w:val="single" w:color="auto" w:sz="4" w:space="0"/>
            </w:tcBorders>
            <w:vAlign w:val="center"/>
          </w:tcPr>
          <w:p>
            <w:pPr>
              <w:rPr>
                <w:rFonts w:ascii="宋体" w:hAnsi="宋体"/>
                <w:sz w:val="24"/>
                <w:highlight w:val="none"/>
              </w:rPr>
            </w:pPr>
            <w:r>
              <w:rPr>
                <w:rFonts w:hint="eastAsia" w:ascii="宋体" w:hAnsi="宋体" w:cs="宋体"/>
                <w:szCs w:val="21"/>
                <w:highlight w:val="none"/>
              </w:rPr>
              <w:t>项目方案或计划的详实、可靠，工作</w:t>
            </w:r>
            <w:r>
              <w:rPr>
                <w:rFonts w:hint="eastAsia" w:ascii="宋体" w:hAnsi="宋体" w:cs="宋体"/>
                <w:kern w:val="0"/>
                <w:szCs w:val="21"/>
                <w:highlight w:val="none"/>
              </w:rPr>
              <w:t>流程的合理性、可实现性，横向对比，1-10分</w:t>
            </w:r>
          </w:p>
        </w:tc>
        <w:tc>
          <w:tcPr>
            <w:tcW w:w="1276" w:type="dxa"/>
            <w:tcBorders>
              <w:top w:val="single" w:color="auto" w:sz="4" w:space="0"/>
              <w:left w:val="nil"/>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hint="eastAsia" w:ascii="宋体" w:hAnsi="宋体"/>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3</w:t>
            </w:r>
          </w:p>
        </w:tc>
        <w:tc>
          <w:tcPr>
            <w:tcW w:w="107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Cs w:val="21"/>
                <w:highlight w:val="none"/>
              </w:rPr>
            </w:pPr>
            <w:r>
              <w:rPr>
                <w:rFonts w:hint="eastAsia" w:ascii="宋体" w:hAnsi="宋体" w:cs="宋体"/>
                <w:szCs w:val="21"/>
                <w:highlight w:val="none"/>
              </w:rPr>
              <w:t>项目</w:t>
            </w:r>
            <w:r>
              <w:rPr>
                <w:rFonts w:ascii="宋体" w:hAnsi="宋体" w:cs="宋体"/>
                <w:szCs w:val="21"/>
                <w:highlight w:val="none"/>
              </w:rPr>
              <w:t>理解</w:t>
            </w:r>
          </w:p>
        </w:tc>
        <w:tc>
          <w:tcPr>
            <w:tcW w:w="618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对</w:t>
            </w:r>
            <w:r>
              <w:rPr>
                <w:rFonts w:ascii="宋体" w:hAnsi="宋体" w:cs="宋体"/>
                <w:szCs w:val="21"/>
                <w:highlight w:val="none"/>
              </w:rPr>
              <w:t>本项目的理解程度，</w:t>
            </w:r>
            <w:r>
              <w:rPr>
                <w:rFonts w:hint="eastAsia" w:ascii="宋体" w:hAnsi="宋体" w:cs="宋体"/>
                <w:szCs w:val="21"/>
                <w:highlight w:val="none"/>
              </w:rPr>
              <w:t>系统设计的合理性、规范性、先进性</w:t>
            </w:r>
            <w:r>
              <w:rPr>
                <w:rFonts w:hint="eastAsia" w:ascii="宋体" w:hAnsi="宋体" w:cs="宋体"/>
                <w:kern w:val="0"/>
                <w:szCs w:val="21"/>
                <w:highlight w:val="none"/>
              </w:rPr>
              <w:t>，1-</w:t>
            </w:r>
            <w:r>
              <w:rPr>
                <w:rFonts w:ascii="宋体" w:hAnsi="宋体" w:cs="宋体"/>
                <w:kern w:val="0"/>
                <w:szCs w:val="21"/>
                <w:highlight w:val="none"/>
              </w:rPr>
              <w:t>6</w:t>
            </w:r>
            <w:r>
              <w:rPr>
                <w:rFonts w:hint="eastAsia" w:ascii="宋体" w:hAnsi="宋体" w:cs="宋体"/>
                <w:kern w:val="0"/>
                <w:szCs w:val="21"/>
                <w:highlight w:val="none"/>
              </w:rPr>
              <w:t>分</w:t>
            </w:r>
          </w:p>
        </w:tc>
        <w:tc>
          <w:tcPr>
            <w:tcW w:w="1276" w:type="dxa"/>
            <w:tcBorders>
              <w:top w:val="single" w:color="auto" w:sz="4" w:space="0"/>
              <w:left w:val="nil"/>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hint="eastAsia" w:ascii="宋体" w:hAnsi="宋体"/>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hint="eastAsia" w:ascii="宋体" w:hAnsi="宋体"/>
                <w:sz w:val="24"/>
                <w:highlight w:val="none"/>
              </w:rPr>
              <w:t>4</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kern w:val="0"/>
                <w:sz w:val="24"/>
                <w:highlight w:val="none"/>
              </w:rPr>
            </w:pPr>
            <w:r>
              <w:rPr>
                <w:rFonts w:hint="eastAsia" w:ascii="宋体" w:hAnsi="宋体" w:cs="宋体"/>
                <w:szCs w:val="21"/>
                <w:highlight w:val="none"/>
              </w:rPr>
              <w:t>现场勘查</w:t>
            </w:r>
          </w:p>
        </w:tc>
        <w:tc>
          <w:tcPr>
            <w:tcW w:w="6181" w:type="dxa"/>
            <w:tcBorders>
              <w:top w:val="single" w:color="auto" w:sz="4" w:space="0"/>
              <w:left w:val="nil"/>
              <w:bottom w:val="single" w:color="auto" w:sz="4" w:space="0"/>
              <w:right w:val="single" w:color="auto" w:sz="4" w:space="0"/>
            </w:tcBorders>
            <w:vAlign w:val="center"/>
          </w:tcPr>
          <w:p>
            <w:pPr>
              <w:rPr>
                <w:highlight w:val="none"/>
              </w:rPr>
            </w:pPr>
            <w:r>
              <w:rPr>
                <w:rFonts w:hint="eastAsia" w:ascii="宋体" w:hAnsi="宋体" w:cs="宋体"/>
                <w:szCs w:val="21"/>
                <w:highlight w:val="none"/>
              </w:rPr>
              <w:t>现场勘查：要求提供现场平面图，设备分布图。横向比较，</w:t>
            </w:r>
            <w:r>
              <w:rPr>
                <w:rFonts w:hint="eastAsia" w:ascii="宋体" w:hAnsi="宋体" w:cs="宋体"/>
                <w:kern w:val="0"/>
                <w:szCs w:val="21"/>
                <w:highlight w:val="none"/>
              </w:rPr>
              <w:t>1-</w:t>
            </w:r>
            <w:r>
              <w:rPr>
                <w:rFonts w:ascii="宋体" w:hAnsi="宋体" w:cs="宋体"/>
                <w:kern w:val="0"/>
                <w:szCs w:val="21"/>
                <w:highlight w:val="none"/>
              </w:rPr>
              <w:t>6</w:t>
            </w:r>
            <w:r>
              <w:rPr>
                <w:rFonts w:hint="eastAsia" w:ascii="宋体" w:hAnsi="宋体" w:cs="宋体"/>
                <w:kern w:val="0"/>
                <w:szCs w:val="21"/>
                <w:highlight w:val="none"/>
              </w:rPr>
              <w:t>分</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highlight w:val="none"/>
              </w:rPr>
            </w:pPr>
            <w:r>
              <w:rPr>
                <w:rFonts w:ascii="宋体" w:hAnsi="宋体"/>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hint="eastAsia" w:ascii="宋体" w:hAnsi="宋体"/>
                <w:sz w:val="24"/>
                <w:highlight w:val="none"/>
              </w:rPr>
              <w:t>5</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kern w:val="0"/>
                <w:sz w:val="24"/>
                <w:highlight w:val="none"/>
              </w:rPr>
            </w:pPr>
            <w:r>
              <w:rPr>
                <w:rFonts w:hint="eastAsia" w:ascii="宋体" w:hAnsi="宋体" w:cs="宋体"/>
                <w:szCs w:val="21"/>
                <w:highlight w:val="none"/>
                <w:lang w:val="zh-CN"/>
              </w:rPr>
              <w:t>负责人</w:t>
            </w:r>
            <w:r>
              <w:rPr>
                <w:rFonts w:hint="eastAsia" w:ascii="宋体" w:hAnsi="宋体" w:cs="宋体"/>
                <w:szCs w:val="21"/>
                <w:highlight w:val="none"/>
              </w:rPr>
              <w:t>业绩</w:t>
            </w:r>
          </w:p>
        </w:tc>
        <w:tc>
          <w:tcPr>
            <w:tcW w:w="6181" w:type="dxa"/>
            <w:tcBorders>
              <w:top w:val="single" w:color="auto" w:sz="4" w:space="0"/>
              <w:left w:val="nil"/>
              <w:bottom w:val="single" w:color="auto" w:sz="4" w:space="0"/>
              <w:right w:val="single" w:color="auto" w:sz="4" w:space="0"/>
            </w:tcBorders>
            <w:vAlign w:val="center"/>
          </w:tcPr>
          <w:p>
            <w:pPr>
              <w:rPr>
                <w:rFonts w:ascii="宋体" w:hAnsi="宋体"/>
                <w:sz w:val="24"/>
                <w:highlight w:val="none"/>
              </w:rPr>
            </w:pPr>
            <w:r>
              <w:rPr>
                <w:rFonts w:hint="eastAsia" w:ascii="宋体" w:hAnsi="宋体" w:cs="宋体"/>
                <w:szCs w:val="21"/>
                <w:highlight w:val="none"/>
                <w:lang w:val="zh-CN"/>
              </w:rPr>
              <w:t>拟项目负责人</w:t>
            </w:r>
            <w:r>
              <w:rPr>
                <w:rFonts w:hint="eastAsia" w:ascii="宋体" w:hAnsi="宋体" w:cs="宋体"/>
                <w:kern w:val="0"/>
                <w:szCs w:val="21"/>
                <w:highlight w:val="none"/>
              </w:rPr>
              <w:t>近三年</w:t>
            </w:r>
            <w:r>
              <w:rPr>
                <w:rFonts w:hint="eastAsia" w:ascii="宋体" w:hAnsi="宋体" w:cs="宋体"/>
                <w:szCs w:val="21"/>
                <w:highlight w:val="none"/>
              </w:rPr>
              <w:t>完成300万</w:t>
            </w:r>
            <w:r>
              <w:rPr>
                <w:rFonts w:hint="eastAsia" w:ascii="宋体" w:hAnsi="宋体" w:cs="宋体"/>
                <w:szCs w:val="21"/>
                <w:highlight w:val="none"/>
                <w:lang w:val="zh-CN"/>
              </w:rPr>
              <w:t>业绩，</w:t>
            </w:r>
            <w:r>
              <w:rPr>
                <w:rFonts w:hint="eastAsia" w:ascii="宋体" w:hAnsi="宋体" w:cs="宋体"/>
                <w:szCs w:val="21"/>
                <w:highlight w:val="none"/>
              </w:rPr>
              <w:t>每个得1分</w:t>
            </w:r>
            <w:r>
              <w:rPr>
                <w:rFonts w:hint="eastAsia" w:ascii="宋体" w:hAnsi="宋体" w:cs="宋体"/>
                <w:szCs w:val="21"/>
                <w:highlight w:val="none"/>
                <w:lang w:val="zh-CN"/>
              </w:rPr>
              <w:t>，最高</w:t>
            </w:r>
            <w:r>
              <w:rPr>
                <w:rFonts w:hint="eastAsia" w:ascii="宋体" w:hAnsi="宋体" w:cs="宋体"/>
                <w:szCs w:val="21"/>
                <w:highlight w:val="none"/>
              </w:rPr>
              <w:t>得</w:t>
            </w:r>
            <w:r>
              <w:rPr>
                <w:rFonts w:ascii="宋体" w:hAnsi="宋体" w:cs="宋体"/>
                <w:szCs w:val="21"/>
                <w:highlight w:val="none"/>
              </w:rPr>
              <w:t>4</w:t>
            </w:r>
            <w:r>
              <w:rPr>
                <w:rFonts w:hint="eastAsia" w:ascii="宋体" w:hAnsi="宋体" w:cs="宋体"/>
                <w:szCs w:val="21"/>
                <w:highlight w:val="none"/>
                <w:lang w:val="zh-CN"/>
              </w:rPr>
              <w:t>分。</w:t>
            </w:r>
            <w:r>
              <w:rPr>
                <w:rFonts w:hint="eastAsia" w:ascii="宋体" w:hAnsi="宋体" w:cs="宋体"/>
                <w:szCs w:val="21"/>
                <w:highlight w:val="none"/>
              </w:rPr>
              <w:t>（须出具业绩证明材料：①中标通知书或施工合同复印件、②建设单位盖章证明已验收合格的竣工验收资料复印件。以上资料都需体现项目经理姓名，如无法显示的，还须提交建设单位出具的证明材料，开标时须原件核对）</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highlight w:val="none"/>
              </w:rPr>
            </w:pPr>
            <w:r>
              <w:rPr>
                <w:rFonts w:ascii="宋体" w:hAnsi="宋体"/>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hint="eastAsia" w:ascii="宋体" w:hAnsi="宋体"/>
                <w:sz w:val="24"/>
                <w:highlight w:val="none"/>
              </w:rPr>
              <w:t>6</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highlight w:val="none"/>
                <w:lang w:val="zh-CN"/>
              </w:rPr>
            </w:pPr>
            <w:r>
              <w:rPr>
                <w:rFonts w:hint="eastAsia" w:ascii="宋体" w:hAnsi="宋体" w:cs="宋体"/>
                <w:szCs w:val="21"/>
                <w:highlight w:val="none"/>
              </w:rPr>
              <w:t>其他设备技术</w:t>
            </w:r>
          </w:p>
        </w:tc>
        <w:tc>
          <w:tcPr>
            <w:tcW w:w="6181"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lang w:val="zh-CN"/>
              </w:rPr>
            </w:pPr>
            <w:r>
              <w:rPr>
                <w:rFonts w:hint="eastAsia" w:ascii="宋体" w:hAnsi="宋体" w:cs="宋体"/>
                <w:szCs w:val="21"/>
                <w:highlight w:val="none"/>
              </w:rPr>
              <w:t>其他设备技术参数的符合性（对比招标清单项目特征）,1-2分</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hint="eastAsia" w:ascii="宋体" w:hAnsi="宋体"/>
                <w:sz w:val="24"/>
                <w:highlight w:val="none"/>
              </w:rPr>
              <w:t>7</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highlight w:val="none"/>
              </w:rPr>
              <w:t>售后服务</w:t>
            </w:r>
          </w:p>
        </w:tc>
        <w:tc>
          <w:tcPr>
            <w:tcW w:w="6181"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highlight w:val="none"/>
              </w:rPr>
              <w:t>售后服务响应时间，售后服务方案合理性，</w:t>
            </w:r>
            <w:r>
              <w:rPr>
                <w:rFonts w:hint="eastAsia" w:ascii="宋体" w:hAnsi="宋体" w:cs="宋体"/>
                <w:szCs w:val="21"/>
                <w:highlight w:val="none"/>
              </w:rPr>
              <w:t>1-</w:t>
            </w:r>
            <w:r>
              <w:rPr>
                <w:rFonts w:ascii="宋体" w:hAnsi="宋体" w:cs="宋体"/>
                <w:szCs w:val="21"/>
                <w:highlight w:val="none"/>
              </w:rPr>
              <w:t>2</w:t>
            </w:r>
            <w:r>
              <w:rPr>
                <w:rFonts w:hint="eastAsia" w:ascii="宋体" w:hAnsi="宋体" w:cs="宋体"/>
                <w:szCs w:val="21"/>
                <w:highlight w:val="none"/>
              </w:rPr>
              <w:t>分</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highlight w:val="none"/>
              </w:rPr>
            </w:pPr>
            <w:r>
              <w:rPr>
                <w:rFonts w:ascii="宋体" w:hAnsi="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hint="eastAsia" w:ascii="宋体" w:hAnsi="宋体"/>
                <w:sz w:val="24"/>
                <w:highlight w:val="none"/>
              </w:rPr>
              <w:t>8</w:t>
            </w:r>
          </w:p>
        </w:tc>
        <w:tc>
          <w:tcPr>
            <w:tcW w:w="1077" w:type="dxa"/>
            <w:tcBorders>
              <w:top w:val="single" w:color="auto" w:sz="4" w:space="0"/>
              <w:left w:val="nil"/>
              <w:bottom w:val="single" w:color="auto" w:sz="4" w:space="0"/>
              <w:right w:val="single" w:color="auto" w:sz="4" w:space="0"/>
            </w:tcBorders>
            <w:vAlign w:val="center"/>
          </w:tcPr>
          <w:p>
            <w:pPr>
              <w:widowControl/>
              <w:jc w:val="center"/>
              <w:rPr>
                <w:highlight w:val="none"/>
              </w:rPr>
            </w:pPr>
            <w:r>
              <w:rPr>
                <w:rFonts w:hint="eastAsia"/>
                <w:highlight w:val="none"/>
              </w:rPr>
              <w:t>文明</w:t>
            </w:r>
            <w:r>
              <w:rPr>
                <w:highlight w:val="none"/>
              </w:rPr>
              <w:t>施工，</w:t>
            </w:r>
            <w:r>
              <w:rPr>
                <w:rFonts w:hint="eastAsia"/>
                <w:highlight w:val="none"/>
              </w:rPr>
              <w:t>工期</w:t>
            </w:r>
          </w:p>
        </w:tc>
        <w:tc>
          <w:tcPr>
            <w:tcW w:w="6181" w:type="dxa"/>
            <w:tcBorders>
              <w:top w:val="single" w:color="auto" w:sz="4" w:space="0"/>
              <w:left w:val="nil"/>
              <w:bottom w:val="single" w:color="auto" w:sz="4" w:space="0"/>
              <w:right w:val="single" w:color="auto" w:sz="4" w:space="0"/>
            </w:tcBorders>
            <w:vAlign w:val="center"/>
          </w:tcPr>
          <w:p>
            <w:pPr>
              <w:rPr>
                <w:highlight w:val="none"/>
              </w:rPr>
            </w:pPr>
            <w:r>
              <w:rPr>
                <w:rFonts w:hint="eastAsia"/>
                <w:highlight w:val="none"/>
              </w:rPr>
              <w:t>对文明</w:t>
            </w:r>
            <w:r>
              <w:rPr>
                <w:highlight w:val="none"/>
              </w:rPr>
              <w:t>施工、工期保证的合理化建议及措施</w:t>
            </w:r>
            <w:r>
              <w:rPr>
                <w:rFonts w:hint="eastAsia"/>
                <w:highlight w:val="none"/>
              </w:rPr>
              <w:t>，横向</w:t>
            </w:r>
            <w:r>
              <w:rPr>
                <w:highlight w:val="none"/>
              </w:rPr>
              <w:t>比较</w:t>
            </w:r>
            <w:r>
              <w:rPr>
                <w:rFonts w:hint="eastAsia" w:ascii="宋体" w:hAnsi="宋体" w:cs="宋体"/>
                <w:szCs w:val="21"/>
                <w:highlight w:val="none"/>
              </w:rPr>
              <w:t>，0-</w:t>
            </w:r>
            <w:r>
              <w:rPr>
                <w:rFonts w:ascii="宋体" w:hAnsi="宋体" w:cs="宋体"/>
                <w:szCs w:val="21"/>
                <w:highlight w:val="none"/>
              </w:rPr>
              <w:t>3</w:t>
            </w:r>
            <w:r>
              <w:rPr>
                <w:rFonts w:hint="eastAsia" w:ascii="宋体" w:hAnsi="宋体" w:cs="宋体"/>
                <w:szCs w:val="21"/>
                <w:highlight w:val="none"/>
              </w:rPr>
              <w:t>分</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ascii="宋体" w:hAnsi="宋体"/>
                <w:sz w:val="24"/>
                <w:highlight w:val="none"/>
              </w:rPr>
              <w:t>9</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highlight w:val="none"/>
              </w:rPr>
              <w:t>空调制冷量/制热量</w:t>
            </w:r>
          </w:p>
        </w:tc>
        <w:tc>
          <w:tcPr>
            <w:tcW w:w="6181"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highlight w:val="none"/>
              </w:rPr>
              <w:t>空调制冷量/制热量合理性、满足性：全部满足得3分，</w:t>
            </w:r>
            <w:r>
              <w:rPr>
                <w:highlight w:val="none"/>
              </w:rPr>
              <w:t>每少一项扣一分，最低</w:t>
            </w:r>
            <w:r>
              <w:rPr>
                <w:rFonts w:hint="eastAsia"/>
                <w:highlight w:val="none"/>
              </w:rPr>
              <w:t>0分</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contextualSpacing/>
              <w:jc w:val="center"/>
              <w:rPr>
                <w:rFonts w:ascii="宋体" w:hAnsi="宋体"/>
                <w:sz w:val="24"/>
                <w:highlight w:val="none"/>
              </w:rPr>
            </w:pPr>
            <w:r>
              <w:rPr>
                <w:rFonts w:ascii="宋体" w:hAnsi="宋体"/>
                <w:sz w:val="24"/>
                <w:highlight w:val="none"/>
              </w:rPr>
              <w:t>10</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highlight w:val="none"/>
              </w:rPr>
            </w:pPr>
            <w:r>
              <w:rPr>
                <w:rFonts w:hint="eastAsia" w:ascii="宋体" w:hAnsi="宋体" w:cs="宋体"/>
                <w:szCs w:val="21"/>
                <w:highlight w:val="none"/>
              </w:rPr>
              <w:t>优惠条款</w:t>
            </w:r>
          </w:p>
        </w:tc>
        <w:tc>
          <w:tcPr>
            <w:tcW w:w="6181" w:type="dxa"/>
            <w:tcBorders>
              <w:top w:val="single" w:color="auto" w:sz="4" w:space="0"/>
              <w:left w:val="nil"/>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其他优惠条款，每条可实现优惠得1分，最高</w:t>
            </w:r>
            <w:r>
              <w:rPr>
                <w:rFonts w:ascii="宋体" w:hAnsi="宋体" w:cs="宋体"/>
                <w:szCs w:val="21"/>
                <w:highlight w:val="none"/>
              </w:rPr>
              <w:t>2</w:t>
            </w:r>
            <w:r>
              <w:rPr>
                <w:rFonts w:hint="eastAsia" w:ascii="宋体" w:hAnsi="宋体" w:cs="宋体"/>
                <w:szCs w:val="21"/>
                <w:highlight w:val="none"/>
              </w:rPr>
              <w:t>分</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sz w:val="24"/>
                <w:highlight w:val="none"/>
              </w:rPr>
            </w:pPr>
            <w:r>
              <w:rPr>
                <w:rFonts w:ascii="宋体" w:hAnsi="宋体"/>
                <w:sz w:val="24"/>
                <w:highlight w:val="none"/>
              </w:rPr>
              <w:t>2</w:t>
            </w:r>
          </w:p>
        </w:tc>
      </w:tr>
    </w:tbl>
    <w:p>
      <w:pPr>
        <w:spacing w:line="360" w:lineRule="auto"/>
        <w:jc w:val="center"/>
        <w:rPr>
          <w:rFonts w:ascii="宋体" w:hAnsi="宋体"/>
          <w:b/>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第四章 项目需求</w:t>
      </w:r>
    </w:p>
    <w:p>
      <w:pPr>
        <w:tabs>
          <w:tab w:val="left" w:pos="8280"/>
        </w:tabs>
        <w:autoSpaceDE w:val="0"/>
        <w:autoSpaceDN w:val="0"/>
        <w:adjustRightInd w:val="0"/>
        <w:spacing w:line="360" w:lineRule="auto"/>
        <w:ind w:right="25" w:firstLine="482" w:firstLineChars="200"/>
        <w:jc w:val="left"/>
        <w:rPr>
          <w:rFonts w:ascii="宋体" w:hAnsi="宋体" w:cs="楷体_GB2312"/>
          <w:color w:val="000000" w:themeColor="text1"/>
          <w:sz w:val="24"/>
          <w:highlight w:val="none"/>
          <w14:textFill>
            <w14:solidFill>
              <w14:schemeClr w14:val="tx1"/>
            </w14:solidFill>
          </w14:textFill>
        </w:rPr>
      </w:pPr>
      <w:r>
        <w:rPr>
          <w:rFonts w:hint="eastAsia" w:ascii="宋体" w:hAnsi="宋体" w:cs="楷体_GB2312"/>
          <w:b/>
          <w:color w:val="000000" w:themeColor="text1"/>
          <w:sz w:val="24"/>
          <w:highlight w:val="none"/>
          <w14:textFill>
            <w14:solidFill>
              <w14:schemeClr w14:val="tx1"/>
            </w14:solidFill>
          </w14:textFill>
        </w:rPr>
        <w:t>一、磋商项目一览表</w:t>
      </w:r>
    </w:p>
    <w:p>
      <w:pPr>
        <w:tabs>
          <w:tab w:val="left" w:pos="8280"/>
        </w:tabs>
        <w:autoSpaceDE w:val="0"/>
        <w:autoSpaceDN w:val="0"/>
        <w:adjustRightInd w:val="0"/>
        <w:spacing w:line="360" w:lineRule="auto"/>
        <w:ind w:right="25" w:firstLine="2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本次磋商共</w:t>
      </w:r>
      <w:r>
        <w:rPr>
          <w:rFonts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个标段，具体内容如下表：</w:t>
      </w:r>
    </w:p>
    <w:tbl>
      <w:tblPr>
        <w:tblStyle w:val="28"/>
        <w:tblW w:w="89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42"/>
        <w:gridCol w:w="1276"/>
        <w:gridCol w:w="1648"/>
        <w:gridCol w:w="1471"/>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5"/>
              <w:jc w:val="center"/>
              <w:rPr>
                <w:rFonts w:ascii="宋体" w:hAnsi="宋体"/>
                <w:b/>
                <w:bCs/>
                <w:color w:val="000000"/>
                <w:sz w:val="24"/>
                <w:highlight w:val="none"/>
              </w:rPr>
            </w:pPr>
            <w:r>
              <w:rPr>
                <w:rFonts w:hint="eastAsia" w:ascii="宋体" w:hAnsi="宋体"/>
                <w:b/>
                <w:bCs/>
                <w:color w:val="000000"/>
                <w:sz w:val="24"/>
                <w:highlight w:val="none"/>
              </w:rPr>
              <w:t>序号</w:t>
            </w:r>
          </w:p>
        </w:tc>
        <w:tc>
          <w:tcPr>
            <w:tcW w:w="18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5" w:firstLine="120" w:firstLineChars="50"/>
              <w:jc w:val="center"/>
              <w:rPr>
                <w:rFonts w:ascii="宋体" w:hAnsi="宋体"/>
                <w:b/>
                <w:bCs/>
                <w:color w:val="000000"/>
                <w:sz w:val="24"/>
                <w:highlight w:val="none"/>
              </w:rPr>
            </w:pPr>
            <w:r>
              <w:rPr>
                <w:rFonts w:hint="eastAsia" w:ascii="宋体" w:hAnsi="宋体"/>
                <w:b/>
                <w:bCs/>
                <w:color w:val="000000"/>
                <w:sz w:val="24"/>
                <w:highlight w:val="none"/>
              </w:rPr>
              <w:t>项目名称</w:t>
            </w:r>
          </w:p>
        </w:tc>
        <w:tc>
          <w:tcPr>
            <w:tcW w:w="1276" w:type="dxa"/>
            <w:tcBorders>
              <w:top w:val="single" w:color="auto" w:sz="4" w:space="0"/>
              <w:left w:val="nil"/>
              <w:bottom w:val="single" w:color="auto" w:sz="4" w:space="0"/>
              <w:right w:val="single" w:color="auto" w:sz="4" w:space="0"/>
            </w:tcBorders>
            <w:vAlign w:val="center"/>
          </w:tcPr>
          <w:p>
            <w:pPr>
              <w:jc w:val="center"/>
              <w:rPr>
                <w:szCs w:val="21"/>
                <w:highlight w:val="none"/>
              </w:rPr>
            </w:pPr>
            <w:r>
              <w:rPr>
                <w:rFonts w:hint="eastAsia" w:ascii="宋体" w:hAnsi="宋体"/>
                <w:b/>
                <w:bCs/>
                <w:color w:val="000000"/>
                <w:sz w:val="24"/>
                <w:highlight w:val="none"/>
              </w:rPr>
              <w:t>数量</w:t>
            </w:r>
          </w:p>
        </w:tc>
        <w:tc>
          <w:tcPr>
            <w:tcW w:w="164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5"/>
              <w:jc w:val="center"/>
              <w:rPr>
                <w:rFonts w:ascii="宋体" w:hAnsi="宋体"/>
                <w:b/>
                <w:bCs/>
                <w:sz w:val="24"/>
                <w:highlight w:val="none"/>
              </w:rPr>
            </w:pPr>
            <w:r>
              <w:rPr>
                <w:rFonts w:hint="eastAsia" w:ascii="宋体" w:hAnsi="宋体"/>
                <w:b/>
                <w:bCs/>
                <w:sz w:val="24"/>
                <w:highlight w:val="none"/>
              </w:rPr>
              <w:t>预算（元）</w:t>
            </w:r>
          </w:p>
        </w:tc>
        <w:tc>
          <w:tcPr>
            <w:tcW w:w="147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5"/>
              <w:jc w:val="center"/>
              <w:rPr>
                <w:szCs w:val="21"/>
                <w:highlight w:val="none"/>
              </w:rPr>
            </w:pPr>
            <w:r>
              <w:rPr>
                <w:rFonts w:hint="eastAsia" w:ascii="宋体" w:hAnsi="宋体"/>
                <w:b/>
                <w:bCs/>
                <w:sz w:val="24"/>
                <w:highlight w:val="none"/>
              </w:rPr>
              <w:t>完成时间</w:t>
            </w:r>
          </w:p>
        </w:tc>
        <w:tc>
          <w:tcPr>
            <w:tcW w:w="18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5"/>
              <w:jc w:val="center"/>
              <w:rPr>
                <w:rFonts w:ascii="宋体" w:hAnsi="宋体"/>
                <w:b/>
                <w:bCs/>
                <w:sz w:val="24"/>
                <w:highlight w:val="none"/>
              </w:rPr>
            </w:pPr>
            <w:r>
              <w:rPr>
                <w:rFonts w:hint="eastAsia" w:ascii="宋体" w:hAnsi="宋体"/>
                <w:b/>
                <w:bCs/>
                <w:sz w:val="24"/>
                <w:highlight w:val="none"/>
              </w:rPr>
              <w:t>完成地点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5"/>
              <w:jc w:val="center"/>
              <w:rPr>
                <w:rFonts w:ascii="宋体" w:hAnsi="宋体"/>
                <w:sz w:val="24"/>
                <w:highlight w:val="none"/>
              </w:rPr>
            </w:pPr>
            <w:r>
              <w:rPr>
                <w:rFonts w:hint="eastAsia" w:ascii="宋体" w:hAnsi="宋体"/>
                <w:sz w:val="24"/>
                <w:highlight w:val="none"/>
              </w:rPr>
              <w:t>1</w:t>
            </w:r>
          </w:p>
        </w:tc>
        <w:tc>
          <w:tcPr>
            <w:tcW w:w="18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5"/>
              <w:jc w:val="center"/>
              <w:rPr>
                <w:rFonts w:ascii="宋体" w:hAnsi="宋体"/>
                <w:sz w:val="24"/>
                <w:highlight w:val="none"/>
              </w:rPr>
            </w:pPr>
            <w:r>
              <w:rPr>
                <w:rFonts w:hint="eastAsia" w:ascii="宋体" w:hAnsi="宋体"/>
                <w:sz w:val="24"/>
                <w:highlight w:val="none"/>
              </w:rPr>
              <w:t>大楼中央空调整体改造项目一期</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5"/>
              <w:jc w:val="center"/>
              <w:rPr>
                <w:rFonts w:ascii="宋体" w:hAnsi="宋体"/>
                <w:sz w:val="24"/>
                <w:highlight w:val="none"/>
              </w:rPr>
            </w:pPr>
            <w:r>
              <w:rPr>
                <w:rFonts w:hint="eastAsia" w:ascii="宋体" w:hAnsi="宋体"/>
                <w:sz w:val="24"/>
                <w:highlight w:val="none"/>
              </w:rPr>
              <w:t>1项</w:t>
            </w:r>
          </w:p>
        </w:tc>
        <w:tc>
          <w:tcPr>
            <w:tcW w:w="1648" w:type="dxa"/>
            <w:tcBorders>
              <w:top w:val="single" w:color="auto" w:sz="4" w:space="0"/>
              <w:left w:val="nil"/>
              <w:bottom w:val="single" w:color="auto" w:sz="4" w:space="0"/>
              <w:right w:val="single" w:color="auto" w:sz="4" w:space="0"/>
            </w:tcBorders>
            <w:vAlign w:val="center"/>
          </w:tcPr>
          <w:p>
            <w:pPr>
              <w:autoSpaceDE w:val="0"/>
              <w:autoSpaceDN w:val="0"/>
              <w:adjustRightInd w:val="0"/>
              <w:ind w:right="25"/>
              <w:jc w:val="center"/>
              <w:rPr>
                <w:rFonts w:ascii="宋体" w:hAnsi="宋体"/>
                <w:color w:val="000000"/>
                <w:sz w:val="24"/>
                <w:highlight w:val="none"/>
              </w:rPr>
            </w:pPr>
            <w:r>
              <w:rPr>
                <w:rFonts w:hint="eastAsia" w:ascii="宋体" w:hAnsi="宋体"/>
                <w:color w:val="000000"/>
                <w:sz w:val="24"/>
                <w:highlight w:val="none"/>
              </w:rPr>
              <w:t>3900000.00</w:t>
            </w:r>
          </w:p>
        </w:tc>
        <w:tc>
          <w:tcPr>
            <w:tcW w:w="147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sz w:val="24"/>
                <w:highlight w:val="none"/>
              </w:rPr>
            </w:pPr>
            <w:r>
              <w:rPr>
                <w:rFonts w:hint="eastAsia" w:ascii="宋体" w:hAnsi="宋体"/>
                <w:sz w:val="24"/>
                <w:highlight w:val="none"/>
              </w:rPr>
              <w:t>合同签订后</w:t>
            </w:r>
            <w:r>
              <w:rPr>
                <w:rFonts w:ascii="宋体" w:hAnsi="宋体"/>
                <w:sz w:val="24"/>
                <w:highlight w:val="none"/>
              </w:rPr>
              <w:t>6</w:t>
            </w:r>
            <w:r>
              <w:rPr>
                <w:rFonts w:hint="eastAsia" w:ascii="宋体" w:hAnsi="宋体"/>
                <w:sz w:val="24"/>
                <w:highlight w:val="none"/>
              </w:rPr>
              <w:t>0天内完成</w:t>
            </w:r>
          </w:p>
        </w:tc>
        <w:tc>
          <w:tcPr>
            <w:tcW w:w="1829" w:type="dxa"/>
            <w:tcBorders>
              <w:top w:val="single" w:color="auto" w:sz="4" w:space="0"/>
              <w:left w:val="nil"/>
              <w:bottom w:val="single" w:color="auto" w:sz="4" w:space="0"/>
              <w:right w:val="single" w:color="auto" w:sz="4" w:space="0"/>
            </w:tcBorders>
            <w:vAlign w:val="center"/>
          </w:tcPr>
          <w:p>
            <w:pPr>
              <w:autoSpaceDE w:val="0"/>
              <w:autoSpaceDN w:val="0"/>
              <w:adjustRightInd w:val="0"/>
              <w:spacing w:before="100" w:line="240" w:lineRule="atLeast"/>
              <w:ind w:right="23"/>
              <w:jc w:val="center"/>
              <w:rPr>
                <w:rFonts w:ascii="宋体" w:hAnsi="宋体"/>
                <w:sz w:val="24"/>
                <w:highlight w:val="none"/>
              </w:rPr>
            </w:pPr>
            <w:r>
              <w:rPr>
                <w:rFonts w:hint="eastAsia" w:ascii="宋体" w:hAnsi="宋体"/>
                <w:sz w:val="24"/>
                <w:highlight w:val="none"/>
              </w:rPr>
              <w:t>杭州市凤起东路109号</w:t>
            </w:r>
          </w:p>
        </w:tc>
      </w:tr>
    </w:tbl>
    <w:p>
      <w:pPr>
        <w:tabs>
          <w:tab w:val="left" w:pos="8280"/>
        </w:tabs>
        <w:autoSpaceDE w:val="0"/>
        <w:autoSpaceDN w:val="0"/>
        <w:adjustRightInd w:val="0"/>
        <w:spacing w:line="360" w:lineRule="auto"/>
        <w:ind w:right="25" w:firstLine="280"/>
        <w:rPr>
          <w:rFonts w:ascii="宋体" w:hAnsi="宋体"/>
          <w:color w:val="000000" w:themeColor="text1"/>
          <w:sz w:val="24"/>
          <w:highlight w:val="none"/>
          <w14:textFill>
            <w14:solidFill>
              <w14:schemeClr w14:val="tx1"/>
            </w14:solidFill>
          </w14:textFill>
        </w:rPr>
      </w:pPr>
    </w:p>
    <w:p>
      <w:pPr>
        <w:numPr>
          <w:ilvl w:val="0"/>
          <w:numId w:val="6"/>
        </w:numPr>
        <w:tabs>
          <w:tab w:val="left" w:pos="8280"/>
        </w:tabs>
        <w:autoSpaceDE w:val="0"/>
        <w:autoSpaceDN w:val="0"/>
        <w:adjustRightInd w:val="0"/>
        <w:spacing w:line="360" w:lineRule="auto"/>
        <w:ind w:right="25"/>
        <w:rPr>
          <w:rFonts w:ascii="宋体" w:hAnsi="宋体"/>
          <w:b/>
          <w:sz w:val="24"/>
          <w:highlight w:val="none"/>
        </w:rPr>
      </w:pPr>
      <w:r>
        <w:rPr>
          <w:rFonts w:hint="eastAsia" w:ascii="宋体" w:hAnsi="宋体"/>
          <w:b/>
          <w:sz w:val="24"/>
          <w:highlight w:val="none"/>
        </w:rPr>
        <w:t>技术需求</w:t>
      </w:r>
    </w:p>
    <w:p>
      <w:pPr>
        <w:pStyle w:val="3"/>
        <w:ind w:left="422" w:firstLine="0" w:firstLineChars="0"/>
        <w:rPr>
          <w:rFonts w:ascii="宋体" w:hAnsi="宋体"/>
          <w:sz w:val="24"/>
          <w:highlight w:val="none"/>
        </w:rPr>
      </w:pPr>
      <w:r>
        <w:rPr>
          <w:rFonts w:hint="eastAsia" w:ascii="Times New Roman" w:hAnsi="Times New Roman"/>
          <w:b w:val="0"/>
          <w:bCs w:val="0"/>
          <w:color w:val="000000"/>
          <w:szCs w:val="24"/>
          <w:highlight w:val="none"/>
        </w:rPr>
        <w:t>磋商文件、工程量清单所列的全部内容及项目检测、试运行等实现本项目功能需求的工作内容。</w:t>
      </w:r>
    </w:p>
    <w:p>
      <w:pPr>
        <w:spacing w:line="4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商务需求</w:t>
      </w:r>
    </w:p>
    <w:p>
      <w:pPr>
        <w:spacing w:line="360" w:lineRule="auto"/>
        <w:jc w:val="left"/>
        <w:rPr>
          <w:rFonts w:ascii="宋体" w:hAnsi="宋体"/>
          <w:sz w:val="24"/>
          <w:highlight w:val="none"/>
        </w:rPr>
      </w:pPr>
      <w:r>
        <w:rPr>
          <w:rFonts w:hint="eastAsia" w:ascii="宋体" w:hAnsi="宋体"/>
          <w:sz w:val="24"/>
          <w:highlight w:val="none"/>
        </w:rPr>
        <w:t>1. 报价要求</w:t>
      </w:r>
    </w:p>
    <w:p>
      <w:pPr>
        <w:spacing w:line="360" w:lineRule="auto"/>
        <w:jc w:val="left"/>
        <w:rPr>
          <w:rFonts w:ascii="宋体" w:hAnsi="宋体"/>
          <w:sz w:val="24"/>
          <w:highlight w:val="none"/>
        </w:rPr>
      </w:pPr>
      <w:r>
        <w:rPr>
          <w:rFonts w:hint="eastAsia" w:ascii="宋体" w:hAnsi="宋体"/>
          <w:sz w:val="24"/>
          <w:highlight w:val="none"/>
        </w:rPr>
        <w:t>供应商应在报价表中详细列明服务工作所投入的人力、物力成本，管理费，利润，税金等；该表将作为报价合理性的依据。本次投标报价为人民币价。</w:t>
      </w:r>
    </w:p>
    <w:p>
      <w:pPr>
        <w:spacing w:line="360" w:lineRule="auto"/>
        <w:jc w:val="left"/>
        <w:rPr>
          <w:rFonts w:ascii="宋体" w:hAnsi="宋体"/>
          <w:sz w:val="24"/>
          <w:highlight w:val="none"/>
        </w:rPr>
      </w:pPr>
      <w:r>
        <w:rPr>
          <w:rFonts w:hint="eastAsia" w:ascii="宋体" w:hAnsi="宋体"/>
          <w:sz w:val="24"/>
          <w:highlight w:val="none"/>
        </w:rPr>
        <w:t>2. 本项目合同甲方为杭州市市场监督管理局，乙方为中标人，合同款由甲方支付给乙方。</w:t>
      </w:r>
    </w:p>
    <w:p>
      <w:pPr>
        <w:spacing w:line="360" w:lineRule="auto"/>
        <w:jc w:val="left"/>
        <w:rPr>
          <w:rFonts w:ascii="宋体" w:hAnsi="宋体"/>
          <w:b/>
          <w:bCs/>
          <w:sz w:val="24"/>
          <w:highlight w:val="none"/>
        </w:rPr>
      </w:pPr>
      <w:r>
        <w:rPr>
          <w:rFonts w:hint="eastAsia" w:ascii="宋体" w:hAnsi="宋体"/>
          <w:b/>
          <w:bCs/>
          <w:sz w:val="24"/>
          <w:highlight w:val="none"/>
        </w:rPr>
        <w:t>3. 合同款支付</w:t>
      </w:r>
    </w:p>
    <w:p>
      <w:pPr>
        <w:spacing w:line="360" w:lineRule="auto"/>
        <w:jc w:val="left"/>
        <w:rPr>
          <w:rFonts w:ascii="宋体" w:hAnsi="宋体"/>
          <w:b/>
          <w:bCs/>
          <w:sz w:val="24"/>
          <w:highlight w:val="none"/>
        </w:rPr>
      </w:pPr>
      <w:r>
        <w:rPr>
          <w:rFonts w:hint="eastAsia" w:ascii="宋体" w:hAnsi="宋体"/>
          <w:b/>
          <w:bCs/>
          <w:sz w:val="24"/>
          <w:highlight w:val="none"/>
        </w:rPr>
        <w:t>3.1合同签订后正式开工前，预付合同价的30% 。</w:t>
      </w:r>
    </w:p>
    <w:p>
      <w:pPr>
        <w:spacing w:line="360" w:lineRule="auto"/>
        <w:jc w:val="left"/>
        <w:rPr>
          <w:rFonts w:ascii="宋体" w:hAnsi="宋体"/>
          <w:b/>
          <w:bCs/>
          <w:sz w:val="24"/>
          <w:highlight w:val="none"/>
        </w:rPr>
      </w:pPr>
      <w:r>
        <w:rPr>
          <w:rFonts w:hint="eastAsia" w:ascii="宋体" w:hAnsi="宋体"/>
          <w:b/>
          <w:bCs/>
          <w:sz w:val="24"/>
          <w:highlight w:val="none"/>
        </w:rPr>
        <w:t>3.2设备全部到场经发包人确认后，支付到场设备总价（含税主材价，不含安装费及辅材费）的70%；</w:t>
      </w:r>
    </w:p>
    <w:p>
      <w:pPr>
        <w:spacing w:line="360" w:lineRule="auto"/>
        <w:jc w:val="left"/>
        <w:rPr>
          <w:rFonts w:ascii="宋体" w:hAnsi="宋体"/>
          <w:b/>
          <w:bCs/>
          <w:sz w:val="24"/>
          <w:highlight w:val="none"/>
        </w:rPr>
      </w:pPr>
      <w:r>
        <w:rPr>
          <w:rFonts w:hint="eastAsia" w:ascii="宋体" w:hAnsi="宋体"/>
          <w:b/>
          <w:bCs/>
          <w:sz w:val="24"/>
          <w:highlight w:val="none"/>
        </w:rPr>
        <w:t>3.3竣工验收后，支付至合同价85%；提交完整结算资料后，支付至合同价90%；结算审核完成后，支付至结算审定造价的98.5%；余1.5%作为质量保证金（银行保函或现金），2年内根据保修期限约定退还相应保修金（无息）。</w:t>
      </w:r>
    </w:p>
    <w:p>
      <w:pPr>
        <w:snapToGrid w:val="0"/>
        <w:spacing w:line="360" w:lineRule="auto"/>
        <w:outlineLvl w:val="0"/>
        <w:rPr>
          <w:rFonts w:ascii="新宋体" w:hAnsi="新宋体" w:eastAsia="新宋体"/>
          <w:b/>
          <w:bCs/>
          <w:sz w:val="24"/>
          <w:highlight w:val="none"/>
        </w:rPr>
      </w:pPr>
      <w:r>
        <w:rPr>
          <w:rFonts w:hint="eastAsia" w:ascii="新宋体" w:hAnsi="新宋体" w:eastAsia="新宋体"/>
          <w:b/>
          <w:bCs/>
          <w:sz w:val="24"/>
          <w:highlight w:val="none"/>
        </w:rPr>
        <w:t>四、其它说明</w:t>
      </w:r>
    </w:p>
    <w:p>
      <w:pPr>
        <w:spacing w:line="360" w:lineRule="auto"/>
        <w:jc w:val="left"/>
        <w:rPr>
          <w:rFonts w:ascii="宋体" w:hAnsi="宋体"/>
          <w:sz w:val="24"/>
          <w:highlight w:val="none"/>
        </w:rPr>
      </w:pPr>
      <w:r>
        <w:rPr>
          <w:rFonts w:hint="eastAsia" w:ascii="宋体" w:hAnsi="宋体"/>
          <w:sz w:val="24"/>
          <w:highlight w:val="none"/>
        </w:rPr>
        <w:t xml:space="preserve">   1、由供应商将货物直接免费送至采购人指定地点。如在运输、搬运、安装过程中造成设备损坏，采购人有权不签收并由中标人承担相应经济损失；因搬运过程中造成物品损坏，采购人有权从中标人的履约保证金中扣除相应赔偿金额。</w:t>
      </w:r>
    </w:p>
    <w:p>
      <w:pPr>
        <w:spacing w:line="360" w:lineRule="auto"/>
        <w:jc w:val="center"/>
        <w:rPr>
          <w:rFonts w:ascii="宋体" w:hAnsi="宋体"/>
          <w:b/>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第五章　政府采购合同主要条款</w:t>
      </w:r>
    </w:p>
    <w:p>
      <w:pPr>
        <w:spacing w:line="360" w:lineRule="auto"/>
        <w:jc w:val="left"/>
        <w:rPr>
          <w:rFonts w:ascii="宋体" w:hAnsi="宋体"/>
          <w:color w:val="000000" w:themeColor="text1"/>
          <w:sz w:val="28"/>
          <w:szCs w:val="28"/>
          <w:highlight w:val="none"/>
          <w14:textFill>
            <w14:solidFill>
              <w14:schemeClr w14:val="tx1"/>
            </w14:solidFill>
          </w14:textFill>
        </w:rPr>
      </w:pPr>
    </w:p>
    <w:p>
      <w:pPr>
        <w:jc w:val="left"/>
        <w:rPr>
          <w:rFonts w:ascii="Times New Roman" w:hAnsi="Times New Roman" w:eastAsia="仿宋_GB2312"/>
          <w:bCs/>
          <w:color w:val="000000"/>
          <w:sz w:val="32"/>
          <w:szCs w:val="32"/>
        </w:rPr>
      </w:pPr>
      <w:r>
        <w:rPr>
          <w:rFonts w:ascii="Times New Roman" w:hAnsi="Times New Roman" w:eastAsia="仿宋_GB2312"/>
          <w:bCs/>
          <w:color w:val="000000"/>
          <w:sz w:val="32"/>
          <w:szCs w:val="32"/>
        </w:rPr>
        <w:t>（GF—201</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0201）</w:t>
      </w: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r>
        <w:rPr>
          <w:rFonts w:ascii="Times New Roman" w:hAnsi="Times New Roman" w:eastAsia="华文中宋"/>
          <w:b/>
          <w:color w:val="000000"/>
          <w:sz w:val="72"/>
          <w:szCs w:val="52"/>
        </w:rPr>
        <w:t>建设工程施工合同</w:t>
      </w:r>
      <w:r>
        <w:rPr>
          <w:rFonts w:ascii="Times New Roman" w:hAnsi="Times New Roman" w:eastAsia="华文中宋"/>
          <w:b/>
          <w:color w:val="000000"/>
          <w:sz w:val="52"/>
          <w:szCs w:val="52"/>
        </w:rPr>
        <w:br w:type="textWrapping"/>
      </w:r>
      <w:r>
        <w:rPr>
          <w:rFonts w:ascii="Times New Roman" w:hAnsi="Times New Roman" w:eastAsia="华文中宋"/>
          <w:b/>
          <w:color w:val="000000"/>
          <w:sz w:val="52"/>
          <w:szCs w:val="52"/>
        </w:rPr>
        <w:t>（示范文本）</w:t>
      </w:r>
    </w:p>
    <w:p>
      <w:pPr>
        <w:jc w:val="center"/>
        <w:rPr>
          <w:rFonts w:ascii="Times New Roman" w:hAnsi="Times New Roman" w:eastAsia="华文中宋"/>
          <w:b/>
          <w:color w:val="000000"/>
          <w:sz w:val="52"/>
          <w:szCs w:val="52"/>
        </w:rPr>
      </w:pPr>
    </w:p>
    <w:p>
      <w:pPr>
        <w:jc w:val="center"/>
        <w:rPr>
          <w:rFonts w:ascii="Times New Roman" w:hAnsi="Times New Roman" w:eastAsia="黑体"/>
          <w:b/>
          <w:color w:val="000000"/>
          <w:sz w:val="72"/>
          <w:szCs w:val="72"/>
        </w:rPr>
      </w:pPr>
    </w:p>
    <w:p>
      <w:pPr>
        <w:jc w:val="center"/>
        <w:rPr>
          <w:rFonts w:ascii="Times New Roman" w:hAnsi="Times New Roman" w:eastAsia="楷体_GB2312"/>
          <w:b/>
          <w:color w:val="000000"/>
          <w:sz w:val="72"/>
          <w:szCs w:val="72"/>
        </w:rPr>
      </w:pPr>
    </w:p>
    <w:p>
      <w:pPr>
        <w:jc w:val="center"/>
        <w:rPr>
          <w:rFonts w:ascii="Times New Roman" w:hAnsi="Times New Roman" w:eastAsia="黑体"/>
          <w:b/>
          <w:color w:val="000000"/>
          <w:sz w:val="52"/>
          <w:szCs w:val="52"/>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ind w:right="2719" w:rightChars="1295" w:firstLine="2738" w:firstLineChars="1304"/>
        <w:jc w:val="distribute"/>
        <w:rPr>
          <w:rFonts w:ascii="Times New Roman" w:hAnsi="Times New Roman"/>
          <w:b/>
          <w:color w:val="000000"/>
          <w:sz w:val="32"/>
          <w:szCs w:val="28"/>
        </w:rPr>
      </w:pP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824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N&#10;LXHYAAAACQEAAA8AAAAAAAAAAQAgAAAAIgAAAGRycy9kb3ducmV2LnhtbFBLAQIUABQAAAAIAIdO&#10;4kBJXy906gEAAL4DAAAOAAAAAAAAAAEAIAAAACcBAABkcnMvZTJvRG9jLnhtbFBLBQYAAAAABgAG&#10;AFkBAACDBQ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pPr>
        <w:ind w:right="2719" w:rightChars="1295" w:firstLine="2750" w:firstLineChars="856"/>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pPr>
        <w:rPr>
          <w:rFonts w:ascii="Times New Roman" w:hAnsi="Times New Roman"/>
          <w:b/>
          <w:color w:val="000000"/>
        </w:rPr>
      </w:pPr>
    </w:p>
    <w:p>
      <w:pPr>
        <w:pStyle w:val="70"/>
        <w:spacing w:before="0" w:after="0" w:line="240" w:lineRule="auto"/>
        <w:jc w:val="center"/>
        <w:outlineLvl w:val="0"/>
        <w:rPr>
          <w:rFonts w:hint="eastAsia" w:ascii="Times New Roman" w:hAnsi="Times New Roman" w:eastAsia="华文中宋"/>
          <w:lang w:val="zh-CN"/>
        </w:rPr>
      </w:pPr>
      <w:r>
        <w:rPr>
          <w:rFonts w:ascii="Times New Roman" w:hAnsi="Times New Roman"/>
          <w:b w:val="0"/>
          <w:color w:val="000000"/>
        </w:rPr>
        <w:br w:type="page"/>
      </w:r>
      <w:bookmarkStart w:id="2" w:name="_Toc296890982"/>
      <w:bookmarkStart w:id="3" w:name="_Toc296503025"/>
      <w:r>
        <w:rPr>
          <w:rFonts w:hint="eastAsia" w:ascii="Times New Roman" w:hAnsi="Times New Roman" w:eastAsia="华文中宋"/>
          <w:lang w:val="zh-CN"/>
        </w:rPr>
        <w:t>说  明</w:t>
      </w:r>
    </w:p>
    <w:p>
      <w:pPr>
        <w:ind w:firstLine="600" w:firstLineChars="200"/>
        <w:rPr>
          <w:rFonts w:ascii="仿宋_GB2312" w:eastAsia="仿宋_GB2312"/>
          <w:sz w:val="30"/>
          <w:szCs w:val="30"/>
        </w:rPr>
      </w:pPr>
      <w:r>
        <w:rPr>
          <w:rFonts w:hint="eastAsia" w:ascii="仿宋_GB2312" w:eastAsia="仿宋_GB2312"/>
          <w:sz w:val="30"/>
          <w:szCs w:val="30"/>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ind w:firstLine="600" w:firstLineChars="200"/>
        <w:outlineLvl w:val="0"/>
        <w:rPr>
          <w:rFonts w:hint="eastAsia" w:ascii="黑体" w:hAnsi="黑体" w:eastAsia="黑体"/>
          <w:bCs/>
          <w:sz w:val="30"/>
          <w:szCs w:val="30"/>
        </w:rPr>
      </w:pPr>
      <w:r>
        <w:rPr>
          <w:rFonts w:hint="eastAsia" w:ascii="黑体" w:hAnsi="黑体" w:eastAsia="黑体"/>
          <w:bCs/>
          <w:sz w:val="30"/>
          <w:szCs w:val="30"/>
        </w:rPr>
        <w:t>一、《示范文本》的组成</w:t>
      </w:r>
    </w:p>
    <w:p>
      <w:pPr>
        <w:ind w:firstLine="600" w:firstLineChars="200"/>
        <w:rPr>
          <w:rFonts w:hint="eastAsia" w:ascii="仿宋_GB2312" w:eastAsia="仿宋_GB2312"/>
          <w:sz w:val="30"/>
          <w:szCs w:val="30"/>
        </w:rPr>
      </w:pPr>
      <w:r>
        <w:rPr>
          <w:rFonts w:hint="eastAsia" w:ascii="仿宋_GB2312" w:eastAsia="仿宋_GB2312"/>
          <w:sz w:val="30"/>
          <w:szCs w:val="30"/>
        </w:rPr>
        <w:t>《示范文本》由合同协议书、通用合同条款和专用合同条款三部分组成。</w:t>
      </w:r>
    </w:p>
    <w:p>
      <w:pPr>
        <w:ind w:firstLine="600" w:firstLineChars="200"/>
        <w:outlineLvl w:val="0"/>
        <w:rPr>
          <w:rFonts w:hint="eastAsia" w:ascii="仿宋_GB2312" w:eastAsia="仿宋_GB2312"/>
          <w:sz w:val="30"/>
          <w:szCs w:val="30"/>
        </w:rPr>
      </w:pPr>
      <w:r>
        <w:rPr>
          <w:rFonts w:hint="eastAsia" w:ascii="仿宋_GB2312" w:eastAsia="仿宋_GB2312"/>
          <w:sz w:val="30"/>
          <w:szCs w:val="30"/>
        </w:rPr>
        <w:t>（一）合同协议书</w:t>
      </w:r>
    </w:p>
    <w:p>
      <w:pPr>
        <w:ind w:firstLine="600" w:firstLineChars="200"/>
        <w:rPr>
          <w:rFonts w:hint="eastAsia" w:ascii="仿宋_GB2312" w:eastAsia="仿宋_GB2312"/>
          <w:sz w:val="30"/>
          <w:szCs w:val="30"/>
        </w:rPr>
      </w:pPr>
      <w:r>
        <w:rPr>
          <w:rFonts w:hint="eastAsia" w:ascii="仿宋_GB2312" w:eastAsia="仿宋_GB2312"/>
          <w:sz w:val="30"/>
          <w:szCs w:val="30"/>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ind w:firstLine="600" w:firstLineChars="200"/>
        <w:outlineLvl w:val="0"/>
        <w:rPr>
          <w:rFonts w:hint="eastAsia" w:ascii="仿宋_GB2312" w:eastAsia="仿宋_GB2312"/>
          <w:sz w:val="30"/>
          <w:szCs w:val="30"/>
        </w:rPr>
      </w:pPr>
      <w:r>
        <w:rPr>
          <w:rFonts w:hint="eastAsia" w:ascii="仿宋_GB2312" w:eastAsia="仿宋_GB2312"/>
          <w:sz w:val="30"/>
          <w:szCs w:val="30"/>
        </w:rPr>
        <w:t>（二）通用合同条款</w:t>
      </w:r>
    </w:p>
    <w:p>
      <w:pPr>
        <w:ind w:firstLine="600" w:firstLineChars="200"/>
        <w:rPr>
          <w:rFonts w:hint="eastAsia" w:ascii="仿宋_GB2312" w:eastAsia="仿宋_GB2312"/>
          <w:sz w:val="30"/>
          <w:szCs w:val="30"/>
        </w:rPr>
      </w:pPr>
      <w:r>
        <w:rPr>
          <w:rFonts w:hint="eastAsia" w:ascii="仿宋_GB2312" w:eastAsia="仿宋_GB2312"/>
          <w:sz w:val="30"/>
          <w:szCs w:val="30"/>
        </w:rPr>
        <w:t>通用合同条款是合同当事人根据《中华人民共和国建筑法》、《中华人民共和国合同法》等法律法规的规定，就工程建设的实施及相关事项，对合同当事人的权利义务作出的原则性约定。</w:t>
      </w:r>
    </w:p>
    <w:p>
      <w:pPr>
        <w:ind w:firstLine="600" w:firstLineChars="200"/>
        <w:rPr>
          <w:rFonts w:hint="eastAsia" w:ascii="仿宋_GB2312" w:eastAsia="仿宋_GB2312"/>
          <w:sz w:val="30"/>
          <w:szCs w:val="30"/>
        </w:rPr>
      </w:pPr>
      <w:r>
        <w:rPr>
          <w:rFonts w:hint="eastAsia" w:ascii="仿宋_GB2312" w:eastAsia="仿宋_GB2312"/>
          <w:sz w:val="30"/>
          <w:szCs w:val="30"/>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firstLine="600" w:firstLineChars="200"/>
        <w:outlineLvl w:val="0"/>
        <w:rPr>
          <w:rFonts w:hint="eastAsia" w:ascii="仿宋_GB2312" w:eastAsia="仿宋_GB2312"/>
          <w:sz w:val="30"/>
          <w:szCs w:val="30"/>
        </w:rPr>
      </w:pPr>
      <w:r>
        <w:rPr>
          <w:rFonts w:hint="eastAsia" w:ascii="仿宋_GB2312" w:eastAsia="仿宋_GB2312"/>
          <w:sz w:val="30"/>
          <w:szCs w:val="30"/>
        </w:rPr>
        <w:t>（三）专用合同条款</w:t>
      </w:r>
    </w:p>
    <w:p>
      <w:pPr>
        <w:ind w:firstLine="600" w:firstLineChars="200"/>
        <w:rPr>
          <w:rFonts w:hint="eastAsia" w:ascii="仿宋_GB2312" w:eastAsia="仿宋_GB2312"/>
          <w:sz w:val="30"/>
          <w:szCs w:val="30"/>
        </w:rPr>
      </w:pPr>
      <w:r>
        <w:rPr>
          <w:rFonts w:hint="eastAsia" w:ascii="仿宋_GB2312" w:eastAsia="仿宋_GB2312"/>
          <w:sz w:val="30"/>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600" w:firstLineChars="200"/>
        <w:rPr>
          <w:rFonts w:hint="eastAsia" w:ascii="仿宋_GB2312" w:eastAsia="仿宋_GB2312"/>
          <w:sz w:val="30"/>
          <w:szCs w:val="30"/>
        </w:rPr>
      </w:pPr>
      <w:r>
        <w:rPr>
          <w:rFonts w:hint="eastAsia" w:ascii="仿宋_GB2312" w:eastAsia="仿宋_GB2312"/>
          <w:sz w:val="30"/>
          <w:szCs w:val="30"/>
        </w:rPr>
        <w:t>1.专用合同条款的编号应与相应的通用合同条款的编号一致；</w:t>
      </w:r>
    </w:p>
    <w:p>
      <w:pPr>
        <w:ind w:firstLine="600" w:firstLineChars="200"/>
        <w:rPr>
          <w:rFonts w:hint="eastAsia" w:ascii="仿宋_GB2312" w:eastAsia="仿宋_GB2312"/>
          <w:sz w:val="30"/>
          <w:szCs w:val="30"/>
        </w:rPr>
      </w:pPr>
      <w:r>
        <w:rPr>
          <w:rFonts w:hint="eastAsia" w:ascii="仿宋_GB2312" w:eastAsia="仿宋_GB2312"/>
          <w:sz w:val="30"/>
          <w:szCs w:val="30"/>
        </w:rPr>
        <w:t>2.合同当事人可以通过对专用合同条款的修改，满足具体建设工程的特殊要求，避免直接修改通用合同条款；</w:t>
      </w:r>
    </w:p>
    <w:p>
      <w:pPr>
        <w:ind w:firstLine="600" w:firstLineChars="200"/>
        <w:rPr>
          <w:rFonts w:hint="eastAsia" w:ascii="仿宋_GB2312" w:eastAsia="仿宋_GB2312"/>
          <w:sz w:val="30"/>
          <w:szCs w:val="30"/>
        </w:rPr>
      </w:pPr>
      <w:r>
        <w:rPr>
          <w:rFonts w:hint="eastAsia" w:ascii="仿宋_GB2312" w:eastAsia="仿宋_GB2312"/>
          <w:sz w:val="30"/>
          <w:szCs w:val="30"/>
        </w:rPr>
        <w:t>3.在专用合同条款中有横道线的地方，合同当事人可针对相应的通用合同条款进行细化、完善、补充、修改或另行约定；如无细化、完善、补充、修改或另行约定，则填写“无”或划“/”。</w:t>
      </w:r>
    </w:p>
    <w:p>
      <w:pPr>
        <w:ind w:firstLine="600" w:firstLineChars="200"/>
        <w:outlineLvl w:val="0"/>
        <w:rPr>
          <w:rFonts w:hint="eastAsia" w:ascii="仿宋_GB2312" w:eastAsia="仿宋_GB2312"/>
          <w:b/>
          <w:sz w:val="30"/>
          <w:szCs w:val="30"/>
        </w:rPr>
      </w:pPr>
      <w:r>
        <w:rPr>
          <w:rFonts w:hint="eastAsia" w:ascii="黑体" w:hAnsi="黑体" w:eastAsia="黑体"/>
          <w:bCs/>
          <w:sz w:val="30"/>
          <w:szCs w:val="30"/>
        </w:rPr>
        <w:t>二、《示范文本》的性质和适用范围</w:t>
      </w:r>
    </w:p>
    <w:p>
      <w:pPr>
        <w:ind w:firstLine="600" w:firstLineChars="200"/>
        <w:rPr>
          <w:rFonts w:ascii="仿宋_GB2312" w:eastAsia="仿宋_GB2312"/>
          <w:sz w:val="30"/>
          <w:szCs w:val="30"/>
        </w:rPr>
        <w:sectPr>
          <w:footerReference r:id="rId5" w:type="default"/>
          <w:pgSz w:w="11906" w:h="16838"/>
          <w:pgMar w:top="1418" w:right="1555" w:bottom="1418" w:left="1531" w:header="851" w:footer="992" w:gutter="0"/>
          <w:pgNumType w:fmt="decimal" w:start="0"/>
          <w:cols w:space="720" w:num="1"/>
          <w:titlePg/>
          <w:docGrid w:type="lines" w:linePitch="312" w:charSpace="0"/>
        </w:sectPr>
      </w:pPr>
      <w:r>
        <w:rPr>
          <w:rFonts w:hint="eastAsia" w:ascii="仿宋_GB2312" w:eastAsia="仿宋_GB2312"/>
          <w:sz w:val="30"/>
          <w:szCs w:val="30"/>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70"/>
        <w:spacing w:before="120" w:after="120"/>
        <w:jc w:val="center"/>
        <w:rPr>
          <w:rFonts w:ascii="Times New Roman" w:hAnsi="Times New Roman" w:eastAsia="华文中宋"/>
        </w:rPr>
      </w:pPr>
      <w:r>
        <w:rPr>
          <w:rFonts w:ascii="Times New Roman" w:hAnsi="Times New Roman" w:eastAsia="华文中宋"/>
          <w:lang w:val="zh-CN"/>
        </w:rPr>
        <w:t>目</w:t>
      </w:r>
      <w:r>
        <w:rPr>
          <w:rFonts w:hint="eastAsia" w:ascii="Times New Roman" w:hAnsi="Times New Roman" w:eastAsia="华文中宋"/>
          <w:lang w:val="zh-CN"/>
        </w:rPr>
        <w:t xml:space="preserve">  </w:t>
      </w:r>
      <w:r>
        <w:rPr>
          <w:rFonts w:ascii="Times New Roman" w:hAnsi="Times New Roman" w:eastAsia="华文中宋"/>
          <w:lang w:val="zh-CN"/>
        </w:rPr>
        <w:t>录</w:t>
      </w:r>
    </w:p>
    <w:p>
      <w:pPr>
        <w:pStyle w:val="17"/>
        <w:tabs>
          <w:tab w:val="right" w:leader="dot" w:pos="8810"/>
        </w:tabs>
        <w:ind w:left="0" w:leftChars="0" w:firstLine="420" w:firstLineChars="150"/>
        <w:rPr>
          <w:rFonts w:ascii="Times New Roman" w:hAnsi="Times New Roman" w:eastAsia="仿宋_GB2312"/>
          <w:b/>
          <w:sz w:val="30"/>
          <w:szCs w:val="30"/>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30"/>
          <w:szCs w:val="30"/>
        </w:rPr>
        <w:fldChar w:fldCharType="begin"/>
      </w:r>
      <w:r>
        <w:rPr>
          <w:rStyle w:val="31"/>
          <w:rFonts w:ascii="Times New Roman" w:hAnsi="Times New Roman" w:eastAsia="仿宋_GB2312"/>
          <w:sz w:val="30"/>
          <w:szCs w:val="30"/>
        </w:rPr>
        <w:instrText xml:space="preserve"> </w:instrText>
      </w:r>
      <w:r>
        <w:rPr>
          <w:rFonts w:ascii="Times New Roman" w:hAnsi="Times New Roman" w:eastAsia="仿宋_GB2312"/>
          <w:sz w:val="30"/>
          <w:szCs w:val="30"/>
        </w:rPr>
        <w:instrText xml:space="preserve">HYPERLINK \l "_Toc351203480"</w:instrText>
      </w:r>
      <w:r>
        <w:rPr>
          <w:rStyle w:val="31"/>
          <w:rFonts w:ascii="Times New Roman" w:hAnsi="Times New Roman" w:eastAsia="仿宋_GB2312"/>
          <w:sz w:val="30"/>
          <w:szCs w:val="30"/>
        </w:rPr>
        <w:instrText xml:space="preserve"> </w:instrText>
      </w:r>
      <w:r>
        <w:rPr>
          <w:rFonts w:ascii="Times New Roman" w:hAnsi="Times New Roman" w:eastAsia="仿宋_GB2312"/>
          <w:sz w:val="30"/>
          <w:szCs w:val="30"/>
        </w:rPr>
        <w:fldChar w:fldCharType="separate"/>
      </w:r>
      <w:r>
        <w:rPr>
          <w:rStyle w:val="31"/>
          <w:rFonts w:ascii="Times New Roman" w:hAnsi="Times New Roman" w:eastAsia="仿宋_GB2312"/>
          <w:b/>
          <w:sz w:val="30"/>
          <w:szCs w:val="30"/>
        </w:rPr>
        <w:t>第一部分 合同协议书</w:t>
      </w:r>
      <w:r>
        <w:rPr>
          <w:rFonts w:ascii="Times New Roman" w:hAnsi="Times New Roman" w:eastAsia="仿宋_GB2312"/>
          <w:sz w:val="28"/>
          <w:szCs w:val="28"/>
        </w:rPr>
        <w:t>……………………</w:t>
      </w:r>
      <w:r>
        <w:rPr>
          <w:rFonts w:ascii="Times New Roman" w:hAnsi="Times New Roman" w:eastAsia="仿宋_GB2312"/>
          <w:spacing w:val="34"/>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_Toc351203480 \h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b/>
          <w:sz w:val="30"/>
          <w:szCs w:val="30"/>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一、工程概况</w:t>
      </w:r>
      <w:r>
        <w:rPr>
          <w:rFonts w:ascii="Times New Roman" w:hAnsi="Times New Roman" w:eastAsia="仿宋_GB2312"/>
          <w:sz w:val="28"/>
          <w:szCs w:val="28"/>
        </w:rPr>
        <w:tab/>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_Toc351203481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二、合同工期</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_Toc351203482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三、质量标准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_Toc351203483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四、签约合同价与合同价格形式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_Toc351203484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五、项目经理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_Toc351203485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六、合同文件构成</w:t>
      </w:r>
      <w:r>
        <w:rPr>
          <w:rFonts w:ascii="Times New Roman" w:hAnsi="Times New Roman" w:eastAsia="仿宋_GB2312"/>
          <w:sz w:val="28"/>
          <w:szCs w:val="28"/>
        </w:rPr>
        <w:tab/>
      </w:r>
      <w:r>
        <w:rPr>
          <w:rFonts w:hint="eastAsia" w:ascii="Times New Roman" w:hAnsi="Times New Roman" w:eastAsia="仿宋_GB2312"/>
          <w:sz w:val="28"/>
          <w:szCs w:val="28"/>
        </w:rPr>
        <w:t>2</w:t>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七、承诺</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_Toc351203487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八、词语含义</w:t>
      </w:r>
      <w:r>
        <w:rPr>
          <w:rFonts w:ascii="Times New Roman" w:hAnsi="Times New Roman" w:eastAsia="仿宋_GB2312"/>
          <w:sz w:val="28"/>
          <w:szCs w:val="28"/>
        </w:rPr>
        <w:tab/>
      </w:r>
      <w:r>
        <w:rPr>
          <w:rFonts w:hint="eastAsia" w:ascii="Times New Roman" w:hAnsi="Times New Roman" w:eastAsia="仿宋_GB2312"/>
          <w:sz w:val="28"/>
          <w:szCs w:val="28"/>
        </w:rPr>
        <w:t>3</w:t>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九、签订时间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_Toc351203489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十、签订地点</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_Toc351203490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十一、补充协议</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_Toc351203491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十二、合同生效</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_Toc351203492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十三、合同份数</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_Toc351203493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7"/>
        <w:tabs>
          <w:tab w:val="right" w:leader="dot" w:pos="8810"/>
        </w:tabs>
        <w:ind w:left="0" w:leftChars="0" w:firstLine="298" w:firstLineChars="99"/>
        <w:rPr>
          <w:rFonts w:ascii="Times New Roman" w:hAnsi="Times New Roman" w:eastAsia="仿宋_GB2312"/>
          <w:b/>
          <w:sz w:val="30"/>
          <w:szCs w:val="30"/>
        </w:rPr>
      </w:pPr>
      <w:r>
        <w:rPr>
          <w:rFonts w:ascii="Times New Roman" w:hAnsi="Times New Roman" w:eastAsia="仿宋_GB2312"/>
          <w:b/>
          <w:sz w:val="30"/>
          <w:szCs w:val="30"/>
        </w:rPr>
        <w:fldChar w:fldCharType="begin"/>
      </w:r>
      <w:r>
        <w:rPr>
          <w:rStyle w:val="31"/>
          <w:rFonts w:ascii="Times New Roman" w:hAnsi="Times New Roman" w:eastAsia="仿宋_GB2312"/>
          <w:b/>
          <w:sz w:val="30"/>
          <w:szCs w:val="30"/>
        </w:rPr>
        <w:instrText xml:space="preserve"> </w:instrText>
      </w:r>
      <w:r>
        <w:rPr>
          <w:rFonts w:ascii="Times New Roman" w:hAnsi="Times New Roman" w:eastAsia="仿宋_GB2312"/>
          <w:b/>
          <w:sz w:val="30"/>
          <w:szCs w:val="30"/>
        </w:rPr>
        <w:instrText xml:space="preserve">HYPERLINK \l "_Toc351203494"</w:instrText>
      </w:r>
      <w:r>
        <w:rPr>
          <w:rStyle w:val="31"/>
          <w:rFonts w:ascii="Times New Roman" w:hAnsi="Times New Roman" w:eastAsia="仿宋_GB2312"/>
          <w:b/>
          <w:sz w:val="30"/>
          <w:szCs w:val="30"/>
        </w:rPr>
        <w:instrText xml:space="preserve"> </w:instrText>
      </w:r>
      <w:r>
        <w:rPr>
          <w:rFonts w:ascii="Times New Roman" w:hAnsi="Times New Roman" w:eastAsia="仿宋_GB2312"/>
          <w:b/>
          <w:sz w:val="30"/>
          <w:szCs w:val="30"/>
        </w:rPr>
        <w:fldChar w:fldCharType="separate"/>
      </w:r>
      <w:r>
        <w:rPr>
          <w:rStyle w:val="31"/>
          <w:rFonts w:ascii="Times New Roman" w:hAnsi="Times New Roman" w:eastAsia="仿宋_GB2312"/>
          <w:b/>
          <w:sz w:val="30"/>
          <w:szCs w:val="30"/>
        </w:rPr>
        <w:t>第二部分 通用合同条款</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_Toc351203494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b/>
          <w:sz w:val="30"/>
          <w:szCs w:val="30"/>
        </w:rPr>
        <w:fldChar w:fldCharType="end"/>
      </w:r>
    </w:p>
    <w:p>
      <w:pPr>
        <w:pStyle w:val="24"/>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 一般约定</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_Toc351203495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1.1词语定义与解释</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_Toc351203496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1.2语言文字</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_Toc351203497 \h </w:instrText>
      </w:r>
      <w:r>
        <w:rPr>
          <w:rFonts w:ascii="Times New Roman" w:hAnsi="Times New Roman" w:eastAsia="仿宋_GB2312"/>
          <w:sz w:val="28"/>
          <w:szCs w:val="28"/>
        </w:rPr>
        <w:fldChar w:fldCharType="separate"/>
      </w:r>
      <w:r>
        <w:rPr>
          <w:rFonts w:ascii="Times New Roman" w:hAnsi="Times New Roman" w:eastAsia="仿宋_GB2312"/>
          <w:sz w:val="28"/>
          <w:szCs w:val="28"/>
        </w:rPr>
        <w:t>11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1.3法律</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_Toc351203498 \h </w:instrText>
      </w:r>
      <w:r>
        <w:rPr>
          <w:rFonts w:ascii="Times New Roman" w:hAnsi="Times New Roman" w:eastAsia="仿宋_GB2312"/>
          <w:sz w:val="28"/>
          <w:szCs w:val="28"/>
        </w:rPr>
        <w:fldChar w:fldCharType="separate"/>
      </w:r>
      <w:r>
        <w:rPr>
          <w:rFonts w:ascii="Times New Roman" w:hAnsi="Times New Roman" w:eastAsia="仿宋_GB2312"/>
          <w:sz w:val="28"/>
          <w:szCs w:val="28"/>
        </w:rPr>
        <w:t>11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1.4 标准和规范</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_Toc351203499 \h </w:instrText>
      </w:r>
      <w:r>
        <w:rPr>
          <w:rFonts w:ascii="Times New Roman" w:hAnsi="Times New Roman" w:eastAsia="仿宋_GB2312"/>
          <w:sz w:val="28"/>
          <w:szCs w:val="28"/>
        </w:rPr>
        <w:fldChar w:fldCharType="separate"/>
      </w:r>
      <w:r>
        <w:rPr>
          <w:rFonts w:ascii="Times New Roman" w:hAnsi="Times New Roman" w:eastAsia="仿宋_GB2312"/>
          <w:sz w:val="28"/>
          <w:szCs w:val="28"/>
        </w:rPr>
        <w:t>12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1.5 合同文件的优先顺序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_Toc351203500 \h </w:instrText>
      </w:r>
      <w:r>
        <w:rPr>
          <w:rFonts w:ascii="Times New Roman" w:hAnsi="Times New Roman" w:eastAsia="仿宋_GB2312"/>
          <w:sz w:val="28"/>
          <w:szCs w:val="28"/>
        </w:rPr>
        <w:fldChar w:fldCharType="separate"/>
      </w:r>
      <w:r>
        <w:rPr>
          <w:rFonts w:ascii="Times New Roman" w:hAnsi="Times New Roman" w:eastAsia="仿宋_GB2312"/>
          <w:sz w:val="28"/>
          <w:szCs w:val="28"/>
        </w:rPr>
        <w:t>12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1.6图纸和承包人文件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_Toc351203501 \h </w:instrText>
      </w:r>
      <w:r>
        <w:rPr>
          <w:rFonts w:ascii="Times New Roman" w:hAnsi="Times New Roman" w:eastAsia="仿宋_GB2312"/>
          <w:sz w:val="28"/>
          <w:szCs w:val="28"/>
        </w:rPr>
        <w:fldChar w:fldCharType="separate"/>
      </w:r>
      <w:r>
        <w:rPr>
          <w:rFonts w:ascii="Times New Roman" w:hAnsi="Times New Roman" w:eastAsia="仿宋_GB2312"/>
          <w:sz w:val="28"/>
          <w:szCs w:val="28"/>
        </w:rPr>
        <w:t>13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1.7联络</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_Toc351203502 \h </w:instrText>
      </w:r>
      <w:r>
        <w:rPr>
          <w:rFonts w:ascii="Times New Roman" w:hAnsi="Times New Roman" w:eastAsia="仿宋_GB2312"/>
          <w:sz w:val="28"/>
          <w:szCs w:val="28"/>
        </w:rPr>
        <w:fldChar w:fldCharType="separate"/>
      </w:r>
      <w:r>
        <w:rPr>
          <w:rFonts w:ascii="Times New Roman" w:hAnsi="Times New Roman" w:eastAsia="仿宋_GB2312"/>
          <w:sz w:val="28"/>
          <w:szCs w:val="28"/>
        </w:rPr>
        <w:t>14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1.8严禁贿赂</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_Toc351203503 \h </w:instrText>
      </w:r>
      <w:r>
        <w:rPr>
          <w:rFonts w:ascii="Times New Roman" w:hAnsi="Times New Roman" w:eastAsia="仿宋_GB2312"/>
          <w:sz w:val="28"/>
          <w:szCs w:val="28"/>
        </w:rPr>
        <w:fldChar w:fldCharType="separate"/>
      </w:r>
      <w:r>
        <w:rPr>
          <w:rFonts w:ascii="Times New Roman" w:hAnsi="Times New Roman" w:eastAsia="仿宋_GB2312"/>
          <w:sz w:val="28"/>
          <w:szCs w:val="28"/>
        </w:rPr>
        <w:t>15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1.9化石、文物</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_Toc351203504 \h </w:instrText>
      </w:r>
      <w:r>
        <w:rPr>
          <w:rFonts w:ascii="Times New Roman" w:hAnsi="Times New Roman" w:eastAsia="仿宋_GB2312"/>
          <w:sz w:val="28"/>
          <w:szCs w:val="28"/>
        </w:rPr>
        <w:fldChar w:fldCharType="separate"/>
      </w:r>
      <w:r>
        <w:rPr>
          <w:rFonts w:ascii="Times New Roman" w:hAnsi="Times New Roman" w:eastAsia="仿宋_GB2312"/>
          <w:sz w:val="28"/>
          <w:szCs w:val="28"/>
        </w:rPr>
        <w:t>15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1.10交通运输</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_Toc351203505 \h </w:instrText>
      </w:r>
      <w:r>
        <w:rPr>
          <w:rFonts w:ascii="Times New Roman" w:hAnsi="Times New Roman" w:eastAsia="仿宋_GB2312"/>
          <w:sz w:val="28"/>
          <w:szCs w:val="28"/>
        </w:rPr>
        <w:fldChar w:fldCharType="separate"/>
      </w:r>
      <w:r>
        <w:rPr>
          <w:rFonts w:ascii="Times New Roman" w:hAnsi="Times New Roman" w:eastAsia="仿宋_GB2312"/>
          <w:sz w:val="28"/>
          <w:szCs w:val="28"/>
        </w:rPr>
        <w:t>16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1.11知识产权</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_Toc351203506 \h </w:instrText>
      </w:r>
      <w:r>
        <w:rPr>
          <w:rFonts w:ascii="Times New Roman" w:hAnsi="Times New Roman" w:eastAsia="仿宋_GB2312"/>
          <w:sz w:val="28"/>
          <w:szCs w:val="28"/>
        </w:rPr>
        <w:fldChar w:fldCharType="separate"/>
      </w:r>
      <w:r>
        <w:rPr>
          <w:rFonts w:ascii="Times New Roman" w:hAnsi="Times New Roman" w:eastAsia="仿宋_GB2312"/>
          <w:sz w:val="28"/>
          <w:szCs w:val="28"/>
        </w:rPr>
        <w:t>18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1.12保密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_Toc351203507 \h </w:instrText>
      </w:r>
      <w:r>
        <w:rPr>
          <w:rFonts w:ascii="Times New Roman" w:hAnsi="Times New Roman" w:eastAsia="仿宋_GB2312"/>
          <w:sz w:val="28"/>
          <w:szCs w:val="28"/>
        </w:rPr>
        <w:fldChar w:fldCharType="separate"/>
      </w:r>
      <w:r>
        <w:rPr>
          <w:rFonts w:ascii="Times New Roman" w:hAnsi="Times New Roman" w:eastAsia="仿宋_GB2312"/>
          <w:sz w:val="28"/>
          <w:szCs w:val="28"/>
        </w:rPr>
        <w:t>18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1.13工程量清单错误的修正</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_Toc351203508 \h </w:instrText>
      </w:r>
      <w:r>
        <w:rPr>
          <w:rFonts w:ascii="Times New Roman" w:hAnsi="Times New Roman" w:eastAsia="仿宋_GB2312"/>
          <w:sz w:val="28"/>
          <w:szCs w:val="28"/>
        </w:rPr>
        <w:fldChar w:fldCharType="separate"/>
      </w:r>
      <w:r>
        <w:rPr>
          <w:rFonts w:ascii="Times New Roman" w:hAnsi="Times New Roman" w:eastAsia="仿宋_GB2312"/>
          <w:sz w:val="28"/>
          <w:szCs w:val="28"/>
        </w:rPr>
        <w:t>19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 发包人</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_Toc351203509 \h </w:instrText>
      </w:r>
      <w:r>
        <w:rPr>
          <w:rFonts w:ascii="Times New Roman" w:hAnsi="Times New Roman" w:eastAsia="仿宋_GB2312"/>
          <w:sz w:val="28"/>
          <w:szCs w:val="28"/>
        </w:rPr>
        <w:fldChar w:fldCharType="separate"/>
      </w:r>
      <w:r>
        <w:rPr>
          <w:rFonts w:ascii="Times New Roman" w:hAnsi="Times New Roman" w:eastAsia="仿宋_GB2312"/>
          <w:sz w:val="28"/>
          <w:szCs w:val="28"/>
        </w:rPr>
        <w:t>19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2.1 许可或批准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_Toc351203510 \h </w:instrText>
      </w:r>
      <w:r>
        <w:rPr>
          <w:rFonts w:ascii="Times New Roman" w:hAnsi="Times New Roman" w:eastAsia="仿宋_GB2312"/>
          <w:sz w:val="28"/>
          <w:szCs w:val="28"/>
        </w:rPr>
        <w:fldChar w:fldCharType="separate"/>
      </w:r>
      <w:r>
        <w:rPr>
          <w:rFonts w:ascii="Times New Roman" w:hAnsi="Times New Roman" w:eastAsia="仿宋_GB2312"/>
          <w:sz w:val="28"/>
          <w:szCs w:val="28"/>
        </w:rPr>
        <w:t>19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2.2 发包人代表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_Toc351203511 \h </w:instrText>
      </w:r>
      <w:r>
        <w:rPr>
          <w:rFonts w:ascii="Times New Roman" w:hAnsi="Times New Roman" w:eastAsia="仿宋_GB2312"/>
          <w:sz w:val="28"/>
          <w:szCs w:val="28"/>
        </w:rPr>
        <w:fldChar w:fldCharType="separate"/>
      </w:r>
      <w:r>
        <w:rPr>
          <w:rFonts w:ascii="Times New Roman" w:hAnsi="Times New Roman" w:eastAsia="仿宋_GB2312"/>
          <w:sz w:val="28"/>
          <w:szCs w:val="28"/>
        </w:rPr>
        <w:t>20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2.3 发包人人员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_Toc351203512 \h </w:instrText>
      </w:r>
      <w:r>
        <w:rPr>
          <w:rFonts w:ascii="Times New Roman" w:hAnsi="Times New Roman" w:eastAsia="仿宋_GB2312"/>
          <w:sz w:val="28"/>
          <w:szCs w:val="28"/>
        </w:rPr>
        <w:fldChar w:fldCharType="separate"/>
      </w:r>
      <w:r>
        <w:rPr>
          <w:rFonts w:ascii="Times New Roman" w:hAnsi="Times New Roman" w:eastAsia="仿宋_GB2312"/>
          <w:sz w:val="28"/>
          <w:szCs w:val="28"/>
        </w:rPr>
        <w:t>20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2.4 施工现场、施工条件和基础资料的提供</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_Toc351203513 \h </w:instrText>
      </w:r>
      <w:r>
        <w:rPr>
          <w:rFonts w:ascii="Times New Roman" w:hAnsi="Times New Roman" w:eastAsia="仿宋_GB2312"/>
          <w:sz w:val="28"/>
          <w:szCs w:val="28"/>
        </w:rPr>
        <w:fldChar w:fldCharType="separate"/>
      </w:r>
      <w:r>
        <w:rPr>
          <w:rFonts w:ascii="Times New Roman" w:hAnsi="Times New Roman" w:eastAsia="仿宋_GB2312"/>
          <w:sz w:val="28"/>
          <w:szCs w:val="28"/>
        </w:rPr>
        <w:t>20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2.5 资金来源证明及支付担保</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_Toc351203514 \h </w:instrText>
      </w:r>
      <w:r>
        <w:rPr>
          <w:rFonts w:ascii="Times New Roman" w:hAnsi="Times New Roman" w:eastAsia="仿宋_GB2312"/>
          <w:sz w:val="28"/>
          <w:szCs w:val="28"/>
        </w:rPr>
        <w:fldChar w:fldCharType="separate"/>
      </w:r>
      <w:r>
        <w:rPr>
          <w:rFonts w:ascii="Times New Roman" w:hAnsi="Times New Roman" w:eastAsia="仿宋_GB2312"/>
          <w:sz w:val="28"/>
          <w:szCs w:val="28"/>
        </w:rPr>
        <w:t>22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2.6 支付合同价款</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_Toc351203515 \h </w:instrText>
      </w:r>
      <w:r>
        <w:rPr>
          <w:rFonts w:ascii="Times New Roman" w:hAnsi="Times New Roman" w:eastAsia="仿宋_GB2312"/>
          <w:sz w:val="28"/>
          <w:szCs w:val="28"/>
        </w:rPr>
        <w:fldChar w:fldCharType="separate"/>
      </w:r>
      <w:r>
        <w:rPr>
          <w:rFonts w:ascii="Times New Roman" w:hAnsi="Times New Roman" w:eastAsia="仿宋_GB2312"/>
          <w:sz w:val="28"/>
          <w:szCs w:val="28"/>
        </w:rPr>
        <w:t>22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2.7 组织竣工验收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_Toc351203516 \h </w:instrText>
      </w:r>
      <w:r>
        <w:rPr>
          <w:rFonts w:ascii="Times New Roman" w:hAnsi="Times New Roman" w:eastAsia="仿宋_GB2312"/>
          <w:sz w:val="28"/>
          <w:szCs w:val="28"/>
        </w:rPr>
        <w:fldChar w:fldCharType="separate"/>
      </w:r>
      <w:r>
        <w:rPr>
          <w:rFonts w:ascii="Times New Roman" w:hAnsi="Times New Roman" w:eastAsia="仿宋_GB2312"/>
          <w:sz w:val="28"/>
          <w:szCs w:val="28"/>
        </w:rPr>
        <w:t>22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2.8 现场统一管理协议</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_Toc351203517 \h </w:instrText>
      </w:r>
      <w:r>
        <w:rPr>
          <w:rFonts w:ascii="Times New Roman" w:hAnsi="Times New Roman" w:eastAsia="仿宋_GB2312"/>
          <w:sz w:val="28"/>
          <w:szCs w:val="28"/>
        </w:rPr>
        <w:fldChar w:fldCharType="separate"/>
      </w:r>
      <w:r>
        <w:rPr>
          <w:rFonts w:ascii="Times New Roman" w:hAnsi="Times New Roman" w:eastAsia="仿宋_GB2312"/>
          <w:sz w:val="28"/>
          <w:szCs w:val="28"/>
        </w:rPr>
        <w:t>22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3. 承包人</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_Toc351203518 \h </w:instrText>
      </w:r>
      <w:r>
        <w:rPr>
          <w:rFonts w:ascii="Times New Roman" w:hAnsi="Times New Roman" w:eastAsia="仿宋_GB2312"/>
          <w:sz w:val="28"/>
          <w:szCs w:val="28"/>
        </w:rPr>
        <w:fldChar w:fldCharType="separate"/>
      </w:r>
      <w:r>
        <w:rPr>
          <w:rFonts w:ascii="Times New Roman" w:hAnsi="Times New Roman" w:eastAsia="仿宋_GB2312"/>
          <w:sz w:val="28"/>
          <w:szCs w:val="28"/>
        </w:rPr>
        <w:t>23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3.1 承包人的一般义务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_Toc351203519 \h </w:instrText>
      </w:r>
      <w:r>
        <w:rPr>
          <w:rFonts w:ascii="Times New Roman" w:hAnsi="Times New Roman" w:eastAsia="仿宋_GB2312"/>
          <w:sz w:val="28"/>
          <w:szCs w:val="28"/>
        </w:rPr>
        <w:fldChar w:fldCharType="separate"/>
      </w:r>
      <w:r>
        <w:rPr>
          <w:rFonts w:ascii="Times New Roman" w:hAnsi="Times New Roman" w:eastAsia="仿宋_GB2312"/>
          <w:sz w:val="28"/>
          <w:szCs w:val="28"/>
        </w:rPr>
        <w:t>23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3.2 项目经理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_Toc351203520 \h </w:instrText>
      </w:r>
      <w:r>
        <w:rPr>
          <w:rFonts w:ascii="Times New Roman" w:hAnsi="Times New Roman" w:eastAsia="仿宋_GB2312"/>
          <w:sz w:val="28"/>
          <w:szCs w:val="28"/>
        </w:rPr>
        <w:fldChar w:fldCharType="separate"/>
      </w:r>
      <w:r>
        <w:rPr>
          <w:rFonts w:ascii="Times New Roman" w:hAnsi="Times New Roman" w:eastAsia="仿宋_GB2312"/>
          <w:sz w:val="28"/>
          <w:szCs w:val="28"/>
        </w:rPr>
        <w:t>24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3.3 承包人人员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_Toc351203521 \h </w:instrText>
      </w:r>
      <w:r>
        <w:rPr>
          <w:rFonts w:ascii="Times New Roman" w:hAnsi="Times New Roman" w:eastAsia="仿宋_GB2312"/>
          <w:sz w:val="28"/>
          <w:szCs w:val="28"/>
        </w:rPr>
        <w:fldChar w:fldCharType="separate"/>
      </w:r>
      <w:r>
        <w:rPr>
          <w:rFonts w:ascii="Times New Roman" w:hAnsi="Times New Roman" w:eastAsia="仿宋_GB2312"/>
          <w:sz w:val="28"/>
          <w:szCs w:val="28"/>
        </w:rPr>
        <w:t>26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3.4 承包人现场查勘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_Toc351203522 \h </w:instrText>
      </w:r>
      <w:r>
        <w:rPr>
          <w:rFonts w:ascii="Times New Roman" w:hAnsi="Times New Roman" w:eastAsia="仿宋_GB2312"/>
          <w:sz w:val="28"/>
          <w:szCs w:val="28"/>
        </w:rPr>
        <w:fldChar w:fldCharType="separate"/>
      </w:r>
      <w:r>
        <w:rPr>
          <w:rFonts w:ascii="Times New Roman" w:hAnsi="Times New Roman" w:eastAsia="仿宋_GB2312"/>
          <w:sz w:val="28"/>
          <w:szCs w:val="28"/>
        </w:rPr>
        <w:t>27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3.5 分包</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_Toc351203523 \h </w:instrText>
      </w:r>
      <w:r>
        <w:rPr>
          <w:rFonts w:ascii="Times New Roman" w:hAnsi="Times New Roman" w:eastAsia="仿宋_GB2312"/>
          <w:sz w:val="28"/>
          <w:szCs w:val="28"/>
        </w:rPr>
        <w:fldChar w:fldCharType="separate"/>
      </w:r>
      <w:r>
        <w:rPr>
          <w:rFonts w:ascii="Times New Roman" w:hAnsi="Times New Roman" w:eastAsia="仿宋_GB2312"/>
          <w:sz w:val="28"/>
          <w:szCs w:val="28"/>
        </w:rPr>
        <w:t>27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3.6 工程照管与成品、半成品保护</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_Toc351203524 \h </w:instrText>
      </w:r>
      <w:r>
        <w:rPr>
          <w:rFonts w:ascii="Times New Roman" w:hAnsi="Times New Roman" w:eastAsia="仿宋_GB2312"/>
          <w:sz w:val="28"/>
          <w:szCs w:val="28"/>
        </w:rPr>
        <w:fldChar w:fldCharType="separate"/>
      </w:r>
      <w:r>
        <w:rPr>
          <w:rFonts w:ascii="Times New Roman" w:hAnsi="Times New Roman" w:eastAsia="仿宋_GB2312"/>
          <w:sz w:val="28"/>
          <w:szCs w:val="28"/>
        </w:rPr>
        <w:t>29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3.7 履约担保</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_Toc351203525 \h </w:instrText>
      </w:r>
      <w:r>
        <w:rPr>
          <w:rFonts w:ascii="Times New Roman" w:hAnsi="Times New Roman" w:eastAsia="仿宋_GB2312"/>
          <w:sz w:val="28"/>
          <w:szCs w:val="28"/>
        </w:rPr>
        <w:fldChar w:fldCharType="separate"/>
      </w:r>
      <w:r>
        <w:rPr>
          <w:rFonts w:ascii="Times New Roman" w:hAnsi="Times New Roman" w:eastAsia="仿宋_GB2312"/>
          <w:sz w:val="28"/>
          <w:szCs w:val="28"/>
        </w:rPr>
        <w:t>29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3.8 联合体</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_Toc351203526 \h </w:instrText>
      </w:r>
      <w:r>
        <w:rPr>
          <w:rFonts w:ascii="Times New Roman" w:hAnsi="Times New Roman" w:eastAsia="仿宋_GB2312"/>
          <w:sz w:val="28"/>
          <w:szCs w:val="28"/>
        </w:rPr>
        <w:fldChar w:fldCharType="separate"/>
      </w:r>
      <w:r>
        <w:rPr>
          <w:rFonts w:ascii="Times New Roman" w:hAnsi="Times New Roman" w:eastAsia="仿宋_GB2312"/>
          <w:sz w:val="28"/>
          <w:szCs w:val="28"/>
        </w:rPr>
        <w:t>30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4. 监理人</w:t>
      </w:r>
      <w:r>
        <w:rPr>
          <w:rFonts w:ascii="Times New Roman" w:hAnsi="Times New Roman" w:eastAsia="仿宋_GB2312"/>
          <w:sz w:val="28"/>
          <w:szCs w:val="28"/>
        </w:rPr>
        <w:tab/>
      </w:r>
      <w:r>
        <w:rPr>
          <w:rFonts w:hint="eastAsia" w:ascii="Times New Roman" w:hAnsi="Times New Roman" w:eastAsia="仿宋_GB2312"/>
          <w:sz w:val="28"/>
          <w:szCs w:val="28"/>
        </w:rPr>
        <w:t>30</w:t>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4.1监理人的一般规定</w:t>
      </w:r>
      <w:r>
        <w:rPr>
          <w:rFonts w:ascii="Times New Roman" w:hAnsi="Times New Roman" w:eastAsia="仿宋_GB2312"/>
          <w:sz w:val="28"/>
          <w:szCs w:val="28"/>
        </w:rPr>
        <w:tab/>
      </w:r>
      <w:r>
        <w:rPr>
          <w:rFonts w:hint="eastAsia" w:ascii="Times New Roman" w:hAnsi="Times New Roman" w:eastAsia="仿宋_GB2312"/>
          <w:sz w:val="28"/>
          <w:szCs w:val="28"/>
        </w:rPr>
        <w:t>30</w:t>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4.2监理人员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_Toc351203529 \h </w:instrText>
      </w:r>
      <w:r>
        <w:rPr>
          <w:rFonts w:ascii="Times New Roman" w:hAnsi="Times New Roman" w:eastAsia="仿宋_GB2312"/>
          <w:sz w:val="28"/>
          <w:szCs w:val="28"/>
        </w:rPr>
        <w:fldChar w:fldCharType="separate"/>
      </w:r>
      <w:r>
        <w:rPr>
          <w:rFonts w:ascii="Times New Roman" w:hAnsi="Times New Roman" w:eastAsia="仿宋_GB2312"/>
          <w:sz w:val="28"/>
          <w:szCs w:val="28"/>
        </w:rPr>
        <w:t>30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4.3监理人的指示</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_Toc351203530 \h </w:instrText>
      </w:r>
      <w:r>
        <w:rPr>
          <w:rFonts w:ascii="Times New Roman" w:hAnsi="Times New Roman" w:eastAsia="仿宋_GB2312"/>
          <w:sz w:val="28"/>
          <w:szCs w:val="28"/>
        </w:rPr>
        <w:fldChar w:fldCharType="separate"/>
      </w:r>
      <w:r>
        <w:rPr>
          <w:rFonts w:ascii="Times New Roman" w:hAnsi="Times New Roman" w:eastAsia="仿宋_GB2312"/>
          <w:sz w:val="28"/>
          <w:szCs w:val="28"/>
        </w:rPr>
        <w:t>31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4.4 商定或确定</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_Toc351203531 \h </w:instrText>
      </w:r>
      <w:r>
        <w:rPr>
          <w:rFonts w:ascii="Times New Roman" w:hAnsi="Times New Roman" w:eastAsia="仿宋_GB2312"/>
          <w:sz w:val="28"/>
          <w:szCs w:val="28"/>
        </w:rPr>
        <w:fldChar w:fldCharType="separate"/>
      </w:r>
      <w:r>
        <w:rPr>
          <w:rFonts w:ascii="Times New Roman" w:hAnsi="Times New Roman" w:eastAsia="仿宋_GB2312"/>
          <w:sz w:val="28"/>
          <w:szCs w:val="28"/>
        </w:rPr>
        <w:t>32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5. 工程质量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_Toc351203532 \h </w:instrText>
      </w:r>
      <w:r>
        <w:rPr>
          <w:rFonts w:ascii="Times New Roman" w:hAnsi="Times New Roman" w:eastAsia="仿宋_GB2312"/>
          <w:sz w:val="28"/>
          <w:szCs w:val="28"/>
        </w:rPr>
        <w:fldChar w:fldCharType="separate"/>
      </w:r>
      <w:r>
        <w:rPr>
          <w:rFonts w:ascii="Times New Roman" w:hAnsi="Times New Roman" w:eastAsia="仿宋_GB2312"/>
          <w:sz w:val="28"/>
          <w:szCs w:val="28"/>
        </w:rPr>
        <w:t>32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5.1质量要求</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_Toc351203533 \h </w:instrText>
      </w:r>
      <w:r>
        <w:rPr>
          <w:rFonts w:ascii="Times New Roman" w:hAnsi="Times New Roman" w:eastAsia="仿宋_GB2312"/>
          <w:sz w:val="28"/>
          <w:szCs w:val="28"/>
        </w:rPr>
        <w:fldChar w:fldCharType="separate"/>
      </w:r>
      <w:r>
        <w:rPr>
          <w:rFonts w:ascii="Times New Roman" w:hAnsi="Times New Roman" w:eastAsia="仿宋_GB2312"/>
          <w:sz w:val="28"/>
          <w:szCs w:val="28"/>
        </w:rPr>
        <w:t>32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5.2质量保证措施</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_Toc351203534 \h </w:instrText>
      </w:r>
      <w:r>
        <w:rPr>
          <w:rFonts w:ascii="Times New Roman" w:hAnsi="Times New Roman" w:eastAsia="仿宋_GB2312"/>
          <w:sz w:val="28"/>
          <w:szCs w:val="28"/>
        </w:rPr>
        <w:fldChar w:fldCharType="separate"/>
      </w:r>
      <w:r>
        <w:rPr>
          <w:rFonts w:ascii="Times New Roman" w:hAnsi="Times New Roman" w:eastAsia="仿宋_GB2312"/>
          <w:sz w:val="28"/>
          <w:szCs w:val="28"/>
        </w:rPr>
        <w:t>33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5.3 隐蔽工程检查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_Toc351203535 \h </w:instrText>
      </w:r>
      <w:r>
        <w:rPr>
          <w:rFonts w:ascii="Times New Roman" w:hAnsi="Times New Roman" w:eastAsia="仿宋_GB2312"/>
          <w:sz w:val="28"/>
          <w:szCs w:val="28"/>
        </w:rPr>
        <w:fldChar w:fldCharType="separate"/>
      </w:r>
      <w:r>
        <w:rPr>
          <w:rFonts w:ascii="Times New Roman" w:hAnsi="Times New Roman" w:eastAsia="仿宋_GB2312"/>
          <w:sz w:val="28"/>
          <w:szCs w:val="28"/>
        </w:rPr>
        <w:t>34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5.4不合格工程的处理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_Toc351203536 \h </w:instrText>
      </w:r>
      <w:r>
        <w:rPr>
          <w:rFonts w:ascii="Times New Roman" w:hAnsi="Times New Roman" w:eastAsia="仿宋_GB2312"/>
          <w:sz w:val="28"/>
          <w:szCs w:val="28"/>
        </w:rPr>
        <w:fldChar w:fldCharType="separate"/>
      </w:r>
      <w:r>
        <w:rPr>
          <w:rFonts w:ascii="Times New Roman" w:hAnsi="Times New Roman" w:eastAsia="仿宋_GB2312"/>
          <w:sz w:val="28"/>
          <w:szCs w:val="28"/>
        </w:rPr>
        <w:t>35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5.5 质量争议检测</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_Toc351203537 \h </w:instrText>
      </w:r>
      <w:r>
        <w:rPr>
          <w:rFonts w:ascii="Times New Roman" w:hAnsi="Times New Roman" w:eastAsia="仿宋_GB2312"/>
          <w:sz w:val="28"/>
          <w:szCs w:val="28"/>
        </w:rPr>
        <w:fldChar w:fldCharType="separate"/>
      </w:r>
      <w:r>
        <w:rPr>
          <w:rFonts w:ascii="Times New Roman" w:hAnsi="Times New Roman" w:eastAsia="仿宋_GB2312"/>
          <w:sz w:val="28"/>
          <w:szCs w:val="28"/>
        </w:rPr>
        <w:t>36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6. 安全文明施工与环境保护</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_Toc351203538 \h </w:instrText>
      </w:r>
      <w:r>
        <w:rPr>
          <w:rFonts w:ascii="Times New Roman" w:hAnsi="Times New Roman" w:eastAsia="仿宋_GB2312"/>
          <w:sz w:val="28"/>
          <w:szCs w:val="28"/>
        </w:rPr>
        <w:fldChar w:fldCharType="separate"/>
      </w:r>
      <w:r>
        <w:rPr>
          <w:rFonts w:ascii="Times New Roman" w:hAnsi="Times New Roman" w:eastAsia="仿宋_GB2312"/>
          <w:sz w:val="28"/>
          <w:szCs w:val="28"/>
        </w:rPr>
        <w:t>36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6.1安全文明施工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_Toc351203539 \h </w:instrText>
      </w:r>
      <w:r>
        <w:rPr>
          <w:rFonts w:ascii="Times New Roman" w:hAnsi="Times New Roman" w:eastAsia="仿宋_GB2312"/>
          <w:sz w:val="28"/>
          <w:szCs w:val="28"/>
        </w:rPr>
        <w:fldChar w:fldCharType="separate"/>
      </w:r>
      <w:r>
        <w:rPr>
          <w:rFonts w:ascii="Times New Roman" w:hAnsi="Times New Roman" w:eastAsia="仿宋_GB2312"/>
          <w:sz w:val="28"/>
          <w:szCs w:val="28"/>
        </w:rPr>
        <w:t>36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6.2 职业健康</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_Toc351203540 \h </w:instrText>
      </w:r>
      <w:r>
        <w:rPr>
          <w:rFonts w:ascii="Times New Roman" w:hAnsi="Times New Roman" w:eastAsia="仿宋_GB2312"/>
          <w:sz w:val="28"/>
          <w:szCs w:val="28"/>
        </w:rPr>
        <w:fldChar w:fldCharType="separate"/>
      </w:r>
      <w:r>
        <w:rPr>
          <w:rFonts w:ascii="Times New Roman" w:hAnsi="Times New Roman" w:eastAsia="仿宋_GB2312"/>
          <w:sz w:val="28"/>
          <w:szCs w:val="28"/>
        </w:rPr>
        <w:t>40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6.3 环境保护</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_Toc351203541 \h </w:instrText>
      </w:r>
      <w:r>
        <w:rPr>
          <w:rFonts w:ascii="Times New Roman" w:hAnsi="Times New Roman" w:eastAsia="仿宋_GB2312"/>
          <w:sz w:val="28"/>
          <w:szCs w:val="28"/>
        </w:rPr>
        <w:fldChar w:fldCharType="separate"/>
      </w:r>
      <w:r>
        <w:rPr>
          <w:rFonts w:ascii="Times New Roman" w:hAnsi="Times New Roman" w:eastAsia="仿宋_GB2312"/>
          <w:sz w:val="28"/>
          <w:szCs w:val="28"/>
        </w:rPr>
        <w:t>41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 工期和进度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_Toc351203542 \h </w:instrText>
      </w:r>
      <w:r>
        <w:rPr>
          <w:rFonts w:ascii="Times New Roman" w:hAnsi="Times New Roman" w:eastAsia="仿宋_GB2312"/>
          <w:sz w:val="28"/>
          <w:szCs w:val="28"/>
        </w:rPr>
        <w:fldChar w:fldCharType="separate"/>
      </w:r>
      <w:r>
        <w:rPr>
          <w:rFonts w:ascii="Times New Roman" w:hAnsi="Times New Roman" w:eastAsia="仿宋_GB2312"/>
          <w:sz w:val="28"/>
          <w:szCs w:val="28"/>
        </w:rPr>
        <w:t>42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7.1施工组织设计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_Toc351203543 \h </w:instrText>
      </w:r>
      <w:r>
        <w:rPr>
          <w:rFonts w:ascii="Times New Roman" w:hAnsi="Times New Roman" w:eastAsia="仿宋_GB2312"/>
          <w:sz w:val="28"/>
          <w:szCs w:val="28"/>
        </w:rPr>
        <w:fldChar w:fldCharType="separate"/>
      </w:r>
      <w:r>
        <w:rPr>
          <w:rFonts w:ascii="Times New Roman" w:hAnsi="Times New Roman" w:eastAsia="仿宋_GB2312"/>
          <w:sz w:val="28"/>
          <w:szCs w:val="28"/>
        </w:rPr>
        <w:t>42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7.2 施工进度计划</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_Toc351203544 \h </w:instrText>
      </w:r>
      <w:r>
        <w:rPr>
          <w:rFonts w:ascii="Times New Roman" w:hAnsi="Times New Roman" w:eastAsia="仿宋_GB2312"/>
          <w:sz w:val="28"/>
          <w:szCs w:val="28"/>
        </w:rPr>
        <w:fldChar w:fldCharType="separate"/>
      </w:r>
      <w:r>
        <w:rPr>
          <w:rFonts w:ascii="Times New Roman" w:hAnsi="Times New Roman" w:eastAsia="仿宋_GB2312"/>
          <w:sz w:val="28"/>
          <w:szCs w:val="28"/>
        </w:rPr>
        <w:t>43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7.3 开工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_Toc351203545 \h </w:instrText>
      </w:r>
      <w:r>
        <w:rPr>
          <w:rFonts w:ascii="Times New Roman" w:hAnsi="Times New Roman" w:eastAsia="仿宋_GB2312"/>
          <w:sz w:val="28"/>
          <w:szCs w:val="28"/>
        </w:rPr>
        <w:fldChar w:fldCharType="separate"/>
      </w:r>
      <w:r>
        <w:rPr>
          <w:rFonts w:ascii="Times New Roman" w:hAnsi="Times New Roman" w:eastAsia="仿宋_GB2312"/>
          <w:sz w:val="28"/>
          <w:szCs w:val="28"/>
        </w:rPr>
        <w:t>44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7.4测量放线</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_Toc351203546 \h </w:instrText>
      </w:r>
      <w:r>
        <w:rPr>
          <w:rFonts w:ascii="Times New Roman" w:hAnsi="Times New Roman" w:eastAsia="仿宋_GB2312"/>
          <w:sz w:val="28"/>
          <w:szCs w:val="28"/>
        </w:rPr>
        <w:fldChar w:fldCharType="separate"/>
      </w:r>
      <w:r>
        <w:rPr>
          <w:rFonts w:ascii="Times New Roman" w:hAnsi="Times New Roman" w:eastAsia="仿宋_GB2312"/>
          <w:sz w:val="28"/>
          <w:szCs w:val="28"/>
        </w:rPr>
        <w:t>44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7.5工期延误</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_Toc351203547 \h </w:instrText>
      </w:r>
      <w:r>
        <w:rPr>
          <w:rFonts w:ascii="Times New Roman" w:hAnsi="Times New Roman" w:eastAsia="仿宋_GB2312"/>
          <w:sz w:val="28"/>
          <w:szCs w:val="28"/>
        </w:rPr>
        <w:fldChar w:fldCharType="separate"/>
      </w:r>
      <w:r>
        <w:rPr>
          <w:rFonts w:ascii="Times New Roman" w:hAnsi="Times New Roman" w:eastAsia="仿宋_GB2312"/>
          <w:sz w:val="28"/>
          <w:szCs w:val="28"/>
        </w:rPr>
        <w:t>45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7.6 不利物质条件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_Toc351203548 \h </w:instrText>
      </w:r>
      <w:r>
        <w:rPr>
          <w:rFonts w:ascii="Times New Roman" w:hAnsi="Times New Roman" w:eastAsia="仿宋_GB2312"/>
          <w:sz w:val="28"/>
          <w:szCs w:val="28"/>
        </w:rPr>
        <w:fldChar w:fldCharType="separate"/>
      </w:r>
      <w:r>
        <w:rPr>
          <w:rFonts w:ascii="Times New Roman" w:hAnsi="Times New Roman" w:eastAsia="仿宋_GB2312"/>
          <w:sz w:val="28"/>
          <w:szCs w:val="28"/>
        </w:rPr>
        <w:t>46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7.7异常恶劣的气候条件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_Toc351203549 \h </w:instrText>
      </w:r>
      <w:r>
        <w:rPr>
          <w:rFonts w:ascii="Times New Roman" w:hAnsi="Times New Roman" w:eastAsia="仿宋_GB2312"/>
          <w:sz w:val="28"/>
          <w:szCs w:val="28"/>
        </w:rPr>
        <w:fldChar w:fldCharType="separate"/>
      </w:r>
      <w:r>
        <w:rPr>
          <w:rFonts w:ascii="Times New Roman" w:hAnsi="Times New Roman" w:eastAsia="仿宋_GB2312"/>
          <w:sz w:val="28"/>
          <w:szCs w:val="28"/>
        </w:rPr>
        <w:t>47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7.8 暂停施工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_Toc351203550 \h </w:instrText>
      </w:r>
      <w:r>
        <w:rPr>
          <w:rFonts w:ascii="Times New Roman" w:hAnsi="Times New Roman" w:eastAsia="仿宋_GB2312"/>
          <w:sz w:val="28"/>
          <w:szCs w:val="28"/>
        </w:rPr>
        <w:fldChar w:fldCharType="separate"/>
      </w:r>
      <w:r>
        <w:rPr>
          <w:rFonts w:ascii="Times New Roman" w:hAnsi="Times New Roman" w:eastAsia="仿宋_GB2312"/>
          <w:sz w:val="28"/>
          <w:szCs w:val="28"/>
        </w:rPr>
        <w:t>47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7.9 提前竣工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_Toc351203551 \h </w:instrText>
      </w:r>
      <w:r>
        <w:rPr>
          <w:rFonts w:ascii="Times New Roman" w:hAnsi="Times New Roman" w:eastAsia="仿宋_GB2312"/>
          <w:sz w:val="28"/>
          <w:szCs w:val="28"/>
        </w:rPr>
        <w:fldChar w:fldCharType="separate"/>
      </w:r>
      <w:r>
        <w:rPr>
          <w:rFonts w:ascii="Times New Roman" w:hAnsi="Times New Roman" w:eastAsia="仿宋_GB2312"/>
          <w:sz w:val="28"/>
          <w:szCs w:val="28"/>
        </w:rPr>
        <w:t>49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 材料与设备</w:t>
      </w:r>
      <w:r>
        <w:rPr>
          <w:rFonts w:ascii="Times New Roman" w:hAnsi="Times New Roman" w:eastAsia="仿宋_GB2312"/>
          <w:sz w:val="28"/>
          <w:szCs w:val="28"/>
        </w:rPr>
        <w:tab/>
      </w:r>
      <w:r>
        <w:rPr>
          <w:rFonts w:hint="eastAsia" w:ascii="Times New Roman" w:hAnsi="Times New Roman" w:eastAsia="仿宋_GB2312"/>
          <w:sz w:val="28"/>
          <w:szCs w:val="28"/>
        </w:rPr>
        <w:t>50</w:t>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8.1发包人供应材料与工程设备</w:t>
      </w:r>
      <w:r>
        <w:rPr>
          <w:rFonts w:ascii="Times New Roman" w:hAnsi="Times New Roman" w:eastAsia="仿宋_GB2312"/>
          <w:sz w:val="28"/>
          <w:szCs w:val="28"/>
        </w:rPr>
        <w:tab/>
      </w:r>
      <w:r>
        <w:rPr>
          <w:rFonts w:hint="eastAsia" w:ascii="Times New Roman" w:hAnsi="Times New Roman" w:eastAsia="仿宋_GB2312"/>
          <w:sz w:val="28"/>
          <w:szCs w:val="28"/>
        </w:rPr>
        <w:t>50</w:t>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8.2承包人采购材料与工程设备</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_Toc351203554 \h </w:instrText>
      </w:r>
      <w:r>
        <w:rPr>
          <w:rFonts w:ascii="Times New Roman" w:hAnsi="Times New Roman" w:eastAsia="仿宋_GB2312"/>
          <w:sz w:val="28"/>
          <w:szCs w:val="28"/>
        </w:rPr>
        <w:fldChar w:fldCharType="separate"/>
      </w:r>
      <w:r>
        <w:rPr>
          <w:rFonts w:ascii="Times New Roman" w:hAnsi="Times New Roman" w:eastAsia="仿宋_GB2312"/>
          <w:sz w:val="28"/>
          <w:szCs w:val="28"/>
        </w:rPr>
        <w:t>50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8.3材料与工程设备的接收与拒收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_Toc351203555 \h </w:instrText>
      </w:r>
      <w:r>
        <w:rPr>
          <w:rFonts w:ascii="Times New Roman" w:hAnsi="Times New Roman" w:eastAsia="仿宋_GB2312"/>
          <w:sz w:val="28"/>
          <w:szCs w:val="28"/>
        </w:rPr>
        <w:fldChar w:fldCharType="separate"/>
      </w:r>
      <w:r>
        <w:rPr>
          <w:rFonts w:ascii="Times New Roman" w:hAnsi="Times New Roman" w:eastAsia="仿宋_GB2312"/>
          <w:sz w:val="28"/>
          <w:szCs w:val="28"/>
        </w:rPr>
        <w:t>51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8.4材料与工程设备的保管与使用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_Toc351203556 \h </w:instrText>
      </w:r>
      <w:r>
        <w:rPr>
          <w:rFonts w:ascii="Times New Roman" w:hAnsi="Times New Roman" w:eastAsia="仿宋_GB2312"/>
          <w:sz w:val="28"/>
          <w:szCs w:val="28"/>
        </w:rPr>
        <w:fldChar w:fldCharType="separate"/>
      </w:r>
      <w:r>
        <w:rPr>
          <w:rFonts w:ascii="Times New Roman" w:hAnsi="Times New Roman" w:eastAsia="仿宋_GB2312"/>
          <w:sz w:val="28"/>
          <w:szCs w:val="28"/>
        </w:rPr>
        <w:t>52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8.5 禁止使用不合格的材料和工程设备</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_Toc351203557 \h </w:instrText>
      </w:r>
      <w:r>
        <w:rPr>
          <w:rFonts w:ascii="Times New Roman" w:hAnsi="Times New Roman" w:eastAsia="仿宋_GB2312"/>
          <w:sz w:val="28"/>
          <w:szCs w:val="28"/>
        </w:rPr>
        <w:fldChar w:fldCharType="separate"/>
      </w:r>
      <w:r>
        <w:rPr>
          <w:rFonts w:ascii="Times New Roman" w:hAnsi="Times New Roman" w:eastAsia="仿宋_GB2312"/>
          <w:sz w:val="28"/>
          <w:szCs w:val="28"/>
        </w:rPr>
        <w:t>52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8.6 样品</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_Toc351203558 \h </w:instrText>
      </w:r>
      <w:r>
        <w:rPr>
          <w:rFonts w:ascii="Times New Roman" w:hAnsi="Times New Roman" w:eastAsia="仿宋_GB2312"/>
          <w:sz w:val="28"/>
          <w:szCs w:val="28"/>
        </w:rPr>
        <w:fldChar w:fldCharType="separate"/>
      </w:r>
      <w:r>
        <w:rPr>
          <w:rFonts w:ascii="Times New Roman" w:hAnsi="Times New Roman" w:eastAsia="仿宋_GB2312"/>
          <w:sz w:val="28"/>
          <w:szCs w:val="28"/>
        </w:rPr>
        <w:t>53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8.7 材料与工程设备的替代</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_Toc351203559 \h </w:instrText>
      </w:r>
      <w:r>
        <w:rPr>
          <w:rFonts w:ascii="Times New Roman" w:hAnsi="Times New Roman" w:eastAsia="仿宋_GB2312"/>
          <w:sz w:val="28"/>
          <w:szCs w:val="28"/>
        </w:rPr>
        <w:fldChar w:fldCharType="separate"/>
      </w:r>
      <w:r>
        <w:rPr>
          <w:rFonts w:ascii="Times New Roman" w:hAnsi="Times New Roman" w:eastAsia="仿宋_GB2312"/>
          <w:sz w:val="28"/>
          <w:szCs w:val="28"/>
        </w:rPr>
        <w:t>54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8.8 施工设备和临时设施</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_Toc351203560 \h </w:instrText>
      </w:r>
      <w:r>
        <w:rPr>
          <w:rFonts w:ascii="Times New Roman" w:hAnsi="Times New Roman" w:eastAsia="仿宋_GB2312"/>
          <w:sz w:val="28"/>
          <w:szCs w:val="28"/>
        </w:rPr>
        <w:fldChar w:fldCharType="separate"/>
      </w:r>
      <w:r>
        <w:rPr>
          <w:rFonts w:ascii="Times New Roman" w:hAnsi="Times New Roman" w:eastAsia="仿宋_GB2312"/>
          <w:sz w:val="28"/>
          <w:szCs w:val="28"/>
        </w:rPr>
        <w:t>55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8.9材料与设备专用</w:t>
      </w:r>
      <w:r>
        <w:rPr>
          <w:rStyle w:val="31"/>
          <w:rFonts w:hint="eastAsia" w:ascii="Times New Roman" w:hAnsi="Times New Roman" w:eastAsia="仿宋_GB2312"/>
          <w:sz w:val="28"/>
          <w:szCs w:val="28"/>
        </w:rPr>
        <w:t>要求</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_Toc351203561 \h </w:instrText>
      </w:r>
      <w:r>
        <w:rPr>
          <w:rFonts w:ascii="Times New Roman" w:hAnsi="Times New Roman" w:eastAsia="仿宋_GB2312"/>
          <w:sz w:val="28"/>
          <w:szCs w:val="28"/>
        </w:rPr>
        <w:fldChar w:fldCharType="separate"/>
      </w:r>
      <w:r>
        <w:rPr>
          <w:rFonts w:ascii="Times New Roman" w:hAnsi="Times New Roman" w:eastAsia="仿宋_GB2312"/>
          <w:sz w:val="28"/>
          <w:szCs w:val="28"/>
        </w:rPr>
        <w:t>56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9. 试验与检验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_Toc351203562 \h </w:instrText>
      </w:r>
      <w:r>
        <w:rPr>
          <w:rFonts w:ascii="Times New Roman" w:hAnsi="Times New Roman" w:eastAsia="仿宋_GB2312"/>
          <w:sz w:val="28"/>
          <w:szCs w:val="28"/>
        </w:rPr>
        <w:fldChar w:fldCharType="separate"/>
      </w:r>
      <w:r>
        <w:rPr>
          <w:rFonts w:ascii="Times New Roman" w:hAnsi="Times New Roman" w:eastAsia="仿宋_GB2312"/>
          <w:sz w:val="28"/>
          <w:szCs w:val="28"/>
        </w:rPr>
        <w:t>56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9.1试验设备与试验人员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_Toc351203563 \h </w:instrText>
      </w:r>
      <w:r>
        <w:rPr>
          <w:rFonts w:ascii="Times New Roman" w:hAnsi="Times New Roman" w:eastAsia="仿宋_GB2312"/>
          <w:sz w:val="28"/>
          <w:szCs w:val="28"/>
        </w:rPr>
        <w:fldChar w:fldCharType="separate"/>
      </w:r>
      <w:r>
        <w:rPr>
          <w:rFonts w:ascii="Times New Roman" w:hAnsi="Times New Roman" w:eastAsia="仿宋_GB2312"/>
          <w:sz w:val="28"/>
          <w:szCs w:val="28"/>
        </w:rPr>
        <w:t>56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9.2取样</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_Toc351203564 \h </w:instrText>
      </w:r>
      <w:r>
        <w:rPr>
          <w:rFonts w:ascii="Times New Roman" w:hAnsi="Times New Roman" w:eastAsia="仿宋_GB2312"/>
          <w:sz w:val="28"/>
          <w:szCs w:val="28"/>
        </w:rPr>
        <w:fldChar w:fldCharType="separate"/>
      </w:r>
      <w:r>
        <w:rPr>
          <w:rFonts w:ascii="Times New Roman" w:hAnsi="Times New Roman" w:eastAsia="仿宋_GB2312"/>
          <w:sz w:val="28"/>
          <w:szCs w:val="28"/>
        </w:rPr>
        <w:t>57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9.3 材料、工程设备和工程的试验和检验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_Toc351203565 \h </w:instrText>
      </w:r>
      <w:r>
        <w:rPr>
          <w:rFonts w:ascii="Times New Roman" w:hAnsi="Times New Roman" w:eastAsia="仿宋_GB2312"/>
          <w:sz w:val="28"/>
          <w:szCs w:val="28"/>
        </w:rPr>
        <w:fldChar w:fldCharType="separate"/>
      </w:r>
      <w:r>
        <w:rPr>
          <w:rFonts w:ascii="Times New Roman" w:hAnsi="Times New Roman" w:eastAsia="仿宋_GB2312"/>
          <w:sz w:val="28"/>
          <w:szCs w:val="28"/>
        </w:rPr>
        <w:t>57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9.4 现场工艺试验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_Toc351203566 \h </w:instrText>
      </w:r>
      <w:r>
        <w:rPr>
          <w:rFonts w:ascii="Times New Roman" w:hAnsi="Times New Roman" w:eastAsia="仿宋_GB2312"/>
          <w:sz w:val="28"/>
          <w:szCs w:val="28"/>
        </w:rPr>
        <w:fldChar w:fldCharType="separate"/>
      </w:r>
      <w:r>
        <w:rPr>
          <w:rFonts w:ascii="Times New Roman" w:hAnsi="Times New Roman" w:eastAsia="仿宋_GB2312"/>
          <w:sz w:val="28"/>
          <w:szCs w:val="28"/>
        </w:rPr>
        <w:t>58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 变更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_Toc351203567 \h </w:instrText>
      </w:r>
      <w:r>
        <w:rPr>
          <w:rFonts w:ascii="Times New Roman" w:hAnsi="Times New Roman" w:eastAsia="仿宋_GB2312"/>
          <w:sz w:val="28"/>
          <w:szCs w:val="28"/>
        </w:rPr>
        <w:fldChar w:fldCharType="separate"/>
      </w:r>
      <w:r>
        <w:rPr>
          <w:rFonts w:ascii="Times New Roman" w:hAnsi="Times New Roman" w:eastAsia="仿宋_GB2312"/>
          <w:sz w:val="28"/>
          <w:szCs w:val="28"/>
        </w:rPr>
        <w:t>58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10.1变更的范围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_Toc351203568 \h </w:instrText>
      </w:r>
      <w:r>
        <w:rPr>
          <w:rFonts w:ascii="Times New Roman" w:hAnsi="Times New Roman" w:eastAsia="仿宋_GB2312"/>
          <w:sz w:val="28"/>
          <w:szCs w:val="28"/>
        </w:rPr>
        <w:fldChar w:fldCharType="separate"/>
      </w:r>
      <w:r>
        <w:rPr>
          <w:rFonts w:ascii="Times New Roman" w:hAnsi="Times New Roman" w:eastAsia="仿宋_GB2312"/>
          <w:sz w:val="28"/>
          <w:szCs w:val="28"/>
        </w:rPr>
        <w:t>58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10.2 变更权</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_Toc351203569 \h </w:instrText>
      </w:r>
      <w:r>
        <w:rPr>
          <w:rFonts w:ascii="Times New Roman" w:hAnsi="Times New Roman" w:eastAsia="仿宋_GB2312"/>
          <w:sz w:val="28"/>
          <w:szCs w:val="28"/>
        </w:rPr>
        <w:fldChar w:fldCharType="separate"/>
      </w:r>
      <w:r>
        <w:rPr>
          <w:rFonts w:ascii="Times New Roman" w:hAnsi="Times New Roman" w:eastAsia="仿宋_GB2312"/>
          <w:sz w:val="28"/>
          <w:szCs w:val="28"/>
        </w:rPr>
        <w:t>58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10.3变更程序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_Toc351203570 \h </w:instrText>
      </w:r>
      <w:r>
        <w:rPr>
          <w:rFonts w:ascii="Times New Roman" w:hAnsi="Times New Roman" w:eastAsia="仿宋_GB2312"/>
          <w:sz w:val="28"/>
          <w:szCs w:val="28"/>
        </w:rPr>
        <w:fldChar w:fldCharType="separate"/>
      </w:r>
      <w:r>
        <w:rPr>
          <w:rFonts w:ascii="Times New Roman" w:hAnsi="Times New Roman" w:eastAsia="仿宋_GB2312"/>
          <w:sz w:val="28"/>
          <w:szCs w:val="28"/>
        </w:rPr>
        <w:t>59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10.4变更估价</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_Toc351203571 \h </w:instrText>
      </w:r>
      <w:r>
        <w:rPr>
          <w:rFonts w:ascii="Times New Roman" w:hAnsi="Times New Roman" w:eastAsia="仿宋_GB2312"/>
          <w:sz w:val="28"/>
          <w:szCs w:val="28"/>
        </w:rPr>
        <w:fldChar w:fldCharType="separate"/>
      </w:r>
      <w:r>
        <w:rPr>
          <w:rFonts w:ascii="Times New Roman" w:hAnsi="Times New Roman" w:eastAsia="仿宋_GB2312"/>
          <w:sz w:val="28"/>
          <w:szCs w:val="28"/>
        </w:rPr>
        <w:t>59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10.5</w:t>
      </w:r>
      <w:r>
        <w:rPr>
          <w:rStyle w:val="31"/>
          <w:rFonts w:hint="eastAsia" w:ascii="Times New Roman" w:hAnsi="Times New Roman" w:eastAsia="仿宋_GB2312"/>
          <w:sz w:val="28"/>
          <w:szCs w:val="28"/>
        </w:rPr>
        <w:t xml:space="preserve"> </w:t>
      </w:r>
      <w:r>
        <w:rPr>
          <w:rStyle w:val="31"/>
          <w:rFonts w:ascii="Times New Roman" w:hAnsi="Times New Roman" w:eastAsia="仿宋_GB2312"/>
          <w:sz w:val="28"/>
          <w:szCs w:val="28"/>
        </w:rPr>
        <w:t>承包人的合理化建议</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_Toc351203572 \h </w:instrText>
      </w:r>
      <w:r>
        <w:rPr>
          <w:rFonts w:ascii="Times New Roman" w:hAnsi="Times New Roman" w:eastAsia="仿宋_GB2312"/>
          <w:sz w:val="28"/>
          <w:szCs w:val="28"/>
        </w:rPr>
        <w:fldChar w:fldCharType="separate"/>
      </w:r>
      <w:r>
        <w:rPr>
          <w:rFonts w:ascii="Times New Roman" w:hAnsi="Times New Roman" w:eastAsia="仿宋_GB2312"/>
          <w:sz w:val="28"/>
          <w:szCs w:val="28"/>
        </w:rPr>
        <w:t>60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10.6 变更引起的工期调整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_Toc351203573 \h </w:instrText>
      </w:r>
      <w:r>
        <w:rPr>
          <w:rFonts w:ascii="Times New Roman" w:hAnsi="Times New Roman" w:eastAsia="仿宋_GB2312"/>
          <w:sz w:val="28"/>
          <w:szCs w:val="28"/>
        </w:rPr>
        <w:fldChar w:fldCharType="separate"/>
      </w:r>
      <w:r>
        <w:rPr>
          <w:rFonts w:ascii="Times New Roman" w:hAnsi="Times New Roman" w:eastAsia="仿宋_GB2312"/>
          <w:sz w:val="28"/>
          <w:szCs w:val="28"/>
        </w:rPr>
        <w:t>61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10.7</w:t>
      </w:r>
      <w:r>
        <w:rPr>
          <w:rStyle w:val="31"/>
          <w:rFonts w:hint="eastAsia" w:ascii="Times New Roman" w:hAnsi="Times New Roman" w:eastAsia="仿宋_GB2312"/>
          <w:sz w:val="28"/>
          <w:szCs w:val="28"/>
        </w:rPr>
        <w:t xml:space="preserve"> </w:t>
      </w:r>
      <w:r>
        <w:rPr>
          <w:rStyle w:val="31"/>
          <w:rFonts w:ascii="Times New Roman" w:hAnsi="Times New Roman" w:eastAsia="仿宋_GB2312"/>
          <w:sz w:val="28"/>
          <w:szCs w:val="28"/>
        </w:rPr>
        <w:t>暂估价</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_Toc351203574 \h </w:instrText>
      </w:r>
      <w:r>
        <w:rPr>
          <w:rFonts w:ascii="Times New Roman" w:hAnsi="Times New Roman" w:eastAsia="仿宋_GB2312"/>
          <w:sz w:val="28"/>
          <w:szCs w:val="28"/>
        </w:rPr>
        <w:fldChar w:fldCharType="separate"/>
      </w:r>
      <w:r>
        <w:rPr>
          <w:rFonts w:ascii="Times New Roman" w:hAnsi="Times New Roman" w:eastAsia="仿宋_GB2312"/>
          <w:sz w:val="28"/>
          <w:szCs w:val="28"/>
        </w:rPr>
        <w:t>61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10.8 暂列金额</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_Toc351203575 \h </w:instrText>
      </w:r>
      <w:r>
        <w:rPr>
          <w:rFonts w:ascii="Times New Roman" w:hAnsi="Times New Roman" w:eastAsia="仿宋_GB2312"/>
          <w:sz w:val="28"/>
          <w:szCs w:val="28"/>
        </w:rPr>
        <w:fldChar w:fldCharType="separate"/>
      </w:r>
      <w:r>
        <w:rPr>
          <w:rFonts w:ascii="Times New Roman" w:hAnsi="Times New Roman" w:eastAsia="仿宋_GB2312"/>
          <w:sz w:val="28"/>
          <w:szCs w:val="28"/>
        </w:rPr>
        <w:t>63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10.9 计日工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_Toc351203576 \h </w:instrText>
      </w:r>
      <w:r>
        <w:rPr>
          <w:rFonts w:ascii="Times New Roman" w:hAnsi="Times New Roman" w:eastAsia="仿宋_GB2312"/>
          <w:sz w:val="28"/>
          <w:szCs w:val="28"/>
        </w:rPr>
        <w:fldChar w:fldCharType="separate"/>
      </w:r>
      <w:r>
        <w:rPr>
          <w:rFonts w:ascii="Times New Roman" w:hAnsi="Times New Roman" w:eastAsia="仿宋_GB2312"/>
          <w:sz w:val="28"/>
          <w:szCs w:val="28"/>
        </w:rPr>
        <w:t>64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11. 价格调整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_Toc351203577 \h </w:instrText>
      </w:r>
      <w:r>
        <w:rPr>
          <w:rFonts w:ascii="Times New Roman" w:hAnsi="Times New Roman" w:eastAsia="仿宋_GB2312"/>
          <w:sz w:val="28"/>
          <w:szCs w:val="28"/>
        </w:rPr>
        <w:fldChar w:fldCharType="separate"/>
      </w:r>
      <w:r>
        <w:rPr>
          <w:rFonts w:ascii="Times New Roman" w:hAnsi="Times New Roman" w:eastAsia="仿宋_GB2312"/>
          <w:sz w:val="28"/>
          <w:szCs w:val="28"/>
        </w:rPr>
        <w:t>64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11.1 市场价格波动引起的调整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_Toc351203578 \h </w:instrText>
      </w:r>
      <w:r>
        <w:rPr>
          <w:rFonts w:ascii="Times New Roman" w:hAnsi="Times New Roman" w:eastAsia="仿宋_GB2312"/>
          <w:sz w:val="28"/>
          <w:szCs w:val="28"/>
        </w:rPr>
        <w:fldChar w:fldCharType="separate"/>
      </w:r>
      <w:r>
        <w:rPr>
          <w:rFonts w:ascii="Times New Roman" w:hAnsi="Times New Roman" w:eastAsia="仿宋_GB2312"/>
          <w:sz w:val="28"/>
          <w:szCs w:val="28"/>
        </w:rPr>
        <w:t>64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11.2 法律变化引起的调整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_Toc351203579 \h </w:instrText>
      </w:r>
      <w:r>
        <w:rPr>
          <w:rFonts w:ascii="Times New Roman" w:hAnsi="Times New Roman" w:eastAsia="仿宋_GB2312"/>
          <w:sz w:val="28"/>
          <w:szCs w:val="28"/>
        </w:rPr>
        <w:fldChar w:fldCharType="separate"/>
      </w:r>
      <w:r>
        <w:rPr>
          <w:rFonts w:ascii="Times New Roman" w:hAnsi="Times New Roman" w:eastAsia="仿宋_GB2312"/>
          <w:sz w:val="28"/>
          <w:szCs w:val="28"/>
        </w:rPr>
        <w:t>68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12. 合同价格、计量与支付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_Toc351203580 \h </w:instrText>
      </w:r>
      <w:r>
        <w:rPr>
          <w:rFonts w:ascii="Times New Roman" w:hAnsi="Times New Roman" w:eastAsia="仿宋_GB2312"/>
          <w:sz w:val="28"/>
          <w:szCs w:val="28"/>
        </w:rPr>
        <w:fldChar w:fldCharType="separate"/>
      </w:r>
      <w:r>
        <w:rPr>
          <w:rFonts w:ascii="Times New Roman" w:hAnsi="Times New Roman" w:eastAsia="仿宋_GB2312"/>
          <w:sz w:val="28"/>
          <w:szCs w:val="28"/>
        </w:rPr>
        <w:t>68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12.1 合同价格形式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_Toc351203581 \h </w:instrText>
      </w:r>
      <w:r>
        <w:rPr>
          <w:rFonts w:ascii="Times New Roman" w:hAnsi="Times New Roman" w:eastAsia="仿宋_GB2312"/>
          <w:sz w:val="28"/>
          <w:szCs w:val="28"/>
        </w:rPr>
        <w:fldChar w:fldCharType="separate"/>
      </w:r>
      <w:r>
        <w:rPr>
          <w:rFonts w:ascii="Times New Roman" w:hAnsi="Times New Roman" w:eastAsia="仿宋_GB2312"/>
          <w:sz w:val="28"/>
          <w:szCs w:val="28"/>
        </w:rPr>
        <w:t>68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12.2 预付款</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_Toc351203582 \h </w:instrText>
      </w:r>
      <w:r>
        <w:rPr>
          <w:rFonts w:ascii="Times New Roman" w:hAnsi="Times New Roman" w:eastAsia="仿宋_GB2312"/>
          <w:sz w:val="28"/>
          <w:szCs w:val="28"/>
        </w:rPr>
        <w:fldChar w:fldCharType="separate"/>
      </w:r>
      <w:r>
        <w:rPr>
          <w:rFonts w:ascii="Times New Roman" w:hAnsi="Times New Roman" w:eastAsia="仿宋_GB2312"/>
          <w:sz w:val="28"/>
          <w:szCs w:val="28"/>
        </w:rPr>
        <w:t>69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12.3 计量</w:t>
      </w:r>
      <w:r>
        <w:rPr>
          <w:rFonts w:ascii="Times New Roman" w:hAnsi="Times New Roman" w:eastAsia="仿宋_GB2312"/>
          <w:sz w:val="28"/>
          <w:szCs w:val="28"/>
        </w:rPr>
        <w:tab/>
      </w:r>
      <w:r>
        <w:rPr>
          <w:rFonts w:hint="eastAsia" w:ascii="Times New Roman" w:hAnsi="Times New Roman" w:eastAsia="仿宋_GB2312"/>
          <w:sz w:val="28"/>
          <w:szCs w:val="28"/>
        </w:rPr>
        <w:t>70</w:t>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12.4 工程进度款支付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_Toc351203584 \h </w:instrText>
      </w:r>
      <w:r>
        <w:rPr>
          <w:rFonts w:ascii="Times New Roman" w:hAnsi="Times New Roman" w:eastAsia="仿宋_GB2312"/>
          <w:sz w:val="28"/>
          <w:szCs w:val="28"/>
        </w:rPr>
        <w:fldChar w:fldCharType="separate"/>
      </w:r>
      <w:r>
        <w:rPr>
          <w:rFonts w:ascii="Times New Roman" w:hAnsi="Times New Roman" w:eastAsia="仿宋_GB2312"/>
          <w:sz w:val="28"/>
          <w:szCs w:val="28"/>
        </w:rPr>
        <w:t>72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12.5 支付账户</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_Toc351203585 \h </w:instrText>
      </w:r>
      <w:r>
        <w:rPr>
          <w:rFonts w:ascii="Times New Roman" w:hAnsi="Times New Roman" w:eastAsia="仿宋_GB2312"/>
          <w:sz w:val="28"/>
          <w:szCs w:val="28"/>
        </w:rPr>
        <w:fldChar w:fldCharType="separate"/>
      </w:r>
      <w:r>
        <w:rPr>
          <w:rFonts w:ascii="Times New Roman" w:hAnsi="Times New Roman" w:eastAsia="仿宋_GB2312"/>
          <w:sz w:val="28"/>
          <w:szCs w:val="28"/>
        </w:rPr>
        <w:t>76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13. 验收和工程试车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_Toc351203586 \h </w:instrText>
      </w:r>
      <w:r>
        <w:rPr>
          <w:rFonts w:ascii="Times New Roman" w:hAnsi="Times New Roman" w:eastAsia="仿宋_GB2312"/>
          <w:sz w:val="28"/>
          <w:szCs w:val="28"/>
        </w:rPr>
        <w:fldChar w:fldCharType="separate"/>
      </w:r>
      <w:r>
        <w:rPr>
          <w:rFonts w:ascii="Times New Roman" w:hAnsi="Times New Roman" w:eastAsia="仿宋_GB2312"/>
          <w:sz w:val="28"/>
          <w:szCs w:val="28"/>
        </w:rPr>
        <w:t>76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13.1 分部分项工程验收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_Toc351203587 \h </w:instrText>
      </w:r>
      <w:r>
        <w:rPr>
          <w:rFonts w:ascii="Times New Roman" w:hAnsi="Times New Roman" w:eastAsia="仿宋_GB2312"/>
          <w:sz w:val="28"/>
          <w:szCs w:val="28"/>
        </w:rPr>
        <w:fldChar w:fldCharType="separate"/>
      </w:r>
      <w:r>
        <w:rPr>
          <w:rFonts w:ascii="Times New Roman" w:hAnsi="Times New Roman" w:eastAsia="仿宋_GB2312"/>
          <w:sz w:val="28"/>
          <w:szCs w:val="28"/>
        </w:rPr>
        <w:t>76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13.2竣工验收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_Toc351203588 \h </w:instrText>
      </w:r>
      <w:r>
        <w:rPr>
          <w:rFonts w:ascii="Times New Roman" w:hAnsi="Times New Roman" w:eastAsia="仿宋_GB2312"/>
          <w:sz w:val="28"/>
          <w:szCs w:val="28"/>
        </w:rPr>
        <w:fldChar w:fldCharType="separate"/>
      </w:r>
      <w:r>
        <w:rPr>
          <w:rFonts w:ascii="Times New Roman" w:hAnsi="Times New Roman" w:eastAsia="仿宋_GB2312"/>
          <w:sz w:val="28"/>
          <w:szCs w:val="28"/>
        </w:rPr>
        <w:t>76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13.3工程试车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_Toc351203589 \h </w:instrText>
      </w:r>
      <w:r>
        <w:rPr>
          <w:rFonts w:ascii="Times New Roman" w:hAnsi="Times New Roman" w:eastAsia="仿宋_GB2312"/>
          <w:sz w:val="28"/>
          <w:szCs w:val="28"/>
        </w:rPr>
        <w:fldChar w:fldCharType="separate"/>
      </w:r>
      <w:r>
        <w:rPr>
          <w:rFonts w:ascii="Times New Roman" w:hAnsi="Times New Roman" w:eastAsia="仿宋_GB2312"/>
          <w:sz w:val="28"/>
          <w:szCs w:val="28"/>
        </w:rPr>
        <w:t>79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13.4提前交付单位工程的验收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_Toc351203590 \h </w:instrText>
      </w:r>
      <w:r>
        <w:rPr>
          <w:rFonts w:ascii="Times New Roman" w:hAnsi="Times New Roman" w:eastAsia="仿宋_GB2312"/>
          <w:sz w:val="28"/>
          <w:szCs w:val="28"/>
        </w:rPr>
        <w:fldChar w:fldCharType="separate"/>
      </w:r>
      <w:r>
        <w:rPr>
          <w:rFonts w:ascii="Times New Roman" w:hAnsi="Times New Roman" w:eastAsia="仿宋_GB2312"/>
          <w:sz w:val="28"/>
          <w:szCs w:val="28"/>
        </w:rPr>
        <w:t>81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13.5 施工期运行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_Toc351203591 \h </w:instrText>
      </w:r>
      <w:r>
        <w:rPr>
          <w:rFonts w:ascii="Times New Roman" w:hAnsi="Times New Roman" w:eastAsia="仿宋_GB2312"/>
          <w:sz w:val="28"/>
          <w:szCs w:val="28"/>
        </w:rPr>
        <w:fldChar w:fldCharType="separate"/>
      </w:r>
      <w:r>
        <w:rPr>
          <w:rFonts w:ascii="Times New Roman" w:hAnsi="Times New Roman" w:eastAsia="仿宋_GB2312"/>
          <w:sz w:val="28"/>
          <w:szCs w:val="28"/>
        </w:rPr>
        <w:t>81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13.6 竣工退场</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_Toc351203592 \h </w:instrText>
      </w:r>
      <w:r>
        <w:rPr>
          <w:rFonts w:ascii="Times New Roman" w:hAnsi="Times New Roman" w:eastAsia="仿宋_GB2312"/>
          <w:sz w:val="28"/>
          <w:szCs w:val="28"/>
        </w:rPr>
        <w:fldChar w:fldCharType="separate"/>
      </w:r>
      <w:r>
        <w:rPr>
          <w:rFonts w:ascii="Times New Roman" w:hAnsi="Times New Roman" w:eastAsia="仿宋_GB2312"/>
          <w:sz w:val="28"/>
          <w:szCs w:val="28"/>
        </w:rPr>
        <w:t>82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14. 竣工结算</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_Toc351203593 \h </w:instrText>
      </w:r>
      <w:r>
        <w:rPr>
          <w:rFonts w:ascii="Times New Roman" w:hAnsi="Times New Roman" w:eastAsia="仿宋_GB2312"/>
          <w:sz w:val="28"/>
          <w:szCs w:val="28"/>
        </w:rPr>
        <w:fldChar w:fldCharType="separate"/>
      </w:r>
      <w:r>
        <w:rPr>
          <w:rFonts w:ascii="Times New Roman" w:hAnsi="Times New Roman" w:eastAsia="仿宋_GB2312"/>
          <w:sz w:val="28"/>
          <w:szCs w:val="28"/>
        </w:rPr>
        <w:t>83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14.1 竣工结算申请</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_Toc351203594 \h </w:instrText>
      </w:r>
      <w:r>
        <w:rPr>
          <w:rFonts w:ascii="Times New Roman" w:hAnsi="Times New Roman" w:eastAsia="仿宋_GB2312"/>
          <w:sz w:val="28"/>
          <w:szCs w:val="28"/>
        </w:rPr>
        <w:fldChar w:fldCharType="separate"/>
      </w:r>
      <w:r>
        <w:rPr>
          <w:rFonts w:ascii="Times New Roman" w:hAnsi="Times New Roman" w:eastAsia="仿宋_GB2312"/>
          <w:sz w:val="28"/>
          <w:szCs w:val="28"/>
        </w:rPr>
        <w:t>83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14.2 竣工</w:t>
      </w:r>
      <w:bookmarkStart w:id="4" w:name="_Hlt356058166"/>
      <w:bookmarkStart w:id="5" w:name="_Hlt356058165"/>
      <w:r>
        <w:rPr>
          <w:rStyle w:val="31"/>
          <w:rFonts w:ascii="Times New Roman" w:hAnsi="Times New Roman" w:eastAsia="仿宋_GB2312"/>
          <w:sz w:val="28"/>
          <w:szCs w:val="28"/>
        </w:rPr>
        <w:t>结</w:t>
      </w:r>
      <w:bookmarkEnd w:id="4"/>
      <w:bookmarkEnd w:id="5"/>
      <w:r>
        <w:rPr>
          <w:rStyle w:val="31"/>
          <w:rFonts w:ascii="Times New Roman" w:hAnsi="Times New Roman" w:eastAsia="仿宋_GB2312"/>
          <w:sz w:val="28"/>
          <w:szCs w:val="28"/>
        </w:rPr>
        <w:t>算审核</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_Toc351203595 \h </w:instrText>
      </w:r>
      <w:r>
        <w:rPr>
          <w:rFonts w:ascii="Times New Roman" w:hAnsi="Times New Roman" w:eastAsia="仿宋_GB2312"/>
          <w:sz w:val="28"/>
          <w:szCs w:val="28"/>
        </w:rPr>
        <w:fldChar w:fldCharType="separate"/>
      </w:r>
      <w:r>
        <w:rPr>
          <w:rFonts w:ascii="Times New Roman" w:hAnsi="Times New Roman" w:eastAsia="仿宋_GB2312"/>
          <w:sz w:val="28"/>
          <w:szCs w:val="28"/>
        </w:rPr>
        <w:t>83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14.3 甩项竣工协议</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_Toc351203596 \h </w:instrText>
      </w:r>
      <w:r>
        <w:rPr>
          <w:rFonts w:ascii="Times New Roman" w:hAnsi="Times New Roman" w:eastAsia="仿宋_GB2312"/>
          <w:sz w:val="28"/>
          <w:szCs w:val="28"/>
        </w:rPr>
        <w:fldChar w:fldCharType="separate"/>
      </w:r>
      <w:r>
        <w:rPr>
          <w:rFonts w:ascii="Times New Roman" w:hAnsi="Times New Roman" w:eastAsia="仿宋_GB2312"/>
          <w:sz w:val="28"/>
          <w:szCs w:val="28"/>
        </w:rPr>
        <w:t>84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14.4 最终结清</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_Toc351203597 \h </w:instrText>
      </w:r>
      <w:r>
        <w:rPr>
          <w:rFonts w:ascii="Times New Roman" w:hAnsi="Times New Roman" w:eastAsia="仿宋_GB2312"/>
          <w:sz w:val="28"/>
          <w:szCs w:val="28"/>
        </w:rPr>
        <w:fldChar w:fldCharType="separate"/>
      </w:r>
      <w:r>
        <w:rPr>
          <w:rFonts w:ascii="Times New Roman" w:hAnsi="Times New Roman" w:eastAsia="仿宋_GB2312"/>
          <w:sz w:val="28"/>
          <w:szCs w:val="28"/>
        </w:rPr>
        <w:t>85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15. 缺陷责任与保修</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_Toc351203598 \h </w:instrText>
      </w:r>
      <w:r>
        <w:rPr>
          <w:rFonts w:ascii="Times New Roman" w:hAnsi="Times New Roman" w:eastAsia="仿宋_GB2312"/>
          <w:sz w:val="28"/>
          <w:szCs w:val="28"/>
        </w:rPr>
        <w:fldChar w:fldCharType="separate"/>
      </w:r>
      <w:r>
        <w:rPr>
          <w:rFonts w:ascii="Times New Roman" w:hAnsi="Times New Roman" w:eastAsia="仿宋_GB2312"/>
          <w:sz w:val="28"/>
          <w:szCs w:val="28"/>
        </w:rPr>
        <w:t>86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15.1 工程保修的原则</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_Toc351203599 \h </w:instrText>
      </w:r>
      <w:r>
        <w:rPr>
          <w:rFonts w:ascii="Times New Roman" w:hAnsi="Times New Roman" w:eastAsia="仿宋_GB2312"/>
          <w:sz w:val="28"/>
          <w:szCs w:val="28"/>
        </w:rPr>
        <w:fldChar w:fldCharType="separate"/>
      </w:r>
      <w:r>
        <w:rPr>
          <w:rFonts w:ascii="Times New Roman" w:hAnsi="Times New Roman" w:eastAsia="仿宋_GB2312"/>
          <w:sz w:val="28"/>
          <w:szCs w:val="28"/>
        </w:rPr>
        <w:t>86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15.2 缺</w:t>
      </w:r>
      <w:bookmarkStart w:id="6" w:name="_Hlt354658487"/>
      <w:bookmarkStart w:id="7" w:name="_Hlt354658488"/>
      <w:r>
        <w:rPr>
          <w:rStyle w:val="31"/>
          <w:rFonts w:ascii="Times New Roman" w:hAnsi="Times New Roman" w:eastAsia="仿宋_GB2312"/>
          <w:sz w:val="28"/>
          <w:szCs w:val="28"/>
        </w:rPr>
        <w:t>陷</w:t>
      </w:r>
      <w:bookmarkEnd w:id="6"/>
      <w:bookmarkEnd w:id="7"/>
      <w:r>
        <w:rPr>
          <w:rStyle w:val="31"/>
          <w:rFonts w:ascii="Times New Roman" w:hAnsi="Times New Roman" w:eastAsia="仿宋_GB2312"/>
          <w:sz w:val="28"/>
          <w:szCs w:val="28"/>
        </w:rPr>
        <w:t>责任期</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_Toc351203600 \h </w:instrText>
      </w:r>
      <w:r>
        <w:rPr>
          <w:rFonts w:ascii="Times New Roman" w:hAnsi="Times New Roman" w:eastAsia="仿宋_GB2312"/>
          <w:sz w:val="28"/>
          <w:szCs w:val="28"/>
        </w:rPr>
        <w:fldChar w:fldCharType="separate"/>
      </w:r>
      <w:r>
        <w:rPr>
          <w:rFonts w:ascii="Times New Roman" w:hAnsi="Times New Roman" w:eastAsia="仿宋_GB2312"/>
          <w:sz w:val="28"/>
          <w:szCs w:val="28"/>
        </w:rPr>
        <w:t>86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15.3 质量保证金</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_Toc351203601 \h </w:instrText>
      </w:r>
      <w:r>
        <w:rPr>
          <w:rFonts w:ascii="Times New Roman" w:hAnsi="Times New Roman" w:eastAsia="仿宋_GB2312"/>
          <w:sz w:val="28"/>
          <w:szCs w:val="28"/>
        </w:rPr>
        <w:fldChar w:fldCharType="separate"/>
      </w:r>
      <w:r>
        <w:rPr>
          <w:rFonts w:ascii="Times New Roman" w:hAnsi="Times New Roman" w:eastAsia="仿宋_GB2312"/>
          <w:sz w:val="28"/>
          <w:szCs w:val="28"/>
        </w:rPr>
        <w:t>87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15.4 保修</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_Toc351203602 \h </w:instrText>
      </w:r>
      <w:r>
        <w:rPr>
          <w:rFonts w:ascii="Times New Roman" w:hAnsi="Times New Roman" w:eastAsia="仿宋_GB2312"/>
          <w:sz w:val="28"/>
          <w:szCs w:val="28"/>
        </w:rPr>
        <w:fldChar w:fldCharType="separate"/>
      </w:r>
      <w:r>
        <w:rPr>
          <w:rFonts w:ascii="Times New Roman" w:hAnsi="Times New Roman" w:eastAsia="仿宋_GB2312"/>
          <w:sz w:val="28"/>
          <w:szCs w:val="28"/>
        </w:rPr>
        <w:t>89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16. 违约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_Toc351203603 \h </w:instrText>
      </w:r>
      <w:r>
        <w:rPr>
          <w:rFonts w:ascii="Times New Roman" w:hAnsi="Times New Roman" w:eastAsia="仿宋_GB2312"/>
          <w:sz w:val="28"/>
          <w:szCs w:val="28"/>
        </w:rPr>
        <w:fldChar w:fldCharType="separate"/>
      </w:r>
      <w:r>
        <w:rPr>
          <w:rFonts w:ascii="Times New Roman" w:hAnsi="Times New Roman" w:eastAsia="仿宋_GB2312"/>
          <w:sz w:val="28"/>
          <w:szCs w:val="28"/>
        </w:rPr>
        <w:t>91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16.1 发包人违约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_Toc351203604 \h </w:instrText>
      </w:r>
      <w:r>
        <w:rPr>
          <w:rFonts w:ascii="Times New Roman" w:hAnsi="Times New Roman" w:eastAsia="仿宋_GB2312"/>
          <w:sz w:val="28"/>
          <w:szCs w:val="28"/>
        </w:rPr>
        <w:fldChar w:fldCharType="separate"/>
      </w:r>
      <w:r>
        <w:rPr>
          <w:rFonts w:ascii="Times New Roman" w:hAnsi="Times New Roman" w:eastAsia="仿宋_GB2312"/>
          <w:sz w:val="28"/>
          <w:szCs w:val="28"/>
        </w:rPr>
        <w:t>91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16.2 承包人违约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_Toc351203605 \h </w:instrText>
      </w:r>
      <w:r>
        <w:rPr>
          <w:rFonts w:ascii="Times New Roman" w:hAnsi="Times New Roman" w:eastAsia="仿宋_GB2312"/>
          <w:sz w:val="28"/>
          <w:szCs w:val="28"/>
        </w:rPr>
        <w:fldChar w:fldCharType="separate"/>
      </w:r>
      <w:r>
        <w:rPr>
          <w:rFonts w:ascii="Times New Roman" w:hAnsi="Times New Roman" w:eastAsia="仿宋_GB2312"/>
          <w:sz w:val="28"/>
          <w:szCs w:val="28"/>
        </w:rPr>
        <w:t>93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16.3 第三人造成的违约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_Toc351203606 \h </w:instrText>
      </w:r>
      <w:r>
        <w:rPr>
          <w:rFonts w:ascii="Times New Roman" w:hAnsi="Times New Roman" w:eastAsia="仿宋_GB2312"/>
          <w:sz w:val="28"/>
          <w:szCs w:val="28"/>
        </w:rPr>
        <w:fldChar w:fldCharType="separate"/>
      </w:r>
      <w:r>
        <w:rPr>
          <w:rFonts w:ascii="Times New Roman" w:hAnsi="Times New Roman" w:eastAsia="仿宋_GB2312"/>
          <w:sz w:val="28"/>
          <w:szCs w:val="28"/>
        </w:rPr>
        <w:t>95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17. 不可抗力</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_Toc351203607 \h </w:instrText>
      </w:r>
      <w:r>
        <w:rPr>
          <w:rFonts w:ascii="Times New Roman" w:hAnsi="Times New Roman" w:eastAsia="仿宋_GB2312"/>
          <w:sz w:val="28"/>
          <w:szCs w:val="28"/>
        </w:rPr>
        <w:fldChar w:fldCharType="separate"/>
      </w:r>
      <w:r>
        <w:rPr>
          <w:rFonts w:ascii="Times New Roman" w:hAnsi="Times New Roman" w:eastAsia="仿宋_GB2312"/>
          <w:sz w:val="28"/>
          <w:szCs w:val="28"/>
        </w:rPr>
        <w:t>95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17.1 不可抗力的确认</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_Toc351203608 \h </w:instrText>
      </w:r>
      <w:r>
        <w:rPr>
          <w:rFonts w:ascii="Times New Roman" w:hAnsi="Times New Roman" w:eastAsia="仿宋_GB2312"/>
          <w:sz w:val="28"/>
          <w:szCs w:val="28"/>
        </w:rPr>
        <w:fldChar w:fldCharType="separate"/>
      </w:r>
      <w:r>
        <w:rPr>
          <w:rFonts w:ascii="Times New Roman" w:hAnsi="Times New Roman" w:eastAsia="仿宋_GB2312"/>
          <w:sz w:val="28"/>
          <w:szCs w:val="28"/>
        </w:rPr>
        <w:t>95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17.2 不可抗力的通知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_Toc351203609 \h </w:instrText>
      </w:r>
      <w:r>
        <w:rPr>
          <w:rFonts w:ascii="Times New Roman" w:hAnsi="Times New Roman" w:eastAsia="仿宋_GB2312"/>
          <w:sz w:val="28"/>
          <w:szCs w:val="28"/>
        </w:rPr>
        <w:fldChar w:fldCharType="separate"/>
      </w:r>
      <w:r>
        <w:rPr>
          <w:rFonts w:ascii="Times New Roman" w:hAnsi="Times New Roman" w:eastAsia="仿宋_GB2312"/>
          <w:sz w:val="28"/>
          <w:szCs w:val="28"/>
        </w:rPr>
        <w:t>96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17.3 不可抗力后果的承担</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_Toc351203610 \h </w:instrText>
      </w:r>
      <w:r>
        <w:rPr>
          <w:rFonts w:ascii="Times New Roman" w:hAnsi="Times New Roman" w:eastAsia="仿宋_GB2312"/>
          <w:sz w:val="28"/>
          <w:szCs w:val="28"/>
        </w:rPr>
        <w:fldChar w:fldCharType="separate"/>
      </w:r>
      <w:r>
        <w:rPr>
          <w:rFonts w:ascii="Times New Roman" w:hAnsi="Times New Roman" w:eastAsia="仿宋_GB2312"/>
          <w:sz w:val="28"/>
          <w:szCs w:val="28"/>
        </w:rPr>
        <w:t>96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17.4 因不可抗力解除合同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_Toc351203611 \h </w:instrText>
      </w:r>
      <w:r>
        <w:rPr>
          <w:rFonts w:ascii="Times New Roman" w:hAnsi="Times New Roman" w:eastAsia="仿宋_GB2312"/>
          <w:sz w:val="28"/>
          <w:szCs w:val="28"/>
        </w:rPr>
        <w:fldChar w:fldCharType="separate"/>
      </w:r>
      <w:r>
        <w:rPr>
          <w:rFonts w:ascii="Times New Roman" w:hAnsi="Times New Roman" w:eastAsia="仿宋_GB2312"/>
          <w:sz w:val="28"/>
          <w:szCs w:val="28"/>
        </w:rPr>
        <w:t>97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18. 保险</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_Toc351203612 \h </w:instrText>
      </w:r>
      <w:r>
        <w:rPr>
          <w:rFonts w:ascii="Times New Roman" w:hAnsi="Times New Roman" w:eastAsia="仿宋_GB2312"/>
          <w:sz w:val="28"/>
          <w:szCs w:val="28"/>
        </w:rPr>
        <w:fldChar w:fldCharType="separate"/>
      </w:r>
      <w:r>
        <w:rPr>
          <w:rFonts w:ascii="Times New Roman" w:hAnsi="Times New Roman" w:eastAsia="仿宋_GB2312"/>
          <w:sz w:val="28"/>
          <w:szCs w:val="28"/>
        </w:rPr>
        <w:t>98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18.1 工程保险</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_Toc351203613 \h </w:instrText>
      </w:r>
      <w:r>
        <w:rPr>
          <w:rFonts w:ascii="Times New Roman" w:hAnsi="Times New Roman" w:eastAsia="仿宋_GB2312"/>
          <w:sz w:val="28"/>
          <w:szCs w:val="28"/>
        </w:rPr>
        <w:fldChar w:fldCharType="separate"/>
      </w:r>
      <w:r>
        <w:rPr>
          <w:rFonts w:ascii="Times New Roman" w:hAnsi="Times New Roman" w:eastAsia="仿宋_GB2312"/>
          <w:sz w:val="28"/>
          <w:szCs w:val="28"/>
        </w:rPr>
        <w:t>98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18.2 工伤保险</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_Toc351203614 \h </w:instrText>
      </w:r>
      <w:r>
        <w:rPr>
          <w:rFonts w:ascii="Times New Roman" w:hAnsi="Times New Roman" w:eastAsia="仿宋_GB2312"/>
          <w:sz w:val="28"/>
          <w:szCs w:val="28"/>
        </w:rPr>
        <w:fldChar w:fldCharType="separate"/>
      </w:r>
      <w:r>
        <w:rPr>
          <w:rFonts w:ascii="Times New Roman" w:hAnsi="Times New Roman" w:eastAsia="仿宋_GB2312"/>
          <w:sz w:val="28"/>
          <w:szCs w:val="28"/>
        </w:rPr>
        <w:t>98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18.3</w:t>
      </w:r>
      <w:r>
        <w:rPr>
          <w:rStyle w:val="31"/>
          <w:rFonts w:hint="eastAsia" w:ascii="Times New Roman" w:hAnsi="Times New Roman" w:eastAsia="仿宋_GB2312"/>
          <w:sz w:val="28"/>
          <w:szCs w:val="28"/>
        </w:rPr>
        <w:t xml:space="preserve"> </w:t>
      </w:r>
      <w:r>
        <w:rPr>
          <w:rStyle w:val="31"/>
          <w:rFonts w:ascii="Times New Roman" w:hAnsi="Times New Roman" w:eastAsia="仿宋_GB2312"/>
          <w:sz w:val="28"/>
          <w:szCs w:val="28"/>
        </w:rPr>
        <w:t>其他保险</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_Toc351203615 \h </w:instrText>
      </w:r>
      <w:r>
        <w:rPr>
          <w:rFonts w:ascii="Times New Roman" w:hAnsi="Times New Roman" w:eastAsia="仿宋_GB2312"/>
          <w:sz w:val="28"/>
          <w:szCs w:val="28"/>
        </w:rPr>
        <w:fldChar w:fldCharType="separate"/>
      </w:r>
      <w:r>
        <w:rPr>
          <w:rFonts w:ascii="Times New Roman" w:hAnsi="Times New Roman" w:eastAsia="仿宋_GB2312"/>
          <w:sz w:val="28"/>
          <w:szCs w:val="28"/>
        </w:rPr>
        <w:t>99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18.4</w:t>
      </w:r>
      <w:r>
        <w:rPr>
          <w:rStyle w:val="31"/>
          <w:rFonts w:hint="eastAsia" w:ascii="Times New Roman" w:hAnsi="Times New Roman" w:eastAsia="仿宋_GB2312"/>
          <w:sz w:val="28"/>
          <w:szCs w:val="28"/>
        </w:rPr>
        <w:t xml:space="preserve"> </w:t>
      </w:r>
      <w:r>
        <w:rPr>
          <w:rStyle w:val="31"/>
          <w:rFonts w:ascii="Times New Roman" w:hAnsi="Times New Roman" w:eastAsia="仿宋_GB2312"/>
          <w:sz w:val="28"/>
          <w:szCs w:val="28"/>
        </w:rPr>
        <w:t>持续保险</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_Toc351203616 \h </w:instrText>
      </w:r>
      <w:r>
        <w:rPr>
          <w:rFonts w:ascii="Times New Roman" w:hAnsi="Times New Roman" w:eastAsia="仿宋_GB2312"/>
          <w:sz w:val="28"/>
          <w:szCs w:val="28"/>
        </w:rPr>
        <w:fldChar w:fldCharType="separate"/>
      </w:r>
      <w:r>
        <w:rPr>
          <w:rFonts w:ascii="Times New Roman" w:hAnsi="Times New Roman" w:eastAsia="仿宋_GB2312"/>
          <w:sz w:val="28"/>
          <w:szCs w:val="28"/>
        </w:rPr>
        <w:t>99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18.5 保险凭证</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_Toc351203617 \h </w:instrText>
      </w:r>
      <w:r>
        <w:rPr>
          <w:rFonts w:ascii="Times New Roman" w:hAnsi="Times New Roman" w:eastAsia="仿宋_GB2312"/>
          <w:sz w:val="28"/>
          <w:szCs w:val="28"/>
        </w:rPr>
        <w:fldChar w:fldCharType="separate"/>
      </w:r>
      <w:r>
        <w:rPr>
          <w:rFonts w:ascii="Times New Roman" w:hAnsi="Times New Roman" w:eastAsia="仿宋_GB2312"/>
          <w:sz w:val="28"/>
          <w:szCs w:val="28"/>
        </w:rPr>
        <w:t>99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18.6 未按约定投保的补救</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_Toc351203618 \h </w:instrText>
      </w:r>
      <w:r>
        <w:rPr>
          <w:rFonts w:ascii="Times New Roman" w:hAnsi="Times New Roman" w:eastAsia="仿宋_GB2312"/>
          <w:sz w:val="28"/>
          <w:szCs w:val="28"/>
        </w:rPr>
        <w:fldChar w:fldCharType="separate"/>
      </w:r>
      <w:r>
        <w:rPr>
          <w:rFonts w:ascii="Times New Roman" w:hAnsi="Times New Roman" w:eastAsia="仿宋_GB2312"/>
          <w:sz w:val="28"/>
          <w:szCs w:val="28"/>
        </w:rPr>
        <w:t>99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18.7 通知义务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_Toc351203619 \h </w:instrText>
      </w:r>
      <w:r>
        <w:rPr>
          <w:rFonts w:ascii="Times New Roman" w:hAnsi="Times New Roman" w:eastAsia="仿宋_GB2312"/>
          <w:sz w:val="28"/>
          <w:szCs w:val="28"/>
        </w:rPr>
        <w:fldChar w:fldCharType="separate"/>
      </w:r>
      <w:r>
        <w:rPr>
          <w:rFonts w:ascii="Times New Roman" w:hAnsi="Times New Roman" w:eastAsia="仿宋_GB2312"/>
          <w:sz w:val="28"/>
          <w:szCs w:val="28"/>
        </w:rPr>
        <w:t>100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19. 索赔</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_Toc351203620 \h </w:instrText>
      </w:r>
      <w:r>
        <w:rPr>
          <w:rFonts w:ascii="Times New Roman" w:hAnsi="Times New Roman" w:eastAsia="仿宋_GB2312"/>
          <w:sz w:val="28"/>
          <w:szCs w:val="28"/>
        </w:rPr>
        <w:fldChar w:fldCharType="separate"/>
      </w:r>
      <w:r>
        <w:rPr>
          <w:rFonts w:ascii="Times New Roman" w:hAnsi="Times New Roman" w:eastAsia="仿宋_GB2312"/>
          <w:sz w:val="28"/>
          <w:szCs w:val="28"/>
        </w:rPr>
        <w:t>100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19.1</w:t>
      </w:r>
      <w:r>
        <w:rPr>
          <w:rStyle w:val="31"/>
          <w:rFonts w:hint="eastAsia" w:ascii="Times New Roman" w:hAnsi="Times New Roman" w:eastAsia="仿宋_GB2312"/>
          <w:sz w:val="28"/>
          <w:szCs w:val="28"/>
        </w:rPr>
        <w:t xml:space="preserve"> </w:t>
      </w:r>
      <w:r>
        <w:rPr>
          <w:rStyle w:val="31"/>
          <w:rFonts w:ascii="Times New Roman" w:hAnsi="Times New Roman" w:eastAsia="仿宋_GB2312"/>
          <w:sz w:val="28"/>
          <w:szCs w:val="28"/>
        </w:rPr>
        <w:t>承包人的索赔</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_Toc351203621 \h </w:instrText>
      </w:r>
      <w:r>
        <w:rPr>
          <w:rFonts w:ascii="Times New Roman" w:hAnsi="Times New Roman" w:eastAsia="仿宋_GB2312"/>
          <w:sz w:val="28"/>
          <w:szCs w:val="28"/>
        </w:rPr>
        <w:fldChar w:fldCharType="separate"/>
      </w:r>
      <w:r>
        <w:rPr>
          <w:rFonts w:ascii="Times New Roman" w:hAnsi="Times New Roman" w:eastAsia="仿宋_GB2312"/>
          <w:sz w:val="28"/>
          <w:szCs w:val="28"/>
        </w:rPr>
        <w:t>100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19.2 对承包人索赔的处理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_Toc351203622 \h </w:instrText>
      </w:r>
      <w:r>
        <w:rPr>
          <w:rFonts w:ascii="Times New Roman" w:hAnsi="Times New Roman" w:eastAsia="仿宋_GB2312"/>
          <w:sz w:val="28"/>
          <w:szCs w:val="28"/>
        </w:rPr>
        <w:fldChar w:fldCharType="separate"/>
      </w:r>
      <w:r>
        <w:rPr>
          <w:rFonts w:ascii="Times New Roman" w:hAnsi="Times New Roman" w:eastAsia="仿宋_GB2312"/>
          <w:sz w:val="28"/>
          <w:szCs w:val="28"/>
        </w:rPr>
        <w:t>101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19.3</w:t>
      </w:r>
      <w:r>
        <w:rPr>
          <w:rStyle w:val="31"/>
          <w:rFonts w:hint="eastAsia" w:ascii="Times New Roman" w:hAnsi="Times New Roman" w:eastAsia="仿宋_GB2312"/>
          <w:sz w:val="28"/>
          <w:szCs w:val="28"/>
        </w:rPr>
        <w:t xml:space="preserve"> </w:t>
      </w:r>
      <w:r>
        <w:rPr>
          <w:rStyle w:val="31"/>
          <w:rFonts w:ascii="Times New Roman" w:hAnsi="Times New Roman" w:eastAsia="仿宋_GB2312"/>
          <w:sz w:val="28"/>
          <w:szCs w:val="28"/>
        </w:rPr>
        <w:t>发包人的索赔</w:t>
      </w:r>
      <w:r>
        <w:rPr>
          <w:rFonts w:ascii="Times New Roman" w:hAnsi="Times New Roman" w:eastAsia="仿宋_GB2312"/>
          <w:sz w:val="28"/>
          <w:szCs w:val="28"/>
        </w:rPr>
        <w:tab/>
      </w:r>
      <w:r>
        <w:rPr>
          <w:rFonts w:hint="eastAsia" w:ascii="Times New Roman" w:hAnsi="Times New Roman" w:eastAsia="仿宋_GB2312"/>
          <w:sz w:val="28"/>
          <w:szCs w:val="28"/>
        </w:rPr>
        <w:t>100</w:t>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19.4 对发包人索赔的处理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_Toc351203624 \h </w:instrText>
      </w:r>
      <w:r>
        <w:rPr>
          <w:rFonts w:ascii="Times New Roman" w:hAnsi="Times New Roman" w:eastAsia="仿宋_GB2312"/>
          <w:sz w:val="28"/>
          <w:szCs w:val="28"/>
        </w:rPr>
        <w:fldChar w:fldCharType="separate"/>
      </w:r>
      <w:r>
        <w:rPr>
          <w:rFonts w:ascii="Times New Roman" w:hAnsi="Times New Roman" w:eastAsia="仿宋_GB2312"/>
          <w:sz w:val="28"/>
          <w:szCs w:val="28"/>
        </w:rPr>
        <w:t>102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19.5 提出索赔的期限</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_Toc351203625 \h </w:instrText>
      </w:r>
      <w:r>
        <w:rPr>
          <w:rFonts w:ascii="Times New Roman" w:hAnsi="Times New Roman" w:eastAsia="仿宋_GB2312"/>
          <w:sz w:val="28"/>
          <w:szCs w:val="28"/>
        </w:rPr>
        <w:fldChar w:fldCharType="separate"/>
      </w:r>
      <w:r>
        <w:rPr>
          <w:rFonts w:ascii="Times New Roman" w:hAnsi="Times New Roman" w:eastAsia="仿宋_GB2312"/>
          <w:sz w:val="28"/>
          <w:szCs w:val="28"/>
        </w:rPr>
        <w:t>102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20. 争议解决</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_Toc351203626 \h </w:instrText>
      </w:r>
      <w:r>
        <w:rPr>
          <w:rFonts w:ascii="Times New Roman" w:hAnsi="Times New Roman" w:eastAsia="仿宋_GB2312"/>
          <w:sz w:val="28"/>
          <w:szCs w:val="28"/>
        </w:rPr>
        <w:fldChar w:fldCharType="separate"/>
      </w:r>
      <w:r>
        <w:rPr>
          <w:rFonts w:ascii="Times New Roman" w:hAnsi="Times New Roman" w:eastAsia="仿宋_GB2312"/>
          <w:sz w:val="28"/>
          <w:szCs w:val="28"/>
        </w:rPr>
        <w:t>103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20.1和解</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_Toc351203627 \h </w:instrText>
      </w:r>
      <w:r>
        <w:rPr>
          <w:rFonts w:ascii="Times New Roman" w:hAnsi="Times New Roman" w:eastAsia="仿宋_GB2312"/>
          <w:sz w:val="28"/>
          <w:szCs w:val="28"/>
        </w:rPr>
        <w:fldChar w:fldCharType="separate"/>
      </w:r>
      <w:r>
        <w:rPr>
          <w:rFonts w:ascii="Times New Roman" w:hAnsi="Times New Roman" w:eastAsia="仿宋_GB2312"/>
          <w:sz w:val="28"/>
          <w:szCs w:val="28"/>
        </w:rPr>
        <w:t>103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20.2调解</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_Toc351203628 \h </w:instrText>
      </w:r>
      <w:r>
        <w:rPr>
          <w:rFonts w:ascii="Times New Roman" w:hAnsi="Times New Roman" w:eastAsia="仿宋_GB2312"/>
          <w:sz w:val="28"/>
          <w:szCs w:val="28"/>
        </w:rPr>
        <w:fldChar w:fldCharType="separate"/>
      </w:r>
      <w:r>
        <w:rPr>
          <w:rFonts w:ascii="Times New Roman" w:hAnsi="Times New Roman" w:eastAsia="仿宋_GB2312"/>
          <w:sz w:val="28"/>
          <w:szCs w:val="28"/>
        </w:rPr>
        <w:t>103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20.3争议评审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_Toc351203629 \h </w:instrText>
      </w:r>
      <w:r>
        <w:rPr>
          <w:rFonts w:ascii="Times New Roman" w:hAnsi="Times New Roman" w:eastAsia="仿宋_GB2312"/>
          <w:sz w:val="28"/>
          <w:szCs w:val="28"/>
        </w:rPr>
        <w:fldChar w:fldCharType="separate"/>
      </w:r>
      <w:r>
        <w:rPr>
          <w:rFonts w:ascii="Times New Roman" w:hAnsi="Times New Roman" w:eastAsia="仿宋_GB2312"/>
          <w:sz w:val="28"/>
          <w:szCs w:val="28"/>
        </w:rPr>
        <w:t>103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20.4仲裁或诉讼</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_Toc351203630 \h </w:instrText>
      </w:r>
      <w:r>
        <w:rPr>
          <w:rFonts w:ascii="Times New Roman" w:hAnsi="Times New Roman" w:eastAsia="仿宋_GB2312"/>
          <w:sz w:val="28"/>
          <w:szCs w:val="28"/>
        </w:rPr>
        <w:fldChar w:fldCharType="separate"/>
      </w:r>
      <w:r>
        <w:rPr>
          <w:rFonts w:ascii="Times New Roman" w:hAnsi="Times New Roman" w:eastAsia="仿宋_GB2312"/>
          <w:sz w:val="28"/>
          <w:szCs w:val="28"/>
        </w:rPr>
        <w:t>104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6"/>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20.5争议解决条款效力</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_Toc351203631 \h </w:instrText>
      </w:r>
      <w:r>
        <w:rPr>
          <w:rFonts w:ascii="Times New Roman" w:hAnsi="Times New Roman" w:eastAsia="仿宋_GB2312"/>
          <w:sz w:val="28"/>
          <w:szCs w:val="28"/>
        </w:rPr>
        <w:fldChar w:fldCharType="separate"/>
      </w:r>
      <w:r>
        <w:rPr>
          <w:rFonts w:ascii="Times New Roman" w:hAnsi="Times New Roman" w:eastAsia="仿宋_GB2312"/>
          <w:sz w:val="28"/>
          <w:szCs w:val="28"/>
        </w:rPr>
        <w:t>104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7"/>
        <w:tabs>
          <w:tab w:val="right" w:leader="dot" w:pos="8810"/>
        </w:tabs>
        <w:rPr>
          <w:rStyle w:val="31"/>
          <w:rFonts w:hint="eastAsia" w:ascii="Times New Roman" w:hAnsi="Times New Roman" w:eastAsia="仿宋_GB2312"/>
          <w:b/>
          <w:sz w:val="28"/>
          <w:szCs w:val="28"/>
        </w:rPr>
      </w:pPr>
    </w:p>
    <w:p>
      <w:pPr>
        <w:pStyle w:val="17"/>
        <w:tabs>
          <w:tab w:val="right" w:leader="dot" w:pos="8810"/>
        </w:tabs>
        <w:ind w:left="0" w:leftChars="0" w:firstLine="300" w:firstLineChars="100"/>
        <w:rPr>
          <w:rFonts w:ascii="Times New Roman" w:hAnsi="Times New Roman" w:eastAsia="仿宋_GB2312"/>
          <w:sz w:val="30"/>
          <w:szCs w:val="30"/>
        </w:rPr>
      </w:pPr>
      <w:r>
        <w:rPr>
          <w:rFonts w:ascii="Times New Roman" w:hAnsi="Times New Roman" w:eastAsia="仿宋_GB2312"/>
          <w:sz w:val="30"/>
          <w:szCs w:val="30"/>
        </w:rPr>
        <w:fldChar w:fldCharType="begin"/>
      </w:r>
      <w:r>
        <w:rPr>
          <w:rStyle w:val="31"/>
          <w:rFonts w:ascii="Times New Roman" w:hAnsi="Times New Roman" w:eastAsia="仿宋_GB2312"/>
          <w:sz w:val="30"/>
          <w:szCs w:val="30"/>
        </w:rPr>
        <w:instrText xml:space="preserve"> </w:instrText>
      </w:r>
      <w:r>
        <w:rPr>
          <w:rFonts w:ascii="Times New Roman" w:hAnsi="Times New Roman" w:eastAsia="仿宋_GB2312"/>
          <w:sz w:val="30"/>
          <w:szCs w:val="30"/>
        </w:rPr>
        <w:instrText xml:space="preserve">HYPERLINK \l "_Toc351203632"</w:instrText>
      </w:r>
      <w:r>
        <w:rPr>
          <w:rStyle w:val="31"/>
          <w:rFonts w:ascii="Times New Roman" w:hAnsi="Times New Roman" w:eastAsia="仿宋_GB2312"/>
          <w:sz w:val="30"/>
          <w:szCs w:val="30"/>
        </w:rPr>
        <w:instrText xml:space="preserve"> </w:instrText>
      </w:r>
      <w:r>
        <w:rPr>
          <w:rFonts w:ascii="Times New Roman" w:hAnsi="Times New Roman" w:eastAsia="仿宋_GB2312"/>
          <w:sz w:val="30"/>
          <w:szCs w:val="30"/>
        </w:rPr>
        <w:fldChar w:fldCharType="separate"/>
      </w:r>
      <w:r>
        <w:rPr>
          <w:rStyle w:val="31"/>
          <w:rFonts w:ascii="Times New Roman" w:hAnsi="Times New Roman" w:eastAsia="仿宋_GB2312"/>
          <w:b/>
          <w:sz w:val="30"/>
          <w:szCs w:val="30"/>
        </w:rPr>
        <w:t>第三部分 专用合同条款</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30"/>
          <w:szCs w:val="30"/>
        </w:rPr>
        <w:fldChar w:fldCharType="end"/>
      </w:r>
      <w:r>
        <w:rPr>
          <w:rFonts w:hint="eastAsia" w:ascii="Times New Roman" w:hAnsi="Times New Roman" w:eastAsia="仿宋_GB2312"/>
          <w:sz w:val="30"/>
          <w:szCs w:val="30"/>
        </w:rPr>
        <w:t>104</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 一般约定</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04</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 发包人</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08</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3. 承包人</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09</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4. 监理人</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12</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5. 工程质量</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13</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6. 安全文明施工与环境保护</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14</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7. 工期和进度</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14</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8. 材料与设备</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16</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9. 试验与检验</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17</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10. 变更</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18</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"_Toc351203643"</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11. 价格调整</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19</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"_Toc351203644"</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12. 合同价格、计量与支付</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20</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"_Toc351203645"</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13.</w:t>
      </w:r>
      <w:r>
        <w:rPr>
          <w:rStyle w:val="31"/>
          <w:rFonts w:hint="eastAsia" w:ascii="Times New Roman" w:hAnsi="Times New Roman" w:eastAsia="仿宋_GB2312"/>
          <w:sz w:val="28"/>
          <w:szCs w:val="28"/>
        </w:rPr>
        <w:t xml:space="preserve"> </w:t>
      </w:r>
      <w:r>
        <w:rPr>
          <w:rStyle w:val="31"/>
          <w:rFonts w:ascii="Times New Roman" w:hAnsi="Times New Roman" w:eastAsia="仿宋_GB2312"/>
          <w:sz w:val="28"/>
          <w:szCs w:val="28"/>
        </w:rPr>
        <w:t>验收和工程试车</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23</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"_Toc351203646"</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14. 竣工结算</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24</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"_Toc351203647"</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15. 缺陷责任期与保修</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25</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"_Toc351203648"</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16. 违约</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26</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"_Toc351203649"</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17. 不可抗力</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28</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"_Toc351203650"</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18. 保险</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29</w:t>
      </w:r>
    </w:p>
    <w:p>
      <w:pPr>
        <w:pStyle w:val="24"/>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"_Toc351203651"</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20. 争议解决</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29</w:t>
      </w:r>
    </w:p>
    <w:p>
      <w:pPr>
        <w:pStyle w:val="24"/>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"_Toc351203652"</w:instrText>
      </w:r>
      <w:r>
        <w:rPr>
          <w:rStyle w:val="31"/>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31"/>
          <w:rFonts w:ascii="Times New Roman" w:hAnsi="Times New Roman" w:eastAsia="仿宋_GB2312"/>
          <w:sz w:val="28"/>
          <w:szCs w:val="28"/>
        </w:rPr>
        <w:t>附件</w:t>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rPr>
        <w:t>31</w:t>
      </w:r>
    </w:p>
    <w:p>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fmt="decimal" w:start="1"/>
          <w:cols w:space="720" w:num="1"/>
          <w:titlePg/>
          <w:docGrid w:type="lines" w:linePitch="312" w:charSpace="0"/>
        </w:sectPr>
      </w:pPr>
      <w:r>
        <w:rPr>
          <w:rFonts w:ascii="Times New Roman" w:hAnsi="Times New Roman" w:eastAsia="仿宋_GB2312"/>
          <w:sz w:val="28"/>
          <w:szCs w:val="28"/>
        </w:rPr>
        <w:fldChar w:fldCharType="end"/>
      </w:r>
      <w:bookmarkStart w:id="8" w:name="_Toc351203480"/>
    </w:p>
    <w:p>
      <w:pPr>
        <w:pStyle w:val="4"/>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bookmarkEnd w:id="2"/>
      <w:bookmarkEnd w:id="3"/>
      <w:bookmarkEnd w:id="8"/>
    </w:p>
    <w:p>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发包人（全称）：</w:t>
      </w:r>
      <w:r>
        <w:rPr>
          <w:rFonts w:hint="eastAsia" w:ascii="Times New Roman" w:hAnsi="Times New Roman" w:eastAsia="仿宋_GB2312"/>
          <w:b/>
          <w:color w:val="000000"/>
          <w:sz w:val="30"/>
          <w:szCs w:val="30"/>
          <w:u w:val="single"/>
        </w:rPr>
        <w:t>杭州市市场监督管理局</w:t>
      </w:r>
      <w:r>
        <w:rPr>
          <w:rFonts w:ascii="Times New Roman" w:hAnsi="Times New Roman" w:eastAsia="仿宋_GB2312"/>
          <w:b/>
          <w:color w:val="000000"/>
          <w:sz w:val="30"/>
          <w:szCs w:val="30"/>
          <w:u w:val="single"/>
        </w:rPr>
        <w:t>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承包人（全称）：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根据《中华人民共和国合同法》、《中华人民共和国建筑法》及有关法律规定，遵循平等、自愿、公平和诚实信用的原则，双方就</w:t>
      </w: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u w:val="single"/>
        </w:rPr>
        <w:t>大楼中央空调整体改造项目一期</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工程施工及有关事项协商一致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9" w:name="_Toc351203481"/>
      <w:r>
        <w:rPr>
          <w:rFonts w:ascii="Times New Roman" w:hAnsi="Times New Roman" w:eastAsia="黑体"/>
          <w:b w:val="0"/>
          <w:color w:val="000000"/>
          <w:sz w:val="32"/>
          <w:szCs w:val="32"/>
        </w:rPr>
        <w:t>一、工程概况</w:t>
      </w:r>
      <w:bookmarkEnd w:id="9"/>
    </w:p>
    <w:p>
      <w:pPr>
        <w:spacing w:line="360" w:lineRule="auto"/>
        <w:ind w:firstLine="588" w:firstLineChars="196"/>
        <w:rPr>
          <w:rFonts w:ascii="Times New Roman" w:hAnsi="Times New Roman" w:eastAsia="仿宋_GB2312"/>
          <w:color w:val="000000"/>
          <w:sz w:val="30"/>
          <w:szCs w:val="30"/>
          <w:u w:val="single"/>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大楼中央空调整体改造项目一期</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rPr>
        <w:t>2.工程地点：</w:t>
      </w:r>
      <w:r>
        <w:rPr>
          <w:rFonts w:ascii="Times New Roman" w:hAnsi="Times New Roman" w:eastAsia="仿宋_GB2312"/>
          <w:color w:val="000000"/>
          <w:sz w:val="30"/>
          <w:szCs w:val="30"/>
          <w:u w:val="single"/>
        </w:rPr>
        <w:t>杭州市凤起东路109号</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rPr>
        <w:t>3.工程立项批准文号：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spacing w:line="360" w:lineRule="auto"/>
        <w:ind w:firstLine="588" w:firstLineChars="196"/>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4.资金来源：</w:t>
      </w:r>
      <w:r>
        <w:rPr>
          <w:rFonts w:hint="eastAsia" w:ascii="Times New Roman" w:hAnsi="Times New Roman" w:eastAsia="仿宋_GB2312"/>
          <w:color w:val="000000"/>
          <w:sz w:val="30"/>
          <w:szCs w:val="30"/>
          <w:u w:val="single"/>
        </w:rPr>
        <w:t>自筹</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5.工程内容：</w:t>
      </w:r>
      <w:r>
        <w:rPr>
          <w:rFonts w:hint="eastAsia" w:ascii="Times New Roman" w:hAnsi="Times New Roman" w:eastAsia="仿宋_GB2312"/>
          <w:color w:val="000000"/>
          <w:sz w:val="30"/>
          <w:szCs w:val="30"/>
          <w:u w:val="single"/>
        </w:rPr>
        <w:t>大楼十一层</w:t>
      </w:r>
      <w:r>
        <w:rPr>
          <w:rFonts w:ascii="Times New Roman" w:hAnsi="Times New Roman" w:eastAsia="仿宋_GB2312"/>
          <w:color w:val="000000"/>
          <w:sz w:val="30"/>
          <w:szCs w:val="30"/>
          <w:u w:val="single"/>
        </w:rPr>
        <w:t>至二十一层</w:t>
      </w:r>
      <w:r>
        <w:rPr>
          <w:rFonts w:hint="eastAsia" w:ascii="Times New Roman" w:hAnsi="Times New Roman" w:eastAsia="仿宋_GB2312"/>
          <w:color w:val="000000"/>
          <w:sz w:val="30"/>
          <w:szCs w:val="30"/>
          <w:u w:val="single"/>
        </w:rPr>
        <w:t>的空调通风改造</w:t>
      </w:r>
      <w:r>
        <w:rPr>
          <w:rFonts w:ascii="Times New Roman" w:hAnsi="Times New Roman" w:eastAsia="仿宋_GB2312"/>
          <w:color w:val="000000"/>
          <w:sz w:val="30"/>
          <w:szCs w:val="30"/>
          <w:u w:val="single"/>
        </w:rPr>
        <w:t>工程</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spacing w:line="360" w:lineRule="auto"/>
        <w:ind w:firstLine="588" w:firstLineChars="196"/>
        <w:rPr>
          <w:rFonts w:ascii="Times New Roman" w:hAnsi="Times New Roman" w:eastAsia="仿宋_GB2312"/>
          <w:bCs/>
          <w:color w:val="000000"/>
          <w:sz w:val="30"/>
          <w:szCs w:val="30"/>
        </w:rPr>
      </w:pPr>
      <w:r>
        <w:rPr>
          <w:rFonts w:hint="eastAsia" w:ascii="Times New Roman" w:hAnsi="Times New Roman" w:eastAsia="仿宋_GB2312"/>
          <w:color w:val="000000"/>
          <w:sz w:val="30"/>
          <w:szCs w:val="32"/>
        </w:rPr>
        <w:t>群体工程应附《</w:t>
      </w:r>
      <w:r>
        <w:rPr>
          <w:rFonts w:ascii="Times New Roman" w:hAnsi="Times New Roman" w:eastAsia="仿宋_GB2312"/>
          <w:color w:val="000000"/>
          <w:sz w:val="30"/>
          <w:szCs w:val="32"/>
        </w:rPr>
        <w:t>承包人承揽工程项目一览表</w:t>
      </w:r>
      <w:r>
        <w:rPr>
          <w:rFonts w:hint="eastAsia" w:ascii="Times New Roman" w:hAnsi="Times New Roman" w:eastAsia="仿宋_GB2312"/>
          <w:color w:val="000000"/>
          <w:sz w:val="30"/>
          <w:szCs w:val="32"/>
        </w:rPr>
        <w:t>》（附件1）。</w:t>
      </w:r>
    </w:p>
    <w:p>
      <w:pPr>
        <w:spacing w:line="360" w:lineRule="auto"/>
        <w:ind w:firstLine="588" w:firstLineChars="196"/>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6</w:t>
      </w:r>
      <w:r>
        <w:rPr>
          <w:rFonts w:ascii="Times New Roman" w:hAnsi="Times New Roman" w:eastAsia="仿宋_GB2312"/>
          <w:bCs/>
          <w:color w:val="000000"/>
          <w:sz w:val="30"/>
          <w:szCs w:val="30"/>
        </w:rPr>
        <w:t>.工程承包范围：</w:t>
      </w:r>
    </w:p>
    <w:p>
      <w:pPr>
        <w:spacing w:line="360" w:lineRule="auto"/>
        <w:ind w:firstLine="579" w:firstLineChars="193"/>
        <w:rPr>
          <w:rFonts w:ascii="Times New Roman" w:hAnsi="Times New Roman" w:eastAsia="仿宋_GB2312"/>
          <w:color w:val="000000"/>
          <w:sz w:val="30"/>
          <w:szCs w:val="30"/>
        </w:rPr>
      </w:pPr>
      <w:r>
        <w:rPr>
          <w:rFonts w:ascii="Times New Roman" w:hAnsi="Times New Roman" w:eastAsia="仿宋_GB2312"/>
          <w:color w:val="000000"/>
          <w:sz w:val="30"/>
          <w:szCs w:val="30"/>
          <w:u w:val="single"/>
        </w:rPr>
        <w:t>本期实施范围为大楼十一层至二十一层的空调通风改造工程施工总承包</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10" w:name="_Toc351203482"/>
      <w:r>
        <w:rPr>
          <w:rFonts w:ascii="Times New Roman" w:hAnsi="Times New Roman" w:eastAsia="黑体"/>
          <w:b w:val="0"/>
          <w:color w:val="000000"/>
          <w:sz w:val="32"/>
          <w:szCs w:val="32"/>
        </w:rPr>
        <w:t>二、合同工期</w:t>
      </w:r>
      <w:bookmarkEnd w:id="10"/>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计划开工日期：</w:t>
      </w:r>
      <w:r>
        <w:rPr>
          <w:rFonts w:ascii="Times New Roman" w:hAnsi="Times New Roman" w:eastAsia="仿宋_GB2312"/>
          <w:color w:val="000000"/>
          <w:sz w:val="30"/>
          <w:szCs w:val="30"/>
          <w:u w:val="single"/>
        </w:rPr>
        <w:t>2020</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10</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1</w:t>
      </w:r>
      <w:r>
        <w:rPr>
          <w:rFonts w:ascii="Times New Roman" w:hAnsi="Times New Roman" w:eastAsia="仿宋_GB2312"/>
          <w:color w:val="000000"/>
          <w:sz w:val="30"/>
          <w:szCs w:val="30"/>
        </w:rPr>
        <w:t>日。</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计划竣工日期：</w:t>
      </w:r>
      <w:r>
        <w:rPr>
          <w:rFonts w:ascii="Times New Roman" w:hAnsi="Times New Roman" w:eastAsia="仿宋_GB2312"/>
          <w:color w:val="000000"/>
          <w:sz w:val="30"/>
          <w:szCs w:val="30"/>
          <w:u w:val="single"/>
        </w:rPr>
        <w:t>2020</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11</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30</w:t>
      </w:r>
      <w:r>
        <w:rPr>
          <w:rFonts w:ascii="Times New Roman" w:hAnsi="Times New Roman" w:eastAsia="仿宋_GB2312"/>
          <w:color w:val="000000"/>
          <w:sz w:val="30"/>
          <w:szCs w:val="30"/>
        </w:rPr>
        <w:t>日。</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工期总日历天数：</w:t>
      </w:r>
      <w:r>
        <w:rPr>
          <w:rFonts w:ascii="Times New Roman" w:hAnsi="Times New Roman" w:eastAsia="仿宋_GB2312"/>
          <w:color w:val="000000"/>
          <w:sz w:val="30"/>
          <w:szCs w:val="30"/>
          <w:u w:val="single"/>
        </w:rPr>
        <w:t>60</w:t>
      </w:r>
      <w:r>
        <w:rPr>
          <w:rFonts w:ascii="Times New Roman" w:hAnsi="Times New Roman" w:eastAsia="仿宋_GB2312"/>
          <w:color w:val="000000"/>
          <w:sz w:val="30"/>
          <w:szCs w:val="30"/>
        </w:rPr>
        <w:t>天。工期总日历天数与根据前述计划开竣工日期计算的工期天数不一致的，以工期总日历天数为准。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1" w:name="_Toc351203483"/>
      <w:r>
        <w:rPr>
          <w:rFonts w:ascii="Times New Roman" w:hAnsi="Times New Roman" w:eastAsia="黑体"/>
          <w:b w:val="0"/>
          <w:color w:val="000000"/>
          <w:sz w:val="32"/>
          <w:szCs w:val="32"/>
        </w:rPr>
        <w:t>三、质量标准</w:t>
      </w:r>
      <w:bookmarkEnd w:id="11"/>
    </w:p>
    <w:p>
      <w:pPr>
        <w:pStyle w:val="18"/>
        <w:rPr>
          <w:rFonts w:ascii="Times New Roman" w:hAnsi="Times New Roman" w:eastAsia="仿宋_GB2312"/>
          <w:color w:val="000000"/>
          <w:sz w:val="30"/>
          <w:szCs w:val="30"/>
        </w:rPr>
      </w:pPr>
      <w:r>
        <w:rPr>
          <w:rFonts w:ascii="Times New Roman" w:hAnsi="Times New Roman" w:eastAsia="仿宋_GB2312"/>
          <w:color w:val="000000"/>
          <w:sz w:val="30"/>
          <w:szCs w:val="30"/>
        </w:rPr>
        <w:t>工程质量符合</w:t>
      </w:r>
      <w:r>
        <w:rPr>
          <w:rFonts w:ascii="Times New Roman" w:hAnsi="Times New Roman" w:eastAsia="仿宋_GB2312"/>
          <w:color w:val="000000"/>
          <w:sz w:val="30"/>
          <w:szCs w:val="30"/>
          <w:u w:val="single"/>
        </w:rPr>
        <w:t>（工程施工质量验收规范）</w:t>
      </w:r>
      <w:r>
        <w:rPr>
          <w:rFonts w:ascii="Times New Roman" w:hAnsi="Times New Roman" w:eastAsia="仿宋_GB2312"/>
          <w:color w:val="000000"/>
          <w:sz w:val="30"/>
          <w:szCs w:val="30"/>
        </w:rPr>
        <w:t>标准。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2" w:name="_Toc351203484"/>
      <w:r>
        <w:rPr>
          <w:rFonts w:ascii="Times New Roman" w:hAnsi="Times New Roman" w:eastAsia="黑体"/>
          <w:b w:val="0"/>
          <w:color w:val="000000"/>
          <w:sz w:val="32"/>
          <w:szCs w:val="32"/>
        </w:rPr>
        <w:t>四、签约合同价与合同价格形式</w:t>
      </w:r>
      <w:bookmarkEnd w:id="12"/>
      <w:r>
        <w:rPr>
          <w:rFonts w:ascii="Times New Roman" w:hAnsi="Times New Roman" w:eastAsia="黑体"/>
          <w:b w:val="0"/>
          <w:color w:val="000000"/>
          <w:sz w:val="32"/>
          <w:szCs w:val="32"/>
        </w:rPr>
        <w:tab/>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1.签约合同价为：</w:t>
      </w:r>
    </w:p>
    <w:p>
      <w:pPr>
        <w:spacing w:line="360" w:lineRule="auto"/>
        <w:ind w:firstLine="750" w:firstLineChars="2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其中：</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（1）安全文明施工费：</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（2）材料和工程设备暂估价金额：</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（3）专业工程暂估价金额：</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（4）暂列金额：</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2.合同价格形式：</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3" w:name="_Toc351203485"/>
      <w:r>
        <w:rPr>
          <w:rFonts w:ascii="Times New Roman" w:hAnsi="Times New Roman" w:eastAsia="黑体"/>
          <w:b w:val="0"/>
          <w:color w:val="000000"/>
          <w:sz w:val="32"/>
          <w:szCs w:val="32"/>
        </w:rPr>
        <w:t>五、</w:t>
      </w:r>
      <w:bookmarkEnd w:id="13"/>
      <w:r>
        <w:rPr>
          <w:rFonts w:ascii="Times New Roman" w:hAnsi="Times New Roman" w:eastAsia="黑体"/>
          <w:b w:val="0"/>
          <w:color w:val="000000"/>
          <w:sz w:val="32"/>
          <w:szCs w:val="32"/>
        </w:rPr>
        <w:t>项目经理</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承包人项目经理：</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w:t>
      </w:r>
      <w:r>
        <w:rPr>
          <w:rFonts w:ascii="Times New Roman" w:hAnsi="Times New Roman" w:eastAsia="仿宋_GB2312"/>
          <w:color w:val="000000"/>
          <w:sz w:val="30"/>
          <w:szCs w:val="30"/>
        </w:rPr>
        <w:t>。</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4" w:name="_Toc351203486"/>
      <w:r>
        <w:rPr>
          <w:rFonts w:ascii="Times New Roman" w:hAnsi="Times New Roman" w:eastAsia="黑体"/>
          <w:b w:val="0"/>
          <w:color w:val="000000"/>
          <w:sz w:val="32"/>
          <w:szCs w:val="32"/>
        </w:rPr>
        <w:t>六、合同文件构成</w:t>
      </w:r>
      <w:bookmarkEnd w:id="14"/>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（1）中标通知书（如果有）；</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（2）投标函及其附录（如果有）；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（3）专用合同条款及其附件；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（4）通用合同条款；</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（5）技术标准和要求；</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（6）图纸；</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（7）已标价工程量清单或预算书；</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（8）其他合同文件。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30"/>
          <w:szCs w:val="30"/>
        </w:rPr>
        <w:t>专用合同条款及其附件须经合同当事人签字或盖章。</w:t>
      </w:r>
    </w:p>
    <w:p>
      <w:pPr>
        <w:pStyle w:val="5"/>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15" w:name="_Toc351203487"/>
      <w:r>
        <w:rPr>
          <w:rFonts w:ascii="Times New Roman" w:hAnsi="Times New Roman" w:eastAsia="黑体"/>
          <w:b w:val="0"/>
          <w:color w:val="000000"/>
          <w:sz w:val="32"/>
          <w:szCs w:val="32"/>
        </w:rPr>
        <w:t>七、承诺</w:t>
      </w:r>
      <w:bookmarkEnd w:id="15"/>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1.发包人承诺按照法律规定履行项目审批手续、筹集工程建设资金并按照合同约定的期限和方式支付合同价款。</w:t>
      </w:r>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3.发包人和承包人通过招投标形式签订合同的，双方理解并</w:t>
      </w:r>
      <w:r>
        <w:rPr>
          <w:rFonts w:hint="eastAsia" w:ascii="Times New Roman" w:hAnsi="Times New Roman" w:eastAsia="仿宋_GB2312"/>
          <w:bCs/>
          <w:color w:val="000000"/>
          <w:sz w:val="30"/>
          <w:szCs w:val="30"/>
        </w:rPr>
        <w:t>承诺</w:t>
      </w:r>
      <w:r>
        <w:rPr>
          <w:rFonts w:ascii="Times New Roman" w:hAnsi="Times New Roman" w:eastAsia="仿宋_GB2312"/>
          <w:bCs/>
          <w:color w:val="000000"/>
          <w:sz w:val="30"/>
          <w:szCs w:val="30"/>
        </w:rPr>
        <w:t>不再就同一工程另行签订与合同实质性内容相背离的协议。</w:t>
      </w:r>
    </w:p>
    <w:p>
      <w:pPr>
        <w:spacing w:line="360" w:lineRule="auto"/>
        <w:rPr>
          <w:rFonts w:ascii="Times New Roman" w:hAnsi="Times New Roman" w:eastAsia="黑体"/>
          <w:bCs/>
          <w:color w:val="000000"/>
          <w:sz w:val="32"/>
          <w:szCs w:val="32"/>
        </w:rPr>
      </w:pPr>
      <w:bookmarkStart w:id="16" w:name="_Toc351203488"/>
      <w:r>
        <w:rPr>
          <w:rFonts w:hint="eastAsia" w:ascii="Times New Roman" w:hAnsi="Times New Roman" w:eastAsia="黑体"/>
          <w:b/>
          <w:color w:val="000000"/>
          <w:sz w:val="32"/>
          <w:szCs w:val="32"/>
        </w:rPr>
        <w:t xml:space="preserve">    </w:t>
      </w:r>
      <w:r>
        <w:rPr>
          <w:rFonts w:ascii="Times New Roman" w:hAnsi="Times New Roman" w:eastAsia="黑体"/>
          <w:b/>
          <w:color w:val="000000"/>
          <w:sz w:val="32"/>
          <w:szCs w:val="32"/>
        </w:rPr>
        <w:t>八、词语含义</w:t>
      </w:r>
      <w:bookmarkEnd w:id="16"/>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本协议书中词语含义与第二部分通用合同条款中赋予的含义相同。</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7" w:name="_Toc351203489"/>
      <w:r>
        <w:rPr>
          <w:rFonts w:ascii="Times New Roman" w:hAnsi="Times New Roman" w:eastAsia="黑体"/>
          <w:b w:val="0"/>
          <w:color w:val="000000"/>
          <w:sz w:val="32"/>
          <w:szCs w:val="32"/>
        </w:rPr>
        <w:t>九、签订时间</w:t>
      </w:r>
      <w:bookmarkEnd w:id="17"/>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本合同于</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年</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月</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日签订。</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8" w:name="_Toc351203490"/>
      <w:r>
        <w:rPr>
          <w:rFonts w:ascii="Times New Roman" w:hAnsi="Times New Roman" w:eastAsia="黑体"/>
          <w:b w:val="0"/>
          <w:color w:val="000000"/>
          <w:sz w:val="32"/>
          <w:szCs w:val="32"/>
        </w:rPr>
        <w:t>十、签订地点</w:t>
      </w:r>
      <w:bookmarkEnd w:id="18"/>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签订。</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9" w:name="_Toc351203491"/>
      <w:r>
        <w:rPr>
          <w:rFonts w:ascii="Times New Roman" w:hAnsi="Times New Roman" w:eastAsia="黑体"/>
          <w:b w:val="0"/>
          <w:color w:val="000000"/>
          <w:sz w:val="32"/>
          <w:szCs w:val="32"/>
        </w:rPr>
        <w:t>十一、补充协议</w:t>
      </w:r>
      <w:bookmarkEnd w:id="19"/>
    </w:p>
    <w:p>
      <w:pPr>
        <w:spacing w:line="360" w:lineRule="auto"/>
        <w:ind w:firstLine="600" w:firstLineChars="200"/>
        <w:rPr>
          <w:rFonts w:ascii="Times New Roman" w:hAnsi="Times New Roman" w:eastAsia="仿宋_GB2312"/>
          <w:b/>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0" w:name="_Toc351203492"/>
      <w:r>
        <w:rPr>
          <w:rFonts w:ascii="Times New Roman" w:hAnsi="Times New Roman" w:eastAsia="黑体"/>
          <w:b w:val="0"/>
          <w:color w:val="000000"/>
          <w:sz w:val="32"/>
          <w:szCs w:val="32"/>
        </w:rPr>
        <w:t>十二、合同生效</w:t>
      </w:r>
      <w:bookmarkEnd w:id="20"/>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本合同自</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生效。</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1" w:name="_Toc351203493"/>
      <w:r>
        <w:rPr>
          <w:rFonts w:ascii="Times New Roman" w:hAnsi="Times New Roman" w:eastAsia="黑体"/>
          <w:b w:val="0"/>
          <w:color w:val="000000"/>
          <w:sz w:val="32"/>
          <w:szCs w:val="32"/>
        </w:rPr>
        <w:t>十三、合同份数</w:t>
      </w:r>
      <w:bookmarkEnd w:id="21"/>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本合同一式</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份，均具有同等法律效力，发包人执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份，承包人执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p>
    <w:p>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 xml:space="preserve">                                 </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（签字）                    （签字）</w:t>
      </w:r>
    </w:p>
    <w:p>
      <w:pPr>
        <w:spacing w:line="360" w:lineRule="auto"/>
        <w:rPr>
          <w:rFonts w:hint="eastAsia" w:ascii="Times New Roman" w:hAnsi="Times New Roman" w:eastAsia="仿宋_GB2312"/>
          <w:color w:val="000000"/>
          <w:sz w:val="30"/>
          <w:szCs w:val="30"/>
          <w:u w:val="single"/>
        </w:rPr>
      </w:pPr>
    </w:p>
    <w:p>
      <w:pPr>
        <w:tabs>
          <w:tab w:val="left" w:pos="4410"/>
        </w:tabs>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pStyle w:val="4"/>
        <w:jc w:val="center"/>
        <w:rPr>
          <w:rFonts w:hint="eastAsia" w:ascii="华文中宋" w:hAnsi="华文中宋" w:eastAsia="华文中宋"/>
          <w:sz w:val="44"/>
          <w:szCs w:val="44"/>
        </w:rPr>
      </w:pPr>
      <w:r>
        <w:rPr>
          <w:rFonts w:eastAsia="仿宋_GB2312"/>
        </w:rPr>
        <w:br w:type="page"/>
      </w:r>
      <w:bookmarkStart w:id="22" w:name="_Toc351203494"/>
      <w:r>
        <w:rPr>
          <w:rFonts w:ascii="华文中宋" w:hAnsi="华文中宋" w:eastAsia="华文中宋"/>
          <w:sz w:val="44"/>
          <w:szCs w:val="44"/>
        </w:rPr>
        <w:t>第二部分 通用合同条款</w:t>
      </w:r>
      <w:bookmarkEnd w:id="22"/>
      <w:bookmarkStart w:id="23" w:name="_Toc337558727"/>
    </w:p>
    <w:p>
      <w:pPr>
        <w:pStyle w:val="5"/>
        <w:spacing w:before="120" w:after="120" w:line="360" w:lineRule="auto"/>
        <w:rPr>
          <w:rFonts w:ascii="Times New Roman" w:hAnsi="Times New Roman" w:eastAsia="黑体"/>
          <w:b w:val="0"/>
          <w:color w:val="000000"/>
          <w:sz w:val="32"/>
          <w:szCs w:val="32"/>
        </w:rPr>
      </w:pPr>
      <w:bookmarkStart w:id="24" w:name="_Toc351203495"/>
      <w:r>
        <w:rPr>
          <w:rFonts w:ascii="Times New Roman" w:hAnsi="Times New Roman" w:eastAsia="黑体"/>
          <w:b w:val="0"/>
          <w:color w:val="000000"/>
          <w:sz w:val="32"/>
          <w:szCs w:val="32"/>
        </w:rPr>
        <w:t>1.</w:t>
      </w:r>
      <w:bookmarkStart w:id="25" w:name="_Toc303538975"/>
      <w:bookmarkEnd w:id="25"/>
      <w:bookmarkStart w:id="26" w:name="_Toc303538972"/>
      <w:bookmarkEnd w:id="26"/>
      <w:bookmarkStart w:id="27" w:name="_Toc303538974"/>
      <w:bookmarkEnd w:id="27"/>
      <w:bookmarkStart w:id="28" w:name="_Toc303538976"/>
      <w:bookmarkEnd w:id="28"/>
      <w:bookmarkStart w:id="29" w:name="_Toc303538973"/>
      <w:bookmarkEnd w:id="29"/>
      <w:bookmarkStart w:id="30" w:name="_Toc296503027"/>
      <w:bookmarkStart w:id="31" w:name="_Toc296346528"/>
      <w:r>
        <w:rPr>
          <w:rFonts w:ascii="Times New Roman" w:hAnsi="Times New Roman" w:eastAsia="黑体"/>
          <w:b w:val="0"/>
          <w:color w:val="000000"/>
          <w:sz w:val="32"/>
          <w:szCs w:val="32"/>
        </w:rPr>
        <w:t xml:space="preserve"> 一般约定</w:t>
      </w:r>
      <w:bookmarkEnd w:id="23"/>
      <w:bookmarkEnd w:id="24"/>
      <w:bookmarkEnd w:id="30"/>
      <w:bookmarkEnd w:id="31"/>
    </w:p>
    <w:p>
      <w:pPr>
        <w:pStyle w:val="6"/>
        <w:spacing w:before="120" w:after="120" w:line="360" w:lineRule="auto"/>
        <w:ind w:firstLine="600" w:firstLineChars="200"/>
        <w:rPr>
          <w:rFonts w:ascii="Times New Roman" w:hAnsi="Times New Roman" w:eastAsia="黑体"/>
          <w:b w:val="0"/>
          <w:color w:val="000000"/>
          <w:sz w:val="30"/>
          <w:szCs w:val="32"/>
        </w:rPr>
      </w:pPr>
      <w:bookmarkStart w:id="32" w:name="_Toc296346529"/>
      <w:bookmarkStart w:id="33" w:name="_Toc337558728"/>
      <w:bookmarkStart w:id="34" w:name="_Toc296503028"/>
      <w:bookmarkStart w:id="35" w:name="_Toc351203496"/>
      <w:r>
        <w:rPr>
          <w:rFonts w:ascii="Times New Roman" w:hAnsi="Times New Roman" w:eastAsia="黑体"/>
          <w:b w:val="0"/>
          <w:color w:val="000000"/>
          <w:sz w:val="30"/>
          <w:szCs w:val="32"/>
        </w:rPr>
        <w:t>1.1词语定义</w:t>
      </w:r>
      <w:bookmarkEnd w:id="32"/>
      <w:bookmarkEnd w:id="33"/>
      <w:bookmarkEnd w:id="34"/>
      <w:r>
        <w:rPr>
          <w:rFonts w:ascii="Times New Roman" w:hAnsi="Times New Roman" w:eastAsia="黑体"/>
          <w:b w:val="0"/>
          <w:color w:val="000000"/>
          <w:sz w:val="30"/>
          <w:szCs w:val="32"/>
        </w:rPr>
        <w:t>与解释</w:t>
      </w:r>
      <w:bookmarkEnd w:id="35"/>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合同协议书、通用合同条款、专用合同条款中的下列词语具有本款所赋予的含义：</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1.1.1 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1.1.1.1 合同：是指根据法律规定和合同当事人约定具有约束力的文件，构成合同的文件包括合同协议书、中标通知书（如果有）、投标函及其附录（如果有）、专用合同条款</w:t>
      </w:r>
      <w:r>
        <w:rPr>
          <w:rFonts w:ascii="Times New Roman" w:hAnsi="Times New Roman" w:eastAsia="仿宋_GB2312"/>
          <w:color w:val="000000"/>
          <w:sz w:val="30"/>
          <w:szCs w:val="30"/>
        </w:rPr>
        <w:t>及其附件</w:t>
      </w:r>
      <w:r>
        <w:rPr>
          <w:rFonts w:ascii="Times New Roman" w:hAnsi="Times New Roman" w:eastAsia="仿宋_GB2312"/>
          <w:color w:val="000000"/>
          <w:kern w:val="0"/>
          <w:sz w:val="30"/>
          <w:szCs w:val="30"/>
        </w:rPr>
        <w:t>、通用合同条款、技术标准和要求、图纸、已标价工程量清单或预算书以及其他合同文件。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1.1.1.2 合同协议书：是指构成合同的由发包人和承包人共同签署的称为“合同协议书”的书面文件</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1.1.1.3 中标通知书：是指构成合同的</w:t>
      </w:r>
      <w:r>
        <w:rPr>
          <w:rFonts w:hint="eastAsia" w:ascii="Times New Roman" w:hAnsi="Times New Roman" w:eastAsia="仿宋_GB2312"/>
          <w:color w:val="000000"/>
          <w:kern w:val="0"/>
          <w:sz w:val="30"/>
          <w:szCs w:val="32"/>
        </w:rPr>
        <w:t>由</w:t>
      </w:r>
      <w:r>
        <w:rPr>
          <w:rFonts w:ascii="Times New Roman" w:hAnsi="Times New Roman" w:eastAsia="仿宋_GB2312"/>
          <w:color w:val="000000"/>
          <w:kern w:val="0"/>
          <w:sz w:val="30"/>
          <w:szCs w:val="32"/>
        </w:rPr>
        <w:t>发包人通知承包人中标的书面文件。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1.1.1.4 投标函：是指构成合同的由承包人填写并签署的用于投标的称为“投标函”的文件。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1.1.1.5 投标函附录：是指构成合同的附在投标函后的称为“投标函附录”的文件。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1.1.1.6 技术标准和要求：是指构成合同的施工应当遵守的或指导施工的国家、行业或地方的技术标准和要求，以及合同约定的技术标准和要求。</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1.1.1.7 图纸：是指构成合同的图纸，包括由发包人按照合同约定提供或经发包人批准的设计文件、</w:t>
      </w:r>
      <w:r>
        <w:rPr>
          <w:rFonts w:hint="eastAsia" w:ascii="Times New Roman" w:hAnsi="Times New Roman" w:eastAsia="仿宋_GB2312"/>
          <w:color w:val="000000"/>
          <w:kern w:val="0"/>
          <w:sz w:val="30"/>
          <w:szCs w:val="32"/>
        </w:rPr>
        <w:t>施工图、</w:t>
      </w:r>
      <w:r>
        <w:rPr>
          <w:rFonts w:ascii="Times New Roman" w:hAnsi="Times New Roman" w:eastAsia="仿宋_GB2312"/>
          <w:color w:val="000000"/>
          <w:kern w:val="0"/>
          <w:sz w:val="30"/>
          <w:szCs w:val="32"/>
        </w:rPr>
        <w:t>鸟瞰图及模型等，</w:t>
      </w:r>
      <w:r>
        <w:rPr>
          <w:rFonts w:hint="eastAsia" w:ascii="Times New Roman" w:hAnsi="Times New Roman" w:eastAsia="仿宋_GB2312"/>
          <w:color w:val="000000"/>
          <w:kern w:val="0"/>
          <w:sz w:val="30"/>
          <w:szCs w:val="32"/>
        </w:rPr>
        <w:t>以及在合同履行过程中形成的图纸文件。图纸</w:t>
      </w:r>
      <w:r>
        <w:rPr>
          <w:rFonts w:ascii="Times New Roman" w:hAnsi="Times New Roman" w:eastAsia="仿宋_GB2312"/>
          <w:color w:val="000000"/>
          <w:kern w:val="0"/>
          <w:sz w:val="30"/>
          <w:szCs w:val="32"/>
        </w:rPr>
        <w:t>应当按照法律规定审查合格。</w:t>
      </w:r>
    </w:p>
    <w:p>
      <w:pPr>
        <w:autoSpaceDE w:val="0"/>
        <w:autoSpaceDN w:val="0"/>
        <w:adjustRightInd w:val="0"/>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1.1.1.9 预算书：是指构成合同的由承包人按照发包人规定的格式和要求编制的工程预算文件。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1.1.2 合同当事人及其他相关方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1.1.2.1 合同当事人：是指发包人和（或）承包人。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1.1.2.2 发包人：是指与承包人签订合同协议书的当事人及取得该当事人资格的合法继承人。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1.1.2.4 监理人：是指在专用合同条款中指明的，受发包人委托按照法律规定进行工程监督管理的法人或其他组织。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1.1.2.5 设计人：是指在专用合同条款中指明的，受发包人委托负责工程设计并具备相应工程设计资质的法人或其他组织。</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1.1.2.6 分包人：</w:t>
      </w:r>
      <w:bookmarkStart w:id="36" w:name="#go5"/>
      <w:bookmarkEnd w:id="36"/>
      <w:r>
        <w:rPr>
          <w:rFonts w:ascii="Times New Roman" w:hAnsi="Times New Roman" w:eastAsia="仿宋_GB2312"/>
          <w:color w:val="000000"/>
          <w:kern w:val="0"/>
          <w:sz w:val="30"/>
          <w:szCs w:val="32"/>
        </w:rPr>
        <w:t>是指</w:t>
      </w:r>
      <w:r>
        <w:rPr>
          <w:rFonts w:hint="eastAsia" w:ascii="Times New Roman" w:hAnsi="Times New Roman" w:eastAsia="仿宋_GB2312"/>
          <w:color w:val="000000"/>
          <w:kern w:val="0"/>
          <w:sz w:val="30"/>
          <w:szCs w:val="32"/>
        </w:rPr>
        <w:t>按照法律规定和</w:t>
      </w:r>
      <w:r>
        <w:rPr>
          <w:rFonts w:ascii="Times New Roman" w:hAnsi="Times New Roman" w:eastAsia="仿宋_GB2312"/>
          <w:color w:val="000000"/>
          <w:kern w:val="0"/>
          <w:sz w:val="30"/>
          <w:szCs w:val="32"/>
        </w:rPr>
        <w:t>合同约定，分包</w:t>
      </w:r>
      <w:r>
        <w:rPr>
          <w:rFonts w:hint="eastAsia" w:ascii="Times New Roman" w:hAnsi="Times New Roman" w:eastAsia="仿宋_GB2312"/>
          <w:color w:val="000000"/>
          <w:kern w:val="0"/>
          <w:sz w:val="30"/>
          <w:szCs w:val="32"/>
        </w:rPr>
        <w:t>部分</w:t>
      </w:r>
      <w:r>
        <w:rPr>
          <w:rFonts w:ascii="Times New Roman" w:hAnsi="Times New Roman" w:eastAsia="仿宋_GB2312"/>
          <w:color w:val="000000"/>
          <w:kern w:val="0"/>
          <w:sz w:val="30"/>
          <w:szCs w:val="32"/>
        </w:rPr>
        <w:t>工程</w:t>
      </w:r>
      <w:r>
        <w:rPr>
          <w:rFonts w:hint="eastAsia" w:ascii="Times New Roman" w:hAnsi="Times New Roman" w:eastAsia="仿宋_GB2312"/>
          <w:color w:val="000000"/>
          <w:kern w:val="0"/>
          <w:sz w:val="30"/>
          <w:szCs w:val="32"/>
        </w:rPr>
        <w:t>或工作</w:t>
      </w:r>
      <w:r>
        <w:rPr>
          <w:rFonts w:ascii="Times New Roman" w:hAnsi="Times New Roman" w:eastAsia="仿宋_GB2312"/>
          <w:color w:val="000000"/>
          <w:kern w:val="0"/>
          <w:sz w:val="30"/>
          <w:szCs w:val="32"/>
        </w:rPr>
        <w:t>，并与</w:t>
      </w:r>
      <w:r>
        <w:rPr>
          <w:rFonts w:hint="eastAsia" w:ascii="Times New Roman" w:hAnsi="Times New Roman" w:eastAsia="仿宋_GB2312"/>
          <w:color w:val="000000"/>
          <w:kern w:val="0"/>
          <w:sz w:val="30"/>
          <w:szCs w:val="32"/>
        </w:rPr>
        <w:t>承包人</w:t>
      </w:r>
      <w:r>
        <w:rPr>
          <w:rFonts w:ascii="Times New Roman" w:hAnsi="Times New Roman" w:eastAsia="仿宋_GB2312"/>
          <w:color w:val="000000"/>
          <w:kern w:val="0"/>
          <w:sz w:val="30"/>
          <w:szCs w:val="32"/>
        </w:rPr>
        <w:t>签订分包合同的具有相应资质的法人。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1.1.2.7 发包人代表：是指由发包人任命并派驻施工现场在发包人授权范围内行使发包人权利的人。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1.1.2.8 项目经理：是指由承包人任命并派驻施工现场，在承包人授权范围内负责合同履行，且按照法律规定具有相应资格的</w:t>
      </w:r>
      <w:r>
        <w:rPr>
          <w:rFonts w:hint="eastAsia" w:ascii="Times New Roman" w:hAnsi="Times New Roman" w:eastAsia="仿宋_GB2312"/>
          <w:color w:val="000000"/>
          <w:kern w:val="0"/>
          <w:sz w:val="30"/>
          <w:szCs w:val="32"/>
        </w:rPr>
        <w:t>项目负责</w:t>
      </w:r>
      <w:r>
        <w:rPr>
          <w:rFonts w:ascii="Times New Roman" w:hAnsi="Times New Roman" w:eastAsia="仿宋_GB2312"/>
          <w:color w:val="000000"/>
          <w:kern w:val="0"/>
          <w:sz w:val="30"/>
          <w:szCs w:val="32"/>
        </w:rPr>
        <w:t>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1.1.2.9 总监理工程师：是指由监理人任命并派驻施工现场进行工程监理的总负责人。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 工程和设备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1.1.3.1 工程：是指与合同协议书中工程承包范围对应的永久工程和（或）临时工程。</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1.1.3.2 永久工程：是指按合同约定建造并移交给发包人的工程，包括工程设备。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1.1.3.3 临时工程：是指为完成合同约定的永久工程所修建的各类临时性工程，不包括施工设备。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1.1.3.4 单位工程：是指在</w:t>
      </w:r>
      <w:r>
        <w:rPr>
          <w:rFonts w:hint="eastAsia" w:ascii="Times New Roman" w:hAnsi="Times New Roman" w:eastAsia="仿宋_GB2312"/>
          <w:color w:val="000000"/>
          <w:kern w:val="0"/>
          <w:sz w:val="30"/>
          <w:szCs w:val="32"/>
        </w:rPr>
        <w:t>合同协议书</w:t>
      </w:r>
      <w:r>
        <w:rPr>
          <w:rFonts w:ascii="Times New Roman" w:hAnsi="Times New Roman" w:eastAsia="仿宋_GB2312"/>
          <w:color w:val="000000"/>
          <w:kern w:val="0"/>
          <w:sz w:val="30"/>
          <w:szCs w:val="32"/>
        </w:rPr>
        <w:t>中指明的，具备独立施工条件并能形成独立使用功能的永久工程。</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1.1.3.5 工程设备：是指构成永久工程的机电设备、金属结构设备、仪器及其他类似的设备和装置。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1.1.3.6 施工设备：是指为完成合同约定的各项工作所需的设备、器具和其他物品，但不包括工程设备、临时工程和材料。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1.1.3.7 施工现场：是指用于工程施工的场所，以及在专用合同条款中</w:t>
      </w:r>
      <w:r>
        <w:rPr>
          <w:rFonts w:hint="eastAsia" w:ascii="Times New Roman" w:hAnsi="Times New Roman" w:eastAsia="仿宋_GB2312"/>
          <w:color w:val="000000"/>
          <w:kern w:val="0"/>
          <w:sz w:val="30"/>
          <w:szCs w:val="32"/>
        </w:rPr>
        <w:t>指</w:t>
      </w:r>
      <w:r>
        <w:rPr>
          <w:rFonts w:ascii="Times New Roman" w:hAnsi="Times New Roman" w:eastAsia="仿宋_GB2312"/>
          <w:color w:val="000000"/>
          <w:kern w:val="0"/>
          <w:sz w:val="30"/>
          <w:szCs w:val="32"/>
        </w:rPr>
        <w:t>明作为施工场所组成部分的其他场所，包括永久占地和临时占地。</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1.1.3.8临时设施：是指为完成合同约定的各项工作所服务的临时性生产和生活设施。</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1.1.3.9 永久占地：是指专用合同条款中指明为实施工程需永久占用的土地。</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1.1.3.10 临时占地：是指专用合同条款中指明为实施工程需要临时占用的土地。</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 日期和期限</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开工通知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约定发出的符合法律规定的开工通知中载明的开工日期。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1.1.4.2 竣工日期：包括计划竣工日期和实际竣工日期。计划竣工日期是指合同协议书约定的竣工日期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实际竣工日期按照第13.2.3项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竣工日期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 xml:space="preserve">的约定确定。 </w:t>
      </w:r>
    </w:p>
    <w:p>
      <w:pPr>
        <w:spacing w:line="360" w:lineRule="auto"/>
        <w:ind w:firstLine="608" w:firstLineChars="203"/>
        <w:rPr>
          <w:rFonts w:ascii="Times New Roman" w:hAnsi="Times New Roman" w:eastAsia="仿宋_GB2312"/>
          <w:color w:val="000000"/>
          <w:sz w:val="30"/>
          <w:szCs w:val="32"/>
        </w:rPr>
      </w:pPr>
      <w:r>
        <w:rPr>
          <w:rFonts w:ascii="Times New Roman" w:hAnsi="Times New Roman" w:eastAsia="仿宋_GB2312"/>
          <w:color w:val="000000"/>
          <w:kern w:val="0"/>
          <w:sz w:val="30"/>
          <w:szCs w:val="32"/>
        </w:rPr>
        <w:t>1.1.4.3 工期：是指在合同协议书约定的承包人完成工程所需的期限，包括按照合同约定所作的</w:t>
      </w:r>
      <w:r>
        <w:rPr>
          <w:rFonts w:hint="eastAsia" w:ascii="Times New Roman" w:hAnsi="Times New Roman" w:eastAsia="仿宋_GB2312"/>
          <w:color w:val="000000"/>
          <w:kern w:val="0"/>
          <w:sz w:val="30"/>
          <w:szCs w:val="32"/>
        </w:rPr>
        <w:t>期限</w:t>
      </w:r>
      <w:r>
        <w:rPr>
          <w:rFonts w:ascii="Times New Roman" w:hAnsi="Times New Roman" w:eastAsia="仿宋_GB2312"/>
          <w:color w:val="000000"/>
          <w:kern w:val="0"/>
          <w:sz w:val="30"/>
          <w:szCs w:val="32"/>
        </w:rPr>
        <w:t>变更。</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1.1.4.4 缺陷责任期：是指承包人按照合同约定承担缺陷修复义务，且发包人</w:t>
      </w:r>
      <w:r>
        <w:rPr>
          <w:rFonts w:hint="eastAsia" w:ascii="Times New Roman" w:hAnsi="Times New Roman" w:eastAsia="仿宋_GB2312"/>
          <w:color w:val="000000"/>
          <w:kern w:val="0"/>
          <w:sz w:val="30"/>
          <w:szCs w:val="32"/>
        </w:rPr>
        <w:t>预</w:t>
      </w:r>
      <w:r>
        <w:rPr>
          <w:rFonts w:ascii="Times New Roman" w:hAnsi="Times New Roman" w:eastAsia="仿宋_GB2312"/>
          <w:color w:val="000000"/>
          <w:kern w:val="0"/>
          <w:sz w:val="30"/>
          <w:szCs w:val="32"/>
        </w:rPr>
        <w:t>留质量保证金</w:t>
      </w:r>
      <w:r>
        <w:rPr>
          <w:rFonts w:hint="eastAsia" w:ascii="Times New Roman" w:hAnsi="Times New Roman" w:eastAsia="仿宋_GB2312"/>
          <w:color w:val="000000"/>
          <w:kern w:val="0"/>
          <w:sz w:val="30"/>
          <w:szCs w:val="32"/>
        </w:rPr>
        <w:t>（已</w:t>
      </w:r>
      <w:r>
        <w:rPr>
          <w:rFonts w:ascii="Times New Roman" w:hAnsi="Times New Roman" w:eastAsia="仿宋_GB2312"/>
          <w:color w:val="000000"/>
          <w:kern w:val="0"/>
          <w:sz w:val="30"/>
          <w:szCs w:val="32"/>
        </w:rPr>
        <w:t>缴纳履约保证金的除外</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的期限，</w:t>
      </w:r>
      <w:r>
        <w:rPr>
          <w:rFonts w:hint="eastAsia" w:ascii="Times New Roman" w:hAnsi="Times New Roman" w:eastAsia="仿宋_GB2312"/>
          <w:color w:val="000000"/>
          <w:kern w:val="0"/>
          <w:sz w:val="30"/>
          <w:szCs w:val="32"/>
        </w:rPr>
        <w:t>自</w:t>
      </w:r>
      <w:r>
        <w:rPr>
          <w:rFonts w:ascii="Times New Roman" w:hAnsi="Times New Roman" w:eastAsia="仿宋_GB2312"/>
          <w:color w:val="000000"/>
          <w:kern w:val="0"/>
          <w:sz w:val="30"/>
          <w:szCs w:val="32"/>
        </w:rPr>
        <w:t>工程</w:t>
      </w:r>
      <w:r>
        <w:rPr>
          <w:rFonts w:hint="eastAsia" w:ascii="Times New Roman" w:hAnsi="Times New Roman" w:eastAsia="仿宋_GB2312"/>
          <w:color w:val="000000"/>
          <w:kern w:val="0"/>
          <w:sz w:val="30"/>
          <w:szCs w:val="32"/>
        </w:rPr>
        <w:t>实际竣工日期</w:t>
      </w:r>
      <w:r>
        <w:rPr>
          <w:rFonts w:ascii="Times New Roman" w:hAnsi="Times New Roman" w:eastAsia="仿宋_GB2312"/>
          <w:color w:val="000000"/>
          <w:kern w:val="0"/>
          <w:sz w:val="30"/>
          <w:szCs w:val="32"/>
        </w:rPr>
        <w:t>起计算。</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1.1.4.5 保修期：是指承包人按照合同约定对工程承担保修责任的期限，从工程竣工验收合格之日起计算。</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1.1.4.6 基准日期：招标发包的工程以投标截止日前28天的日期为基准日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，直接发包的工程以合同签订日前28天的日期为基准日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1.1.4.7 天：除特别指明外，均指日历天。合同中按天计算时间的，开始当天不计入，从次日开始计算，期限最后一天的截止时间为当天24:00时。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 合同价格和费用</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1.1.5.1 签约合同价：是指</w:t>
      </w:r>
      <w:r>
        <w:rPr>
          <w:rFonts w:ascii="Times New Roman" w:hAnsi="Times New Roman" w:eastAsia="仿宋_GB2312"/>
          <w:color w:val="000000"/>
          <w:sz w:val="30"/>
          <w:szCs w:val="32"/>
        </w:rPr>
        <w:t>发包人和承包人在合同协议书中确定的总金额，包括安全文明施工费、暂估价及暂列金额等。</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1.1.5.2 合同价格：是指发包人用于支付承包人按照合同约定完成承包范围内全部工作的金额，包括合同履行过程中按合同约定</w:t>
      </w:r>
      <w:r>
        <w:rPr>
          <w:rFonts w:hint="eastAsia" w:ascii="Times New Roman" w:hAnsi="Times New Roman" w:eastAsia="仿宋_GB2312"/>
          <w:color w:val="000000"/>
          <w:kern w:val="0"/>
          <w:sz w:val="30"/>
          <w:szCs w:val="32"/>
        </w:rPr>
        <w:t>发生的价格变化。</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1.1.5.3 费用：是指为履行合同所发生的或将要发生的所有必需的开支，包括管理费和应分摊的其他费用，但不包括利润。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1.1.5.4 暂估价：是指发包人在工程量清单或预算书中提供的用于支付必然发生但暂时不能确定价格的材料、工程设备的单价</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专业工程以及</w:t>
      </w:r>
      <w:r>
        <w:rPr>
          <w:rFonts w:hint="eastAsia" w:ascii="Times New Roman" w:hAnsi="Times New Roman" w:eastAsia="仿宋_GB2312"/>
          <w:color w:val="000000"/>
          <w:kern w:val="0"/>
          <w:sz w:val="30"/>
          <w:szCs w:val="32"/>
        </w:rPr>
        <w:t>服务工作</w:t>
      </w:r>
      <w:r>
        <w:rPr>
          <w:rFonts w:ascii="Times New Roman" w:hAnsi="Times New Roman" w:eastAsia="仿宋_GB2312"/>
          <w:color w:val="000000"/>
          <w:kern w:val="0"/>
          <w:sz w:val="30"/>
          <w:szCs w:val="32"/>
        </w:rPr>
        <w:t>的金额。</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1.1.5.5 暂列金额：是指发包人在工程量清单或预算书中暂定并包括在合同价格中的一笔款项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1.1.5.6 计日工：是指合同履行过程中，承包人完成发包人提出的零星工作或需要采用计日工计价的变更工作时，按合同中约定的单价计价的一种方式。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1.1.5.7 质量保证金</w:t>
      </w:r>
      <w:bookmarkStart w:id="37" w:name="#go2"/>
      <w:bookmarkEnd w:id="37"/>
      <w:r>
        <w:rPr>
          <w:rFonts w:ascii="Times New Roman" w:hAnsi="Times New Roman" w:eastAsia="仿宋_GB2312"/>
          <w:color w:val="000000"/>
          <w:kern w:val="0"/>
          <w:sz w:val="30"/>
          <w:szCs w:val="32"/>
        </w:rPr>
        <w:t>：是指按照第15.3款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约定承包人用于保证其在缺陷责任期内履行缺陷修补义务的担保</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1.1.5.8 总价项目：是指在现行国家、行业以及地方的计量规则中无工程量计算规则，在已标价工程量清单或预算书中以总价或以费率形式计算的项目。</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1.1.6 其他</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1.1.6.1 书面形式：是指合同文件、信函、电报、传真等可以有形地表现所载内容的形式。</w:t>
      </w:r>
    </w:p>
    <w:p>
      <w:pPr>
        <w:pStyle w:val="6"/>
        <w:spacing w:before="120" w:after="120" w:line="360" w:lineRule="auto"/>
        <w:rPr>
          <w:rFonts w:ascii="Times New Roman" w:hAnsi="Times New Roman" w:eastAsia="黑体"/>
          <w:b w:val="0"/>
          <w:color w:val="000000"/>
          <w:sz w:val="30"/>
          <w:szCs w:val="32"/>
        </w:rPr>
      </w:pPr>
      <w:r>
        <w:rPr>
          <w:rFonts w:ascii="Times New Roman" w:hAnsi="Times New Roman" w:eastAsia="黑体"/>
          <w:b w:val="0"/>
          <w:color w:val="000000"/>
          <w:sz w:val="30"/>
          <w:szCs w:val="32"/>
        </w:rPr>
        <w:t xml:space="preserve">    </w:t>
      </w:r>
      <w:bookmarkStart w:id="38" w:name="_Toc296503029"/>
      <w:bookmarkStart w:id="39" w:name="_Toc351203497"/>
      <w:bookmarkStart w:id="40" w:name="_Toc337558729"/>
      <w:bookmarkStart w:id="41" w:name="_Toc296346530"/>
      <w:r>
        <w:rPr>
          <w:rFonts w:ascii="Times New Roman" w:hAnsi="Times New Roman" w:eastAsia="黑体"/>
          <w:b w:val="0"/>
          <w:color w:val="000000"/>
          <w:sz w:val="30"/>
          <w:szCs w:val="32"/>
        </w:rPr>
        <w:t>1.2语言文字</w:t>
      </w:r>
      <w:bookmarkEnd w:id="38"/>
      <w:bookmarkEnd w:id="39"/>
      <w:bookmarkEnd w:id="40"/>
      <w:bookmarkEnd w:id="41"/>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合同以中国的汉语简体文字编写、解释和说明。合同当事人在专用合同条款中约定使用两种以上语言时，汉语为优先解释和说明合同的语言。</w:t>
      </w:r>
    </w:p>
    <w:p>
      <w:pPr>
        <w:pStyle w:val="6"/>
        <w:spacing w:before="120" w:after="120" w:line="360" w:lineRule="auto"/>
        <w:ind w:firstLine="600" w:firstLineChars="200"/>
        <w:rPr>
          <w:rFonts w:ascii="Times New Roman" w:hAnsi="Times New Roman" w:eastAsia="黑体"/>
          <w:b w:val="0"/>
          <w:color w:val="000000"/>
          <w:sz w:val="30"/>
          <w:szCs w:val="32"/>
        </w:rPr>
      </w:pPr>
      <w:bookmarkStart w:id="42" w:name="_Toc351203498"/>
      <w:bookmarkStart w:id="43" w:name="_Toc337558730"/>
      <w:bookmarkStart w:id="44" w:name="_Toc296346531"/>
      <w:bookmarkStart w:id="45" w:name="_Toc296503030"/>
      <w:r>
        <w:rPr>
          <w:rFonts w:ascii="Times New Roman" w:hAnsi="Times New Roman" w:eastAsia="黑体"/>
          <w:b w:val="0"/>
          <w:color w:val="000000"/>
          <w:sz w:val="30"/>
          <w:szCs w:val="32"/>
        </w:rPr>
        <w:t>1.3法律</w:t>
      </w:r>
      <w:bookmarkEnd w:id="42"/>
      <w:bookmarkEnd w:id="43"/>
      <w:bookmarkEnd w:id="44"/>
      <w:bookmarkEnd w:id="45"/>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合同当事人可以在专用合同条款中约定合同适用的其他规范性文件。</w:t>
      </w:r>
    </w:p>
    <w:p>
      <w:pPr>
        <w:pStyle w:val="6"/>
        <w:spacing w:before="120" w:after="120" w:line="360" w:lineRule="auto"/>
        <w:ind w:firstLine="600" w:firstLineChars="200"/>
        <w:rPr>
          <w:rFonts w:ascii="Times New Roman" w:hAnsi="Times New Roman" w:eastAsia="黑体"/>
          <w:b w:val="0"/>
          <w:color w:val="000000"/>
          <w:sz w:val="30"/>
          <w:szCs w:val="32"/>
        </w:rPr>
      </w:pPr>
      <w:bookmarkStart w:id="46" w:name="_Toc351203499"/>
      <w:r>
        <w:rPr>
          <w:rFonts w:ascii="Times New Roman" w:hAnsi="Times New Roman" w:eastAsia="黑体"/>
          <w:b w:val="0"/>
          <w:color w:val="000000"/>
          <w:sz w:val="30"/>
          <w:szCs w:val="32"/>
        </w:rPr>
        <w:t>1.4 标准和规范</w:t>
      </w:r>
      <w:bookmarkEnd w:id="46"/>
    </w:p>
    <w:p>
      <w:pPr>
        <w:autoSpaceDE w:val="0"/>
        <w:autoSpaceDN w:val="0"/>
        <w:adjustRightInd w:val="0"/>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kern w:val="0"/>
          <w:sz w:val="30"/>
          <w:szCs w:val="32"/>
        </w:rPr>
        <w:t>承包人</w:t>
      </w:r>
      <w:r>
        <w:rPr>
          <w:rFonts w:ascii="Times New Roman" w:hAnsi="Times New Roman" w:eastAsia="仿宋_GB2312"/>
          <w:color w:val="000000"/>
          <w:kern w:val="0"/>
          <w:sz w:val="30"/>
          <w:szCs w:val="32"/>
        </w:rPr>
        <w:t>在签订合同前已充分预见前述技术标准和功能要求的复杂程度，签约合同价中已包含由此产生的费用。</w:t>
      </w:r>
    </w:p>
    <w:p>
      <w:pPr>
        <w:pStyle w:val="6"/>
        <w:spacing w:before="120" w:after="120" w:line="360" w:lineRule="auto"/>
        <w:ind w:firstLine="600" w:firstLineChars="200"/>
        <w:rPr>
          <w:rFonts w:ascii="Times New Roman" w:hAnsi="Times New Roman" w:eastAsia="黑体"/>
          <w:b w:val="0"/>
          <w:color w:val="000000"/>
          <w:sz w:val="30"/>
          <w:szCs w:val="32"/>
        </w:rPr>
      </w:pPr>
      <w:bookmarkStart w:id="47" w:name="_Toc351203500"/>
      <w:r>
        <w:rPr>
          <w:rFonts w:ascii="Times New Roman" w:hAnsi="Times New Roman" w:eastAsia="黑体"/>
          <w:b w:val="0"/>
          <w:color w:val="000000"/>
          <w:sz w:val="30"/>
          <w:szCs w:val="32"/>
        </w:rPr>
        <w:t>1</w:t>
      </w:r>
      <w:bookmarkStart w:id="48" w:name="_Toc296346532"/>
      <w:bookmarkStart w:id="49" w:name="_Toc296503031"/>
      <w:bookmarkStart w:id="50" w:name="_Toc337558731"/>
      <w:r>
        <w:rPr>
          <w:rFonts w:ascii="Times New Roman" w:hAnsi="Times New Roman" w:eastAsia="黑体"/>
          <w:b w:val="0"/>
          <w:color w:val="000000"/>
          <w:sz w:val="30"/>
          <w:szCs w:val="32"/>
        </w:rPr>
        <w:t>.5 合同文件的优先顺序</w:t>
      </w:r>
      <w:bookmarkEnd w:id="47"/>
    </w:p>
    <w:bookmarkEnd w:id="48"/>
    <w:bookmarkEnd w:id="49"/>
    <w:bookmarkEnd w:id="5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组成合同的各项文件应互相解释，互为说明。除专用合同条款另有约定外，解释合同文件的优先顺序如下：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（1）合同协议书；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（2）中标通知书（如果有）；</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（3）投标函及其附录（如果有）；</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（4）专用合同条款</w:t>
      </w:r>
      <w:r>
        <w:rPr>
          <w:rFonts w:ascii="Times New Roman" w:hAnsi="Times New Roman" w:eastAsia="仿宋_GB2312"/>
          <w:color w:val="000000"/>
          <w:sz w:val="30"/>
          <w:szCs w:val="32"/>
        </w:rPr>
        <w:t>及其附件</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（5）通用合同条款；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（6）技术标准和要求；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（7）图纸；</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（8）已标价工程量清单或预算书；</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（9）其他合同文件。</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上述各项合同文件包括合同当事人就该项合同文件所作出的补充和修改，属于同一类内容的文件，应以最新签署的为准。</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在合同订立及履行过程中形成的与合同有关的文件均构成合同文件组成部分，并根据其性质确定优先解释顺序。</w:t>
      </w:r>
    </w:p>
    <w:p>
      <w:pPr>
        <w:pStyle w:val="6"/>
        <w:spacing w:before="120" w:after="120" w:line="360" w:lineRule="auto"/>
        <w:ind w:firstLine="600" w:firstLineChars="200"/>
        <w:rPr>
          <w:rFonts w:ascii="Times New Roman" w:hAnsi="Times New Roman" w:eastAsia="黑体"/>
          <w:b w:val="0"/>
          <w:color w:val="000000"/>
          <w:sz w:val="30"/>
          <w:szCs w:val="32"/>
        </w:rPr>
      </w:pPr>
      <w:bookmarkStart w:id="51" w:name="_Toc351203501"/>
      <w:r>
        <w:rPr>
          <w:rFonts w:ascii="Times New Roman" w:hAnsi="Times New Roman" w:eastAsia="黑体"/>
          <w:b w:val="0"/>
          <w:color w:val="000000"/>
          <w:sz w:val="30"/>
          <w:szCs w:val="32"/>
        </w:rPr>
        <w:t>1</w:t>
      </w:r>
      <w:bookmarkStart w:id="52" w:name="_Toc337558732"/>
      <w:bookmarkStart w:id="53" w:name="_Toc296346533"/>
      <w:bookmarkStart w:id="54" w:name="_Toc296503032"/>
      <w:r>
        <w:rPr>
          <w:rFonts w:ascii="Times New Roman" w:hAnsi="Times New Roman" w:eastAsia="黑体"/>
          <w:b w:val="0"/>
          <w:color w:val="000000"/>
          <w:sz w:val="30"/>
          <w:szCs w:val="32"/>
        </w:rPr>
        <w:t>.6图纸和承包人文件</w:t>
      </w:r>
      <w:bookmarkEnd w:id="51"/>
    </w:p>
    <w:bookmarkEnd w:id="52"/>
    <w:bookmarkEnd w:id="53"/>
    <w:bookmarkEnd w:id="5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 图纸的提供和交底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开工通知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载明的开工日期前14天向承包人提供图纸。</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因发包人未按合同约定提供图纸导致承包人费用增加和（或）工期延误的，按照第7.5.1项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因发包人原因导致工期延误</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 图纸的错误</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000000"/>
          <w:kern w:val="0"/>
          <w:sz w:val="30"/>
          <w:szCs w:val="32"/>
        </w:rPr>
        <w:t>合理时间是指发包人在收到监理人的报送通知后，尽其努力且不懈怠地完成图纸修改补充所需的时间。</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1.6.3 图纸的修改和补充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1.6.4 承包人文件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承包人应按照专用合同条款的约定提供应当由其编制的与工程施工有关的文件，并按照专用合同条款约定的期限、数量和形式提交监理人，并由监理人报送发包人。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1.6.5 图纸和承包人文件的保管</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除专用合同条款另有约定外，承包人应在施工现场另外保存一套完整的图纸和承包人文件，供发包人、监理人及有关人员进行工程检查时使用。</w:t>
      </w:r>
    </w:p>
    <w:p>
      <w:pPr>
        <w:pStyle w:val="6"/>
        <w:spacing w:before="120" w:after="120" w:line="360" w:lineRule="auto"/>
        <w:ind w:firstLine="600" w:firstLineChars="200"/>
        <w:rPr>
          <w:rFonts w:ascii="Times New Roman" w:hAnsi="Times New Roman" w:eastAsia="黑体"/>
          <w:b w:val="0"/>
          <w:color w:val="000000"/>
          <w:sz w:val="30"/>
          <w:szCs w:val="32"/>
        </w:rPr>
      </w:pPr>
      <w:bookmarkStart w:id="55" w:name="_Toc351203502"/>
      <w:r>
        <w:rPr>
          <w:rFonts w:ascii="Times New Roman" w:hAnsi="Times New Roman" w:eastAsia="黑体"/>
          <w:b w:val="0"/>
          <w:color w:val="000000"/>
          <w:sz w:val="30"/>
          <w:szCs w:val="32"/>
        </w:rPr>
        <w:t>1</w:t>
      </w:r>
      <w:bookmarkStart w:id="56" w:name="_Toc296503033"/>
      <w:bookmarkStart w:id="57" w:name="_Toc296346534"/>
      <w:bookmarkStart w:id="58" w:name="_Toc337558733"/>
      <w:r>
        <w:rPr>
          <w:rFonts w:ascii="Times New Roman" w:hAnsi="Times New Roman" w:eastAsia="黑体"/>
          <w:b w:val="0"/>
          <w:color w:val="000000"/>
          <w:sz w:val="30"/>
          <w:szCs w:val="32"/>
        </w:rPr>
        <w:t>.7联络</w:t>
      </w:r>
      <w:bookmarkEnd w:id="55"/>
    </w:p>
    <w:bookmarkEnd w:id="56"/>
    <w:bookmarkEnd w:id="57"/>
    <w:bookmarkEnd w:id="5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600" w:firstLineChars="200"/>
        <w:jc w:val="left"/>
        <w:rPr>
          <w:rFonts w:ascii="Times New Roman" w:hAnsi="Times New Roman" w:eastAsia="仿宋_GB2312"/>
          <w:color w:val="FF0000"/>
          <w:kern w:val="0"/>
          <w:sz w:val="30"/>
          <w:szCs w:val="32"/>
        </w:rPr>
      </w:pPr>
      <w:r>
        <w:rPr>
          <w:rFonts w:ascii="Times New Roman" w:hAnsi="Times New Roman" w:eastAsia="仿宋_GB2312"/>
          <w:color w:val="000000"/>
          <w:kern w:val="0"/>
          <w:sz w:val="30"/>
          <w:szCs w:val="32"/>
        </w:rPr>
        <w:t>1.7.3 发包人和承包人应当及时签收另一方送达至送达地点和指定接收人的来往信函。拒不签收的，由此增加的费用和（或）延误的工期由拒绝接收一方承担。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59" w:name="_Toc351203503"/>
      <w:r>
        <w:rPr>
          <w:rFonts w:ascii="Times New Roman" w:hAnsi="Times New Roman" w:eastAsia="黑体"/>
          <w:b w:val="0"/>
          <w:color w:val="000000"/>
          <w:sz w:val="30"/>
          <w:szCs w:val="32"/>
        </w:rPr>
        <w:t>1</w:t>
      </w:r>
      <w:bookmarkStart w:id="60" w:name="_Toc296346536"/>
      <w:bookmarkStart w:id="61" w:name="_Toc296503035"/>
      <w:bookmarkStart w:id="62" w:name="_Toc337558734"/>
      <w:r>
        <w:rPr>
          <w:rFonts w:ascii="Times New Roman" w:hAnsi="Times New Roman" w:eastAsia="黑体"/>
          <w:b w:val="0"/>
          <w:color w:val="000000"/>
          <w:sz w:val="30"/>
          <w:szCs w:val="32"/>
        </w:rPr>
        <w:t>.8严禁贿赂</w:t>
      </w:r>
      <w:bookmarkEnd w:id="59"/>
    </w:p>
    <w:bookmarkEnd w:id="60"/>
    <w:bookmarkEnd w:id="61"/>
    <w:bookmarkEnd w:id="6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line="360" w:lineRule="auto"/>
        <w:ind w:firstLine="600" w:firstLineChars="200"/>
        <w:rPr>
          <w:rFonts w:ascii="Times New Roman" w:hAnsi="Times New Roman" w:eastAsia="黑体"/>
          <w:b w:val="0"/>
          <w:color w:val="000000"/>
          <w:sz w:val="30"/>
          <w:szCs w:val="32"/>
        </w:rPr>
      </w:pPr>
      <w:bookmarkStart w:id="63" w:name="_Toc351203504"/>
      <w:r>
        <w:rPr>
          <w:rFonts w:ascii="Times New Roman" w:hAnsi="Times New Roman" w:eastAsia="黑体"/>
          <w:b w:val="0"/>
          <w:color w:val="000000"/>
          <w:sz w:val="30"/>
          <w:szCs w:val="32"/>
        </w:rPr>
        <w:t>1</w:t>
      </w:r>
      <w:bookmarkStart w:id="64" w:name="_Toc296503036"/>
      <w:bookmarkStart w:id="65" w:name="_Toc296346537"/>
      <w:bookmarkStart w:id="66" w:name="_Toc337558735"/>
      <w:r>
        <w:rPr>
          <w:rFonts w:ascii="Times New Roman" w:hAnsi="Times New Roman" w:eastAsia="黑体"/>
          <w:b w:val="0"/>
          <w:color w:val="000000"/>
          <w:sz w:val="30"/>
          <w:szCs w:val="32"/>
        </w:rPr>
        <w:t>.9化石、文物</w:t>
      </w:r>
      <w:bookmarkEnd w:id="63"/>
    </w:p>
    <w:bookmarkEnd w:id="64"/>
    <w:bookmarkEnd w:id="65"/>
    <w:bookmarkEnd w:id="6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发包人、监理人和承包人应按有关政府行政管理部门要求采取妥善的保护措施，由此增加的费用和</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或）延误的工期由发包人承担。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承包人发现文物后不及时报告或隐瞒不报，致使文物丢失或损坏的，应赔偿损失，并承担相应的法律责任。</w:t>
      </w:r>
    </w:p>
    <w:p>
      <w:pPr>
        <w:pStyle w:val="6"/>
        <w:spacing w:before="120" w:after="120" w:line="360" w:lineRule="auto"/>
        <w:ind w:firstLine="600" w:firstLineChars="200"/>
        <w:rPr>
          <w:rFonts w:ascii="Times New Roman" w:hAnsi="Times New Roman" w:eastAsia="黑体"/>
          <w:b w:val="0"/>
          <w:color w:val="000000"/>
          <w:sz w:val="30"/>
          <w:szCs w:val="32"/>
        </w:rPr>
      </w:pPr>
      <w:bookmarkStart w:id="67" w:name="_Toc351203505"/>
      <w:r>
        <w:rPr>
          <w:rFonts w:ascii="Times New Roman" w:hAnsi="Times New Roman" w:eastAsia="黑体"/>
          <w:b w:val="0"/>
          <w:color w:val="000000"/>
          <w:sz w:val="30"/>
          <w:szCs w:val="32"/>
        </w:rPr>
        <w:t>1</w:t>
      </w:r>
      <w:bookmarkStart w:id="68" w:name="_Toc337558736"/>
      <w:r>
        <w:rPr>
          <w:rFonts w:ascii="Times New Roman" w:hAnsi="Times New Roman" w:eastAsia="黑体"/>
          <w:b w:val="0"/>
          <w:color w:val="000000"/>
          <w:sz w:val="30"/>
          <w:szCs w:val="32"/>
        </w:rPr>
        <w:t>.10交通运输</w:t>
      </w:r>
      <w:bookmarkEnd w:id="67"/>
    </w:p>
    <w:bookmarkEnd w:id="68"/>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出入现场的权利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除专用合同条款另有约定外，发包人应根据施工需要，负责取得出入施工现场所需的</w:t>
      </w:r>
      <w:r>
        <w:rPr>
          <w:rFonts w:hint="eastAsia" w:ascii="Times New Roman" w:hAnsi="Times New Roman" w:eastAsia="仿宋_GB2312"/>
          <w:color w:val="000000"/>
          <w:kern w:val="0"/>
          <w:sz w:val="30"/>
          <w:szCs w:val="32"/>
        </w:rPr>
        <w:t>批准手续和</w:t>
      </w:r>
      <w:r>
        <w:rPr>
          <w:rFonts w:ascii="Times New Roman" w:hAnsi="Times New Roman" w:eastAsia="仿宋_GB2312"/>
          <w:color w:val="000000"/>
          <w:kern w:val="0"/>
          <w:sz w:val="30"/>
          <w:szCs w:val="32"/>
        </w:rPr>
        <w:t>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1.10.2</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场外交通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1.10.3场内交通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场外交通和场内交通的边界由合同当事人在专用合同条款中约定。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1.10.4</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超大件和超重件的运输</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1.10.5</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道路和桥梁的损坏责任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因承包人运输造成施工场地内外公共道路和桥梁损坏的，由承包人承担修复损坏的全部费用和可能引起的赔偿。</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1.10.6</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水路和航空运输</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本</w:t>
      </w:r>
      <w:r>
        <w:rPr>
          <w:rFonts w:hint="eastAsia" w:ascii="Times New Roman" w:hAnsi="Times New Roman" w:eastAsia="仿宋_GB2312"/>
          <w:color w:val="000000"/>
          <w:kern w:val="0"/>
          <w:sz w:val="30"/>
          <w:szCs w:val="32"/>
        </w:rPr>
        <w:t>款</w:t>
      </w:r>
      <w:r>
        <w:rPr>
          <w:rFonts w:ascii="Times New Roman" w:hAnsi="Times New Roman" w:eastAsia="仿宋_GB2312"/>
          <w:color w:val="000000"/>
          <w:kern w:val="0"/>
          <w:sz w:val="30"/>
          <w:szCs w:val="32"/>
        </w:rPr>
        <w:t>前述各</w:t>
      </w:r>
      <w:r>
        <w:rPr>
          <w:rFonts w:hint="eastAsia" w:ascii="Times New Roman" w:hAnsi="Times New Roman" w:eastAsia="仿宋_GB2312"/>
          <w:color w:val="000000"/>
          <w:kern w:val="0"/>
          <w:sz w:val="30"/>
          <w:szCs w:val="32"/>
        </w:rPr>
        <w:t>项</w:t>
      </w:r>
      <w:r>
        <w:rPr>
          <w:rFonts w:ascii="Times New Roman" w:hAnsi="Times New Roman" w:eastAsia="仿宋_GB2312"/>
          <w:color w:val="000000"/>
          <w:kern w:val="0"/>
          <w:sz w:val="30"/>
          <w:szCs w:val="32"/>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line="360" w:lineRule="auto"/>
        <w:ind w:firstLine="600" w:firstLineChars="200"/>
        <w:rPr>
          <w:rFonts w:ascii="Times New Roman" w:hAnsi="Times New Roman" w:eastAsia="黑体"/>
          <w:b w:val="0"/>
          <w:color w:val="000000"/>
          <w:sz w:val="30"/>
          <w:szCs w:val="32"/>
        </w:rPr>
      </w:pPr>
      <w:bookmarkStart w:id="69" w:name="_Toc351203506"/>
      <w:r>
        <w:rPr>
          <w:rFonts w:ascii="Times New Roman" w:hAnsi="Times New Roman" w:eastAsia="黑体"/>
          <w:b w:val="0"/>
          <w:color w:val="000000"/>
          <w:sz w:val="30"/>
          <w:szCs w:val="32"/>
        </w:rPr>
        <w:t>1</w:t>
      </w:r>
      <w:bookmarkStart w:id="70" w:name="_Toc337558737"/>
      <w:bookmarkStart w:id="71" w:name="_Toc296346538"/>
      <w:bookmarkStart w:id="72" w:name="_Toc296503037"/>
      <w:r>
        <w:rPr>
          <w:rFonts w:ascii="Times New Roman" w:hAnsi="Times New Roman" w:eastAsia="黑体"/>
          <w:b w:val="0"/>
          <w:color w:val="000000"/>
          <w:sz w:val="30"/>
          <w:szCs w:val="32"/>
        </w:rPr>
        <w:t>.11知识产权</w:t>
      </w:r>
      <w:bookmarkEnd w:id="69"/>
      <w:r>
        <w:rPr>
          <w:rFonts w:ascii="Times New Roman" w:hAnsi="Times New Roman" w:eastAsia="黑体"/>
          <w:b w:val="0"/>
          <w:color w:val="000000"/>
          <w:sz w:val="30"/>
          <w:szCs w:val="32"/>
        </w:rPr>
        <w:t xml:space="preserve"> </w:t>
      </w:r>
      <w:bookmarkEnd w:id="70"/>
    </w:p>
    <w:bookmarkEnd w:id="71"/>
    <w:bookmarkEnd w:id="7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ascii="Times New Roman" w:hAnsi="Times New Roman"/>
          <w:sz w:val="30"/>
          <w:szCs w:val="24"/>
        </w:rPr>
      </w:pPr>
      <w:r>
        <w:rPr>
          <w:rFonts w:ascii="Times New Roman" w:hAnsi="Times New Roman" w:eastAsia="仿宋_GB2312"/>
          <w:color w:val="000000"/>
          <w:kern w:val="0"/>
          <w:sz w:val="30"/>
          <w:szCs w:val="32"/>
        </w:rPr>
        <w:t xml:space="preserve">    </w:t>
      </w:r>
      <w:r>
        <w:rPr>
          <w:rFonts w:ascii="Times New Roman" w:hAnsi="Times New Roman" w:eastAsia="仿宋_GB2312"/>
          <w:color w:val="000000"/>
          <w:sz w:val="30"/>
          <w:szCs w:val="32"/>
        </w:rPr>
        <w:t>1.11.4 除专用合同条款另有约定外，承包人在合同签订前和签订时已确定采用的专利、专有技术、技术秘密的使用费已包含在签约合同价中。</w:t>
      </w:r>
    </w:p>
    <w:p>
      <w:pPr>
        <w:pStyle w:val="6"/>
        <w:spacing w:before="120" w:after="120" w:line="360" w:lineRule="auto"/>
        <w:ind w:firstLine="600" w:firstLineChars="200"/>
        <w:rPr>
          <w:rFonts w:ascii="Times New Roman" w:hAnsi="Times New Roman" w:eastAsia="黑体"/>
          <w:b w:val="0"/>
          <w:color w:val="000000"/>
          <w:sz w:val="30"/>
          <w:szCs w:val="32"/>
        </w:rPr>
      </w:pPr>
      <w:bookmarkStart w:id="73" w:name="_Toc351203507"/>
      <w:r>
        <w:rPr>
          <w:rFonts w:ascii="Times New Roman" w:hAnsi="Times New Roman" w:eastAsia="黑体"/>
          <w:b w:val="0"/>
          <w:color w:val="000000"/>
          <w:sz w:val="30"/>
          <w:szCs w:val="32"/>
        </w:rPr>
        <w:t>1</w:t>
      </w:r>
      <w:bookmarkStart w:id="74" w:name="_Toc337558738"/>
      <w:r>
        <w:rPr>
          <w:rFonts w:ascii="Times New Roman" w:hAnsi="Times New Roman" w:eastAsia="黑体"/>
          <w:b w:val="0"/>
          <w:color w:val="000000"/>
          <w:sz w:val="30"/>
          <w:szCs w:val="32"/>
        </w:rPr>
        <w:t>.12保密</w:t>
      </w:r>
      <w:bookmarkEnd w:id="73"/>
    </w:p>
    <w:bookmarkEnd w:id="7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除法律规定或合同另有约定外，未经承包人同意，发包人不得将承包人提供的技术秘密及声明需要保密的资料信息等商业秘密泄露给第三方。</w:t>
      </w:r>
    </w:p>
    <w:p>
      <w:pPr>
        <w:pStyle w:val="6"/>
        <w:spacing w:before="120" w:after="120" w:line="360" w:lineRule="auto"/>
        <w:ind w:firstLine="600" w:firstLineChars="200"/>
        <w:rPr>
          <w:rFonts w:ascii="Times New Roman" w:hAnsi="Times New Roman" w:eastAsia="黑体"/>
          <w:b w:val="0"/>
          <w:color w:val="000000"/>
          <w:sz w:val="30"/>
          <w:szCs w:val="32"/>
        </w:rPr>
      </w:pPr>
      <w:bookmarkStart w:id="75" w:name="_Toc351203508"/>
      <w:r>
        <w:rPr>
          <w:rFonts w:ascii="Times New Roman" w:hAnsi="Times New Roman" w:eastAsia="黑体"/>
          <w:b w:val="0"/>
          <w:color w:val="000000"/>
          <w:sz w:val="30"/>
          <w:szCs w:val="32"/>
        </w:rPr>
        <w:t>1.13工程量清单错误的修正</w:t>
      </w:r>
      <w:bookmarkEnd w:id="75"/>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w:t>
      </w:r>
      <w:r>
        <w:rPr>
          <w:rFonts w:ascii="Times New Roman" w:hAnsi="Times New Roman" w:eastAsia="仿宋_GB2312"/>
          <w:color w:val="000000"/>
          <w:kern w:val="0"/>
          <w:sz w:val="30"/>
          <w:szCs w:val="32"/>
        </w:rPr>
        <w:t>发包人提供的工程量清单，应被认为是准确的和完整的。出现下列情形之一时，发包人应予以修正，并相应调整合同价格：</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（1）工程量清单存在缺项、漏项的；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（2）工程量清单偏差超出专用合同条款约定的工程量偏差范围的；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（3）未按照国家现行计量规范强制性规定计量的。</w:t>
      </w:r>
    </w:p>
    <w:p>
      <w:pPr>
        <w:pStyle w:val="5"/>
        <w:spacing w:before="120" w:after="120" w:line="360" w:lineRule="auto"/>
        <w:rPr>
          <w:rFonts w:ascii="Times New Roman" w:hAnsi="Times New Roman" w:eastAsia="黑体"/>
          <w:b w:val="0"/>
          <w:color w:val="000000"/>
          <w:sz w:val="32"/>
          <w:szCs w:val="32"/>
        </w:rPr>
      </w:pPr>
      <w:bookmarkStart w:id="76" w:name="_Toc351203509"/>
      <w:r>
        <w:rPr>
          <w:rFonts w:ascii="Times New Roman" w:hAnsi="Times New Roman" w:eastAsia="黑体"/>
          <w:b w:val="0"/>
          <w:color w:val="000000"/>
          <w:sz w:val="32"/>
          <w:szCs w:val="32"/>
        </w:rPr>
        <w:t>2</w:t>
      </w:r>
      <w:bookmarkStart w:id="77" w:name="_Toc337558739"/>
      <w:bookmarkStart w:id="78" w:name="_Toc296503038"/>
      <w:bookmarkStart w:id="79" w:name="_Toc296346539"/>
      <w:bookmarkStart w:id="80" w:name="OLE_LINK2"/>
      <w:bookmarkStart w:id="81" w:name="OLE_LINK1"/>
      <w:r>
        <w:rPr>
          <w:rFonts w:ascii="Times New Roman" w:hAnsi="Times New Roman" w:eastAsia="黑体"/>
          <w:b w:val="0"/>
          <w:color w:val="000000"/>
          <w:sz w:val="32"/>
          <w:szCs w:val="32"/>
        </w:rPr>
        <w:t>. 发包人</w:t>
      </w:r>
      <w:bookmarkEnd w:id="76"/>
    </w:p>
    <w:bookmarkEnd w:id="77"/>
    <w:bookmarkEnd w:id="78"/>
    <w:bookmarkEnd w:id="79"/>
    <w:p>
      <w:pPr>
        <w:pStyle w:val="6"/>
        <w:spacing w:before="120" w:after="120" w:line="360" w:lineRule="auto"/>
        <w:ind w:firstLine="600" w:firstLineChars="200"/>
        <w:rPr>
          <w:rFonts w:ascii="Times New Roman" w:hAnsi="Times New Roman" w:eastAsia="黑体"/>
          <w:b w:val="0"/>
          <w:color w:val="000000"/>
          <w:sz w:val="30"/>
          <w:szCs w:val="32"/>
        </w:rPr>
      </w:pPr>
      <w:bookmarkStart w:id="82" w:name="_Toc351203510"/>
      <w:r>
        <w:rPr>
          <w:rFonts w:ascii="Times New Roman" w:hAnsi="Times New Roman" w:eastAsia="黑体"/>
          <w:b w:val="0"/>
          <w:color w:val="000000"/>
          <w:sz w:val="30"/>
          <w:szCs w:val="32"/>
        </w:rPr>
        <w:t>2</w:t>
      </w:r>
      <w:bookmarkStart w:id="83" w:name="_Toc296346540"/>
      <w:bookmarkStart w:id="84" w:name="_Toc337558740"/>
      <w:bookmarkStart w:id="85" w:name="_Toc296503039"/>
      <w:r>
        <w:rPr>
          <w:rFonts w:ascii="Times New Roman" w:hAnsi="Times New Roman" w:eastAsia="黑体"/>
          <w:b w:val="0"/>
          <w:color w:val="000000"/>
          <w:sz w:val="30"/>
          <w:szCs w:val="32"/>
        </w:rPr>
        <w:t>.1 许可或批准</w:t>
      </w:r>
      <w:bookmarkEnd w:id="82"/>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因发包人原因未能及时办理完毕前述许可、批准或备案，由发包人承担由此增加的费用和（或）延误的工期，并支付承包人合理的利润。</w:t>
      </w:r>
    </w:p>
    <w:p>
      <w:pPr>
        <w:pStyle w:val="6"/>
        <w:spacing w:before="120" w:after="120" w:line="360" w:lineRule="auto"/>
        <w:ind w:firstLine="600" w:firstLineChars="200"/>
        <w:rPr>
          <w:rFonts w:ascii="Times New Roman" w:hAnsi="Times New Roman" w:eastAsia="黑体"/>
          <w:b w:val="0"/>
          <w:color w:val="000000"/>
          <w:sz w:val="30"/>
          <w:szCs w:val="32"/>
        </w:rPr>
      </w:pPr>
      <w:bookmarkStart w:id="86" w:name="_Toc351203511"/>
      <w:r>
        <w:rPr>
          <w:rFonts w:ascii="Times New Roman" w:hAnsi="Times New Roman" w:eastAsia="黑体"/>
          <w:b w:val="0"/>
          <w:color w:val="000000"/>
          <w:sz w:val="30"/>
          <w:szCs w:val="32"/>
        </w:rPr>
        <w:t>2.2 发包人代表</w:t>
      </w:r>
      <w:bookmarkEnd w:id="86"/>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发包人代表不能按照合同约定履行其职责及义务，并导致合同无法继续正常履行的，承包人可以要求发包人撤换发包人代表。</w:t>
      </w:r>
    </w:p>
    <w:p>
      <w:pPr>
        <w:ind w:firstLine="600" w:firstLineChars="200"/>
        <w:rPr>
          <w:rFonts w:ascii="Times New Roman" w:hAnsi="Times New Roman"/>
          <w:sz w:val="30"/>
        </w:rPr>
      </w:pPr>
      <w:r>
        <w:rPr>
          <w:rFonts w:hint="eastAsia" w:ascii="Times New Roman" w:hAnsi="Times New Roman" w:eastAsia="仿宋_GB2312"/>
          <w:color w:val="000000"/>
          <w:kern w:val="0"/>
          <w:sz w:val="30"/>
          <w:szCs w:val="32"/>
        </w:rPr>
        <w:t>不属于法定必须监理的工程，监理人的职权可以由发包人代表或发包人指定的其他人员行使。</w:t>
      </w:r>
    </w:p>
    <w:p>
      <w:pPr>
        <w:pStyle w:val="6"/>
        <w:spacing w:before="120" w:after="120" w:line="360" w:lineRule="auto"/>
        <w:ind w:firstLine="600" w:firstLineChars="200"/>
        <w:rPr>
          <w:rFonts w:ascii="Times New Roman" w:hAnsi="Times New Roman" w:eastAsia="黑体"/>
          <w:b w:val="0"/>
          <w:color w:val="000000"/>
          <w:sz w:val="30"/>
          <w:szCs w:val="32"/>
        </w:rPr>
      </w:pPr>
      <w:bookmarkStart w:id="87" w:name="_Toc351203512"/>
      <w:r>
        <w:rPr>
          <w:rFonts w:ascii="Times New Roman" w:hAnsi="Times New Roman" w:eastAsia="黑体"/>
          <w:b w:val="0"/>
          <w:color w:val="000000"/>
          <w:sz w:val="30"/>
          <w:szCs w:val="32"/>
        </w:rPr>
        <w:t>2.3 发包人人员</w:t>
      </w:r>
      <w:bookmarkEnd w:id="87"/>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发包人人员包括发包人代表及其他由发包人派驻施工现场的人员。</w:t>
      </w:r>
      <w:bookmarkEnd w:id="83"/>
      <w:bookmarkEnd w:id="84"/>
      <w:bookmarkEnd w:id="85"/>
    </w:p>
    <w:p>
      <w:pPr>
        <w:pStyle w:val="6"/>
        <w:spacing w:before="120" w:after="120" w:line="360" w:lineRule="auto"/>
        <w:ind w:firstLine="600" w:firstLineChars="200"/>
        <w:rPr>
          <w:rFonts w:ascii="Times New Roman" w:hAnsi="Times New Roman" w:eastAsia="黑体"/>
          <w:b w:val="0"/>
          <w:color w:val="000000"/>
          <w:sz w:val="30"/>
          <w:szCs w:val="32"/>
        </w:rPr>
      </w:pPr>
      <w:bookmarkStart w:id="88" w:name="_Toc351203513"/>
      <w:r>
        <w:rPr>
          <w:rFonts w:ascii="Times New Roman" w:hAnsi="Times New Roman" w:eastAsia="黑体"/>
          <w:b w:val="0"/>
          <w:color w:val="000000"/>
          <w:sz w:val="30"/>
          <w:szCs w:val="32"/>
        </w:rPr>
        <w:t>2</w:t>
      </w:r>
      <w:bookmarkStart w:id="89" w:name="_Toc337558741"/>
      <w:bookmarkStart w:id="90" w:name="_Toc296503040"/>
      <w:bookmarkStart w:id="91" w:name="_Toc296346541"/>
      <w:r>
        <w:rPr>
          <w:rFonts w:ascii="Times New Roman" w:hAnsi="Times New Roman" w:eastAsia="黑体"/>
          <w:b w:val="0"/>
          <w:color w:val="000000"/>
          <w:sz w:val="30"/>
          <w:szCs w:val="32"/>
        </w:rPr>
        <w:t>.4 施工现场、施工条件和基础资料的提供</w:t>
      </w:r>
      <w:bookmarkEnd w:id="88"/>
      <w:r>
        <w:rPr>
          <w:rFonts w:ascii="Times New Roman" w:hAnsi="Times New Roman" w:eastAsia="黑体"/>
          <w:b w:val="0"/>
          <w:color w:val="000000"/>
          <w:sz w:val="30"/>
          <w:szCs w:val="32"/>
        </w:rPr>
        <w:t xml:space="preserve"> </w:t>
      </w:r>
      <w:bookmarkEnd w:id="89"/>
      <w:bookmarkEnd w:id="90"/>
      <w:bookmarkEnd w:id="91"/>
      <w:r>
        <w:rPr>
          <w:rFonts w:ascii="Times New Roman" w:hAnsi="Times New Roman" w:eastAsia="黑体"/>
          <w:b w:val="0"/>
          <w:color w:val="00000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2.4.1 提供施工现场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w:t>
      </w:r>
      <w:bookmarkEnd w:id="80"/>
      <w:bookmarkEnd w:id="81"/>
      <w:r>
        <w:rPr>
          <w:rFonts w:ascii="Times New Roman" w:hAnsi="Times New Roman" w:eastAsia="仿宋_GB2312"/>
          <w:color w:val="000000"/>
          <w:kern w:val="0"/>
          <w:sz w:val="30"/>
          <w:szCs w:val="32"/>
        </w:rPr>
        <w:t>专用合同条款另有约定外，发包人应</w:t>
      </w:r>
      <w:r>
        <w:rPr>
          <w:rFonts w:hint="eastAsia" w:ascii="Times New Roman" w:hAnsi="Times New Roman" w:eastAsia="仿宋_GB2312"/>
          <w:color w:val="000000"/>
          <w:kern w:val="0"/>
          <w:sz w:val="30"/>
          <w:szCs w:val="32"/>
        </w:rPr>
        <w:t>最迟于</w:t>
      </w:r>
      <w:r>
        <w:rPr>
          <w:rFonts w:ascii="Times New Roman" w:hAnsi="Times New Roman" w:eastAsia="仿宋_GB2312"/>
          <w:color w:val="000000"/>
          <w:kern w:val="0"/>
          <w:sz w:val="30"/>
          <w:szCs w:val="32"/>
        </w:rPr>
        <w:t>开工日期7天前向承包人移交施工现场。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2.4.2 提供施工条件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除专用合同条款另有约定外，发包人应负责提供施工所需要的条件，包括：</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（1）将施工用水、电力、通讯线路等施工所必需的条件接至施工现场内；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（2）保证向承包人提供正常施工所需要的进入施工现场的交通条件；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（3）协调处理施工现场周围地下管线和邻近建筑物、构筑物、古树名木的保护工作，并承担相关费用；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（4）按照专用合同条款约定</w:t>
      </w:r>
      <w:r>
        <w:rPr>
          <w:rFonts w:hint="eastAsia" w:ascii="Times New Roman" w:hAnsi="Times New Roman" w:eastAsia="仿宋_GB2312"/>
          <w:color w:val="000000"/>
          <w:kern w:val="0"/>
          <w:sz w:val="30"/>
          <w:szCs w:val="32"/>
        </w:rPr>
        <w:t>应</w:t>
      </w:r>
      <w:r>
        <w:rPr>
          <w:rFonts w:ascii="Times New Roman" w:hAnsi="Times New Roman" w:eastAsia="仿宋_GB2312"/>
          <w:color w:val="000000"/>
          <w:kern w:val="0"/>
          <w:sz w:val="30"/>
          <w:szCs w:val="32"/>
        </w:rPr>
        <w:t>提供的其他设施和条件。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2.4.3 提供基础资料</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按照法律规定确需在开工后方能提供的基础资料，发包人应尽其努力及时地在相应工程施工前的合理期限内提供，合理期限应以不影响承包人的正常施工为限。</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2.4.4 逾期提供的责任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因发包人原因未能按合同约定及时向承包人提供施工现场、施工条件、基础资料的，由发包人承担由此增加的费用和（或）延误的工期。</w:t>
      </w:r>
    </w:p>
    <w:p>
      <w:pPr>
        <w:pStyle w:val="6"/>
        <w:spacing w:before="120" w:after="120" w:line="360" w:lineRule="auto"/>
        <w:ind w:firstLine="600" w:firstLineChars="200"/>
        <w:rPr>
          <w:rFonts w:ascii="Times New Roman" w:hAnsi="Times New Roman" w:eastAsia="黑体"/>
          <w:b w:val="0"/>
          <w:color w:val="000000"/>
          <w:sz w:val="30"/>
          <w:szCs w:val="32"/>
        </w:rPr>
      </w:pPr>
      <w:bookmarkStart w:id="92" w:name="_Toc351203514"/>
      <w:r>
        <w:rPr>
          <w:rFonts w:ascii="Times New Roman" w:hAnsi="Times New Roman" w:eastAsia="黑体"/>
          <w:b w:val="0"/>
          <w:color w:val="000000"/>
          <w:sz w:val="30"/>
          <w:szCs w:val="32"/>
        </w:rPr>
        <w:t>2</w:t>
      </w:r>
      <w:bookmarkStart w:id="93" w:name="_Toc296346543"/>
      <w:bookmarkStart w:id="94" w:name="_Toc337558745"/>
      <w:bookmarkStart w:id="95" w:name="_Toc296503042"/>
      <w:r>
        <w:rPr>
          <w:rFonts w:ascii="Times New Roman" w:hAnsi="Times New Roman" w:eastAsia="黑体"/>
          <w:b w:val="0"/>
          <w:color w:val="000000"/>
          <w:sz w:val="30"/>
          <w:szCs w:val="32"/>
        </w:rPr>
        <w:t>.5 资</w:t>
      </w:r>
      <w:bookmarkEnd w:id="93"/>
      <w:bookmarkEnd w:id="94"/>
      <w:bookmarkEnd w:id="95"/>
      <w:r>
        <w:rPr>
          <w:rFonts w:ascii="Times New Roman" w:hAnsi="Times New Roman" w:eastAsia="黑体"/>
          <w:b w:val="0"/>
          <w:color w:val="000000"/>
          <w:sz w:val="30"/>
          <w:szCs w:val="32"/>
        </w:rPr>
        <w:t>金来源证明及支付担保</w:t>
      </w:r>
      <w:bookmarkEnd w:id="92"/>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line="360" w:lineRule="auto"/>
        <w:ind w:firstLine="600" w:firstLineChars="200"/>
        <w:rPr>
          <w:rFonts w:ascii="Times New Roman" w:hAnsi="Times New Roman" w:eastAsia="黑体"/>
          <w:b w:val="0"/>
          <w:color w:val="000000"/>
          <w:sz w:val="30"/>
          <w:szCs w:val="32"/>
        </w:rPr>
      </w:pPr>
      <w:bookmarkStart w:id="96" w:name="_Toc351203515"/>
      <w:r>
        <w:rPr>
          <w:rFonts w:ascii="Times New Roman" w:hAnsi="Times New Roman" w:eastAsia="黑体"/>
          <w:b w:val="0"/>
          <w:color w:val="000000"/>
          <w:sz w:val="30"/>
          <w:szCs w:val="32"/>
        </w:rPr>
        <w:t>2.6 支付合同价款</w:t>
      </w:r>
      <w:bookmarkEnd w:id="96"/>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发包人应按合同约定向承包人及时支付合同价款。</w:t>
      </w:r>
    </w:p>
    <w:p>
      <w:pPr>
        <w:pStyle w:val="6"/>
        <w:spacing w:before="120" w:after="120" w:line="360" w:lineRule="auto"/>
        <w:ind w:firstLine="600" w:firstLineChars="200"/>
        <w:rPr>
          <w:rFonts w:ascii="Times New Roman" w:hAnsi="Times New Roman" w:eastAsia="黑体"/>
          <w:b w:val="0"/>
          <w:color w:val="000000"/>
          <w:sz w:val="30"/>
          <w:szCs w:val="32"/>
        </w:rPr>
      </w:pPr>
      <w:bookmarkStart w:id="97" w:name="_Toc351203516"/>
      <w:r>
        <w:rPr>
          <w:rFonts w:ascii="Times New Roman" w:hAnsi="Times New Roman" w:eastAsia="黑体"/>
          <w:b w:val="0"/>
          <w:color w:val="000000"/>
          <w:sz w:val="30"/>
          <w:szCs w:val="32"/>
        </w:rPr>
        <w:t>2.7 组织竣工验收</w:t>
      </w:r>
      <w:bookmarkEnd w:id="97"/>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发包人应按合同约定及时组织竣工验收。</w:t>
      </w:r>
    </w:p>
    <w:p>
      <w:pPr>
        <w:pStyle w:val="6"/>
        <w:spacing w:before="120" w:after="120" w:line="360" w:lineRule="auto"/>
        <w:ind w:firstLine="600" w:firstLineChars="200"/>
        <w:rPr>
          <w:rFonts w:ascii="Times New Roman" w:hAnsi="Times New Roman" w:eastAsia="黑体"/>
          <w:b w:val="0"/>
          <w:color w:val="000000"/>
          <w:sz w:val="30"/>
          <w:szCs w:val="32"/>
        </w:rPr>
      </w:pPr>
      <w:bookmarkStart w:id="98" w:name="_Toc351203517"/>
      <w:r>
        <w:rPr>
          <w:rFonts w:ascii="Times New Roman" w:hAnsi="Times New Roman" w:eastAsia="黑体"/>
          <w:b w:val="0"/>
          <w:color w:val="000000"/>
          <w:sz w:val="30"/>
          <w:szCs w:val="32"/>
        </w:rPr>
        <w:t>2.8 现场统一管理协议</w:t>
      </w:r>
      <w:bookmarkEnd w:id="98"/>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发包人应与承包人、由发包人直接发包的专业工程的承包人签订施工现场统一管理协议，明确各方的权利义务。施工现场统一管理协议作为专用合同条款的附件。</w:t>
      </w:r>
    </w:p>
    <w:p>
      <w:pPr>
        <w:pStyle w:val="5"/>
        <w:spacing w:before="120" w:after="120" w:line="360" w:lineRule="auto"/>
        <w:rPr>
          <w:rFonts w:ascii="Times New Roman" w:hAnsi="Times New Roman" w:eastAsia="黑体"/>
          <w:b w:val="0"/>
          <w:color w:val="000000"/>
          <w:sz w:val="32"/>
          <w:szCs w:val="32"/>
        </w:rPr>
      </w:pPr>
      <w:bookmarkStart w:id="99" w:name="_Toc351203518"/>
      <w:r>
        <w:rPr>
          <w:rFonts w:ascii="Times New Roman" w:hAnsi="Times New Roman" w:eastAsia="黑体"/>
          <w:b w:val="0"/>
          <w:color w:val="000000"/>
          <w:sz w:val="32"/>
          <w:szCs w:val="32"/>
        </w:rPr>
        <w:t>3</w:t>
      </w:r>
      <w:bookmarkStart w:id="100" w:name="_Toc296503045"/>
      <w:bookmarkStart w:id="101" w:name="_Toc337558746"/>
      <w:bookmarkStart w:id="102" w:name="_Toc296346546"/>
      <w:r>
        <w:rPr>
          <w:rFonts w:ascii="Times New Roman" w:hAnsi="Times New Roman" w:eastAsia="黑体"/>
          <w:b w:val="0"/>
          <w:color w:val="000000"/>
          <w:sz w:val="32"/>
          <w:szCs w:val="32"/>
        </w:rPr>
        <w:t>. 承包人</w:t>
      </w:r>
      <w:bookmarkEnd w:id="99"/>
    </w:p>
    <w:bookmarkEnd w:id="100"/>
    <w:bookmarkEnd w:id="101"/>
    <w:bookmarkEnd w:id="102"/>
    <w:p>
      <w:pPr>
        <w:pStyle w:val="6"/>
        <w:spacing w:before="120" w:after="120" w:line="360" w:lineRule="auto"/>
        <w:ind w:firstLine="600" w:firstLineChars="200"/>
        <w:rPr>
          <w:rFonts w:ascii="Times New Roman" w:hAnsi="Times New Roman" w:eastAsia="黑体"/>
          <w:b w:val="0"/>
          <w:color w:val="000000"/>
          <w:sz w:val="30"/>
          <w:szCs w:val="32"/>
        </w:rPr>
      </w:pPr>
      <w:bookmarkStart w:id="103" w:name="_Toc351203519"/>
      <w:r>
        <w:rPr>
          <w:rFonts w:ascii="Times New Roman" w:hAnsi="Times New Roman" w:eastAsia="黑体"/>
          <w:b w:val="0"/>
          <w:color w:val="000000"/>
          <w:sz w:val="30"/>
          <w:szCs w:val="32"/>
        </w:rPr>
        <w:t>3</w:t>
      </w:r>
      <w:bookmarkStart w:id="104" w:name="_Toc296503046"/>
      <w:bookmarkStart w:id="105" w:name="_Toc337558747"/>
      <w:bookmarkStart w:id="106" w:name="_Toc296346547"/>
      <w:r>
        <w:rPr>
          <w:rFonts w:ascii="Times New Roman" w:hAnsi="Times New Roman" w:eastAsia="黑体"/>
          <w:b w:val="0"/>
          <w:color w:val="000000"/>
          <w:sz w:val="30"/>
          <w:szCs w:val="32"/>
        </w:rPr>
        <w:t>.1 承包人的一般义务</w:t>
      </w:r>
      <w:bookmarkEnd w:id="103"/>
    </w:p>
    <w:bookmarkEnd w:id="104"/>
    <w:bookmarkEnd w:id="105"/>
    <w:bookmarkEnd w:id="10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承包人在履行合同过程中应遵守法律和工程建设标准规范，并履行以下义务：</w:t>
      </w:r>
    </w:p>
    <w:p>
      <w:pPr>
        <w:numPr>
          <w:ilvl w:val="0"/>
          <w:numId w:val="7"/>
        </w:num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办理法律规定</w:t>
      </w:r>
      <w:r>
        <w:rPr>
          <w:rFonts w:hint="eastAsia" w:ascii="Times New Roman" w:hAnsi="Times New Roman" w:eastAsia="仿宋_GB2312"/>
          <w:color w:val="000000"/>
          <w:kern w:val="0"/>
          <w:sz w:val="30"/>
          <w:szCs w:val="32"/>
        </w:rPr>
        <w:t>应</w:t>
      </w:r>
      <w:r>
        <w:rPr>
          <w:rFonts w:ascii="Times New Roman" w:hAnsi="Times New Roman" w:eastAsia="仿宋_GB2312"/>
          <w:color w:val="000000"/>
          <w:kern w:val="0"/>
          <w:sz w:val="30"/>
          <w:szCs w:val="32"/>
        </w:rPr>
        <w:t>由承包人办理的许可和批准，并将</w:t>
      </w:r>
      <w:r>
        <w:rPr>
          <w:rFonts w:hint="eastAsia" w:ascii="Times New Roman" w:hAnsi="Times New Roman" w:eastAsia="仿宋_GB2312"/>
          <w:color w:val="000000"/>
          <w:kern w:val="0"/>
          <w:sz w:val="30"/>
          <w:szCs w:val="32"/>
        </w:rPr>
        <w:t>办理</w:t>
      </w:r>
      <w:r>
        <w:rPr>
          <w:rFonts w:ascii="Times New Roman" w:hAnsi="Times New Roman" w:eastAsia="仿宋_GB2312"/>
          <w:color w:val="000000"/>
          <w:kern w:val="0"/>
          <w:sz w:val="30"/>
          <w:szCs w:val="32"/>
        </w:rPr>
        <w:t>结果书面报送发包人留存；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（2）按法律规定和合同约定完成工程，并在保修期内承担保修义务；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（3）按法律规定和合同约定采取施工安全和环境保护措施，办理工伤保险，确保工程及人员、材料、设备和设施的安全；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（6）按照第6.3款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环境保护</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约定负责施工场地及其周边环境与生态的保护工作；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（7）按第6.1款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安全文明施工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约定采取施工安全措施，确保工程及其人员、材料、设备和设施的安全，防止因工程施工造成的人身伤害和财产损失；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w:t>
      </w:r>
      <w:r>
        <w:rPr>
          <w:rFonts w:hint="eastAsia" w:ascii="Times New Roman" w:hAnsi="Times New Roman" w:eastAsia="仿宋_GB2312"/>
          <w:color w:val="000000"/>
          <w:kern w:val="0"/>
          <w:sz w:val="30"/>
          <w:szCs w:val="32"/>
        </w:rPr>
        <w:t>将</w:t>
      </w:r>
      <w:r>
        <w:rPr>
          <w:rFonts w:ascii="Times New Roman" w:hAnsi="Times New Roman" w:eastAsia="仿宋_GB2312"/>
          <w:color w:val="000000"/>
          <w:kern w:val="0"/>
          <w:sz w:val="30"/>
          <w:szCs w:val="32"/>
        </w:rPr>
        <w:t>发包人按合同约定支付的各项价款专用于合同工程，且应及时支付其雇用人员工资，并及时向分包人支付合同价款；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（10）应履行的其他义务。</w:t>
      </w:r>
    </w:p>
    <w:p>
      <w:pPr>
        <w:pStyle w:val="6"/>
        <w:spacing w:before="120" w:after="120" w:line="360" w:lineRule="auto"/>
        <w:ind w:firstLine="600" w:firstLineChars="200"/>
        <w:rPr>
          <w:rFonts w:ascii="Times New Roman" w:hAnsi="Times New Roman" w:eastAsia="黑体"/>
          <w:b w:val="0"/>
          <w:color w:val="000000"/>
          <w:sz w:val="30"/>
          <w:szCs w:val="32"/>
        </w:rPr>
      </w:pPr>
      <w:bookmarkStart w:id="107" w:name="_Toc351203520"/>
      <w:r>
        <w:rPr>
          <w:rFonts w:ascii="Times New Roman" w:hAnsi="Times New Roman" w:eastAsia="黑体"/>
          <w:b w:val="0"/>
          <w:color w:val="000000"/>
          <w:sz w:val="30"/>
          <w:szCs w:val="32"/>
        </w:rPr>
        <w:t>3</w:t>
      </w:r>
      <w:bookmarkStart w:id="108" w:name="_Toc337558748"/>
      <w:bookmarkStart w:id="109" w:name="_Toc296346548"/>
      <w:bookmarkStart w:id="110" w:name="_Toc296503047"/>
      <w:r>
        <w:rPr>
          <w:rFonts w:ascii="Times New Roman" w:hAnsi="Times New Roman" w:eastAsia="黑体"/>
          <w:b w:val="0"/>
          <w:color w:val="000000"/>
          <w:sz w:val="30"/>
          <w:szCs w:val="32"/>
        </w:rPr>
        <w:t xml:space="preserve">.2 </w:t>
      </w:r>
      <w:bookmarkEnd w:id="107"/>
      <w:r>
        <w:rPr>
          <w:rFonts w:ascii="Times New Roman" w:hAnsi="Times New Roman" w:eastAsia="黑体"/>
          <w:b w:val="0"/>
          <w:color w:val="000000"/>
          <w:sz w:val="30"/>
          <w:szCs w:val="32"/>
        </w:rPr>
        <w:t>项目经理</w:t>
      </w:r>
    </w:p>
    <w:bookmarkEnd w:id="108"/>
    <w:bookmarkEnd w:id="109"/>
    <w:bookmarkEnd w:id="11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承包人违反上述约定的，应按照专用合同条款的约定，承担违约责任。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3.2.2 项目经理按合同约定组织工程实施。在紧急情况下</w:t>
      </w:r>
      <w:r>
        <w:rPr>
          <w:rFonts w:hint="eastAsia" w:ascii="Times New Roman" w:hAnsi="Times New Roman" w:eastAsia="仿宋_GB2312"/>
          <w:color w:val="000000"/>
          <w:kern w:val="0"/>
          <w:sz w:val="30"/>
          <w:szCs w:val="32"/>
        </w:rPr>
        <w:t>为确保施工安全和人员安全</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在</w:t>
      </w:r>
      <w:r>
        <w:rPr>
          <w:rFonts w:ascii="Times New Roman" w:hAnsi="Times New Roman" w:eastAsia="仿宋_GB2312"/>
          <w:color w:val="000000"/>
          <w:kern w:val="0"/>
          <w:sz w:val="30"/>
          <w:szCs w:val="32"/>
        </w:rPr>
        <w:t>无法与发包人代表和总监理工程师</w:t>
      </w:r>
      <w:r>
        <w:rPr>
          <w:rFonts w:hint="eastAsia" w:ascii="Times New Roman" w:hAnsi="Times New Roman" w:eastAsia="仿宋_GB2312"/>
          <w:color w:val="000000"/>
          <w:kern w:val="0"/>
          <w:sz w:val="30"/>
          <w:szCs w:val="32"/>
        </w:rPr>
        <w:t>及时</w:t>
      </w:r>
      <w:r>
        <w:rPr>
          <w:rFonts w:ascii="Times New Roman" w:hAnsi="Times New Roman" w:eastAsia="仿宋_GB2312"/>
          <w:color w:val="000000"/>
          <w:kern w:val="0"/>
          <w:sz w:val="30"/>
          <w:szCs w:val="32"/>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000000"/>
          <w:kern w:val="0"/>
          <w:sz w:val="30"/>
          <w:szCs w:val="32"/>
        </w:rPr>
        <w:t>继</w:t>
      </w:r>
      <w:r>
        <w:rPr>
          <w:rFonts w:ascii="Times New Roman" w:hAnsi="Times New Roman" w:eastAsia="仿宋_GB2312"/>
          <w:color w:val="000000"/>
          <w:kern w:val="0"/>
          <w:sz w:val="30"/>
          <w:szCs w:val="32"/>
        </w:rPr>
        <w:t>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line="360" w:lineRule="auto"/>
        <w:ind w:firstLine="600" w:firstLineChars="200"/>
        <w:rPr>
          <w:rFonts w:ascii="Times New Roman" w:hAnsi="Times New Roman" w:eastAsia="黑体"/>
          <w:b w:val="0"/>
          <w:color w:val="000000"/>
          <w:sz w:val="30"/>
          <w:szCs w:val="32"/>
        </w:rPr>
      </w:pPr>
      <w:bookmarkStart w:id="111" w:name="_Toc351203521"/>
      <w:r>
        <w:rPr>
          <w:rFonts w:ascii="Times New Roman" w:hAnsi="Times New Roman" w:eastAsia="黑体"/>
          <w:b w:val="0"/>
          <w:color w:val="000000"/>
          <w:sz w:val="30"/>
          <w:szCs w:val="32"/>
        </w:rPr>
        <w:t>3</w:t>
      </w:r>
      <w:bookmarkStart w:id="112" w:name="_Toc296346549"/>
      <w:bookmarkStart w:id="113" w:name="_Toc296503048"/>
      <w:bookmarkStart w:id="114" w:name="_Toc337558749"/>
      <w:r>
        <w:rPr>
          <w:rFonts w:ascii="Times New Roman" w:hAnsi="Times New Roman" w:eastAsia="黑体"/>
          <w:b w:val="0"/>
          <w:color w:val="000000"/>
          <w:sz w:val="30"/>
          <w:szCs w:val="32"/>
        </w:rPr>
        <w:t xml:space="preserve">.3 </w:t>
      </w:r>
      <w:bookmarkEnd w:id="112"/>
      <w:bookmarkEnd w:id="113"/>
      <w:r>
        <w:rPr>
          <w:rFonts w:ascii="Times New Roman" w:hAnsi="Times New Roman" w:eastAsia="黑体"/>
          <w:b w:val="0"/>
          <w:color w:val="000000"/>
          <w:sz w:val="30"/>
          <w:szCs w:val="32"/>
        </w:rPr>
        <w:t>承包人人员</w:t>
      </w:r>
      <w:bookmarkEnd w:id="111"/>
    </w:p>
    <w:bookmarkEnd w:id="11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000000"/>
          <w:kern w:val="0"/>
          <w:sz w:val="30"/>
          <w:szCs w:val="32"/>
        </w:rPr>
        <w:t>和</w:t>
      </w:r>
      <w:r>
        <w:rPr>
          <w:rFonts w:ascii="Times New Roman" w:hAnsi="Times New Roman" w:eastAsia="仿宋_GB2312"/>
          <w:color w:val="000000"/>
          <w:kern w:val="0"/>
          <w:sz w:val="30"/>
          <w:szCs w:val="32"/>
        </w:rPr>
        <w:t>缴纳社会保险的有效证明。</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3.3.2 承包人派驻到施工现场的主要施工管理人员应相对稳定。施工过程中</w:t>
      </w:r>
      <w:r>
        <w:rPr>
          <w:rFonts w:hint="eastAsia" w:ascii="Times New Roman" w:hAnsi="Times New Roman" w:eastAsia="仿宋_GB2312"/>
          <w:color w:val="000000"/>
          <w:kern w:val="0"/>
          <w:sz w:val="30"/>
          <w:szCs w:val="32"/>
        </w:rPr>
        <w:t>如有变动</w:t>
      </w:r>
      <w:r>
        <w:rPr>
          <w:rFonts w:ascii="Times New Roman" w:hAnsi="Times New Roman" w:eastAsia="仿宋_GB2312"/>
          <w:color w:val="000000"/>
          <w:kern w:val="0"/>
          <w:sz w:val="30"/>
          <w:szCs w:val="32"/>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特殊工种作业人员均应持有相应的资格证明，监理人可以随时检查。</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3.3.3 发包人对于承包人主要施工管理人员</w:t>
      </w:r>
      <w:r>
        <w:rPr>
          <w:rFonts w:hint="eastAsia" w:ascii="Times New Roman" w:hAnsi="Times New Roman" w:eastAsia="仿宋_GB2312"/>
          <w:color w:val="000000"/>
          <w:kern w:val="0"/>
          <w:sz w:val="30"/>
          <w:szCs w:val="32"/>
        </w:rPr>
        <w:t>的资格或能力</w:t>
      </w:r>
      <w:r>
        <w:rPr>
          <w:rFonts w:ascii="Times New Roman" w:hAnsi="Times New Roman" w:eastAsia="仿宋_GB2312"/>
          <w:color w:val="000000"/>
          <w:kern w:val="0"/>
          <w:sz w:val="30"/>
          <w:szCs w:val="3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3.3.5 承包人擅自更换主要施工管理人员，或前述人员未经监理人或发包人同意擅自离开施工现场的，应按照专用合同条款约定承担违约责任。</w:t>
      </w:r>
    </w:p>
    <w:p>
      <w:pPr>
        <w:pStyle w:val="6"/>
        <w:spacing w:before="120" w:after="120" w:line="360" w:lineRule="auto"/>
        <w:ind w:firstLine="600" w:firstLineChars="200"/>
        <w:rPr>
          <w:rFonts w:ascii="Times New Roman" w:hAnsi="Times New Roman" w:eastAsia="黑体"/>
          <w:b w:val="0"/>
          <w:color w:val="000000"/>
          <w:sz w:val="30"/>
          <w:szCs w:val="32"/>
        </w:rPr>
      </w:pPr>
      <w:bookmarkStart w:id="115" w:name="_Toc351203522"/>
      <w:r>
        <w:rPr>
          <w:rFonts w:ascii="Times New Roman" w:hAnsi="Times New Roman" w:eastAsia="黑体"/>
          <w:b w:val="0"/>
          <w:color w:val="000000"/>
          <w:sz w:val="30"/>
          <w:szCs w:val="32"/>
        </w:rPr>
        <w:t>3</w:t>
      </w:r>
      <w:bookmarkStart w:id="116" w:name="_Toc296346551"/>
      <w:bookmarkStart w:id="117" w:name="_Toc337558750"/>
      <w:bookmarkStart w:id="118" w:name="_Toc296503050"/>
      <w:r>
        <w:rPr>
          <w:rFonts w:ascii="Times New Roman" w:hAnsi="Times New Roman" w:eastAsia="黑体"/>
          <w:b w:val="0"/>
          <w:color w:val="000000"/>
          <w:sz w:val="30"/>
          <w:szCs w:val="32"/>
        </w:rPr>
        <w:t>.4 承包人现场查勘</w:t>
      </w:r>
      <w:bookmarkEnd w:id="115"/>
    </w:p>
    <w:bookmarkEnd w:id="116"/>
    <w:bookmarkEnd w:id="117"/>
    <w:bookmarkEnd w:id="118"/>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承包人应对基于发包人按照第2.4.3项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提供基础资料</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提交的基础资料所做出的解释和推断负责，但因基础资料存在错误、遗漏导致承包人解释或推断失实的，由发包人承担责任。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line="360" w:lineRule="auto"/>
        <w:ind w:firstLine="600" w:firstLineChars="200"/>
        <w:rPr>
          <w:rFonts w:hint="eastAsia" w:ascii="Times New Roman" w:hAnsi="Times New Roman" w:eastAsia="黑体"/>
          <w:b w:val="0"/>
          <w:color w:val="000000"/>
          <w:sz w:val="30"/>
          <w:szCs w:val="32"/>
        </w:rPr>
      </w:pPr>
      <w:bookmarkStart w:id="119" w:name="_Toc351203523"/>
      <w:r>
        <w:rPr>
          <w:rFonts w:ascii="Times New Roman" w:hAnsi="Times New Roman" w:eastAsia="黑体"/>
          <w:b w:val="0"/>
          <w:color w:val="000000"/>
          <w:sz w:val="30"/>
          <w:szCs w:val="32"/>
        </w:rPr>
        <w:t>3</w:t>
      </w:r>
      <w:bookmarkStart w:id="120" w:name="_Toc337558751"/>
      <w:bookmarkStart w:id="121" w:name="_Toc296503051"/>
      <w:bookmarkStart w:id="122" w:name="_Toc296346552"/>
      <w:r>
        <w:rPr>
          <w:rFonts w:ascii="Times New Roman" w:hAnsi="Times New Roman" w:eastAsia="黑体"/>
          <w:b w:val="0"/>
          <w:color w:val="000000"/>
          <w:sz w:val="30"/>
          <w:szCs w:val="32"/>
        </w:rPr>
        <w:t>.5 分包</w:t>
      </w:r>
      <w:bookmarkEnd w:id="119"/>
    </w:p>
    <w:bookmarkEnd w:id="120"/>
    <w:bookmarkEnd w:id="121"/>
    <w:bookmarkEnd w:id="122"/>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3.5.1 分包的一般约定</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承包人不得以劳务分包的名义转包或违法分包工程。</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3.5.2 分包的确定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承包人应按专用合同条款的约定进行分包，确定分包人。已标价工程量清单或预算书中给定暂估价的专业工程，按照第10.7款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暂估价</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3.5.3 分包管理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承包人应向监理人提交分包人的主要施工管理人员表，并对分包人的施工人员进行实名制管理，包括但不限于进出场管理、登记造册以及各种证照的办理。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3.5.4 分包合同价款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（1）除本项第（2）目约定的情况或专用合同条款另有约定外，分包合同价款由承包人与分包人结算，未经承包人同意，发包人不得向分包人支付分包工程价款；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（2）生效法律文书要求发包人向分包人支付分包合同价款的，发包人有权从应付承包人工程款中扣除该部分款项。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3.5.5 分包合同权益的转让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23" w:name="_Toc351203524"/>
    </w:p>
    <w:p>
      <w:pPr>
        <w:pStyle w:val="6"/>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3.6 工程照管与成品、半成品保护</w:t>
      </w:r>
      <w:bookmarkEnd w:id="123"/>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（1）除专用合同条款另有约定外，自发包人向承包人移交施工现场之日起，承包人应负责照管工程及工程相关的材料、工程设备，直到颁发工程接收证书之日止。</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）在承包人负责照管期间，因承包人原因造成工程、材料、工程设备损坏的，由承包人负责修复或更换，并承担由此增加的费用和（或）延误的工期。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line="360" w:lineRule="auto"/>
        <w:ind w:firstLine="600" w:firstLineChars="200"/>
        <w:rPr>
          <w:rFonts w:ascii="Times New Roman" w:hAnsi="Times New Roman" w:eastAsia="黑体"/>
          <w:b w:val="0"/>
          <w:color w:val="000000"/>
          <w:sz w:val="30"/>
          <w:szCs w:val="32"/>
        </w:rPr>
      </w:pPr>
      <w:bookmarkStart w:id="124" w:name="_Toc351203525"/>
      <w:r>
        <w:rPr>
          <w:rFonts w:ascii="Times New Roman" w:hAnsi="Times New Roman" w:eastAsia="黑体"/>
          <w:b w:val="0"/>
          <w:color w:val="000000"/>
          <w:sz w:val="30"/>
          <w:szCs w:val="32"/>
        </w:rPr>
        <w:t>3</w:t>
      </w:r>
      <w:bookmarkStart w:id="125" w:name="_Toc296346553"/>
      <w:bookmarkStart w:id="126" w:name="_Toc337558752"/>
      <w:bookmarkStart w:id="127" w:name="_Toc296503052"/>
      <w:r>
        <w:rPr>
          <w:rFonts w:ascii="Times New Roman" w:hAnsi="Times New Roman" w:eastAsia="黑体"/>
          <w:b w:val="0"/>
          <w:color w:val="000000"/>
          <w:sz w:val="30"/>
          <w:szCs w:val="32"/>
        </w:rPr>
        <w:t>.7 履约担保</w:t>
      </w:r>
      <w:bookmarkEnd w:id="124"/>
    </w:p>
    <w:bookmarkEnd w:id="125"/>
    <w:bookmarkEnd w:id="126"/>
    <w:bookmarkEnd w:id="127"/>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发包人需要承包人提供履约担保的，由合同当事人在专用合同条款中约定履约担保的方式、金额及期限等。</w:t>
      </w:r>
      <w:r>
        <w:rPr>
          <w:rFonts w:ascii="Times New Roman" w:hAnsi="Times New Roman" w:eastAsia="仿宋_GB2312"/>
          <w:color w:val="000000"/>
          <w:kern w:val="0"/>
          <w:sz w:val="30"/>
          <w:szCs w:val="32"/>
        </w:rPr>
        <w:t>履约担保可以采用银行保函或担保公司担保等形式，具体由合同当事人在专用合同条款中约定。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因承包人原因导致工期延长的，继续提供履约担保所增加的费用由承包人承担；非因承包人原因导致工期延长的，继续提供履约担保所增加的费用由发包人承担。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128" w:name="_Toc351203526"/>
      <w:r>
        <w:rPr>
          <w:rFonts w:ascii="Times New Roman" w:hAnsi="Times New Roman" w:eastAsia="黑体"/>
          <w:b w:val="0"/>
          <w:color w:val="000000"/>
          <w:sz w:val="30"/>
          <w:szCs w:val="32"/>
        </w:rPr>
        <w:t>3.8 联合体</w:t>
      </w:r>
      <w:bookmarkEnd w:id="128"/>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3.8.1 联合体各方应共同与发包人签订合同协议书。联合体各方应为履行合同</w:t>
      </w:r>
      <w:r>
        <w:rPr>
          <w:rFonts w:hint="eastAsia" w:ascii="Times New Roman" w:hAnsi="Times New Roman" w:eastAsia="仿宋_GB2312"/>
          <w:color w:val="000000"/>
          <w:kern w:val="0"/>
          <w:sz w:val="30"/>
          <w:szCs w:val="32"/>
        </w:rPr>
        <w:t>向发包人</w:t>
      </w:r>
      <w:r>
        <w:rPr>
          <w:rFonts w:ascii="Times New Roman" w:hAnsi="Times New Roman" w:eastAsia="仿宋_GB2312"/>
          <w:color w:val="000000"/>
          <w:kern w:val="0"/>
          <w:sz w:val="30"/>
          <w:szCs w:val="32"/>
        </w:rPr>
        <w:t>承担连带责任。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3.8.2 联合体协议经发包人确认后作为合同附件。在履行合同过程中，未经发包人同意，不得修改联合体协议。</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3.8.3 联合体牵头人负责与发包人和监理人联系，并接受指示，负责组织联合体各成员全面履行合同。</w:t>
      </w:r>
    </w:p>
    <w:p>
      <w:pPr>
        <w:pStyle w:val="5"/>
        <w:spacing w:before="120" w:after="120" w:line="360" w:lineRule="auto"/>
        <w:rPr>
          <w:rFonts w:ascii="Times New Roman" w:hAnsi="Times New Roman" w:eastAsia="黑体"/>
          <w:b w:val="0"/>
          <w:color w:val="000000"/>
          <w:sz w:val="32"/>
          <w:szCs w:val="32"/>
        </w:rPr>
      </w:pPr>
      <w:bookmarkStart w:id="129" w:name="_Toc351203527"/>
      <w:r>
        <w:rPr>
          <w:rFonts w:ascii="Times New Roman" w:hAnsi="Times New Roman" w:eastAsia="黑体"/>
          <w:b w:val="0"/>
          <w:color w:val="000000"/>
          <w:sz w:val="32"/>
          <w:szCs w:val="32"/>
        </w:rPr>
        <w:t>4</w:t>
      </w:r>
      <w:bookmarkStart w:id="130" w:name="_Toc296503053"/>
      <w:bookmarkStart w:id="131" w:name="_Toc296346554"/>
      <w:bookmarkStart w:id="132" w:name="_Toc337558753"/>
      <w:r>
        <w:rPr>
          <w:rFonts w:ascii="Times New Roman" w:hAnsi="Times New Roman" w:eastAsia="黑体"/>
          <w:b w:val="0"/>
          <w:color w:val="000000"/>
          <w:sz w:val="32"/>
          <w:szCs w:val="32"/>
        </w:rPr>
        <w:t>. 监</w:t>
      </w:r>
      <w:bookmarkEnd w:id="130"/>
      <w:bookmarkEnd w:id="131"/>
      <w:r>
        <w:rPr>
          <w:rFonts w:ascii="Times New Roman" w:hAnsi="Times New Roman" w:eastAsia="黑体"/>
          <w:b w:val="0"/>
          <w:color w:val="000000"/>
          <w:sz w:val="32"/>
          <w:szCs w:val="32"/>
        </w:rPr>
        <w:t>理人</w:t>
      </w:r>
      <w:bookmarkEnd w:id="129"/>
    </w:p>
    <w:bookmarkEnd w:id="132"/>
    <w:p>
      <w:pPr>
        <w:pStyle w:val="6"/>
        <w:spacing w:before="120" w:after="120" w:line="360" w:lineRule="auto"/>
        <w:ind w:firstLine="600" w:firstLineChars="200"/>
        <w:rPr>
          <w:rFonts w:ascii="Times New Roman" w:hAnsi="Times New Roman" w:eastAsia="黑体"/>
          <w:b w:val="0"/>
          <w:color w:val="000000"/>
          <w:sz w:val="30"/>
          <w:szCs w:val="32"/>
        </w:rPr>
      </w:pPr>
      <w:bookmarkStart w:id="133" w:name="_Toc351203528"/>
      <w:r>
        <w:rPr>
          <w:rFonts w:ascii="Times New Roman" w:hAnsi="Times New Roman" w:eastAsia="黑体"/>
          <w:b w:val="0"/>
          <w:color w:val="000000"/>
          <w:sz w:val="30"/>
          <w:szCs w:val="32"/>
        </w:rPr>
        <w:t>4</w:t>
      </w:r>
      <w:bookmarkStart w:id="134" w:name="_Toc296503054"/>
      <w:bookmarkStart w:id="135" w:name="_Toc337558754"/>
      <w:bookmarkStart w:id="136" w:name="_Toc296346555"/>
      <w:r>
        <w:rPr>
          <w:rFonts w:ascii="Times New Roman" w:hAnsi="Times New Roman" w:eastAsia="黑体"/>
          <w:b w:val="0"/>
          <w:color w:val="000000"/>
          <w:sz w:val="30"/>
          <w:szCs w:val="32"/>
        </w:rPr>
        <w:t>.1监理人的一般规定</w:t>
      </w:r>
      <w:bookmarkEnd w:id="133"/>
    </w:p>
    <w:bookmarkEnd w:id="134"/>
    <w:bookmarkEnd w:id="135"/>
    <w:bookmarkEnd w:id="13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除专用合同条款另有约定外，监理人在施工现场的办公场所、生活场所由承包人提供，所发生的费用由发包人承担。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137" w:name="_Toc351203529"/>
      <w:r>
        <w:rPr>
          <w:rFonts w:ascii="Times New Roman" w:hAnsi="Times New Roman" w:eastAsia="黑体"/>
          <w:b w:val="0"/>
          <w:color w:val="000000"/>
          <w:sz w:val="30"/>
          <w:szCs w:val="32"/>
        </w:rPr>
        <w:t>4</w:t>
      </w:r>
      <w:bookmarkStart w:id="138" w:name="_Toc337558755"/>
      <w:r>
        <w:rPr>
          <w:rFonts w:ascii="Times New Roman" w:hAnsi="Times New Roman" w:eastAsia="黑体"/>
          <w:b w:val="0"/>
          <w:color w:val="000000"/>
          <w:sz w:val="30"/>
          <w:szCs w:val="32"/>
        </w:rPr>
        <w:t>.2监理人员</w:t>
      </w:r>
      <w:bookmarkEnd w:id="137"/>
    </w:p>
    <w:bookmarkEnd w:id="13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before="120" w:after="120" w:line="360" w:lineRule="auto"/>
        <w:ind w:firstLine="600" w:firstLineChars="200"/>
        <w:rPr>
          <w:rFonts w:ascii="Times New Roman" w:hAnsi="Times New Roman" w:eastAsia="黑体"/>
          <w:b w:val="0"/>
          <w:color w:val="000000"/>
          <w:sz w:val="30"/>
          <w:szCs w:val="32"/>
        </w:rPr>
      </w:pPr>
      <w:bookmarkStart w:id="139" w:name="_Toc351203530"/>
      <w:r>
        <w:rPr>
          <w:rFonts w:ascii="Times New Roman" w:hAnsi="Times New Roman" w:eastAsia="黑体"/>
          <w:b w:val="0"/>
          <w:color w:val="000000"/>
          <w:sz w:val="30"/>
          <w:szCs w:val="32"/>
        </w:rPr>
        <w:t>4</w:t>
      </w:r>
      <w:bookmarkStart w:id="140" w:name="_Toc296503055"/>
      <w:bookmarkStart w:id="141" w:name="_Toc296346556"/>
      <w:bookmarkStart w:id="142" w:name="_Toc337558756"/>
      <w:r>
        <w:rPr>
          <w:rFonts w:ascii="Times New Roman" w:hAnsi="Times New Roman" w:eastAsia="黑体"/>
          <w:b w:val="0"/>
          <w:color w:val="000000"/>
          <w:sz w:val="30"/>
          <w:szCs w:val="32"/>
        </w:rPr>
        <w:t>.3</w:t>
      </w:r>
      <w:bookmarkEnd w:id="140"/>
      <w:bookmarkEnd w:id="141"/>
      <w:r>
        <w:rPr>
          <w:rFonts w:ascii="Times New Roman" w:hAnsi="Times New Roman" w:eastAsia="黑体"/>
          <w:b w:val="0"/>
          <w:color w:val="000000"/>
          <w:sz w:val="30"/>
          <w:szCs w:val="32"/>
        </w:rPr>
        <w:t>监理人的指</w:t>
      </w:r>
      <w:bookmarkEnd w:id="142"/>
      <w:r>
        <w:rPr>
          <w:rFonts w:ascii="Times New Roman" w:hAnsi="Times New Roman" w:eastAsia="黑体"/>
          <w:b w:val="0"/>
          <w:color w:val="000000"/>
          <w:sz w:val="30"/>
          <w:szCs w:val="32"/>
        </w:rPr>
        <w:t>示</w:t>
      </w:r>
      <w:bookmarkEnd w:id="139"/>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000000"/>
          <w:kern w:val="0"/>
          <w:sz w:val="30"/>
          <w:szCs w:val="32"/>
        </w:rPr>
        <w:t>相应</w:t>
      </w:r>
      <w:r>
        <w:rPr>
          <w:rFonts w:ascii="Times New Roman" w:hAnsi="Times New Roman" w:eastAsia="仿宋_GB2312"/>
          <w:color w:val="000000"/>
          <w:kern w:val="0"/>
          <w:sz w:val="30"/>
          <w:szCs w:val="32"/>
        </w:rPr>
        <w:t>责任。除专用合同条款另有约定外，总监理工程师不应将第4.4款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约定应由总监理工程师作出确定的权力授权或委托给其他监理人员。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监理人对承包人的任何工作、工程或其采用的材料和工程设备未在约定的或合理期限内提出意见的，视为批准，但不免除或减轻承包人对该工作、工程、材料、工程设备等应承担的责任和义务。</w:t>
      </w:r>
    </w:p>
    <w:p>
      <w:pPr>
        <w:pStyle w:val="5"/>
        <w:spacing w:before="120" w:after="120" w:line="360" w:lineRule="auto"/>
        <w:ind w:firstLine="600" w:firstLineChars="200"/>
        <w:rPr>
          <w:rFonts w:hint="eastAsia" w:ascii="Times New Roman" w:hAnsi="Times New Roman" w:eastAsia="黑体"/>
          <w:b w:val="0"/>
          <w:color w:val="000000"/>
          <w:sz w:val="32"/>
          <w:szCs w:val="32"/>
        </w:rPr>
      </w:pPr>
      <w:bookmarkStart w:id="143" w:name="_Toc351203531"/>
      <w:r>
        <w:rPr>
          <w:rFonts w:ascii="Times New Roman" w:hAnsi="Times New Roman" w:eastAsia="黑体"/>
          <w:b w:val="0"/>
          <w:color w:val="000000"/>
          <w:sz w:val="30"/>
          <w:szCs w:val="32"/>
        </w:rPr>
        <w:t>4</w:t>
      </w:r>
      <w:bookmarkStart w:id="144" w:name="_Toc337558757"/>
      <w:bookmarkStart w:id="145" w:name="_Toc296503057"/>
      <w:bookmarkStart w:id="146" w:name="_Toc296346558"/>
      <w:r>
        <w:rPr>
          <w:rFonts w:ascii="Times New Roman" w:hAnsi="Times New Roman" w:eastAsia="黑体"/>
          <w:b w:val="0"/>
          <w:color w:val="000000"/>
          <w:sz w:val="30"/>
          <w:szCs w:val="32"/>
        </w:rPr>
        <w:t>.4 商定或确定</w:t>
      </w:r>
      <w:bookmarkEnd w:id="143"/>
    </w:p>
    <w:bookmarkEnd w:id="144"/>
    <w:bookmarkEnd w:id="145"/>
    <w:bookmarkEnd w:id="14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w:t>
      </w:r>
      <w:r>
        <w:rPr>
          <w:rFonts w:hint="eastAsia" w:ascii="Times New Roman" w:hAnsi="Times New Roman" w:eastAsia="仿宋_GB2312"/>
          <w:color w:val="000000"/>
          <w:kern w:val="0"/>
          <w:sz w:val="30"/>
          <w:szCs w:val="32"/>
        </w:rPr>
        <w:t>当事人</w:t>
      </w:r>
      <w:r>
        <w:rPr>
          <w:rFonts w:ascii="Times New Roman" w:hAnsi="Times New Roman" w:eastAsia="仿宋_GB2312"/>
          <w:color w:val="000000"/>
          <w:kern w:val="0"/>
          <w:sz w:val="30"/>
          <w:szCs w:val="32"/>
        </w:rPr>
        <w:t>进行</w:t>
      </w:r>
      <w:r>
        <w:rPr>
          <w:rFonts w:hint="eastAsia" w:ascii="Times New Roman" w:hAnsi="Times New Roman" w:eastAsia="仿宋_GB2312"/>
          <w:color w:val="000000"/>
          <w:kern w:val="0"/>
          <w:sz w:val="30"/>
          <w:szCs w:val="32"/>
        </w:rPr>
        <w:t>商定</w:t>
      </w:r>
      <w:r>
        <w:rPr>
          <w:rFonts w:ascii="Times New Roman" w:hAnsi="Times New Roman" w:eastAsia="仿宋_GB2312"/>
          <w:color w:val="000000"/>
          <w:kern w:val="0"/>
          <w:sz w:val="30"/>
          <w:szCs w:val="32"/>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约定处理。争议解决前，合同当事人暂按总监理工程师的确定执行；争议解决后，争议解决的结果与总监理工程师的确定不一致的，按照争议解决的结果执行，由此造成的损失由责任人承担。</w:t>
      </w:r>
    </w:p>
    <w:p>
      <w:pPr>
        <w:pStyle w:val="5"/>
        <w:spacing w:before="120" w:after="120" w:line="360" w:lineRule="auto"/>
        <w:rPr>
          <w:rFonts w:ascii="Times New Roman" w:hAnsi="Times New Roman" w:eastAsia="黑体"/>
          <w:b w:val="0"/>
          <w:color w:val="000000"/>
          <w:sz w:val="30"/>
          <w:szCs w:val="32"/>
        </w:rPr>
      </w:pPr>
      <w:bookmarkStart w:id="147" w:name="_Toc351203532"/>
      <w:r>
        <w:rPr>
          <w:rFonts w:ascii="Times New Roman" w:hAnsi="Times New Roman" w:eastAsia="黑体"/>
          <w:b w:val="0"/>
          <w:color w:val="000000"/>
          <w:sz w:val="32"/>
          <w:szCs w:val="32"/>
        </w:rPr>
        <w:t>5</w:t>
      </w:r>
      <w:bookmarkStart w:id="148" w:name="_Toc337558758"/>
      <w:r>
        <w:rPr>
          <w:rFonts w:ascii="Times New Roman" w:hAnsi="Times New Roman" w:eastAsia="黑体"/>
          <w:b w:val="0"/>
          <w:color w:val="000000"/>
          <w:sz w:val="32"/>
          <w:szCs w:val="32"/>
        </w:rPr>
        <w:t>. 工程质量</w:t>
      </w:r>
      <w:bookmarkEnd w:id="147"/>
    </w:p>
    <w:bookmarkEnd w:id="148"/>
    <w:p>
      <w:pPr>
        <w:pStyle w:val="6"/>
        <w:spacing w:before="120" w:after="120" w:line="360" w:lineRule="auto"/>
        <w:ind w:firstLine="600" w:firstLineChars="200"/>
        <w:rPr>
          <w:rFonts w:ascii="Times New Roman" w:hAnsi="Times New Roman" w:eastAsia="黑体"/>
          <w:b w:val="0"/>
          <w:color w:val="000000"/>
          <w:sz w:val="30"/>
          <w:szCs w:val="32"/>
        </w:rPr>
      </w:pPr>
      <w:bookmarkStart w:id="149" w:name="_Toc351203533"/>
      <w:r>
        <w:rPr>
          <w:rFonts w:ascii="Times New Roman" w:hAnsi="Times New Roman" w:eastAsia="黑体"/>
          <w:b w:val="0"/>
          <w:color w:val="000000"/>
          <w:sz w:val="30"/>
          <w:szCs w:val="32"/>
        </w:rPr>
        <w:t>5</w:t>
      </w:r>
      <w:bookmarkStart w:id="150" w:name="_Toc337558759"/>
      <w:r>
        <w:rPr>
          <w:rFonts w:ascii="Times New Roman" w:hAnsi="Times New Roman" w:eastAsia="黑体"/>
          <w:b w:val="0"/>
          <w:color w:val="000000"/>
          <w:sz w:val="30"/>
          <w:szCs w:val="32"/>
        </w:rPr>
        <w:t>.1质量要求</w:t>
      </w:r>
      <w:bookmarkEnd w:id="149"/>
    </w:p>
    <w:bookmarkEnd w:id="15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5.1.3 因承包人原因造成工程质量未达到合同约定标准的，发包人有权要求承包人返工直至工程质量达到合同约定的标准为止，并由承包人承担由此增加的费用和（或）延误的工期。</w:t>
      </w:r>
    </w:p>
    <w:p>
      <w:pPr>
        <w:pStyle w:val="6"/>
        <w:spacing w:before="120" w:after="120" w:line="360" w:lineRule="auto"/>
        <w:ind w:firstLine="600" w:firstLineChars="200"/>
        <w:rPr>
          <w:rFonts w:ascii="Times New Roman" w:hAnsi="Times New Roman" w:eastAsia="黑体"/>
          <w:b w:val="0"/>
          <w:color w:val="000000"/>
          <w:sz w:val="30"/>
          <w:szCs w:val="32"/>
        </w:rPr>
      </w:pPr>
      <w:bookmarkStart w:id="151" w:name="_Toc351203534"/>
      <w:r>
        <w:rPr>
          <w:rFonts w:ascii="Times New Roman" w:hAnsi="Times New Roman" w:eastAsia="黑体"/>
          <w:b w:val="0"/>
          <w:color w:val="000000"/>
          <w:sz w:val="30"/>
          <w:szCs w:val="32"/>
        </w:rPr>
        <w:t>5</w:t>
      </w:r>
      <w:bookmarkStart w:id="152" w:name="_Toc337558760"/>
      <w:r>
        <w:rPr>
          <w:rFonts w:ascii="Times New Roman" w:hAnsi="Times New Roman" w:eastAsia="黑体"/>
          <w:b w:val="0"/>
          <w:color w:val="000000"/>
          <w:sz w:val="30"/>
          <w:szCs w:val="32"/>
        </w:rPr>
        <w:t>.2质量保证措施</w:t>
      </w:r>
      <w:bookmarkEnd w:id="151"/>
    </w:p>
    <w:bookmarkEnd w:id="152"/>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5.2.1 发包人的质量管理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发包人应按照法律规定及合同约定完成与工程质量有关的各项工作。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5.2.2 承包人的质量管理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承包人按照第7.1款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承包人应对施工人员进行质量教育和技术培训，定期考核施工人员的劳动技能，严格执行施工规范和操作规程。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5.2.3 监理人的质量检查和检验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153" w:name="_Toc351203535"/>
      <w:r>
        <w:rPr>
          <w:rFonts w:ascii="Times New Roman" w:hAnsi="Times New Roman" w:eastAsia="黑体"/>
          <w:b w:val="0"/>
          <w:color w:val="000000"/>
          <w:sz w:val="30"/>
          <w:szCs w:val="32"/>
        </w:rPr>
        <w:t>5</w:t>
      </w:r>
      <w:bookmarkStart w:id="154" w:name="_Toc337558761"/>
      <w:r>
        <w:rPr>
          <w:rFonts w:ascii="Times New Roman" w:hAnsi="Times New Roman" w:eastAsia="黑体"/>
          <w:b w:val="0"/>
          <w:color w:val="000000"/>
          <w:sz w:val="30"/>
          <w:szCs w:val="32"/>
        </w:rPr>
        <w:t>.3 隐蔽工程检查</w:t>
      </w:r>
      <w:bookmarkEnd w:id="153"/>
    </w:p>
    <w:bookmarkEnd w:id="15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5.3.1承包人自检</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承包人应当对工程隐蔽部位进行自检，并经自检确认是否具备覆盖条件。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5.3.2检查程序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除专用合同条款另有约定外，工程隐蔽部位经承包人自检确认具备覆盖条件的，承包人应在</w:t>
      </w:r>
      <w:r>
        <w:rPr>
          <w:rFonts w:hint="eastAsia" w:ascii="Times New Roman" w:hAnsi="Times New Roman" w:eastAsia="仿宋_GB2312"/>
          <w:color w:val="000000"/>
          <w:kern w:val="0"/>
          <w:sz w:val="30"/>
          <w:szCs w:val="32"/>
        </w:rPr>
        <w:t>共同</w:t>
      </w:r>
      <w:r>
        <w:rPr>
          <w:rFonts w:ascii="Times New Roman" w:hAnsi="Times New Roman" w:eastAsia="仿宋_GB2312"/>
          <w:color w:val="000000"/>
          <w:kern w:val="0"/>
          <w:sz w:val="30"/>
          <w:szCs w:val="32"/>
        </w:rPr>
        <w:t>检查前48小时书面通知监理人检查，通知中应载明隐蔽检查的内容、时间和地点，并应附有自检记录和必要的检查资料。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重新检查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的约定重新检查。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5.3.3 重新检查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5.3.4 承包人私自覆盖</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155" w:name="_Toc351203536"/>
      <w:r>
        <w:rPr>
          <w:rFonts w:ascii="Times New Roman" w:hAnsi="Times New Roman" w:eastAsia="黑体"/>
          <w:b w:val="0"/>
          <w:color w:val="000000"/>
          <w:sz w:val="30"/>
          <w:szCs w:val="32"/>
        </w:rPr>
        <w:t>5</w:t>
      </w:r>
      <w:bookmarkStart w:id="156" w:name="_Toc337558762"/>
      <w:r>
        <w:rPr>
          <w:rFonts w:ascii="Times New Roman" w:hAnsi="Times New Roman" w:eastAsia="黑体"/>
          <w:b w:val="0"/>
          <w:color w:val="000000"/>
          <w:sz w:val="30"/>
          <w:szCs w:val="32"/>
        </w:rPr>
        <w:t>.4不合格工程的处理</w:t>
      </w:r>
      <w:bookmarkEnd w:id="155"/>
    </w:p>
    <w:bookmarkEnd w:id="156"/>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拒绝接收全部或部分工程</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 xml:space="preserve">约定执行。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5.4.2 因发包人原因造成工程不合格的，由此增加的费用和（或）延误的工期由发包人承担，并支付承包人合理的利润。</w:t>
      </w:r>
    </w:p>
    <w:p>
      <w:pPr>
        <w:pStyle w:val="6"/>
        <w:spacing w:before="120" w:after="120" w:line="360" w:lineRule="auto"/>
        <w:ind w:firstLine="600" w:firstLineChars="200"/>
        <w:rPr>
          <w:rFonts w:ascii="Times New Roman" w:hAnsi="Times New Roman" w:eastAsia="黑体"/>
          <w:b w:val="0"/>
          <w:color w:val="000000"/>
          <w:sz w:val="30"/>
          <w:szCs w:val="32"/>
        </w:rPr>
      </w:pPr>
      <w:bookmarkStart w:id="157" w:name="_Toc351203537"/>
      <w:r>
        <w:rPr>
          <w:rFonts w:ascii="Times New Roman" w:hAnsi="Times New Roman" w:eastAsia="黑体"/>
          <w:b w:val="0"/>
          <w:color w:val="000000"/>
          <w:sz w:val="30"/>
          <w:szCs w:val="32"/>
        </w:rPr>
        <w:t>5.5 质量争议检测</w:t>
      </w:r>
      <w:bookmarkEnd w:id="157"/>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合同当事人均有责任的，由双方根据其责任分别承担。合同当事人无法达成一致的，按照第4.4款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pStyle w:val="5"/>
        <w:spacing w:before="120" w:after="120" w:line="360" w:lineRule="auto"/>
        <w:rPr>
          <w:rFonts w:ascii="Times New Roman" w:hAnsi="Times New Roman" w:eastAsia="黑体"/>
          <w:b w:val="0"/>
          <w:color w:val="000000"/>
          <w:sz w:val="32"/>
          <w:szCs w:val="32"/>
        </w:rPr>
      </w:pPr>
      <w:bookmarkStart w:id="158" w:name="_Toc351203538"/>
      <w:r>
        <w:rPr>
          <w:rFonts w:ascii="Times New Roman" w:hAnsi="Times New Roman" w:eastAsia="黑体"/>
          <w:b w:val="0"/>
          <w:color w:val="000000"/>
          <w:sz w:val="32"/>
          <w:szCs w:val="32"/>
        </w:rPr>
        <w:t>6</w:t>
      </w:r>
      <w:bookmarkStart w:id="159" w:name="_Toc337558763"/>
      <w:r>
        <w:rPr>
          <w:rFonts w:ascii="Times New Roman" w:hAnsi="Times New Roman" w:eastAsia="黑体"/>
          <w:b w:val="0"/>
          <w:color w:val="000000"/>
          <w:sz w:val="32"/>
          <w:szCs w:val="32"/>
        </w:rPr>
        <w:t>. 安全文明施工与环境保护</w:t>
      </w:r>
      <w:bookmarkEnd w:id="158"/>
    </w:p>
    <w:bookmarkEnd w:id="159"/>
    <w:p>
      <w:pPr>
        <w:pStyle w:val="6"/>
        <w:spacing w:before="120" w:after="120" w:line="360" w:lineRule="auto"/>
        <w:ind w:firstLine="600" w:firstLineChars="200"/>
        <w:rPr>
          <w:rFonts w:ascii="Times New Roman" w:hAnsi="Times New Roman" w:eastAsia="黑体"/>
          <w:b w:val="0"/>
          <w:color w:val="000000"/>
          <w:sz w:val="30"/>
          <w:szCs w:val="32"/>
        </w:rPr>
      </w:pPr>
      <w:bookmarkStart w:id="160" w:name="_Toc351203539"/>
      <w:r>
        <w:rPr>
          <w:rFonts w:ascii="Times New Roman" w:hAnsi="Times New Roman" w:eastAsia="黑体"/>
          <w:b w:val="0"/>
          <w:color w:val="000000"/>
          <w:sz w:val="30"/>
          <w:szCs w:val="32"/>
        </w:rPr>
        <w:t>6</w:t>
      </w:r>
      <w:bookmarkStart w:id="161" w:name="_Toc337558764"/>
      <w:r>
        <w:rPr>
          <w:rFonts w:ascii="Times New Roman" w:hAnsi="Times New Roman" w:eastAsia="黑体"/>
          <w:b w:val="0"/>
          <w:color w:val="000000"/>
          <w:sz w:val="30"/>
          <w:szCs w:val="32"/>
        </w:rPr>
        <w:t>.1安全文明施工</w:t>
      </w:r>
      <w:bookmarkEnd w:id="160"/>
    </w:p>
    <w:bookmarkEnd w:id="161"/>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6.1.1安全生产要求</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在施工过程中，如遇到突发的地质变动、事先未知的地下施工障碍等影响施工安全的紧急情况，</w:t>
      </w:r>
      <w:r>
        <w:rPr>
          <w:rFonts w:hint="eastAsia" w:ascii="Times New Roman" w:hAnsi="Times New Roman" w:eastAsia="仿宋_GB2312"/>
          <w:color w:val="000000"/>
          <w:sz w:val="30"/>
          <w:szCs w:val="32"/>
        </w:rPr>
        <w:t>承包人应及时报告监理人和发包人，</w:t>
      </w:r>
      <w:r>
        <w:rPr>
          <w:rFonts w:ascii="Times New Roman" w:hAnsi="Times New Roman" w:eastAsia="仿宋_GB2312"/>
          <w:color w:val="000000"/>
          <w:sz w:val="30"/>
          <w:szCs w:val="32"/>
        </w:rPr>
        <w:t>发包人应当及时下令停工并报</w:t>
      </w:r>
      <w:r>
        <w:rPr>
          <w:rFonts w:ascii="Times New Roman" w:hAnsi="Times New Roman" w:eastAsia="仿宋_GB2312"/>
          <w:color w:val="000000"/>
          <w:kern w:val="0"/>
          <w:sz w:val="30"/>
          <w:szCs w:val="32"/>
        </w:rPr>
        <w:t>政府有关行政管理部门</w:t>
      </w:r>
      <w:r>
        <w:rPr>
          <w:rFonts w:ascii="Times New Roman" w:hAnsi="Times New Roman" w:eastAsia="仿宋_GB2312"/>
          <w:color w:val="000000"/>
          <w:sz w:val="30"/>
          <w:szCs w:val="32"/>
        </w:rPr>
        <w:t>采取应急措施。</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因安全生产需要暂停施工的，按照第7.8款</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暂停施工</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的约定执行。</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6.1.2 安全生产保证措施</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rPr>
        <w:t>承包人应当按照有关</w:t>
      </w:r>
      <w:r>
        <w:rPr>
          <w:rFonts w:ascii="Times New Roman" w:hAnsi="Times New Roman" w:eastAsia="仿宋_GB2312"/>
          <w:color w:val="000000"/>
          <w:kern w:val="0"/>
          <w:sz w:val="30"/>
          <w:szCs w:val="32"/>
        </w:rPr>
        <w:t>规定编制安全技术措施或者专项施工方案，</w:t>
      </w:r>
      <w:r>
        <w:rPr>
          <w:rFonts w:ascii="Times New Roman" w:hAnsi="Times New Roman" w:eastAsia="仿宋_GB2312"/>
          <w:color w:val="000000"/>
          <w:sz w:val="30"/>
          <w:szCs w:val="32"/>
        </w:rPr>
        <w:t>建立安全生产责任制度、治安保卫制度及安全生产教育培训制度，并</w:t>
      </w:r>
      <w:r>
        <w:rPr>
          <w:rFonts w:ascii="Times New Roman" w:hAnsi="Times New Roman" w:eastAsia="仿宋_GB2312"/>
          <w:color w:val="000000"/>
          <w:kern w:val="0"/>
          <w:sz w:val="30"/>
          <w:szCs w:val="32"/>
        </w:rPr>
        <w:t>按安全生产法律规定及合同约定履行安全职责，</w:t>
      </w:r>
      <w:r>
        <w:rPr>
          <w:rFonts w:hint="eastAsia" w:ascii="Times New Roman" w:hAnsi="Times New Roman" w:eastAsia="仿宋_GB2312"/>
          <w:color w:val="000000"/>
          <w:kern w:val="0"/>
          <w:sz w:val="30"/>
          <w:szCs w:val="32"/>
        </w:rPr>
        <w:t>如实</w:t>
      </w:r>
      <w:r>
        <w:rPr>
          <w:rFonts w:ascii="Times New Roman" w:hAnsi="Times New Roman" w:eastAsia="仿宋_GB2312"/>
          <w:color w:val="000000"/>
          <w:sz w:val="30"/>
          <w:szCs w:val="32"/>
        </w:rPr>
        <w:t>编制工程安全生产的有关记录，</w:t>
      </w:r>
      <w:r>
        <w:rPr>
          <w:rFonts w:ascii="Times New Roman" w:hAnsi="Times New Roman" w:eastAsia="仿宋_GB2312"/>
          <w:color w:val="000000"/>
          <w:kern w:val="0"/>
          <w:sz w:val="30"/>
          <w:szCs w:val="32"/>
        </w:rPr>
        <w:t>接受发包人、监理人及政府安全监督部门的检查与监督。</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6.1.3特别安全生产事项</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需单独编制危险性较大分部分项专项工程施工方案的，及要求进行专家论证的超过一定规模的危险性较大的分部分项工程，承包人应及时编制和组织论证。</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6.1.4 治安保卫</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除专用合同条款另有约定外，发包人应与当地公安部门协商，在现场建立治安管理机构或联防组织，统一管理施工场地的治安保卫事项，履行合同工程的治安保卫职责。</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发包人和承包人除应协助现场治安管理机构或联防组织维护施工场地的社会治安外，还应做好包括生活区在内的各自管辖区的治安保卫工作。</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000000"/>
          <w:sz w:val="30"/>
          <w:szCs w:val="32"/>
        </w:rPr>
        <w:t>和</w:t>
      </w:r>
      <w:r>
        <w:rPr>
          <w:rFonts w:ascii="Times New Roman" w:hAnsi="Times New Roman" w:eastAsia="仿宋_GB2312"/>
          <w:color w:val="000000"/>
          <w:sz w:val="30"/>
          <w:szCs w:val="32"/>
        </w:rPr>
        <w:t>财产损失。</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sz w:val="30"/>
          <w:szCs w:val="32"/>
        </w:rPr>
        <w:t>6.1.5 文明施工</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000000"/>
          <w:kern w:val="0"/>
          <w:sz w:val="30"/>
          <w:szCs w:val="32"/>
        </w:rPr>
        <w:t>合同当事人对文明施工有其他要求的，可以在专用合同条款中明确。</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6.1.6 安全文明施工费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6.1.7 紧急情况</w:t>
      </w:r>
      <w:r>
        <w:rPr>
          <w:rFonts w:hint="eastAsia" w:ascii="Times New Roman" w:hAnsi="Times New Roman" w:eastAsia="仿宋_GB2312"/>
          <w:color w:val="000000"/>
          <w:kern w:val="0"/>
          <w:sz w:val="30"/>
          <w:szCs w:val="32"/>
        </w:rPr>
        <w:t>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6.1.8 事故处理</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6.1.9 安全生产责任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6.1.9.1 发包人的安全责任</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发包人应负责赔偿以下各种情况造成</w:t>
      </w:r>
      <w:r>
        <w:rPr>
          <w:rFonts w:hint="eastAsia" w:ascii="Times New Roman" w:hAnsi="Times New Roman" w:eastAsia="仿宋_GB2312"/>
          <w:color w:val="000000"/>
          <w:sz w:val="30"/>
          <w:szCs w:val="32"/>
        </w:rPr>
        <w:t>的</w:t>
      </w:r>
      <w:r>
        <w:rPr>
          <w:rFonts w:ascii="Times New Roman" w:hAnsi="Times New Roman" w:eastAsia="仿宋_GB2312"/>
          <w:color w:val="000000"/>
          <w:sz w:val="30"/>
          <w:szCs w:val="32"/>
        </w:rPr>
        <w:t>损失：</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（1）工程或工程的任何部分对土地的占用所造成的第三者财产损失；</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（2）由于发包人原因在施工场地及其毗邻地带造成的第三者人身伤亡和财产损失</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（3）由于发包人原因对承包人、监理人造成的人员人身伤亡和财产损失；</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rPr>
        <w:t>（4）由于发包人原因造成的发包人自身人员的人身伤害以及财产损失。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6.1.9.2 承包人的安全责任</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sz w:val="30"/>
          <w:szCs w:val="32"/>
        </w:rPr>
        <w:t>由于承包人原因在施工场地内及其毗邻地带造成的</w:t>
      </w:r>
      <w:r>
        <w:rPr>
          <w:rFonts w:hint="eastAsia" w:ascii="Times New Roman" w:hAnsi="Times New Roman" w:eastAsia="仿宋_GB2312"/>
          <w:color w:val="000000"/>
          <w:sz w:val="30"/>
          <w:szCs w:val="32"/>
        </w:rPr>
        <w:t>发包人、监理人以及</w:t>
      </w:r>
      <w:r>
        <w:rPr>
          <w:rFonts w:ascii="Times New Roman" w:hAnsi="Times New Roman" w:eastAsia="仿宋_GB2312"/>
          <w:color w:val="000000"/>
          <w:sz w:val="30"/>
          <w:szCs w:val="32"/>
        </w:rPr>
        <w:t>第三者人员伤亡和财产损失，由承包人负责赔偿。</w:t>
      </w:r>
    </w:p>
    <w:p>
      <w:pPr>
        <w:pStyle w:val="6"/>
        <w:spacing w:before="120" w:after="120" w:line="360" w:lineRule="auto"/>
        <w:ind w:firstLine="600" w:firstLineChars="200"/>
        <w:rPr>
          <w:rFonts w:ascii="Times New Roman" w:hAnsi="Times New Roman" w:eastAsia="黑体"/>
          <w:b w:val="0"/>
          <w:color w:val="000000"/>
          <w:sz w:val="30"/>
          <w:szCs w:val="32"/>
        </w:rPr>
      </w:pPr>
      <w:bookmarkStart w:id="162" w:name="_Toc351203540"/>
      <w:r>
        <w:rPr>
          <w:rFonts w:ascii="Times New Roman" w:hAnsi="Times New Roman" w:eastAsia="黑体"/>
          <w:b w:val="0"/>
          <w:color w:val="000000"/>
          <w:sz w:val="30"/>
          <w:szCs w:val="32"/>
        </w:rPr>
        <w:t>6</w:t>
      </w:r>
      <w:bookmarkStart w:id="163" w:name="_Toc337558765"/>
      <w:r>
        <w:rPr>
          <w:rFonts w:ascii="Times New Roman" w:hAnsi="Times New Roman" w:eastAsia="黑体"/>
          <w:b w:val="0"/>
          <w:color w:val="000000"/>
          <w:sz w:val="30"/>
          <w:szCs w:val="32"/>
        </w:rPr>
        <w:t>.2 职业健康</w:t>
      </w:r>
      <w:bookmarkEnd w:id="162"/>
    </w:p>
    <w:bookmarkEnd w:id="16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6.2.1 劳动保护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w:t>
      </w:r>
      <w:r>
        <w:rPr>
          <w:rFonts w:hint="eastAsia" w:ascii="Times New Roman" w:hAnsi="Times New Roman" w:eastAsia="仿宋_GB2312"/>
          <w:color w:val="000000"/>
          <w:kern w:val="0"/>
          <w:sz w:val="30"/>
          <w:szCs w:val="32"/>
        </w:rPr>
        <w:t>法律</w:t>
      </w:r>
      <w:r>
        <w:rPr>
          <w:rFonts w:ascii="Times New Roman" w:hAnsi="Times New Roman" w:eastAsia="仿宋_GB2312"/>
          <w:color w:val="000000"/>
          <w:kern w:val="0"/>
          <w:sz w:val="30"/>
          <w:szCs w:val="32"/>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6.2.2 生活条件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before="120" w:after="120" w:line="360" w:lineRule="auto"/>
        <w:ind w:firstLine="600" w:firstLineChars="200"/>
        <w:rPr>
          <w:rFonts w:ascii="Times New Roman" w:hAnsi="Times New Roman" w:eastAsia="黑体"/>
          <w:b w:val="0"/>
          <w:color w:val="000000"/>
          <w:sz w:val="30"/>
          <w:szCs w:val="32"/>
        </w:rPr>
      </w:pPr>
      <w:bookmarkStart w:id="164" w:name="_Toc351203541"/>
      <w:r>
        <w:rPr>
          <w:rFonts w:ascii="Times New Roman" w:hAnsi="Times New Roman" w:eastAsia="黑体"/>
          <w:b w:val="0"/>
          <w:color w:val="000000"/>
          <w:sz w:val="30"/>
          <w:szCs w:val="32"/>
        </w:rPr>
        <w:t>6</w:t>
      </w:r>
      <w:bookmarkStart w:id="165" w:name="_Toc337558766"/>
      <w:r>
        <w:rPr>
          <w:rFonts w:ascii="Times New Roman" w:hAnsi="Times New Roman" w:eastAsia="黑体"/>
          <w:b w:val="0"/>
          <w:color w:val="000000"/>
          <w:sz w:val="30"/>
          <w:szCs w:val="32"/>
        </w:rPr>
        <w:t>.3 环境保护</w:t>
      </w:r>
      <w:bookmarkEnd w:id="164"/>
    </w:p>
    <w:bookmarkEnd w:id="16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承包人应当承担因其原因引起的环境污染侵权损害赔偿责任，因上述环境污染引起纠纷而导致暂停施工的，由此增加的费用和（或）延误的工期由承包人承担。</w:t>
      </w:r>
    </w:p>
    <w:p>
      <w:pPr>
        <w:pStyle w:val="5"/>
        <w:spacing w:before="120" w:after="120" w:line="360" w:lineRule="auto"/>
        <w:rPr>
          <w:rFonts w:ascii="Times New Roman" w:hAnsi="Times New Roman" w:eastAsia="黑体"/>
          <w:b w:val="0"/>
          <w:color w:val="000000"/>
          <w:sz w:val="32"/>
          <w:szCs w:val="32"/>
        </w:rPr>
      </w:pPr>
      <w:bookmarkStart w:id="166" w:name="_Toc351203542"/>
      <w:r>
        <w:rPr>
          <w:rFonts w:ascii="Times New Roman" w:hAnsi="Times New Roman" w:eastAsia="黑体"/>
          <w:b w:val="0"/>
          <w:color w:val="000000"/>
          <w:sz w:val="32"/>
          <w:szCs w:val="32"/>
        </w:rPr>
        <w:t>7</w:t>
      </w:r>
      <w:bookmarkStart w:id="167" w:name="_Toc337558767"/>
      <w:r>
        <w:rPr>
          <w:rFonts w:ascii="Times New Roman" w:hAnsi="Times New Roman" w:eastAsia="黑体"/>
          <w:b w:val="0"/>
          <w:color w:val="000000"/>
          <w:sz w:val="32"/>
          <w:szCs w:val="32"/>
        </w:rPr>
        <w:t>. 工期和进度</w:t>
      </w:r>
      <w:bookmarkEnd w:id="166"/>
    </w:p>
    <w:bookmarkEnd w:id="167"/>
    <w:p>
      <w:pPr>
        <w:pStyle w:val="6"/>
        <w:spacing w:before="120" w:after="120" w:line="360" w:lineRule="auto"/>
        <w:ind w:firstLine="600" w:firstLineChars="200"/>
        <w:rPr>
          <w:rFonts w:ascii="Times New Roman" w:hAnsi="Times New Roman" w:eastAsia="黑体"/>
          <w:b w:val="0"/>
          <w:color w:val="000000"/>
          <w:sz w:val="30"/>
          <w:szCs w:val="32"/>
        </w:rPr>
      </w:pPr>
      <w:bookmarkStart w:id="168" w:name="_Toc351203543"/>
      <w:r>
        <w:rPr>
          <w:rFonts w:ascii="Times New Roman" w:hAnsi="Times New Roman" w:eastAsia="黑体"/>
          <w:b w:val="0"/>
          <w:color w:val="000000"/>
          <w:sz w:val="30"/>
          <w:szCs w:val="32"/>
        </w:rPr>
        <w:t>7</w:t>
      </w:r>
      <w:bookmarkStart w:id="169" w:name="_Toc337558768"/>
      <w:bookmarkStart w:id="170" w:name="_Toc296503066"/>
      <w:bookmarkStart w:id="171" w:name="_Toc296346567"/>
      <w:r>
        <w:rPr>
          <w:rFonts w:ascii="Times New Roman" w:hAnsi="Times New Roman" w:eastAsia="黑体"/>
          <w:b w:val="0"/>
          <w:color w:val="000000"/>
          <w:sz w:val="30"/>
          <w:szCs w:val="32"/>
        </w:rPr>
        <w:t>.1施工组织设计</w:t>
      </w:r>
      <w:bookmarkEnd w:id="168"/>
    </w:p>
    <w:bookmarkEnd w:id="16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sz w:val="30"/>
          <w:szCs w:val="32"/>
        </w:rPr>
        <w:t>7.1.1</w:t>
      </w:r>
      <w:r>
        <w:rPr>
          <w:rFonts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施工组织设计的内容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施工组织设计应包含以下内容：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（1）施工方案；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（2）施工现场平面布置图；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（3）施工进度计划和保证措施；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（4）劳动力及材料供应计划；</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（5）施工机械设备的选用；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（6）质量保证体系及措施；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（7）安全生产、文明施工措施；</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（8）环境保护、成本控制措施</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（9）合同当事人约定的其他内容</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sz w:val="30"/>
          <w:szCs w:val="32"/>
        </w:rPr>
        <w:t>7.1.2</w:t>
      </w:r>
      <w:r>
        <w:rPr>
          <w:rFonts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施工组织设计的提交和修改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除专用合同条款另有约定外，承包人应在合同签订后14天内，但至迟不得晚于第7.3.2项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开工通知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载明的开工日期前7天，向监理人提交详细的施工组织设计，并由监理人报送发包人。</w:t>
      </w:r>
      <w:r>
        <w:rPr>
          <w:rFonts w:hint="eastAsia" w:ascii="Times New Roman" w:hAnsi="Times New Roman" w:eastAsia="仿宋_GB2312"/>
          <w:color w:val="000000"/>
          <w:kern w:val="0"/>
          <w:sz w:val="30"/>
          <w:szCs w:val="32"/>
        </w:rPr>
        <w:t>除专用合同条款另有约定外，发包人和监理人应在监理人收到施工组织设计后7天内确认或提出修改意见</w:t>
      </w:r>
      <w:r>
        <w:rPr>
          <w:rFonts w:ascii="Times New Roman" w:hAnsi="Times New Roman" w:eastAsia="仿宋_GB2312"/>
          <w:color w:val="000000"/>
          <w:kern w:val="0"/>
          <w:sz w:val="30"/>
          <w:szCs w:val="32"/>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施工进度计划的编制和修改按照第7.2款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施工进度计划</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pStyle w:val="6"/>
        <w:spacing w:before="120" w:after="120" w:line="360" w:lineRule="auto"/>
        <w:ind w:firstLine="600" w:firstLineChars="200"/>
        <w:rPr>
          <w:rFonts w:ascii="Times New Roman" w:hAnsi="Times New Roman" w:eastAsia="黑体"/>
          <w:b w:val="0"/>
          <w:color w:val="000000"/>
          <w:sz w:val="30"/>
          <w:szCs w:val="32"/>
        </w:rPr>
      </w:pPr>
      <w:bookmarkStart w:id="172" w:name="_Toc351203544"/>
      <w:r>
        <w:rPr>
          <w:rFonts w:ascii="Times New Roman" w:hAnsi="Times New Roman" w:eastAsia="黑体"/>
          <w:b w:val="0"/>
          <w:color w:val="000000"/>
          <w:sz w:val="30"/>
          <w:szCs w:val="32"/>
        </w:rPr>
        <w:t>7</w:t>
      </w:r>
      <w:bookmarkStart w:id="173" w:name="_Toc337558769"/>
      <w:r>
        <w:rPr>
          <w:rFonts w:ascii="Times New Roman" w:hAnsi="Times New Roman" w:eastAsia="黑体"/>
          <w:b w:val="0"/>
          <w:color w:val="000000"/>
          <w:sz w:val="30"/>
          <w:szCs w:val="32"/>
        </w:rPr>
        <w:t>.2 施工进度计划</w:t>
      </w:r>
      <w:bookmarkEnd w:id="172"/>
    </w:p>
    <w:bookmarkEnd w:id="17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7.2.1 施工进度计划的编制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承包人应按照第7.1款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7.2.2 施工进度计划的修订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line="360" w:lineRule="auto"/>
        <w:ind w:firstLine="600" w:firstLineChars="200"/>
        <w:rPr>
          <w:rFonts w:ascii="Times New Roman" w:hAnsi="Times New Roman" w:eastAsia="黑体"/>
          <w:b w:val="0"/>
          <w:color w:val="000000"/>
          <w:sz w:val="30"/>
          <w:szCs w:val="32"/>
        </w:rPr>
      </w:pPr>
      <w:bookmarkStart w:id="174" w:name="_Toc351203545"/>
      <w:r>
        <w:rPr>
          <w:rFonts w:ascii="Times New Roman" w:hAnsi="Times New Roman" w:eastAsia="黑体"/>
          <w:b w:val="0"/>
          <w:color w:val="000000"/>
          <w:sz w:val="30"/>
          <w:szCs w:val="32"/>
        </w:rPr>
        <w:t>7</w:t>
      </w:r>
      <w:bookmarkStart w:id="175" w:name="_Toc337558770"/>
      <w:r>
        <w:rPr>
          <w:rFonts w:ascii="Times New Roman" w:hAnsi="Times New Roman" w:eastAsia="黑体"/>
          <w:b w:val="0"/>
          <w:color w:val="000000"/>
          <w:sz w:val="30"/>
          <w:szCs w:val="32"/>
        </w:rPr>
        <w:t>.3 开工</w:t>
      </w:r>
      <w:bookmarkEnd w:id="174"/>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7.3.1 开工准备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除专用合同条款另有约定外，承包人应按照第7.1款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除专用合同条款另有约定外，合同当事人应按约定完成开工准备工作。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7.3.2 开工通知</w:t>
      </w:r>
    </w:p>
    <w:bookmarkEnd w:id="17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line="360" w:lineRule="auto"/>
        <w:ind w:firstLine="600" w:firstLineChars="200"/>
        <w:rPr>
          <w:rFonts w:ascii="Times New Roman" w:hAnsi="Times New Roman" w:eastAsia="黑体"/>
          <w:b w:val="0"/>
          <w:color w:val="000000"/>
          <w:sz w:val="30"/>
          <w:szCs w:val="32"/>
        </w:rPr>
      </w:pPr>
      <w:bookmarkStart w:id="176" w:name="_Toc351203546"/>
      <w:r>
        <w:rPr>
          <w:rFonts w:ascii="Times New Roman" w:hAnsi="Times New Roman" w:eastAsia="黑体"/>
          <w:b w:val="0"/>
          <w:color w:val="000000"/>
          <w:sz w:val="30"/>
          <w:szCs w:val="32"/>
        </w:rPr>
        <w:t>7.4测量放线</w:t>
      </w:r>
      <w:bookmarkEnd w:id="176"/>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7.4.1 除专用合同条款另有约定外，发包人应在至迟不得晚于第7.3.2项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开工通知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施工过程中对施工现场内水准点等测量标志物的保护工作由承包人负责。</w:t>
      </w:r>
      <w:bookmarkStart w:id="177" w:name="_Toc351203547"/>
    </w:p>
    <w:p>
      <w:pPr>
        <w:pStyle w:val="6"/>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7</w:t>
      </w:r>
      <w:bookmarkEnd w:id="170"/>
      <w:bookmarkEnd w:id="171"/>
      <w:bookmarkStart w:id="178" w:name="_Toc296503073"/>
      <w:bookmarkStart w:id="179" w:name="_Toc337558772"/>
      <w:bookmarkStart w:id="180" w:name="_Toc296346574"/>
      <w:r>
        <w:rPr>
          <w:rFonts w:ascii="Times New Roman" w:hAnsi="Times New Roman" w:eastAsia="黑体"/>
          <w:b w:val="0"/>
          <w:color w:val="000000"/>
          <w:sz w:val="30"/>
          <w:szCs w:val="32"/>
        </w:rPr>
        <w:t>.5</w:t>
      </w:r>
      <w:r>
        <w:rPr>
          <w:rFonts w:hint="eastAsia" w:ascii="Times New Roman" w:hAnsi="Times New Roman" w:eastAsia="黑体"/>
          <w:b w:val="0"/>
          <w:color w:val="000000"/>
          <w:sz w:val="30"/>
          <w:szCs w:val="32"/>
        </w:rPr>
        <w:t xml:space="preserve"> </w:t>
      </w:r>
      <w:r>
        <w:rPr>
          <w:rFonts w:ascii="Times New Roman" w:hAnsi="Times New Roman" w:eastAsia="黑体"/>
          <w:b w:val="0"/>
          <w:color w:val="000000"/>
          <w:sz w:val="30"/>
          <w:szCs w:val="32"/>
        </w:rPr>
        <w:t>工期延误</w:t>
      </w:r>
      <w:bookmarkEnd w:id="177"/>
    </w:p>
    <w:bookmarkEnd w:id="178"/>
    <w:bookmarkEnd w:id="179"/>
    <w:bookmarkEnd w:id="180"/>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7.5.1 因发包人原因导致工期延误</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在合同履行过程中，因下列情况导致工期延误和（或）费用增加的，由发包人承担由此延误的工期和（或）增加的费用，且发包人应支付承包人合理的利润：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（1）发包人未能按合同约定提供图纸或所提供图纸不符合合同约定的；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（2）发包人未能按合同约定提供施工现场、施工条件、基础资料、许可、批准等开工条件的；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（3）发包人提供的测量基准点、基准线和水准点及其书面资料存在错误或疏漏的；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（4）发包人未能在计划开工日期之日起7天内同意下达开工通知的；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（5）发包人未能按合同约定日期支付工程预付款、进度款或竣工结算款的；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（6）监理人未按合同约定发出指示、批准等文件的；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（7）专用合同条款中约定的其他情形。</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施工进度计划的修订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7.5.2 因承包人原因导致工期延误</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bookmarkStart w:id="181" w:name="_Toc296346577"/>
      <w:bookmarkStart w:id="182" w:name="_Toc296503076"/>
      <w:r>
        <w:rPr>
          <w:rFonts w:ascii="Times New Roman" w:hAnsi="Times New Roman" w:eastAsia="仿宋_GB2312"/>
          <w:color w:val="000000"/>
          <w:kern w:val="0"/>
          <w:sz w:val="30"/>
          <w:szCs w:val="32"/>
        </w:rPr>
        <w:t>因</w:t>
      </w:r>
      <w:bookmarkEnd w:id="181"/>
      <w:bookmarkEnd w:id="182"/>
      <w:r>
        <w:rPr>
          <w:rFonts w:ascii="Times New Roman" w:hAnsi="Times New Roman" w:eastAsia="仿宋_GB2312"/>
          <w:color w:val="000000"/>
          <w:kern w:val="0"/>
          <w:sz w:val="30"/>
          <w:szCs w:val="32"/>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line="360" w:lineRule="auto"/>
        <w:ind w:firstLine="600" w:firstLineChars="200"/>
        <w:rPr>
          <w:rFonts w:ascii="Times New Roman" w:hAnsi="Times New Roman" w:eastAsia="黑体"/>
          <w:b w:val="0"/>
          <w:color w:val="000000"/>
          <w:sz w:val="30"/>
          <w:szCs w:val="32"/>
        </w:rPr>
      </w:pPr>
      <w:bookmarkStart w:id="183" w:name="_Toc351203548"/>
      <w:r>
        <w:rPr>
          <w:rFonts w:ascii="Times New Roman" w:hAnsi="Times New Roman" w:eastAsia="黑体"/>
          <w:b w:val="0"/>
          <w:color w:val="000000"/>
          <w:sz w:val="30"/>
          <w:szCs w:val="32"/>
        </w:rPr>
        <w:t>7</w:t>
      </w:r>
      <w:bookmarkStart w:id="184" w:name="_Toc296503074"/>
      <w:bookmarkStart w:id="185" w:name="_Toc296346575"/>
      <w:bookmarkStart w:id="186" w:name="_Toc337558773"/>
      <w:bookmarkStart w:id="187" w:name="_Toc296503077"/>
      <w:bookmarkStart w:id="188" w:name="_Toc296346578"/>
      <w:r>
        <w:rPr>
          <w:rFonts w:ascii="Times New Roman" w:hAnsi="Times New Roman" w:eastAsia="黑体"/>
          <w:b w:val="0"/>
          <w:color w:val="000000"/>
          <w:sz w:val="30"/>
          <w:szCs w:val="32"/>
        </w:rPr>
        <w:t>.6 不利物质条件</w:t>
      </w:r>
      <w:bookmarkEnd w:id="183"/>
    </w:p>
    <w:bookmarkEnd w:id="184"/>
    <w:bookmarkEnd w:id="185"/>
    <w:bookmarkEnd w:id="18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约定执行。承包人因采取合理措施而增加的费用和（或）延误的工期由发包人承担。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189" w:name="_Toc351203549"/>
      <w:r>
        <w:rPr>
          <w:rFonts w:ascii="Times New Roman" w:hAnsi="Times New Roman" w:eastAsia="黑体"/>
          <w:b w:val="0"/>
          <w:color w:val="000000"/>
          <w:sz w:val="30"/>
          <w:szCs w:val="32"/>
        </w:rPr>
        <w:t>7</w:t>
      </w:r>
      <w:bookmarkStart w:id="190" w:name="_Toc296346576"/>
      <w:bookmarkStart w:id="191" w:name="_Toc337558774"/>
      <w:bookmarkStart w:id="192" w:name="_Toc296503075"/>
      <w:r>
        <w:rPr>
          <w:rFonts w:ascii="Times New Roman" w:hAnsi="Times New Roman" w:eastAsia="黑体"/>
          <w:b w:val="0"/>
          <w:color w:val="000000"/>
          <w:sz w:val="30"/>
          <w:szCs w:val="32"/>
        </w:rPr>
        <w:t>.7</w:t>
      </w:r>
      <w:r>
        <w:rPr>
          <w:rFonts w:hint="eastAsia" w:ascii="Times New Roman" w:hAnsi="Times New Roman" w:eastAsia="黑体"/>
          <w:b w:val="0"/>
          <w:color w:val="000000"/>
          <w:sz w:val="30"/>
          <w:szCs w:val="32"/>
        </w:rPr>
        <w:t xml:space="preserve"> </w:t>
      </w:r>
      <w:r>
        <w:rPr>
          <w:rFonts w:ascii="Times New Roman" w:hAnsi="Times New Roman" w:eastAsia="黑体"/>
          <w:b w:val="0"/>
          <w:color w:val="000000"/>
          <w:sz w:val="30"/>
          <w:szCs w:val="32"/>
        </w:rPr>
        <w:t>异常恶劣的气候条件</w:t>
      </w:r>
      <w:bookmarkEnd w:id="189"/>
    </w:p>
    <w:bookmarkEnd w:id="190"/>
    <w:bookmarkEnd w:id="191"/>
    <w:bookmarkEnd w:id="19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约定办理。承包人因采取合理措施而增加的费用和（或）延误的工期由发包人承担。</w:t>
      </w:r>
      <w:bookmarkStart w:id="193" w:name="_Toc351203550"/>
    </w:p>
    <w:p>
      <w:pPr>
        <w:autoSpaceDE w:val="0"/>
        <w:autoSpaceDN w:val="0"/>
        <w:adjustRightInd w:val="0"/>
        <w:spacing w:line="360" w:lineRule="auto"/>
        <w:ind w:firstLine="600" w:firstLineChars="200"/>
        <w:jc w:val="left"/>
        <w:outlineLvl w:val="0"/>
        <w:rPr>
          <w:rFonts w:ascii="Times New Roman" w:hAnsi="Times New Roman" w:eastAsia="黑体"/>
          <w:bCs/>
          <w:color w:val="000000"/>
          <w:sz w:val="30"/>
          <w:szCs w:val="32"/>
        </w:rPr>
      </w:pPr>
      <w:r>
        <w:rPr>
          <w:rFonts w:ascii="Times New Roman" w:hAnsi="Times New Roman" w:eastAsia="黑体"/>
          <w:bCs/>
          <w:color w:val="000000"/>
          <w:sz w:val="30"/>
          <w:szCs w:val="32"/>
        </w:rPr>
        <w:t>7</w:t>
      </w:r>
      <w:bookmarkStart w:id="194" w:name="_Toc337558775"/>
      <w:r>
        <w:rPr>
          <w:rFonts w:ascii="Times New Roman" w:hAnsi="Times New Roman" w:eastAsia="黑体"/>
          <w:bCs/>
          <w:color w:val="000000"/>
          <w:sz w:val="30"/>
          <w:szCs w:val="32"/>
        </w:rPr>
        <w:t>.8</w:t>
      </w:r>
      <w:r>
        <w:rPr>
          <w:rFonts w:hint="eastAsia" w:ascii="Times New Roman" w:hAnsi="Times New Roman" w:eastAsia="黑体"/>
          <w:bCs/>
          <w:color w:val="000000"/>
          <w:sz w:val="30"/>
          <w:szCs w:val="32"/>
        </w:rPr>
        <w:t xml:space="preserve"> </w:t>
      </w:r>
      <w:r>
        <w:rPr>
          <w:rFonts w:ascii="Times New Roman" w:hAnsi="Times New Roman" w:eastAsia="黑体"/>
          <w:bCs/>
          <w:color w:val="000000"/>
          <w:sz w:val="30"/>
          <w:szCs w:val="32"/>
        </w:rPr>
        <w:t>暂停施工</w:t>
      </w:r>
      <w:bookmarkEnd w:id="193"/>
    </w:p>
    <w:bookmarkEnd w:id="187"/>
    <w:bookmarkEnd w:id="188"/>
    <w:bookmarkEnd w:id="19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7.8.1发包人原因引起的暂停施工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紧急情况下的暂停施工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因发包人原因引起的暂停施工，发包人应承担由此增加的费用和（或）延误的工期，</w:t>
      </w:r>
      <w:r>
        <w:rPr>
          <w:rFonts w:ascii="Times New Roman" w:hAnsi="Times New Roman" w:eastAsia="仿宋_GB2312"/>
          <w:kern w:val="0"/>
          <w:sz w:val="30"/>
          <w:szCs w:val="32"/>
        </w:rPr>
        <w:t>并支付承包人</w:t>
      </w:r>
      <w:r>
        <w:rPr>
          <w:rFonts w:ascii="Times New Roman" w:hAnsi="Times New Roman" w:eastAsia="仿宋_GB2312"/>
          <w:color w:val="000000"/>
          <w:kern w:val="0"/>
          <w:sz w:val="30"/>
          <w:szCs w:val="32"/>
        </w:rPr>
        <w:t>合理的利润。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7.8.2 承包人原因引起的暂停施工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因承包人原因引起的暂停施工，承包人应承担由此增加的费用和（或）延误的工期，且承包人在收到监理人复工指示后</w:t>
      </w:r>
      <w:r>
        <w:rPr>
          <w:rFonts w:hint="eastAsia" w:ascii="Times New Roman" w:hAnsi="Times New Roman" w:eastAsia="仿宋_GB2312"/>
          <w:color w:val="000000"/>
          <w:kern w:val="0"/>
          <w:sz w:val="30"/>
          <w:szCs w:val="32"/>
        </w:rPr>
        <w:t>84</w:t>
      </w:r>
      <w:r>
        <w:rPr>
          <w:rFonts w:ascii="Times New Roman" w:hAnsi="Times New Roman" w:eastAsia="仿宋_GB2312"/>
          <w:color w:val="000000"/>
          <w:kern w:val="0"/>
          <w:sz w:val="30"/>
          <w:szCs w:val="32"/>
        </w:rPr>
        <w:t>天内仍未复工的，视为第16.2.1项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第（7）目约定的承包人无法继续履行合同的情形。</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7.8.3 指示暂停施工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监理人认为有必要时，并经发包人批准后，可向承包人作出暂停施工的指示，承包人应按监理人指示暂停施工。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7.8.4 紧急情况下的暂停施工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7.8.5 暂停施工后的复工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承包人无故拖延和拒绝复工的，承包人承担由此增加的费用和（或）延误的工期；因发包人原因无法按时复工的，按照第7.5.1项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因发包人原因导致工期延误</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7.8.6 暂停施工持续56天以上</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监理人发出暂停施工指示后56天内未向承包人发出复工通知，除该项停工属于第7.8.2项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承包人原因引起的暂停施工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及第17条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不可抗力</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变更的范围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第（2）项的可取消工作。</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暂停施工持续</w:t>
      </w:r>
      <w:r>
        <w:rPr>
          <w:rFonts w:hint="eastAsia" w:ascii="Times New Roman" w:hAnsi="Times New Roman" w:eastAsia="仿宋_GB2312"/>
          <w:color w:val="000000"/>
          <w:kern w:val="0"/>
          <w:sz w:val="30"/>
          <w:szCs w:val="32"/>
        </w:rPr>
        <w:t>84</w:t>
      </w:r>
      <w:r>
        <w:rPr>
          <w:rFonts w:ascii="Times New Roman" w:hAnsi="Times New Roman" w:eastAsia="仿宋_GB2312"/>
          <w:color w:val="000000"/>
          <w:kern w:val="0"/>
          <w:sz w:val="30"/>
          <w:szCs w:val="32"/>
        </w:rPr>
        <w:t>天以上不复工的，且不属于第7.8.2项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承包人原因引起的暂停施工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及第17条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不可抗力</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约定的情形，并影响到整个工程以及合同目的实现的，承包人有权提出价格调整要求，或者解除合同。解除合同的，按照第16.1.3项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因发包人违约解除合同</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spacing w:line="360" w:lineRule="auto"/>
        <w:ind w:left="16"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7.8.7 暂停施工期间的工程照管</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暂停施工期间，承包人应负责妥善照管工程并提供安全保障，由此增加的费用由责任方承担。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7.8.8 暂停施工的措施</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暂停施工期间，发包人和承包人均应采取必要的措施确保工程质量及安全，防止因暂停施工扩大损失。</w:t>
      </w:r>
    </w:p>
    <w:p>
      <w:pPr>
        <w:pStyle w:val="6"/>
        <w:spacing w:before="120" w:after="120" w:line="360" w:lineRule="auto"/>
        <w:ind w:firstLine="600" w:firstLineChars="200"/>
        <w:rPr>
          <w:rFonts w:ascii="Times New Roman" w:hAnsi="Times New Roman" w:eastAsia="黑体"/>
          <w:b w:val="0"/>
          <w:color w:val="000000"/>
          <w:sz w:val="30"/>
          <w:szCs w:val="32"/>
        </w:rPr>
      </w:pPr>
      <w:bookmarkStart w:id="195" w:name="_Toc351203551"/>
      <w:r>
        <w:rPr>
          <w:rFonts w:ascii="Times New Roman" w:hAnsi="Times New Roman" w:eastAsia="黑体"/>
          <w:b w:val="0"/>
          <w:color w:val="000000"/>
          <w:sz w:val="30"/>
          <w:szCs w:val="32"/>
        </w:rPr>
        <w:t>7.9提前竣工</w:t>
      </w:r>
      <w:bookmarkEnd w:id="195"/>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000000"/>
          <w:kern w:val="0"/>
          <w:sz w:val="30"/>
          <w:szCs w:val="32"/>
        </w:rPr>
        <w:t>承包人认为提前竣工指示无法执行的，应向监理人和发包人提出书面异议，发包人和监理人应在收到异议后7天内予以答复。任何情况下，发包人不得压缩合理工期。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7.9.2 发包人要求承包人提前竣工，或承包人提出提前竣工的建议能够给发包人带来效益的，合同当事人可以在专用合同条款中约定提前竣工的奖励。</w:t>
      </w:r>
    </w:p>
    <w:p>
      <w:pPr>
        <w:pStyle w:val="5"/>
        <w:spacing w:before="120" w:after="120" w:line="360" w:lineRule="auto"/>
        <w:rPr>
          <w:rFonts w:ascii="Times New Roman" w:hAnsi="Times New Roman" w:eastAsia="黑体"/>
          <w:b w:val="0"/>
          <w:color w:val="000000"/>
          <w:sz w:val="32"/>
          <w:szCs w:val="32"/>
        </w:rPr>
      </w:pPr>
      <w:bookmarkStart w:id="196" w:name="_Toc351203552"/>
      <w:r>
        <w:rPr>
          <w:rFonts w:ascii="Times New Roman" w:hAnsi="Times New Roman" w:eastAsia="黑体"/>
          <w:b w:val="0"/>
          <w:color w:val="000000"/>
          <w:sz w:val="32"/>
          <w:szCs w:val="32"/>
        </w:rPr>
        <w:t>8</w:t>
      </w:r>
      <w:bookmarkStart w:id="197" w:name="_Toc296503058"/>
      <w:bookmarkStart w:id="198" w:name="_Toc337558776"/>
      <w:bookmarkStart w:id="199" w:name="_Toc296346559"/>
      <w:r>
        <w:rPr>
          <w:rFonts w:ascii="Times New Roman" w:hAnsi="Times New Roman" w:eastAsia="黑体"/>
          <w:b w:val="0"/>
          <w:color w:val="000000"/>
          <w:sz w:val="32"/>
          <w:szCs w:val="32"/>
        </w:rPr>
        <w:t>. 材料与设备</w:t>
      </w:r>
      <w:bookmarkEnd w:id="196"/>
    </w:p>
    <w:bookmarkEnd w:id="197"/>
    <w:bookmarkEnd w:id="198"/>
    <w:bookmarkEnd w:id="199"/>
    <w:p>
      <w:pPr>
        <w:pStyle w:val="6"/>
        <w:spacing w:before="120" w:after="120" w:line="360" w:lineRule="auto"/>
        <w:ind w:firstLine="600" w:firstLineChars="200"/>
        <w:rPr>
          <w:rFonts w:ascii="Times New Roman" w:hAnsi="Times New Roman" w:eastAsia="黑体"/>
          <w:b w:val="0"/>
          <w:color w:val="000000"/>
          <w:sz w:val="30"/>
          <w:szCs w:val="32"/>
        </w:rPr>
      </w:pPr>
      <w:bookmarkStart w:id="200" w:name="_Toc351203553"/>
      <w:r>
        <w:rPr>
          <w:rFonts w:ascii="Times New Roman" w:hAnsi="Times New Roman" w:eastAsia="黑体"/>
          <w:b w:val="0"/>
          <w:color w:val="000000"/>
          <w:sz w:val="30"/>
          <w:szCs w:val="32"/>
        </w:rPr>
        <w:t>8</w:t>
      </w:r>
      <w:bookmarkStart w:id="201" w:name="_Toc337558777"/>
      <w:bookmarkStart w:id="202" w:name="_Toc296346560"/>
      <w:bookmarkStart w:id="203" w:name="_Toc296503059"/>
      <w:bookmarkStart w:id="204" w:name="_Toc468936960"/>
      <w:r>
        <w:rPr>
          <w:rFonts w:ascii="Times New Roman" w:hAnsi="Times New Roman" w:eastAsia="黑体"/>
          <w:b w:val="0"/>
          <w:color w:val="000000"/>
          <w:sz w:val="30"/>
          <w:szCs w:val="32"/>
        </w:rPr>
        <w:t>.1发包人供应材料与工程设备</w:t>
      </w:r>
      <w:bookmarkEnd w:id="200"/>
    </w:p>
    <w:bookmarkEnd w:id="201"/>
    <w:bookmarkEnd w:id="202"/>
    <w:bookmarkEnd w:id="20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承包人应提前30天通过监理人以书面形式通知发包人供应材料与工程设备进场。承包人按照第7.2.2项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施工进度计划的修订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约定修订施工进度计划时，需同时提交经修订后的发包人供应材料与工程设备的进场计划。</w:t>
      </w:r>
    </w:p>
    <w:p>
      <w:pPr>
        <w:pStyle w:val="6"/>
        <w:spacing w:before="120" w:after="120" w:line="360" w:lineRule="auto"/>
        <w:ind w:firstLine="600" w:firstLineChars="200"/>
        <w:rPr>
          <w:rFonts w:ascii="Times New Roman" w:hAnsi="Times New Roman" w:eastAsia="仿宋_GB2312"/>
          <w:color w:val="000000"/>
          <w:sz w:val="30"/>
          <w:szCs w:val="32"/>
        </w:rPr>
      </w:pPr>
      <w:bookmarkStart w:id="205" w:name="_Toc351203554"/>
      <w:r>
        <w:rPr>
          <w:rFonts w:ascii="Times New Roman" w:hAnsi="Times New Roman" w:eastAsia="黑体"/>
          <w:b w:val="0"/>
          <w:color w:val="000000"/>
          <w:sz w:val="30"/>
          <w:szCs w:val="32"/>
        </w:rPr>
        <w:t>8</w:t>
      </w:r>
      <w:bookmarkStart w:id="206" w:name="_Toc296346561"/>
      <w:bookmarkStart w:id="207" w:name="_Toc296503060"/>
      <w:bookmarkStart w:id="208" w:name="_Toc337558778"/>
      <w:r>
        <w:rPr>
          <w:rFonts w:ascii="Times New Roman" w:hAnsi="Times New Roman" w:eastAsia="黑体"/>
          <w:b w:val="0"/>
          <w:color w:val="000000"/>
          <w:sz w:val="30"/>
          <w:szCs w:val="32"/>
        </w:rPr>
        <w:t>.2承包人采购材料与工程设备</w:t>
      </w:r>
      <w:bookmarkEnd w:id="205"/>
    </w:p>
    <w:bookmarkEnd w:id="206"/>
    <w:bookmarkEnd w:id="207"/>
    <w:bookmarkEnd w:id="20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000000"/>
          <w:kern w:val="0"/>
          <w:sz w:val="30"/>
          <w:szCs w:val="32"/>
        </w:rPr>
        <w:t>相应责任</w:t>
      </w:r>
      <w:r>
        <w:rPr>
          <w:rFonts w:ascii="Times New Roman" w:hAnsi="Times New Roman" w:eastAsia="仿宋_GB2312"/>
          <w:color w:val="000000"/>
          <w:kern w:val="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bookmarkStart w:id="209" w:name="_Toc351203555"/>
      <w:r>
        <w:rPr>
          <w:rFonts w:ascii="Times New Roman" w:hAnsi="Times New Roman" w:eastAsia="黑体"/>
          <w:b w:val="0"/>
          <w:color w:val="000000"/>
          <w:sz w:val="30"/>
          <w:szCs w:val="32"/>
        </w:rPr>
        <w:t>8</w:t>
      </w:r>
      <w:bookmarkStart w:id="210" w:name="_Toc296346562"/>
      <w:bookmarkStart w:id="211" w:name="_Toc337558779"/>
      <w:bookmarkStart w:id="212" w:name="_Toc296503061"/>
      <w:r>
        <w:rPr>
          <w:rFonts w:ascii="Times New Roman" w:hAnsi="Times New Roman" w:eastAsia="黑体"/>
          <w:b w:val="0"/>
          <w:color w:val="000000"/>
          <w:sz w:val="30"/>
          <w:szCs w:val="32"/>
        </w:rPr>
        <w:t>.3材料与工程设备的接收与拒收</w:t>
      </w:r>
      <w:bookmarkEnd w:id="209"/>
    </w:p>
    <w:bookmarkEnd w:id="210"/>
    <w:bookmarkEnd w:id="211"/>
    <w:bookmarkEnd w:id="21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8.3.2 承包人采购的材料和工程设备，应保证产品质量合格，承包人应在材料和工程设备到货前24小时通知监理人检验。承</w:t>
      </w:r>
      <w:bookmarkStart w:id="213" w:name="_Toc250655469"/>
      <w:r>
        <w:rPr>
          <w:rFonts w:ascii="Times New Roman" w:hAnsi="Times New Roman" w:eastAsia="仿宋_GB2312"/>
          <w:color w:val="000000"/>
          <w:kern w:val="0"/>
          <w:sz w:val="30"/>
          <w:szCs w:val="32"/>
        </w:rPr>
        <w:t>包人进行永久设备、材料的制造和生产的，应符合相关质量标准，并向监理人提交材料的样本以及有关资料，并应在使用该材料或工程设备之前获得监理人同意。</w:t>
      </w:r>
    </w:p>
    <w:bookmarkEnd w:id="213"/>
    <w:p>
      <w:pPr>
        <w:autoSpaceDE w:val="0"/>
        <w:autoSpaceDN w:val="0"/>
        <w:adjustRightInd w:val="0"/>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214" w:name="_Toc351203556"/>
      <w:r>
        <w:rPr>
          <w:rFonts w:ascii="Times New Roman" w:hAnsi="Times New Roman" w:eastAsia="黑体"/>
          <w:b w:val="0"/>
          <w:color w:val="000000"/>
          <w:sz w:val="30"/>
          <w:szCs w:val="32"/>
        </w:rPr>
        <w:t>8</w:t>
      </w:r>
      <w:bookmarkStart w:id="215" w:name="_Toc296346563"/>
      <w:bookmarkStart w:id="216" w:name="_Toc337558780"/>
      <w:bookmarkStart w:id="217" w:name="_Toc296503062"/>
      <w:r>
        <w:rPr>
          <w:rFonts w:ascii="Times New Roman" w:hAnsi="Times New Roman" w:eastAsia="黑体"/>
          <w:b w:val="0"/>
          <w:color w:val="000000"/>
          <w:sz w:val="30"/>
          <w:szCs w:val="32"/>
        </w:rPr>
        <w:t>.4材料与工程设备的保管与使用</w:t>
      </w:r>
      <w:bookmarkEnd w:id="214"/>
    </w:p>
    <w:bookmarkEnd w:id="215"/>
    <w:bookmarkEnd w:id="216"/>
    <w:bookmarkEnd w:id="21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8.4.1 发包人供应</w:t>
      </w:r>
      <w:r>
        <w:rPr>
          <w:rFonts w:ascii="Times New Roman" w:hAnsi="Times New Roman" w:eastAsia="仿宋_GB2312"/>
          <w:color w:val="000000"/>
          <w:sz w:val="30"/>
          <w:szCs w:val="32"/>
        </w:rPr>
        <w:t>材料与</w:t>
      </w:r>
      <w:r>
        <w:rPr>
          <w:rFonts w:ascii="Times New Roman" w:hAnsi="Times New Roman" w:eastAsia="仿宋_GB2312"/>
          <w:color w:val="000000"/>
          <w:kern w:val="0"/>
          <w:sz w:val="30"/>
          <w:szCs w:val="32"/>
        </w:rPr>
        <w:t>工程</w:t>
      </w:r>
      <w:r>
        <w:rPr>
          <w:rFonts w:ascii="Times New Roman" w:hAnsi="Times New Roman" w:eastAsia="仿宋_GB2312"/>
          <w:color w:val="000000"/>
          <w:sz w:val="30"/>
          <w:szCs w:val="32"/>
        </w:rPr>
        <w:t>设备的保管与使用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发包人供应的材料和工程设备使用前，由承包人负责检验，检验费用由发包人承担，不合格的不得使用。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8.4.2 承包人采购</w:t>
      </w:r>
      <w:r>
        <w:rPr>
          <w:rFonts w:ascii="Times New Roman" w:hAnsi="Times New Roman" w:eastAsia="仿宋_GB2312"/>
          <w:color w:val="000000"/>
          <w:sz w:val="30"/>
          <w:szCs w:val="32"/>
        </w:rPr>
        <w:t>材料与</w:t>
      </w:r>
      <w:r>
        <w:rPr>
          <w:rFonts w:ascii="Times New Roman" w:hAnsi="Times New Roman" w:eastAsia="仿宋_GB2312"/>
          <w:color w:val="000000"/>
          <w:kern w:val="0"/>
          <w:sz w:val="30"/>
          <w:szCs w:val="32"/>
        </w:rPr>
        <w:t>工程</w:t>
      </w:r>
      <w:r>
        <w:rPr>
          <w:rFonts w:ascii="Times New Roman" w:hAnsi="Times New Roman" w:eastAsia="仿宋_GB2312"/>
          <w:color w:val="000000"/>
          <w:sz w:val="30"/>
          <w:szCs w:val="32"/>
        </w:rPr>
        <w:t>设备的保管与使用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218" w:name="_Toc351203557"/>
      <w:r>
        <w:rPr>
          <w:rFonts w:ascii="Times New Roman" w:hAnsi="Times New Roman" w:eastAsia="黑体"/>
          <w:b w:val="0"/>
          <w:color w:val="000000"/>
          <w:sz w:val="30"/>
          <w:szCs w:val="32"/>
        </w:rPr>
        <w:t>8.5禁止使用不合格的材料和工程设备</w:t>
      </w:r>
      <w:bookmarkEnd w:id="218"/>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color w:val="000000"/>
          <w:kern w:val="0"/>
          <w:sz w:val="30"/>
          <w:szCs w:val="32"/>
        </w:rPr>
        <w:t>，并支付承包人合理的利润</w:t>
      </w:r>
      <w:r>
        <w:rPr>
          <w:rFonts w:ascii="Times New Roman" w:hAnsi="Times New Roman" w:eastAsia="仿宋_GB2312"/>
          <w:color w:val="000000"/>
          <w:kern w:val="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bookmarkStart w:id="219" w:name="_Toc351203558"/>
      <w:r>
        <w:rPr>
          <w:rFonts w:ascii="Times New Roman" w:hAnsi="Times New Roman" w:eastAsia="黑体"/>
          <w:b w:val="0"/>
          <w:color w:val="000000"/>
          <w:sz w:val="30"/>
          <w:szCs w:val="32"/>
        </w:rPr>
        <w:t>8.6 样品</w:t>
      </w:r>
      <w:bookmarkEnd w:id="219"/>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8.6.1</w:t>
      </w:r>
      <w:r>
        <w:rPr>
          <w:rFonts w:ascii="Times New Roman" w:hAnsi="Times New Roman" w:eastAsia="仿宋_GB2312"/>
          <w:color w:val="000000"/>
          <w:kern w:val="0"/>
          <w:sz w:val="30"/>
          <w:szCs w:val="32"/>
        </w:rPr>
        <w:tab/>
      </w:r>
      <w:r>
        <w:rPr>
          <w:rFonts w:ascii="Times New Roman" w:hAnsi="Times New Roman" w:eastAsia="仿宋_GB2312"/>
          <w:color w:val="000000"/>
          <w:kern w:val="0"/>
          <w:sz w:val="30"/>
          <w:szCs w:val="32"/>
        </w:rPr>
        <w:t>样品的报送</w:t>
      </w:r>
      <w:r>
        <w:rPr>
          <w:rFonts w:hint="eastAsia" w:ascii="Times New Roman" w:hAnsi="Times New Roman" w:eastAsia="仿宋_GB2312"/>
          <w:color w:val="000000"/>
          <w:kern w:val="0"/>
          <w:sz w:val="30"/>
          <w:szCs w:val="32"/>
        </w:rPr>
        <w:t>与封存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（3）经发包人和监理人审批确认的样品</w:t>
      </w:r>
      <w:r>
        <w:rPr>
          <w:rFonts w:hint="eastAsia" w:ascii="Times New Roman" w:hAnsi="Times New Roman" w:eastAsia="仿宋_GB2312"/>
          <w:color w:val="000000"/>
          <w:kern w:val="0"/>
          <w:sz w:val="30"/>
          <w:szCs w:val="32"/>
        </w:rPr>
        <w:t>应按约定的方法封样，封存的样品</w:t>
      </w:r>
      <w:r>
        <w:rPr>
          <w:rFonts w:ascii="Times New Roman" w:hAnsi="Times New Roman" w:eastAsia="仿宋_GB2312"/>
          <w:color w:val="000000"/>
          <w:kern w:val="0"/>
          <w:sz w:val="30"/>
          <w:szCs w:val="32"/>
        </w:rPr>
        <w:t>作为检验工程相关部分的标准之一。承包人在施工过程中不得使用与样品不符的材料或工程设备。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000000"/>
          <w:kern w:val="0"/>
          <w:sz w:val="30"/>
          <w:szCs w:val="32"/>
        </w:rPr>
        <w:t>如果封存的样品修改或改变了合同约定，合同当事人应当以书面协议予以确认。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8.6.2 样品的保管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经批准的样品应由监理人负责封存于现场，承包人应在现场为保存样品提供适当和固定的场所并保持适当和良好的存储环境条件。</w:t>
      </w:r>
    </w:p>
    <w:p>
      <w:pPr>
        <w:pStyle w:val="6"/>
        <w:spacing w:before="120" w:after="120" w:line="360" w:lineRule="auto"/>
        <w:ind w:firstLine="600" w:firstLineChars="200"/>
        <w:rPr>
          <w:rFonts w:ascii="Times New Roman" w:hAnsi="Times New Roman" w:eastAsia="黑体"/>
          <w:b w:val="0"/>
          <w:color w:val="000000"/>
          <w:sz w:val="30"/>
          <w:szCs w:val="32"/>
        </w:rPr>
      </w:pPr>
      <w:bookmarkStart w:id="220" w:name="_Toc351203559"/>
      <w:r>
        <w:rPr>
          <w:rFonts w:ascii="Times New Roman" w:hAnsi="Times New Roman" w:eastAsia="黑体"/>
          <w:b w:val="0"/>
          <w:color w:val="000000"/>
          <w:sz w:val="30"/>
          <w:szCs w:val="32"/>
        </w:rPr>
        <w:t>8.7材料与工程设备的替代</w:t>
      </w:r>
      <w:bookmarkEnd w:id="220"/>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8.7.1 出现下列情况需要使用替代材料和工程设备的，承包人应按照第8.7.2项约定的程序执行：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后生效的法律规定禁止使用的；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（2）发包人要求使用替代品的；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（3）因其他原因必须使用替代品的。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8.7.2 承包人应在使用替代材料和工程设备28天前书面通知监理人，并附下列文件：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（1）被替代的材料和工程设备的名称、数量、规格、型号、品牌、性能、价格及其他相关资料；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（2）替代品的名称、数量、规格、型号、品牌、性能、价格及其他相关资料；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（3）替代品与被替代产品之间的差异以及使用替代品可能对工程产生的影响；</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（4）替代品与被替代产品的价格差异；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（5）使用替代品的理由和原因说明；</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（6）监理人要求的其他文件。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000000"/>
          <w:kern w:val="0"/>
          <w:sz w:val="30"/>
          <w:szCs w:val="32"/>
        </w:rPr>
        <w:t>既无</w:t>
      </w:r>
      <w:r>
        <w:rPr>
          <w:rFonts w:ascii="Times New Roman" w:hAnsi="Times New Roman" w:eastAsia="仿宋_GB2312"/>
          <w:color w:val="000000"/>
          <w:kern w:val="0"/>
          <w:sz w:val="30"/>
          <w:szCs w:val="32"/>
        </w:rPr>
        <w:t>相同项目</w:t>
      </w:r>
      <w:r>
        <w:rPr>
          <w:rFonts w:hint="eastAsia" w:ascii="Times New Roman" w:hAnsi="Times New Roman" w:eastAsia="仿宋_GB2312"/>
          <w:color w:val="000000"/>
          <w:kern w:val="0"/>
          <w:sz w:val="30"/>
          <w:szCs w:val="32"/>
        </w:rPr>
        <w:t>也</w:t>
      </w:r>
      <w:r>
        <w:rPr>
          <w:rFonts w:ascii="Times New Roman" w:hAnsi="Times New Roman" w:eastAsia="仿宋_GB2312"/>
          <w:color w:val="000000"/>
          <w:kern w:val="0"/>
          <w:sz w:val="30"/>
          <w:szCs w:val="32"/>
        </w:rPr>
        <w:t>无相似项目的，</w:t>
      </w:r>
      <w:r>
        <w:rPr>
          <w:rFonts w:hint="eastAsia" w:ascii="Times New Roman" w:hAnsi="Times New Roman" w:eastAsia="仿宋_GB2312"/>
          <w:color w:val="000000"/>
          <w:kern w:val="0"/>
          <w:sz w:val="30"/>
          <w:szCs w:val="32"/>
        </w:rPr>
        <w:t>按照合理的成本与利润构成的原则，</w:t>
      </w:r>
      <w:r>
        <w:rPr>
          <w:rFonts w:ascii="Times New Roman" w:hAnsi="Times New Roman" w:eastAsia="仿宋_GB2312"/>
          <w:color w:val="000000"/>
          <w:kern w:val="0"/>
          <w:sz w:val="30"/>
          <w:szCs w:val="32"/>
        </w:rPr>
        <w:t>由合同当事人按照第4.4款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确定价格。</w:t>
      </w:r>
    </w:p>
    <w:p>
      <w:pPr>
        <w:pStyle w:val="6"/>
        <w:spacing w:before="120" w:after="120" w:line="360" w:lineRule="auto"/>
        <w:ind w:firstLine="600" w:firstLineChars="200"/>
        <w:rPr>
          <w:rFonts w:ascii="Times New Roman" w:hAnsi="Times New Roman" w:eastAsia="黑体"/>
          <w:b w:val="0"/>
          <w:color w:val="000000"/>
          <w:sz w:val="30"/>
          <w:szCs w:val="32"/>
        </w:rPr>
      </w:pPr>
      <w:bookmarkStart w:id="221" w:name="_Toc351203560"/>
      <w:r>
        <w:rPr>
          <w:rFonts w:ascii="Times New Roman" w:hAnsi="Times New Roman" w:eastAsia="黑体"/>
          <w:b w:val="0"/>
          <w:color w:val="000000"/>
          <w:sz w:val="30"/>
          <w:szCs w:val="32"/>
        </w:rPr>
        <w:t>8.8施工设备和临时设施</w:t>
      </w:r>
      <w:bookmarkEnd w:id="221"/>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8.8.1 承包人提供的施工设备和临时设施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8.8.2发包人提供的施工设备和临时设施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发包人提供的施工设备或临时设施在专用合同条款中约定。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8.8.3要求承包人增加或更换施工设备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222" w:name="_Toc351203561"/>
      <w:r>
        <w:rPr>
          <w:rFonts w:ascii="Times New Roman" w:hAnsi="Times New Roman" w:eastAsia="黑体"/>
          <w:b w:val="0"/>
          <w:color w:val="000000"/>
          <w:sz w:val="30"/>
          <w:szCs w:val="32"/>
        </w:rPr>
        <w:t>8</w:t>
      </w:r>
      <w:bookmarkStart w:id="223" w:name="_Toc337558781"/>
      <w:bookmarkStart w:id="224" w:name="_Toc296503063"/>
      <w:bookmarkStart w:id="225" w:name="_Toc296346564"/>
      <w:r>
        <w:rPr>
          <w:rFonts w:ascii="Times New Roman" w:hAnsi="Times New Roman" w:eastAsia="黑体"/>
          <w:b w:val="0"/>
          <w:color w:val="000000"/>
          <w:sz w:val="30"/>
          <w:szCs w:val="32"/>
        </w:rPr>
        <w:t>.9材料与设备专用</w:t>
      </w:r>
      <w:bookmarkEnd w:id="222"/>
      <w:r>
        <w:rPr>
          <w:rFonts w:hint="eastAsia" w:ascii="Times New Roman" w:hAnsi="Times New Roman" w:eastAsia="黑体"/>
          <w:b w:val="0"/>
          <w:color w:val="000000"/>
          <w:sz w:val="30"/>
          <w:szCs w:val="32"/>
        </w:rPr>
        <w:t>要求</w:t>
      </w:r>
    </w:p>
    <w:bookmarkEnd w:id="223"/>
    <w:bookmarkEnd w:id="224"/>
    <w:bookmarkEnd w:id="225"/>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承包人运入施工现场的材料、工程设备、施工设备以及在施工场地建设的临时设施，包括备品备件、安装工具与资料，必须专用于工程。未经发包人批准，承包人不得运出施工现场或挪作他用；</w:t>
      </w:r>
      <w:bookmarkEnd w:id="204"/>
      <w:r>
        <w:rPr>
          <w:rFonts w:ascii="Times New Roman" w:hAnsi="Times New Roman" w:eastAsia="仿宋_GB2312"/>
          <w:color w:val="000000"/>
          <w:kern w:val="0"/>
          <w:sz w:val="30"/>
          <w:szCs w:val="32"/>
        </w:rPr>
        <w:t>经发包人批准，承包人可以根据施工进度计划撤走闲置的施工设备和其他物品。</w:t>
      </w:r>
    </w:p>
    <w:p>
      <w:pPr>
        <w:pStyle w:val="5"/>
        <w:spacing w:before="120" w:after="120" w:line="360" w:lineRule="auto"/>
        <w:rPr>
          <w:rFonts w:ascii="Times New Roman" w:hAnsi="Times New Roman" w:eastAsia="黑体"/>
          <w:b w:val="0"/>
          <w:color w:val="000000"/>
          <w:sz w:val="32"/>
          <w:szCs w:val="32"/>
        </w:rPr>
      </w:pPr>
      <w:bookmarkStart w:id="226" w:name="_Toc351203562"/>
      <w:r>
        <w:rPr>
          <w:rFonts w:ascii="Times New Roman" w:hAnsi="Times New Roman" w:eastAsia="黑体"/>
          <w:b w:val="0"/>
          <w:color w:val="000000"/>
          <w:sz w:val="32"/>
          <w:szCs w:val="32"/>
        </w:rPr>
        <w:t>9</w:t>
      </w:r>
      <w:bookmarkStart w:id="227" w:name="_Toc337558782"/>
      <w:bookmarkStart w:id="228" w:name="_Toc296503083"/>
      <w:bookmarkStart w:id="229" w:name="_Toc296346584"/>
      <w:r>
        <w:rPr>
          <w:rFonts w:ascii="Times New Roman" w:hAnsi="Times New Roman" w:eastAsia="黑体"/>
          <w:b w:val="0"/>
          <w:color w:val="000000"/>
          <w:sz w:val="32"/>
          <w:szCs w:val="32"/>
        </w:rPr>
        <w:t>. 试验与检验</w:t>
      </w:r>
      <w:bookmarkEnd w:id="226"/>
    </w:p>
    <w:bookmarkEnd w:id="227"/>
    <w:p>
      <w:pPr>
        <w:pStyle w:val="6"/>
        <w:spacing w:before="120" w:after="120" w:line="360" w:lineRule="auto"/>
        <w:ind w:firstLine="600" w:firstLineChars="200"/>
        <w:rPr>
          <w:rFonts w:ascii="Times New Roman" w:hAnsi="Times New Roman" w:eastAsia="黑体"/>
          <w:b w:val="0"/>
          <w:color w:val="000000"/>
          <w:sz w:val="30"/>
          <w:szCs w:val="32"/>
        </w:rPr>
      </w:pPr>
      <w:bookmarkStart w:id="230" w:name="_Toc351203563"/>
      <w:r>
        <w:rPr>
          <w:rFonts w:ascii="Times New Roman" w:hAnsi="Times New Roman" w:eastAsia="黑体"/>
          <w:b w:val="0"/>
          <w:color w:val="000000"/>
          <w:sz w:val="30"/>
          <w:szCs w:val="32"/>
        </w:rPr>
        <w:t>9</w:t>
      </w:r>
      <w:bookmarkStart w:id="231" w:name="_Toc337558783"/>
      <w:r>
        <w:rPr>
          <w:rFonts w:ascii="Times New Roman" w:hAnsi="Times New Roman" w:eastAsia="黑体"/>
          <w:b w:val="0"/>
          <w:color w:val="000000"/>
          <w:sz w:val="30"/>
          <w:szCs w:val="32"/>
        </w:rPr>
        <w:t>.1试验设备与试验人员</w:t>
      </w:r>
      <w:bookmarkEnd w:id="230"/>
    </w:p>
    <w:bookmarkEnd w:id="231"/>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9.1.2 承包人应按专用合同条款的约定提供试验设备、取样装置、试验场所和试验条件，并向监理人提交相应进场计划表。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承包人配置的试验设备要符合相应试验规程的要求并经过具有资质的检测单位检测，且在正式使用该试验设备前，需要经过监理人与承包人共同校定。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line="360" w:lineRule="auto"/>
        <w:ind w:firstLine="600" w:firstLineChars="200"/>
        <w:rPr>
          <w:rFonts w:ascii="Times New Roman" w:hAnsi="Times New Roman" w:eastAsia="黑体"/>
          <w:b w:val="0"/>
          <w:color w:val="000000"/>
          <w:sz w:val="30"/>
          <w:szCs w:val="32"/>
        </w:rPr>
      </w:pPr>
      <w:bookmarkStart w:id="232" w:name="_Toc351203564"/>
      <w:r>
        <w:rPr>
          <w:rFonts w:ascii="Times New Roman" w:hAnsi="Times New Roman" w:eastAsia="黑体"/>
          <w:b w:val="0"/>
          <w:color w:val="000000"/>
          <w:sz w:val="30"/>
          <w:szCs w:val="32"/>
        </w:rPr>
        <w:t>9</w:t>
      </w:r>
      <w:bookmarkStart w:id="233" w:name="_Toc337558784"/>
      <w:r>
        <w:rPr>
          <w:rFonts w:ascii="Times New Roman" w:hAnsi="Times New Roman" w:eastAsia="黑体"/>
          <w:b w:val="0"/>
          <w:color w:val="000000"/>
          <w:sz w:val="30"/>
          <w:szCs w:val="32"/>
        </w:rPr>
        <w:t>.2取样</w:t>
      </w:r>
      <w:bookmarkEnd w:id="232"/>
    </w:p>
    <w:bookmarkEnd w:id="233"/>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试验属于自检性质的，承包人可以单独取样。试验属于监理人抽检性质的，可由监理人取样，也可由承包人的试验人员在监理人的监督下取样。</w:t>
      </w:r>
    </w:p>
    <w:p>
      <w:pPr>
        <w:pStyle w:val="6"/>
        <w:spacing w:before="120" w:after="120" w:line="360" w:lineRule="auto"/>
        <w:ind w:firstLine="600" w:firstLineChars="200"/>
        <w:rPr>
          <w:rFonts w:ascii="Times New Roman" w:hAnsi="Times New Roman" w:eastAsia="黑体"/>
          <w:b w:val="0"/>
          <w:color w:val="000000"/>
          <w:sz w:val="30"/>
          <w:szCs w:val="32"/>
        </w:rPr>
      </w:pPr>
      <w:bookmarkStart w:id="234" w:name="_Toc351203565"/>
      <w:r>
        <w:rPr>
          <w:rFonts w:ascii="Times New Roman" w:hAnsi="Times New Roman" w:eastAsia="黑体"/>
          <w:b w:val="0"/>
          <w:color w:val="000000"/>
          <w:sz w:val="30"/>
          <w:szCs w:val="32"/>
        </w:rPr>
        <w:t>9</w:t>
      </w:r>
      <w:bookmarkStart w:id="235" w:name="_Toc337558785"/>
      <w:r>
        <w:rPr>
          <w:rFonts w:ascii="Times New Roman" w:hAnsi="Times New Roman" w:eastAsia="黑体"/>
          <w:b w:val="0"/>
          <w:color w:val="000000"/>
          <w:sz w:val="30"/>
          <w:szCs w:val="32"/>
        </w:rPr>
        <w:t>.3材料、工程设备和工程的试验和检验</w:t>
      </w:r>
      <w:bookmarkEnd w:id="234"/>
    </w:p>
    <w:bookmarkEnd w:id="235"/>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236" w:name="_Toc351203566"/>
      <w:r>
        <w:rPr>
          <w:rFonts w:ascii="Times New Roman" w:hAnsi="Times New Roman" w:eastAsia="黑体"/>
          <w:b w:val="0"/>
          <w:color w:val="000000"/>
          <w:sz w:val="30"/>
          <w:szCs w:val="32"/>
        </w:rPr>
        <w:t>9</w:t>
      </w:r>
      <w:bookmarkStart w:id="237" w:name="_Toc337558786"/>
      <w:r>
        <w:rPr>
          <w:rFonts w:ascii="Times New Roman" w:hAnsi="Times New Roman" w:eastAsia="黑体"/>
          <w:b w:val="0"/>
          <w:color w:val="000000"/>
          <w:sz w:val="30"/>
          <w:szCs w:val="32"/>
        </w:rPr>
        <w:t>.4现场工艺试验</w:t>
      </w:r>
      <w:bookmarkEnd w:id="236"/>
    </w:p>
    <w:bookmarkEnd w:id="237"/>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承包人应按合同约定或监理人指示进行现场工艺试验。对大型的现场工艺试验，监理人认为必要时，承包人应根据监理人提出的工艺试验要求，编制工艺试验措施计划，报送监理人审查。</w:t>
      </w:r>
    </w:p>
    <w:p>
      <w:pPr>
        <w:pStyle w:val="5"/>
        <w:spacing w:before="120" w:after="120" w:line="360" w:lineRule="auto"/>
        <w:rPr>
          <w:rFonts w:ascii="Times New Roman" w:hAnsi="Times New Roman" w:eastAsia="黑体"/>
          <w:b w:val="0"/>
          <w:color w:val="000000"/>
          <w:sz w:val="32"/>
          <w:szCs w:val="32"/>
        </w:rPr>
      </w:pPr>
      <w:bookmarkStart w:id="238" w:name="_Toc351203567"/>
      <w:r>
        <w:rPr>
          <w:rFonts w:ascii="Times New Roman" w:hAnsi="Times New Roman" w:eastAsia="黑体"/>
          <w:b w:val="0"/>
          <w:color w:val="000000"/>
          <w:sz w:val="32"/>
          <w:szCs w:val="32"/>
        </w:rPr>
        <w:t>1</w:t>
      </w:r>
      <w:bookmarkStart w:id="239" w:name="_Toc337558787"/>
      <w:r>
        <w:rPr>
          <w:rFonts w:ascii="Times New Roman" w:hAnsi="Times New Roman" w:eastAsia="黑体"/>
          <w:b w:val="0"/>
          <w:color w:val="000000"/>
          <w:sz w:val="32"/>
          <w:szCs w:val="32"/>
        </w:rPr>
        <w:t>0. 变更</w:t>
      </w:r>
      <w:bookmarkEnd w:id="228"/>
      <w:bookmarkEnd w:id="229"/>
      <w:bookmarkEnd w:id="238"/>
    </w:p>
    <w:bookmarkEnd w:id="239"/>
    <w:p>
      <w:pPr>
        <w:pStyle w:val="6"/>
        <w:spacing w:before="120" w:after="120" w:line="360" w:lineRule="auto"/>
        <w:ind w:firstLine="600" w:firstLineChars="200"/>
        <w:rPr>
          <w:rFonts w:ascii="Times New Roman" w:hAnsi="Times New Roman" w:eastAsia="黑体"/>
          <w:b w:val="0"/>
          <w:color w:val="000000"/>
          <w:sz w:val="30"/>
          <w:szCs w:val="32"/>
        </w:rPr>
      </w:pPr>
      <w:bookmarkStart w:id="240" w:name="_Toc351203568"/>
      <w:r>
        <w:rPr>
          <w:rFonts w:ascii="Times New Roman" w:hAnsi="Times New Roman" w:eastAsia="黑体"/>
          <w:b w:val="0"/>
          <w:color w:val="000000"/>
          <w:sz w:val="30"/>
          <w:szCs w:val="32"/>
        </w:rPr>
        <w:t>1</w:t>
      </w:r>
      <w:bookmarkStart w:id="241" w:name="_Toc296503084"/>
      <w:bookmarkStart w:id="242" w:name="_Toc337558788"/>
      <w:bookmarkStart w:id="243" w:name="_Toc296346585"/>
      <w:r>
        <w:rPr>
          <w:rFonts w:ascii="Times New Roman" w:hAnsi="Times New Roman" w:eastAsia="黑体"/>
          <w:b w:val="0"/>
          <w:color w:val="000000"/>
          <w:sz w:val="30"/>
          <w:szCs w:val="32"/>
        </w:rPr>
        <w:t>0.1变更的范围</w:t>
      </w:r>
      <w:bookmarkEnd w:id="240"/>
    </w:p>
    <w:bookmarkEnd w:id="241"/>
    <w:bookmarkEnd w:id="242"/>
    <w:bookmarkEnd w:id="24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除专用合同条款另有约定外，合同履行过程中发生以下情形的，应按照本条约定进行变更：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（1）增加或减少合同中任何工作，或追加额外的工作；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（2）取消合同中任何工作，但转由他人实施的工作除外；</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（3）改变合同中任何工作的质量标准或其他特性；</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（4）改变工程的基线、标高、位置和尺寸；</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（5）改变工程的时间安排或实施顺序。</w:t>
      </w:r>
    </w:p>
    <w:p>
      <w:pPr>
        <w:pStyle w:val="6"/>
        <w:spacing w:before="120" w:after="120" w:line="360" w:lineRule="auto"/>
        <w:ind w:firstLine="600" w:firstLineChars="200"/>
        <w:rPr>
          <w:rFonts w:ascii="Times New Roman" w:hAnsi="Times New Roman" w:eastAsia="黑体"/>
          <w:b w:val="0"/>
          <w:color w:val="000000"/>
          <w:sz w:val="30"/>
          <w:szCs w:val="32"/>
        </w:rPr>
      </w:pPr>
      <w:bookmarkStart w:id="244" w:name="_Toc351203569"/>
      <w:r>
        <w:rPr>
          <w:rFonts w:ascii="Times New Roman" w:hAnsi="Times New Roman" w:eastAsia="黑体"/>
          <w:b w:val="0"/>
          <w:color w:val="000000"/>
          <w:sz w:val="30"/>
          <w:szCs w:val="32"/>
        </w:rPr>
        <w:t>1</w:t>
      </w:r>
      <w:bookmarkStart w:id="245" w:name="_Toc296346586"/>
      <w:bookmarkStart w:id="246" w:name="_Toc296503085"/>
      <w:bookmarkStart w:id="247" w:name="_Toc337558789"/>
      <w:r>
        <w:rPr>
          <w:rFonts w:ascii="Times New Roman" w:hAnsi="Times New Roman" w:eastAsia="黑体"/>
          <w:b w:val="0"/>
          <w:color w:val="000000"/>
          <w:sz w:val="30"/>
          <w:szCs w:val="32"/>
        </w:rPr>
        <w:t>0.2变更权</w:t>
      </w:r>
      <w:bookmarkEnd w:id="244"/>
    </w:p>
    <w:bookmarkEnd w:id="245"/>
    <w:bookmarkEnd w:id="246"/>
    <w:bookmarkEnd w:id="24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审批手续。</w:t>
      </w:r>
    </w:p>
    <w:p>
      <w:pPr>
        <w:pStyle w:val="6"/>
        <w:spacing w:before="120" w:after="120" w:line="360" w:lineRule="auto"/>
        <w:ind w:firstLine="600" w:firstLineChars="200"/>
        <w:rPr>
          <w:rFonts w:ascii="Times New Roman" w:hAnsi="Times New Roman" w:eastAsia="黑体"/>
          <w:b w:val="0"/>
          <w:color w:val="000000"/>
          <w:sz w:val="30"/>
          <w:szCs w:val="32"/>
        </w:rPr>
      </w:pPr>
      <w:bookmarkStart w:id="248" w:name="_Toc351203570"/>
      <w:r>
        <w:rPr>
          <w:rFonts w:ascii="Times New Roman" w:hAnsi="Times New Roman" w:eastAsia="黑体"/>
          <w:b w:val="0"/>
          <w:color w:val="000000"/>
          <w:sz w:val="30"/>
          <w:szCs w:val="32"/>
        </w:rPr>
        <w:t>1</w:t>
      </w:r>
      <w:bookmarkStart w:id="249" w:name="_Toc296503086"/>
      <w:bookmarkStart w:id="250" w:name="_Toc337558790"/>
      <w:bookmarkStart w:id="251" w:name="_Toc296346587"/>
      <w:r>
        <w:rPr>
          <w:rFonts w:ascii="Times New Roman" w:hAnsi="Times New Roman" w:eastAsia="黑体"/>
          <w:b w:val="0"/>
          <w:color w:val="000000"/>
          <w:sz w:val="30"/>
          <w:szCs w:val="32"/>
        </w:rPr>
        <w:t>0.3变更程序</w:t>
      </w:r>
      <w:bookmarkEnd w:id="248"/>
    </w:p>
    <w:bookmarkEnd w:id="249"/>
    <w:bookmarkEnd w:id="250"/>
    <w:bookmarkEnd w:id="251"/>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w:t>
      </w:r>
      <w:r>
        <w:rPr>
          <w:rFonts w:ascii="Times New Roman" w:hAnsi="Times New Roman" w:eastAsia="仿宋_GB2312"/>
          <w:color w:val="000000"/>
          <w:kern w:val="0"/>
          <w:sz w:val="30"/>
          <w:szCs w:val="32"/>
        </w:rPr>
        <w:t>.3.1 发包人提出变更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发包人提出变更的，应通过监理人向承包人发出变更指示，变更指示应说明计划变更的工程范围和变更的内容。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w:t>
      </w:r>
      <w:r>
        <w:rPr>
          <w:rFonts w:ascii="Times New Roman" w:hAnsi="Times New Roman" w:eastAsia="仿宋_GB2312"/>
          <w:color w:val="000000"/>
          <w:kern w:val="0"/>
          <w:sz w:val="30"/>
          <w:szCs w:val="32"/>
        </w:rPr>
        <w:t>.3.2 监理人提出变更建议</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10.3.3 变更执行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承包人收到监理人下达的变更指示后，</w:t>
      </w:r>
      <w:r>
        <w:rPr>
          <w:rFonts w:hint="eastAsia" w:ascii="Times New Roman" w:hAnsi="Times New Roman" w:eastAsia="仿宋_GB2312"/>
          <w:color w:val="000000"/>
          <w:kern w:val="0"/>
          <w:sz w:val="30"/>
          <w:szCs w:val="32"/>
        </w:rPr>
        <w:t>认为不能执行，应立即</w:t>
      </w:r>
      <w:r>
        <w:rPr>
          <w:rFonts w:ascii="Times New Roman" w:hAnsi="Times New Roman" w:eastAsia="仿宋_GB2312"/>
          <w:color w:val="000000"/>
          <w:kern w:val="0"/>
          <w:sz w:val="30"/>
          <w:szCs w:val="32"/>
        </w:rPr>
        <w:t>提出不能执行该变更指示的理由。承包人</w:t>
      </w:r>
      <w:r>
        <w:rPr>
          <w:rFonts w:hint="eastAsia" w:ascii="Times New Roman" w:hAnsi="Times New Roman" w:eastAsia="仿宋_GB2312"/>
          <w:color w:val="000000"/>
          <w:kern w:val="0"/>
          <w:sz w:val="30"/>
          <w:szCs w:val="32"/>
        </w:rPr>
        <w:t>认为可以</w:t>
      </w:r>
      <w:r>
        <w:rPr>
          <w:rFonts w:ascii="Times New Roman" w:hAnsi="Times New Roman" w:eastAsia="仿宋_GB2312"/>
          <w:color w:val="000000"/>
          <w:kern w:val="0"/>
          <w:sz w:val="30"/>
          <w:szCs w:val="32"/>
        </w:rPr>
        <w:t>执行变更的，</w:t>
      </w:r>
      <w:r>
        <w:rPr>
          <w:rFonts w:hint="eastAsia" w:ascii="Times New Roman" w:hAnsi="Times New Roman" w:eastAsia="仿宋_GB2312"/>
          <w:color w:val="000000"/>
          <w:kern w:val="0"/>
          <w:sz w:val="30"/>
          <w:szCs w:val="32"/>
        </w:rPr>
        <w:t>应当书面说明实施该变更指示对合同价格和工期的影响，且合同当事人应当按照第10.4款〔变更估价〕约定确定变更估价</w:t>
      </w:r>
      <w:r>
        <w:rPr>
          <w:rFonts w:ascii="Times New Roman" w:hAnsi="Times New Roman" w:eastAsia="仿宋_GB2312"/>
          <w:color w:val="000000"/>
          <w:kern w:val="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bookmarkStart w:id="252" w:name="_Toc351203571"/>
      <w:r>
        <w:rPr>
          <w:rFonts w:ascii="Times New Roman" w:hAnsi="Times New Roman" w:eastAsia="黑体"/>
          <w:b w:val="0"/>
          <w:color w:val="000000"/>
          <w:sz w:val="30"/>
          <w:szCs w:val="32"/>
        </w:rPr>
        <w:t>1</w:t>
      </w:r>
      <w:bookmarkStart w:id="253" w:name="_Toc296503087"/>
      <w:bookmarkStart w:id="254" w:name="_Toc337558791"/>
      <w:bookmarkStart w:id="255" w:name="_Toc296346588"/>
      <w:r>
        <w:rPr>
          <w:rFonts w:ascii="Times New Roman" w:hAnsi="Times New Roman" w:eastAsia="黑体"/>
          <w:b w:val="0"/>
          <w:color w:val="000000"/>
          <w:sz w:val="30"/>
          <w:szCs w:val="32"/>
        </w:rPr>
        <w:t>0.4变更估价</w:t>
      </w:r>
      <w:bookmarkEnd w:id="252"/>
    </w:p>
    <w:bookmarkEnd w:id="253"/>
    <w:bookmarkEnd w:id="254"/>
    <w:bookmarkEnd w:id="255"/>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10.4.1 变更估价原则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除专用合同条款另有约定外，变更估价按照本款约定处理：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（1）已标价工程量清单或预算书有相同项目的，按照相同项目单价认定；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（2）已标价工程量清单或预算书中无相同项目，但有类似项目的，参照类似项目的单价认定；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确定变更工作的单价。</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10.4.2 变更估价程序</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000000"/>
          <w:kern w:val="0"/>
          <w:sz w:val="30"/>
          <w:szCs w:val="32"/>
        </w:rPr>
        <w:t>，通知承包人</w:t>
      </w:r>
      <w:r>
        <w:rPr>
          <w:rFonts w:hint="eastAsia" w:ascii="Times New Roman" w:hAnsi="Times New Roman" w:eastAsia="仿宋_GB2312"/>
          <w:color w:val="000000"/>
          <w:kern w:val="0"/>
          <w:sz w:val="30"/>
          <w:szCs w:val="32"/>
        </w:rPr>
        <w:t>修</w:t>
      </w:r>
      <w:r>
        <w:rPr>
          <w:rFonts w:ascii="Times New Roman" w:hAnsi="Times New Roman" w:eastAsia="仿宋_GB2312"/>
          <w:color w:val="000000"/>
          <w:kern w:val="0"/>
          <w:sz w:val="30"/>
          <w:szCs w:val="32"/>
        </w:rPr>
        <w:t>改</w:t>
      </w:r>
      <w:r>
        <w:rPr>
          <w:rFonts w:hint="eastAsia" w:ascii="Times New Roman" w:hAnsi="Times New Roman" w:eastAsia="仿宋_GB2312"/>
          <w:color w:val="000000"/>
          <w:kern w:val="0"/>
          <w:sz w:val="30"/>
          <w:szCs w:val="32"/>
        </w:rPr>
        <w:t>后重新提交</w:t>
      </w:r>
      <w:r>
        <w:rPr>
          <w:rFonts w:ascii="Times New Roman" w:hAnsi="Times New Roman" w:eastAsia="仿宋_GB2312"/>
          <w:color w:val="000000"/>
          <w:kern w:val="0"/>
          <w:sz w:val="30"/>
          <w:szCs w:val="32"/>
        </w:rPr>
        <w:t>。发包人应在</w:t>
      </w:r>
      <w:r>
        <w:rPr>
          <w:rFonts w:hint="eastAsia" w:ascii="Times New Roman" w:hAnsi="Times New Roman" w:eastAsia="仿宋_GB2312"/>
          <w:color w:val="000000"/>
          <w:kern w:val="0"/>
          <w:sz w:val="30"/>
          <w:szCs w:val="32"/>
        </w:rPr>
        <w:t>承包人提交变更估价申请</w:t>
      </w:r>
      <w:r>
        <w:rPr>
          <w:rFonts w:ascii="Times New Roman" w:hAnsi="Times New Roman" w:eastAsia="仿宋_GB2312"/>
          <w:color w:val="000000"/>
          <w:kern w:val="0"/>
          <w:sz w:val="30"/>
          <w:szCs w:val="32"/>
        </w:rPr>
        <w:t>后</w:t>
      </w:r>
      <w:r>
        <w:rPr>
          <w:rFonts w:hint="eastAsia" w:ascii="Times New Roman" w:hAnsi="Times New Roman" w:eastAsia="仿宋_GB2312"/>
          <w:color w:val="000000"/>
          <w:kern w:val="0"/>
          <w:sz w:val="30"/>
          <w:szCs w:val="32"/>
        </w:rPr>
        <w:t>14</w:t>
      </w:r>
      <w:r>
        <w:rPr>
          <w:rFonts w:ascii="Times New Roman" w:hAnsi="Times New Roman" w:eastAsia="仿宋_GB2312"/>
          <w:color w:val="000000"/>
          <w:kern w:val="0"/>
          <w:sz w:val="30"/>
          <w:szCs w:val="32"/>
        </w:rPr>
        <w:t>天内审批完毕。</w:t>
      </w:r>
      <w:r>
        <w:rPr>
          <w:rFonts w:hint="eastAsia" w:ascii="Times New Roman" w:hAnsi="Times New Roman" w:eastAsia="仿宋_GB2312"/>
          <w:color w:val="000000"/>
          <w:kern w:val="0"/>
          <w:sz w:val="30"/>
          <w:szCs w:val="32"/>
        </w:rPr>
        <w:t>发包人逾期未完成审批或未提出异议的，视为认可承包人提交的变更估价申请。</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因变更引起的价格调整应计入最近一期的进度款中支付。</w:t>
      </w:r>
    </w:p>
    <w:p>
      <w:pPr>
        <w:pStyle w:val="6"/>
        <w:spacing w:before="120" w:after="120" w:line="360" w:lineRule="auto"/>
        <w:ind w:firstLine="600" w:firstLineChars="200"/>
        <w:rPr>
          <w:rFonts w:ascii="Times New Roman" w:hAnsi="Times New Roman" w:eastAsia="黑体"/>
          <w:b w:val="0"/>
          <w:color w:val="000000"/>
          <w:sz w:val="30"/>
          <w:szCs w:val="32"/>
        </w:rPr>
      </w:pPr>
      <w:bookmarkStart w:id="256" w:name="_Toc351203572"/>
      <w:r>
        <w:rPr>
          <w:rFonts w:ascii="Times New Roman" w:hAnsi="Times New Roman" w:eastAsia="黑体"/>
          <w:b w:val="0"/>
          <w:color w:val="000000"/>
          <w:sz w:val="30"/>
          <w:szCs w:val="32"/>
        </w:rPr>
        <w:t>1</w:t>
      </w:r>
      <w:bookmarkStart w:id="257" w:name="_Toc296346595"/>
      <w:bookmarkStart w:id="258" w:name="_Toc337558792"/>
      <w:bookmarkStart w:id="259" w:name="_Toc296503094"/>
      <w:r>
        <w:rPr>
          <w:rFonts w:ascii="Times New Roman" w:hAnsi="Times New Roman" w:eastAsia="黑体"/>
          <w:b w:val="0"/>
          <w:color w:val="000000"/>
          <w:sz w:val="30"/>
          <w:szCs w:val="32"/>
        </w:rPr>
        <w:t>0.5承包人的合理化建议</w:t>
      </w:r>
      <w:bookmarkEnd w:id="256"/>
    </w:p>
    <w:bookmarkEnd w:id="257"/>
    <w:bookmarkEnd w:id="258"/>
    <w:bookmarkEnd w:id="25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变更估价</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约定执行。发包人不同意变更的，监理人应书面通知承包人。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合理化建议降低了合同价格或者提高了工程经济效益的，发包人可对承包人给予奖励，奖励的方法和金额在专用合同条款中约定。</w:t>
      </w:r>
    </w:p>
    <w:p>
      <w:pPr>
        <w:pStyle w:val="6"/>
        <w:spacing w:before="120" w:after="120" w:line="360" w:lineRule="auto"/>
        <w:ind w:firstLine="600" w:firstLineChars="200"/>
        <w:rPr>
          <w:rFonts w:ascii="Times New Roman" w:hAnsi="Times New Roman" w:eastAsia="仿宋_GB2312"/>
          <w:color w:val="000000"/>
          <w:sz w:val="30"/>
          <w:szCs w:val="32"/>
        </w:rPr>
      </w:pPr>
      <w:bookmarkStart w:id="260" w:name="_Toc351203573"/>
      <w:r>
        <w:rPr>
          <w:rFonts w:ascii="Times New Roman" w:hAnsi="Times New Roman" w:eastAsia="黑体"/>
          <w:b w:val="0"/>
          <w:color w:val="000000"/>
          <w:sz w:val="30"/>
          <w:szCs w:val="32"/>
        </w:rPr>
        <w:t>1</w:t>
      </w:r>
      <w:bookmarkStart w:id="261" w:name="_Toc337558793"/>
      <w:r>
        <w:rPr>
          <w:rFonts w:ascii="Times New Roman" w:hAnsi="Times New Roman" w:eastAsia="黑体"/>
          <w:b w:val="0"/>
          <w:color w:val="000000"/>
          <w:sz w:val="30"/>
          <w:szCs w:val="32"/>
        </w:rPr>
        <w:t>0.6变更引起的工期调整</w:t>
      </w:r>
      <w:bookmarkEnd w:id="260"/>
      <w:r>
        <w:rPr>
          <w:rFonts w:ascii="Times New Roman" w:hAnsi="Times New Roman" w:eastAsia="黑体"/>
          <w:b w:val="0"/>
          <w:color w:val="000000"/>
          <w:sz w:val="30"/>
          <w:szCs w:val="32"/>
        </w:rPr>
        <w:t xml:space="preserve"> </w:t>
      </w:r>
      <w:bookmarkEnd w:id="261"/>
      <w:r>
        <w:rPr>
          <w:rFonts w:ascii="Times New Roman" w:hAnsi="Times New Roman" w:eastAsia="黑体"/>
          <w:b w:val="0"/>
          <w:color w:val="000000"/>
          <w:sz w:val="30"/>
          <w:szCs w:val="32"/>
        </w:rPr>
        <w:t xml:space="preserve"> </w:t>
      </w:r>
      <w:r>
        <w:rPr>
          <w:rFonts w:ascii="Times New Roman" w:hAnsi="Times New Roman" w:eastAsia="仿宋_GB2312"/>
          <w:color w:val="00000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因变更引起工期变化的，合同当事人均可要求调整合同工期，由合同当事人按照第4.4款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并参考工程所在地的工期定额标准确定增减工期天数。</w:t>
      </w:r>
    </w:p>
    <w:p>
      <w:pPr>
        <w:pStyle w:val="6"/>
        <w:spacing w:before="120" w:after="120" w:line="360" w:lineRule="auto"/>
        <w:ind w:firstLine="600" w:firstLineChars="200"/>
        <w:rPr>
          <w:rFonts w:ascii="Times New Roman" w:hAnsi="Times New Roman" w:eastAsia="黑体"/>
          <w:b w:val="0"/>
          <w:color w:val="000000"/>
          <w:sz w:val="30"/>
          <w:szCs w:val="32"/>
        </w:rPr>
      </w:pPr>
      <w:bookmarkStart w:id="262" w:name="_Toc351203574"/>
      <w:r>
        <w:rPr>
          <w:rFonts w:ascii="Times New Roman" w:hAnsi="Times New Roman" w:eastAsia="黑体"/>
          <w:b w:val="0"/>
          <w:color w:val="000000"/>
          <w:sz w:val="30"/>
          <w:szCs w:val="32"/>
        </w:rPr>
        <w:t>10.7暂估价</w:t>
      </w:r>
      <w:bookmarkEnd w:id="262"/>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暂估价专业分包工程、</w:t>
      </w:r>
      <w:r>
        <w:rPr>
          <w:rFonts w:hint="eastAsia" w:ascii="Times New Roman" w:hAnsi="Times New Roman" w:eastAsia="仿宋_GB2312"/>
          <w:color w:val="000000"/>
          <w:kern w:val="0"/>
          <w:sz w:val="30"/>
          <w:szCs w:val="32"/>
        </w:rPr>
        <w:t>服务、</w:t>
      </w:r>
      <w:r>
        <w:rPr>
          <w:rFonts w:ascii="Times New Roman" w:hAnsi="Times New Roman" w:eastAsia="仿宋_GB2312"/>
          <w:color w:val="000000"/>
          <w:kern w:val="0"/>
          <w:sz w:val="30"/>
          <w:szCs w:val="32"/>
        </w:rPr>
        <w:t>材料和工程设备的明细由合同当事人在专用合同条款中约定。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10.7.1</w:t>
      </w:r>
      <w:r>
        <w:rPr>
          <w:rFonts w:ascii="Times New Roman" w:hAnsi="Times New Roman" w:eastAsia="仿宋_GB2312"/>
          <w:color w:val="000000"/>
          <w:kern w:val="0"/>
          <w:sz w:val="30"/>
          <w:szCs w:val="32"/>
        </w:rPr>
        <w:t xml:space="preserve"> 依法必须招标的暂估价项目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对于依法必须招标的暂估价项目，采取以下第1种方式确定</w:t>
      </w:r>
      <w:r>
        <w:rPr>
          <w:rFonts w:hint="eastAsia" w:ascii="Times New Roman" w:hAnsi="Times New Roman" w:eastAsia="仿宋_GB2312"/>
          <w:color w:val="000000"/>
          <w:kern w:val="0"/>
          <w:sz w:val="30"/>
          <w:szCs w:val="32"/>
        </w:rPr>
        <w:t>。合同当事人也可以在</w:t>
      </w:r>
      <w:r>
        <w:rPr>
          <w:rFonts w:ascii="Times New Roman" w:hAnsi="Times New Roman" w:eastAsia="仿宋_GB2312"/>
          <w:color w:val="000000"/>
          <w:kern w:val="0"/>
          <w:sz w:val="30"/>
          <w:szCs w:val="32"/>
        </w:rPr>
        <w:t>专用合同条款</w:t>
      </w:r>
      <w:r>
        <w:rPr>
          <w:rFonts w:hint="eastAsia" w:ascii="Times New Roman" w:hAnsi="Times New Roman" w:eastAsia="仿宋_GB2312"/>
          <w:color w:val="000000"/>
          <w:kern w:val="0"/>
          <w:sz w:val="30"/>
          <w:szCs w:val="32"/>
        </w:rPr>
        <w:t>中选择其他招标方式。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第1种方式：对于依法必须招标的暂估价项目，由承包人招标，对该暂估价项目的确认和批准按照以下约定执行：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000000"/>
          <w:kern w:val="0"/>
          <w:sz w:val="30"/>
          <w:szCs w:val="32"/>
        </w:rPr>
        <w:t>并按照法律规定参加评标</w:t>
      </w:r>
      <w:r>
        <w:rPr>
          <w:rFonts w:ascii="Times New Roman" w:hAnsi="Times New Roman" w:eastAsia="仿宋_GB2312"/>
          <w:color w:val="000000"/>
          <w:kern w:val="0"/>
          <w:sz w:val="30"/>
          <w:szCs w:val="32"/>
        </w:rPr>
        <w:t>；</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10.7.2</w:t>
      </w:r>
      <w:r>
        <w:rPr>
          <w:rFonts w:ascii="Times New Roman" w:hAnsi="Times New Roman" w:eastAsia="仿宋_GB2312"/>
          <w:color w:val="000000"/>
          <w:kern w:val="0"/>
          <w:sz w:val="30"/>
          <w:szCs w:val="32"/>
        </w:rPr>
        <w:t>不属于依法必须招标的暂估价项目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除专用合同条款另有约定外，对于不属于依法必须招标的暂估价项目，采取以下第1种方式确定：</w:t>
      </w:r>
      <w:r>
        <w:rPr>
          <w:rFonts w:hint="eastAsia" w:ascii="Times New Roman" w:hAnsi="Times New Roman" w:eastAsia="仿宋_GB2312"/>
          <w:color w:val="000000"/>
          <w:kern w:val="0"/>
          <w:sz w:val="30"/>
          <w:szCs w:val="32"/>
        </w:rPr>
        <w:t xml:space="preserve">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第1种方式：对于不属于依法必须招标的暂估价项目，按本项约定确认和批准：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（2）发包人认为承包人确定的供应商、分包人无法满足工程质量或合同要求的，发包人可以要求承包人重新确定暂估价项目的供应商、分包人;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（3）承包人应当在签订暂估价合同后7天内，将暂估价合同副本报送发包人留存。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第2种方式：承包人按照第10.7.1项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依法必须招标的暂估价项目</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约定的第1种方式确定暂估价项目。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第3种方式：</w:t>
      </w:r>
      <w:r>
        <w:rPr>
          <w:rFonts w:ascii="Times New Roman" w:hAnsi="Times New Roman" w:eastAsia="仿宋_GB2312"/>
          <w:color w:val="000000"/>
          <w:kern w:val="0"/>
          <w:sz w:val="30"/>
          <w:szCs w:val="32"/>
        </w:rPr>
        <w:t>承包人直接实施的暂估价项目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承包人具备实施暂估价项目的资格和条件的，经发包人和承包人协商一致后，可由承包人自行实施暂估价项目，合同当事人可以在专用合同条款约定具体事项。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263" w:name="_Toc351203575"/>
      <w:r>
        <w:rPr>
          <w:rFonts w:ascii="Times New Roman" w:hAnsi="Times New Roman" w:eastAsia="黑体"/>
          <w:b w:val="0"/>
          <w:color w:val="000000"/>
          <w:sz w:val="30"/>
          <w:szCs w:val="32"/>
        </w:rPr>
        <w:t>1</w:t>
      </w:r>
      <w:bookmarkStart w:id="264" w:name="_Toc337558794"/>
      <w:bookmarkStart w:id="265" w:name="_Toc296503090"/>
      <w:bookmarkStart w:id="266" w:name="_Toc296346591"/>
      <w:bookmarkStart w:id="267" w:name="_Toc322522561"/>
      <w:r>
        <w:rPr>
          <w:rFonts w:ascii="Times New Roman" w:hAnsi="Times New Roman" w:eastAsia="黑体"/>
          <w:b w:val="0"/>
          <w:color w:val="000000"/>
          <w:sz w:val="30"/>
          <w:szCs w:val="32"/>
        </w:rPr>
        <w:t>0.8暂列金额</w:t>
      </w:r>
      <w:bookmarkEnd w:id="263"/>
    </w:p>
    <w:bookmarkEnd w:id="26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暂列金额应按照发包人的要求使用，发包人的要求应通过监理人发出。</w:t>
      </w:r>
      <w:r>
        <w:rPr>
          <w:rFonts w:hint="eastAsia" w:ascii="Times New Roman" w:hAnsi="Times New Roman" w:eastAsia="仿宋_GB2312"/>
          <w:color w:val="000000"/>
          <w:kern w:val="0"/>
          <w:sz w:val="30"/>
          <w:szCs w:val="32"/>
        </w:rPr>
        <w:t>合同当事人可以在专用合同条款中协商确定有关事项。</w:t>
      </w:r>
    </w:p>
    <w:bookmarkEnd w:id="265"/>
    <w:bookmarkEnd w:id="266"/>
    <w:bookmarkEnd w:id="267"/>
    <w:p>
      <w:pPr>
        <w:pStyle w:val="6"/>
        <w:spacing w:before="120" w:after="120" w:line="360" w:lineRule="auto"/>
        <w:ind w:firstLine="600" w:firstLineChars="200"/>
        <w:rPr>
          <w:rFonts w:ascii="Times New Roman" w:hAnsi="Times New Roman" w:eastAsia="黑体"/>
          <w:b w:val="0"/>
          <w:color w:val="000000"/>
          <w:sz w:val="30"/>
          <w:szCs w:val="32"/>
        </w:rPr>
      </w:pPr>
      <w:bookmarkStart w:id="268" w:name="_Toc351203576"/>
      <w:r>
        <w:rPr>
          <w:rFonts w:ascii="Times New Roman" w:hAnsi="Times New Roman" w:eastAsia="黑体"/>
          <w:b w:val="0"/>
          <w:color w:val="000000"/>
          <w:sz w:val="30"/>
          <w:szCs w:val="32"/>
        </w:rPr>
        <w:t>1</w:t>
      </w:r>
      <w:bookmarkStart w:id="269" w:name="_Toc337558796"/>
      <w:bookmarkStart w:id="270" w:name="_Toc296346592"/>
      <w:bookmarkStart w:id="271" w:name="_Toc296503091"/>
      <w:r>
        <w:rPr>
          <w:rFonts w:ascii="Times New Roman" w:hAnsi="Times New Roman" w:eastAsia="黑体"/>
          <w:b w:val="0"/>
          <w:color w:val="000000"/>
          <w:sz w:val="30"/>
          <w:szCs w:val="32"/>
        </w:rPr>
        <w:t>0.9计日工</w:t>
      </w:r>
      <w:bookmarkEnd w:id="268"/>
      <w:r>
        <w:rPr>
          <w:rFonts w:ascii="Times New Roman" w:hAnsi="Times New Roman" w:eastAsia="黑体"/>
          <w:b w:val="0"/>
          <w:color w:val="000000"/>
          <w:sz w:val="30"/>
          <w:szCs w:val="32"/>
        </w:rPr>
        <w:t xml:space="preserve"> </w:t>
      </w:r>
      <w:bookmarkEnd w:id="269"/>
      <w:bookmarkEnd w:id="270"/>
      <w:bookmarkEnd w:id="271"/>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需要采用计日工方式的，经发包人同意后</w:t>
      </w:r>
      <w:r>
        <w:rPr>
          <w:rFonts w:ascii="Times New Roman" w:hAnsi="Times New Roman" w:eastAsia="仿宋_GB2312"/>
          <w:color w:val="000000"/>
          <w:kern w:val="0"/>
          <w:sz w:val="30"/>
          <w:szCs w:val="32"/>
        </w:rPr>
        <w:t>，由监理人通知承包人以计日工计价方式实施</w:t>
      </w:r>
      <w:r>
        <w:rPr>
          <w:rFonts w:hint="eastAsia" w:ascii="Times New Roman" w:hAnsi="Times New Roman" w:eastAsia="仿宋_GB2312"/>
          <w:color w:val="000000"/>
          <w:kern w:val="0"/>
          <w:sz w:val="30"/>
          <w:szCs w:val="32"/>
        </w:rPr>
        <w:t>相应</w:t>
      </w:r>
      <w:r>
        <w:rPr>
          <w:rFonts w:ascii="Times New Roman" w:hAnsi="Times New Roman" w:eastAsia="仿宋_GB2312"/>
          <w:color w:val="000000"/>
          <w:kern w:val="0"/>
          <w:sz w:val="30"/>
          <w:szCs w:val="32"/>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确定</w:t>
      </w:r>
      <w:r>
        <w:rPr>
          <w:rFonts w:hint="eastAsia" w:ascii="Times New Roman" w:hAnsi="Times New Roman" w:eastAsia="仿宋_GB2312"/>
          <w:color w:val="000000"/>
          <w:kern w:val="0"/>
          <w:sz w:val="30"/>
          <w:szCs w:val="32"/>
        </w:rPr>
        <w:t>计日工</w:t>
      </w:r>
      <w:r>
        <w:rPr>
          <w:rFonts w:ascii="Times New Roman" w:hAnsi="Times New Roman" w:eastAsia="仿宋_GB2312"/>
          <w:color w:val="000000"/>
          <w:kern w:val="0"/>
          <w:sz w:val="30"/>
          <w:szCs w:val="32"/>
        </w:rPr>
        <w:t>的单价。</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采用计日工计价的任何一项工作，承包人应在该项工作实施过程中，每天提交以下报表和有关凭证报送监理人审查：</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（1）工作名称、内容和数量；</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（2）投入该工作的所有人员的姓名、专业、工种、级别和耗用工时；</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（3）投入该工作的材料类别和数量；</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（4）投入该工作的施工设备型号、台数和耗用台时；</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（5）其他有关资料和凭证。</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计日工由承包人汇总后，列入最近一期进度付款申请单，由监理人审查并经发包人批准后列入进度付款。</w:t>
      </w:r>
    </w:p>
    <w:p>
      <w:pPr>
        <w:pStyle w:val="5"/>
        <w:spacing w:before="120" w:after="120" w:line="360" w:lineRule="auto"/>
        <w:rPr>
          <w:rFonts w:ascii="Times New Roman" w:hAnsi="Times New Roman" w:eastAsia="黑体"/>
          <w:b w:val="0"/>
          <w:color w:val="000000"/>
          <w:sz w:val="32"/>
          <w:szCs w:val="32"/>
        </w:rPr>
      </w:pPr>
      <w:bookmarkStart w:id="272" w:name="_Toc351203577"/>
      <w:r>
        <w:rPr>
          <w:rFonts w:ascii="Times New Roman" w:hAnsi="Times New Roman" w:eastAsia="黑体"/>
          <w:b w:val="0"/>
          <w:color w:val="000000"/>
          <w:sz w:val="32"/>
          <w:szCs w:val="32"/>
        </w:rPr>
        <w:t>11. 价格调整</w:t>
      </w:r>
      <w:bookmarkEnd w:id="272"/>
    </w:p>
    <w:p>
      <w:pPr>
        <w:pStyle w:val="6"/>
        <w:spacing w:before="120" w:after="120" w:line="360" w:lineRule="auto"/>
        <w:ind w:firstLine="600" w:firstLineChars="200"/>
        <w:rPr>
          <w:rFonts w:ascii="Times New Roman" w:hAnsi="Times New Roman" w:eastAsia="黑体"/>
          <w:b w:val="0"/>
          <w:color w:val="000000"/>
          <w:sz w:val="30"/>
          <w:szCs w:val="32"/>
        </w:rPr>
      </w:pPr>
      <w:bookmarkStart w:id="273" w:name="_Toc351203578"/>
      <w:bookmarkStart w:id="274" w:name="_Toc337558797"/>
      <w:bookmarkStart w:id="275" w:name="_Toc296346593"/>
      <w:bookmarkStart w:id="276" w:name="_Toc296503092"/>
      <w:r>
        <w:rPr>
          <w:rFonts w:ascii="Times New Roman" w:hAnsi="Times New Roman" w:eastAsia="黑体"/>
          <w:b w:val="0"/>
          <w:color w:val="000000"/>
          <w:sz w:val="30"/>
          <w:szCs w:val="32"/>
        </w:rPr>
        <w:t>11.1市场价格波动引起的调整</w:t>
      </w:r>
      <w:bookmarkEnd w:id="273"/>
    </w:p>
    <w:bookmarkEnd w:id="274"/>
    <w:bookmarkEnd w:id="275"/>
    <w:bookmarkEnd w:id="276"/>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第1种方式：采用价格指数</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（1）价格调整公式</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position w:val="-30"/>
          <w:sz w:val="30"/>
          <w:szCs w:val="32"/>
        </w:rPr>
        <w:object>
          <v:shape id="_x0000_i1025" o:spt="75" type="#_x0000_t75" style="height:43.9pt;width:359.85pt;" o:ole="t" filled="f" stroked="f" coordsize="21600,21600">
            <v:path/>
            <v:fill on="f" focussize="0,0"/>
            <v:stroke on="f"/>
            <v:imagedata r:id="rId9" o:title=""/>
            <o:lock v:ext="edit" grouping="f" rotation="f" text="f" aspectratio="t"/>
            <w10:wrap type="none"/>
            <w10:anchorlock/>
          </v:shape>
          <o:OLEObject Type="Embed" ProgID="Equation.KSEE3" ShapeID="_x0000_i1025" DrawAspect="Content" ObjectID="_1468075725" r:id="rId8">
            <o:LockedField>false</o:LockedField>
          </o:OLEObject>
        </w:object>
      </w:r>
    </w:p>
    <w:p>
      <w:pPr>
        <w:tabs>
          <w:tab w:val="left" w:pos="0"/>
          <w:tab w:val="left" w:pos="360"/>
          <w:tab w:val="left" w:pos="540"/>
        </w:tabs>
        <w:spacing w:line="360" w:lineRule="auto"/>
        <w:ind w:firstLine="640"/>
        <w:rPr>
          <w:rFonts w:ascii="Times New Roman" w:hAnsi="Times New Roman" w:eastAsia="仿宋_GB2312"/>
          <w:color w:val="000000"/>
          <w:sz w:val="30"/>
          <w:szCs w:val="32"/>
        </w:rPr>
      </w:pPr>
      <w:r>
        <w:rPr>
          <w:rFonts w:ascii="Times New Roman" w:hAnsi="Times New Roman" w:eastAsia="仿宋_GB2312"/>
          <w:color w:val="000000"/>
          <w:sz w:val="30"/>
          <w:szCs w:val="32"/>
        </w:rPr>
        <w:t>公式中：ΔP——需调整的价格差额；</w:t>
      </w:r>
    </w:p>
    <w:p>
      <w:pPr>
        <w:tabs>
          <w:tab w:val="left" w:pos="0"/>
          <w:tab w:val="left" w:pos="360"/>
          <w:tab w:val="left" w:pos="540"/>
        </w:tabs>
        <w:spacing w:line="360" w:lineRule="auto"/>
        <w:ind w:firstLine="1800" w:firstLineChars="600"/>
        <w:rPr>
          <w:rFonts w:ascii="Times New Roman" w:hAnsi="Times New Roman" w:eastAsia="仿宋_GB2312"/>
          <w:color w:val="000000"/>
          <w:sz w:val="30"/>
          <w:szCs w:val="32"/>
        </w:rPr>
      </w:pPr>
      <w:r>
        <w:rPr>
          <w:rFonts w:ascii="Times New Roman" w:hAnsi="Times New Roman" w:eastAsia="仿宋_GB2312"/>
          <w:color w:val="000000"/>
          <w:position w:val="-6"/>
          <w:sz w:val="30"/>
          <w:szCs w:val="32"/>
        </w:rPr>
        <w:object>
          <v:shape id="_x0000_i1026" o:spt="75" type="#_x0000_t75" style="height:17.95pt;width:17.95pt;" o:ole="t" filled="f" stroked="f" coordsize="21600,21600">
            <v:path/>
            <v:fill on="f" focussize="0,0"/>
            <v:stroke on="f"/>
            <v:imagedata r:id="rId11" o:title=""/>
            <o:lock v:ext="edit" grouping="f" rotation="f" text="f" aspectratio="t"/>
            <w10:wrap type="none"/>
            <w10:anchorlock/>
          </v:shape>
          <o:OLEObject Type="Embed" ProgID="Equation.KSEE3" ShapeID="_x0000_i1026" DrawAspect="Content" ObjectID="_1468075726" r:id="rId10">
            <o:LockedField>false</o:LockedField>
          </o:OLEObject>
        </w:object>
      </w:r>
      <w:r>
        <w:rPr>
          <w:rFonts w:ascii="Times New Roman" w:hAnsi="Times New Roman" w:eastAsia="仿宋_GB2312"/>
          <w:color w:val="000000"/>
          <w:sz w:val="30"/>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A——定值权重（即不调部分的权重）；</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position w:val="-10"/>
          <w:sz w:val="30"/>
          <w:szCs w:val="32"/>
        </w:rPr>
        <w:object>
          <v:shape id="_x0000_i1027" o:spt="75" type="#_x0000_t75" style="height:21.05pt;width:101pt;" o:ole="t" filled="f" stroked="f" coordsize="21600,21600">
            <v:path/>
            <v:fill on="f" focussize="0,0"/>
            <v:stroke on="f"/>
            <v:imagedata r:id="rId13" o:title=""/>
            <o:lock v:ext="edit" grouping="f" rotation="f" text="f" aspectratio="t"/>
            <w10:wrap type="none"/>
            <w10:anchorlock/>
          </v:shape>
          <o:OLEObject Type="Embed" ProgID="Equation.KSEE3" ShapeID="_x0000_i1027" DrawAspect="Content" ObjectID="_1468075727" r:id="rId12">
            <o:LockedField>false</o:LockedField>
          </o:OLEObject>
        </w:object>
      </w:r>
      <w:r>
        <w:rPr>
          <w:rFonts w:ascii="Times New Roman" w:hAnsi="Times New Roman" w:eastAsia="仿宋_GB2312"/>
          <w:color w:val="000000"/>
          <w:sz w:val="30"/>
          <w:szCs w:val="32"/>
        </w:rPr>
        <w:t>——各可调因子的变值权重（即可调部分的权重），为各可调因子在签约合同价中所占的比例；</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position w:val="-10"/>
          <w:sz w:val="30"/>
          <w:szCs w:val="32"/>
        </w:rPr>
        <w:object>
          <v:shape id="_x0000_i1028" o:spt="75" type="#_x0000_t75" style="height:20.6pt;width:102.05pt;" o:ole="t" filled="f" stroked="f" coordsize="21600,21600">
            <v:path/>
            <v:fill on="f" focussize="0,0"/>
            <v:stroke on="f"/>
            <v:imagedata r:id="rId15" o:title=""/>
            <o:lock v:ext="edit" grouping="f" rotation="f" text="f" aspectratio="t"/>
            <w10:wrap type="none"/>
            <w10:anchorlock/>
          </v:shape>
          <o:OLEObject Type="Embed" ProgID="Equation.KSEE3" ShapeID="_x0000_i1028" DrawAspect="Content" ObjectID="_1468075728" r:id="rId14">
            <o:LockedField>false</o:LockedField>
          </o:OLEObject>
        </w:object>
      </w:r>
      <w:r>
        <w:rPr>
          <w:rFonts w:ascii="Times New Roman" w:hAnsi="Times New Roman" w:eastAsia="仿宋_GB2312"/>
          <w:color w:val="000000"/>
          <w:sz w:val="30"/>
          <w:szCs w:val="32"/>
        </w:rPr>
        <w:t>——各可调因子的现行价格指数，指约定的付款证书相关周期最后一天的前42天的各可调因子的价格指数；</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position w:val="-10"/>
          <w:sz w:val="30"/>
          <w:szCs w:val="32"/>
        </w:rPr>
        <w:object>
          <v:shape id="_x0000_i1029" o:spt="75" type="#_x0000_t75" style="height:20.2pt;width:108pt;" o:ole="t" filled="f" stroked="f" coordsize="21600,21600">
            <v:path/>
            <v:fill on="f" focussize="0,0"/>
            <v:stroke on="f"/>
            <v:imagedata r:id="rId17" o:title=""/>
            <o:lock v:ext="edit" grouping="f" rotation="f" text="f" aspectratio="t"/>
            <w10:wrap type="none"/>
            <w10:anchorlock/>
          </v:shape>
          <o:OLEObject Type="Embed" ProgID="Equation.KSEE3" ShapeID="_x0000_i1029" DrawAspect="Content" ObjectID="_1468075729" r:id="rId16">
            <o:LockedField>false</o:LockedField>
          </o:OLEObject>
        </w:object>
      </w:r>
      <w:r>
        <w:rPr>
          <w:rFonts w:ascii="Times New Roman" w:hAnsi="Times New Roman" w:eastAsia="仿宋_GB2312"/>
          <w:color w:val="000000"/>
          <w:sz w:val="30"/>
          <w:szCs w:val="32"/>
        </w:rPr>
        <w:t>——各可调因子的基本价格指数，指基准日期的各可调因子的价格指数。</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（2）暂时确定调整差额</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（3）权重的调整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因变更导致合同约定的权重不合理时，按照第4.4款</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商定或确定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执行。</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（4）因承包人原因工期延误后的价格调整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第2种方式：采用造价信息</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000000"/>
          <w:sz w:val="30"/>
          <w:szCs w:val="32"/>
        </w:rPr>
        <w:t>量</w:t>
      </w:r>
      <w:r>
        <w:rPr>
          <w:rFonts w:ascii="Times New Roman" w:hAnsi="Times New Roman" w:eastAsia="仿宋_GB2312"/>
          <w:color w:val="000000"/>
          <w:sz w:val="30"/>
          <w:szCs w:val="32"/>
        </w:rPr>
        <w:t>应由发包人审批，发包人确认需调整的材料单价及数量，作为调整合同价格的依据。</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（2）材料、工程设备价格变化的价款调整按照发包人提供的基准价格，按以下风险范围规定执行:</w:t>
      </w:r>
    </w:p>
    <w:p>
      <w:pPr>
        <w:spacing w:line="360" w:lineRule="auto"/>
        <w:ind w:firstLine="600" w:firstLineChars="200"/>
        <w:rPr>
          <w:rFonts w:ascii="Times New Roman" w:hAnsi="Times New Roman" w:eastAsia="仿宋_GB2312"/>
          <w:color w:val="000000"/>
          <w:sz w:val="30"/>
          <w:szCs w:val="32"/>
        </w:rPr>
      </w:pPr>
      <w:r>
        <w:rPr>
          <w:rFonts w:hint="eastAsia" w:ascii="宋体" w:hAnsi="宋体" w:cs="宋体"/>
          <w:color w:val="000000"/>
          <w:sz w:val="30"/>
          <w:szCs w:val="32"/>
        </w:rPr>
        <w:t>①</w:t>
      </w:r>
      <w:r>
        <w:rPr>
          <w:rFonts w:ascii="Times New Roman" w:hAnsi="Times New Roman" w:eastAsia="仿宋_GB2312"/>
          <w:color w:val="000000"/>
          <w:sz w:val="30"/>
          <w:szCs w:val="32"/>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600" w:firstLineChars="200"/>
        <w:rPr>
          <w:rFonts w:ascii="Times New Roman" w:hAnsi="Times New Roman" w:eastAsia="仿宋_GB2312"/>
          <w:color w:val="000000"/>
          <w:sz w:val="30"/>
          <w:szCs w:val="32"/>
        </w:rPr>
      </w:pPr>
      <w:r>
        <w:rPr>
          <w:rFonts w:hint="eastAsia" w:ascii="宋体" w:hAnsi="宋体" w:cs="宋体"/>
          <w:color w:val="000000"/>
          <w:sz w:val="30"/>
          <w:szCs w:val="32"/>
        </w:rPr>
        <w:t>②</w:t>
      </w:r>
      <w:r>
        <w:rPr>
          <w:rFonts w:ascii="Times New Roman" w:hAnsi="Times New Roman" w:eastAsia="仿宋_GB2312"/>
          <w:color w:val="000000"/>
          <w:sz w:val="30"/>
          <w:szCs w:val="32"/>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600" w:firstLineChars="200"/>
        <w:rPr>
          <w:rFonts w:ascii="Times New Roman" w:hAnsi="Times New Roman" w:eastAsia="仿宋_GB2312"/>
          <w:color w:val="000000"/>
          <w:sz w:val="30"/>
          <w:szCs w:val="32"/>
        </w:rPr>
      </w:pPr>
      <w:r>
        <w:rPr>
          <w:rFonts w:hint="eastAsia" w:ascii="宋体" w:hAnsi="宋体" w:cs="宋体"/>
          <w:color w:val="000000"/>
          <w:sz w:val="30"/>
          <w:szCs w:val="32"/>
        </w:rPr>
        <w:t>③</w:t>
      </w:r>
      <w:r>
        <w:rPr>
          <w:rFonts w:ascii="Times New Roman" w:hAnsi="Times New Roman" w:eastAsia="仿宋_GB2312"/>
          <w:color w:val="000000"/>
          <w:sz w:val="30"/>
          <w:szCs w:val="32"/>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600" w:firstLineChars="200"/>
        <w:rPr>
          <w:rFonts w:ascii="Times New Roman" w:hAnsi="Times New Roman" w:eastAsia="仿宋_GB2312"/>
          <w:color w:val="000000"/>
          <w:sz w:val="30"/>
          <w:szCs w:val="32"/>
        </w:rPr>
      </w:pPr>
      <w:r>
        <w:rPr>
          <w:rFonts w:hint="eastAsia" w:ascii="宋体" w:hAnsi="宋体" w:cs="宋体"/>
          <w:color w:val="000000"/>
          <w:sz w:val="30"/>
          <w:szCs w:val="32"/>
        </w:rPr>
        <w:t>④</w:t>
      </w:r>
      <w:r>
        <w:rPr>
          <w:rFonts w:ascii="Times New Roman" w:hAnsi="Times New Roman" w:eastAsia="仿宋_GB2312"/>
          <w:color w:val="000000"/>
          <w:sz w:val="30"/>
          <w:szCs w:val="32"/>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600" w:firstLineChars="200"/>
        <w:rPr>
          <w:rFonts w:ascii="Times New Roman" w:hAnsi="Times New Roman" w:eastAsia="仿宋_GB2312"/>
          <w:color w:val="000000"/>
          <w:sz w:val="30"/>
          <w:szCs w:val="32"/>
        </w:rPr>
      </w:pPr>
      <w:bookmarkStart w:id="277" w:name="OLE_LINK3"/>
      <w:r>
        <w:rPr>
          <w:rFonts w:ascii="Times New Roman" w:hAnsi="Times New Roman" w:eastAsia="仿宋_GB2312"/>
          <w:color w:val="000000"/>
          <w:sz w:val="30"/>
          <w:szCs w:val="32"/>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（3）施工机械台班单价或施工机械使用费发生变化超过省级或行业建设主管部门或其授权的工程造价管理机构规定的范围时，按规定调整合同价格。</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第3种方式：专用合同条款约定的其他方式。</w:t>
      </w:r>
    </w:p>
    <w:p>
      <w:pPr>
        <w:pStyle w:val="6"/>
        <w:spacing w:before="120" w:after="120" w:line="360" w:lineRule="auto"/>
        <w:ind w:firstLine="600" w:firstLineChars="200"/>
        <w:rPr>
          <w:rFonts w:ascii="Times New Roman" w:hAnsi="Times New Roman" w:eastAsia="黑体"/>
          <w:b w:val="0"/>
          <w:color w:val="000000"/>
          <w:sz w:val="30"/>
          <w:szCs w:val="32"/>
        </w:rPr>
      </w:pPr>
      <w:bookmarkStart w:id="278" w:name="_Toc351203579"/>
      <w:bookmarkStart w:id="279" w:name="_Toc296346594"/>
      <w:bookmarkStart w:id="280" w:name="_Toc337558798"/>
      <w:bookmarkStart w:id="281" w:name="_Toc296503093"/>
      <w:r>
        <w:rPr>
          <w:rFonts w:ascii="Times New Roman" w:hAnsi="Times New Roman" w:eastAsia="黑体"/>
          <w:b w:val="0"/>
          <w:color w:val="000000"/>
          <w:sz w:val="30"/>
          <w:szCs w:val="32"/>
        </w:rPr>
        <w:t>11.2法律变化引起的调整</w:t>
      </w:r>
      <w:bookmarkEnd w:id="278"/>
    </w:p>
    <w:bookmarkEnd w:id="279"/>
    <w:bookmarkEnd w:id="280"/>
    <w:bookmarkEnd w:id="281"/>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基准日</w:t>
      </w:r>
      <w:r>
        <w:rPr>
          <w:rFonts w:hint="eastAsia" w:ascii="Times New Roman" w:hAnsi="Times New Roman" w:eastAsia="仿宋_GB2312"/>
          <w:color w:val="000000"/>
          <w:sz w:val="30"/>
          <w:szCs w:val="32"/>
        </w:rPr>
        <w:t>期</w:t>
      </w:r>
      <w:r>
        <w:rPr>
          <w:rFonts w:ascii="Times New Roman" w:hAnsi="Times New Roman" w:eastAsia="仿宋_GB2312"/>
          <w:color w:val="000000"/>
          <w:sz w:val="30"/>
          <w:szCs w:val="32"/>
        </w:rPr>
        <w:t>后，法律变化</w:t>
      </w:r>
      <w:r>
        <w:rPr>
          <w:rFonts w:hint="eastAsia" w:ascii="Times New Roman" w:hAnsi="Times New Roman" w:eastAsia="仿宋_GB2312"/>
          <w:color w:val="000000"/>
          <w:sz w:val="30"/>
          <w:szCs w:val="32"/>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000000"/>
          <w:sz w:val="30"/>
          <w:szCs w:val="32"/>
        </w:rPr>
        <w:t>基准日</w:t>
      </w:r>
      <w:r>
        <w:rPr>
          <w:rFonts w:hint="eastAsia" w:ascii="Times New Roman" w:hAnsi="Times New Roman" w:eastAsia="仿宋_GB2312"/>
          <w:color w:val="000000"/>
          <w:sz w:val="30"/>
          <w:szCs w:val="32"/>
        </w:rPr>
        <w:t>期</w:t>
      </w:r>
      <w:r>
        <w:rPr>
          <w:rFonts w:ascii="Times New Roman" w:hAnsi="Times New Roman" w:eastAsia="仿宋_GB2312"/>
          <w:color w:val="000000"/>
          <w:sz w:val="30"/>
          <w:szCs w:val="32"/>
        </w:rPr>
        <w:t>后，</w:t>
      </w:r>
      <w:r>
        <w:rPr>
          <w:rFonts w:hint="eastAsia" w:ascii="Times New Roman" w:hAnsi="Times New Roman" w:eastAsia="仿宋_GB2312"/>
          <w:color w:val="000000"/>
          <w:sz w:val="30"/>
          <w:szCs w:val="32"/>
        </w:rPr>
        <w:t>因</w:t>
      </w:r>
      <w:r>
        <w:rPr>
          <w:rFonts w:ascii="Times New Roman" w:hAnsi="Times New Roman" w:eastAsia="仿宋_GB2312"/>
          <w:color w:val="000000"/>
          <w:sz w:val="30"/>
          <w:szCs w:val="32"/>
        </w:rPr>
        <w:t>法律变化</w:t>
      </w:r>
      <w:r>
        <w:rPr>
          <w:rFonts w:hint="eastAsia" w:ascii="Times New Roman" w:hAnsi="Times New Roman" w:eastAsia="仿宋_GB2312"/>
          <w:color w:val="000000"/>
          <w:sz w:val="30"/>
          <w:szCs w:val="32"/>
        </w:rPr>
        <w:t>造成工期延误时，工期应予以顺延。</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因法律变化引起的合同价格和工期调整，合同当事人无法达成一致的，由总监理工程师按第4.4款〔商定或确定〕的约定处理。</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因承包人原因造成工期延误，在工期延误期间出现法律变化的，由此增加的费用和（或）延误的工期由承包人承担。</w:t>
      </w:r>
    </w:p>
    <w:p>
      <w:pPr>
        <w:pStyle w:val="5"/>
        <w:spacing w:before="120" w:after="120" w:line="360" w:lineRule="auto"/>
        <w:rPr>
          <w:rFonts w:ascii="Times New Roman" w:hAnsi="Times New Roman" w:eastAsia="黑体"/>
          <w:b w:val="0"/>
          <w:color w:val="000000"/>
          <w:sz w:val="30"/>
          <w:szCs w:val="32"/>
        </w:rPr>
      </w:pPr>
      <w:bookmarkStart w:id="282" w:name="_Toc351203580"/>
      <w:bookmarkStart w:id="283" w:name="_Toc337558799"/>
      <w:bookmarkStart w:id="284" w:name="_Toc296346597"/>
      <w:bookmarkStart w:id="285" w:name="_Toc296503096"/>
      <w:r>
        <w:rPr>
          <w:rFonts w:ascii="Times New Roman" w:hAnsi="Times New Roman" w:eastAsia="黑体"/>
          <w:b w:val="0"/>
          <w:color w:val="000000"/>
          <w:sz w:val="32"/>
          <w:szCs w:val="32"/>
        </w:rPr>
        <w:t>12. 合同价格、计量与支付</w:t>
      </w:r>
      <w:bookmarkEnd w:id="282"/>
    </w:p>
    <w:bookmarkEnd w:id="283"/>
    <w:p>
      <w:pPr>
        <w:pStyle w:val="6"/>
        <w:spacing w:before="120" w:after="120" w:line="360" w:lineRule="auto"/>
        <w:ind w:firstLine="600" w:firstLineChars="200"/>
        <w:rPr>
          <w:rFonts w:ascii="Times New Roman" w:hAnsi="Times New Roman" w:eastAsia="黑体"/>
          <w:b w:val="0"/>
          <w:color w:val="000000"/>
          <w:sz w:val="30"/>
          <w:szCs w:val="32"/>
        </w:rPr>
      </w:pPr>
      <w:bookmarkStart w:id="286" w:name="_Toc351203581"/>
      <w:bookmarkStart w:id="287" w:name="_Toc337558800"/>
      <w:r>
        <w:rPr>
          <w:rFonts w:ascii="Times New Roman" w:hAnsi="Times New Roman" w:eastAsia="黑体"/>
          <w:b w:val="0"/>
          <w:color w:val="000000"/>
          <w:sz w:val="30"/>
          <w:szCs w:val="32"/>
        </w:rPr>
        <w:t>12.1 合同价</w:t>
      </w:r>
      <w:bookmarkEnd w:id="284"/>
      <w:bookmarkEnd w:id="285"/>
      <w:r>
        <w:rPr>
          <w:rFonts w:ascii="Times New Roman" w:hAnsi="Times New Roman" w:eastAsia="黑体"/>
          <w:b w:val="0"/>
          <w:color w:val="000000"/>
          <w:sz w:val="30"/>
          <w:szCs w:val="32"/>
        </w:rPr>
        <w:t>格形式</w:t>
      </w:r>
      <w:bookmarkEnd w:id="286"/>
    </w:p>
    <w:bookmarkEnd w:id="28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发包人和承包人应在合同协议书中</w:t>
      </w:r>
      <w:r>
        <w:rPr>
          <w:rFonts w:hint="eastAsia" w:ascii="Times New Roman" w:hAnsi="Times New Roman" w:eastAsia="仿宋_GB2312"/>
          <w:color w:val="000000"/>
          <w:kern w:val="0"/>
          <w:sz w:val="30"/>
          <w:szCs w:val="32"/>
        </w:rPr>
        <w:t>选择</w:t>
      </w:r>
      <w:r>
        <w:rPr>
          <w:rFonts w:ascii="Times New Roman" w:hAnsi="Times New Roman" w:eastAsia="仿宋_GB2312"/>
          <w:color w:val="000000"/>
          <w:kern w:val="0"/>
          <w:sz w:val="30"/>
          <w:szCs w:val="32"/>
        </w:rPr>
        <w:t xml:space="preserve">下列一种合同价格形式：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单价合同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单价合同是指合同当事人约定以工程量清单及其综合单价进行合同价格计算、调整和确认的建设工程施工合同，</w:t>
      </w:r>
      <w:r>
        <w:rPr>
          <w:rFonts w:ascii="Times New Roman" w:hAnsi="Times New Roman" w:eastAsia="仿宋_GB2312"/>
          <w:sz w:val="30"/>
          <w:szCs w:val="32"/>
        </w:rPr>
        <w:t>在约定的范围内合同单价不作调整</w:t>
      </w:r>
      <w:r>
        <w:rPr>
          <w:rFonts w:ascii="Times New Roman" w:hAnsi="Times New Roman" w:eastAsia="仿宋_GB2312"/>
          <w:color w:val="000000"/>
          <w:kern w:val="0"/>
          <w:sz w:val="30"/>
          <w:szCs w:val="32"/>
        </w:rPr>
        <w:t>。合同当事人应在专用合同条款中约定综合单价包含的风险范围和风险费用的计算方法</w:t>
      </w:r>
      <w:r>
        <w:rPr>
          <w:rFonts w:ascii="Times New Roman" w:hAnsi="Times New Roman" w:eastAsia="仿宋_GB2312"/>
          <w:sz w:val="30"/>
          <w:szCs w:val="32"/>
        </w:rPr>
        <w:t>，</w:t>
      </w:r>
      <w:r>
        <w:rPr>
          <w:rFonts w:ascii="Times New Roman" w:hAnsi="Times New Roman" w:eastAsia="仿宋_GB2312"/>
          <w:color w:val="000000"/>
          <w:kern w:val="0"/>
          <w:sz w:val="30"/>
          <w:szCs w:val="32"/>
        </w:rPr>
        <w:t>并约定风险范围以外的合同价格的调整方法，其中因市场价格波动引起的调整按第11.1款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市场价格波动引起的调整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总价合同是指合同当事人约定以施工图、已标价工程量清单或预算书及有关条件进行合同价格计算、调整和确认的建设工程施工合同，</w:t>
      </w:r>
      <w:r>
        <w:rPr>
          <w:rFonts w:ascii="Times New Roman" w:hAnsi="Times New Roman" w:eastAsia="仿宋_GB2312"/>
          <w:sz w:val="30"/>
          <w:szCs w:val="32"/>
        </w:rPr>
        <w:t>在约定的范围内合同总价不作调整</w:t>
      </w:r>
      <w:r>
        <w:rPr>
          <w:rFonts w:ascii="Times New Roman" w:hAnsi="Times New Roman" w:eastAsia="仿宋_GB2312"/>
          <w:color w:val="000000"/>
          <w:kern w:val="0"/>
          <w:sz w:val="30"/>
          <w:szCs w:val="32"/>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市场价格波动引起的调整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、因法律变化引起的调整按第11.2款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法律变化引起的调整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其它价格形式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合同当事人可在专用合同条款中约定其他合同价格形式。</w:t>
      </w:r>
    </w:p>
    <w:p>
      <w:pPr>
        <w:pStyle w:val="6"/>
        <w:spacing w:before="120" w:after="120" w:line="360" w:lineRule="auto"/>
        <w:ind w:firstLine="600" w:firstLineChars="200"/>
        <w:rPr>
          <w:rFonts w:ascii="Times New Roman" w:hAnsi="Times New Roman" w:eastAsia="黑体"/>
          <w:b w:val="0"/>
          <w:color w:val="000000"/>
          <w:sz w:val="30"/>
          <w:szCs w:val="32"/>
        </w:rPr>
      </w:pPr>
      <w:bookmarkStart w:id="288" w:name="_Toc296503097"/>
      <w:bookmarkStart w:id="289" w:name="_Toc296346598"/>
      <w:bookmarkStart w:id="290" w:name="_Toc351203582"/>
      <w:bookmarkStart w:id="291" w:name="_Toc337558801"/>
      <w:r>
        <w:rPr>
          <w:rFonts w:ascii="Times New Roman" w:hAnsi="Times New Roman" w:eastAsia="黑体"/>
          <w:b w:val="0"/>
          <w:color w:val="000000"/>
          <w:sz w:val="30"/>
          <w:szCs w:val="32"/>
        </w:rPr>
        <w:t>12.2预</w:t>
      </w:r>
      <w:bookmarkEnd w:id="288"/>
      <w:bookmarkEnd w:id="289"/>
      <w:bookmarkStart w:id="292" w:name="_Toc296503100"/>
      <w:bookmarkStart w:id="293" w:name="_Toc296346601"/>
      <w:r>
        <w:rPr>
          <w:rFonts w:ascii="Times New Roman" w:hAnsi="Times New Roman" w:eastAsia="黑体"/>
          <w:b w:val="0"/>
          <w:color w:val="000000"/>
          <w:sz w:val="30"/>
          <w:szCs w:val="32"/>
        </w:rPr>
        <w:t>付款</w:t>
      </w:r>
      <w:bookmarkEnd w:id="290"/>
    </w:p>
    <w:bookmarkEnd w:id="291"/>
    <w:bookmarkEnd w:id="292"/>
    <w:bookmarkEnd w:id="293"/>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12.2.</w:t>
      </w:r>
      <w:r>
        <w:rPr>
          <w:rFonts w:ascii="Times New Roman" w:hAnsi="Times New Roman" w:eastAsia="仿宋_GB2312"/>
          <w:color w:val="000000"/>
          <w:kern w:val="0"/>
          <w:sz w:val="30"/>
          <w:szCs w:val="32"/>
        </w:rPr>
        <w:t>1预付款的支付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除专用合同条款另有约定外，预付款在进度付款中同比例扣回。</w:t>
      </w:r>
      <w:bookmarkEnd w:id="277"/>
      <w:r>
        <w:rPr>
          <w:rFonts w:ascii="Times New Roman" w:hAnsi="Times New Roman" w:eastAsia="仿宋_GB2312"/>
          <w:color w:val="000000"/>
          <w:kern w:val="0"/>
          <w:sz w:val="30"/>
          <w:szCs w:val="32"/>
        </w:rPr>
        <w:t>在颁发工程接收证书前，提前解除合同的，尚未扣完的预付款应与合同价款一并结算。</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12.2.2 预付款担保</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发包人要求承包人提供预付款担保的</w:t>
      </w:r>
      <w:r>
        <w:rPr>
          <w:rFonts w:ascii="Times New Roman" w:hAnsi="Times New Roman" w:eastAsia="仿宋_GB2312"/>
          <w:color w:val="000000"/>
          <w:kern w:val="0"/>
          <w:sz w:val="30"/>
          <w:szCs w:val="32"/>
        </w:rPr>
        <w:t>，承包人应在发包人支付预付款7天前提供预付款担保</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专用合同条款另有约定</w:t>
      </w:r>
      <w:r>
        <w:rPr>
          <w:rFonts w:hint="eastAsia" w:ascii="Times New Roman" w:hAnsi="Times New Roman" w:eastAsia="仿宋_GB2312"/>
          <w:color w:val="000000"/>
          <w:kern w:val="0"/>
          <w:sz w:val="30"/>
          <w:szCs w:val="32"/>
        </w:rPr>
        <w:t>除</w:t>
      </w:r>
      <w:r>
        <w:rPr>
          <w:rFonts w:ascii="Times New Roman" w:hAnsi="Times New Roman" w:eastAsia="仿宋_GB2312"/>
          <w:color w:val="000000"/>
          <w:kern w:val="0"/>
          <w:sz w:val="30"/>
          <w:szCs w:val="32"/>
        </w:rPr>
        <w:t>外。预付款担保可采用银行保函、担保公司担保等形式，具体由合同当事人在专用合同条款中约定。在预付款完全扣回之前，承包人应保证预付款担保持续有效。</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发包人在工程款中逐期扣回预付款后，预付款担保额度应相应减少，但剩余的预付款担保金额不得低于未被扣回的预付款金额。</w:t>
      </w:r>
    </w:p>
    <w:p>
      <w:pPr>
        <w:pStyle w:val="6"/>
        <w:spacing w:before="120" w:after="120" w:line="360" w:lineRule="auto"/>
        <w:ind w:firstLine="600" w:firstLineChars="200"/>
        <w:rPr>
          <w:rFonts w:ascii="Times New Roman" w:hAnsi="Times New Roman" w:eastAsia="黑体"/>
          <w:b w:val="0"/>
          <w:color w:val="000000"/>
          <w:sz w:val="30"/>
          <w:szCs w:val="32"/>
        </w:rPr>
      </w:pPr>
      <w:bookmarkStart w:id="294" w:name="_Toc351203583"/>
      <w:bookmarkStart w:id="295" w:name="_Toc337558802"/>
      <w:r>
        <w:rPr>
          <w:rFonts w:ascii="Times New Roman" w:hAnsi="Times New Roman" w:eastAsia="黑体"/>
          <w:b w:val="0"/>
          <w:color w:val="000000"/>
          <w:sz w:val="30"/>
          <w:szCs w:val="32"/>
        </w:rPr>
        <w:t>12.3计量</w:t>
      </w:r>
      <w:bookmarkEnd w:id="294"/>
    </w:p>
    <w:bookmarkEnd w:id="295"/>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12.3.1 计量原则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工程量计量按照合同约定的工程量计算规则、图纸及变更指示</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进行计量。工程量计算规则应以相关的国家标准、行业标准</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为依据，由合同当事人在专用合同条款中约定。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12.3.2 计量周期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除专用合同条款另有约定外，工程量的计量按月进行。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12.3.3 单价合同的计量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除专用合同条款另有约定外，单价合同的计量按照本项约定执行：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（1）承包人应于每月25日向监理人报送上月20日至当月19日已完成的工程量报告，并附具进度付款申请单、已完成工程量报表和有关资料。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（3）监理人未在收到承包人提交的工程量报表后的7天内完成审核的，承包人报送的工程量报告中的工程量视为承包人实际完成的工程量，据此计算工程价款。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12.3.4 总价合同的计量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除专用合同条款另有约定外，按</w:t>
      </w:r>
      <w:r>
        <w:rPr>
          <w:rFonts w:hint="eastAsia" w:ascii="Times New Roman" w:hAnsi="Times New Roman" w:eastAsia="仿宋_GB2312"/>
          <w:color w:val="000000"/>
          <w:kern w:val="0"/>
          <w:sz w:val="30"/>
          <w:szCs w:val="32"/>
        </w:rPr>
        <w:t>月计量支付</w:t>
      </w:r>
      <w:r>
        <w:rPr>
          <w:rFonts w:ascii="Times New Roman" w:hAnsi="Times New Roman" w:eastAsia="仿宋_GB2312"/>
          <w:color w:val="000000"/>
          <w:kern w:val="0"/>
          <w:sz w:val="30"/>
          <w:szCs w:val="32"/>
        </w:rPr>
        <w:t>的总价合同，按照本项约定执行：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（1）承包人应于每月25日向监理人报送上月20日至当月19日已完成的工程量报告，并附具进度付款申请单、已完成工程量报表和有关资料。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（3）监理人未在收到承包人提交的工程量报表后的7天内完成复核的，承包人提交的工程量报告中的工程量视为承包人实际完成的工程量。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12.3.5 总价合同采用支付分解表计量支付的，可以按照第12.3.4项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总价合同的计量</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约定进行计量，但合同价款按照支付分解表进行支付。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12.3.6 其他价格形式合同的计量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合同当事人可在专用合同条款中约定其他价格形式合同的计量方式和程序。</w:t>
      </w:r>
    </w:p>
    <w:p>
      <w:pPr>
        <w:pStyle w:val="6"/>
        <w:spacing w:before="120" w:after="120" w:line="360" w:lineRule="auto"/>
        <w:ind w:firstLine="600" w:firstLineChars="200"/>
        <w:rPr>
          <w:rFonts w:ascii="Times New Roman" w:hAnsi="Times New Roman" w:eastAsia="黑体"/>
          <w:b w:val="0"/>
          <w:color w:val="000000"/>
          <w:sz w:val="30"/>
          <w:szCs w:val="32"/>
        </w:rPr>
      </w:pPr>
      <w:bookmarkStart w:id="296" w:name="_Toc296346602"/>
      <w:bookmarkStart w:id="297" w:name="_Toc296503101"/>
      <w:bookmarkStart w:id="298" w:name="_Toc351203584"/>
      <w:bookmarkStart w:id="299" w:name="_Toc337558803"/>
      <w:r>
        <w:rPr>
          <w:rFonts w:ascii="Times New Roman" w:hAnsi="Times New Roman" w:eastAsia="黑体"/>
          <w:b w:val="0"/>
          <w:color w:val="000000"/>
          <w:sz w:val="30"/>
          <w:szCs w:val="32"/>
        </w:rPr>
        <w:t>12.4工程进度款支</w:t>
      </w:r>
      <w:bookmarkEnd w:id="296"/>
      <w:bookmarkEnd w:id="297"/>
      <w:r>
        <w:rPr>
          <w:rFonts w:ascii="Times New Roman" w:hAnsi="Times New Roman" w:eastAsia="黑体"/>
          <w:b w:val="0"/>
          <w:color w:val="000000"/>
          <w:sz w:val="30"/>
          <w:szCs w:val="32"/>
        </w:rPr>
        <w:t>付</w:t>
      </w:r>
      <w:bookmarkEnd w:id="298"/>
    </w:p>
    <w:bookmarkEnd w:id="299"/>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sz w:val="30"/>
          <w:szCs w:val="32"/>
        </w:rPr>
        <w:t>12.4</w:t>
      </w:r>
      <w:r>
        <w:rPr>
          <w:rFonts w:ascii="Times New Roman" w:hAnsi="Times New Roman" w:eastAsia="仿宋_GB2312"/>
          <w:color w:val="000000"/>
          <w:kern w:val="0"/>
          <w:sz w:val="30"/>
          <w:szCs w:val="32"/>
        </w:rPr>
        <w:t>.1 付款周期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除专用合同条款另有约定外，付款周期应按照第12.3.2</w:t>
      </w:r>
      <w:r>
        <w:rPr>
          <w:rFonts w:hint="eastAsia" w:ascii="Times New Roman" w:hAnsi="Times New Roman" w:eastAsia="仿宋_GB2312"/>
          <w:color w:val="000000"/>
          <w:kern w:val="0"/>
          <w:sz w:val="30"/>
          <w:szCs w:val="32"/>
        </w:rPr>
        <w:t>项〔</w:t>
      </w:r>
      <w:r>
        <w:rPr>
          <w:rFonts w:ascii="Times New Roman" w:hAnsi="Times New Roman" w:eastAsia="仿宋_GB2312"/>
          <w:color w:val="000000"/>
          <w:kern w:val="0"/>
          <w:sz w:val="30"/>
          <w:szCs w:val="32"/>
        </w:rPr>
        <w:t>计量周期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的约定与计量周期保持一致。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12.4</w:t>
      </w:r>
      <w:r>
        <w:rPr>
          <w:rFonts w:ascii="Times New Roman" w:hAnsi="Times New Roman" w:eastAsia="仿宋_GB2312"/>
          <w:color w:val="000000"/>
          <w:kern w:val="0"/>
          <w:sz w:val="30"/>
          <w:szCs w:val="32"/>
        </w:rPr>
        <w:t>.2 进度付款申请单的编制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除专用合同条款另有约定外，进度付款申请单应包括下列内容：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（1）截至本次付款周期已完成工作对应的金额；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（2）根据第10条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应增加和扣减的变更金额；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（3）根据第12.2款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预付款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约定应支付的预付款和扣减的返还预付款；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（4）根据第15.3款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约定应扣减的质量保证金；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（5）根据第19条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索赔</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应增加和扣减的索赔金额；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（6）对已签发的进度款支付证书中出现错误的修正，应在本次进度付款中支付或扣除的金额；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（7）根据合同约定应增加和扣减的其他金额。</w:t>
      </w:r>
    </w:p>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12.4.3 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（1）单价合同进度付款申请单的提交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单价合同的进度付款申请单，按照第12.3.3项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单价合同的计量</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（2）总价合同进度付款申请单的提交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总价合同按</w:t>
      </w:r>
      <w:r>
        <w:rPr>
          <w:rFonts w:hint="eastAsia" w:ascii="Times New Roman" w:hAnsi="Times New Roman" w:eastAsia="仿宋_GB2312"/>
          <w:color w:val="000000"/>
          <w:kern w:val="0"/>
          <w:sz w:val="30"/>
          <w:szCs w:val="32"/>
        </w:rPr>
        <w:t>月计量支付的</w:t>
      </w:r>
      <w:r>
        <w:rPr>
          <w:rFonts w:ascii="Times New Roman" w:hAnsi="Times New Roman" w:eastAsia="仿宋_GB2312"/>
          <w:color w:val="000000"/>
          <w:kern w:val="0"/>
          <w:sz w:val="30"/>
          <w:szCs w:val="32"/>
        </w:rPr>
        <w:t>，承包人按照第12.3.4项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总价合同的计量</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约定的时间按月向监理人提交进度付款申请单，并附上已完成工程量报表和有关资料。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总价合同按支付分解表支付的，承包人应按照第12.4.6项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支付分解表</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及第12.4.2项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进度付款申请单的编制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的约定向监理人提交进度付款申请单。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（3）其他价格形式合同的进度付款申请单的提交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合同当事人可在专用合同条款中约定其他价格形式合同的进度付款申请单的编制和提交程序。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12.4</w:t>
      </w:r>
      <w:r>
        <w:rPr>
          <w:rFonts w:ascii="Times New Roman" w:hAnsi="Times New Roman" w:eastAsia="仿宋_GB2312"/>
          <w:color w:val="000000"/>
          <w:kern w:val="0"/>
          <w:sz w:val="30"/>
          <w:szCs w:val="32"/>
        </w:rPr>
        <w:t>.4 进度款审核和支付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且未提出异议的，视为已签发进度款支付证书。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12.4.5 进度付款的修正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12.4.6 支付分解表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支付分解表的编制要求</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（1）支付分解表中所列的每期付款金额，应为第12.4.2项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进度付款申请单的编制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第（1）</w:t>
      </w:r>
      <w:r>
        <w:rPr>
          <w:rFonts w:hint="eastAsia" w:ascii="Times New Roman" w:hAnsi="Times New Roman" w:eastAsia="仿宋_GB2312"/>
          <w:color w:val="000000"/>
          <w:kern w:val="0"/>
          <w:sz w:val="30"/>
          <w:szCs w:val="32"/>
        </w:rPr>
        <w:t>目</w:t>
      </w:r>
      <w:r>
        <w:rPr>
          <w:rFonts w:ascii="Times New Roman" w:hAnsi="Times New Roman" w:eastAsia="仿宋_GB2312"/>
          <w:color w:val="000000"/>
          <w:kern w:val="0"/>
          <w:sz w:val="30"/>
          <w:szCs w:val="32"/>
        </w:rPr>
        <w:t>的估算金额；</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（2）实际进度与施工进度计划不一致的，合同当事人可按照第4.4款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修改支付分解表；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（3）不采用支付分解表的，承包人应向发包人和监理人提交按季度编制的支付估算分解表，用于支付参考。</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总价合同支付分解表的编制与审批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（1）除专用合同条款另有约定外，承包人应根据第7.2款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施工进度计划</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（3）发包人逾期未完成支付分解表</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的，也未及时要求承包人进行修正和提供补充资料的，则承包人提交的支付分解表视为已经获得发包人批准。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单价合同的总价项目支付分解表的编制与审批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line="360" w:lineRule="auto"/>
        <w:ind w:firstLine="600" w:firstLineChars="200"/>
        <w:rPr>
          <w:rFonts w:ascii="Times New Roman" w:hAnsi="Times New Roman" w:eastAsia="黑体"/>
          <w:b w:val="0"/>
          <w:color w:val="000000"/>
          <w:sz w:val="30"/>
          <w:szCs w:val="32"/>
        </w:rPr>
      </w:pPr>
      <w:bookmarkStart w:id="300" w:name="_Toc351203585"/>
      <w:r>
        <w:rPr>
          <w:rFonts w:ascii="Times New Roman" w:hAnsi="Times New Roman" w:eastAsia="黑体"/>
          <w:b w:val="0"/>
          <w:color w:val="000000"/>
          <w:sz w:val="30"/>
          <w:szCs w:val="32"/>
        </w:rPr>
        <w:t>12.5支付账户</w:t>
      </w:r>
      <w:bookmarkEnd w:id="300"/>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发包人应将合同价款支付至合同协议书中约定的承包人账户。</w:t>
      </w:r>
    </w:p>
    <w:p>
      <w:pPr>
        <w:pStyle w:val="5"/>
        <w:spacing w:before="120" w:after="120" w:line="360" w:lineRule="auto"/>
        <w:rPr>
          <w:rFonts w:ascii="Times New Roman" w:hAnsi="Times New Roman" w:eastAsia="黑体"/>
          <w:b w:val="0"/>
          <w:color w:val="000000"/>
          <w:sz w:val="32"/>
          <w:szCs w:val="32"/>
        </w:rPr>
      </w:pPr>
      <w:bookmarkStart w:id="301" w:name="_Toc351203586"/>
      <w:bookmarkStart w:id="302" w:name="_Toc296503106"/>
      <w:bookmarkStart w:id="303" w:name="_Toc337558804"/>
      <w:bookmarkStart w:id="304" w:name="_Toc322522574"/>
      <w:bookmarkStart w:id="305" w:name="_Toc296346607"/>
      <w:r>
        <w:rPr>
          <w:rFonts w:ascii="Times New Roman" w:hAnsi="Times New Roman" w:eastAsia="黑体"/>
          <w:b w:val="0"/>
          <w:color w:val="000000"/>
          <w:sz w:val="32"/>
          <w:szCs w:val="32"/>
        </w:rPr>
        <w:t>13. 验收和工程试车</w:t>
      </w:r>
      <w:bookmarkEnd w:id="301"/>
    </w:p>
    <w:bookmarkEnd w:id="302"/>
    <w:bookmarkEnd w:id="303"/>
    <w:bookmarkEnd w:id="304"/>
    <w:bookmarkEnd w:id="305"/>
    <w:p>
      <w:pPr>
        <w:pStyle w:val="6"/>
        <w:spacing w:before="120" w:after="120" w:line="360" w:lineRule="auto"/>
        <w:ind w:firstLine="600" w:firstLineChars="200"/>
        <w:rPr>
          <w:rFonts w:ascii="Times New Roman" w:hAnsi="Times New Roman" w:eastAsia="黑体"/>
          <w:b w:val="0"/>
          <w:color w:val="000000"/>
          <w:sz w:val="30"/>
          <w:szCs w:val="32"/>
        </w:rPr>
      </w:pPr>
      <w:bookmarkStart w:id="306" w:name="_Toc351203587"/>
      <w:bookmarkStart w:id="307" w:name="_Toc337558805"/>
      <w:bookmarkStart w:id="308" w:name="_Toc296503110"/>
      <w:bookmarkStart w:id="309" w:name="_Toc296346611"/>
      <w:r>
        <w:rPr>
          <w:rFonts w:ascii="Times New Roman" w:hAnsi="Times New Roman" w:eastAsia="黑体"/>
          <w:b w:val="0"/>
          <w:color w:val="000000"/>
          <w:sz w:val="30"/>
          <w:szCs w:val="32"/>
        </w:rPr>
        <w:t>13.1分部分项工程验收</w:t>
      </w:r>
      <w:bookmarkEnd w:id="306"/>
    </w:p>
    <w:bookmarkEnd w:id="307"/>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13.1.1 分部分项工程质量应符合国家有关工程施工验收规范、标准及合同约定，承包人应按照施工组织设计的要求完成分部分项工程施工。</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13.1.2 除专用合同条款另有约定外，分部分项工程经承包人自检合格并具备验收条件的，承包人应提前48小时通知监理人进行验收。</w:t>
      </w:r>
      <w:r>
        <w:rPr>
          <w:rFonts w:ascii="Times New Roman" w:hAnsi="Times New Roman" w:eastAsia="仿宋_GB2312"/>
          <w:color w:val="000000"/>
          <w:kern w:val="0"/>
          <w:sz w:val="30"/>
          <w:szCs w:val="32"/>
        </w:rPr>
        <w:t>监理人不能按时进行验收的，应在验收前24小时向承包人提交书面延期要求，但延期不能超过48小时。监理人未按时进行验收，也未提出延期要求的，承包人有权自行验收，监理人应认可验收结果。</w:t>
      </w:r>
      <w:r>
        <w:rPr>
          <w:rFonts w:ascii="Times New Roman" w:hAnsi="Times New Roman" w:eastAsia="仿宋_GB2312"/>
          <w:color w:val="000000"/>
          <w:sz w:val="30"/>
          <w:szCs w:val="32"/>
        </w:rPr>
        <w:t>分部分项工程未经验收的，不得进入下一道工序施工。</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分部分项工程的验收资料应当作为竣工资料的组成部分。</w:t>
      </w:r>
    </w:p>
    <w:p>
      <w:pPr>
        <w:pStyle w:val="6"/>
        <w:spacing w:before="120" w:after="120" w:line="360" w:lineRule="auto"/>
        <w:ind w:firstLine="600" w:firstLineChars="200"/>
        <w:rPr>
          <w:rFonts w:ascii="Times New Roman" w:hAnsi="Times New Roman" w:eastAsia="黑体"/>
          <w:b w:val="0"/>
          <w:color w:val="000000"/>
          <w:sz w:val="30"/>
          <w:szCs w:val="32"/>
        </w:rPr>
      </w:pPr>
      <w:bookmarkStart w:id="310" w:name="_Toc351203588"/>
      <w:bookmarkStart w:id="311" w:name="_Toc337558806"/>
      <w:r>
        <w:rPr>
          <w:rFonts w:ascii="Times New Roman" w:hAnsi="Times New Roman" w:eastAsia="黑体"/>
          <w:b w:val="0"/>
          <w:color w:val="000000"/>
          <w:sz w:val="30"/>
          <w:szCs w:val="32"/>
        </w:rPr>
        <w:t>13.2竣工验收</w:t>
      </w:r>
      <w:bookmarkEnd w:id="310"/>
    </w:p>
    <w:bookmarkEnd w:id="308"/>
    <w:bookmarkEnd w:id="309"/>
    <w:bookmarkEnd w:id="311"/>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13.2.1竣工验收条件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工程具备以下条件的，承包人可以申请竣工验收：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（1）除发包人同意的甩项</w:t>
      </w:r>
      <w:r>
        <w:rPr>
          <w:rFonts w:hint="eastAsia" w:ascii="Times New Roman" w:hAnsi="Times New Roman" w:eastAsia="仿宋_GB2312"/>
          <w:color w:val="000000"/>
          <w:kern w:val="0"/>
          <w:sz w:val="30"/>
          <w:szCs w:val="32"/>
        </w:rPr>
        <w:t>工作</w:t>
      </w:r>
      <w:r>
        <w:rPr>
          <w:rFonts w:ascii="Times New Roman" w:hAnsi="Times New Roman" w:eastAsia="仿宋_GB2312"/>
          <w:color w:val="000000"/>
          <w:kern w:val="0"/>
          <w:sz w:val="30"/>
          <w:szCs w:val="32"/>
        </w:rPr>
        <w:t>和缺陷修补工作外，合同范围内的全部工程以及有关工作，包括合同要求的试验、试运行以及检验均已完成，并符合合同要求；</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（2）已按合同约定编制了甩项</w:t>
      </w:r>
      <w:r>
        <w:rPr>
          <w:rFonts w:hint="eastAsia" w:ascii="Times New Roman" w:hAnsi="Times New Roman" w:eastAsia="仿宋_GB2312"/>
          <w:color w:val="000000"/>
          <w:kern w:val="0"/>
          <w:sz w:val="30"/>
          <w:szCs w:val="32"/>
        </w:rPr>
        <w:t>工作</w:t>
      </w:r>
      <w:r>
        <w:rPr>
          <w:rFonts w:ascii="Times New Roman" w:hAnsi="Times New Roman" w:eastAsia="仿宋_GB2312"/>
          <w:color w:val="000000"/>
          <w:kern w:val="0"/>
          <w:sz w:val="30"/>
          <w:szCs w:val="32"/>
        </w:rPr>
        <w:t>和缺陷修补工作清单以及相应的施工计划；</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（3）已按合同约定的内容和份数备齐竣工资料。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13.2.2竣工验收程序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除专用合同条款另有约定外，承包人申请竣工验收的，应当按照以下程序进行：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（2）监理人审查后认为已具备竣工验收条件的，应将竣工验收申请报告提交发包人，发包人应在收到</w:t>
      </w:r>
      <w:r>
        <w:rPr>
          <w:rFonts w:hint="eastAsia" w:ascii="Times New Roman" w:hAnsi="Times New Roman" w:eastAsia="仿宋_GB2312"/>
          <w:color w:val="000000"/>
          <w:kern w:val="0"/>
          <w:sz w:val="30"/>
          <w:szCs w:val="32"/>
        </w:rPr>
        <w:t>经</w:t>
      </w:r>
      <w:r>
        <w:rPr>
          <w:rFonts w:ascii="Times New Roman" w:hAnsi="Times New Roman" w:eastAsia="仿宋_GB2312"/>
          <w:color w:val="000000"/>
          <w:kern w:val="0"/>
          <w:sz w:val="30"/>
          <w:szCs w:val="32"/>
        </w:rPr>
        <w:t>监理人审核的竣工验收申请报告后28天内</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完毕并组织监理人、承包人、设计人等相关单位完成竣工验收。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13.2.3竣工日期</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color w:val="000000"/>
          <w:kern w:val="0"/>
          <w:sz w:val="30"/>
          <w:szCs w:val="32"/>
        </w:rPr>
        <w:t>竣工</w:t>
      </w:r>
      <w:r>
        <w:rPr>
          <w:rFonts w:ascii="Times New Roman" w:hAnsi="Times New Roman" w:eastAsia="仿宋_GB2312"/>
          <w:color w:val="000000"/>
          <w:kern w:val="0"/>
          <w:sz w:val="30"/>
          <w:szCs w:val="32"/>
        </w:rPr>
        <w:t>验收</w:t>
      </w:r>
      <w:r>
        <w:rPr>
          <w:rFonts w:hint="eastAsia" w:ascii="Times New Roman" w:hAnsi="Times New Roman" w:eastAsia="仿宋_GB2312"/>
          <w:color w:val="000000"/>
          <w:kern w:val="0"/>
          <w:sz w:val="30"/>
          <w:szCs w:val="32"/>
        </w:rPr>
        <w:t>，或完成竣工验收不予签发工程接收证书</w:t>
      </w:r>
      <w:r>
        <w:rPr>
          <w:rFonts w:ascii="Times New Roman" w:hAnsi="Times New Roman" w:eastAsia="仿宋_GB2312"/>
          <w:color w:val="000000"/>
          <w:kern w:val="0"/>
          <w:sz w:val="30"/>
          <w:szCs w:val="32"/>
        </w:rPr>
        <w:t>的，以提交竣工验</w:t>
      </w:r>
      <w:bookmarkStart w:id="312" w:name="#go14"/>
      <w:bookmarkEnd w:id="312"/>
      <w:r>
        <w:rPr>
          <w:rFonts w:ascii="Times New Roman" w:hAnsi="Times New Roman" w:eastAsia="仿宋_GB2312"/>
          <w:color w:val="000000"/>
          <w:kern w:val="0"/>
          <w:sz w:val="30"/>
          <w:szCs w:val="32"/>
        </w:rPr>
        <w:t>收申请报告的日期为实际竣工日期；工程未经竣工验收，发包人擅自使用的，以转移占有工程之日为实际竣工日期。</w:t>
      </w:r>
    </w:p>
    <w:p>
      <w:pPr>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13.2.4 拒绝接收全部或部分工程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对于竣工验收不合格的工程，承包人完成整改后，</w:t>
      </w:r>
      <w:r>
        <w:rPr>
          <w:rFonts w:hint="eastAsia" w:ascii="Times New Roman" w:hAnsi="Times New Roman" w:eastAsia="仿宋_GB2312"/>
          <w:color w:val="000000"/>
          <w:kern w:val="0"/>
          <w:sz w:val="30"/>
          <w:szCs w:val="32"/>
        </w:rPr>
        <w:t>应当</w:t>
      </w:r>
      <w:r>
        <w:rPr>
          <w:rFonts w:ascii="Times New Roman" w:hAnsi="Times New Roman" w:eastAsia="仿宋_GB2312"/>
          <w:color w:val="000000"/>
          <w:kern w:val="0"/>
          <w:sz w:val="30"/>
          <w:szCs w:val="32"/>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13.2.5 移交、接收全部与部分工程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w:t>
      </w:r>
      <w:r>
        <w:rPr>
          <w:rFonts w:ascii="Times New Roman" w:hAnsi="Times New Roman" w:eastAsia="仿宋_GB2312"/>
          <w:color w:val="000000"/>
          <w:kern w:val="0"/>
          <w:sz w:val="30"/>
          <w:szCs w:val="32"/>
        </w:rPr>
        <w:t>合同当事人应当在颁发工程接收证书</w:t>
      </w:r>
      <w:r>
        <w:rPr>
          <w:rFonts w:hint="eastAsia" w:ascii="Times New Roman" w:hAnsi="Times New Roman" w:eastAsia="仿宋_GB2312"/>
          <w:color w:val="000000"/>
          <w:kern w:val="0"/>
          <w:sz w:val="30"/>
          <w:szCs w:val="32"/>
        </w:rPr>
        <w:t>后7天内</w:t>
      </w:r>
      <w:r>
        <w:rPr>
          <w:rFonts w:ascii="Times New Roman" w:hAnsi="Times New Roman" w:eastAsia="仿宋_GB2312"/>
          <w:color w:val="000000"/>
          <w:kern w:val="0"/>
          <w:sz w:val="30"/>
          <w:szCs w:val="32"/>
        </w:rPr>
        <w:t>完成工程的移交。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发包人无正当理由不接收工程的，发包人自</w:t>
      </w:r>
      <w:r>
        <w:rPr>
          <w:rFonts w:hint="eastAsia" w:ascii="Times New Roman" w:hAnsi="Times New Roman" w:eastAsia="仿宋_GB2312"/>
          <w:color w:val="000000"/>
          <w:kern w:val="0"/>
          <w:sz w:val="30"/>
          <w:szCs w:val="32"/>
        </w:rPr>
        <w:t>应当接收工程</w:t>
      </w:r>
      <w:r>
        <w:rPr>
          <w:rFonts w:ascii="Times New Roman" w:hAnsi="Times New Roman" w:eastAsia="仿宋_GB2312"/>
          <w:color w:val="000000"/>
          <w:kern w:val="0"/>
          <w:sz w:val="30"/>
          <w:szCs w:val="32"/>
        </w:rPr>
        <w:t>之日起，承担工程照管、成品保护、保管等与工程有关的各项费用</w:t>
      </w:r>
      <w:r>
        <w:rPr>
          <w:rFonts w:hint="eastAsia" w:ascii="Times New Roman" w:hAnsi="Times New Roman" w:eastAsia="仿宋_GB2312"/>
          <w:color w:val="000000"/>
          <w:kern w:val="0"/>
          <w:sz w:val="30"/>
          <w:szCs w:val="32"/>
        </w:rPr>
        <w:t>，合同当事人可以在专用合同条款中另行约定发包人逾期接收工程的违约责任</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承包人无正当理由不移交工程的，</w:t>
      </w:r>
      <w:r>
        <w:rPr>
          <w:rFonts w:hint="eastAsia" w:ascii="Times New Roman" w:hAnsi="Times New Roman" w:eastAsia="仿宋_GB2312"/>
          <w:color w:val="000000"/>
          <w:kern w:val="0"/>
          <w:sz w:val="30"/>
          <w:szCs w:val="32"/>
        </w:rPr>
        <w:t>承包人应承担</w:t>
      </w:r>
      <w:r>
        <w:rPr>
          <w:rFonts w:ascii="Times New Roman" w:hAnsi="Times New Roman" w:eastAsia="仿宋_GB2312"/>
          <w:color w:val="000000"/>
          <w:kern w:val="0"/>
          <w:sz w:val="30"/>
          <w:szCs w:val="32"/>
        </w:rPr>
        <w:t>工程照管、成品保护、保管等与工程有关的各项费用</w:t>
      </w:r>
      <w:r>
        <w:rPr>
          <w:rFonts w:hint="eastAsia" w:ascii="Times New Roman" w:hAnsi="Times New Roman" w:eastAsia="仿宋_GB2312"/>
          <w:color w:val="000000"/>
          <w:kern w:val="0"/>
          <w:sz w:val="30"/>
          <w:szCs w:val="32"/>
        </w:rPr>
        <w:t>，合同当事人可以在专用合同条款中另行约定承包人无正当理由不移交工程的违约责任</w:t>
      </w:r>
      <w:r>
        <w:rPr>
          <w:rFonts w:ascii="Times New Roman" w:hAnsi="Times New Roman" w:eastAsia="仿宋_GB2312"/>
          <w:color w:val="000000"/>
          <w:kern w:val="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bookmarkStart w:id="313" w:name="_Toc351203589"/>
      <w:bookmarkStart w:id="314" w:name="_Toc296346612"/>
      <w:bookmarkStart w:id="315" w:name="_Toc337558807"/>
      <w:bookmarkStart w:id="316" w:name="_Toc296503111"/>
      <w:r>
        <w:rPr>
          <w:rFonts w:ascii="Times New Roman" w:hAnsi="Times New Roman" w:eastAsia="黑体"/>
          <w:b w:val="0"/>
          <w:color w:val="000000"/>
          <w:sz w:val="30"/>
          <w:szCs w:val="32"/>
        </w:rPr>
        <w:t>13.3工程试车</w:t>
      </w:r>
      <w:bookmarkEnd w:id="313"/>
    </w:p>
    <w:bookmarkEnd w:id="314"/>
    <w:bookmarkEnd w:id="315"/>
    <w:bookmarkEnd w:id="316"/>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13.3.1试车程序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工程需要试车的，除专用合同条款另有约定外，试车内容应与承包人承包范围相一致，试车费用由承包人承担。工程试车应按如下程序进行：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13.3.2 试车中的责任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13.3.3 投料试车</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如需进行投料试车的，</w:t>
      </w: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应在</w:t>
      </w:r>
      <w:r>
        <w:rPr>
          <w:rFonts w:ascii="Times New Roman" w:hAnsi="Times New Roman" w:eastAsia="仿宋_GB2312"/>
          <w:color w:val="000000"/>
          <w:kern w:val="0"/>
          <w:sz w:val="30"/>
          <w:szCs w:val="32"/>
        </w:rPr>
        <w:t>工程竣工验收后</w:t>
      </w:r>
      <w:r>
        <w:rPr>
          <w:rFonts w:hint="eastAsia" w:ascii="Times New Roman" w:hAnsi="Times New Roman" w:eastAsia="仿宋_GB2312"/>
          <w:color w:val="000000"/>
          <w:kern w:val="0"/>
          <w:sz w:val="30"/>
          <w:szCs w:val="32"/>
        </w:rPr>
        <w:t>组织</w:t>
      </w:r>
      <w:r>
        <w:rPr>
          <w:rFonts w:ascii="Times New Roman" w:hAnsi="Times New Roman" w:eastAsia="仿宋_GB2312"/>
          <w:color w:val="000000"/>
          <w:kern w:val="0"/>
          <w:sz w:val="30"/>
          <w:szCs w:val="32"/>
        </w:rPr>
        <w:t>投料试车</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发包人要求在工程竣工验收前进行或需要承包人配合时，应征得承包人同意</w:t>
      </w:r>
      <w:r>
        <w:rPr>
          <w:rFonts w:hint="eastAsia" w:ascii="Times New Roman" w:hAnsi="Times New Roman" w:eastAsia="仿宋_GB2312"/>
          <w:color w:val="000000"/>
          <w:kern w:val="0"/>
          <w:sz w:val="30"/>
          <w:szCs w:val="32"/>
        </w:rPr>
        <w:t>，并在专用合同条款中约定有关事项</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000000"/>
          <w:kern w:val="0"/>
          <w:sz w:val="30"/>
          <w:szCs w:val="32"/>
        </w:rPr>
        <w:t>如</w:t>
      </w:r>
      <w:r>
        <w:rPr>
          <w:rFonts w:ascii="Times New Roman" w:hAnsi="Times New Roman" w:eastAsia="仿宋_GB2312"/>
          <w:color w:val="000000"/>
          <w:kern w:val="0"/>
          <w:sz w:val="30"/>
          <w:szCs w:val="32"/>
        </w:rPr>
        <w:t>发包人要求承包人进行整改</w:t>
      </w:r>
      <w:r>
        <w:rPr>
          <w:rFonts w:hint="eastAsia" w:ascii="Times New Roman" w:hAnsi="Times New Roman" w:eastAsia="仿宋_GB2312"/>
          <w:color w:val="000000"/>
          <w:kern w:val="0"/>
          <w:sz w:val="30"/>
          <w:szCs w:val="32"/>
        </w:rPr>
        <w:t>的</w:t>
      </w:r>
      <w:r>
        <w:rPr>
          <w:rFonts w:ascii="Times New Roman" w:hAnsi="Times New Roman" w:eastAsia="仿宋_GB2312"/>
          <w:color w:val="000000"/>
          <w:kern w:val="0"/>
          <w:sz w:val="30"/>
          <w:szCs w:val="32"/>
        </w:rPr>
        <w:t>，由此产生的费用由发包人承担。</w:t>
      </w:r>
    </w:p>
    <w:p>
      <w:pPr>
        <w:pStyle w:val="6"/>
        <w:spacing w:before="120" w:after="120" w:line="360" w:lineRule="auto"/>
        <w:rPr>
          <w:rFonts w:ascii="Times New Roman" w:hAnsi="Times New Roman" w:eastAsia="黑体"/>
          <w:b w:val="0"/>
          <w:color w:val="000000"/>
          <w:sz w:val="30"/>
          <w:szCs w:val="32"/>
        </w:rPr>
      </w:pPr>
      <w:bookmarkStart w:id="317" w:name="_Toc337558808"/>
      <w:r>
        <w:rPr>
          <w:rFonts w:ascii="Times New Roman" w:hAnsi="Times New Roman" w:eastAsia="黑体"/>
          <w:b w:val="0"/>
          <w:color w:val="000000"/>
          <w:sz w:val="30"/>
          <w:szCs w:val="32"/>
        </w:rPr>
        <w:t xml:space="preserve">    </w:t>
      </w:r>
      <w:bookmarkStart w:id="318" w:name="_Toc351203590"/>
      <w:r>
        <w:rPr>
          <w:rFonts w:ascii="Times New Roman" w:hAnsi="Times New Roman" w:eastAsia="黑体"/>
          <w:b w:val="0"/>
          <w:color w:val="000000"/>
          <w:sz w:val="30"/>
          <w:szCs w:val="32"/>
        </w:rPr>
        <w:t>13.4提前交付单位工程的验收</w:t>
      </w:r>
      <w:bookmarkEnd w:id="318"/>
    </w:p>
    <w:bookmarkEnd w:id="317"/>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竣工验收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的约定进行。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13.4.2 发包人要求在工程竣工前交付单位工程，由此导致承包人费用增加和（或）工期延误的，由发包人承担由此增加的费用和（或）延误的工期，并支付承包人合理的利润。</w:t>
      </w:r>
    </w:p>
    <w:p>
      <w:pPr>
        <w:pStyle w:val="6"/>
        <w:spacing w:before="120" w:after="120" w:line="360" w:lineRule="auto"/>
        <w:ind w:firstLine="600" w:firstLineChars="200"/>
        <w:rPr>
          <w:rFonts w:ascii="Times New Roman" w:hAnsi="Times New Roman" w:eastAsia="黑体"/>
          <w:b w:val="0"/>
          <w:color w:val="000000"/>
          <w:sz w:val="30"/>
          <w:szCs w:val="32"/>
        </w:rPr>
      </w:pPr>
      <w:bookmarkStart w:id="319" w:name="_Toc351203591"/>
      <w:r>
        <w:rPr>
          <w:rFonts w:ascii="Times New Roman" w:hAnsi="Times New Roman" w:eastAsia="黑体"/>
          <w:b w:val="0"/>
          <w:color w:val="000000"/>
          <w:sz w:val="30"/>
          <w:szCs w:val="32"/>
        </w:rPr>
        <w:t>13.5 施工期运行</w:t>
      </w:r>
      <w:bookmarkEnd w:id="319"/>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提前交付单位工程的验收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的约定验收合格，证明能确保安全后，才能在施工期投入运行。</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13.5.2 在施工期运行中发现工程或工程设备损坏或存在缺陷的，由承包人按第15.2款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缺陷责任期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约定进行修复。</w:t>
      </w:r>
    </w:p>
    <w:p>
      <w:pPr>
        <w:pStyle w:val="6"/>
        <w:spacing w:before="120" w:after="120" w:line="360" w:lineRule="auto"/>
        <w:ind w:firstLine="600" w:firstLineChars="200"/>
        <w:rPr>
          <w:rFonts w:ascii="Times New Roman" w:hAnsi="Times New Roman" w:eastAsia="黑体"/>
          <w:b w:val="0"/>
          <w:color w:val="000000"/>
          <w:sz w:val="30"/>
          <w:szCs w:val="32"/>
        </w:rPr>
      </w:pPr>
      <w:bookmarkStart w:id="320" w:name="_Toc296346613"/>
      <w:bookmarkStart w:id="321" w:name="_Toc296503112"/>
      <w:bookmarkStart w:id="322" w:name="_Toc351203592"/>
      <w:bookmarkStart w:id="323" w:name="_Toc337558809"/>
      <w:r>
        <w:rPr>
          <w:rFonts w:ascii="Times New Roman" w:hAnsi="Times New Roman" w:eastAsia="黑体"/>
          <w:b w:val="0"/>
          <w:color w:val="000000"/>
          <w:sz w:val="30"/>
          <w:szCs w:val="32"/>
        </w:rPr>
        <w:t>13.6 竣工退</w:t>
      </w:r>
      <w:bookmarkEnd w:id="320"/>
      <w:bookmarkEnd w:id="321"/>
      <w:r>
        <w:rPr>
          <w:rFonts w:ascii="Times New Roman" w:hAnsi="Times New Roman" w:eastAsia="黑体"/>
          <w:b w:val="0"/>
          <w:color w:val="000000"/>
          <w:sz w:val="30"/>
          <w:szCs w:val="32"/>
        </w:rPr>
        <w:t>场</w:t>
      </w:r>
      <w:bookmarkEnd w:id="322"/>
    </w:p>
    <w:bookmarkEnd w:id="323"/>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13.6.1 竣工退场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颁发工程接收证书后，承包人应按以下要求对施工现场进行清理：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（1）施工现场内残留的垃圾已全部清除出场；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（2）临时工程已拆除，场地已进行清理、平整或复原；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（3）按合同约定应撤离的人员、承包人施工设备和剩余的材料，包括废弃的施工设备和材料，已按计划撤离施工现场；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（4）施工现场周边及其附近道路、河道的施工堆积物，已全部清理；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（5）施工现场其他场地清理工作已全部完成。</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13.6.2 地表还原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pacing w:before="120" w:after="120" w:line="360" w:lineRule="auto"/>
        <w:rPr>
          <w:rFonts w:ascii="Times New Roman" w:hAnsi="Times New Roman" w:eastAsia="黑体"/>
          <w:b w:val="0"/>
          <w:color w:val="000000"/>
          <w:sz w:val="32"/>
          <w:szCs w:val="32"/>
        </w:rPr>
      </w:pPr>
      <w:bookmarkStart w:id="324" w:name="_Toc351203593"/>
      <w:bookmarkStart w:id="325" w:name="_Toc337558810"/>
      <w:bookmarkStart w:id="326" w:name="_Toc296346614"/>
      <w:bookmarkStart w:id="327" w:name="_Toc296503113"/>
      <w:r>
        <w:rPr>
          <w:rFonts w:ascii="Times New Roman" w:hAnsi="Times New Roman" w:eastAsia="黑体"/>
          <w:b w:val="0"/>
          <w:color w:val="000000"/>
          <w:sz w:val="32"/>
          <w:szCs w:val="32"/>
        </w:rPr>
        <w:t>14. 竣工结算</w:t>
      </w:r>
      <w:bookmarkEnd w:id="324"/>
    </w:p>
    <w:bookmarkEnd w:id="325"/>
    <w:p>
      <w:pPr>
        <w:pStyle w:val="6"/>
        <w:spacing w:before="120" w:after="120" w:line="360" w:lineRule="auto"/>
        <w:ind w:firstLine="600" w:firstLineChars="200"/>
        <w:rPr>
          <w:rFonts w:ascii="Times New Roman" w:hAnsi="Times New Roman" w:eastAsia="黑体"/>
          <w:b w:val="0"/>
          <w:color w:val="000000"/>
          <w:sz w:val="30"/>
          <w:szCs w:val="32"/>
        </w:rPr>
      </w:pPr>
      <w:bookmarkStart w:id="328" w:name="_Toc351203594"/>
      <w:bookmarkStart w:id="329" w:name="_Toc337558811"/>
      <w:r>
        <w:rPr>
          <w:rFonts w:ascii="Times New Roman" w:hAnsi="Times New Roman" w:eastAsia="黑体"/>
          <w:b w:val="0"/>
          <w:color w:val="000000"/>
          <w:sz w:val="30"/>
          <w:szCs w:val="32"/>
        </w:rPr>
        <w:t>14.1 竣工结算申请</w:t>
      </w:r>
      <w:bookmarkEnd w:id="328"/>
    </w:p>
    <w:bookmarkEnd w:id="329"/>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除专用合同条款另有约定外，</w:t>
      </w:r>
      <w:r>
        <w:rPr>
          <w:rFonts w:ascii="Times New Roman" w:hAnsi="Times New Roman" w:eastAsia="仿宋_GB2312"/>
          <w:color w:val="000000"/>
          <w:sz w:val="30"/>
          <w:szCs w:val="32"/>
        </w:rPr>
        <w:t>承包人应在工程竣工验收合格后28天内向发包人和监理人提交竣工结算申请单，并提交完整的结算资料，</w:t>
      </w:r>
      <w:r>
        <w:rPr>
          <w:rFonts w:hint="eastAsia" w:ascii="Times New Roman" w:hAnsi="Times New Roman" w:eastAsia="仿宋_GB2312"/>
          <w:color w:val="000000"/>
          <w:sz w:val="30"/>
          <w:szCs w:val="32"/>
        </w:rPr>
        <w:t>有关</w:t>
      </w:r>
      <w:r>
        <w:rPr>
          <w:rFonts w:ascii="Times New Roman" w:hAnsi="Times New Roman" w:eastAsia="仿宋_GB2312"/>
          <w:color w:val="000000"/>
          <w:sz w:val="30"/>
          <w:szCs w:val="32"/>
        </w:rPr>
        <w:t>竣工结算申请单</w:t>
      </w:r>
      <w:r>
        <w:rPr>
          <w:rFonts w:hint="eastAsia" w:ascii="Times New Roman" w:hAnsi="Times New Roman" w:eastAsia="仿宋_GB2312"/>
          <w:color w:val="000000"/>
          <w:sz w:val="30"/>
          <w:szCs w:val="32"/>
        </w:rPr>
        <w:t>的资料清单和</w:t>
      </w:r>
      <w:r>
        <w:rPr>
          <w:rFonts w:ascii="Times New Roman" w:hAnsi="Times New Roman" w:eastAsia="仿宋_GB2312"/>
          <w:color w:val="000000"/>
          <w:sz w:val="30"/>
          <w:szCs w:val="32"/>
        </w:rPr>
        <w:t>份数</w:t>
      </w:r>
      <w:r>
        <w:rPr>
          <w:rFonts w:hint="eastAsia" w:ascii="Times New Roman" w:hAnsi="Times New Roman" w:eastAsia="仿宋_GB2312"/>
          <w:color w:val="000000"/>
          <w:sz w:val="30"/>
          <w:szCs w:val="32"/>
        </w:rPr>
        <w:t>等要求</w:t>
      </w:r>
      <w:r>
        <w:rPr>
          <w:rFonts w:ascii="Times New Roman" w:hAnsi="Times New Roman" w:eastAsia="仿宋_GB2312"/>
          <w:color w:val="000000"/>
          <w:sz w:val="30"/>
          <w:szCs w:val="32"/>
        </w:rPr>
        <w:t>由合同当事人在专用合同条款中约定。</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除专用合同条款另有约定外，竣工结算申请单应包括以下内容：</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（1）竣工结算合同价格；</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（2）发包人已支付承包人的款项；</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（3）应扣留的质量保证金</w:t>
      </w:r>
      <w:r>
        <w:rPr>
          <w:rFonts w:hint="eastAsia" w:eastAsia="仿宋_GB2312"/>
          <w:color w:val="000000"/>
          <w:sz w:val="30"/>
          <w:szCs w:val="32"/>
        </w:rPr>
        <w:t>。已缴纳履约保证金的或提供其他工程质量担保方式的除外</w:t>
      </w:r>
      <w:r>
        <w:rPr>
          <w:rFonts w:ascii="Times New Roman" w:hAnsi="Times New Roman" w:eastAsia="仿宋_GB2312"/>
          <w:color w:val="00000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（4）发包人应支付承包人的合同价款。</w:t>
      </w:r>
    </w:p>
    <w:p>
      <w:pPr>
        <w:pStyle w:val="6"/>
        <w:spacing w:before="120" w:after="120" w:line="360" w:lineRule="auto"/>
        <w:ind w:firstLine="600" w:firstLineChars="200"/>
        <w:rPr>
          <w:rFonts w:ascii="Times New Roman" w:hAnsi="Times New Roman" w:eastAsia="黑体"/>
          <w:b w:val="0"/>
          <w:color w:val="000000"/>
          <w:sz w:val="30"/>
          <w:szCs w:val="32"/>
        </w:rPr>
      </w:pPr>
      <w:bookmarkStart w:id="330" w:name="_Toc351203595"/>
      <w:bookmarkStart w:id="331" w:name="_Toc337558812"/>
      <w:r>
        <w:rPr>
          <w:rFonts w:ascii="Times New Roman" w:hAnsi="Times New Roman" w:eastAsia="黑体"/>
          <w:b w:val="0"/>
          <w:color w:val="000000"/>
          <w:sz w:val="30"/>
          <w:szCs w:val="32"/>
        </w:rPr>
        <w:t>14.2 竣工结算审核</w:t>
      </w:r>
      <w:bookmarkEnd w:id="330"/>
    </w:p>
    <w:bookmarkEnd w:id="331"/>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，并由监理人向承包人签发经发包人签认的竣工付款证书。监理人或</w:t>
      </w:r>
      <w:r>
        <w:rPr>
          <w:rFonts w:ascii="Times New Roman" w:hAnsi="Times New Roman" w:eastAsia="仿宋_GB2312"/>
          <w:color w:val="000000"/>
          <w:sz w:val="30"/>
          <w:szCs w:val="32"/>
        </w:rPr>
        <w:t>发包人对竣工</w:t>
      </w:r>
      <w:r>
        <w:rPr>
          <w:rFonts w:ascii="Times New Roman" w:hAnsi="Times New Roman" w:eastAsia="仿宋_GB2312"/>
          <w:color w:val="000000"/>
          <w:kern w:val="0"/>
          <w:sz w:val="30"/>
          <w:szCs w:val="32"/>
        </w:rPr>
        <w:t>结算</w:t>
      </w:r>
      <w:r>
        <w:rPr>
          <w:rFonts w:ascii="Times New Roman" w:hAnsi="Times New Roman" w:eastAsia="仿宋_GB2312"/>
          <w:color w:val="000000"/>
          <w:sz w:val="30"/>
          <w:szCs w:val="32"/>
        </w:rPr>
        <w:t>申请单有异议的，有权要求承包人进行修正和提供补充资料，承包人应提交修正后的竣工</w:t>
      </w:r>
      <w:r>
        <w:rPr>
          <w:rFonts w:ascii="Times New Roman" w:hAnsi="Times New Roman" w:eastAsia="仿宋_GB2312"/>
          <w:color w:val="000000"/>
          <w:kern w:val="0"/>
          <w:sz w:val="30"/>
          <w:szCs w:val="32"/>
        </w:rPr>
        <w:t>结算</w:t>
      </w:r>
      <w:r>
        <w:rPr>
          <w:rFonts w:ascii="Times New Roman" w:hAnsi="Times New Roman" w:eastAsia="仿宋_GB2312"/>
          <w:color w:val="000000"/>
          <w:sz w:val="30"/>
          <w:szCs w:val="32"/>
        </w:rPr>
        <w:t>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发包人在收到承包人提交竣工结算申请书后28天</w:t>
      </w:r>
      <w:r>
        <w:rPr>
          <w:rFonts w:hint="eastAsia" w:ascii="Times New Roman" w:hAnsi="Times New Roman" w:eastAsia="仿宋_GB2312"/>
          <w:color w:val="000000"/>
          <w:kern w:val="0"/>
          <w:sz w:val="30"/>
          <w:szCs w:val="32"/>
        </w:rPr>
        <w:t>内</w:t>
      </w:r>
      <w:r>
        <w:rPr>
          <w:rFonts w:ascii="Times New Roman" w:hAnsi="Times New Roman" w:eastAsia="仿宋_GB2312"/>
          <w:color w:val="000000"/>
          <w:kern w:val="0"/>
          <w:sz w:val="30"/>
          <w:szCs w:val="32"/>
        </w:rPr>
        <w:t>未完成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000000"/>
          <w:kern w:val="0"/>
          <w:sz w:val="30"/>
          <w:szCs w:val="32"/>
        </w:rPr>
        <w:t>的方式和程序</w:t>
      </w:r>
      <w:r>
        <w:rPr>
          <w:rFonts w:ascii="Times New Roman" w:hAnsi="Times New Roman" w:eastAsia="仿宋_GB2312"/>
          <w:color w:val="000000"/>
          <w:kern w:val="0"/>
          <w:sz w:val="30"/>
          <w:szCs w:val="32"/>
        </w:rPr>
        <w:t>进行复核，或按照第20条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约定处理。对于无异议部分，发包人应签发临时竣工付款证书，并按本款第（2）项完成付款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承包人逾期未提出异议的，视为认可发包人的</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结果。</w:t>
      </w:r>
    </w:p>
    <w:p>
      <w:pPr>
        <w:pStyle w:val="6"/>
        <w:spacing w:before="120" w:after="120" w:line="360" w:lineRule="auto"/>
        <w:ind w:firstLine="600" w:firstLineChars="200"/>
        <w:rPr>
          <w:rFonts w:ascii="Times New Roman" w:hAnsi="Times New Roman" w:eastAsia="黑体"/>
          <w:b w:val="0"/>
          <w:color w:val="000000"/>
          <w:sz w:val="30"/>
          <w:szCs w:val="32"/>
        </w:rPr>
      </w:pPr>
      <w:bookmarkStart w:id="332" w:name="_Toc351203596"/>
      <w:bookmarkStart w:id="333" w:name="_Toc337558813"/>
      <w:r>
        <w:rPr>
          <w:rFonts w:ascii="Times New Roman" w:hAnsi="Times New Roman" w:eastAsia="黑体"/>
          <w:b w:val="0"/>
          <w:color w:val="000000"/>
          <w:sz w:val="30"/>
          <w:szCs w:val="32"/>
        </w:rPr>
        <w:t>14.3 甩项竣工协议</w:t>
      </w:r>
      <w:bookmarkEnd w:id="332"/>
    </w:p>
    <w:bookmarkEnd w:id="333"/>
    <w:p>
      <w:pPr>
        <w:autoSpaceDE w:val="0"/>
        <w:autoSpaceDN w:val="0"/>
        <w:adjustRightInd w:val="0"/>
        <w:spacing w:line="360" w:lineRule="auto"/>
        <w:ind w:firstLine="588" w:firstLineChars="196"/>
        <w:jc w:val="left"/>
        <w:rPr>
          <w:rFonts w:ascii="Times New Roman" w:hAnsi="Times New Roman" w:eastAsia="仿宋_GB2312"/>
          <w:color w:val="000000"/>
          <w:kern w:val="0"/>
          <w:sz w:val="30"/>
          <w:szCs w:val="32"/>
        </w:rPr>
      </w:pPr>
      <w:r>
        <w:rPr>
          <w:rFonts w:ascii="Times New Roman" w:hAnsi="Times New Roman" w:eastAsia="仿宋_GB2312"/>
          <w:sz w:val="30"/>
          <w:szCs w:val="32"/>
        </w:rPr>
        <w:t>发包人要求甩项竣工的，合同当事人应签订甩项竣工协议。在甩项竣工协议中应明确，合同当事人按照第14.1款</w:t>
      </w:r>
      <w:r>
        <w:rPr>
          <w:rFonts w:hint="eastAsia" w:ascii="Times New Roman" w:hAnsi="Times New Roman" w:eastAsia="仿宋_GB2312"/>
          <w:sz w:val="30"/>
          <w:szCs w:val="32"/>
        </w:rPr>
        <w:t>〔</w:t>
      </w:r>
      <w:r>
        <w:rPr>
          <w:rFonts w:ascii="Times New Roman" w:hAnsi="Times New Roman" w:eastAsia="仿宋_GB2312"/>
          <w:sz w:val="30"/>
          <w:szCs w:val="32"/>
        </w:rPr>
        <w:t>竣工</w:t>
      </w:r>
      <w:r>
        <w:rPr>
          <w:rFonts w:hint="eastAsia" w:ascii="Times New Roman" w:hAnsi="Times New Roman" w:eastAsia="仿宋_GB2312"/>
          <w:sz w:val="30"/>
          <w:szCs w:val="32"/>
        </w:rPr>
        <w:t>结算</w:t>
      </w:r>
      <w:r>
        <w:rPr>
          <w:rFonts w:ascii="Times New Roman" w:hAnsi="Times New Roman" w:eastAsia="仿宋_GB2312"/>
          <w:sz w:val="30"/>
          <w:szCs w:val="32"/>
        </w:rPr>
        <w:t>申请</w:t>
      </w:r>
      <w:r>
        <w:rPr>
          <w:rFonts w:hint="eastAsia" w:ascii="Times New Roman" w:hAnsi="Times New Roman" w:eastAsia="仿宋_GB2312"/>
          <w:sz w:val="30"/>
          <w:szCs w:val="32"/>
        </w:rPr>
        <w:t>〕</w:t>
      </w:r>
      <w:r>
        <w:rPr>
          <w:rFonts w:ascii="Times New Roman" w:hAnsi="Times New Roman" w:eastAsia="仿宋_GB2312"/>
          <w:sz w:val="30"/>
          <w:szCs w:val="32"/>
        </w:rPr>
        <w:t>及14.2款</w:t>
      </w:r>
      <w:r>
        <w:rPr>
          <w:rFonts w:hint="eastAsia" w:ascii="Times New Roman" w:hAnsi="Times New Roman" w:eastAsia="仿宋_GB2312"/>
          <w:sz w:val="30"/>
          <w:szCs w:val="32"/>
        </w:rPr>
        <w:t>〔</w:t>
      </w:r>
      <w:r>
        <w:rPr>
          <w:rFonts w:ascii="Times New Roman" w:hAnsi="Times New Roman" w:eastAsia="仿宋_GB2312"/>
          <w:sz w:val="30"/>
          <w:szCs w:val="32"/>
        </w:rPr>
        <w:t>竣工结算审核</w:t>
      </w:r>
      <w:r>
        <w:rPr>
          <w:rFonts w:hint="eastAsia" w:ascii="Times New Roman" w:hAnsi="Times New Roman" w:eastAsia="仿宋_GB2312"/>
          <w:sz w:val="30"/>
          <w:szCs w:val="32"/>
        </w:rPr>
        <w:t>〕</w:t>
      </w:r>
      <w:r>
        <w:rPr>
          <w:rFonts w:ascii="Times New Roman" w:hAnsi="Times New Roman" w:eastAsia="仿宋_GB2312"/>
          <w:sz w:val="30"/>
          <w:szCs w:val="32"/>
        </w:rPr>
        <w:t>的约定，</w:t>
      </w:r>
      <w:r>
        <w:rPr>
          <w:rFonts w:hint="eastAsia" w:ascii="Times New Roman" w:hAnsi="Times New Roman" w:eastAsia="仿宋_GB2312"/>
          <w:sz w:val="30"/>
          <w:szCs w:val="32"/>
        </w:rPr>
        <w:t>对已</w:t>
      </w:r>
      <w:r>
        <w:rPr>
          <w:rFonts w:ascii="Times New Roman" w:hAnsi="Times New Roman" w:eastAsia="仿宋_GB2312"/>
          <w:sz w:val="30"/>
          <w:szCs w:val="32"/>
        </w:rPr>
        <w:t>完合格工程</w:t>
      </w:r>
      <w:r>
        <w:rPr>
          <w:rFonts w:hint="eastAsia" w:ascii="Times New Roman" w:hAnsi="Times New Roman" w:eastAsia="仿宋_GB2312"/>
          <w:sz w:val="30"/>
          <w:szCs w:val="32"/>
        </w:rPr>
        <w:t>进行</w:t>
      </w:r>
      <w:r>
        <w:rPr>
          <w:rFonts w:ascii="Times New Roman" w:hAnsi="Times New Roman" w:eastAsia="仿宋_GB2312"/>
          <w:sz w:val="30"/>
          <w:szCs w:val="32"/>
        </w:rPr>
        <w:t>结算，并支付相应</w:t>
      </w:r>
      <w:r>
        <w:rPr>
          <w:rFonts w:hint="eastAsia" w:ascii="Times New Roman" w:hAnsi="Times New Roman" w:eastAsia="仿宋_GB2312"/>
          <w:sz w:val="30"/>
          <w:szCs w:val="32"/>
        </w:rPr>
        <w:t>合同</w:t>
      </w:r>
      <w:r>
        <w:rPr>
          <w:rFonts w:ascii="Times New Roman" w:hAnsi="Times New Roman" w:eastAsia="仿宋_GB2312"/>
          <w:sz w:val="30"/>
          <w:szCs w:val="32"/>
        </w:rPr>
        <w:t>价款。</w:t>
      </w:r>
    </w:p>
    <w:p>
      <w:pPr>
        <w:pStyle w:val="6"/>
        <w:spacing w:before="120" w:after="120" w:line="360" w:lineRule="auto"/>
        <w:ind w:firstLine="600" w:firstLineChars="200"/>
        <w:rPr>
          <w:rFonts w:ascii="Times New Roman" w:hAnsi="Times New Roman" w:eastAsia="黑体"/>
          <w:b w:val="0"/>
          <w:color w:val="000000"/>
          <w:sz w:val="30"/>
          <w:szCs w:val="32"/>
        </w:rPr>
      </w:pPr>
      <w:bookmarkStart w:id="334" w:name="_Toc351203597"/>
      <w:bookmarkStart w:id="335" w:name="_Toc337558814"/>
      <w:r>
        <w:rPr>
          <w:rFonts w:ascii="Times New Roman" w:hAnsi="Times New Roman" w:eastAsia="黑体"/>
          <w:b w:val="0"/>
          <w:color w:val="000000"/>
          <w:sz w:val="30"/>
          <w:szCs w:val="32"/>
        </w:rPr>
        <w:t>14.4 最终结清</w:t>
      </w:r>
      <w:bookmarkEnd w:id="334"/>
    </w:p>
    <w:bookmarkEnd w:id="33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14.4.1 最终结清申请单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w:t>
      </w:r>
      <w:r>
        <w:rPr>
          <w:rFonts w:ascii="Times New Roman" w:hAnsi="Times New Roman" w:eastAsia="仿宋_GB2312"/>
          <w:color w:val="000000"/>
          <w:kern w:val="0"/>
          <w:sz w:val="30"/>
          <w:szCs w:val="32"/>
        </w:rPr>
        <w:t>最终结清申请单</w:t>
      </w:r>
      <w:r>
        <w:rPr>
          <w:rFonts w:ascii="Times New Roman" w:hAnsi="Times New Roman" w:eastAsia="仿宋_GB2312"/>
          <w:color w:val="000000"/>
          <w:sz w:val="30"/>
          <w:szCs w:val="32"/>
        </w:rPr>
        <w:t>应列明质量保证金、应扣除的质量保证金、缺陷责任期内发生的增减费用。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14.4.2 最终结清证书和支付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（3）承包人对发包人颁发的最终结清证书有异议的，按第20条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的约定办理。</w:t>
      </w:r>
    </w:p>
    <w:p>
      <w:pPr>
        <w:pStyle w:val="5"/>
        <w:spacing w:before="120" w:after="120" w:line="360" w:lineRule="auto"/>
        <w:rPr>
          <w:rFonts w:ascii="Times New Roman" w:hAnsi="Times New Roman" w:eastAsia="黑体"/>
          <w:b w:val="0"/>
          <w:color w:val="000000"/>
          <w:sz w:val="32"/>
          <w:szCs w:val="32"/>
        </w:rPr>
      </w:pPr>
      <w:bookmarkStart w:id="336" w:name="_Toc351203598"/>
      <w:bookmarkStart w:id="337" w:name="_Toc337558815"/>
      <w:r>
        <w:rPr>
          <w:rFonts w:ascii="Times New Roman" w:hAnsi="Times New Roman" w:eastAsia="黑体"/>
          <w:b w:val="0"/>
          <w:color w:val="000000"/>
          <w:sz w:val="32"/>
          <w:szCs w:val="32"/>
        </w:rPr>
        <w:t>15. 缺陷责任与保修</w:t>
      </w:r>
      <w:bookmarkEnd w:id="336"/>
    </w:p>
    <w:bookmarkEnd w:id="326"/>
    <w:bookmarkEnd w:id="327"/>
    <w:bookmarkEnd w:id="337"/>
    <w:p>
      <w:pPr>
        <w:pStyle w:val="6"/>
        <w:spacing w:before="120" w:after="120" w:line="360" w:lineRule="auto"/>
        <w:ind w:firstLine="600" w:firstLineChars="200"/>
        <w:rPr>
          <w:rFonts w:ascii="Times New Roman" w:hAnsi="Times New Roman" w:eastAsia="黑体"/>
          <w:b w:val="0"/>
          <w:color w:val="000000"/>
          <w:sz w:val="30"/>
          <w:szCs w:val="32"/>
        </w:rPr>
      </w:pPr>
      <w:bookmarkStart w:id="338" w:name="_Toc351203599"/>
      <w:bookmarkStart w:id="339" w:name="_Toc337558816"/>
      <w:bookmarkStart w:id="340" w:name="_Toc296346615"/>
      <w:bookmarkStart w:id="341" w:name="_Toc296503114"/>
      <w:r>
        <w:rPr>
          <w:rFonts w:ascii="Times New Roman" w:hAnsi="Times New Roman" w:eastAsia="黑体"/>
          <w:b w:val="0"/>
          <w:color w:val="000000"/>
          <w:sz w:val="30"/>
          <w:szCs w:val="32"/>
        </w:rPr>
        <w:t>15.1 工程保修的原则</w:t>
      </w:r>
      <w:bookmarkEnd w:id="338"/>
    </w:p>
    <w:bookmarkEnd w:id="33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line="360" w:lineRule="auto"/>
        <w:ind w:firstLine="600" w:firstLineChars="200"/>
        <w:rPr>
          <w:rFonts w:ascii="Times New Roman" w:hAnsi="Times New Roman" w:eastAsia="黑体"/>
          <w:b w:val="0"/>
          <w:color w:val="000000"/>
          <w:sz w:val="30"/>
          <w:szCs w:val="32"/>
        </w:rPr>
      </w:pPr>
      <w:bookmarkStart w:id="342" w:name="_Toc351203600"/>
      <w:bookmarkStart w:id="343" w:name="_Toc337558817"/>
      <w:r>
        <w:rPr>
          <w:rFonts w:ascii="Times New Roman" w:hAnsi="Times New Roman" w:eastAsia="黑体"/>
          <w:b w:val="0"/>
          <w:color w:val="000000"/>
          <w:sz w:val="30"/>
          <w:szCs w:val="32"/>
        </w:rPr>
        <w:t>15.2 缺陷责任期</w:t>
      </w:r>
      <w:bookmarkEnd w:id="340"/>
      <w:bookmarkEnd w:id="341"/>
      <w:bookmarkEnd w:id="342"/>
    </w:p>
    <w:bookmarkEnd w:id="34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15.2.1 缺陷责任期</w:t>
      </w:r>
      <w:r>
        <w:rPr>
          <w:rFonts w:hint="eastAsia" w:eastAsia="仿宋_GB2312"/>
          <w:color w:val="000000"/>
          <w:kern w:val="0"/>
          <w:sz w:val="30"/>
          <w:szCs w:val="32"/>
        </w:rPr>
        <w:t>从工程通过竣工验收之日</w:t>
      </w:r>
      <w:r>
        <w:rPr>
          <w:rFonts w:ascii="Times New Roman" w:hAnsi="Times New Roman" w:eastAsia="仿宋_GB2312"/>
          <w:color w:val="000000"/>
          <w:kern w:val="0"/>
          <w:sz w:val="30"/>
          <w:szCs w:val="32"/>
        </w:rPr>
        <w:t>起计算，合同当事人应在专用合同条款约定缺陷责任期的具体期限，但该期限最长不超过24个月。</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单位工程先于全部工程进行验收，经验收合格并交付使用的，该单位工程缺陷责任期自单位工程验收合格之日起算。</w:t>
      </w:r>
      <w:r>
        <w:rPr>
          <w:rFonts w:hint="eastAsia" w:eastAsia="仿宋_GB2312"/>
          <w:color w:val="000000"/>
          <w:kern w:val="0"/>
          <w:sz w:val="30"/>
          <w:szCs w:val="32"/>
        </w:rPr>
        <w:t>因承包人原因导致工程无法按合同约定期限进行竣工验收的，缺陷责任期从实际通过竣工验收之日起计算。</w:t>
      </w:r>
      <w:r>
        <w:rPr>
          <w:rFonts w:ascii="Times New Roman" w:hAnsi="Times New Roman" w:eastAsia="仿宋_GB2312"/>
          <w:color w:val="000000"/>
          <w:kern w:val="0"/>
          <w:sz w:val="30"/>
          <w:szCs w:val="32"/>
        </w:rPr>
        <w:t>因发包人原因导致工程无法按合同约定期限进行竣工验收的，</w:t>
      </w:r>
      <w:r>
        <w:rPr>
          <w:rFonts w:hint="eastAsia" w:eastAsia="仿宋_GB2312"/>
          <w:color w:val="000000"/>
          <w:kern w:val="0"/>
          <w:sz w:val="30"/>
          <w:szCs w:val="32"/>
        </w:rPr>
        <w:t>在承包人提交竣工验收报告90天后，工程自动进入缺陷责任期</w:t>
      </w:r>
      <w:r>
        <w:rPr>
          <w:rFonts w:ascii="Times New Roman" w:hAnsi="Times New Roman" w:eastAsia="仿宋_GB2312"/>
          <w:color w:val="000000"/>
          <w:kern w:val="0"/>
          <w:sz w:val="30"/>
          <w:szCs w:val="32"/>
        </w:rPr>
        <w:t>；发包人未经竣工验收擅自使用工程的，缺陷责任期自工程转移占有之日起开始计算。</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15.2.2</w:t>
      </w:r>
      <w:r>
        <w:rPr>
          <w:rFonts w:hint="eastAsia" w:eastAsia="仿宋_GB2312"/>
          <w:color w:val="000000"/>
          <w:kern w:val="0"/>
          <w:sz w:val="30"/>
          <w:szCs w:val="32"/>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000000"/>
          <w:kern w:val="0"/>
          <w:sz w:val="30"/>
          <w:szCs w:val="32"/>
        </w:rPr>
        <w:t>发包人有权要求承</w:t>
      </w:r>
      <w:r>
        <w:rPr>
          <w:rFonts w:ascii="Times New Roman" w:hAnsi="Times New Roman" w:eastAsia="仿宋_GB2312"/>
          <w:bCs/>
          <w:color w:val="000000"/>
          <w:sz w:val="30"/>
          <w:szCs w:val="32"/>
        </w:rPr>
        <w:t>包人延长缺陷责任期，</w:t>
      </w:r>
      <w:r>
        <w:rPr>
          <w:rFonts w:ascii="Times New Roman" w:hAnsi="Times New Roman" w:eastAsia="仿宋_GB2312"/>
          <w:color w:val="000000"/>
          <w:kern w:val="0"/>
          <w:sz w:val="30"/>
          <w:szCs w:val="32"/>
        </w:rPr>
        <w:t>并应在原缺陷责任期届满前发出延长通知</w:t>
      </w:r>
      <w:r>
        <w:rPr>
          <w:rFonts w:hint="eastAsia" w:ascii="Times New Roman" w:hAnsi="Times New Roman" w:eastAsia="仿宋_GB2312"/>
          <w:color w:val="000000"/>
          <w:kern w:val="0"/>
          <w:sz w:val="30"/>
          <w:szCs w:val="32"/>
        </w:rPr>
        <w:t>。</w:t>
      </w:r>
      <w:r>
        <w:rPr>
          <w:rFonts w:ascii="Times New Roman" w:hAnsi="Times New Roman" w:eastAsia="仿宋_GB2312"/>
          <w:bCs/>
          <w:color w:val="000000"/>
          <w:sz w:val="30"/>
          <w:szCs w:val="32"/>
        </w:rPr>
        <w:t>但缺陷责任期</w:t>
      </w:r>
      <w:r>
        <w:rPr>
          <w:rFonts w:hint="eastAsia" w:ascii="Times New Roman" w:hAnsi="Times New Roman" w:eastAsia="仿宋_GB2312"/>
          <w:bCs/>
          <w:color w:val="000000"/>
          <w:sz w:val="30"/>
          <w:szCs w:val="32"/>
        </w:rPr>
        <w:t>（含延长部分）</w:t>
      </w:r>
      <w:r>
        <w:rPr>
          <w:rFonts w:ascii="Times New Roman" w:hAnsi="Times New Roman" w:eastAsia="仿宋_GB2312"/>
          <w:bCs/>
          <w:color w:val="000000"/>
          <w:sz w:val="30"/>
          <w:szCs w:val="32"/>
        </w:rPr>
        <w:t>最长</w:t>
      </w:r>
      <w:r>
        <w:rPr>
          <w:rFonts w:ascii="Times New Roman" w:hAnsi="Times New Roman" w:eastAsia="仿宋_GB2312"/>
          <w:color w:val="000000"/>
          <w:kern w:val="0"/>
          <w:sz w:val="30"/>
          <w:szCs w:val="32"/>
        </w:rPr>
        <w:t>不能超过24个月。</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由他人原因造成的缺陷，发包人负责组织维修，承包人不承担费用，且发包人不得从保证金中扣除费用。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15.2.4</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除专用合同条款另有约定外，承包人应于缺陷责任期届满后7天内向发包人发出缺陷责任期</w:t>
      </w:r>
      <w:r>
        <w:rPr>
          <w:rFonts w:hint="eastAsia" w:ascii="Times New Roman" w:hAnsi="Times New Roman" w:eastAsia="仿宋_GB2312"/>
          <w:color w:val="000000"/>
          <w:kern w:val="0"/>
          <w:sz w:val="30"/>
          <w:szCs w:val="32"/>
        </w:rPr>
        <w:t>届</w:t>
      </w:r>
      <w:r>
        <w:rPr>
          <w:rFonts w:ascii="Times New Roman" w:hAnsi="Times New Roman" w:eastAsia="仿宋_GB2312"/>
          <w:color w:val="000000"/>
          <w:kern w:val="0"/>
          <w:sz w:val="30"/>
          <w:szCs w:val="32"/>
        </w:rPr>
        <w:t>满通知，发包人应在</w:t>
      </w:r>
      <w:r>
        <w:rPr>
          <w:rFonts w:hint="eastAsia" w:ascii="Times New Roman" w:hAnsi="Times New Roman" w:eastAsia="仿宋_GB2312"/>
          <w:color w:val="000000"/>
          <w:kern w:val="0"/>
          <w:sz w:val="30"/>
          <w:szCs w:val="32"/>
        </w:rPr>
        <w:t>收</w:t>
      </w:r>
      <w:r>
        <w:rPr>
          <w:rFonts w:ascii="Times New Roman" w:hAnsi="Times New Roman" w:eastAsia="仿宋_GB2312"/>
          <w:color w:val="000000"/>
          <w:kern w:val="0"/>
          <w:sz w:val="30"/>
          <w:szCs w:val="32"/>
        </w:rPr>
        <w:t>到缺陷责任期满通知后14天内核实承包人是否履行缺陷</w:t>
      </w:r>
      <w:r>
        <w:rPr>
          <w:rFonts w:hint="eastAsia" w:ascii="Times New Roman" w:hAnsi="Times New Roman" w:eastAsia="仿宋_GB2312"/>
          <w:color w:val="000000"/>
          <w:kern w:val="0"/>
          <w:sz w:val="30"/>
          <w:szCs w:val="32"/>
        </w:rPr>
        <w:t>修复</w:t>
      </w:r>
      <w:r>
        <w:rPr>
          <w:rFonts w:ascii="Times New Roman" w:hAnsi="Times New Roman" w:eastAsia="仿宋_GB2312"/>
          <w:color w:val="000000"/>
          <w:kern w:val="0"/>
          <w:sz w:val="30"/>
          <w:szCs w:val="32"/>
        </w:rPr>
        <w:t>义务，承包人未能履行缺陷</w:t>
      </w:r>
      <w:r>
        <w:rPr>
          <w:rFonts w:hint="eastAsia" w:ascii="Times New Roman" w:hAnsi="Times New Roman" w:eastAsia="仿宋_GB2312"/>
          <w:color w:val="000000"/>
          <w:kern w:val="0"/>
          <w:sz w:val="30"/>
          <w:szCs w:val="32"/>
        </w:rPr>
        <w:t>修复</w:t>
      </w:r>
      <w:r>
        <w:rPr>
          <w:rFonts w:ascii="Times New Roman" w:hAnsi="Times New Roman" w:eastAsia="仿宋_GB2312"/>
          <w:color w:val="000000"/>
          <w:kern w:val="0"/>
          <w:sz w:val="30"/>
          <w:szCs w:val="32"/>
        </w:rPr>
        <w:t>义务的，发包人有权扣除相应金额的维修费用。发包人应在</w:t>
      </w:r>
      <w:r>
        <w:rPr>
          <w:rFonts w:hint="eastAsia" w:ascii="Times New Roman" w:hAnsi="Times New Roman" w:eastAsia="仿宋_GB2312"/>
          <w:color w:val="000000"/>
          <w:kern w:val="0"/>
          <w:sz w:val="30"/>
          <w:szCs w:val="32"/>
        </w:rPr>
        <w:t>收到</w:t>
      </w:r>
      <w:r>
        <w:rPr>
          <w:rFonts w:ascii="Times New Roman" w:hAnsi="Times New Roman" w:eastAsia="仿宋_GB2312"/>
          <w:color w:val="000000"/>
          <w:kern w:val="0"/>
          <w:sz w:val="30"/>
          <w:szCs w:val="32"/>
        </w:rPr>
        <w:t>缺陷责任期</w:t>
      </w:r>
      <w:r>
        <w:rPr>
          <w:rFonts w:hint="eastAsia" w:ascii="Times New Roman" w:hAnsi="Times New Roman" w:eastAsia="仿宋_GB2312"/>
          <w:color w:val="000000"/>
          <w:kern w:val="0"/>
          <w:sz w:val="30"/>
          <w:szCs w:val="32"/>
        </w:rPr>
        <w:t>届</w:t>
      </w:r>
      <w:r>
        <w:rPr>
          <w:rFonts w:ascii="Times New Roman" w:hAnsi="Times New Roman" w:eastAsia="仿宋_GB2312"/>
          <w:color w:val="000000"/>
          <w:kern w:val="0"/>
          <w:sz w:val="30"/>
          <w:szCs w:val="32"/>
        </w:rPr>
        <w:t>满</w:t>
      </w:r>
      <w:r>
        <w:rPr>
          <w:rFonts w:hint="eastAsia" w:ascii="Times New Roman" w:hAnsi="Times New Roman" w:eastAsia="仿宋_GB2312"/>
          <w:color w:val="000000"/>
          <w:kern w:val="0"/>
          <w:sz w:val="30"/>
          <w:szCs w:val="32"/>
        </w:rPr>
        <w:t>通知后</w:t>
      </w:r>
      <w:r>
        <w:rPr>
          <w:rFonts w:ascii="Times New Roman" w:hAnsi="Times New Roman" w:eastAsia="仿宋_GB2312"/>
          <w:color w:val="000000"/>
          <w:kern w:val="0"/>
          <w:sz w:val="30"/>
          <w:szCs w:val="32"/>
        </w:rPr>
        <w:t>14天内，向承包人颁发缺陷责任期终止证</w:t>
      </w:r>
      <w:r>
        <w:rPr>
          <w:rFonts w:hint="eastAsia" w:ascii="Times New Roman" w:hAnsi="Times New Roman" w:eastAsia="仿宋_GB2312"/>
          <w:color w:val="000000"/>
          <w:kern w:val="0"/>
          <w:sz w:val="30"/>
          <w:szCs w:val="32"/>
        </w:rPr>
        <w:t>书</w:t>
      </w:r>
      <w:r>
        <w:rPr>
          <w:rFonts w:ascii="Times New Roman" w:hAnsi="Times New Roman" w:eastAsia="仿宋_GB2312"/>
          <w:color w:val="000000"/>
          <w:kern w:val="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bookmarkStart w:id="344" w:name="_Toc351203601"/>
      <w:bookmarkStart w:id="345" w:name="_Toc337558818"/>
      <w:bookmarkStart w:id="346" w:name="_Toc296503115"/>
      <w:bookmarkStart w:id="347" w:name="_Toc296346616"/>
      <w:r>
        <w:rPr>
          <w:rFonts w:ascii="Times New Roman" w:hAnsi="Times New Roman" w:eastAsia="黑体"/>
          <w:b w:val="0"/>
          <w:color w:val="000000"/>
          <w:sz w:val="30"/>
          <w:szCs w:val="32"/>
        </w:rPr>
        <w:t>15.3 质量保证金</w:t>
      </w:r>
      <w:bookmarkEnd w:id="344"/>
    </w:p>
    <w:bookmarkEnd w:id="34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经合同当事人协商一致扣留质量保证金的，应在专用合同条款中予以明确。</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在工程项目竣工前，承包人已经提供履约担保的，发包人不得同时预留工程质量保证金。</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15.3.1 </w:t>
      </w:r>
      <w:r>
        <w:rPr>
          <w:rFonts w:hint="eastAsia" w:ascii="Times New Roman" w:hAnsi="Times New Roman" w:eastAsia="仿宋_GB2312"/>
          <w:color w:val="000000"/>
          <w:kern w:val="0"/>
          <w:sz w:val="30"/>
          <w:szCs w:val="32"/>
        </w:rPr>
        <w:t>承包人提供</w:t>
      </w:r>
      <w:r>
        <w:rPr>
          <w:rFonts w:ascii="Times New Roman" w:hAnsi="Times New Roman" w:eastAsia="仿宋_GB2312"/>
          <w:color w:val="000000"/>
          <w:kern w:val="0"/>
          <w:sz w:val="30"/>
          <w:szCs w:val="32"/>
        </w:rPr>
        <w:t>质量保证金的</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承包人提供</w:t>
      </w: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有</w:t>
      </w:r>
      <w:r>
        <w:rPr>
          <w:rFonts w:ascii="Times New Roman" w:hAnsi="Times New Roman" w:eastAsia="仿宋_GB2312"/>
          <w:color w:val="000000"/>
          <w:kern w:val="0"/>
          <w:sz w:val="30"/>
          <w:szCs w:val="32"/>
        </w:rPr>
        <w:t>以下</w:t>
      </w:r>
      <w:r>
        <w:rPr>
          <w:rFonts w:hint="eastAsia" w:ascii="Times New Roman" w:hAnsi="Times New Roman" w:eastAsia="仿宋_GB2312"/>
          <w:color w:val="000000"/>
          <w:kern w:val="0"/>
          <w:sz w:val="30"/>
          <w:szCs w:val="32"/>
        </w:rPr>
        <w:t>三种方</w:t>
      </w:r>
      <w:r>
        <w:rPr>
          <w:rFonts w:ascii="Times New Roman" w:hAnsi="Times New Roman" w:eastAsia="仿宋_GB2312"/>
          <w:color w:val="000000"/>
          <w:kern w:val="0"/>
          <w:sz w:val="30"/>
          <w:szCs w:val="32"/>
        </w:rPr>
        <w:t>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（1）质量保证金保函；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2）相应比例的工程款；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（3）双方约定的其他</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除专用合同条款另有约定外，质量保证金</w:t>
      </w:r>
      <w:r>
        <w:rPr>
          <w:rFonts w:hint="eastAsia" w:ascii="Times New Roman" w:hAnsi="Times New Roman" w:eastAsia="仿宋_GB2312"/>
          <w:color w:val="000000"/>
          <w:kern w:val="0"/>
          <w:sz w:val="30"/>
          <w:szCs w:val="32"/>
        </w:rPr>
        <w:t>原则上</w:t>
      </w:r>
      <w:r>
        <w:rPr>
          <w:rFonts w:ascii="Times New Roman" w:hAnsi="Times New Roman" w:eastAsia="仿宋_GB2312"/>
          <w:color w:val="000000"/>
          <w:kern w:val="0"/>
          <w:sz w:val="30"/>
          <w:szCs w:val="32"/>
        </w:rPr>
        <w:t>采</w:t>
      </w:r>
      <w:r>
        <w:rPr>
          <w:rFonts w:hint="eastAsia" w:ascii="Times New Roman" w:hAnsi="Times New Roman" w:eastAsia="仿宋_GB2312"/>
          <w:color w:val="000000"/>
          <w:kern w:val="0"/>
          <w:sz w:val="30"/>
          <w:szCs w:val="32"/>
        </w:rPr>
        <w:t>用上述</w:t>
      </w:r>
      <w:r>
        <w:rPr>
          <w:rFonts w:ascii="Times New Roman" w:hAnsi="Times New Roman" w:eastAsia="仿宋_GB2312"/>
          <w:color w:val="000000"/>
          <w:kern w:val="0"/>
          <w:sz w:val="30"/>
          <w:szCs w:val="32"/>
        </w:rPr>
        <w:t>第（1）种</w:t>
      </w:r>
      <w:r>
        <w:rPr>
          <w:rFonts w:hint="eastAsia" w:ascii="Times New Roman" w:hAnsi="Times New Roman" w:eastAsia="仿宋_GB2312"/>
          <w:color w:val="000000"/>
          <w:kern w:val="0"/>
          <w:sz w:val="30"/>
          <w:szCs w:val="32"/>
        </w:rPr>
        <w:t>方式。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15.3.2 质量保证金的扣留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的</w:t>
      </w:r>
      <w:r>
        <w:rPr>
          <w:rFonts w:ascii="Times New Roman" w:hAnsi="Times New Roman" w:eastAsia="仿宋_GB2312"/>
          <w:color w:val="000000"/>
          <w:kern w:val="0"/>
          <w:sz w:val="30"/>
          <w:szCs w:val="32"/>
        </w:rPr>
        <w:t>扣留</w:t>
      </w:r>
      <w:r>
        <w:rPr>
          <w:rFonts w:hint="eastAsia" w:ascii="Times New Roman" w:hAnsi="Times New Roman" w:eastAsia="仿宋_GB2312"/>
          <w:color w:val="000000"/>
          <w:kern w:val="0"/>
          <w:sz w:val="30"/>
          <w:szCs w:val="32"/>
        </w:rPr>
        <w:t>有</w:t>
      </w:r>
      <w:r>
        <w:rPr>
          <w:rFonts w:ascii="Times New Roman" w:hAnsi="Times New Roman" w:eastAsia="仿宋_GB2312"/>
          <w:color w:val="000000"/>
          <w:kern w:val="0"/>
          <w:sz w:val="30"/>
          <w:szCs w:val="32"/>
        </w:rPr>
        <w:t>以下</w:t>
      </w:r>
      <w:r>
        <w:rPr>
          <w:rFonts w:hint="eastAsia" w:ascii="Times New Roman" w:hAnsi="Times New Roman" w:eastAsia="仿宋_GB2312"/>
          <w:color w:val="000000"/>
          <w:kern w:val="0"/>
          <w:sz w:val="30"/>
          <w:szCs w:val="32"/>
        </w:rPr>
        <w:t>三</w:t>
      </w:r>
      <w:r>
        <w:rPr>
          <w:rFonts w:ascii="Times New Roman" w:hAnsi="Times New Roman" w:eastAsia="仿宋_GB2312"/>
          <w:color w:val="000000"/>
          <w:kern w:val="0"/>
          <w:sz w:val="30"/>
          <w:szCs w:val="32"/>
        </w:rPr>
        <w:t>种</w:t>
      </w:r>
      <w:r>
        <w:rPr>
          <w:rFonts w:hint="eastAsia" w:ascii="Times New Roman" w:hAnsi="Times New Roman" w:eastAsia="仿宋_GB2312"/>
          <w:color w:val="000000"/>
          <w:kern w:val="0"/>
          <w:sz w:val="30"/>
          <w:szCs w:val="32"/>
        </w:rPr>
        <w:t>方式</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（2）工</w:t>
      </w:r>
      <w:bookmarkStart w:id="348" w:name="#go6"/>
      <w:bookmarkEnd w:id="348"/>
      <w:r>
        <w:rPr>
          <w:rFonts w:ascii="Times New Roman" w:hAnsi="Times New Roman" w:eastAsia="仿宋_GB2312"/>
          <w:color w:val="000000"/>
          <w:kern w:val="0"/>
          <w:sz w:val="30"/>
          <w:szCs w:val="32"/>
        </w:rPr>
        <w:t>程竣工结算时一次性扣留质量保证金；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（3）双方约定的其他扣留方式。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除专用合同条款另有约定外，质量保证金</w:t>
      </w:r>
      <w:r>
        <w:rPr>
          <w:rFonts w:hint="eastAsia" w:ascii="Times New Roman" w:hAnsi="Times New Roman" w:eastAsia="仿宋_GB2312"/>
          <w:color w:val="000000"/>
          <w:kern w:val="0"/>
          <w:sz w:val="30"/>
          <w:szCs w:val="32"/>
        </w:rPr>
        <w:t>的</w:t>
      </w:r>
      <w:r>
        <w:rPr>
          <w:rFonts w:ascii="Times New Roman" w:hAnsi="Times New Roman" w:eastAsia="仿宋_GB2312"/>
          <w:color w:val="000000"/>
          <w:kern w:val="0"/>
          <w:sz w:val="30"/>
          <w:szCs w:val="32"/>
        </w:rPr>
        <w:t>扣留</w:t>
      </w:r>
      <w:r>
        <w:rPr>
          <w:rFonts w:hint="eastAsia" w:ascii="Times New Roman" w:hAnsi="Times New Roman" w:eastAsia="仿宋_GB2312"/>
          <w:color w:val="000000"/>
          <w:kern w:val="0"/>
          <w:sz w:val="30"/>
          <w:szCs w:val="32"/>
        </w:rPr>
        <w:t>原则上</w:t>
      </w:r>
      <w:r>
        <w:rPr>
          <w:rFonts w:ascii="Times New Roman" w:hAnsi="Times New Roman" w:eastAsia="仿宋_GB2312"/>
          <w:color w:val="000000"/>
          <w:kern w:val="0"/>
          <w:sz w:val="30"/>
          <w:szCs w:val="32"/>
        </w:rPr>
        <w:t>采</w:t>
      </w:r>
      <w:r>
        <w:rPr>
          <w:rFonts w:hint="eastAsia" w:ascii="Times New Roman" w:hAnsi="Times New Roman" w:eastAsia="仿宋_GB2312"/>
          <w:color w:val="000000"/>
          <w:kern w:val="0"/>
          <w:sz w:val="30"/>
          <w:szCs w:val="32"/>
        </w:rPr>
        <w:t>用上述</w:t>
      </w:r>
      <w:r>
        <w:rPr>
          <w:rFonts w:ascii="Times New Roman" w:hAnsi="Times New Roman" w:eastAsia="仿宋_GB2312"/>
          <w:color w:val="000000"/>
          <w:kern w:val="0"/>
          <w:sz w:val="30"/>
          <w:szCs w:val="32"/>
        </w:rPr>
        <w:t>第（1）种方式</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ascii="Times New Roman" w:hAnsi="Times New Roman" w:eastAsia="仿宋_GB2312"/>
          <w:color w:val="000000"/>
          <w:kern w:val="0"/>
          <w:sz w:val="30"/>
          <w:szCs w:val="32"/>
        </w:rPr>
        <w:t>发</w:t>
      </w:r>
      <w:bookmarkStart w:id="349" w:name="#go4"/>
      <w:bookmarkEnd w:id="349"/>
      <w:r>
        <w:rPr>
          <w:rFonts w:ascii="Times New Roman" w:hAnsi="Times New Roman" w:eastAsia="仿宋_GB2312"/>
          <w:color w:val="000000"/>
          <w:kern w:val="0"/>
          <w:sz w:val="30"/>
          <w:szCs w:val="32"/>
        </w:rPr>
        <w:t>包人累计扣留的质量保证金不得超过</w:t>
      </w:r>
      <w:r>
        <w:rPr>
          <w:rFonts w:hint="eastAsia" w:ascii="Times New Roman" w:hAnsi="Times New Roman" w:eastAsia="仿宋_GB2312"/>
          <w:color w:val="000000"/>
          <w:kern w:val="0"/>
          <w:sz w:val="30"/>
          <w:szCs w:val="32"/>
        </w:rPr>
        <w:t>工程价款结算总额</w:t>
      </w:r>
      <w:r>
        <w:rPr>
          <w:rFonts w:ascii="Times New Roman" w:hAnsi="Times New Roman" w:eastAsia="仿宋_GB2312"/>
          <w:color w:val="000000"/>
          <w:kern w:val="0"/>
          <w:sz w:val="30"/>
          <w:szCs w:val="32"/>
        </w:rPr>
        <w:t>的3%</w:t>
      </w:r>
      <w:r>
        <w:rPr>
          <w:rFonts w:hint="eastAsia" w:ascii="Times New Roman" w:hAnsi="Times New Roman" w:eastAsia="仿宋_GB2312"/>
          <w:color w:val="000000"/>
          <w:kern w:val="0"/>
          <w:sz w:val="30"/>
          <w:szCs w:val="32"/>
        </w:rPr>
        <w:t>。如</w:t>
      </w:r>
      <w:r>
        <w:rPr>
          <w:rFonts w:ascii="Times New Roman" w:hAnsi="Times New Roman" w:eastAsia="仿宋_GB2312"/>
          <w:color w:val="000000"/>
          <w:kern w:val="0"/>
          <w:sz w:val="30"/>
          <w:szCs w:val="32"/>
        </w:rPr>
        <w:t>承包人在发包人签发竣工付款证书后28天内提交质量保证金保函，发包人应同时退还扣留的作为质量保证金的工程价款</w:t>
      </w:r>
      <w:r>
        <w:rPr>
          <w:rFonts w:hint="eastAsia" w:eastAsia="仿宋_GB2312"/>
          <w:color w:val="000000"/>
          <w:kern w:val="0"/>
          <w:sz w:val="30"/>
          <w:szCs w:val="32"/>
        </w:rPr>
        <w:t>；保函金额不得超过工程价款结算总额的3%</w:t>
      </w:r>
      <w:r>
        <w:rPr>
          <w:rFonts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发包人在退还质量保证金的同时</w:t>
      </w:r>
      <w:r>
        <w:rPr>
          <w:rFonts w:eastAsia="仿宋_GB2312"/>
          <w:color w:val="000000"/>
          <w:kern w:val="0"/>
          <w:sz w:val="30"/>
          <w:szCs w:val="32"/>
        </w:rPr>
        <w:t>按照中国人民银行发布的同期同类贷款基准利率支付</w:t>
      </w:r>
      <w:r>
        <w:rPr>
          <w:rFonts w:hint="eastAsia" w:eastAsia="仿宋_GB2312"/>
          <w:color w:val="000000"/>
          <w:kern w:val="0"/>
          <w:sz w:val="30"/>
          <w:szCs w:val="32"/>
        </w:rPr>
        <w:t>利息。</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15.3.3 </w:t>
      </w:r>
      <w:r>
        <w:rPr>
          <w:rFonts w:ascii="Times New Roman" w:hAnsi="Times New Roman" w:eastAsia="仿宋_GB2312"/>
          <w:color w:val="000000"/>
          <w:sz w:val="30"/>
          <w:szCs w:val="32"/>
        </w:rPr>
        <w:t>质量保证金</w:t>
      </w:r>
      <w:r>
        <w:rPr>
          <w:rFonts w:ascii="Times New Roman" w:hAnsi="Times New Roman" w:eastAsia="仿宋_GB2312"/>
          <w:color w:val="000000"/>
          <w:kern w:val="0"/>
          <w:sz w:val="30"/>
          <w:szCs w:val="32"/>
        </w:rPr>
        <w:t>的退还</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缺陷责任期内，承包人认真履行合同约定的责任，到期后，承包人可向发包人申请返还保证金。</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eastAsia="仿宋_GB2312"/>
          <w:color w:val="000000"/>
          <w:kern w:val="0"/>
          <w:sz w:val="30"/>
          <w:szCs w:val="32"/>
        </w:rPr>
        <w:t>发包人和承包人对保证金预留、返还以及工程维修质量、费用有争议的，按本合同第20条约定的争议和纠纷解决程序处理</w:t>
      </w:r>
      <w:r>
        <w:rPr>
          <w:rFonts w:ascii="Times New Roman" w:hAnsi="Times New Roman" w:eastAsia="仿宋_GB2312"/>
          <w:color w:val="000000"/>
          <w:kern w:val="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bookmarkStart w:id="350" w:name="_Toc351203602"/>
      <w:bookmarkStart w:id="351" w:name="_Toc337558819"/>
      <w:r>
        <w:rPr>
          <w:rFonts w:ascii="Times New Roman" w:hAnsi="Times New Roman" w:eastAsia="黑体"/>
          <w:b w:val="0"/>
          <w:color w:val="000000"/>
          <w:sz w:val="30"/>
          <w:szCs w:val="32"/>
        </w:rPr>
        <w:t>15.4 保修</w:t>
      </w:r>
      <w:bookmarkEnd w:id="350"/>
    </w:p>
    <w:bookmarkEnd w:id="346"/>
    <w:bookmarkEnd w:id="347"/>
    <w:bookmarkEnd w:id="351"/>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15.4.1保修责任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发包人未经竣工验收擅自使用工程的，保修期自</w:t>
      </w:r>
      <w:r>
        <w:rPr>
          <w:rFonts w:ascii="Times New Roman" w:hAnsi="Times New Roman" w:eastAsia="仿宋_GB2312"/>
          <w:color w:val="000000"/>
          <w:kern w:val="0"/>
          <w:sz w:val="30"/>
          <w:szCs w:val="32"/>
        </w:rPr>
        <w:t>转移占有之日起算</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15.4.2 修复费用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保修期内，修复的费用按照以下约定处理：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15.4.3 修复通知</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15.4.4 未能修复</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000000"/>
          <w:kern w:val="0"/>
          <w:sz w:val="30"/>
          <w:szCs w:val="32"/>
        </w:rPr>
        <w:t>但修复范围超出缺陷或损坏范围的，超出范围部分的修复费用由发包人承担。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15.4.5 承包人出入权</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spacing w:before="120" w:after="120" w:line="360" w:lineRule="auto"/>
        <w:rPr>
          <w:rFonts w:ascii="Times New Roman" w:hAnsi="Times New Roman" w:eastAsia="黑体"/>
          <w:b w:val="0"/>
          <w:color w:val="000000"/>
          <w:sz w:val="32"/>
          <w:szCs w:val="32"/>
        </w:rPr>
      </w:pPr>
      <w:bookmarkStart w:id="352" w:name="_Toc351203603"/>
      <w:bookmarkStart w:id="353" w:name="_Toc337558820"/>
      <w:r>
        <w:rPr>
          <w:rFonts w:ascii="Times New Roman" w:hAnsi="Times New Roman" w:eastAsia="黑体"/>
          <w:b w:val="0"/>
          <w:color w:val="000000"/>
          <w:sz w:val="32"/>
          <w:szCs w:val="32"/>
        </w:rPr>
        <w:t>16. 违约</w:t>
      </w:r>
      <w:bookmarkEnd w:id="352"/>
    </w:p>
    <w:bookmarkEnd w:id="353"/>
    <w:p>
      <w:pPr>
        <w:pStyle w:val="6"/>
        <w:spacing w:before="120" w:after="120" w:line="360" w:lineRule="auto"/>
        <w:ind w:firstLine="600" w:firstLineChars="200"/>
        <w:rPr>
          <w:rFonts w:ascii="Times New Roman" w:hAnsi="Times New Roman" w:eastAsia="黑体"/>
          <w:b w:val="0"/>
          <w:color w:val="000000"/>
          <w:sz w:val="30"/>
          <w:szCs w:val="32"/>
        </w:rPr>
      </w:pPr>
      <w:bookmarkStart w:id="354" w:name="_Toc296346630"/>
      <w:bookmarkStart w:id="355" w:name="_Toc296503129"/>
      <w:bookmarkStart w:id="356" w:name="_Toc351203604"/>
      <w:bookmarkStart w:id="357" w:name="_Toc337558821"/>
      <w:r>
        <w:rPr>
          <w:rFonts w:ascii="Times New Roman" w:hAnsi="Times New Roman" w:eastAsia="黑体"/>
          <w:b w:val="0"/>
          <w:color w:val="000000"/>
          <w:sz w:val="30"/>
          <w:szCs w:val="32"/>
        </w:rPr>
        <w:t>16.1 发</w:t>
      </w:r>
      <w:bookmarkEnd w:id="354"/>
      <w:bookmarkEnd w:id="355"/>
      <w:r>
        <w:rPr>
          <w:rFonts w:ascii="Times New Roman" w:hAnsi="Times New Roman" w:eastAsia="黑体"/>
          <w:b w:val="0"/>
          <w:color w:val="000000"/>
          <w:sz w:val="30"/>
          <w:szCs w:val="32"/>
        </w:rPr>
        <w:t>包人违约</w:t>
      </w:r>
      <w:bookmarkEnd w:id="356"/>
    </w:p>
    <w:bookmarkEnd w:id="35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16.1.1 发包人违约的情形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在合同履行过程中发生的下列情形，属于发包人违约：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（1）因发包人原因未能在计划开工日期前7天内下达开工通知的；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（2）因发包人原因未能按合同约定支付合同价款的；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（3）发包人违反第10.1款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变更的范围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第（2）项约定，自行实施被取消的工作或转由他人实施的；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（5）因发包人违反合同约定造成暂停施工的；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（6）发包人无正当理由没有在约定期限内发出复工指示，导致承包人无法复工的；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（7）发包人明确表示或者以其行为表明不履行合同主要义务的；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（8）发包人未能按照合同约定履行其他义务的。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16.1.2 发包人违约的责任</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16.1.3 因发包人违约解除合同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除专用合同条款另有约定外，承包人按第16.1.1项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约定暂停施工满28天后</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发包人仍不纠正其违约行为并致使合同目的不能实现的，</w:t>
      </w:r>
      <w:r>
        <w:rPr>
          <w:rFonts w:hint="eastAsia" w:ascii="Times New Roman" w:hAnsi="Times New Roman" w:eastAsia="仿宋_GB2312"/>
          <w:color w:val="000000"/>
          <w:kern w:val="0"/>
          <w:sz w:val="30"/>
          <w:szCs w:val="32"/>
        </w:rPr>
        <w:t>或</w:t>
      </w:r>
      <w:r>
        <w:rPr>
          <w:rFonts w:ascii="Times New Roman" w:hAnsi="Times New Roman" w:eastAsia="仿宋_GB2312"/>
          <w:color w:val="000000"/>
          <w:kern w:val="0"/>
          <w:sz w:val="30"/>
          <w:szCs w:val="32"/>
        </w:rPr>
        <w:t>出现第16.1.1项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第（7）目约定的违约情况，承包人有权解除合同，发包人应承担由此增加的费用，并支付承包人合理的利润。</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16.1.4 因发包人违约解除合同后的付款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承包人按照本款约定解除合同的，发包人应在解除合同后28天内支付下列款项，并解除履约担保：</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（1）合同解除前所完成工作的价款；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（2）承包人为工程施工订购并已付款的材料、工程设备和其他物品的价款；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（3）承包人撤离施工现场以及遣散承包人人员的款项；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（4）按照合同约定在合同解除前应支付的违约金；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（5）按照合同约定应当支付给承包人的其他款项；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（6）按照合同约定应退还的质量保证金；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（7）因解除合同给承包人造成的损失。</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合同当事人未能就解除合同后的结清达成一致的，按照第20条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承包人应妥善做好已完工程和与工程有关的已购材料、工程设备的保护和移交工作，并将施工设备和人员撤出施工现场，发包人应为承包人撤出提供必要条件。</w:t>
      </w:r>
    </w:p>
    <w:p>
      <w:pPr>
        <w:pStyle w:val="6"/>
        <w:spacing w:before="120" w:after="120" w:line="360" w:lineRule="auto"/>
        <w:ind w:firstLine="600" w:firstLineChars="200"/>
        <w:rPr>
          <w:rFonts w:ascii="Times New Roman" w:hAnsi="Times New Roman" w:eastAsia="黑体"/>
          <w:b w:val="0"/>
          <w:color w:val="000000"/>
          <w:sz w:val="30"/>
          <w:szCs w:val="32"/>
        </w:rPr>
      </w:pPr>
      <w:bookmarkStart w:id="358" w:name="_Toc351203605"/>
      <w:bookmarkStart w:id="359" w:name="_Toc296503131"/>
      <w:bookmarkStart w:id="360" w:name="_Toc296346632"/>
      <w:bookmarkStart w:id="361" w:name="_Toc337558822"/>
      <w:r>
        <w:rPr>
          <w:rFonts w:ascii="Times New Roman" w:hAnsi="Times New Roman" w:eastAsia="黑体"/>
          <w:b w:val="0"/>
          <w:color w:val="000000"/>
          <w:sz w:val="30"/>
          <w:szCs w:val="32"/>
        </w:rPr>
        <w:t>16.2 承包人违约</w:t>
      </w:r>
      <w:bookmarkEnd w:id="358"/>
    </w:p>
    <w:bookmarkEnd w:id="359"/>
    <w:bookmarkEnd w:id="360"/>
    <w:bookmarkEnd w:id="361"/>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16.2.1 承包人违约的情形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在合同履行过程中发生的下列情形，属于承包人违约：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（1）承包人违反合同约定进行转包或违法分包的；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（2）承包人违反合同约定采购和使用不合格的材料和工程设备的；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（3）因承包人原因导致工程质量不符合合同要求的；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（4）承包人违反第8.9款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材料与设备专用</w:t>
      </w:r>
      <w:r>
        <w:rPr>
          <w:rFonts w:hint="eastAsia" w:ascii="Times New Roman" w:hAnsi="Times New Roman" w:eastAsia="仿宋_GB2312"/>
          <w:color w:val="000000"/>
          <w:kern w:val="0"/>
          <w:sz w:val="30"/>
          <w:szCs w:val="32"/>
        </w:rPr>
        <w:t>要求〕</w:t>
      </w:r>
      <w:r>
        <w:rPr>
          <w:rFonts w:ascii="Times New Roman" w:hAnsi="Times New Roman" w:eastAsia="仿宋_GB2312"/>
          <w:color w:val="000000"/>
          <w:kern w:val="0"/>
          <w:sz w:val="30"/>
          <w:szCs w:val="32"/>
        </w:rPr>
        <w:t>的约定，未经批准，私自将已按照合同约定进入施工现场的材料或设备撤离施工现场的；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（5）承包人未能按施工进度计划及时完成合同约定的工作，造成工期延误的；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（6）承包人在缺陷责任期及保修期内，未能在合理期限对工程缺陷进行修复，或拒绝按发包人要求进行修复的；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（7）承包人明确表示或者以其行为表明不履行合同主要义务的；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（8）承包人未能按照合同约定履行其他义务的。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承包人发生除本项第（7）目约定以外的其他违约情况时，监理人可向承包人发出整改通知，要求其在指定的期限内改正。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16.2.2 承包人违约的责任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承包人应承担因其违约行为而增加的费用</w:t>
      </w:r>
      <w:r>
        <w:rPr>
          <w:rFonts w:hint="eastAsia" w:ascii="Times New Roman" w:hAnsi="Times New Roman" w:eastAsia="仿宋_GB2312"/>
          <w:color w:val="000000"/>
          <w:kern w:val="0"/>
          <w:sz w:val="30"/>
          <w:szCs w:val="32"/>
        </w:rPr>
        <w:t>和（或）延误的</w:t>
      </w:r>
      <w:r>
        <w:rPr>
          <w:rFonts w:ascii="Times New Roman" w:hAnsi="Times New Roman" w:eastAsia="仿宋_GB2312"/>
          <w:color w:val="000000"/>
          <w:kern w:val="0"/>
          <w:sz w:val="30"/>
          <w:szCs w:val="32"/>
        </w:rPr>
        <w:t>工期。此外，合同当事人可在专用合同条款中另行约定承包人违约责任的承担方式和计算方法。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16.2.3 因承包人违约解除合同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除专用合同条款另有约定外，出现第16.2.1项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eastAsia="仿宋_GB2312"/>
          <w:color w:val="000000"/>
          <w:kern w:val="0"/>
          <w:sz w:val="30"/>
          <w:szCs w:val="32"/>
        </w:rPr>
        <w:t>合同当事人应在专用合同条款约定相应费用的承担方式。</w:t>
      </w: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继续使用的</w:t>
      </w:r>
      <w:r>
        <w:rPr>
          <w:rFonts w:ascii="Times New Roman" w:hAnsi="Times New Roman" w:eastAsia="仿宋_GB2312"/>
          <w:color w:val="000000"/>
          <w:kern w:val="0"/>
          <w:sz w:val="30"/>
          <w:szCs w:val="32"/>
        </w:rPr>
        <w:t>行为不免除或减轻承包人应承担的违约责任。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16.2.4因承包人违约解除合同后的处理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因承包人原因导致合同解除的，则合同当事人应在合同解除后28天内完成估价、付款和清算，并按以下约定执行：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（1）合同解除后，按第4.4款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商定或确定承包人实际完成工作对应的合同价款，以及承包人已提供的材料、工程设备、施工设备和临时工程等的价值；</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（2）合同解除后，承包人应支付的违约金；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（3）合同解除后，因解除合同给发包人造成的损失；</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（4）合同解除后，承包人应按照发包人要求和监理人的指示完成现场的清理和撤离；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（5）发包人和承包人应在合同解除后进行清算，出具最终结清付款证书，结清全部款项。</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因承包人违约解除合同的，</w:t>
      </w:r>
      <w:r>
        <w:rPr>
          <w:rFonts w:ascii="Times New Roman" w:hAnsi="Times New Roman" w:eastAsia="仿宋_GB2312"/>
          <w:color w:val="000000"/>
          <w:kern w:val="0"/>
          <w:sz w:val="30"/>
          <w:szCs w:val="32"/>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16.2.5采购合同权益转让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line="360" w:lineRule="auto"/>
        <w:ind w:firstLine="600" w:firstLineChars="200"/>
        <w:rPr>
          <w:rFonts w:ascii="Times New Roman" w:hAnsi="Times New Roman" w:eastAsia="黑体"/>
          <w:b w:val="0"/>
          <w:color w:val="000000"/>
          <w:sz w:val="30"/>
          <w:szCs w:val="32"/>
        </w:rPr>
      </w:pPr>
      <w:bookmarkStart w:id="362" w:name="_Toc351203606"/>
      <w:r>
        <w:rPr>
          <w:rFonts w:ascii="Times New Roman" w:hAnsi="Times New Roman" w:eastAsia="黑体"/>
          <w:b w:val="0"/>
          <w:color w:val="000000"/>
          <w:sz w:val="30"/>
          <w:szCs w:val="32"/>
        </w:rPr>
        <w:t>16.3 第三人造成的违约</w:t>
      </w:r>
      <w:bookmarkEnd w:id="362"/>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在履行合同过程中，一方当事人因第三人的原因造成违约的，应当向对方当事人承担违约责任。一方当事人和第三人之间的纠纷，依照法律规定或者按照约定解决。</w:t>
      </w:r>
    </w:p>
    <w:p>
      <w:pPr>
        <w:pStyle w:val="5"/>
        <w:spacing w:before="120" w:after="120" w:line="360" w:lineRule="auto"/>
        <w:rPr>
          <w:rFonts w:ascii="Times New Roman" w:hAnsi="Times New Roman" w:eastAsia="黑体"/>
          <w:b w:val="0"/>
          <w:color w:val="000000"/>
          <w:sz w:val="32"/>
          <w:szCs w:val="32"/>
        </w:rPr>
      </w:pPr>
      <w:bookmarkStart w:id="363" w:name="_Toc351203607"/>
      <w:bookmarkStart w:id="364" w:name="_Toc296503116"/>
      <w:bookmarkStart w:id="365" w:name="_Toc296346617"/>
      <w:bookmarkStart w:id="366" w:name="_Toc337558823"/>
      <w:r>
        <w:rPr>
          <w:rFonts w:ascii="Times New Roman" w:hAnsi="Times New Roman" w:eastAsia="黑体"/>
          <w:b w:val="0"/>
          <w:color w:val="000000"/>
          <w:sz w:val="32"/>
          <w:szCs w:val="32"/>
        </w:rPr>
        <w:t>17. 不可抗力</w:t>
      </w:r>
      <w:bookmarkEnd w:id="363"/>
      <w:r>
        <w:rPr>
          <w:rFonts w:ascii="Times New Roman" w:hAnsi="Times New Roman" w:eastAsia="黑体"/>
          <w:b w:val="0"/>
          <w:color w:val="000000"/>
          <w:sz w:val="32"/>
          <w:szCs w:val="32"/>
        </w:rPr>
        <w:t xml:space="preserve"> </w:t>
      </w:r>
      <w:bookmarkEnd w:id="364"/>
      <w:bookmarkEnd w:id="365"/>
      <w:bookmarkEnd w:id="366"/>
    </w:p>
    <w:p>
      <w:pPr>
        <w:pStyle w:val="6"/>
        <w:spacing w:before="120" w:after="120" w:line="360" w:lineRule="auto"/>
        <w:ind w:firstLine="600" w:firstLineChars="200"/>
        <w:rPr>
          <w:rFonts w:ascii="Times New Roman" w:hAnsi="Times New Roman" w:eastAsia="黑体"/>
          <w:b w:val="0"/>
          <w:color w:val="000000"/>
          <w:sz w:val="30"/>
          <w:szCs w:val="32"/>
        </w:rPr>
      </w:pPr>
      <w:bookmarkStart w:id="367" w:name="_Toc351203608"/>
      <w:bookmarkStart w:id="368" w:name="_Toc337558824"/>
      <w:bookmarkStart w:id="369" w:name="_Toc296346618"/>
      <w:bookmarkStart w:id="370" w:name="_Toc296503117"/>
      <w:r>
        <w:rPr>
          <w:rFonts w:ascii="Times New Roman" w:hAnsi="Times New Roman" w:eastAsia="黑体"/>
          <w:b w:val="0"/>
          <w:color w:val="000000"/>
          <w:sz w:val="30"/>
          <w:szCs w:val="32"/>
        </w:rPr>
        <w:t>17.1 不可抗力的确认</w:t>
      </w:r>
      <w:bookmarkEnd w:id="367"/>
    </w:p>
    <w:bookmarkEnd w:id="368"/>
    <w:bookmarkEnd w:id="369"/>
    <w:bookmarkEnd w:id="37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的约定处理。发生争议时，按第20条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pStyle w:val="6"/>
        <w:spacing w:before="120" w:after="120" w:line="360" w:lineRule="auto"/>
        <w:ind w:firstLine="600" w:firstLineChars="200"/>
        <w:rPr>
          <w:rFonts w:ascii="Times New Roman" w:hAnsi="Times New Roman" w:eastAsia="黑体"/>
          <w:b w:val="0"/>
          <w:color w:val="000000"/>
          <w:sz w:val="30"/>
          <w:szCs w:val="32"/>
        </w:rPr>
      </w:pPr>
      <w:bookmarkStart w:id="371" w:name="_Toc351203609"/>
      <w:bookmarkStart w:id="372" w:name="_Toc337558825"/>
      <w:bookmarkStart w:id="373" w:name="_Toc296503118"/>
      <w:bookmarkStart w:id="374" w:name="_Toc296346619"/>
      <w:r>
        <w:rPr>
          <w:rFonts w:ascii="Times New Roman" w:hAnsi="Times New Roman" w:eastAsia="黑体"/>
          <w:b w:val="0"/>
          <w:color w:val="000000"/>
          <w:sz w:val="30"/>
          <w:szCs w:val="32"/>
        </w:rPr>
        <w:t>17.2 不可抗力的通知</w:t>
      </w:r>
      <w:bookmarkEnd w:id="371"/>
    </w:p>
    <w:bookmarkEnd w:id="372"/>
    <w:bookmarkEnd w:id="373"/>
    <w:bookmarkEnd w:id="37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合同</w:t>
      </w:r>
      <w:r>
        <w:rPr>
          <w:rFonts w:ascii="Times New Roman" w:hAnsi="Times New Roman" w:eastAsia="仿宋_GB2312"/>
          <w:color w:val="000000"/>
          <w:kern w:val="0"/>
          <w:sz w:val="30"/>
          <w:szCs w:val="32"/>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line="360" w:lineRule="auto"/>
        <w:ind w:firstLine="600" w:firstLineChars="200"/>
        <w:rPr>
          <w:rFonts w:ascii="Times New Roman" w:hAnsi="Times New Roman" w:eastAsia="黑体"/>
          <w:b w:val="0"/>
          <w:color w:val="000000"/>
          <w:sz w:val="30"/>
          <w:szCs w:val="32"/>
        </w:rPr>
      </w:pPr>
      <w:bookmarkStart w:id="375" w:name="_Toc351203610"/>
      <w:bookmarkStart w:id="376" w:name="_Toc296503119"/>
      <w:bookmarkStart w:id="377" w:name="_Toc337558826"/>
      <w:bookmarkStart w:id="378" w:name="_Toc296346620"/>
      <w:r>
        <w:rPr>
          <w:rFonts w:ascii="Times New Roman" w:hAnsi="Times New Roman" w:eastAsia="黑体"/>
          <w:b w:val="0"/>
          <w:color w:val="000000"/>
          <w:sz w:val="30"/>
          <w:szCs w:val="32"/>
        </w:rPr>
        <w:t>17.3 不可抗力后果的承担</w:t>
      </w:r>
      <w:bookmarkEnd w:id="375"/>
    </w:p>
    <w:bookmarkEnd w:id="376"/>
    <w:bookmarkEnd w:id="377"/>
    <w:bookmarkEnd w:id="37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17.3.1 </w:t>
      </w:r>
      <w:r>
        <w:rPr>
          <w:rFonts w:hint="eastAsia" w:ascii="Times New Roman" w:hAnsi="Times New Roman" w:eastAsia="仿宋_GB2312"/>
          <w:color w:val="000000"/>
          <w:kern w:val="0"/>
          <w:sz w:val="30"/>
          <w:szCs w:val="32"/>
        </w:rPr>
        <w:t>不可抗力引起的后果及造成的损失由合同当事人按照法律规定及合同约定各自承担。</w:t>
      </w:r>
      <w:r>
        <w:rPr>
          <w:rFonts w:ascii="Times New Roman" w:hAnsi="Times New Roman" w:eastAsia="仿宋_GB2312"/>
          <w:color w:val="000000"/>
          <w:kern w:val="0"/>
          <w:sz w:val="30"/>
          <w:szCs w:val="32"/>
        </w:rPr>
        <w:t>不可抗力发生前已完</w:t>
      </w:r>
      <w:r>
        <w:rPr>
          <w:rFonts w:hint="eastAsia" w:ascii="Times New Roman" w:hAnsi="Times New Roman" w:eastAsia="仿宋_GB2312"/>
          <w:color w:val="000000"/>
          <w:kern w:val="0"/>
          <w:sz w:val="30"/>
          <w:szCs w:val="32"/>
        </w:rPr>
        <w:t>成的</w:t>
      </w:r>
      <w:r>
        <w:rPr>
          <w:rFonts w:ascii="Times New Roman" w:hAnsi="Times New Roman" w:eastAsia="仿宋_GB2312"/>
          <w:color w:val="000000"/>
          <w:kern w:val="0"/>
          <w:sz w:val="30"/>
          <w:szCs w:val="32"/>
        </w:rPr>
        <w:t>工程应当按照合同约定进行计量</w:t>
      </w:r>
      <w:r>
        <w:rPr>
          <w:rFonts w:hint="eastAsia" w:ascii="Times New Roman" w:hAnsi="Times New Roman" w:eastAsia="仿宋_GB2312"/>
          <w:color w:val="000000"/>
          <w:kern w:val="0"/>
          <w:sz w:val="30"/>
          <w:szCs w:val="32"/>
        </w:rPr>
        <w:t>支付</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17.3.2 不可抗力导致的人员伤亡、财产损失、费用增加和（或）工期延误等后果，由合同当事人按以下原则承担：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（2）承包人施工设备的损坏由承包人承担；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（3）发包人和承包人承担各自人员伤亡和财产的损失；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（5）因不可抗力引起或将引起工期延误，发包人要求赶工的，由此增加的赶工费用由发包人承担；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（6）承包人在停工期间按照发包人要求照管、清理和修复工程的费用由发包人承担。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因合同一方迟延履行合同义务，在迟延履行期间遭遇不可抗力的，不免除其违约责任。</w:t>
      </w:r>
    </w:p>
    <w:p>
      <w:pPr>
        <w:pStyle w:val="6"/>
        <w:spacing w:before="120" w:after="120" w:line="360" w:lineRule="auto"/>
        <w:ind w:firstLine="600" w:firstLineChars="200"/>
        <w:rPr>
          <w:rFonts w:ascii="Times New Roman" w:hAnsi="Times New Roman" w:eastAsia="黑体"/>
          <w:b w:val="0"/>
          <w:color w:val="000000"/>
          <w:sz w:val="30"/>
          <w:szCs w:val="32"/>
        </w:rPr>
      </w:pPr>
      <w:bookmarkStart w:id="379" w:name="_Toc351203611"/>
      <w:bookmarkStart w:id="380" w:name="_Toc337558827"/>
      <w:r>
        <w:rPr>
          <w:rFonts w:ascii="Times New Roman" w:hAnsi="Times New Roman" w:eastAsia="黑体"/>
          <w:b w:val="0"/>
          <w:color w:val="000000"/>
          <w:sz w:val="30"/>
          <w:szCs w:val="32"/>
        </w:rPr>
        <w:t>17.4 因不可抗力解除合同</w:t>
      </w:r>
      <w:bookmarkEnd w:id="379"/>
    </w:p>
    <w:bookmarkEnd w:id="380"/>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因不可抗力导致合同无法履行连续超过84天或累计超过140天的，发包人和承包人均有权解除合同。合同解除后，由双方当事人按照第4.4款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商定或确定发包人应支付的款项，该款项包括：</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（1）合同解除前承包人已完成工作的价款；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（2）承包人为工程订购的并已交付给承包人，或承包人有责任接受交付的材料、工程设备和其他物品的价款；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（3）发包人要求承包人退货或解除订货合同而产生的费用，或因不能退货或解除合同而产生的损失；</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（4）承包人撤离施工现场以及遣散承包人人员的费用；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（5）按照合同约定在合同解除前应支付给承包人的其他款项；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（6）扣减承包人按照合同约定应向发包人支付的款项；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（7）双方商定或确定的其他款项。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除专用合同条款另有约定外，合同解除后，发包人应在商定或确定上述款项后28天内完成上述款项的支付。</w:t>
      </w:r>
    </w:p>
    <w:p>
      <w:pPr>
        <w:pStyle w:val="5"/>
        <w:spacing w:before="120" w:after="120" w:line="360" w:lineRule="auto"/>
        <w:rPr>
          <w:rFonts w:ascii="Times New Roman" w:hAnsi="Times New Roman" w:eastAsia="黑体"/>
          <w:b w:val="0"/>
          <w:color w:val="000000"/>
          <w:sz w:val="32"/>
          <w:szCs w:val="32"/>
        </w:rPr>
      </w:pPr>
      <w:bookmarkStart w:id="381" w:name="_Toc351203612"/>
      <w:bookmarkStart w:id="382" w:name="_Toc337558828"/>
      <w:bookmarkStart w:id="383" w:name="_Toc296503120"/>
      <w:bookmarkStart w:id="384" w:name="_Toc296346621"/>
      <w:r>
        <w:rPr>
          <w:rFonts w:ascii="Times New Roman" w:hAnsi="Times New Roman" w:eastAsia="黑体"/>
          <w:b w:val="0"/>
          <w:color w:val="000000"/>
          <w:sz w:val="32"/>
          <w:szCs w:val="32"/>
        </w:rPr>
        <w:t>18. 保险</w:t>
      </w:r>
      <w:bookmarkEnd w:id="381"/>
    </w:p>
    <w:bookmarkEnd w:id="382"/>
    <w:bookmarkEnd w:id="383"/>
    <w:bookmarkEnd w:id="384"/>
    <w:p>
      <w:pPr>
        <w:pStyle w:val="6"/>
        <w:spacing w:before="120" w:after="120" w:line="360" w:lineRule="auto"/>
        <w:ind w:firstLine="600" w:firstLineChars="200"/>
        <w:rPr>
          <w:rFonts w:ascii="Times New Roman" w:hAnsi="Times New Roman" w:eastAsia="黑体"/>
          <w:b w:val="0"/>
          <w:color w:val="000000"/>
          <w:sz w:val="30"/>
          <w:szCs w:val="32"/>
        </w:rPr>
      </w:pPr>
      <w:bookmarkStart w:id="385" w:name="_Toc351203613"/>
      <w:bookmarkStart w:id="386" w:name="_Toc296346622"/>
      <w:bookmarkStart w:id="387" w:name="_Toc337558829"/>
      <w:bookmarkStart w:id="388" w:name="_Toc296503121"/>
      <w:r>
        <w:rPr>
          <w:rFonts w:ascii="Times New Roman" w:hAnsi="Times New Roman" w:eastAsia="黑体"/>
          <w:b w:val="0"/>
          <w:color w:val="000000"/>
          <w:sz w:val="30"/>
          <w:szCs w:val="32"/>
        </w:rPr>
        <w:t>18.1 工程保险</w:t>
      </w:r>
      <w:bookmarkEnd w:id="385"/>
    </w:p>
    <w:bookmarkEnd w:id="386"/>
    <w:bookmarkEnd w:id="387"/>
    <w:bookmarkEnd w:id="38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除专用合同条款另有约定外，发包人应投保建筑工程一切险或安装工程一切险；发包人委托承包人投保的，因投保产生的保险费和其他相关费用由发包人承担。</w:t>
      </w:r>
    </w:p>
    <w:p>
      <w:pPr>
        <w:pStyle w:val="6"/>
        <w:spacing w:before="120" w:after="120" w:line="360" w:lineRule="auto"/>
        <w:ind w:firstLine="600" w:firstLineChars="200"/>
        <w:rPr>
          <w:rFonts w:ascii="Times New Roman" w:hAnsi="Times New Roman" w:eastAsia="黑体"/>
          <w:b w:val="0"/>
          <w:color w:val="000000"/>
          <w:sz w:val="30"/>
          <w:szCs w:val="32"/>
        </w:rPr>
      </w:pPr>
      <w:bookmarkStart w:id="389" w:name="_Toc351203614"/>
      <w:bookmarkStart w:id="390" w:name="_Toc296503122"/>
      <w:bookmarkStart w:id="391" w:name="_Toc296346623"/>
      <w:bookmarkStart w:id="392" w:name="_Toc337558830"/>
      <w:r>
        <w:rPr>
          <w:rFonts w:ascii="Times New Roman" w:hAnsi="Times New Roman" w:eastAsia="黑体"/>
          <w:b w:val="0"/>
          <w:color w:val="000000"/>
          <w:sz w:val="30"/>
          <w:szCs w:val="32"/>
        </w:rPr>
        <w:t>18.2 工伤保险</w:t>
      </w:r>
      <w:bookmarkEnd w:id="389"/>
    </w:p>
    <w:bookmarkEnd w:id="390"/>
    <w:bookmarkEnd w:id="391"/>
    <w:bookmarkEnd w:id="39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line="360" w:lineRule="auto"/>
        <w:ind w:firstLine="600" w:firstLineChars="200"/>
        <w:rPr>
          <w:rFonts w:ascii="Times New Roman" w:hAnsi="Times New Roman" w:eastAsia="黑体"/>
          <w:b w:val="0"/>
          <w:color w:val="000000"/>
          <w:sz w:val="30"/>
          <w:szCs w:val="32"/>
        </w:rPr>
      </w:pPr>
      <w:bookmarkStart w:id="393" w:name="_Toc351203615"/>
      <w:bookmarkStart w:id="394" w:name="_Toc296346626"/>
      <w:bookmarkStart w:id="395" w:name="_Toc296503125"/>
      <w:bookmarkStart w:id="396" w:name="_Toc337558831"/>
      <w:r>
        <w:rPr>
          <w:rFonts w:ascii="Times New Roman" w:hAnsi="Times New Roman" w:eastAsia="黑体"/>
          <w:b w:val="0"/>
          <w:color w:val="000000"/>
          <w:sz w:val="30"/>
          <w:szCs w:val="32"/>
        </w:rPr>
        <w:t>18.3其他保险</w:t>
      </w:r>
      <w:bookmarkEnd w:id="393"/>
    </w:p>
    <w:bookmarkEnd w:id="394"/>
    <w:bookmarkEnd w:id="395"/>
    <w:bookmarkEnd w:id="396"/>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除专用合同条款另有约定外，承包人应为其施工设备等办理财产保险。</w:t>
      </w:r>
    </w:p>
    <w:p>
      <w:pPr>
        <w:pStyle w:val="6"/>
        <w:spacing w:before="120" w:after="120" w:line="360" w:lineRule="auto"/>
        <w:ind w:firstLine="600" w:firstLineChars="200"/>
        <w:rPr>
          <w:rFonts w:ascii="Times New Roman" w:hAnsi="Times New Roman" w:eastAsia="黑体"/>
          <w:b w:val="0"/>
          <w:color w:val="000000"/>
          <w:sz w:val="30"/>
          <w:szCs w:val="32"/>
        </w:rPr>
      </w:pPr>
      <w:bookmarkStart w:id="397" w:name="_Toc351203616"/>
      <w:r>
        <w:rPr>
          <w:rFonts w:ascii="Times New Roman" w:hAnsi="Times New Roman" w:eastAsia="黑体"/>
          <w:b w:val="0"/>
          <w:color w:val="000000"/>
          <w:sz w:val="30"/>
          <w:szCs w:val="32"/>
        </w:rPr>
        <w:t>18.4持续保险</w:t>
      </w:r>
      <w:bookmarkEnd w:id="397"/>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合同当事人应与保险人保持联系，使保险人能够随时了解工程实施中的变动，并确保按保险合同条款要求持续保险。</w:t>
      </w:r>
    </w:p>
    <w:p>
      <w:pPr>
        <w:pStyle w:val="6"/>
        <w:spacing w:before="120" w:after="120" w:line="360" w:lineRule="auto"/>
        <w:ind w:firstLine="600" w:firstLineChars="200"/>
        <w:rPr>
          <w:rFonts w:ascii="Times New Roman" w:hAnsi="Times New Roman" w:eastAsia="黑体"/>
          <w:b w:val="0"/>
          <w:color w:val="000000"/>
          <w:sz w:val="30"/>
          <w:szCs w:val="32"/>
        </w:rPr>
      </w:pPr>
      <w:bookmarkStart w:id="398" w:name="_Toc351203617"/>
      <w:bookmarkStart w:id="399" w:name="_Toc296346627"/>
      <w:bookmarkStart w:id="400" w:name="_Toc337558832"/>
      <w:bookmarkStart w:id="401" w:name="_Toc296503126"/>
      <w:r>
        <w:rPr>
          <w:rFonts w:ascii="Times New Roman" w:hAnsi="Times New Roman" w:eastAsia="黑体"/>
          <w:b w:val="0"/>
          <w:color w:val="000000"/>
          <w:sz w:val="30"/>
          <w:szCs w:val="32"/>
        </w:rPr>
        <w:t>18.5 保险凭证</w:t>
      </w:r>
      <w:bookmarkEnd w:id="398"/>
    </w:p>
    <w:bookmarkEnd w:id="399"/>
    <w:bookmarkEnd w:id="400"/>
    <w:bookmarkEnd w:id="401"/>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合同当事人应及时向另一方当事人提交其已投保的各项保险的凭证和保险单复印件。</w:t>
      </w:r>
    </w:p>
    <w:p>
      <w:pPr>
        <w:pStyle w:val="6"/>
        <w:spacing w:before="120" w:after="120" w:line="360" w:lineRule="auto"/>
        <w:ind w:firstLine="600" w:firstLineChars="200"/>
        <w:rPr>
          <w:rFonts w:ascii="Times New Roman" w:hAnsi="Times New Roman" w:eastAsia="黑体"/>
          <w:b w:val="0"/>
          <w:color w:val="000000"/>
          <w:sz w:val="30"/>
          <w:szCs w:val="32"/>
        </w:rPr>
      </w:pPr>
      <w:bookmarkStart w:id="402" w:name="_Toc351203618"/>
      <w:bookmarkStart w:id="403" w:name="_Toc296346628"/>
      <w:bookmarkStart w:id="404" w:name="_Toc296503127"/>
      <w:bookmarkStart w:id="405" w:name="_Toc337558833"/>
      <w:r>
        <w:rPr>
          <w:rFonts w:ascii="Times New Roman" w:hAnsi="Times New Roman" w:eastAsia="黑体"/>
          <w:b w:val="0"/>
          <w:color w:val="000000"/>
          <w:sz w:val="30"/>
          <w:szCs w:val="32"/>
        </w:rPr>
        <w:t>18.6 未按约定投保的补救</w:t>
      </w:r>
      <w:bookmarkEnd w:id="402"/>
    </w:p>
    <w:bookmarkEnd w:id="403"/>
    <w:bookmarkEnd w:id="404"/>
    <w:bookmarkEnd w:id="405"/>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line="360" w:lineRule="auto"/>
        <w:ind w:firstLine="600" w:firstLineChars="200"/>
        <w:rPr>
          <w:rFonts w:ascii="Times New Roman" w:hAnsi="Times New Roman" w:eastAsia="黑体"/>
          <w:b w:val="0"/>
          <w:color w:val="000000"/>
          <w:sz w:val="30"/>
          <w:szCs w:val="32"/>
        </w:rPr>
      </w:pPr>
      <w:bookmarkStart w:id="406" w:name="_Toc351203619"/>
      <w:bookmarkStart w:id="407" w:name="_Toc337558834"/>
      <w:r>
        <w:rPr>
          <w:rFonts w:ascii="Times New Roman" w:hAnsi="Times New Roman" w:eastAsia="黑体"/>
          <w:b w:val="0"/>
          <w:color w:val="000000"/>
          <w:sz w:val="30"/>
          <w:szCs w:val="32"/>
        </w:rPr>
        <w:t>18.7 通知义务</w:t>
      </w:r>
      <w:bookmarkEnd w:id="406"/>
    </w:p>
    <w:bookmarkEnd w:id="407"/>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保险事故发生时，投保人应按照保险合同规定的条件和期限及时向保险人报告。发包人和承包人应当在知道保险事故发生后及时通知对方。</w:t>
      </w:r>
    </w:p>
    <w:p>
      <w:pPr>
        <w:pStyle w:val="5"/>
        <w:spacing w:before="120" w:after="120" w:line="360" w:lineRule="auto"/>
        <w:rPr>
          <w:rFonts w:ascii="Times New Roman" w:hAnsi="Times New Roman" w:eastAsia="黑体"/>
          <w:b w:val="0"/>
          <w:color w:val="000000"/>
          <w:sz w:val="32"/>
          <w:szCs w:val="32"/>
        </w:rPr>
      </w:pPr>
      <w:bookmarkStart w:id="408" w:name="_Toc351203620"/>
      <w:bookmarkStart w:id="409" w:name="_Toc296346641"/>
      <w:bookmarkStart w:id="410" w:name="_Toc337558835"/>
      <w:bookmarkStart w:id="411" w:name="_Toc296503140"/>
      <w:r>
        <w:rPr>
          <w:rFonts w:ascii="Times New Roman" w:hAnsi="Times New Roman" w:eastAsia="黑体"/>
          <w:b w:val="0"/>
          <w:color w:val="000000"/>
          <w:sz w:val="32"/>
          <w:szCs w:val="32"/>
        </w:rPr>
        <w:t>19. 索赔</w:t>
      </w:r>
      <w:bookmarkEnd w:id="408"/>
    </w:p>
    <w:bookmarkEnd w:id="409"/>
    <w:bookmarkEnd w:id="410"/>
    <w:bookmarkEnd w:id="411"/>
    <w:p>
      <w:pPr>
        <w:pStyle w:val="6"/>
        <w:spacing w:before="120" w:after="120" w:line="360" w:lineRule="auto"/>
        <w:ind w:firstLine="600" w:firstLineChars="200"/>
        <w:rPr>
          <w:rFonts w:ascii="Times New Roman" w:hAnsi="Times New Roman" w:eastAsia="黑体"/>
          <w:b w:val="0"/>
          <w:color w:val="000000"/>
          <w:sz w:val="30"/>
          <w:szCs w:val="32"/>
        </w:rPr>
      </w:pPr>
      <w:bookmarkStart w:id="412" w:name="_Toc351203621"/>
      <w:bookmarkStart w:id="413" w:name="_Toc296346642"/>
      <w:bookmarkStart w:id="414" w:name="_Toc296503141"/>
      <w:bookmarkStart w:id="415" w:name="_Toc337558836"/>
      <w:r>
        <w:rPr>
          <w:rFonts w:ascii="Times New Roman" w:hAnsi="Times New Roman" w:eastAsia="黑体"/>
          <w:b w:val="0"/>
          <w:color w:val="000000"/>
          <w:sz w:val="30"/>
          <w:szCs w:val="32"/>
        </w:rPr>
        <w:t>19.1承包人的索赔</w:t>
      </w:r>
      <w:bookmarkEnd w:id="412"/>
    </w:p>
    <w:bookmarkEnd w:id="413"/>
    <w:bookmarkEnd w:id="414"/>
    <w:bookmarkEnd w:id="41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根据合同约定，承包人认为有权得到追加付款和（或）延长工期的，应按以下程序向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人提出索赔：</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（4）在索赔事件影响结束后28天内，承包人应向监理人递交最终索赔报告，说明最终要求索赔的追加付款金额和（或）延长的工期，并附必要的记录和证明材料。</w:t>
      </w:r>
    </w:p>
    <w:p>
      <w:pPr>
        <w:pStyle w:val="6"/>
        <w:spacing w:before="120" w:after="120" w:line="360" w:lineRule="auto"/>
        <w:ind w:firstLine="600" w:firstLineChars="200"/>
        <w:rPr>
          <w:rFonts w:ascii="Times New Roman" w:hAnsi="Times New Roman" w:eastAsia="黑体"/>
          <w:b w:val="0"/>
          <w:color w:val="000000"/>
          <w:sz w:val="30"/>
          <w:szCs w:val="32"/>
        </w:rPr>
      </w:pPr>
      <w:bookmarkStart w:id="416" w:name="_Toc351203622"/>
      <w:bookmarkStart w:id="417" w:name="_Toc296346643"/>
      <w:bookmarkStart w:id="418" w:name="_Toc296503142"/>
      <w:bookmarkStart w:id="419" w:name="_Toc337558837"/>
      <w:r>
        <w:rPr>
          <w:rFonts w:ascii="Times New Roman" w:hAnsi="Times New Roman" w:eastAsia="黑体"/>
          <w:b w:val="0"/>
          <w:color w:val="000000"/>
          <w:sz w:val="30"/>
          <w:szCs w:val="32"/>
        </w:rPr>
        <w:t>19.2 对承包人索赔的处理</w:t>
      </w:r>
      <w:bookmarkEnd w:id="416"/>
    </w:p>
    <w:bookmarkEnd w:id="417"/>
    <w:bookmarkEnd w:id="418"/>
    <w:bookmarkEnd w:id="41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对承包人索赔的处理如下：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（3）承包人接受索赔处理结果的，索赔款项在当期进度款中进行支付；承包人不接受索赔处理结果的，按照第20条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w:t>
      </w:r>
    </w:p>
    <w:p>
      <w:pPr>
        <w:pStyle w:val="6"/>
        <w:spacing w:before="120" w:after="120" w:line="360" w:lineRule="auto"/>
        <w:ind w:firstLine="600" w:firstLineChars="200"/>
        <w:rPr>
          <w:rFonts w:ascii="Times New Roman" w:hAnsi="Times New Roman" w:eastAsia="黑体"/>
          <w:b w:val="0"/>
          <w:color w:val="000000"/>
          <w:sz w:val="30"/>
          <w:szCs w:val="32"/>
        </w:rPr>
      </w:pPr>
      <w:bookmarkStart w:id="420" w:name="_Toc351203623"/>
      <w:bookmarkStart w:id="421" w:name="_Toc296346644"/>
      <w:bookmarkStart w:id="422" w:name="_Toc337558838"/>
      <w:bookmarkStart w:id="423" w:name="_Toc296503143"/>
      <w:r>
        <w:rPr>
          <w:rFonts w:ascii="Times New Roman" w:hAnsi="Times New Roman" w:eastAsia="黑体"/>
          <w:b w:val="0"/>
          <w:color w:val="000000"/>
          <w:sz w:val="30"/>
          <w:szCs w:val="32"/>
        </w:rPr>
        <w:t>19.3发包人的索赔</w:t>
      </w:r>
      <w:bookmarkEnd w:id="420"/>
    </w:p>
    <w:bookmarkEnd w:id="421"/>
    <w:bookmarkEnd w:id="422"/>
    <w:bookmarkEnd w:id="42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根据合同约定，发包人认为有权得到赔付金额和（或）延长缺陷责任期的，监理人应向承包人发出通知并附有详细的证明。</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line="360" w:lineRule="auto"/>
        <w:ind w:firstLine="600" w:firstLineChars="200"/>
        <w:rPr>
          <w:rFonts w:ascii="Times New Roman" w:hAnsi="Times New Roman" w:eastAsia="黑体"/>
          <w:b w:val="0"/>
          <w:color w:val="000000"/>
          <w:sz w:val="30"/>
          <w:szCs w:val="32"/>
        </w:rPr>
      </w:pPr>
      <w:bookmarkStart w:id="424" w:name="_Toc351203624"/>
      <w:bookmarkStart w:id="425" w:name="_Toc296346645"/>
      <w:bookmarkStart w:id="426" w:name="_Toc296503144"/>
      <w:bookmarkStart w:id="427" w:name="_Toc337558839"/>
      <w:r>
        <w:rPr>
          <w:rFonts w:ascii="Times New Roman" w:hAnsi="Times New Roman" w:eastAsia="黑体"/>
          <w:b w:val="0"/>
          <w:color w:val="000000"/>
          <w:sz w:val="30"/>
          <w:szCs w:val="32"/>
        </w:rPr>
        <w:t>19.4 对发包人索赔的处理</w:t>
      </w:r>
      <w:bookmarkEnd w:id="424"/>
    </w:p>
    <w:bookmarkEnd w:id="425"/>
    <w:bookmarkEnd w:id="426"/>
    <w:bookmarkEnd w:id="42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对发包人索赔的处理如下：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（1）承包人收到发包人提交的索赔报告后，应及时审查索赔报告的内容、查验发包人证明材料；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w:t>
      </w:r>
    </w:p>
    <w:p>
      <w:pPr>
        <w:pStyle w:val="6"/>
        <w:spacing w:before="120" w:after="120" w:line="360" w:lineRule="auto"/>
        <w:ind w:firstLine="600" w:firstLineChars="200"/>
        <w:rPr>
          <w:rFonts w:ascii="Times New Roman" w:hAnsi="Times New Roman" w:eastAsia="黑体"/>
          <w:b w:val="0"/>
          <w:color w:val="000000"/>
          <w:sz w:val="30"/>
          <w:szCs w:val="32"/>
        </w:rPr>
      </w:pPr>
      <w:bookmarkStart w:id="428" w:name="_Toc351203625"/>
      <w:r>
        <w:rPr>
          <w:rFonts w:ascii="Times New Roman" w:hAnsi="Times New Roman" w:eastAsia="黑体"/>
          <w:b w:val="0"/>
          <w:color w:val="000000"/>
          <w:sz w:val="30"/>
          <w:szCs w:val="32"/>
        </w:rPr>
        <w:t>19.5 提出索赔的期限</w:t>
      </w:r>
      <w:bookmarkEnd w:id="428"/>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（1）承包人按第14.2款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竣工结算审核</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约定接收竣工付款证书后，应被视为已无权再提出在工程接收证书颁发前所发生的任何索赔。</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（2）承包人按第14.4款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最终结清</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提交的最终结清申请单中，只限于提出工程接收证书颁发后发生的索赔。提出索赔的期限自接受最终结清证书时终止。</w:t>
      </w:r>
    </w:p>
    <w:p>
      <w:pPr>
        <w:pStyle w:val="5"/>
        <w:spacing w:before="120" w:after="120" w:line="360" w:lineRule="auto"/>
        <w:rPr>
          <w:rFonts w:ascii="Times New Roman" w:hAnsi="Times New Roman" w:eastAsia="黑体"/>
          <w:b w:val="0"/>
          <w:color w:val="000000"/>
          <w:sz w:val="32"/>
          <w:szCs w:val="32"/>
        </w:rPr>
      </w:pPr>
      <w:bookmarkStart w:id="429" w:name="_Toc351203626"/>
      <w:r>
        <w:rPr>
          <w:rFonts w:ascii="Times New Roman" w:hAnsi="Times New Roman" w:eastAsia="黑体"/>
          <w:b w:val="0"/>
          <w:color w:val="000000"/>
          <w:sz w:val="32"/>
          <w:szCs w:val="32"/>
        </w:rPr>
        <w:t>20</w:t>
      </w:r>
      <w:bookmarkStart w:id="430" w:name="_Toc296346647"/>
      <w:bookmarkStart w:id="431" w:name="_Toc296503146"/>
      <w:bookmarkStart w:id="432" w:name="_Toc337558840"/>
      <w:r>
        <w:rPr>
          <w:rFonts w:ascii="Times New Roman" w:hAnsi="Times New Roman" w:eastAsia="黑体"/>
          <w:b w:val="0"/>
          <w:color w:val="000000"/>
          <w:sz w:val="32"/>
          <w:szCs w:val="32"/>
        </w:rPr>
        <w:t>. 争议解决</w:t>
      </w:r>
      <w:bookmarkEnd w:id="429"/>
    </w:p>
    <w:bookmarkEnd w:id="430"/>
    <w:bookmarkEnd w:id="431"/>
    <w:bookmarkEnd w:id="432"/>
    <w:p>
      <w:pPr>
        <w:pStyle w:val="6"/>
        <w:spacing w:before="120" w:after="120" w:line="360" w:lineRule="auto"/>
        <w:ind w:firstLine="600" w:firstLineChars="200"/>
        <w:rPr>
          <w:rFonts w:ascii="Times New Roman" w:hAnsi="Times New Roman" w:eastAsia="黑体"/>
          <w:b w:val="0"/>
          <w:color w:val="000000"/>
          <w:sz w:val="30"/>
          <w:szCs w:val="32"/>
        </w:rPr>
      </w:pPr>
      <w:bookmarkStart w:id="433" w:name="_Toc351203627"/>
      <w:bookmarkStart w:id="434" w:name="_Toc296346648"/>
      <w:bookmarkStart w:id="435" w:name="_Toc337558841"/>
      <w:bookmarkStart w:id="436" w:name="_Toc296503147"/>
      <w:r>
        <w:rPr>
          <w:rFonts w:ascii="Times New Roman" w:hAnsi="Times New Roman" w:eastAsia="黑体"/>
          <w:b w:val="0"/>
          <w:color w:val="000000"/>
          <w:sz w:val="30"/>
          <w:szCs w:val="32"/>
        </w:rPr>
        <w:t>20.1和解</w:t>
      </w:r>
      <w:bookmarkEnd w:id="433"/>
    </w:p>
    <w:bookmarkEnd w:id="434"/>
    <w:bookmarkEnd w:id="435"/>
    <w:bookmarkEnd w:id="43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合同当事人可以就争议自行和解，自行和解达成协议的经双方签字并盖章后作为合同补充文件，双方均应遵照执行。</w:t>
      </w:r>
    </w:p>
    <w:p>
      <w:pPr>
        <w:pStyle w:val="6"/>
        <w:spacing w:before="120" w:after="120" w:line="360" w:lineRule="auto"/>
        <w:ind w:firstLine="600" w:firstLineChars="200"/>
        <w:rPr>
          <w:rFonts w:ascii="Times New Roman" w:hAnsi="Times New Roman" w:eastAsia="黑体"/>
          <w:b w:val="0"/>
          <w:color w:val="000000"/>
          <w:sz w:val="30"/>
          <w:szCs w:val="32"/>
        </w:rPr>
      </w:pPr>
      <w:bookmarkStart w:id="437" w:name="_Toc351203628"/>
      <w:r>
        <w:rPr>
          <w:rFonts w:ascii="Times New Roman" w:hAnsi="Times New Roman" w:eastAsia="黑体"/>
          <w:b w:val="0"/>
          <w:color w:val="000000"/>
          <w:sz w:val="30"/>
          <w:szCs w:val="32"/>
        </w:rPr>
        <w:t>20</w:t>
      </w:r>
      <w:bookmarkStart w:id="438" w:name="_Toc296346649"/>
      <w:bookmarkStart w:id="439" w:name="_Toc337558842"/>
      <w:bookmarkStart w:id="440" w:name="_Toc296503148"/>
      <w:r>
        <w:rPr>
          <w:rFonts w:ascii="Times New Roman" w:hAnsi="Times New Roman" w:eastAsia="黑体"/>
          <w:b w:val="0"/>
          <w:color w:val="000000"/>
          <w:sz w:val="30"/>
          <w:szCs w:val="32"/>
        </w:rPr>
        <w:t>.2调解</w:t>
      </w:r>
      <w:bookmarkEnd w:id="437"/>
    </w:p>
    <w:bookmarkEnd w:id="438"/>
    <w:bookmarkEnd w:id="439"/>
    <w:bookmarkEnd w:id="44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合同当事人可以就争议请求建设行政主管部门</w:t>
      </w:r>
      <w:r>
        <w:rPr>
          <w:rFonts w:hint="eastAsia" w:ascii="Times New Roman" w:hAnsi="Times New Roman" w:eastAsia="仿宋_GB2312"/>
          <w:color w:val="000000"/>
          <w:kern w:val="0"/>
          <w:sz w:val="30"/>
          <w:szCs w:val="32"/>
        </w:rPr>
        <w:t>、行业协会</w:t>
      </w:r>
      <w:r>
        <w:rPr>
          <w:rFonts w:ascii="Times New Roman" w:hAnsi="Times New Roman" w:eastAsia="仿宋_GB2312"/>
          <w:color w:val="000000"/>
          <w:kern w:val="0"/>
          <w:sz w:val="30"/>
          <w:szCs w:val="32"/>
        </w:rPr>
        <w:t>或</w:t>
      </w:r>
      <w:r>
        <w:rPr>
          <w:rFonts w:hint="eastAsia" w:ascii="Times New Roman" w:hAnsi="Times New Roman" w:eastAsia="仿宋_GB2312"/>
          <w:color w:val="000000"/>
          <w:kern w:val="0"/>
          <w:sz w:val="30"/>
          <w:szCs w:val="32"/>
        </w:rPr>
        <w:t>其他</w:t>
      </w:r>
      <w:r>
        <w:rPr>
          <w:rFonts w:ascii="Times New Roman" w:hAnsi="Times New Roman" w:eastAsia="仿宋_GB2312"/>
          <w:color w:val="000000"/>
          <w:kern w:val="0"/>
          <w:sz w:val="30"/>
          <w:szCs w:val="32"/>
        </w:rPr>
        <w:t>第三方进行调解，调解达成协议的，经双方签字并盖章后作为合同补充文件，双方均应遵照执行。</w:t>
      </w:r>
    </w:p>
    <w:p>
      <w:pPr>
        <w:pStyle w:val="6"/>
        <w:spacing w:before="120" w:after="120" w:line="360" w:lineRule="auto"/>
        <w:ind w:firstLine="600" w:firstLineChars="200"/>
        <w:rPr>
          <w:rFonts w:ascii="Times New Roman" w:hAnsi="Times New Roman" w:eastAsia="黑体"/>
          <w:b w:val="0"/>
          <w:color w:val="000000"/>
          <w:sz w:val="30"/>
          <w:szCs w:val="32"/>
        </w:rPr>
      </w:pPr>
      <w:bookmarkStart w:id="441" w:name="_Toc351203629"/>
      <w:bookmarkStart w:id="442" w:name="_Toc296503149"/>
      <w:bookmarkStart w:id="443" w:name="_Toc337558843"/>
      <w:bookmarkStart w:id="444" w:name="_Toc296346650"/>
      <w:r>
        <w:rPr>
          <w:rFonts w:ascii="Times New Roman" w:hAnsi="Times New Roman" w:eastAsia="黑体"/>
          <w:b w:val="0"/>
          <w:color w:val="000000"/>
          <w:sz w:val="30"/>
          <w:szCs w:val="32"/>
        </w:rPr>
        <w:t>20.3争议评审</w:t>
      </w:r>
      <w:bookmarkEnd w:id="441"/>
    </w:p>
    <w:bookmarkEnd w:id="442"/>
    <w:bookmarkEnd w:id="443"/>
    <w:bookmarkEnd w:id="44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合同当事人在专用合同条款中约定采取争议评审方式解决争议</w:t>
      </w:r>
      <w:r>
        <w:rPr>
          <w:rFonts w:hint="eastAsia" w:ascii="Times New Roman" w:hAnsi="Times New Roman" w:eastAsia="仿宋_GB2312"/>
          <w:color w:val="000000"/>
          <w:kern w:val="0"/>
          <w:sz w:val="30"/>
          <w:szCs w:val="32"/>
        </w:rPr>
        <w:t>以及评审规则，并</w:t>
      </w:r>
      <w:r>
        <w:rPr>
          <w:rFonts w:ascii="Times New Roman" w:hAnsi="Times New Roman" w:eastAsia="仿宋_GB2312"/>
          <w:color w:val="000000"/>
          <w:kern w:val="0"/>
          <w:sz w:val="30"/>
          <w:szCs w:val="32"/>
        </w:rPr>
        <w:t xml:space="preserve">按下列约定执行：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20.3.1 争议评审小组的确定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kern w:val="0"/>
          <w:sz w:val="30"/>
          <w:szCs w:val="32"/>
        </w:rPr>
        <w:t>评审</w:t>
      </w:r>
      <w:r>
        <w:rPr>
          <w:rFonts w:ascii="Times New Roman" w:hAnsi="Times New Roman" w:eastAsia="仿宋_GB2312"/>
          <w:color w:val="000000"/>
          <w:kern w:val="0"/>
          <w:sz w:val="30"/>
          <w:szCs w:val="32"/>
        </w:rPr>
        <w:t xml:space="preserve">机构指定第三名首席争议评审员。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除专用合同条款另有约定外，评审员报酬由发包人和承包人各承担一半。</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20.3.2 争议评审小组的决定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20.3.3 争议评审小组决定的效力</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争议评审小组作出的书面决定经合同当事人签字确认后，对双方具有约束力，双方应遵照执行。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任何一方当事人不接受争议评审小组决定</w:t>
      </w:r>
      <w:r>
        <w:rPr>
          <w:rFonts w:hint="eastAsia" w:ascii="Times New Roman" w:hAnsi="Times New Roman" w:eastAsia="仿宋_GB2312"/>
          <w:color w:val="000000"/>
          <w:kern w:val="0"/>
          <w:sz w:val="30"/>
          <w:szCs w:val="32"/>
        </w:rPr>
        <w:t>或不履行争议评审小组决定的</w:t>
      </w:r>
      <w:r>
        <w:rPr>
          <w:rFonts w:ascii="Times New Roman" w:hAnsi="Times New Roman" w:eastAsia="仿宋_GB2312"/>
          <w:color w:val="000000"/>
          <w:kern w:val="0"/>
          <w:sz w:val="30"/>
          <w:szCs w:val="32"/>
        </w:rPr>
        <w:t>，双方可选择采用其他争议解决方式。</w:t>
      </w:r>
    </w:p>
    <w:p>
      <w:pPr>
        <w:pStyle w:val="6"/>
        <w:spacing w:before="120" w:after="120" w:line="360" w:lineRule="auto"/>
        <w:ind w:firstLine="600" w:firstLineChars="200"/>
        <w:rPr>
          <w:rFonts w:ascii="Times New Roman" w:hAnsi="Times New Roman" w:eastAsia="黑体"/>
          <w:b w:val="0"/>
          <w:color w:val="000000"/>
          <w:sz w:val="30"/>
          <w:szCs w:val="32"/>
        </w:rPr>
      </w:pPr>
      <w:bookmarkStart w:id="445" w:name="_Toc351203630"/>
      <w:bookmarkStart w:id="446" w:name="_Toc337558844"/>
      <w:bookmarkStart w:id="447" w:name="_Toc296503150"/>
      <w:bookmarkStart w:id="448" w:name="_Toc296346651"/>
      <w:r>
        <w:rPr>
          <w:rFonts w:ascii="Times New Roman" w:hAnsi="Times New Roman" w:eastAsia="黑体"/>
          <w:b w:val="0"/>
          <w:color w:val="000000"/>
          <w:sz w:val="30"/>
          <w:szCs w:val="32"/>
        </w:rPr>
        <w:t>20.4仲裁或诉讼</w:t>
      </w:r>
      <w:bookmarkEnd w:id="445"/>
    </w:p>
    <w:bookmarkEnd w:id="446"/>
    <w:bookmarkEnd w:id="447"/>
    <w:bookmarkEnd w:id="44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因合同及合同有关事项产生的争议，合同当事人可以在专用合同条款中约定以下一种方式解决争议：</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（1）向约定的仲裁委员会申请仲裁；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（2）向有管辖权的人民法院起诉。</w:t>
      </w:r>
    </w:p>
    <w:p>
      <w:pPr>
        <w:pStyle w:val="6"/>
        <w:spacing w:before="120" w:after="120" w:line="360" w:lineRule="auto"/>
        <w:ind w:firstLine="600" w:firstLineChars="200"/>
        <w:rPr>
          <w:rFonts w:ascii="Times New Roman" w:hAnsi="Times New Roman" w:eastAsia="黑体"/>
          <w:b w:val="0"/>
          <w:color w:val="000000"/>
          <w:sz w:val="30"/>
          <w:szCs w:val="32"/>
        </w:rPr>
      </w:pPr>
      <w:bookmarkStart w:id="449" w:name="_Toc351203631"/>
      <w:bookmarkStart w:id="450" w:name="_Toc337558845"/>
      <w:bookmarkStart w:id="451" w:name="_Toc296503152"/>
      <w:bookmarkStart w:id="452" w:name="_Toc296346653"/>
      <w:r>
        <w:rPr>
          <w:rFonts w:ascii="Times New Roman" w:hAnsi="Times New Roman" w:eastAsia="黑体"/>
          <w:b w:val="0"/>
          <w:color w:val="000000"/>
          <w:sz w:val="30"/>
          <w:szCs w:val="32"/>
        </w:rPr>
        <w:t>20.5争议解决条款效力</w:t>
      </w:r>
      <w:bookmarkEnd w:id="449"/>
    </w:p>
    <w:bookmarkEnd w:id="450"/>
    <w:bookmarkEnd w:id="451"/>
    <w:bookmarkEnd w:id="45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合同有关争议解决的条款独立存在，合同的变更、解除、终止、无效或者被撤销均不影响其效力。 </w:t>
      </w:r>
    </w:p>
    <w:p>
      <w:pPr>
        <w:pStyle w:val="4"/>
        <w:jc w:val="center"/>
        <w:rPr>
          <w:rFonts w:ascii="华文中宋" w:hAnsi="华文中宋" w:eastAsia="华文中宋"/>
          <w:sz w:val="44"/>
          <w:szCs w:val="44"/>
        </w:rPr>
      </w:pPr>
      <w:bookmarkStart w:id="453" w:name="_Toc351203632"/>
      <w:r>
        <w:rPr>
          <w:rFonts w:ascii="华文中宋" w:hAnsi="华文中宋" w:eastAsia="华文中宋"/>
          <w:sz w:val="44"/>
          <w:szCs w:val="44"/>
        </w:rPr>
        <w:br w:type="page"/>
      </w: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453"/>
    </w:p>
    <w:p>
      <w:pPr>
        <w:pStyle w:val="5"/>
        <w:spacing w:before="120" w:after="120" w:line="360" w:lineRule="auto"/>
        <w:rPr>
          <w:rFonts w:ascii="Times New Roman" w:hAnsi="Times New Roman" w:eastAsia="黑体"/>
          <w:b w:val="0"/>
          <w:color w:val="000000"/>
          <w:sz w:val="32"/>
          <w:szCs w:val="32"/>
        </w:rPr>
      </w:pPr>
      <w:bookmarkStart w:id="454" w:name="_Toc351203633"/>
      <w:r>
        <w:rPr>
          <w:rFonts w:ascii="Times New Roman" w:hAnsi="Times New Roman" w:eastAsia="黑体"/>
          <w:b w:val="0"/>
          <w:color w:val="000000"/>
          <w:sz w:val="32"/>
          <w:szCs w:val="32"/>
        </w:rPr>
        <w:t>1</w:t>
      </w:r>
      <w:bookmarkStart w:id="455" w:name="_Toc296890984"/>
      <w:bookmarkStart w:id="456" w:name="_Toc296503156"/>
      <w:bookmarkStart w:id="457" w:name="_Toc296346657"/>
      <w:bookmarkStart w:id="458" w:name="_Toc292559866"/>
      <w:bookmarkStart w:id="459" w:name="_Toc296891196"/>
      <w:bookmarkStart w:id="460" w:name="_Toc297120456"/>
      <w:bookmarkStart w:id="461" w:name="_Toc297048342"/>
      <w:bookmarkStart w:id="462" w:name="_Toc292559361"/>
      <w:bookmarkStart w:id="463" w:name="_Toc296347155"/>
      <w:bookmarkStart w:id="464" w:name="_Toc296944495"/>
      <w:r>
        <w:rPr>
          <w:rFonts w:ascii="Times New Roman" w:hAnsi="Times New Roman" w:eastAsia="黑体"/>
          <w:b w:val="0"/>
          <w:color w:val="000000"/>
          <w:sz w:val="32"/>
          <w:szCs w:val="32"/>
        </w:rPr>
        <w:t>. 一般约定</w:t>
      </w:r>
      <w:bookmarkEnd w:id="454"/>
    </w:p>
    <w:bookmarkEnd w:id="455"/>
    <w:bookmarkEnd w:id="456"/>
    <w:bookmarkEnd w:id="457"/>
    <w:bookmarkEnd w:id="458"/>
    <w:bookmarkEnd w:id="459"/>
    <w:bookmarkEnd w:id="460"/>
    <w:bookmarkEnd w:id="461"/>
    <w:bookmarkEnd w:id="462"/>
    <w:bookmarkEnd w:id="463"/>
    <w:bookmarkEnd w:id="464"/>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1.1 词语定义</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1.1.1合同</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1.1.1.10其他合同文件包括：</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双方的</w:t>
      </w:r>
      <w:r>
        <w:rPr>
          <w:rFonts w:ascii="Times New Roman" w:hAnsi="Times New Roman" w:eastAsia="仿宋_GB2312"/>
          <w:color w:val="000000"/>
          <w:sz w:val="30"/>
          <w:szCs w:val="32"/>
          <w:u w:val="single"/>
        </w:rPr>
        <w:t>会议纪要、洽商记录</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 合同当事人及其他相关方</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1.1.2.4监理人：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名    称：</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资质类别和等级：</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1.1.2.5 设计人：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名    称：</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资质类别和等级：</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1.1.3 工程和设备</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1.1.3.7 作为施工现场组成部分的其他场所包括：</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1.1.3.9 永久占地包括：</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1.1.3.10 临时占地包括：</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 xml:space="preserve">1.3法律 </w:t>
      </w:r>
    </w:p>
    <w:p>
      <w:pPr>
        <w:autoSpaceDE w:val="0"/>
        <w:autoSpaceDN w:val="0"/>
        <w:adjustRightInd w:val="0"/>
        <w:spacing w:line="360" w:lineRule="auto"/>
        <w:ind w:left="596" w:leftChars="284"/>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适用于合同的其他规范性文件：</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 标准和规范</w:t>
      </w:r>
    </w:p>
    <w:p>
      <w:pPr>
        <w:spacing w:line="360" w:lineRule="auto"/>
        <w:ind w:left="596" w:leftChars="284"/>
        <w:rPr>
          <w:rFonts w:ascii="Times New Roman" w:hAnsi="Times New Roman" w:eastAsia="仿宋_GB2312"/>
          <w:color w:val="000000"/>
          <w:sz w:val="30"/>
          <w:szCs w:val="32"/>
        </w:rPr>
      </w:pPr>
      <w:r>
        <w:rPr>
          <w:rFonts w:ascii="Times New Roman" w:hAnsi="Times New Roman" w:eastAsia="仿宋_GB2312"/>
          <w:color w:val="000000"/>
          <w:sz w:val="30"/>
          <w:szCs w:val="32"/>
        </w:rPr>
        <w:t>1.4.1适用于工程的标准规范包括：</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国家、浙江省、杭州市颁布的法律、法规及行政规章制度。包括但不限于以下法律、条例：《中华人民共和国建筑法》、《中华人民共和国合同法》、《建筑工程质量管理条例》、《中华人民共和国安全生产法》、《建设工程安全生产管理条例》，及其国家和工程所在地省、地区（市）的其他法律法规</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1.4.2 发包人提供国外标准、规范的名称：</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发包人提供国外标准、规范的份数：</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发包人提供国外标准、规范的名称：</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left="596" w:leftChars="284"/>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1.4.3发包人对工程的技术标准和功能要求的特殊要求：</w:t>
      </w:r>
    </w:p>
    <w:p>
      <w:pPr>
        <w:spacing w:line="360" w:lineRule="auto"/>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1）</w:t>
      </w:r>
      <w:r>
        <w:rPr>
          <w:rFonts w:hint="eastAsia" w:ascii="Times New Roman" w:hAnsi="Times New Roman" w:eastAsia="仿宋_GB2312"/>
          <w:color w:val="000000"/>
          <w:sz w:val="30"/>
          <w:szCs w:val="32"/>
          <w:u w:val="single"/>
        </w:rPr>
        <w:tab/>
      </w:r>
      <w:r>
        <w:rPr>
          <w:rFonts w:hint="eastAsia" w:ascii="Times New Roman" w:hAnsi="Times New Roman" w:eastAsia="仿宋_GB2312"/>
          <w:color w:val="000000"/>
          <w:sz w:val="30"/>
          <w:szCs w:val="32"/>
          <w:u w:val="single"/>
        </w:rPr>
        <w:t>凡涉及国家、行业强制性标准的必须执行；</w:t>
      </w:r>
    </w:p>
    <w:p>
      <w:pPr>
        <w:spacing w:line="360" w:lineRule="auto"/>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2）</w:t>
      </w:r>
      <w:r>
        <w:rPr>
          <w:rFonts w:hint="eastAsia" w:ascii="Times New Roman" w:hAnsi="Times New Roman" w:eastAsia="仿宋_GB2312"/>
          <w:color w:val="000000"/>
          <w:sz w:val="30"/>
          <w:szCs w:val="32"/>
          <w:u w:val="single"/>
        </w:rPr>
        <w:tab/>
      </w:r>
      <w:r>
        <w:rPr>
          <w:rFonts w:hint="eastAsia" w:ascii="Times New Roman" w:hAnsi="Times New Roman" w:eastAsia="仿宋_GB2312"/>
          <w:color w:val="000000"/>
          <w:sz w:val="30"/>
          <w:szCs w:val="32"/>
          <w:u w:val="single"/>
        </w:rPr>
        <w:t>国家、行业没有强制性标准的，按照推荐性标准；</w:t>
      </w:r>
    </w:p>
    <w:p>
      <w:pPr>
        <w:spacing w:line="360" w:lineRule="auto"/>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3）</w:t>
      </w:r>
      <w:r>
        <w:rPr>
          <w:rFonts w:hint="eastAsia" w:ascii="Times New Roman" w:hAnsi="Times New Roman" w:eastAsia="仿宋_GB2312"/>
          <w:color w:val="000000"/>
          <w:sz w:val="30"/>
          <w:szCs w:val="32"/>
          <w:u w:val="single"/>
        </w:rPr>
        <w:tab/>
      </w:r>
      <w:r>
        <w:rPr>
          <w:rFonts w:hint="eastAsia" w:ascii="Times New Roman" w:hAnsi="Times New Roman" w:eastAsia="仿宋_GB2312"/>
          <w:color w:val="000000"/>
          <w:sz w:val="30"/>
          <w:szCs w:val="32"/>
          <w:u w:val="single"/>
        </w:rPr>
        <w:t>凡国家与行业没有强制性标准的，地方有关工程建设方面的技术规范有限采用；</w:t>
      </w:r>
    </w:p>
    <w:p>
      <w:pPr>
        <w:spacing w:line="360" w:lineRule="auto"/>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4）</w:t>
      </w:r>
      <w:r>
        <w:rPr>
          <w:rFonts w:hint="eastAsia" w:ascii="Times New Roman" w:hAnsi="Times New Roman" w:eastAsia="仿宋_GB2312"/>
          <w:color w:val="000000"/>
          <w:sz w:val="30"/>
          <w:szCs w:val="32"/>
          <w:u w:val="single"/>
        </w:rPr>
        <w:tab/>
      </w:r>
      <w:r>
        <w:rPr>
          <w:rFonts w:hint="eastAsia" w:ascii="Times New Roman" w:hAnsi="Times New Roman" w:eastAsia="仿宋_GB2312"/>
          <w:color w:val="000000"/>
          <w:sz w:val="30"/>
          <w:szCs w:val="32"/>
          <w:u w:val="single"/>
        </w:rPr>
        <w:t>针对同一内容，国家或地方都有规定时，采用最新颁布的标准或规范</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1.5 合同文件的优先顺序</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合同文件组成及优先顺序为：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1）、本合同协议书；（2）、中标通知书；（3）、本合同专用条款；（4）、询标纪要及承诺书；（5）、投标书及附件；（6）、招标文件及投标疑问回复；（7）、本合同通用条款；（8）、工程报价单;(9)、图纸；（10）、标准、规范及有关技术文件；（11）、工程量清单；（12）、招标文件</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1.6 图纸和承包人文件</w:t>
      </w:r>
      <w:r>
        <w:rPr>
          <w:rFonts w:ascii="Times New Roman" w:hAnsi="Times New Roman" w:eastAsia="黑体"/>
          <w:color w:val="000000"/>
          <w:sz w:val="30"/>
          <w:szCs w:val="32"/>
        </w:rPr>
        <w:tab/>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1.6.1 图纸的提供</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发包人向承包人提供图纸的期限：</w:t>
      </w:r>
      <w:r>
        <w:rPr>
          <w:rFonts w:hint="eastAsia" w:ascii="Times New Roman" w:hAnsi="Times New Roman" w:eastAsia="仿宋_GB2312"/>
          <w:color w:val="000000"/>
          <w:sz w:val="30"/>
          <w:szCs w:val="32"/>
          <w:u w:val="single"/>
        </w:rPr>
        <w:t>本项目发包人不提供施工图</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发包人向承包人提供图纸的数量：</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发包人向承包人提供图纸的内容：</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1.6.4 承包人文件</w:t>
      </w:r>
    </w:p>
    <w:p>
      <w:pPr>
        <w:spacing w:line="360" w:lineRule="auto"/>
        <w:ind w:left="596" w:leftChars="284"/>
        <w:jc w:val="left"/>
        <w:rPr>
          <w:rFonts w:ascii="Times New Roman" w:hAnsi="Times New Roman" w:eastAsia="仿宋_GB2312"/>
          <w:color w:val="000000"/>
          <w:sz w:val="30"/>
          <w:szCs w:val="32"/>
        </w:rPr>
      </w:pPr>
      <w:r>
        <w:rPr>
          <w:rFonts w:ascii="Times New Roman" w:hAnsi="Times New Roman" w:eastAsia="仿宋_GB2312"/>
          <w:color w:val="000000"/>
          <w:sz w:val="30"/>
          <w:szCs w:val="32"/>
        </w:rPr>
        <w:t>需要由承包人提供的文件，包括：</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承包人提供的文件的期限为：</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承包人提供的文件的数量为：</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承包人提供的文件的形式为：</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w:t>
      </w:r>
      <w:r>
        <w:rPr>
          <w:rFonts w:hint="eastAsia" w:ascii="Times New Roman" w:hAnsi="Times New Roman" w:eastAsia="仿宋_GB2312"/>
          <w:color w:val="000000"/>
          <w:sz w:val="30"/>
          <w:szCs w:val="32"/>
        </w:rPr>
        <w:t>审批</w:t>
      </w:r>
      <w:r>
        <w:rPr>
          <w:rFonts w:ascii="Times New Roman" w:hAnsi="Times New Roman" w:eastAsia="仿宋_GB2312"/>
          <w:color w:val="000000"/>
          <w:sz w:val="30"/>
          <w:szCs w:val="32"/>
        </w:rPr>
        <w:t>承包人文件的期限：</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1.6.5 现场图纸准备</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关于现场图纸准备的约定：</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1.7 联络</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1.7.1发包人和承包人应当在</w:t>
      </w:r>
      <w:r>
        <w:rPr>
          <w:rFonts w:ascii="Times New Roman" w:hAnsi="Times New Roman" w:eastAsia="仿宋_GB2312"/>
          <w:color w:val="000000"/>
          <w:sz w:val="30"/>
          <w:szCs w:val="32"/>
          <w:u w:val="single"/>
        </w:rPr>
        <w:t xml:space="preserve">7 </w:t>
      </w:r>
      <w:r>
        <w:rPr>
          <w:rFonts w:ascii="Times New Roman" w:hAnsi="Times New Roman" w:eastAsia="仿宋_GB2312"/>
          <w:color w:val="000000"/>
          <w:kern w:val="0"/>
          <w:sz w:val="30"/>
          <w:szCs w:val="32"/>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1.7.2 发包人接收文件的地点：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承包人接收文件的地点：</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监理人接收文件的地点：</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监理人指定的接收人为：</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1.10 交通运输</w:t>
      </w:r>
    </w:p>
    <w:p>
      <w:pPr>
        <w:spacing w:line="360" w:lineRule="auto"/>
        <w:ind w:firstLine="600" w:firstLineChars="200"/>
        <w:outlineLvl w:val="0"/>
        <w:rPr>
          <w:rFonts w:ascii="Times New Roman" w:hAnsi="Times New Roman" w:eastAsia="仿宋_GB2312"/>
          <w:sz w:val="30"/>
          <w:szCs w:val="32"/>
        </w:rPr>
      </w:pPr>
      <w:r>
        <w:rPr>
          <w:rFonts w:ascii="Times New Roman" w:hAnsi="Times New Roman" w:eastAsia="仿宋_GB2312"/>
          <w:sz w:val="30"/>
          <w:szCs w:val="32"/>
        </w:rPr>
        <w:t>1</w:t>
      </w:r>
      <w:bookmarkStart w:id="465" w:name="_Toc303539100"/>
      <w:bookmarkStart w:id="466" w:name="_Toc300934943"/>
      <w:bookmarkStart w:id="467" w:name="_Toc312677986"/>
      <w:bookmarkStart w:id="468" w:name="_Toc318581155"/>
      <w:bookmarkStart w:id="469" w:name="_Toc304295521"/>
      <w:r>
        <w:rPr>
          <w:rFonts w:ascii="Times New Roman" w:hAnsi="Times New Roman" w:eastAsia="仿宋_GB2312"/>
          <w:sz w:val="30"/>
          <w:szCs w:val="32"/>
        </w:rPr>
        <w:t>.10.1 出入现场的权利</w:t>
      </w:r>
    </w:p>
    <w:p>
      <w:pPr>
        <w:spacing w:line="360" w:lineRule="auto"/>
        <w:ind w:left="596" w:leftChars="284"/>
        <w:rPr>
          <w:rFonts w:ascii="Times New Roman" w:hAnsi="Times New Roman" w:eastAsia="仿宋_GB2312"/>
          <w:sz w:val="30"/>
          <w:szCs w:val="32"/>
        </w:rPr>
      </w:pPr>
      <w:r>
        <w:rPr>
          <w:rFonts w:ascii="Times New Roman" w:hAnsi="Times New Roman" w:eastAsia="仿宋_GB2312"/>
          <w:sz w:val="30"/>
          <w:szCs w:val="32"/>
        </w:rPr>
        <w:t>关于出入现场的权利的约定：</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按发包人</w:t>
      </w:r>
      <w:r>
        <w:rPr>
          <w:rFonts w:ascii="Times New Roman" w:hAnsi="Times New Roman" w:eastAsia="仿宋_GB2312"/>
          <w:color w:val="000000"/>
          <w:sz w:val="30"/>
          <w:szCs w:val="32"/>
          <w:u w:val="single"/>
        </w:rPr>
        <w:t>内部管理办法实施</w:t>
      </w:r>
      <w:r>
        <w:rPr>
          <w:rFonts w:ascii="Times New Roman" w:hAnsi="Times New Roman" w:eastAsia="仿宋_GB2312"/>
          <w:sz w:val="30"/>
          <w:szCs w:val="32"/>
        </w:rPr>
        <w:t>。</w:t>
      </w:r>
    </w:p>
    <w:bookmarkEnd w:id="465"/>
    <w:bookmarkEnd w:id="466"/>
    <w:bookmarkEnd w:id="467"/>
    <w:bookmarkEnd w:id="468"/>
    <w:bookmarkEnd w:id="469"/>
    <w:p>
      <w:pPr>
        <w:spacing w:line="360" w:lineRule="auto"/>
        <w:ind w:firstLine="600" w:firstLineChars="200"/>
        <w:jc w:val="left"/>
        <w:outlineLvl w:val="0"/>
        <w:rPr>
          <w:rFonts w:ascii="Times New Roman" w:hAnsi="Times New Roman" w:eastAsia="仿宋_GB2312"/>
          <w:sz w:val="30"/>
          <w:szCs w:val="32"/>
        </w:rPr>
      </w:pPr>
      <w:r>
        <w:rPr>
          <w:rFonts w:ascii="Times New Roman" w:hAnsi="Times New Roman" w:eastAsia="仿宋_GB2312"/>
          <w:sz w:val="30"/>
          <w:szCs w:val="32"/>
        </w:rPr>
        <w:t>1</w:t>
      </w:r>
      <w:bookmarkStart w:id="470" w:name="_Toc318581156"/>
      <w:bookmarkStart w:id="471" w:name="_Toc312677987"/>
      <w:bookmarkStart w:id="472" w:name="_Toc304295522"/>
      <w:bookmarkStart w:id="473" w:name="_Toc303539101"/>
      <w:bookmarkStart w:id="474" w:name="_Toc300934944"/>
      <w:r>
        <w:rPr>
          <w:rFonts w:ascii="Times New Roman" w:hAnsi="Times New Roman" w:eastAsia="仿宋_GB2312"/>
          <w:sz w:val="30"/>
          <w:szCs w:val="32"/>
        </w:rPr>
        <w:t>.10.3 场内交通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关于场外交通和场内交通的边界的约定：</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按发包人</w:t>
      </w:r>
      <w:r>
        <w:rPr>
          <w:rFonts w:ascii="Times New Roman" w:hAnsi="Times New Roman" w:eastAsia="仿宋_GB2312"/>
          <w:color w:val="000000"/>
          <w:sz w:val="30"/>
          <w:szCs w:val="32"/>
          <w:u w:val="single"/>
        </w:rPr>
        <w:t>内部管理办法实施</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关于发包人向承包人免费提供满足工程施工需要的场内道路和交通设施的约定：</w:t>
      </w:r>
      <w:r>
        <w:rPr>
          <w:rFonts w:ascii="Times New Roman" w:hAnsi="Times New Roman" w:eastAsia="仿宋_GB2312"/>
          <w:color w:val="000000"/>
          <w:sz w:val="30"/>
          <w:szCs w:val="32"/>
          <w:u w:val="single"/>
        </w:rPr>
        <w:t>/</w:t>
      </w:r>
      <w:r>
        <w:rPr>
          <w:rFonts w:ascii="Times New Roman" w:hAnsi="Times New Roman" w:eastAsia="仿宋_GB2312"/>
          <w:sz w:val="30"/>
          <w:szCs w:val="32"/>
        </w:rPr>
        <w:t>。</w:t>
      </w:r>
      <w:bookmarkEnd w:id="470"/>
      <w:bookmarkEnd w:id="471"/>
      <w:bookmarkEnd w:id="472"/>
      <w:bookmarkEnd w:id="473"/>
      <w:bookmarkEnd w:id="474"/>
      <w:r>
        <w:rPr>
          <w:rFonts w:ascii="Times New Roman" w:hAnsi="Times New Roman" w:eastAsia="仿宋_GB2312"/>
          <w:sz w:val="30"/>
          <w:szCs w:val="32"/>
        </w:rPr>
        <w:t xml:space="preserve">  </w:t>
      </w:r>
      <w:bookmarkStart w:id="475" w:name="_Toc318581157"/>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1.10.4超大件和超重件的运输</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运输超大件或超重件所需的道路和桥梁临时加固改造费用和其他有关费用由</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承包人</w:t>
      </w:r>
      <w:r>
        <w:rPr>
          <w:rFonts w:ascii="Times New Roman" w:hAnsi="Times New Roman" w:eastAsia="仿宋_GB2312"/>
          <w:sz w:val="30"/>
          <w:szCs w:val="32"/>
          <w:u w:val="single"/>
        </w:rPr>
        <w:t xml:space="preserve"> </w:t>
      </w:r>
      <w:r>
        <w:rPr>
          <w:rFonts w:ascii="Times New Roman" w:hAnsi="Times New Roman" w:eastAsia="仿宋_GB2312"/>
          <w:sz w:val="30"/>
          <w:szCs w:val="32"/>
        </w:rPr>
        <w:t>承担。</w:t>
      </w:r>
    </w:p>
    <w:bookmarkEnd w:id="475"/>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1.11 知识产权</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归发包人</w:t>
      </w:r>
      <w:r>
        <w:rPr>
          <w:rFonts w:ascii="Times New Roman" w:hAnsi="Times New Roman" w:eastAsia="仿宋_GB2312"/>
          <w:color w:val="000000"/>
          <w:sz w:val="30"/>
          <w:szCs w:val="32"/>
          <w:u w:val="single"/>
        </w:rPr>
        <w:t xml:space="preserve">所有 </w:t>
      </w:r>
      <w:r>
        <w:rPr>
          <w:rFonts w:ascii="Times New Roman" w:hAnsi="Times New Roman" w:eastAsia="仿宋_GB2312"/>
          <w:color w:val="000000"/>
          <w:sz w:val="30"/>
          <w:szCs w:val="32"/>
        </w:rPr>
        <w:t>。</w:t>
      </w:r>
    </w:p>
    <w:p>
      <w:pPr>
        <w:spacing w:line="360" w:lineRule="auto"/>
        <w:ind w:left="596" w:leftChars="284"/>
        <w:rPr>
          <w:rFonts w:ascii="Times New Roman" w:hAnsi="Times New Roman" w:eastAsia="仿宋_GB2312"/>
          <w:color w:val="000000"/>
          <w:sz w:val="30"/>
          <w:szCs w:val="32"/>
        </w:rPr>
      </w:pPr>
      <w:r>
        <w:rPr>
          <w:rFonts w:ascii="Times New Roman" w:hAnsi="Times New Roman" w:eastAsia="仿宋_GB2312"/>
          <w:color w:val="000000"/>
          <w:sz w:val="30"/>
          <w:szCs w:val="32"/>
        </w:rPr>
        <w:t>关于发包人提供的上述文件的使用限制的要求：</w:t>
      </w:r>
      <w:r>
        <w:rPr>
          <w:rFonts w:hint="eastAsia" w:ascii="Times New Roman" w:hAnsi="Times New Roman" w:eastAsia="仿宋_GB2312"/>
          <w:color w:val="000000"/>
          <w:sz w:val="30"/>
          <w:szCs w:val="32"/>
          <w:u w:val="single"/>
        </w:rPr>
        <w:t>未经发包人同意，承包人不得将图纸泄露给与工程无关的第三方</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outlineLvl w:val="0"/>
        <w:rPr>
          <w:rFonts w:ascii="Times New Roman" w:hAnsi="Times New Roman" w:eastAsia="仿宋_GB2312"/>
          <w:color w:val="000000"/>
          <w:sz w:val="30"/>
          <w:szCs w:val="32"/>
        </w:rPr>
      </w:pPr>
      <w:r>
        <w:rPr>
          <w:rFonts w:ascii="Times New Roman" w:hAnsi="Times New Roman" w:eastAsia="仿宋_GB2312"/>
          <w:color w:val="000000"/>
          <w:sz w:val="30"/>
          <w:szCs w:val="32"/>
        </w:rPr>
        <w:t>1.11.2 关于承包人为实施工程所编制文件的著作权的归属：</w:t>
      </w:r>
      <w:r>
        <w:rPr>
          <w:rFonts w:hint="eastAsia" w:ascii="Times New Roman" w:hAnsi="Times New Roman" w:eastAsia="仿宋_GB2312"/>
          <w:color w:val="000000"/>
          <w:sz w:val="30"/>
          <w:szCs w:val="32"/>
          <w:u w:val="single"/>
        </w:rPr>
        <w:t>归发包人</w:t>
      </w:r>
      <w:r>
        <w:rPr>
          <w:rFonts w:ascii="Times New Roman" w:hAnsi="Times New Roman" w:eastAsia="仿宋_GB2312"/>
          <w:color w:val="000000"/>
          <w:sz w:val="30"/>
          <w:szCs w:val="32"/>
          <w:u w:val="single"/>
        </w:rPr>
        <w:t>所有</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关于承包人提供的上述文件的使用限制的要求：</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未经发包人同意，承包人不得将图纸泄露给与工程无关的第三方</w:t>
      </w:r>
      <w:r>
        <w:rPr>
          <w:rFonts w:ascii="Times New Roman" w:hAnsi="Times New Roman" w:eastAsia="仿宋_GB2312"/>
          <w:color w:val="000000"/>
          <w:sz w:val="30"/>
          <w:szCs w:val="32"/>
        </w:rPr>
        <w:t>。</w:t>
      </w:r>
    </w:p>
    <w:p>
      <w:pPr>
        <w:spacing w:line="360" w:lineRule="auto"/>
        <w:ind w:firstLine="600" w:firstLineChars="200"/>
        <w:outlineLvl w:val="0"/>
        <w:rPr>
          <w:rFonts w:ascii="Times New Roman" w:hAnsi="Times New Roman" w:eastAsia="仿宋_GB2312"/>
          <w:color w:val="000000"/>
          <w:kern w:val="0"/>
          <w:sz w:val="30"/>
          <w:szCs w:val="32"/>
        </w:rPr>
      </w:pPr>
      <w:r>
        <w:rPr>
          <w:rFonts w:ascii="Times New Roman" w:hAnsi="Times New Roman" w:eastAsia="仿宋_GB2312"/>
          <w:color w:val="000000"/>
          <w:sz w:val="30"/>
          <w:szCs w:val="32"/>
        </w:rPr>
        <w:t>1.11.4 承包人在施工过程中所采用的专利、专有技术、技术秘密的使用费的承担方式：</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由承包人</w:t>
      </w:r>
      <w:r>
        <w:rPr>
          <w:rFonts w:ascii="Times New Roman" w:hAnsi="Times New Roman" w:eastAsia="仿宋_GB2312"/>
          <w:color w:val="000000"/>
          <w:sz w:val="30"/>
          <w:szCs w:val="32"/>
          <w:u w:val="single"/>
        </w:rPr>
        <w:t xml:space="preserve">承担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1.13工程量清单错误的修正</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rPr>
        <w:t>出现工程量清单错误时，是否调整合同价格：</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否</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允许调整合同价格的工程量偏差范围：</w:t>
      </w:r>
      <w:r>
        <w:rPr>
          <w:rFonts w:ascii="Times New Roman" w:hAnsi="Times New Roman" w:eastAsia="仿宋_GB2312"/>
          <w:color w:val="000000"/>
          <w:sz w:val="30"/>
          <w:szCs w:val="32"/>
          <w:u w:val="single"/>
        </w:rPr>
        <w:t xml:space="preserve"> /  </w:t>
      </w:r>
      <w:r>
        <w:rPr>
          <w:rFonts w:ascii="Times New Roman" w:hAnsi="Times New Roman"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bookmarkStart w:id="476" w:name="_Toc351203634"/>
      <w:r>
        <w:rPr>
          <w:rFonts w:ascii="Times New Roman" w:hAnsi="Times New Roman" w:eastAsia="黑体"/>
          <w:b w:val="0"/>
          <w:color w:val="000000"/>
          <w:sz w:val="32"/>
          <w:szCs w:val="32"/>
        </w:rPr>
        <w:t>2</w:t>
      </w:r>
      <w:bookmarkStart w:id="477" w:name="_Toc296347156"/>
      <w:bookmarkStart w:id="478" w:name="_Toc297120457"/>
      <w:bookmarkStart w:id="479" w:name="_Toc292559867"/>
      <w:bookmarkStart w:id="480" w:name="_Toc296944496"/>
      <w:bookmarkStart w:id="481" w:name="_Toc296891197"/>
      <w:bookmarkStart w:id="482" w:name="_Toc296346658"/>
      <w:bookmarkStart w:id="483" w:name="_Toc296503157"/>
      <w:bookmarkStart w:id="484" w:name="_Toc292559362"/>
      <w:bookmarkStart w:id="485" w:name="_Toc297048343"/>
      <w:bookmarkStart w:id="486" w:name="_Toc296890985"/>
      <w:r>
        <w:rPr>
          <w:rFonts w:ascii="Times New Roman" w:hAnsi="Times New Roman" w:eastAsia="黑体"/>
          <w:b w:val="0"/>
          <w:color w:val="000000"/>
          <w:sz w:val="32"/>
          <w:szCs w:val="32"/>
        </w:rPr>
        <w:t>. 发包人</w:t>
      </w:r>
      <w:bookmarkEnd w:id="476"/>
    </w:p>
    <w:bookmarkEnd w:id="477"/>
    <w:bookmarkEnd w:id="478"/>
    <w:bookmarkEnd w:id="479"/>
    <w:bookmarkEnd w:id="480"/>
    <w:bookmarkEnd w:id="481"/>
    <w:bookmarkEnd w:id="482"/>
    <w:bookmarkEnd w:id="483"/>
    <w:bookmarkEnd w:id="484"/>
    <w:bookmarkEnd w:id="485"/>
    <w:bookmarkEnd w:id="486"/>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2.2 发包人代表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b/>
          <w:color w:val="000000"/>
          <w:sz w:val="30"/>
          <w:szCs w:val="32"/>
        </w:rPr>
      </w:pPr>
      <w:r>
        <w:rPr>
          <w:rFonts w:ascii="Times New Roman" w:hAnsi="Times New Roman" w:eastAsia="仿宋_GB2312"/>
          <w:color w:val="000000"/>
          <w:sz w:val="30"/>
          <w:szCs w:val="32"/>
        </w:rPr>
        <w:t>发包人对发包人代表的授权范围如下：</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对工程质量、进度、投资、安全文明施工等进行全面管理及外部环境协调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2.4 施工现场、施工条件和基础资料的提供</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2.4.1 提供施工现场</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关于发包人移交施工现场的期限要求：</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2.4.2 提供施工条件</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关于发包人应负责提供施工</w:t>
      </w:r>
      <w:r>
        <w:rPr>
          <w:rFonts w:hint="eastAsia" w:ascii="Times New Roman" w:hAnsi="Times New Roman" w:eastAsia="仿宋_GB2312"/>
          <w:color w:val="000000"/>
          <w:sz w:val="30"/>
          <w:szCs w:val="32"/>
        </w:rPr>
        <w:t>所需要的条件，</w:t>
      </w:r>
      <w:r>
        <w:rPr>
          <w:rFonts w:ascii="Times New Roman" w:hAnsi="Times New Roman" w:eastAsia="仿宋_GB2312"/>
          <w:color w:val="000000"/>
          <w:sz w:val="30"/>
          <w:szCs w:val="32"/>
        </w:rPr>
        <w:t>包括：</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2.5 资金来源证明及支付担保</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发包人提供资金来源证明的期限要求：</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发包人是否提供支付担保：</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发包人提供支付担保的形式：</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pStyle w:val="5"/>
        <w:spacing w:before="120" w:after="120" w:line="360" w:lineRule="auto"/>
        <w:rPr>
          <w:rFonts w:ascii="Times New Roman" w:hAnsi="Times New Roman" w:eastAsia="黑体"/>
          <w:b w:val="0"/>
          <w:color w:val="000000"/>
          <w:sz w:val="32"/>
          <w:szCs w:val="32"/>
        </w:rPr>
      </w:pPr>
      <w:bookmarkStart w:id="487" w:name="_Toc351203635"/>
      <w:r>
        <w:rPr>
          <w:rFonts w:ascii="Times New Roman" w:hAnsi="Times New Roman" w:eastAsia="黑体"/>
          <w:b w:val="0"/>
          <w:color w:val="000000"/>
          <w:sz w:val="32"/>
          <w:szCs w:val="32"/>
        </w:rPr>
        <w:t>3</w:t>
      </w:r>
      <w:bookmarkStart w:id="488" w:name="_Toc297048344"/>
      <w:bookmarkStart w:id="489" w:name="_Toc297120458"/>
      <w:bookmarkStart w:id="490" w:name="_Toc292559363"/>
      <w:bookmarkStart w:id="491" w:name="_Toc292559868"/>
      <w:bookmarkStart w:id="492" w:name="_Toc296346659"/>
      <w:bookmarkStart w:id="493" w:name="_Toc296347157"/>
      <w:bookmarkStart w:id="494" w:name="_Toc296891198"/>
      <w:bookmarkStart w:id="495" w:name="_Toc296944497"/>
      <w:bookmarkStart w:id="496" w:name="_Toc296503158"/>
      <w:bookmarkStart w:id="497" w:name="_Toc296890986"/>
      <w:r>
        <w:rPr>
          <w:rFonts w:ascii="Times New Roman" w:hAnsi="Times New Roman" w:eastAsia="黑体"/>
          <w:b w:val="0"/>
          <w:color w:val="000000"/>
          <w:sz w:val="32"/>
          <w:szCs w:val="32"/>
        </w:rPr>
        <w:t>. 承包人</w:t>
      </w:r>
      <w:bookmarkEnd w:id="487"/>
    </w:p>
    <w:bookmarkEnd w:id="488"/>
    <w:bookmarkEnd w:id="489"/>
    <w:bookmarkEnd w:id="490"/>
    <w:bookmarkEnd w:id="491"/>
    <w:bookmarkEnd w:id="492"/>
    <w:bookmarkEnd w:id="493"/>
    <w:bookmarkEnd w:id="494"/>
    <w:bookmarkEnd w:id="495"/>
    <w:bookmarkEnd w:id="496"/>
    <w:bookmarkEnd w:id="497"/>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3.1 承包人的一般义务</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9</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承包人提交的竣工资料的内容：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竣工图、</w:t>
      </w:r>
      <w:r>
        <w:rPr>
          <w:rFonts w:ascii="Times New Roman" w:hAnsi="Times New Roman" w:eastAsia="仿宋_GB2312"/>
          <w:color w:val="000000"/>
          <w:sz w:val="30"/>
          <w:szCs w:val="32"/>
          <w:u w:val="single"/>
        </w:rPr>
        <w:t>开</w:t>
      </w:r>
      <w:r>
        <w:rPr>
          <w:rFonts w:hint="eastAsia" w:ascii="Times New Roman" w:hAnsi="Times New Roman" w:eastAsia="仿宋_GB2312"/>
          <w:color w:val="000000"/>
          <w:sz w:val="30"/>
          <w:szCs w:val="32"/>
          <w:u w:val="single"/>
        </w:rPr>
        <w:t>工</w:t>
      </w:r>
      <w:r>
        <w:rPr>
          <w:rFonts w:ascii="Times New Roman" w:hAnsi="Times New Roman" w:eastAsia="仿宋_GB2312"/>
          <w:color w:val="000000"/>
          <w:sz w:val="30"/>
          <w:szCs w:val="32"/>
          <w:u w:val="single"/>
        </w:rPr>
        <w:t>及竣工报告</w:t>
      </w:r>
      <w:r>
        <w:rPr>
          <w:rFonts w:hint="eastAsia" w:ascii="Times New Roman" w:hAnsi="Times New Roman" w:eastAsia="仿宋_GB2312"/>
          <w:color w:val="000000"/>
          <w:sz w:val="30"/>
          <w:szCs w:val="32"/>
          <w:u w:val="single"/>
        </w:rPr>
        <w:t>、竣工</w:t>
      </w:r>
      <w:r>
        <w:rPr>
          <w:rFonts w:ascii="Times New Roman" w:hAnsi="Times New Roman" w:eastAsia="仿宋_GB2312"/>
          <w:color w:val="000000"/>
          <w:sz w:val="30"/>
          <w:szCs w:val="32"/>
          <w:u w:val="single"/>
        </w:rPr>
        <w:t xml:space="preserve">验收记录、结算书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承包人需要提交的竣工资料套数：</w:t>
      </w:r>
      <w:r>
        <w:rPr>
          <w:rFonts w:ascii="Times New Roman" w:hAnsi="Times New Roman" w:eastAsia="仿宋_GB2312"/>
          <w:color w:val="000000"/>
          <w:sz w:val="30"/>
          <w:szCs w:val="32"/>
          <w:u w:val="single"/>
        </w:rPr>
        <w:t xml:space="preserve">  3</w:t>
      </w:r>
      <w:r>
        <w:rPr>
          <w:rFonts w:hint="eastAsia" w:ascii="Times New Roman" w:hAnsi="Times New Roman" w:eastAsia="仿宋_GB2312"/>
          <w:color w:val="000000"/>
          <w:sz w:val="30"/>
          <w:szCs w:val="32"/>
          <w:u w:val="single"/>
        </w:rPr>
        <w:t>套</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其中</w:t>
      </w:r>
      <w:r>
        <w:rPr>
          <w:rFonts w:ascii="Times New Roman" w:hAnsi="Times New Roman" w:eastAsia="仿宋_GB2312"/>
          <w:color w:val="000000"/>
          <w:sz w:val="30"/>
          <w:szCs w:val="32"/>
          <w:u w:val="single"/>
        </w:rPr>
        <w:t>电子版</w:t>
      </w:r>
      <w:r>
        <w:rPr>
          <w:rFonts w:hint="eastAsia" w:ascii="Times New Roman" w:hAnsi="Times New Roman" w:eastAsia="仿宋_GB2312"/>
          <w:color w:val="000000"/>
          <w:sz w:val="30"/>
          <w:szCs w:val="32"/>
          <w:u w:val="single"/>
        </w:rPr>
        <w:t>1套</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承包人提交的竣工资料的费用承担：</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由承包人承担</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承包人提交的竣工资料移交时间：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竣工验收</w:t>
      </w:r>
      <w:r>
        <w:rPr>
          <w:rFonts w:ascii="Times New Roman" w:hAnsi="Times New Roman" w:eastAsia="仿宋_GB2312"/>
          <w:color w:val="000000"/>
          <w:sz w:val="30"/>
          <w:szCs w:val="32"/>
          <w:u w:val="single"/>
        </w:rPr>
        <w:t>日</w:t>
      </w:r>
      <w:r>
        <w:rPr>
          <w:rFonts w:hint="eastAsia" w:ascii="Times New Roman" w:hAnsi="Times New Roman" w:eastAsia="仿宋_GB2312"/>
          <w:color w:val="000000"/>
          <w:sz w:val="30"/>
          <w:szCs w:val="32"/>
          <w:u w:val="single"/>
        </w:rPr>
        <w:t>30天</w:t>
      </w:r>
      <w:r>
        <w:rPr>
          <w:rFonts w:ascii="Times New Roman" w:hAnsi="Times New Roman" w:eastAsia="仿宋_GB2312"/>
          <w:color w:val="000000"/>
          <w:sz w:val="30"/>
          <w:szCs w:val="32"/>
          <w:u w:val="single"/>
        </w:rPr>
        <w:t xml:space="preserve">内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承包人提交的竣工资料形式要求：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纸质版本2套</w:t>
      </w:r>
      <w:r>
        <w:rPr>
          <w:rFonts w:ascii="Times New Roman" w:hAnsi="Times New Roman" w:eastAsia="仿宋_GB2312"/>
          <w:color w:val="000000"/>
          <w:sz w:val="30"/>
          <w:szCs w:val="32"/>
          <w:u w:val="single"/>
        </w:rPr>
        <w:t>，电子版</w:t>
      </w:r>
      <w:r>
        <w:rPr>
          <w:rFonts w:hint="eastAsia" w:ascii="Times New Roman" w:hAnsi="Times New Roman" w:eastAsia="仿宋_GB2312"/>
          <w:color w:val="000000"/>
          <w:sz w:val="30"/>
          <w:szCs w:val="32"/>
          <w:u w:val="single"/>
        </w:rPr>
        <w:t>1套</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10</w:t>
      </w:r>
      <w:r>
        <w:rPr>
          <w:rFonts w:ascii="Times New Roman" w:hAnsi="Times New Roman" w:eastAsia="仿宋_GB2312"/>
          <w:color w:val="000000"/>
          <w:kern w:val="0"/>
          <w:sz w:val="30"/>
          <w:szCs w:val="32"/>
        </w:rPr>
        <w:t>）承包人应履行的其他义务：</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3.2 项目经理</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 xml:space="preserve">3.2.1 </w:t>
      </w:r>
      <w:r>
        <w:rPr>
          <w:rFonts w:ascii="Times New Roman" w:hAnsi="Times New Roman" w:eastAsia="仿宋_GB2312"/>
          <w:color w:val="000000"/>
          <w:sz w:val="30"/>
          <w:szCs w:val="32"/>
        </w:rPr>
        <w:t>项目经理：</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承包人对项目经理的授权范围如下：</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关于项目经理每月在施工现场的时间要求：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承包人未提交劳动合同，以及没有为项目经理缴纳社会保险证明的违约责任：</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项目经理未经批准，擅自离开施工现场的违约责任：</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3.2.3 承包人擅自更换项目经理的违约责任：</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outlineLvl w:val="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    3.2.4 承包人无正当理由拒绝更换项目经理的违约责任：</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3.3 承包人人员</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3.3.1 承包人提交项目管理机构及施工现场管理人员安排报告的期限：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按发包人</w:t>
      </w:r>
      <w:r>
        <w:rPr>
          <w:rFonts w:ascii="Times New Roman" w:hAnsi="Times New Roman" w:eastAsia="仿宋_GB2312"/>
          <w:color w:val="000000"/>
          <w:sz w:val="30"/>
          <w:szCs w:val="32"/>
          <w:u w:val="single"/>
        </w:rPr>
        <w:t xml:space="preserve">要求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3.3.3 承包人无正当理由拒绝撤换主要施工管理人员的违约责任：</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 xml:space="preserve">3.3.4 承包人主要施工管理人员离开施工现场的批准要求：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3.3.5承包人擅自更换主要施工管理人员的违约责任：</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承包人主要施工管理人员擅自离开施工现场的违约责任：</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w:t>
      </w:r>
      <w:bookmarkStart w:id="498" w:name="_Toc292559364"/>
      <w:bookmarkStart w:id="499" w:name="_Toc292559869"/>
      <w:bookmarkStart w:id="500" w:name="_Toc297120459"/>
      <w:bookmarkStart w:id="501" w:name="_Toc296890987"/>
      <w:bookmarkStart w:id="502" w:name="_Toc296891199"/>
      <w:bookmarkStart w:id="503" w:name="_Toc303539102"/>
      <w:bookmarkStart w:id="504" w:name="_Toc297123492"/>
      <w:bookmarkStart w:id="505" w:name="_Toc304295523"/>
      <w:bookmarkStart w:id="506" w:name="_Toc296346660"/>
      <w:bookmarkStart w:id="507" w:name="_Toc296347158"/>
      <w:bookmarkStart w:id="508" w:name="_Toc296503159"/>
      <w:bookmarkStart w:id="509" w:name="_Toc297048345"/>
      <w:bookmarkStart w:id="510" w:name="_Toc297216151"/>
      <w:bookmarkStart w:id="511" w:name="_Toc300934945"/>
      <w:bookmarkStart w:id="512" w:name="_Toc312677988"/>
      <w:bookmarkStart w:id="513" w:name="_Toc296944498"/>
      <w:r>
        <w:rPr>
          <w:rFonts w:ascii="Times New Roman" w:hAnsi="Times New Roman" w:eastAsia="黑体"/>
          <w:color w:val="000000"/>
          <w:sz w:val="30"/>
          <w:szCs w:val="32"/>
        </w:rPr>
        <w:t>.5 分包</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w:t>
      </w:r>
      <w:bookmarkStart w:id="514" w:name="_Toc292559870"/>
      <w:bookmarkStart w:id="515" w:name="_Toc296346661"/>
      <w:bookmarkStart w:id="516" w:name="_Toc296503160"/>
      <w:bookmarkStart w:id="517" w:name="_Toc292559365"/>
      <w:bookmarkStart w:id="518" w:name="_Toc296347159"/>
      <w:bookmarkStart w:id="519" w:name="_Toc296890988"/>
      <w:bookmarkStart w:id="520" w:name="_Toc296891200"/>
      <w:bookmarkStart w:id="521" w:name="_Toc303539103"/>
      <w:bookmarkStart w:id="522" w:name="_Toc300934946"/>
      <w:bookmarkStart w:id="523" w:name="_Toc304295524"/>
      <w:bookmarkStart w:id="524" w:name="_Toc297216152"/>
      <w:bookmarkStart w:id="525" w:name="_Toc297048346"/>
      <w:bookmarkStart w:id="526" w:name="_Toc297120460"/>
      <w:bookmarkStart w:id="527" w:name="_Toc296944499"/>
      <w:bookmarkStart w:id="528" w:name="_Toc297123493"/>
      <w:bookmarkStart w:id="529" w:name="_Toc318581158"/>
      <w:bookmarkStart w:id="530" w:name="_Toc312677989"/>
      <w:r>
        <w:rPr>
          <w:rFonts w:ascii="Times New Roman" w:hAnsi="Times New Roman" w:eastAsia="仿宋_GB2312"/>
          <w:sz w:val="30"/>
          <w:szCs w:val="32"/>
        </w:rPr>
        <w:t>.5.1 分包的一般约定</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禁止分包的工程包括：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sz w:val="30"/>
          <w:szCs w:val="32"/>
        </w:rPr>
        <w:t>主体结构、关键性工作的范围：</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Start w:id="531" w:name="_Toc296347160"/>
      <w:bookmarkStart w:id="532" w:name="_Toc300934947"/>
      <w:bookmarkStart w:id="533" w:name="_Toc304295525"/>
      <w:bookmarkStart w:id="534" w:name="_Toc296890989"/>
      <w:bookmarkStart w:id="535" w:name="_Toc297123494"/>
      <w:bookmarkStart w:id="536" w:name="_Toc296346662"/>
      <w:bookmarkStart w:id="537" w:name="_Toc296944500"/>
      <w:bookmarkStart w:id="538" w:name="_Toc296891201"/>
      <w:bookmarkStart w:id="539" w:name="_Toc303539104"/>
      <w:bookmarkStart w:id="540" w:name="_Toc297120461"/>
      <w:bookmarkStart w:id="541" w:name="_Toc297216153"/>
      <w:bookmarkStart w:id="542" w:name="_Toc297048347"/>
      <w:bookmarkStart w:id="543" w:name="_Toc296503161"/>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spacing w:line="360" w:lineRule="auto"/>
        <w:rPr>
          <w:rFonts w:ascii="Times New Roman" w:hAnsi="Times New Roman" w:eastAsia="仿宋_GB2312"/>
          <w:sz w:val="30"/>
          <w:szCs w:val="32"/>
        </w:rPr>
      </w:pPr>
      <w:r>
        <w:rPr>
          <w:rFonts w:ascii="Times New Roman" w:hAnsi="Times New Roman" w:eastAsia="仿宋_GB2312"/>
          <w:sz w:val="30"/>
          <w:szCs w:val="32"/>
        </w:rPr>
        <w:t xml:space="preserve">    3</w:t>
      </w:r>
      <w:bookmarkStart w:id="544" w:name="_Toc312677990"/>
      <w:bookmarkStart w:id="545" w:name="_Toc318581159"/>
      <w:r>
        <w:rPr>
          <w:rFonts w:ascii="Times New Roman" w:hAnsi="Times New Roman" w:eastAsia="仿宋_GB2312"/>
          <w:sz w:val="30"/>
          <w:szCs w:val="32"/>
        </w:rPr>
        <w:t>.5.2分包的确定</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sz w:val="30"/>
          <w:szCs w:val="32"/>
        </w:rPr>
        <w:t>允许分包的专业工程包括：</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禁止分包</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color w:val="000000"/>
          <w:sz w:val="30"/>
          <w:szCs w:val="32"/>
        </w:rPr>
        <w:t>其他关于分包的约定：</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3.5.4 分包合同价款</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关于分包合同价款支付的约定：</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544"/>
    <w:bookmarkEnd w:id="545"/>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3.6 工程照管与成品、半成品保护</w:t>
      </w:r>
    </w:p>
    <w:p>
      <w:pPr>
        <w:spacing w:before="120" w:after="120"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承包人负责照管工程及工程相关的材料、工程设备的起始时间：</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项目</w:t>
      </w:r>
      <w:r>
        <w:rPr>
          <w:rFonts w:ascii="Times New Roman" w:hAnsi="Times New Roman" w:eastAsia="仿宋_GB2312"/>
          <w:color w:val="000000"/>
          <w:kern w:val="0"/>
          <w:sz w:val="30"/>
          <w:szCs w:val="32"/>
          <w:u w:val="single"/>
        </w:rPr>
        <w:t>开工</w:t>
      </w:r>
      <w:r>
        <w:rPr>
          <w:rFonts w:hint="eastAsia" w:ascii="Times New Roman" w:hAnsi="Times New Roman" w:eastAsia="仿宋_GB2312"/>
          <w:color w:val="000000"/>
          <w:kern w:val="0"/>
          <w:sz w:val="30"/>
          <w:szCs w:val="32"/>
          <w:u w:val="single"/>
        </w:rPr>
        <w:t>至</w:t>
      </w:r>
      <w:r>
        <w:rPr>
          <w:rFonts w:ascii="Times New Roman" w:hAnsi="Times New Roman" w:eastAsia="仿宋_GB2312"/>
          <w:color w:val="000000"/>
          <w:kern w:val="0"/>
          <w:sz w:val="30"/>
          <w:szCs w:val="32"/>
          <w:u w:val="single"/>
        </w:rPr>
        <w:t>竣工验</w:t>
      </w:r>
      <w:r>
        <w:rPr>
          <w:rFonts w:hint="eastAsia" w:ascii="Times New Roman" w:hAnsi="Times New Roman" w:eastAsia="仿宋_GB2312"/>
          <w:color w:val="000000"/>
          <w:kern w:val="0"/>
          <w:sz w:val="30"/>
          <w:szCs w:val="32"/>
          <w:u w:val="single"/>
        </w:rPr>
        <w:t>收</w:t>
      </w:r>
      <w:r>
        <w:rPr>
          <w:rFonts w:ascii="Times New Roman" w:hAnsi="Times New Roman" w:eastAsia="仿宋_GB2312"/>
          <w:color w:val="000000"/>
          <w:kern w:val="0"/>
          <w:sz w:val="30"/>
          <w:szCs w:val="32"/>
          <w:u w:val="single"/>
        </w:rPr>
        <w:t xml:space="preserve">日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3.7 履约担保</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承包人是否提供履约担保：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否</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承包人提供履约担保的形式</w:t>
      </w:r>
      <w:r>
        <w:rPr>
          <w:rFonts w:hint="eastAsia" w:ascii="Times New Roman" w:hAnsi="Times New Roman" w:eastAsia="仿宋_GB2312"/>
          <w:color w:val="000000"/>
          <w:sz w:val="30"/>
          <w:szCs w:val="32"/>
        </w:rPr>
        <w:t>、金额及期限的</w:t>
      </w:r>
      <w:r>
        <w:rPr>
          <w:rFonts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pStyle w:val="5"/>
        <w:spacing w:before="120" w:after="120" w:line="360" w:lineRule="auto"/>
        <w:rPr>
          <w:rFonts w:ascii="Times New Roman" w:hAnsi="Times New Roman" w:eastAsia="黑体"/>
          <w:b w:val="0"/>
          <w:color w:val="000000"/>
          <w:sz w:val="32"/>
          <w:szCs w:val="32"/>
        </w:rPr>
      </w:pPr>
      <w:bookmarkStart w:id="546" w:name="_Toc351203636"/>
      <w:r>
        <w:rPr>
          <w:rFonts w:ascii="Times New Roman" w:hAnsi="Times New Roman" w:eastAsia="黑体"/>
          <w:b w:val="0"/>
          <w:color w:val="000000"/>
          <w:sz w:val="32"/>
          <w:szCs w:val="32"/>
        </w:rPr>
        <w:t>4</w:t>
      </w:r>
      <w:bookmarkStart w:id="547" w:name="_Toc297048348"/>
      <w:bookmarkStart w:id="548" w:name="_Toc296503162"/>
      <w:bookmarkStart w:id="549" w:name="_Toc296944501"/>
      <w:bookmarkStart w:id="550" w:name="_Toc296890990"/>
      <w:bookmarkStart w:id="551" w:name="_Toc297120462"/>
      <w:bookmarkStart w:id="552" w:name="_Toc296347161"/>
      <w:bookmarkStart w:id="553" w:name="_Toc292559871"/>
      <w:bookmarkStart w:id="554" w:name="_Toc292559366"/>
      <w:bookmarkStart w:id="555" w:name="_Toc267251413"/>
      <w:bookmarkStart w:id="556" w:name="_Toc296891202"/>
      <w:bookmarkStart w:id="557" w:name="_Toc296346663"/>
      <w:r>
        <w:rPr>
          <w:rFonts w:ascii="Times New Roman" w:hAnsi="Times New Roman" w:eastAsia="黑体"/>
          <w:b w:val="0"/>
          <w:color w:val="000000"/>
          <w:sz w:val="32"/>
          <w:szCs w:val="32"/>
        </w:rPr>
        <w:t>. 监</w:t>
      </w:r>
      <w:bookmarkEnd w:id="547"/>
      <w:bookmarkEnd w:id="548"/>
      <w:bookmarkEnd w:id="549"/>
      <w:bookmarkEnd w:id="550"/>
      <w:bookmarkEnd w:id="551"/>
      <w:bookmarkEnd w:id="552"/>
      <w:bookmarkEnd w:id="553"/>
      <w:bookmarkEnd w:id="554"/>
      <w:bookmarkEnd w:id="555"/>
      <w:bookmarkEnd w:id="556"/>
      <w:bookmarkEnd w:id="557"/>
      <w:r>
        <w:rPr>
          <w:rFonts w:ascii="Times New Roman" w:hAnsi="Times New Roman" w:eastAsia="黑体"/>
          <w:b w:val="0"/>
          <w:color w:val="000000"/>
          <w:sz w:val="32"/>
          <w:szCs w:val="32"/>
        </w:rPr>
        <w:t>理人</w:t>
      </w:r>
      <w:bookmarkEnd w:id="546"/>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4.1监理人的一般规定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关于监理人的监理内容：</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关于监理人的监理权限：</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关于监理人在施工现场的办公场所、生活场所的提供和费用承担的约定：</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4.2 监理人员</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总监理工程师：</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监理工程师执业资格证书号：</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关于监理人的其他约定：</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4.4 商定或确定</w:t>
      </w:r>
    </w:p>
    <w:p>
      <w:pPr>
        <w:spacing w:line="360" w:lineRule="auto"/>
        <w:ind w:firstLine="600" w:firstLineChars="200"/>
        <w:rPr>
          <w:rFonts w:ascii="Times New Roman" w:hAnsi="Times New Roman" w:eastAsia="仿宋_GB2312"/>
          <w:color w:val="000000"/>
          <w:sz w:val="30"/>
          <w:szCs w:val="32"/>
        </w:rPr>
      </w:pPr>
      <w:bookmarkStart w:id="558" w:name="_Toc267251418"/>
      <w:r>
        <w:rPr>
          <w:rFonts w:ascii="Times New Roman" w:hAnsi="Times New Roman" w:eastAsia="仿宋_GB2312"/>
          <w:color w:val="000000"/>
          <w:sz w:val="30"/>
          <w:szCs w:val="32"/>
        </w:rPr>
        <w:t>在发包人和承包人不能通过协商达成一致意见时，发包人授权监理人对以下事项进行确定：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pStyle w:val="5"/>
        <w:spacing w:before="120" w:after="120" w:line="360" w:lineRule="auto"/>
        <w:rPr>
          <w:rFonts w:ascii="Times New Roman" w:hAnsi="Times New Roman" w:eastAsia="黑体"/>
          <w:b w:val="0"/>
          <w:color w:val="000000"/>
          <w:sz w:val="32"/>
          <w:szCs w:val="32"/>
        </w:rPr>
      </w:pPr>
      <w:bookmarkStart w:id="559" w:name="_Toc351203637"/>
      <w:r>
        <w:rPr>
          <w:rFonts w:ascii="Times New Roman" w:hAnsi="Times New Roman" w:eastAsia="黑体"/>
          <w:b w:val="0"/>
          <w:color w:val="000000"/>
          <w:sz w:val="32"/>
          <w:szCs w:val="32"/>
        </w:rPr>
        <w:t>5</w:t>
      </w:r>
      <w:bookmarkEnd w:id="558"/>
      <w:bookmarkStart w:id="560" w:name="_Toc292559872"/>
      <w:bookmarkStart w:id="561" w:name="_Toc296347162"/>
      <w:bookmarkStart w:id="562" w:name="_Toc297120463"/>
      <w:bookmarkStart w:id="563" w:name="_Toc296891203"/>
      <w:bookmarkStart w:id="564" w:name="_Toc292559367"/>
      <w:bookmarkStart w:id="565" w:name="_Toc296890991"/>
      <w:bookmarkStart w:id="566" w:name="_Toc296346664"/>
      <w:bookmarkStart w:id="567" w:name="_Toc297048349"/>
      <w:bookmarkStart w:id="568" w:name="_Toc296503163"/>
      <w:bookmarkStart w:id="569" w:name="_Toc296944502"/>
      <w:r>
        <w:rPr>
          <w:rFonts w:ascii="Times New Roman" w:hAnsi="Times New Roman" w:eastAsia="黑体"/>
          <w:b w:val="0"/>
          <w:color w:val="000000"/>
          <w:sz w:val="32"/>
          <w:szCs w:val="32"/>
        </w:rPr>
        <w:t>. 工程质量</w:t>
      </w:r>
      <w:bookmarkEnd w:id="559"/>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5.1 质量要求</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5</w:t>
      </w:r>
      <w:bookmarkStart w:id="570" w:name="_Toc300934949"/>
      <w:bookmarkStart w:id="571" w:name="_Toc304295527"/>
      <w:bookmarkStart w:id="572" w:name="_Toc312677997"/>
      <w:bookmarkStart w:id="573" w:name="_Toc297216155"/>
      <w:bookmarkStart w:id="574" w:name="_Toc303539106"/>
      <w:bookmarkStart w:id="575" w:name="_Toc318581164"/>
      <w:bookmarkStart w:id="576" w:name="_Toc297123496"/>
      <w:r>
        <w:rPr>
          <w:rFonts w:ascii="Times New Roman" w:hAnsi="Times New Roman" w:eastAsia="仿宋_GB2312"/>
          <w:sz w:val="30"/>
          <w:szCs w:val="32"/>
        </w:rPr>
        <w:t>.1.1 特殊质量标准和要求：</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黑体"/>
          <w:color w:val="000000"/>
          <w:sz w:val="30"/>
          <w:szCs w:val="32"/>
        </w:rPr>
      </w:pPr>
      <w:r>
        <w:rPr>
          <w:rFonts w:ascii="Times New Roman" w:hAnsi="Times New Roman" w:eastAsia="仿宋_GB2312"/>
          <w:sz w:val="30"/>
          <w:szCs w:val="32"/>
        </w:rPr>
        <w:t>关于工程奖项的约定：</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5.3 隐蔽工程检查</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5.3.2承包人提前通知监理人隐蔽工程检查的期限的约定：</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监理人不能按时进行检查时，应提前</w:t>
      </w:r>
      <w:r>
        <w:rPr>
          <w:rFonts w:ascii="Times New Roman" w:hAnsi="Times New Roman" w:eastAsia="仿宋_GB2312"/>
          <w:sz w:val="30"/>
          <w:szCs w:val="32"/>
          <w:u w:val="single"/>
        </w:rPr>
        <w:t xml:space="preserve"> / </w:t>
      </w:r>
      <w:r>
        <w:rPr>
          <w:rFonts w:ascii="Times New Roman" w:hAnsi="Times New Roman" w:eastAsia="仿宋_GB2312"/>
          <w:sz w:val="30"/>
          <w:szCs w:val="32"/>
        </w:rPr>
        <w:t>小时提交书面延期要求。</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关于延期最长不得超过：</w:t>
      </w:r>
      <w:r>
        <w:rPr>
          <w:rFonts w:ascii="Times New Roman" w:hAnsi="Times New Roman" w:eastAsia="仿宋_GB2312"/>
          <w:sz w:val="30"/>
          <w:szCs w:val="32"/>
          <w:u w:val="single"/>
        </w:rPr>
        <w:t xml:space="preserve"> / </w:t>
      </w:r>
      <w:r>
        <w:rPr>
          <w:rFonts w:ascii="Times New Roman" w:hAnsi="Times New Roman" w:eastAsia="仿宋_GB2312"/>
          <w:sz w:val="30"/>
          <w:szCs w:val="32"/>
        </w:rPr>
        <w:t>小时。</w:t>
      </w:r>
    </w:p>
    <w:p>
      <w:pPr>
        <w:pStyle w:val="5"/>
        <w:spacing w:before="120" w:after="120" w:line="360" w:lineRule="auto"/>
        <w:rPr>
          <w:rFonts w:ascii="Times New Roman" w:hAnsi="Times New Roman" w:eastAsia="黑体"/>
          <w:b w:val="0"/>
          <w:color w:val="000000"/>
          <w:sz w:val="32"/>
          <w:szCs w:val="32"/>
        </w:rPr>
      </w:pPr>
      <w:bookmarkStart w:id="577" w:name="_Toc351203638"/>
      <w:r>
        <w:rPr>
          <w:rFonts w:ascii="Times New Roman" w:hAnsi="Times New Roman" w:eastAsia="黑体"/>
          <w:b w:val="0"/>
          <w:color w:val="000000"/>
          <w:sz w:val="32"/>
          <w:szCs w:val="32"/>
        </w:rPr>
        <w:t>6. 安全文明施工与环境保护</w:t>
      </w:r>
      <w:bookmarkEnd w:id="577"/>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6.1安全文明施工</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6.1.1</w:t>
      </w:r>
      <w:r>
        <w:rPr>
          <w:rFonts w:ascii="Times New Roman" w:hAnsi="Times New Roman" w:eastAsia="仿宋_GB2312"/>
          <w:color w:val="000000"/>
          <w:sz w:val="30"/>
          <w:szCs w:val="32"/>
        </w:rPr>
        <w:t xml:space="preserve"> 项目安全生产的达标目标及相应事项的约定：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承包人应按安全施工管理有关规定，配备安全管理机构，配备合格的安全管理人员，负责处理全体工作人员和劳务人员的安全保护和防止事故等问题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6.1.4 关于治安保卫的特别约定：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承包人应全权负责其劳务及职员的雇佣、工资的支付、房屋、膳食及运输的安排。承包人在任何时候应采取一切合理的预防措施，以防止其职员发生任何违法的、妨害治安的行为，并维护治安和保护工程附近的个人或财产免遭上述行为的破坏</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关于编制施工场地治安管理计划的约定：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服从发包人内部</w:t>
      </w:r>
      <w:r>
        <w:rPr>
          <w:rFonts w:ascii="Times New Roman" w:hAnsi="Times New Roman" w:eastAsia="仿宋_GB2312"/>
          <w:sz w:val="30"/>
          <w:szCs w:val="32"/>
          <w:u w:val="single"/>
        </w:rPr>
        <w:t xml:space="preserve">管理办法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6.1.5 文明施工</w:t>
      </w:r>
    </w:p>
    <w:p>
      <w:pPr>
        <w:spacing w:line="360" w:lineRule="auto"/>
        <w:ind w:firstLine="600" w:firstLineChars="200"/>
        <w:jc w:val="left"/>
        <w:rPr>
          <w:rFonts w:ascii="Times New Roman" w:hAnsi="Times New Roman" w:eastAsia="仿宋_GB2312"/>
          <w:sz w:val="30"/>
          <w:szCs w:val="32"/>
        </w:rPr>
      </w:pPr>
      <w:r>
        <w:rPr>
          <w:rFonts w:hint="eastAsia" w:ascii="Times New Roman" w:hAnsi="Times New Roman" w:eastAsia="仿宋_GB2312"/>
          <w:sz w:val="30"/>
          <w:szCs w:val="32"/>
        </w:rPr>
        <w:t>合同当事人对文明施工的要求：</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6.1.6 关于安全文明施工费支付比例和支付期限的约定：</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bookmarkEnd w:id="570"/>
    <w:bookmarkEnd w:id="571"/>
    <w:bookmarkEnd w:id="572"/>
    <w:bookmarkEnd w:id="573"/>
    <w:bookmarkEnd w:id="574"/>
    <w:bookmarkEnd w:id="575"/>
    <w:bookmarkEnd w:id="576"/>
    <w:p>
      <w:pPr>
        <w:pStyle w:val="5"/>
        <w:spacing w:before="120" w:after="120" w:line="360" w:lineRule="auto"/>
        <w:rPr>
          <w:rFonts w:ascii="Times New Roman" w:hAnsi="Times New Roman" w:eastAsia="黑体"/>
          <w:b w:val="0"/>
          <w:color w:val="000000"/>
          <w:sz w:val="32"/>
          <w:szCs w:val="32"/>
        </w:rPr>
      </w:pPr>
      <w:bookmarkStart w:id="578" w:name="_Toc351203639"/>
      <w:r>
        <w:rPr>
          <w:rFonts w:ascii="Times New Roman" w:hAnsi="Times New Roman" w:eastAsia="黑体"/>
          <w:b w:val="0"/>
          <w:color w:val="000000"/>
          <w:sz w:val="32"/>
          <w:szCs w:val="32"/>
        </w:rPr>
        <w:t>7. 工期和进度</w:t>
      </w:r>
      <w:bookmarkEnd w:id="578"/>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7.1 施工组织设计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sz w:val="30"/>
          <w:szCs w:val="32"/>
        </w:rPr>
        <w:t>7.1.</w:t>
      </w:r>
      <w:r>
        <w:rPr>
          <w:rFonts w:hint="eastAsia" w:ascii="Times New Roman" w:hAnsi="Times New Roman" w:eastAsia="仿宋_GB2312"/>
          <w:sz w:val="30"/>
          <w:szCs w:val="32"/>
        </w:rPr>
        <w:t xml:space="preserve">1 </w:t>
      </w: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应包括的其他内容</w:t>
      </w:r>
      <w:r>
        <w:rPr>
          <w:rFonts w:ascii="Times New Roman" w:hAnsi="Times New Roman" w:eastAsia="仿宋_GB2312"/>
          <w:color w:val="000000"/>
          <w:kern w:val="0"/>
          <w:sz w:val="30"/>
          <w:szCs w:val="32"/>
        </w:rPr>
        <w:t>：</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sz w:val="30"/>
          <w:szCs w:val="32"/>
        </w:rPr>
        <w:t>7.1.2</w:t>
      </w:r>
      <w:r>
        <w:rPr>
          <w:rFonts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施工组织设计的提交和修改</w:t>
      </w:r>
    </w:p>
    <w:p>
      <w:pPr>
        <w:autoSpaceDE w:val="0"/>
        <w:autoSpaceDN w:val="0"/>
        <w:adjustRightInd w:val="0"/>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color w:val="000000"/>
          <w:kern w:val="0"/>
          <w:sz w:val="30"/>
          <w:szCs w:val="32"/>
        </w:rPr>
        <w:t>承包人提交详细施工组织设计的期限的约定：</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发包人和监理人在收到</w:t>
      </w:r>
      <w:r>
        <w:rPr>
          <w:rFonts w:hint="eastAsia" w:ascii="Times New Roman" w:hAnsi="Times New Roman" w:eastAsia="仿宋_GB2312"/>
          <w:color w:val="000000"/>
          <w:sz w:val="30"/>
          <w:szCs w:val="32"/>
        </w:rPr>
        <w:t>详细的施工组织设计</w:t>
      </w:r>
      <w:r>
        <w:rPr>
          <w:rFonts w:ascii="Times New Roman" w:hAnsi="Times New Roman" w:eastAsia="仿宋_GB2312"/>
          <w:color w:val="000000"/>
          <w:sz w:val="30"/>
          <w:szCs w:val="32"/>
        </w:rPr>
        <w:t>后确认或提出修改意见的期限：</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579" w:name="_Toc312678005"/>
      <w:bookmarkStart w:id="580" w:name="_Toc300934966"/>
      <w:bookmarkStart w:id="581" w:name="_Toc303539123"/>
      <w:bookmarkStart w:id="582" w:name="_Toc297216173"/>
      <w:bookmarkStart w:id="583" w:name="_Toc312677479"/>
      <w:bookmarkStart w:id="584" w:name="_Toc304295541"/>
      <w:bookmarkStart w:id="585" w:name="_Toc297123514"/>
      <w:r>
        <w:rPr>
          <w:rFonts w:ascii="Times New Roman" w:hAnsi="Times New Roman" w:eastAsia="黑体"/>
          <w:color w:val="000000"/>
          <w:sz w:val="30"/>
          <w:szCs w:val="32"/>
        </w:rPr>
        <w:t>.2 施工进度计划</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7.2.2 施工进度计划的修订</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发包人和监理人在收到修订的施工进度计划后确认或提出修改意见的期限：</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7.3 开工</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7.3.1 开工准备</w:t>
      </w:r>
    </w:p>
    <w:p>
      <w:pPr>
        <w:spacing w:line="360" w:lineRule="auto"/>
        <w:ind w:firstLine="645"/>
        <w:jc w:val="left"/>
        <w:rPr>
          <w:rFonts w:ascii="Times New Roman" w:hAnsi="Times New Roman" w:eastAsia="仿宋_GB2312"/>
          <w:sz w:val="30"/>
          <w:szCs w:val="32"/>
          <w:u w:val="single"/>
        </w:rPr>
      </w:pPr>
      <w:r>
        <w:rPr>
          <w:rFonts w:ascii="Times New Roman" w:hAnsi="Times New Roman" w:eastAsia="仿宋_GB2312"/>
          <w:color w:val="000000"/>
          <w:sz w:val="30"/>
          <w:szCs w:val="32"/>
        </w:rPr>
        <w:t>关于承包人提交</w:t>
      </w:r>
      <w:r>
        <w:rPr>
          <w:rFonts w:ascii="Times New Roman" w:hAnsi="Times New Roman" w:eastAsia="仿宋_GB2312"/>
          <w:color w:val="000000"/>
          <w:kern w:val="0"/>
          <w:sz w:val="30"/>
          <w:szCs w:val="32"/>
        </w:rPr>
        <w:t>工程开工报审表的期限：</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45"/>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关于发包人应完成的其他开工准备工作及期限：</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color w:val="000000"/>
          <w:sz w:val="30"/>
          <w:szCs w:val="32"/>
        </w:rPr>
        <w:t>关于承包人应完成的其他开工准备工作及期限：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7.3.2开工通知</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因发包人原因造成监理人未能在计划开工日期之日起</w:t>
      </w:r>
      <w:r>
        <w:rPr>
          <w:rFonts w:ascii="Times New Roman" w:hAnsi="Times New Roman" w:eastAsia="仿宋_GB2312"/>
          <w:sz w:val="30"/>
          <w:szCs w:val="32"/>
          <w:u w:val="single"/>
        </w:rPr>
        <w:t xml:space="preserve">  / </w:t>
      </w:r>
      <w:r>
        <w:rPr>
          <w:rFonts w:ascii="Times New Roman" w:hAnsi="Times New Roman" w:eastAsia="仿宋_GB2312"/>
          <w:color w:val="000000"/>
          <w:sz w:val="30"/>
          <w:szCs w:val="32"/>
        </w:rPr>
        <w:t>天内发出开工通知的，承包人有权提出价格调整要求，或者解除合同。</w:t>
      </w:r>
    </w:p>
    <w:bookmarkEnd w:id="579"/>
    <w:bookmarkEnd w:id="580"/>
    <w:bookmarkEnd w:id="581"/>
    <w:bookmarkEnd w:id="582"/>
    <w:bookmarkEnd w:id="583"/>
    <w:bookmarkEnd w:id="584"/>
    <w:bookmarkEnd w:id="585"/>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7.4 测量放线</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7.4.1发包人通过监理人向承包人提供测量基准点、基准线和水准点及其书面资料的期限：</w:t>
      </w:r>
      <w:r>
        <w:rPr>
          <w:rFonts w:ascii="Times New Roman" w:hAnsi="Times New Roman" w:eastAsia="仿宋_GB2312"/>
          <w:sz w:val="30"/>
          <w:szCs w:val="32"/>
          <w:u w:val="single"/>
        </w:rPr>
        <w:t xml:space="preserve"> /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586" w:name="_Toc312678010"/>
      <w:bookmarkStart w:id="587" w:name="_Toc303539125"/>
      <w:bookmarkStart w:id="588" w:name="_Toc312677484"/>
      <w:bookmarkStart w:id="589" w:name="_Toc297123516"/>
      <w:bookmarkStart w:id="590" w:name="_Toc304295546"/>
      <w:bookmarkStart w:id="591" w:name="_Toc297216175"/>
      <w:bookmarkStart w:id="592" w:name="_Toc300934968"/>
      <w:r>
        <w:rPr>
          <w:rFonts w:ascii="Times New Roman" w:hAnsi="Times New Roman" w:eastAsia="黑体"/>
          <w:color w:val="000000"/>
          <w:sz w:val="30"/>
          <w:szCs w:val="32"/>
        </w:rPr>
        <w:t>.5 工期延误</w:t>
      </w:r>
    </w:p>
    <w:bookmarkEnd w:id="586"/>
    <w:bookmarkEnd w:id="587"/>
    <w:bookmarkEnd w:id="588"/>
    <w:bookmarkEnd w:id="589"/>
    <w:bookmarkEnd w:id="590"/>
    <w:bookmarkEnd w:id="591"/>
    <w:bookmarkEnd w:id="592"/>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7.5.1 因发包人原因导致工期延误</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（7）因发包人原因导致工期延误的其他情形：</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w:t>
      </w:r>
      <w:bookmarkStart w:id="593" w:name="_Toc312678012"/>
      <w:bookmarkStart w:id="594" w:name="_Toc318581169"/>
      <w:bookmarkStart w:id="595" w:name="_Toc312677486"/>
      <w:bookmarkStart w:id="596" w:name="_Toc297123518"/>
      <w:bookmarkStart w:id="597" w:name="_Toc303539127"/>
      <w:bookmarkStart w:id="598" w:name="_Toc297216177"/>
      <w:bookmarkStart w:id="599" w:name="_Toc300934970"/>
      <w:bookmarkStart w:id="600" w:name="_Toc304295548"/>
      <w:r>
        <w:rPr>
          <w:rFonts w:ascii="Times New Roman" w:hAnsi="Times New Roman" w:eastAsia="仿宋_GB2312"/>
          <w:sz w:val="30"/>
          <w:szCs w:val="32"/>
        </w:rPr>
        <w:t>.5.2 因承包人原因导致工期延误</w:t>
      </w:r>
    </w:p>
    <w:bookmarkEnd w:id="593"/>
    <w:bookmarkEnd w:id="594"/>
    <w:bookmarkEnd w:id="595"/>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因</w:t>
      </w:r>
      <w:bookmarkStart w:id="601" w:name="_Toc312678013"/>
      <w:bookmarkStart w:id="602" w:name="_Toc312677487"/>
      <w:bookmarkStart w:id="603" w:name="_Toc318581170"/>
      <w:r>
        <w:rPr>
          <w:rFonts w:ascii="Times New Roman" w:hAnsi="Times New Roman" w:eastAsia="仿宋_GB2312"/>
          <w:sz w:val="30"/>
          <w:szCs w:val="32"/>
        </w:rPr>
        <w:t>承包人原因造成工期延误，逾期竣工违约金的计算方法为：</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工期每拖延一天处以合同总价万分之二的违约金</w:t>
      </w:r>
      <w:r>
        <w:rPr>
          <w:rFonts w:ascii="Times New Roman" w:hAnsi="Times New Roman" w:eastAsia="仿宋_GB2312"/>
          <w:sz w:val="30"/>
          <w:szCs w:val="32"/>
          <w:u w:val="single"/>
        </w:rPr>
        <w:t xml:space="preserve">  </w:t>
      </w:r>
      <w:r>
        <w:rPr>
          <w:rFonts w:ascii="Times New Roman" w:hAnsi="Times New Roman" w:eastAsia="仿宋_GB2312"/>
          <w:sz w:val="30"/>
          <w:szCs w:val="32"/>
        </w:rPr>
        <w:t>。</w:t>
      </w:r>
      <w:bookmarkEnd w:id="596"/>
      <w:bookmarkEnd w:id="597"/>
      <w:bookmarkEnd w:id="598"/>
      <w:bookmarkEnd w:id="599"/>
      <w:bookmarkEnd w:id="600"/>
      <w:bookmarkEnd w:id="601"/>
      <w:bookmarkEnd w:id="602"/>
    </w:p>
    <w:bookmarkEnd w:id="603"/>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因承包人原因造成工期延误，逾</w:t>
      </w:r>
      <w:bookmarkStart w:id="604" w:name="_Toc318581171"/>
      <w:bookmarkStart w:id="605" w:name="_Toc312678014"/>
      <w:r>
        <w:rPr>
          <w:rFonts w:ascii="Times New Roman" w:hAnsi="Times New Roman" w:eastAsia="仿宋_GB2312"/>
          <w:sz w:val="30"/>
          <w:szCs w:val="32"/>
        </w:rPr>
        <w:t>期竣工违约金的上限：</w:t>
      </w:r>
      <w:r>
        <w:rPr>
          <w:rFonts w:hint="eastAsia" w:ascii="Times New Roman" w:hAnsi="Times New Roman" w:eastAsia="仿宋_GB2312"/>
          <w:sz w:val="30"/>
          <w:szCs w:val="32"/>
          <w:u w:val="single"/>
        </w:rPr>
        <w:t>合同总价的3％</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604"/>
    <w:bookmarkEnd w:id="605"/>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606" w:name="_Toc297123519"/>
      <w:bookmarkStart w:id="607" w:name="_Toc303539128"/>
      <w:bookmarkStart w:id="608" w:name="_Toc297216178"/>
      <w:bookmarkStart w:id="609" w:name="_Toc312678015"/>
      <w:bookmarkStart w:id="610" w:name="_Toc304295549"/>
      <w:bookmarkStart w:id="611" w:name="_Toc300934971"/>
      <w:r>
        <w:rPr>
          <w:rFonts w:ascii="Times New Roman" w:hAnsi="Times New Roman" w:eastAsia="黑体"/>
          <w:color w:val="000000"/>
          <w:sz w:val="30"/>
          <w:szCs w:val="32"/>
        </w:rPr>
        <w:t>.6 不</w:t>
      </w:r>
      <w:bookmarkEnd w:id="606"/>
      <w:bookmarkEnd w:id="607"/>
      <w:bookmarkEnd w:id="608"/>
      <w:bookmarkEnd w:id="609"/>
      <w:bookmarkEnd w:id="610"/>
      <w:bookmarkEnd w:id="611"/>
      <w:r>
        <w:rPr>
          <w:rFonts w:ascii="Times New Roman" w:hAnsi="Times New Roman" w:eastAsia="黑体"/>
          <w:color w:val="000000"/>
          <w:sz w:val="30"/>
          <w:szCs w:val="32"/>
        </w:rPr>
        <w:t>利物质条件</w:t>
      </w:r>
    </w:p>
    <w:p>
      <w:pPr>
        <w:spacing w:line="360" w:lineRule="auto"/>
        <w:ind w:firstLine="600" w:firstLineChars="200"/>
        <w:jc w:val="left"/>
        <w:rPr>
          <w:rFonts w:ascii="Times New Roman" w:hAnsi="Times New Roman" w:eastAsia="仿宋_GB2312"/>
          <w:sz w:val="30"/>
          <w:szCs w:val="32"/>
        </w:rPr>
      </w:pPr>
      <w:bookmarkStart w:id="612" w:name="_Toc304295550"/>
      <w:bookmarkStart w:id="613" w:name="_Toc297216179"/>
      <w:bookmarkStart w:id="614" w:name="_Toc318581172"/>
      <w:bookmarkStart w:id="615" w:name="_Toc297123520"/>
      <w:bookmarkStart w:id="616" w:name="_Toc300934972"/>
      <w:bookmarkStart w:id="617" w:name="_Toc312678016"/>
      <w:bookmarkStart w:id="618" w:name="_Toc303539129"/>
      <w:r>
        <w:rPr>
          <w:rFonts w:ascii="Times New Roman" w:hAnsi="Times New Roman" w:eastAsia="仿宋_GB2312"/>
          <w:sz w:val="30"/>
          <w:szCs w:val="32"/>
        </w:rPr>
        <w:t>不利物质条件的其他情形和有关约定：</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bookmarkEnd w:id="612"/>
    <w:bookmarkEnd w:id="613"/>
    <w:bookmarkEnd w:id="614"/>
    <w:bookmarkEnd w:id="615"/>
    <w:bookmarkEnd w:id="616"/>
    <w:bookmarkEnd w:id="617"/>
    <w:bookmarkEnd w:id="618"/>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619" w:name="_Toc297216180"/>
      <w:bookmarkStart w:id="620" w:name="_Toc300934973"/>
      <w:bookmarkStart w:id="621" w:name="_Toc304295551"/>
      <w:bookmarkStart w:id="622" w:name="_Toc297123521"/>
      <w:bookmarkStart w:id="623" w:name="_Toc303539130"/>
      <w:bookmarkStart w:id="624" w:name="_Toc312678017"/>
      <w:r>
        <w:rPr>
          <w:rFonts w:ascii="Times New Roman" w:hAnsi="Times New Roman" w:eastAsia="黑体"/>
          <w:color w:val="000000"/>
          <w:sz w:val="30"/>
          <w:szCs w:val="32"/>
        </w:rPr>
        <w:t>.7异常恶劣的气候条件</w:t>
      </w:r>
    </w:p>
    <w:bookmarkEnd w:id="619"/>
    <w:bookmarkEnd w:id="620"/>
    <w:bookmarkEnd w:id="621"/>
    <w:bookmarkEnd w:id="622"/>
    <w:bookmarkEnd w:id="623"/>
    <w:bookmarkEnd w:id="624"/>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发包人和承包人同意以下情形视为异常恶劣的气候条件：</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（2）</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（3）</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7.9 提前竣工的奖励</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7.9.2提前竣工的奖励：</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pStyle w:val="5"/>
        <w:spacing w:before="120" w:after="120" w:line="360" w:lineRule="auto"/>
        <w:rPr>
          <w:rFonts w:ascii="Times New Roman" w:hAnsi="Times New Roman" w:eastAsia="黑体"/>
          <w:b w:val="0"/>
          <w:color w:val="000000"/>
          <w:sz w:val="32"/>
          <w:szCs w:val="32"/>
        </w:rPr>
      </w:pPr>
      <w:bookmarkStart w:id="625" w:name="_Toc351203640"/>
      <w:r>
        <w:rPr>
          <w:rFonts w:ascii="Times New Roman" w:hAnsi="Times New Roman" w:eastAsia="黑体"/>
          <w:b w:val="0"/>
          <w:color w:val="000000"/>
          <w:sz w:val="32"/>
          <w:szCs w:val="32"/>
        </w:rPr>
        <w:t>8. 材料与设备</w:t>
      </w:r>
      <w:bookmarkEnd w:id="625"/>
    </w:p>
    <w:bookmarkEnd w:id="560"/>
    <w:bookmarkEnd w:id="561"/>
    <w:bookmarkEnd w:id="562"/>
    <w:bookmarkEnd w:id="563"/>
    <w:bookmarkEnd w:id="564"/>
    <w:bookmarkEnd w:id="565"/>
    <w:bookmarkEnd w:id="566"/>
    <w:bookmarkEnd w:id="567"/>
    <w:bookmarkEnd w:id="568"/>
    <w:bookmarkEnd w:id="569"/>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8</w:t>
      </w:r>
      <w:bookmarkStart w:id="626" w:name="_Toc300934979"/>
      <w:bookmarkStart w:id="627" w:name="_Toc312678019"/>
      <w:bookmarkStart w:id="628" w:name="_Toc292559372"/>
      <w:bookmarkStart w:id="629" w:name="_Toc292559877"/>
      <w:bookmarkStart w:id="630" w:name="_Toc296503167"/>
      <w:bookmarkStart w:id="631" w:name="_Toc296891207"/>
      <w:bookmarkStart w:id="632" w:name="_Toc312677493"/>
      <w:bookmarkStart w:id="633" w:name="_Toc297123527"/>
      <w:bookmarkStart w:id="634" w:name="_Toc297216186"/>
      <w:bookmarkStart w:id="635" w:name="_Toc304295556"/>
      <w:bookmarkStart w:id="636" w:name="_Toc296347166"/>
      <w:bookmarkStart w:id="637" w:name="_Toc296944506"/>
      <w:bookmarkStart w:id="638" w:name="_Toc297120467"/>
      <w:bookmarkStart w:id="639" w:name="_Toc296346668"/>
      <w:bookmarkStart w:id="640" w:name="_Toc280868654"/>
      <w:bookmarkStart w:id="641" w:name="_Toc303539136"/>
      <w:bookmarkStart w:id="642" w:name="_Toc296890995"/>
      <w:bookmarkStart w:id="643" w:name="_Toc297048353"/>
      <w:bookmarkStart w:id="644" w:name="_Toc280868656"/>
      <w:bookmarkStart w:id="645" w:name="_Toc280868655"/>
      <w:bookmarkStart w:id="646" w:name="_Toc267251424"/>
      <w:r>
        <w:rPr>
          <w:rFonts w:ascii="Times New Roman" w:hAnsi="Times New Roman" w:eastAsia="黑体"/>
          <w:color w:val="000000"/>
          <w:sz w:val="30"/>
          <w:szCs w:val="32"/>
        </w:rPr>
        <w:t>.4材料与工程设备的保管与使用</w:t>
      </w:r>
    </w:p>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8</w:t>
      </w:r>
      <w:bookmarkStart w:id="647" w:name="_Toc292559878"/>
      <w:bookmarkStart w:id="648" w:name="_Toc292559373"/>
      <w:bookmarkStart w:id="649" w:name="_Toc318581173"/>
      <w:bookmarkStart w:id="650" w:name="_Toc312678020"/>
      <w:bookmarkStart w:id="651" w:name="_Toc296503168"/>
      <w:bookmarkStart w:id="652" w:name="_Toc297048354"/>
      <w:bookmarkStart w:id="653" w:name="_Toc296890996"/>
      <w:bookmarkStart w:id="654" w:name="_Toc296891208"/>
      <w:bookmarkStart w:id="655" w:name="_Toc303539137"/>
      <w:bookmarkStart w:id="656" w:name="_Toc300934980"/>
      <w:bookmarkStart w:id="657" w:name="_Toc297216187"/>
      <w:bookmarkStart w:id="658" w:name="_Toc312677494"/>
      <w:bookmarkStart w:id="659" w:name="_Toc297120468"/>
      <w:bookmarkStart w:id="660" w:name="_Toc296346669"/>
      <w:bookmarkStart w:id="661" w:name="_Toc296944507"/>
      <w:bookmarkStart w:id="662" w:name="_Toc297123528"/>
      <w:bookmarkStart w:id="663" w:name="_Toc296347167"/>
      <w:bookmarkStart w:id="664" w:name="_Toc304295557"/>
      <w:r>
        <w:rPr>
          <w:rFonts w:ascii="Times New Roman" w:hAnsi="Times New Roman" w:eastAsia="仿宋_GB2312"/>
          <w:sz w:val="30"/>
          <w:szCs w:val="32"/>
        </w:rPr>
        <w:t>.4.1发包人供应的材料设备的保管费用的承担：</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bookmarkEnd w:id="647"/>
      <w:bookmarkEnd w:id="648"/>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8.6 样品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8.6.1</w:t>
      </w:r>
      <w:r>
        <w:rPr>
          <w:rFonts w:ascii="Times New Roman" w:hAnsi="Times New Roman" w:eastAsia="仿宋_GB2312"/>
          <w:color w:val="000000"/>
          <w:kern w:val="0"/>
          <w:sz w:val="30"/>
          <w:szCs w:val="32"/>
        </w:rPr>
        <w:tab/>
      </w:r>
      <w:r>
        <w:rPr>
          <w:rFonts w:ascii="Times New Roman" w:hAnsi="Times New Roman" w:eastAsia="仿宋_GB2312"/>
          <w:color w:val="000000"/>
          <w:kern w:val="0"/>
          <w:sz w:val="30"/>
          <w:szCs w:val="32"/>
        </w:rPr>
        <w:t>样品的报送</w:t>
      </w:r>
      <w:r>
        <w:rPr>
          <w:rFonts w:hint="eastAsia" w:ascii="Times New Roman" w:hAnsi="Times New Roman" w:eastAsia="仿宋_GB2312"/>
          <w:color w:val="000000"/>
          <w:kern w:val="0"/>
          <w:sz w:val="30"/>
          <w:szCs w:val="32"/>
        </w:rPr>
        <w:t>与封存</w:t>
      </w:r>
    </w:p>
    <w:p>
      <w:pPr>
        <w:autoSpaceDE w:val="0"/>
        <w:autoSpaceDN w:val="0"/>
        <w:adjustRightInd w:val="0"/>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color w:val="000000"/>
          <w:kern w:val="0"/>
          <w:sz w:val="30"/>
          <w:szCs w:val="32"/>
        </w:rPr>
        <w:t>需要承包人报送样品的材料或工程设备，样品的种类、名称、规格、数量要求：</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8.8 施工设备和临时设施</w:t>
      </w:r>
    </w:p>
    <w:p>
      <w:pPr>
        <w:autoSpaceDE w:val="0"/>
        <w:autoSpaceDN w:val="0"/>
        <w:adjustRightInd w:val="0"/>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8.8.1 承包人提供的施工设备和临时设施</w:t>
      </w:r>
    </w:p>
    <w:p>
      <w:pPr>
        <w:autoSpaceDE w:val="0"/>
        <w:autoSpaceDN w:val="0"/>
        <w:adjustRightInd w:val="0"/>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关于修建临时设施费用承担的约定：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由承包人</w:t>
      </w:r>
      <w:r>
        <w:rPr>
          <w:rFonts w:ascii="Times New Roman" w:hAnsi="Times New Roman" w:eastAsia="仿宋_GB2312"/>
          <w:sz w:val="30"/>
          <w:szCs w:val="32"/>
          <w:u w:val="single"/>
        </w:rPr>
        <w:t xml:space="preserve">承担 </w:t>
      </w:r>
      <w:r>
        <w:rPr>
          <w:rFonts w:ascii="Times New Roman" w:hAnsi="Times New Roman" w:eastAsia="仿宋_GB2312"/>
          <w:sz w:val="30"/>
          <w:szCs w:val="32"/>
        </w:rPr>
        <w:t>。</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Pr>
        <w:pStyle w:val="5"/>
        <w:spacing w:before="120" w:after="120" w:line="360" w:lineRule="auto"/>
        <w:rPr>
          <w:rFonts w:ascii="Times New Roman" w:hAnsi="Times New Roman" w:eastAsia="黑体"/>
          <w:b w:val="0"/>
          <w:color w:val="000000"/>
          <w:sz w:val="32"/>
          <w:szCs w:val="32"/>
        </w:rPr>
      </w:pPr>
      <w:bookmarkStart w:id="665" w:name="_Toc351203641"/>
      <w:r>
        <w:rPr>
          <w:rFonts w:ascii="Times New Roman" w:hAnsi="Times New Roman" w:eastAsia="黑体"/>
          <w:b w:val="0"/>
          <w:color w:val="000000"/>
          <w:sz w:val="32"/>
          <w:szCs w:val="32"/>
        </w:rPr>
        <w:t>9</w:t>
      </w:r>
      <w:bookmarkEnd w:id="644"/>
      <w:bookmarkEnd w:id="645"/>
      <w:bookmarkEnd w:id="646"/>
      <w:bookmarkStart w:id="666" w:name="_Toc297216192"/>
      <w:bookmarkStart w:id="667" w:name="_Toc297123533"/>
      <w:bookmarkStart w:id="668" w:name="_Toc300934982"/>
      <w:bookmarkStart w:id="669" w:name="_Toc303539139"/>
      <w:bookmarkStart w:id="670" w:name="_Toc312678021"/>
      <w:bookmarkStart w:id="671" w:name="_Toc304295559"/>
      <w:bookmarkStart w:id="672" w:name="_Toc312677495"/>
      <w:bookmarkStart w:id="673" w:name="_Toc292559883"/>
      <w:bookmarkStart w:id="674" w:name="_Toc296944512"/>
      <w:bookmarkStart w:id="675" w:name="_Toc296503173"/>
      <w:bookmarkStart w:id="676" w:name="_Toc296346674"/>
      <w:bookmarkStart w:id="677" w:name="_Toc292559378"/>
      <w:bookmarkStart w:id="678" w:name="_Toc297048359"/>
      <w:bookmarkStart w:id="679" w:name="_Toc296347172"/>
      <w:bookmarkStart w:id="680" w:name="_Toc297120473"/>
      <w:bookmarkStart w:id="681" w:name="_Toc267251427"/>
      <w:bookmarkStart w:id="682" w:name="_Toc296891001"/>
      <w:bookmarkStart w:id="683" w:name="_Toc267251428"/>
      <w:bookmarkStart w:id="684" w:name="_Toc296891213"/>
      <w:r>
        <w:rPr>
          <w:rFonts w:ascii="Times New Roman" w:hAnsi="Times New Roman" w:eastAsia="黑体"/>
          <w:b w:val="0"/>
          <w:color w:val="000000"/>
          <w:sz w:val="32"/>
          <w:szCs w:val="32"/>
        </w:rPr>
        <w:t>. 试验与检验</w:t>
      </w:r>
      <w:bookmarkEnd w:id="665"/>
    </w:p>
    <w:bookmarkEnd w:id="666"/>
    <w:bookmarkEnd w:id="667"/>
    <w:bookmarkEnd w:id="668"/>
    <w:bookmarkEnd w:id="669"/>
    <w:bookmarkEnd w:id="670"/>
    <w:bookmarkEnd w:id="671"/>
    <w:bookmarkEnd w:id="672"/>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9</w:t>
      </w:r>
      <w:bookmarkStart w:id="685" w:name="_Toc297123534"/>
      <w:bookmarkStart w:id="686" w:name="_Toc304295560"/>
      <w:bookmarkStart w:id="687" w:name="_Toc297216193"/>
      <w:bookmarkStart w:id="688" w:name="_Toc303539140"/>
      <w:bookmarkStart w:id="689" w:name="_Toc312677496"/>
      <w:bookmarkStart w:id="690" w:name="_Toc312678022"/>
      <w:bookmarkStart w:id="691" w:name="_Toc300934983"/>
      <w:r>
        <w:rPr>
          <w:rFonts w:ascii="Times New Roman" w:hAnsi="Times New Roman" w:eastAsia="黑体"/>
          <w:color w:val="000000"/>
          <w:sz w:val="30"/>
          <w:szCs w:val="32"/>
        </w:rPr>
        <w:t>.1试验设备与试验人员</w:t>
      </w:r>
    </w:p>
    <w:bookmarkEnd w:id="685"/>
    <w:bookmarkEnd w:id="686"/>
    <w:bookmarkEnd w:id="687"/>
    <w:bookmarkEnd w:id="688"/>
    <w:bookmarkEnd w:id="689"/>
    <w:bookmarkEnd w:id="690"/>
    <w:bookmarkEnd w:id="691"/>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9</w:t>
      </w:r>
      <w:bookmarkStart w:id="692" w:name="_Toc304295561"/>
      <w:bookmarkStart w:id="693" w:name="_Toc297216194"/>
      <w:bookmarkStart w:id="694" w:name="_Toc297123535"/>
      <w:bookmarkStart w:id="695" w:name="_Toc312677497"/>
      <w:bookmarkStart w:id="696" w:name="_Toc312678023"/>
      <w:bookmarkStart w:id="697" w:name="_Toc300934984"/>
      <w:bookmarkStart w:id="698" w:name="_Toc303539141"/>
      <w:bookmarkStart w:id="699" w:name="_Toc318581174"/>
      <w:r>
        <w:rPr>
          <w:rFonts w:ascii="Times New Roman" w:hAnsi="Times New Roman" w:eastAsia="仿宋_GB2312"/>
          <w:sz w:val="30"/>
          <w:szCs w:val="32"/>
        </w:rPr>
        <w:t>.1.2 试验设备</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施工现场需要配置的试验场所：</w:t>
      </w:r>
      <w:bookmarkEnd w:id="692"/>
      <w:bookmarkEnd w:id="693"/>
      <w:bookmarkEnd w:id="694"/>
      <w:bookmarkEnd w:id="695"/>
      <w:bookmarkEnd w:id="696"/>
      <w:bookmarkEnd w:id="697"/>
      <w:bookmarkEnd w:id="698"/>
      <w:bookmarkStart w:id="700" w:name="_Toc303539142"/>
      <w:bookmarkStart w:id="701" w:name="_Toc304295562"/>
      <w:bookmarkStart w:id="702" w:name="_Toc312677498"/>
      <w:bookmarkStart w:id="703" w:name="_Toc300934985"/>
      <w:bookmarkStart w:id="704" w:name="_Toc297216195"/>
      <w:bookmarkStart w:id="705" w:name="_Toc312678024"/>
      <w:bookmarkStart w:id="706" w:name="_Toc297123536"/>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r>
        <w:rPr>
          <w:rFonts w:hint="eastAsia" w:ascii="Times New Roman" w:hAnsi="Times New Roman" w:eastAsia="仿宋_GB2312"/>
          <w:sz w:val="30"/>
          <w:szCs w:val="32"/>
        </w:rPr>
        <w:t xml:space="preserve"> </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施工现场需要配备的试验设备：</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施工现场需要具备的其他试验条件：</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9.4 现场工艺试验</w:t>
      </w:r>
      <w:r>
        <w:rPr>
          <w:rFonts w:hint="eastAsia" w:ascii="Times New Roman" w:hAnsi="Times New Roman" w:eastAsia="黑体"/>
          <w:color w:val="000000"/>
          <w:sz w:val="30"/>
          <w:szCs w:val="32"/>
        </w:rPr>
        <w:t xml:space="preserve"> </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现场工艺试验的有关约定：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699"/>
    <w:bookmarkEnd w:id="700"/>
    <w:bookmarkEnd w:id="701"/>
    <w:bookmarkEnd w:id="702"/>
    <w:bookmarkEnd w:id="703"/>
    <w:bookmarkEnd w:id="704"/>
    <w:bookmarkEnd w:id="705"/>
    <w:bookmarkEnd w:id="706"/>
    <w:p>
      <w:pPr>
        <w:pStyle w:val="5"/>
        <w:spacing w:before="120" w:after="120" w:line="360" w:lineRule="auto"/>
        <w:rPr>
          <w:rFonts w:ascii="Times New Roman" w:hAnsi="Times New Roman" w:eastAsia="黑体"/>
          <w:b w:val="0"/>
          <w:color w:val="000000"/>
          <w:sz w:val="32"/>
          <w:szCs w:val="32"/>
        </w:rPr>
      </w:pPr>
      <w:bookmarkStart w:id="707" w:name="_Toc351203642"/>
      <w:r>
        <w:rPr>
          <w:rFonts w:ascii="Times New Roman" w:hAnsi="Times New Roman" w:eastAsia="黑体"/>
          <w:b w:val="0"/>
          <w:color w:val="000000"/>
          <w:sz w:val="32"/>
          <w:szCs w:val="32"/>
        </w:rPr>
        <w:t>1</w:t>
      </w:r>
      <w:bookmarkEnd w:id="673"/>
      <w:bookmarkEnd w:id="674"/>
      <w:bookmarkEnd w:id="675"/>
      <w:bookmarkEnd w:id="676"/>
      <w:bookmarkEnd w:id="677"/>
      <w:bookmarkEnd w:id="678"/>
      <w:bookmarkEnd w:id="679"/>
      <w:bookmarkEnd w:id="680"/>
      <w:bookmarkEnd w:id="681"/>
      <w:bookmarkEnd w:id="682"/>
      <w:bookmarkEnd w:id="683"/>
      <w:bookmarkEnd w:id="684"/>
      <w:bookmarkStart w:id="708" w:name="_Toc296347192"/>
      <w:bookmarkStart w:id="709" w:name="_Toc296503193"/>
      <w:bookmarkStart w:id="710" w:name="_Toc296346694"/>
      <w:bookmarkStart w:id="711" w:name="_Toc296891233"/>
      <w:bookmarkStart w:id="712" w:name="_Toc297048379"/>
      <w:bookmarkStart w:id="713" w:name="_Toc297120493"/>
      <w:bookmarkStart w:id="714" w:name="_Toc304295566"/>
      <w:bookmarkStart w:id="715" w:name="_Toc292559903"/>
      <w:bookmarkStart w:id="716" w:name="_Toc297216199"/>
      <w:bookmarkStart w:id="717" w:name="_Toc300934989"/>
      <w:bookmarkStart w:id="718" w:name="_Toc303539146"/>
      <w:bookmarkStart w:id="719" w:name="_Toc296944532"/>
      <w:bookmarkStart w:id="720" w:name="_Toc292559398"/>
      <w:bookmarkStart w:id="721" w:name="_Toc296891021"/>
      <w:bookmarkStart w:id="722" w:name="_Toc297123540"/>
      <w:bookmarkStart w:id="723" w:name="_Toc312677499"/>
      <w:bookmarkStart w:id="724" w:name="_Toc312678025"/>
      <w:bookmarkStart w:id="725" w:name="_Toc267251440"/>
      <w:bookmarkStart w:id="726" w:name="_Toc267251439"/>
      <w:bookmarkStart w:id="727" w:name="_Toc267251437"/>
      <w:bookmarkStart w:id="728" w:name="_Toc267251435"/>
      <w:bookmarkStart w:id="729" w:name="_Toc267251433"/>
      <w:bookmarkStart w:id="730" w:name="_Toc267251441"/>
      <w:bookmarkStart w:id="731" w:name="_Toc267251442"/>
      <w:r>
        <w:rPr>
          <w:rFonts w:ascii="Times New Roman" w:hAnsi="Times New Roman" w:eastAsia="黑体"/>
          <w:b w:val="0"/>
          <w:color w:val="000000"/>
          <w:sz w:val="32"/>
          <w:szCs w:val="32"/>
        </w:rPr>
        <w:t>0. 变更</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bookmarkEnd w:id="723"/>
    <w:bookmarkEnd w:id="724"/>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bookmarkStart w:id="732" w:name="_Toc297216200"/>
      <w:bookmarkStart w:id="733" w:name="_Toc312677500"/>
      <w:bookmarkStart w:id="734" w:name="_Toc304295567"/>
      <w:bookmarkStart w:id="735" w:name="_Toc300934990"/>
      <w:bookmarkStart w:id="736" w:name="_Toc296503194"/>
      <w:bookmarkStart w:id="737" w:name="_Toc312678026"/>
      <w:bookmarkStart w:id="738" w:name="_Toc296944533"/>
      <w:bookmarkStart w:id="739" w:name="_Toc292559904"/>
      <w:bookmarkStart w:id="740" w:name="_Toc296891234"/>
      <w:bookmarkStart w:id="741" w:name="_Toc296346695"/>
      <w:bookmarkStart w:id="742" w:name="_Toc296347193"/>
      <w:bookmarkStart w:id="743" w:name="_Toc297123541"/>
      <w:bookmarkStart w:id="744" w:name="_Toc292559399"/>
      <w:bookmarkStart w:id="745" w:name="_Toc296891022"/>
      <w:bookmarkStart w:id="746" w:name="_Toc297048380"/>
      <w:bookmarkStart w:id="747" w:name="_Toc303539147"/>
      <w:bookmarkStart w:id="748" w:name="_Toc297120494"/>
      <w:r>
        <w:rPr>
          <w:rFonts w:ascii="Times New Roman" w:hAnsi="Times New Roman" w:eastAsia="黑体"/>
          <w:color w:val="000000"/>
          <w:sz w:val="30"/>
          <w:szCs w:val="32"/>
        </w:rPr>
        <w:t>0.1变更的范围</w:t>
      </w:r>
    </w:p>
    <w:p>
      <w:pPr>
        <w:spacing w:line="360" w:lineRule="auto"/>
        <w:ind w:firstLine="6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关于变更的范围的约定：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10.4 变更估价</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10.4.1 变更估价原则</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 xml:space="preserve">关于变更估价的约定: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Start w:id="749" w:name="_Toc292559402"/>
      <w:bookmarkStart w:id="750" w:name="_Toc297120497"/>
      <w:bookmarkStart w:id="751" w:name="_Toc303539150"/>
      <w:bookmarkStart w:id="752" w:name="_Toc296891237"/>
      <w:bookmarkStart w:id="753" w:name="_Toc296347196"/>
      <w:bookmarkStart w:id="754" w:name="_Toc296503197"/>
      <w:bookmarkStart w:id="755" w:name="_Toc296891025"/>
      <w:bookmarkStart w:id="756" w:name="_Toc296944536"/>
      <w:bookmarkStart w:id="757" w:name="_Toc292559907"/>
      <w:bookmarkStart w:id="758" w:name="_Toc297048383"/>
      <w:bookmarkStart w:id="759" w:name="_Toc296346698"/>
      <w:bookmarkStart w:id="760" w:name="_Toc297123544"/>
      <w:bookmarkStart w:id="761" w:name="_Toc300934993"/>
      <w:bookmarkStart w:id="762" w:name="_Toc297216203"/>
      <w:bookmarkStart w:id="763" w:name="_Toc312678029"/>
      <w:bookmarkStart w:id="764" w:name="_Toc312677503"/>
      <w:bookmarkStart w:id="765" w:name="_Toc304295570"/>
      <w:r>
        <w:rPr>
          <w:rFonts w:ascii="Times New Roman" w:hAnsi="Times New Roman" w:eastAsia="黑体"/>
          <w:color w:val="000000"/>
          <w:sz w:val="30"/>
          <w:szCs w:val="32"/>
        </w:rPr>
        <w:t>0.5承</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Start w:id="766" w:name="_Toc296891031"/>
      <w:bookmarkStart w:id="767" w:name="_Toc296891243"/>
      <w:bookmarkStart w:id="768" w:name="_Toc297216204"/>
      <w:bookmarkStart w:id="769" w:name="_Toc296346704"/>
      <w:bookmarkStart w:id="770" w:name="_Toc303539151"/>
      <w:bookmarkStart w:id="771" w:name="_Toc297120503"/>
      <w:bookmarkStart w:id="772" w:name="_Toc292559408"/>
      <w:bookmarkStart w:id="773" w:name="_Toc297048389"/>
      <w:bookmarkStart w:id="774" w:name="_Toc296944542"/>
      <w:bookmarkStart w:id="775" w:name="_Toc296347202"/>
      <w:bookmarkStart w:id="776" w:name="_Toc296503203"/>
      <w:bookmarkStart w:id="777" w:name="_Toc300934994"/>
      <w:bookmarkStart w:id="778" w:name="_Toc292559913"/>
      <w:bookmarkStart w:id="779" w:name="_Toc297123545"/>
      <w:r>
        <w:rPr>
          <w:rFonts w:ascii="Times New Roman" w:hAnsi="Times New Roman" w:eastAsia="黑体"/>
          <w:color w:val="000000"/>
          <w:sz w:val="30"/>
          <w:szCs w:val="32"/>
        </w:rPr>
        <w:t>包人的合理化建议</w:t>
      </w:r>
    </w:p>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监理人审查承包人合理化建议的期限：</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发包人审批承包人合理化建议的期限：</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承</w:t>
      </w:r>
      <w:bookmarkStart w:id="780" w:name="_Toc296346705"/>
      <w:bookmarkStart w:id="781" w:name="_Toc303539152"/>
      <w:bookmarkStart w:id="782" w:name="_Toc296503204"/>
      <w:bookmarkStart w:id="783" w:name="_Toc296891032"/>
      <w:bookmarkStart w:id="784" w:name="_Toc318581175"/>
      <w:bookmarkStart w:id="785" w:name="_Toc300934995"/>
      <w:bookmarkStart w:id="786" w:name="_Toc296944543"/>
      <w:bookmarkStart w:id="787" w:name="_Toc296891244"/>
      <w:bookmarkStart w:id="788" w:name="_Toc296347203"/>
      <w:bookmarkStart w:id="789" w:name="_Toc292559409"/>
      <w:bookmarkStart w:id="790" w:name="_Toc304295571"/>
      <w:bookmarkStart w:id="791" w:name="_Toc292559914"/>
      <w:bookmarkStart w:id="792" w:name="_Toc297123546"/>
      <w:bookmarkStart w:id="793" w:name="_Toc297048390"/>
      <w:bookmarkStart w:id="794" w:name="_Toc312677504"/>
      <w:bookmarkStart w:id="795" w:name="_Toc297216205"/>
      <w:bookmarkStart w:id="796" w:name="_Toc312678030"/>
      <w:bookmarkStart w:id="797" w:name="_Toc297120504"/>
      <w:r>
        <w:rPr>
          <w:rFonts w:ascii="Times New Roman" w:hAnsi="Times New Roman" w:eastAsia="仿宋_GB2312"/>
          <w:sz w:val="30"/>
          <w:szCs w:val="32"/>
        </w:rPr>
        <w:t>包人提出的合理化建议降低了合同价格或者提高了工程经济效益的奖励的方法和金额为：</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w:t>
      </w:r>
      <w:bookmarkStart w:id="798" w:name="_Toc296347198"/>
      <w:bookmarkStart w:id="799" w:name="_Toc300934997"/>
      <w:bookmarkStart w:id="800" w:name="_Toc303539154"/>
      <w:bookmarkStart w:id="801" w:name="_Toc296891239"/>
      <w:bookmarkStart w:id="802" w:name="_Toc312678033"/>
      <w:bookmarkStart w:id="803" w:name="_Toc312677507"/>
      <w:bookmarkStart w:id="804" w:name="_Toc292559909"/>
      <w:bookmarkStart w:id="805" w:name="_Toc297123548"/>
      <w:bookmarkStart w:id="806" w:name="_Toc296503199"/>
      <w:bookmarkStart w:id="807" w:name="_Toc297048385"/>
      <w:bookmarkStart w:id="808" w:name="_Toc296346700"/>
      <w:bookmarkStart w:id="809" w:name="_Toc296944538"/>
      <w:bookmarkStart w:id="810" w:name="_Toc297216207"/>
      <w:bookmarkStart w:id="811" w:name="_Toc297120499"/>
      <w:bookmarkStart w:id="812" w:name="_Toc296891027"/>
      <w:bookmarkStart w:id="813" w:name="_Toc292559404"/>
      <w:bookmarkStart w:id="814" w:name="_Toc304295574"/>
      <w:r>
        <w:rPr>
          <w:rFonts w:ascii="Times New Roman" w:hAnsi="Times New Roman" w:eastAsia="黑体"/>
          <w:color w:val="000000"/>
          <w:sz w:val="30"/>
          <w:szCs w:val="32"/>
        </w:rPr>
        <w:t>0.7 暂估价</w:t>
      </w:r>
    </w:p>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kern w:val="0"/>
          <w:sz w:val="30"/>
          <w:szCs w:val="32"/>
        </w:rPr>
        <w:t>暂</w:t>
      </w:r>
      <w:bookmarkStart w:id="815" w:name="_Toc312677508"/>
      <w:bookmarkStart w:id="816" w:name="_Toc312678034"/>
      <w:bookmarkStart w:id="817" w:name="_Toc318581176"/>
      <w:r>
        <w:rPr>
          <w:rFonts w:ascii="Times New Roman" w:hAnsi="Times New Roman" w:eastAsia="仿宋_GB2312"/>
          <w:kern w:val="0"/>
          <w:sz w:val="30"/>
          <w:szCs w:val="32"/>
        </w:rPr>
        <w:t>估价材料和工程设备的明细详见附件</w:t>
      </w:r>
      <w:r>
        <w:rPr>
          <w:rFonts w:hint="eastAsia" w:ascii="Times New Roman" w:hAnsi="Times New Roman" w:eastAsia="仿宋_GB2312"/>
          <w:kern w:val="0"/>
          <w:sz w:val="30"/>
          <w:szCs w:val="32"/>
        </w:rPr>
        <w:t>11：《</w:t>
      </w:r>
      <w:r>
        <w:rPr>
          <w:rFonts w:ascii="Times New Roman" w:hAnsi="Times New Roman" w:eastAsia="仿宋_GB2312"/>
          <w:color w:val="000000"/>
          <w:sz w:val="30"/>
          <w:szCs w:val="32"/>
        </w:rPr>
        <w:t>暂估价一览表</w:t>
      </w:r>
      <w:r>
        <w:rPr>
          <w:rFonts w:hint="eastAsia" w:ascii="Times New Roman" w:hAnsi="Times New Roman" w:eastAsia="仿宋_GB2312"/>
          <w:color w:val="000000"/>
          <w:sz w:val="30"/>
          <w:szCs w:val="32"/>
        </w:rPr>
        <w:t>》</w:t>
      </w:r>
      <w:r>
        <w:rPr>
          <w:rFonts w:hint="eastAsia" w:ascii="Times New Roman" w:hAnsi="Times New Roman" w:eastAsia="仿宋_GB2312"/>
          <w:kern w:val="0"/>
          <w:sz w:val="30"/>
          <w:szCs w:val="32"/>
        </w:rPr>
        <w:t>。</w:t>
      </w:r>
    </w:p>
    <w:bookmarkEnd w:id="815"/>
    <w:bookmarkEnd w:id="816"/>
    <w:bookmarkEnd w:id="817"/>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w:t>
      </w:r>
      <w:bookmarkStart w:id="818" w:name="_Toc318581177"/>
      <w:bookmarkStart w:id="819" w:name="_Toc312678035"/>
      <w:bookmarkStart w:id="820" w:name="_Toc312677509"/>
      <w:r>
        <w:rPr>
          <w:rFonts w:ascii="Times New Roman" w:hAnsi="Times New Roman" w:eastAsia="仿宋_GB2312"/>
          <w:sz w:val="30"/>
          <w:szCs w:val="32"/>
        </w:rPr>
        <w:t>0.7.1 依法必须招标的暂估价项目</w:t>
      </w:r>
    </w:p>
    <w:bookmarkEnd w:id="818"/>
    <w:bookmarkEnd w:id="819"/>
    <w:bookmarkEnd w:id="820"/>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对于依法必须招标的暂估价项目的确认和批准采取第</w:t>
      </w:r>
      <w:r>
        <w:rPr>
          <w:rFonts w:ascii="Times New Roman" w:hAnsi="Times New Roman" w:eastAsia="仿宋_GB2312"/>
          <w:sz w:val="30"/>
          <w:szCs w:val="32"/>
          <w:u w:val="single"/>
        </w:rPr>
        <w:t xml:space="preserve"> / </w:t>
      </w:r>
      <w:r>
        <w:rPr>
          <w:rFonts w:ascii="Times New Roman" w:hAnsi="Times New Roman" w:eastAsia="仿宋_GB2312"/>
          <w:sz w:val="30"/>
          <w:szCs w:val="32"/>
        </w:rPr>
        <w:t>种方式确定。</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10.7.2 不属于依法必须招标的暂估价项目</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对于不属于依法必须招标的暂估价项目的确认和批准采取第</w:t>
      </w:r>
      <w:r>
        <w:rPr>
          <w:rFonts w:ascii="Times New Roman" w:hAnsi="Times New Roman" w:eastAsia="仿宋_GB2312"/>
          <w:sz w:val="30"/>
          <w:szCs w:val="32"/>
          <w:u w:val="single"/>
        </w:rPr>
        <w:t xml:space="preserve"> / </w:t>
      </w:r>
      <w:r>
        <w:rPr>
          <w:rFonts w:ascii="Times New Roman" w:hAnsi="Times New Roman" w:eastAsia="仿宋_GB2312"/>
          <w:sz w:val="30"/>
          <w:szCs w:val="32"/>
        </w:rPr>
        <w:t xml:space="preserve"> 种方式确定。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第3种方式：</w:t>
      </w:r>
      <w:r>
        <w:rPr>
          <w:rFonts w:ascii="Times New Roman" w:hAnsi="Times New Roman" w:eastAsia="仿宋_GB2312"/>
          <w:color w:val="000000"/>
          <w:kern w:val="0"/>
          <w:sz w:val="30"/>
          <w:szCs w:val="32"/>
        </w:rPr>
        <w:t>承包人直接实施的暂估价项目</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承包人直接实施的暂估价项目的约定：</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10.8 暂列金额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合同当事人关于暂列金额使用的约定：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bookmarkStart w:id="821" w:name="_Toc351203643"/>
      <w:r>
        <w:rPr>
          <w:rFonts w:ascii="Times New Roman" w:hAnsi="Times New Roman" w:eastAsia="黑体"/>
          <w:b w:val="0"/>
          <w:color w:val="000000"/>
          <w:sz w:val="32"/>
          <w:szCs w:val="32"/>
        </w:rPr>
        <w:t>11. 价格调整</w:t>
      </w:r>
      <w:bookmarkEnd w:id="821"/>
    </w:p>
    <w:p>
      <w:pPr>
        <w:spacing w:after="120" w:line="360" w:lineRule="auto"/>
        <w:ind w:firstLine="600" w:firstLineChars="200"/>
        <w:rPr>
          <w:rFonts w:ascii="Times New Roman" w:hAnsi="Times New Roman" w:eastAsia="黑体"/>
          <w:color w:val="000000"/>
          <w:sz w:val="30"/>
          <w:szCs w:val="32"/>
        </w:rPr>
      </w:pPr>
      <w:bookmarkStart w:id="822" w:name="_Toc312678039"/>
      <w:bookmarkStart w:id="823" w:name="_Toc296891029"/>
      <w:bookmarkStart w:id="824" w:name="_Toc296503201"/>
      <w:bookmarkStart w:id="825" w:name="_Toc297123550"/>
      <w:bookmarkStart w:id="826" w:name="_Toc303539157"/>
      <w:bookmarkStart w:id="827" w:name="_Toc296891241"/>
      <w:bookmarkStart w:id="828" w:name="_Toc292559911"/>
      <w:bookmarkStart w:id="829" w:name="_Toc304295577"/>
      <w:bookmarkStart w:id="830" w:name="_Toc296944540"/>
      <w:bookmarkStart w:id="831" w:name="_Toc292559406"/>
      <w:bookmarkStart w:id="832" w:name="_Toc296346702"/>
      <w:bookmarkStart w:id="833" w:name="_Toc297120501"/>
      <w:bookmarkStart w:id="834" w:name="_Toc300935000"/>
      <w:bookmarkStart w:id="835" w:name="_Toc297216209"/>
      <w:bookmarkStart w:id="836" w:name="_Toc296347200"/>
      <w:bookmarkStart w:id="837" w:name="_Toc297048387"/>
      <w:r>
        <w:rPr>
          <w:rFonts w:ascii="Times New Roman" w:hAnsi="Times New Roman" w:eastAsia="黑体"/>
          <w:color w:val="000000"/>
          <w:sz w:val="30"/>
          <w:szCs w:val="32"/>
        </w:rPr>
        <w:t>11.1 市场价格波动引起的调整</w:t>
      </w:r>
    </w:p>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市场价格波动是否调整合同价格的约定：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否</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因市场价格波动调整合同价格，采用以下</w:t>
      </w:r>
      <w:r>
        <w:rPr>
          <w:rFonts w:ascii="Times New Roman" w:hAnsi="Times New Roman" w:eastAsia="仿宋_GB2312"/>
          <w:sz w:val="30"/>
          <w:szCs w:val="32"/>
        </w:rPr>
        <w:t>第</w:t>
      </w:r>
      <w:r>
        <w:rPr>
          <w:rFonts w:ascii="Times New Roman" w:hAnsi="Times New Roman" w:eastAsia="仿宋_GB2312"/>
          <w:sz w:val="30"/>
          <w:szCs w:val="32"/>
          <w:u w:val="single"/>
        </w:rPr>
        <w:t xml:space="preserve"> / </w:t>
      </w:r>
      <w:r>
        <w:rPr>
          <w:rFonts w:ascii="Times New Roman" w:hAnsi="Times New Roman" w:eastAsia="仿宋_GB2312"/>
          <w:color w:val="000000"/>
          <w:sz w:val="30"/>
          <w:szCs w:val="32"/>
        </w:rPr>
        <w:t>种方式对合同价格进行调整：</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第1种方式：采用价格指数</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关于各可调因子、定值和变值权重，以及基本价格指数及其来源的约定：</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第2种方式：采用造价信息</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（2）关于基准价格的约定：</w:t>
      </w:r>
      <w:r>
        <w:rPr>
          <w:rFonts w:ascii="Times New Roman" w:hAnsi="Times New Roman" w:eastAsia="仿宋_GB2312"/>
          <w:sz w:val="30"/>
          <w:szCs w:val="32"/>
          <w:u w:val="single"/>
        </w:rPr>
        <w:t xml:space="preserve">  /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专用合同条款</w:t>
      </w:r>
      <w:r>
        <w:rPr>
          <w:rFonts w:hint="eastAsia" w:ascii="宋体" w:hAnsi="宋体" w:cs="宋体"/>
          <w:color w:val="000000"/>
          <w:sz w:val="30"/>
          <w:szCs w:val="32"/>
        </w:rPr>
        <w:t>①</w:t>
      </w:r>
      <w:r>
        <w:rPr>
          <w:rFonts w:ascii="Times New Roman" w:hAnsi="Times New Roman" w:eastAsia="仿宋_GB2312"/>
          <w:color w:val="000000"/>
          <w:sz w:val="30"/>
          <w:szCs w:val="32"/>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%时，或材料单价跌幅以已标价工程量清单或预算书中载明材料单价为基础超过</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%时，其超过部分据实调整。</w:t>
      </w:r>
    </w:p>
    <w:p>
      <w:pPr>
        <w:spacing w:line="360" w:lineRule="auto"/>
        <w:ind w:firstLine="600" w:firstLineChars="200"/>
        <w:jc w:val="left"/>
        <w:rPr>
          <w:rFonts w:ascii="Times New Roman" w:hAnsi="Times New Roman" w:eastAsia="仿宋_GB2312"/>
          <w:color w:val="000000"/>
          <w:sz w:val="30"/>
          <w:szCs w:val="32"/>
        </w:rPr>
      </w:pPr>
      <w:r>
        <w:rPr>
          <w:rFonts w:hint="eastAsia" w:ascii="宋体" w:hAnsi="宋体" w:cs="宋体"/>
          <w:color w:val="000000"/>
          <w:sz w:val="30"/>
          <w:szCs w:val="32"/>
        </w:rPr>
        <w:t>②</w:t>
      </w:r>
      <w:r>
        <w:rPr>
          <w:rFonts w:ascii="Times New Roman" w:hAnsi="Times New Roman" w:eastAsia="仿宋_GB2312"/>
          <w:color w:val="000000"/>
          <w:sz w:val="30"/>
          <w:szCs w:val="32"/>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%时，材料单价涨幅以已标价工程量清单或预算书中载明材料单价为基础超过</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%时，其超过部分据实调整。</w:t>
      </w:r>
    </w:p>
    <w:p>
      <w:pPr>
        <w:spacing w:line="360" w:lineRule="auto"/>
        <w:ind w:firstLine="645"/>
        <w:jc w:val="left"/>
        <w:rPr>
          <w:rFonts w:ascii="Times New Roman" w:hAnsi="Times New Roman" w:eastAsia="仿宋_GB2312"/>
          <w:color w:val="000000"/>
          <w:sz w:val="30"/>
          <w:szCs w:val="32"/>
        </w:rPr>
      </w:pPr>
      <w:r>
        <w:rPr>
          <w:rFonts w:hint="eastAsia" w:ascii="宋体" w:hAnsi="宋体" w:cs="宋体"/>
          <w:color w:val="000000"/>
          <w:sz w:val="30"/>
          <w:szCs w:val="32"/>
        </w:rPr>
        <w:t>③</w:t>
      </w:r>
      <w:r>
        <w:rPr>
          <w:rFonts w:ascii="Times New Roman" w:hAnsi="Times New Roman" w:eastAsia="仿宋_GB2312"/>
          <w:color w:val="000000"/>
          <w:sz w:val="30"/>
          <w:szCs w:val="32"/>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%时，其超过部分据实调整。</w:t>
      </w:r>
    </w:p>
    <w:p>
      <w:pPr>
        <w:spacing w:line="360" w:lineRule="auto"/>
        <w:ind w:firstLine="645"/>
        <w:jc w:val="left"/>
        <w:rPr>
          <w:rFonts w:ascii="Times New Roman" w:hAnsi="Times New Roman" w:eastAsia="仿宋_GB2312"/>
          <w:color w:val="000000"/>
          <w:sz w:val="30"/>
          <w:szCs w:val="32"/>
        </w:rPr>
      </w:pPr>
      <w:r>
        <w:rPr>
          <w:rFonts w:ascii="Times New Roman" w:hAnsi="Times New Roman" w:eastAsia="仿宋_GB2312"/>
          <w:color w:val="000000"/>
          <w:sz w:val="30"/>
          <w:szCs w:val="32"/>
        </w:rPr>
        <w:t>第3种方式：其他价格调整方式：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725"/>
    <w:bookmarkEnd w:id="726"/>
    <w:bookmarkEnd w:id="727"/>
    <w:bookmarkEnd w:id="728"/>
    <w:bookmarkEnd w:id="729"/>
    <w:bookmarkEnd w:id="730"/>
    <w:p>
      <w:pPr>
        <w:pStyle w:val="5"/>
        <w:spacing w:before="120" w:after="120" w:line="360" w:lineRule="auto"/>
        <w:rPr>
          <w:rFonts w:ascii="Times New Roman" w:hAnsi="Times New Roman" w:eastAsia="黑体"/>
          <w:b w:val="0"/>
          <w:color w:val="000000"/>
          <w:sz w:val="32"/>
          <w:szCs w:val="32"/>
        </w:rPr>
      </w:pPr>
      <w:bookmarkStart w:id="838" w:name="_Toc296891245"/>
      <w:bookmarkStart w:id="839" w:name="_Toc296944544"/>
      <w:bookmarkStart w:id="840" w:name="_Toc296347204"/>
      <w:bookmarkStart w:id="841" w:name="_Toc292559915"/>
      <w:bookmarkStart w:id="842" w:name="_Toc296891033"/>
      <w:bookmarkStart w:id="843" w:name="_Toc297048391"/>
      <w:bookmarkStart w:id="844" w:name="_Toc297120505"/>
      <w:bookmarkStart w:id="845" w:name="_Toc292559410"/>
      <w:bookmarkStart w:id="846" w:name="_Toc296503205"/>
      <w:bookmarkStart w:id="847" w:name="_Toc296346706"/>
      <w:bookmarkStart w:id="848" w:name="_Toc351203644"/>
      <w:bookmarkStart w:id="849" w:name="_Toc304295579"/>
      <w:bookmarkStart w:id="850" w:name="_Toc303539159"/>
      <w:bookmarkStart w:id="851" w:name="_Toc297216211"/>
      <w:bookmarkStart w:id="852" w:name="_Toc300935002"/>
      <w:bookmarkStart w:id="853" w:name="_Toc312678040"/>
      <w:bookmarkStart w:id="854" w:name="_Toc297123552"/>
      <w:r>
        <w:rPr>
          <w:rFonts w:ascii="Times New Roman" w:hAnsi="Times New Roman" w:eastAsia="黑体"/>
          <w:b w:val="0"/>
          <w:color w:val="000000"/>
          <w:sz w:val="32"/>
          <w:szCs w:val="32"/>
        </w:rPr>
        <w:t xml:space="preserve">12. </w:t>
      </w:r>
      <w:bookmarkEnd w:id="838"/>
      <w:bookmarkEnd w:id="839"/>
      <w:bookmarkEnd w:id="840"/>
      <w:bookmarkEnd w:id="841"/>
      <w:bookmarkEnd w:id="842"/>
      <w:bookmarkEnd w:id="843"/>
      <w:bookmarkEnd w:id="844"/>
      <w:bookmarkEnd w:id="845"/>
      <w:bookmarkEnd w:id="846"/>
      <w:bookmarkEnd w:id="847"/>
      <w:r>
        <w:rPr>
          <w:rFonts w:ascii="Times New Roman" w:hAnsi="Times New Roman" w:eastAsia="黑体"/>
          <w:b w:val="0"/>
          <w:color w:val="000000"/>
          <w:sz w:val="32"/>
          <w:szCs w:val="32"/>
        </w:rPr>
        <w:t>合同价格、计量与支付</w:t>
      </w:r>
      <w:bookmarkEnd w:id="848"/>
    </w:p>
    <w:bookmarkEnd w:id="849"/>
    <w:bookmarkEnd w:id="850"/>
    <w:bookmarkEnd w:id="851"/>
    <w:bookmarkEnd w:id="852"/>
    <w:bookmarkEnd w:id="853"/>
    <w:bookmarkEnd w:id="854"/>
    <w:p>
      <w:pPr>
        <w:spacing w:after="120" w:line="360" w:lineRule="auto"/>
        <w:ind w:firstLine="600" w:firstLineChars="200"/>
        <w:rPr>
          <w:rFonts w:ascii="Times New Roman" w:hAnsi="Times New Roman" w:eastAsia="黑体"/>
          <w:color w:val="000000"/>
          <w:sz w:val="30"/>
          <w:szCs w:val="32"/>
        </w:rPr>
      </w:pPr>
      <w:bookmarkStart w:id="855" w:name="_Toc267251461"/>
      <w:bookmarkStart w:id="856" w:name="_Toc292559916"/>
      <w:bookmarkStart w:id="857" w:name="_Toc292559411"/>
      <w:bookmarkStart w:id="858" w:name="_Toc296891246"/>
      <w:bookmarkStart w:id="859" w:name="_Toc297120506"/>
      <w:bookmarkStart w:id="860" w:name="_Toc296944545"/>
      <w:bookmarkStart w:id="861" w:name="_Toc296891034"/>
      <w:bookmarkStart w:id="862" w:name="_Toc297048392"/>
      <w:bookmarkStart w:id="863" w:name="_Toc296503206"/>
      <w:bookmarkStart w:id="864" w:name="_Toc296346707"/>
      <w:bookmarkStart w:id="865" w:name="_Toc296347205"/>
      <w:bookmarkStart w:id="866" w:name="_Toc304295580"/>
      <w:bookmarkStart w:id="867" w:name="_Toc300935003"/>
      <w:bookmarkStart w:id="868" w:name="_Toc297216212"/>
      <w:bookmarkStart w:id="869" w:name="_Toc303539160"/>
      <w:bookmarkStart w:id="870" w:name="_Toc297123553"/>
      <w:bookmarkStart w:id="871" w:name="_Toc312678041"/>
      <w:r>
        <w:rPr>
          <w:rFonts w:ascii="Times New Roman" w:hAnsi="Times New Roman" w:eastAsia="黑体"/>
          <w:color w:val="000000"/>
          <w:sz w:val="30"/>
          <w:szCs w:val="32"/>
        </w:rPr>
        <w:t>12.1 合</w:t>
      </w:r>
      <w:bookmarkEnd w:id="855"/>
      <w:bookmarkEnd w:id="856"/>
      <w:bookmarkEnd w:id="857"/>
      <w:r>
        <w:rPr>
          <w:rFonts w:ascii="Times New Roman" w:hAnsi="Times New Roman" w:eastAsia="黑体"/>
          <w:color w:val="000000"/>
          <w:sz w:val="30"/>
          <w:szCs w:val="32"/>
        </w:rPr>
        <w:t>同价</w:t>
      </w:r>
      <w:bookmarkEnd w:id="858"/>
      <w:bookmarkEnd w:id="859"/>
      <w:bookmarkEnd w:id="860"/>
      <w:bookmarkEnd w:id="861"/>
      <w:bookmarkEnd w:id="862"/>
      <w:bookmarkEnd w:id="863"/>
      <w:bookmarkEnd w:id="864"/>
      <w:bookmarkEnd w:id="865"/>
      <w:r>
        <w:rPr>
          <w:rFonts w:ascii="Times New Roman" w:hAnsi="Times New Roman" w:eastAsia="黑体"/>
          <w:color w:val="000000"/>
          <w:sz w:val="30"/>
          <w:szCs w:val="32"/>
        </w:rPr>
        <w:t>格形式</w:t>
      </w:r>
    </w:p>
    <w:bookmarkEnd w:id="866"/>
    <w:bookmarkEnd w:id="867"/>
    <w:bookmarkEnd w:id="868"/>
    <w:bookmarkEnd w:id="869"/>
    <w:bookmarkEnd w:id="870"/>
    <w:bookmarkEnd w:id="871"/>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1、单价合同。</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综合单价包含的风险范围：</w:t>
      </w:r>
      <w:r>
        <w:rPr>
          <w:rFonts w:hint="eastAsia" w:ascii="Times New Roman" w:hAnsi="Times New Roman" w:eastAsia="仿宋_GB2312"/>
          <w:color w:val="000000"/>
          <w:sz w:val="30"/>
          <w:szCs w:val="32"/>
          <w:u w:val="single"/>
        </w:rPr>
        <w:t>①综合单价不得调整，合同履行期间人工、材料、机械价格的调整以及承包人可以或应该预见的风险；②法律、行政法规、和国家有关政策变化，影响合同价款；③造价部门发布价格调整；④施工期间停水、停电引起的费用增加；⑤专用条款中约定不予调整的条款和承包人承担的费用；⑥国家政策变化以及一个有经验的承包人可以或应该预见的风险，工程量清单或现行预算定额或计价规范未描述到，但又是完成分项工程必须有的工作内容，均应包括在报价内。除以下明确风险范围以外的影响因素，其他因素均在风险因素之内。</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风险费用的计算方法：</w:t>
      </w:r>
      <w:r>
        <w:rPr>
          <w:rFonts w:hint="eastAsia" w:ascii="Times New Roman" w:hAnsi="Times New Roman" w:eastAsia="仿宋_GB2312"/>
          <w:color w:val="000000"/>
          <w:sz w:val="30"/>
          <w:szCs w:val="32"/>
          <w:u w:val="single"/>
        </w:rPr>
        <w:t>在投标报价时考虑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风险范围以外合同价格的调整方法：</w:t>
      </w:r>
      <w:r>
        <w:rPr>
          <w:rFonts w:hint="eastAsia" w:ascii="Times New Roman" w:hAnsi="Times New Roman" w:eastAsia="仿宋_GB2312"/>
          <w:color w:val="000000"/>
          <w:sz w:val="30"/>
          <w:szCs w:val="32"/>
          <w:u w:val="single"/>
        </w:rPr>
        <w:t>1、设计变更；2、符合合同约定的工程洽商、变更等书面协议和文件；具体调整如下：</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1、设计变更价款的确定。变更后的工作内容工程量根据实际施工图或变更联系单并按照国标《建设工程工程量清单计价规范》（GB505000-2013）规定计算，单价确定按照以下方法：①合同中已有适用于变更工程的价格，按合同已有的价格（有综合单价修正价的按照修正价）。②合同中只有类似于变更工程的价格，如仅涉及面层、基层、标号变化等局部项目特征变化的项目，根据“分部分项工程量清单综合单价计算表对不同部分的人工、材料、机械根据《浙江省建筑工程预算定额》（2018版）、《浙江省安装工程预算定额》（2018版）及配套取费文件、计价规则及定额标准并参照投标组价进行基价换算调整，其余费用不变，并计算出变更后的国标综合单价。③合同中没有适用或类似于变更工程的价格，则根据《浙江省建筑工程预算定额》（2018）版、《浙江省安装工程预算定额》（2018版）及配套取费文件、计价规则及定额标准计算工程量和单价；综合费率（含管理费、利润、风险费用）按投标文件执行，税金、规费按照2018定额体系标准计取；</w:t>
      </w:r>
      <w:r>
        <w:rPr>
          <w:rFonts w:hint="eastAsia" w:ascii="Times New Roman" w:hAnsi="Times New Roman" w:eastAsia="仿宋_GB2312"/>
          <w:b/>
          <w:color w:val="000000"/>
          <w:sz w:val="30"/>
          <w:szCs w:val="32"/>
          <w:u w:val="single"/>
        </w:rPr>
        <w:t>施工组织措施费及施工技术措施费根据投标价包干</w:t>
      </w:r>
      <w:r>
        <w:rPr>
          <w:rFonts w:hint="eastAsia" w:ascii="Times New Roman" w:hAnsi="Times New Roman" w:eastAsia="仿宋_GB2312"/>
          <w:color w:val="000000"/>
          <w:sz w:val="30"/>
          <w:szCs w:val="32"/>
          <w:u w:val="single"/>
        </w:rPr>
        <w:t>，不予调整；组价时，人工、材料、机械台班单价按照投标时人工、材料、机械台班单价的报价计算，暂定价按照发包人签证价格计算，无投标报价的材料价格，按照发包人签证价格或签订合同时最近一期的本地造价信息计算。无投标报价的机械台班价格，按照《浙江省建筑工程预算定额》（2018版）、《浙江省安装工程预算定额》（2018版）及配套取费文件、定额标准计取，定额不明确的由业主签证确认；计算出该项费用后并换算到《建设工程工程量清单计价规范》（GB505000-2013）的计算规定，格式套用投标书格式</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2、总价合同。</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总价包含的风险范围：</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风险费用的计算方法：</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3、其他价格方式：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bookmarkStart w:id="872" w:name="_Toc303539161"/>
      <w:bookmarkStart w:id="873" w:name="_Toc300935004"/>
      <w:bookmarkStart w:id="874" w:name="_Toc297123554"/>
      <w:bookmarkStart w:id="875" w:name="_Toc304295581"/>
      <w:bookmarkStart w:id="876" w:name="_Toc297216213"/>
      <w:bookmarkStart w:id="877" w:name="_Toc312678042"/>
      <w:bookmarkStart w:id="878" w:name="_Toc296503207"/>
      <w:bookmarkStart w:id="879" w:name="_Toc296891035"/>
      <w:bookmarkStart w:id="880" w:name="_Toc292559412"/>
      <w:bookmarkStart w:id="881" w:name="_Toc296346708"/>
      <w:bookmarkStart w:id="882" w:name="_Toc296347206"/>
      <w:bookmarkStart w:id="883" w:name="_Toc292559917"/>
      <w:bookmarkStart w:id="884" w:name="_Toc297120507"/>
      <w:bookmarkStart w:id="885" w:name="_Toc296944546"/>
      <w:bookmarkStart w:id="886" w:name="_Toc296891247"/>
      <w:bookmarkStart w:id="887" w:name="_Toc297048393"/>
      <w:r>
        <w:rPr>
          <w:rFonts w:ascii="Times New Roman" w:hAnsi="Times New Roman" w:eastAsia="黑体"/>
          <w:color w:val="000000"/>
          <w:sz w:val="30"/>
          <w:szCs w:val="32"/>
        </w:rPr>
        <w:t>12.2 预付款</w:t>
      </w:r>
    </w:p>
    <w:bookmarkEnd w:id="872"/>
    <w:bookmarkEnd w:id="873"/>
    <w:bookmarkEnd w:id="874"/>
    <w:bookmarkEnd w:id="875"/>
    <w:bookmarkEnd w:id="876"/>
    <w:bookmarkEnd w:id="877"/>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12.2.1 预付款的支付</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预付款支付比例或金额：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合同价30</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预付款支付期限：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合同签订后正式开工前</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预付款扣回的方式：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竣工验收后一次性扣回</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12.2.2 预付款担保</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承包人提交预付款担保的期限：</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预付款担保的形式为：</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bookmarkEnd w:id="878"/>
    <w:bookmarkEnd w:id="879"/>
    <w:bookmarkEnd w:id="880"/>
    <w:bookmarkEnd w:id="881"/>
    <w:bookmarkEnd w:id="882"/>
    <w:bookmarkEnd w:id="883"/>
    <w:bookmarkEnd w:id="884"/>
    <w:bookmarkEnd w:id="885"/>
    <w:bookmarkEnd w:id="886"/>
    <w:bookmarkEnd w:id="887"/>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12.3 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12.3.1 计量原则</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工程量计算规则：</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本项目计量所使用的工程量计算规则除招标文件工程量清单的特殊说明外，均应与计价规范一致。</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12.3.2 计量周期</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关于计量周期的约定：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按月计量</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12.3.3 单价合同的计量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关于单价合同计量的约定：</w:t>
      </w:r>
      <w:r>
        <w:rPr>
          <w:rFonts w:hint="eastAsia" w:ascii="Times New Roman" w:hAnsi="Times New Roman" w:eastAsia="仿宋_GB2312"/>
          <w:color w:val="000000"/>
          <w:sz w:val="30"/>
          <w:szCs w:val="32"/>
          <w:u w:val="single"/>
        </w:rPr>
        <w:t>每月25号前提交已完工程量报告，交发包人审核，但该工程量仅为支付工程进度款的依据，不作为竣工结算的依据</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12.3.4 总价合同的计量</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关于总价合同计量的约定：</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12.3.5总价合同采用支付分解表计量支付的，是否适用第</w:t>
      </w:r>
      <w:r>
        <w:rPr>
          <w:rFonts w:ascii="Times New Roman" w:hAnsi="Times New Roman" w:eastAsia="仿宋_GB2312"/>
          <w:color w:val="000000"/>
          <w:kern w:val="0"/>
          <w:sz w:val="30"/>
          <w:szCs w:val="32"/>
        </w:rPr>
        <w:t xml:space="preserve">12.3.4 </w:t>
      </w:r>
      <w:r>
        <w:rPr>
          <w:rFonts w:ascii="Times New Roman" w:hAnsi="Times New Roman" w:eastAsia="仿宋_GB2312"/>
          <w:color w:val="000000"/>
          <w:sz w:val="30"/>
          <w:szCs w:val="32"/>
        </w:rPr>
        <w:t>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总价合同的计量</w:t>
      </w:r>
      <w:r>
        <w:rPr>
          <w:rFonts w:hint="eastAsia" w:ascii="Times New Roman" w:hAnsi="Times New Roman" w:eastAsia="仿宋_GB2312"/>
          <w:color w:val="000000"/>
          <w:kern w:val="0"/>
          <w:sz w:val="30"/>
          <w:szCs w:val="32"/>
        </w:rPr>
        <w:t>〕</w:t>
      </w:r>
      <w:r>
        <w:rPr>
          <w:rFonts w:ascii="Times New Roman" w:hAnsi="Times New Roman" w:eastAsia="仿宋_GB2312"/>
          <w:color w:val="000000"/>
          <w:sz w:val="30"/>
          <w:szCs w:val="32"/>
        </w:rPr>
        <w:t>约定</w:t>
      </w:r>
      <w:r>
        <w:rPr>
          <w:rFonts w:hint="eastAsia" w:ascii="Times New Roman" w:hAnsi="Times New Roman" w:eastAsia="仿宋_GB2312"/>
          <w:color w:val="000000"/>
          <w:sz w:val="30"/>
          <w:szCs w:val="32"/>
        </w:rPr>
        <w:t>进行计量：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12.3.6 其他价格形式合同的计量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其他价格形式的计量方式和程序：</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12.4 工程进度款支付</w:t>
      </w:r>
    </w:p>
    <w:p>
      <w:pPr>
        <w:spacing w:line="360" w:lineRule="auto"/>
        <w:ind w:firstLine="600" w:firstLineChars="200"/>
        <w:jc w:val="left"/>
        <w:rPr>
          <w:rFonts w:ascii="Times New Roman" w:hAnsi="Times New Roman" w:eastAsia="仿宋_GB2312"/>
          <w:color w:val="000000"/>
          <w:sz w:val="30"/>
          <w:szCs w:val="32"/>
        </w:rPr>
      </w:pPr>
      <w:bookmarkStart w:id="888" w:name="_Toc296346712"/>
      <w:bookmarkStart w:id="889" w:name="_Toc296891251"/>
      <w:bookmarkStart w:id="890" w:name="_Toc292559416"/>
      <w:bookmarkStart w:id="891" w:name="_Toc296503211"/>
      <w:bookmarkStart w:id="892" w:name="_Toc297123556"/>
      <w:bookmarkStart w:id="893" w:name="_Toc292559921"/>
      <w:bookmarkStart w:id="894" w:name="_Toc297216215"/>
      <w:bookmarkStart w:id="895" w:name="_Toc296944550"/>
      <w:bookmarkStart w:id="896" w:name="_Toc300935006"/>
      <w:bookmarkStart w:id="897" w:name="_Toc297120511"/>
      <w:bookmarkStart w:id="898" w:name="_Toc296347210"/>
      <w:bookmarkStart w:id="899" w:name="_Toc296891039"/>
      <w:bookmarkStart w:id="900" w:name="_Toc303539163"/>
      <w:bookmarkStart w:id="901" w:name="_Toc297048397"/>
      <w:r>
        <w:rPr>
          <w:rFonts w:ascii="Times New Roman" w:hAnsi="Times New Roman" w:eastAsia="仿宋_GB2312"/>
          <w:color w:val="000000"/>
          <w:sz w:val="30"/>
          <w:szCs w:val="32"/>
        </w:rPr>
        <w:t>12.4.1 付款周期</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关于付款周期的约定：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按</w:t>
      </w:r>
      <w:r>
        <w:rPr>
          <w:rFonts w:ascii="Times New Roman" w:hAnsi="Times New Roman" w:eastAsia="仿宋_GB2312"/>
          <w:color w:val="000000"/>
          <w:sz w:val="30"/>
          <w:szCs w:val="32"/>
          <w:u w:val="single"/>
        </w:rPr>
        <w:t xml:space="preserve">月支付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12.4.2 进度付款申请单的编制</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关于进度付款申请单编制的约定：</w:t>
      </w:r>
      <w:r>
        <w:rPr>
          <w:rFonts w:hint="eastAsia" w:ascii="Times New Roman" w:hAnsi="Times New Roman" w:eastAsia="仿宋_GB2312"/>
          <w:color w:val="000000"/>
          <w:sz w:val="30"/>
          <w:szCs w:val="32"/>
          <w:u w:val="single"/>
        </w:rPr>
        <w:t>（1）设备全部到场经发包人确认后，支付到场设备总价（含税主材价，不含安装费及辅材费）的70%；</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（2） 竣工验收后，支付至合同价85%；提交完整结算资料后，支付至合同价90%；结算审核完成后，支付至结算审定造价的98.5%；余1.5%作为质量保证金（银行保函或现金），2年后根据保修期限约定退还相应保修金（无息）</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Pr>
          <w:rFonts w:ascii="Times New Roman" w:hAnsi="Times New Roman" w:eastAsia="仿宋_GB2312"/>
          <w:color w:val="000000"/>
          <w:sz w:val="30"/>
          <w:szCs w:val="32"/>
        </w:rPr>
        <w:t>2.4.3 进度付款申请单的提交</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（1）单价合同进度付款申请单提交的约定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付款申请单</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足额</w:t>
      </w:r>
      <w:r>
        <w:rPr>
          <w:rFonts w:ascii="Times New Roman" w:hAnsi="Times New Roman" w:eastAsia="仿宋_GB2312"/>
          <w:color w:val="000000"/>
          <w:sz w:val="30"/>
          <w:szCs w:val="32"/>
          <w:u w:val="single"/>
        </w:rPr>
        <w:t xml:space="preserve">的发票、已完工程量清单、合同付款页面复印件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（2）总价合同进度付款申请单提交的约定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（3）其他价格形式合同进度付款申请单提交的约定：</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12.4.4 进度款审核和支付</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（1）监理人审查并报送发包人的期限：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发包人完成审批并签发进度款支付证书的期限：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收到完整</w:t>
      </w:r>
      <w:r>
        <w:rPr>
          <w:rFonts w:ascii="Times New Roman" w:hAnsi="Times New Roman" w:eastAsia="仿宋_GB2312"/>
          <w:color w:val="000000"/>
          <w:sz w:val="30"/>
          <w:szCs w:val="32"/>
          <w:u w:val="single"/>
        </w:rPr>
        <w:t>申请资料7</w:t>
      </w:r>
      <w:r>
        <w:rPr>
          <w:rFonts w:hint="eastAsia" w:ascii="Times New Roman" w:hAnsi="Times New Roman" w:eastAsia="仿宋_GB2312"/>
          <w:color w:val="000000"/>
          <w:sz w:val="30"/>
          <w:szCs w:val="32"/>
          <w:u w:val="single"/>
        </w:rPr>
        <w:t>天内</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（2）发包人支付进度款的期限：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完成</w:t>
      </w:r>
      <w:r>
        <w:rPr>
          <w:rFonts w:ascii="Times New Roman" w:hAnsi="Times New Roman" w:eastAsia="仿宋_GB2312"/>
          <w:color w:val="000000"/>
          <w:sz w:val="30"/>
          <w:szCs w:val="32"/>
          <w:u w:val="single"/>
        </w:rPr>
        <w:t>审批</w:t>
      </w:r>
      <w:r>
        <w:rPr>
          <w:rFonts w:hint="eastAsia" w:ascii="Times New Roman" w:hAnsi="Times New Roman" w:eastAsia="仿宋_GB2312"/>
          <w:color w:val="000000"/>
          <w:sz w:val="30"/>
          <w:szCs w:val="32"/>
          <w:u w:val="single"/>
        </w:rPr>
        <w:t>7天</w:t>
      </w:r>
      <w:r>
        <w:rPr>
          <w:rFonts w:ascii="Times New Roman" w:hAnsi="Times New Roman" w:eastAsia="仿宋_GB2312"/>
          <w:color w:val="000000"/>
          <w:sz w:val="30"/>
          <w:szCs w:val="32"/>
          <w:u w:val="single"/>
        </w:rPr>
        <w:t xml:space="preserve">内   </w:t>
      </w:r>
      <w:r>
        <w:rPr>
          <w:rFonts w:ascii="Times New Roman" w:hAnsi="Times New Roman" w:eastAsia="仿宋_GB2312"/>
          <w:color w:val="000000"/>
          <w:sz w:val="30"/>
          <w:szCs w:val="32"/>
        </w:rPr>
        <w:t>。</w:t>
      </w:r>
    </w:p>
    <w:p>
      <w:pPr>
        <w:spacing w:line="360" w:lineRule="auto"/>
        <w:ind w:firstLine="750" w:firstLineChars="25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发包人逾期支付进度款的违约金的计算方式：</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750" w:firstLineChars="25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12.4.6 支付分解表的编制</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2、总价合同支付分解表的编制与审批：</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3、单价合同的总价项目支付分解表的编制与审批：</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bookmarkEnd w:id="731"/>
    <w:p>
      <w:pPr>
        <w:pStyle w:val="5"/>
        <w:spacing w:before="120" w:after="120" w:line="360" w:lineRule="auto"/>
        <w:rPr>
          <w:rFonts w:ascii="Times New Roman" w:hAnsi="Times New Roman" w:eastAsia="黑体"/>
          <w:b w:val="0"/>
          <w:color w:val="000000"/>
          <w:sz w:val="32"/>
          <w:szCs w:val="32"/>
        </w:rPr>
      </w:pPr>
      <w:bookmarkStart w:id="902" w:name="_Toc351203645"/>
      <w:bookmarkStart w:id="903" w:name="_Toc292559929"/>
      <w:bookmarkStart w:id="904" w:name="_Toc292559424"/>
      <w:bookmarkStart w:id="905" w:name="_Toc296347218"/>
      <w:bookmarkStart w:id="906" w:name="_Toc296891047"/>
      <w:bookmarkStart w:id="907" w:name="_Toc296891259"/>
      <w:bookmarkStart w:id="908" w:name="_Toc296346720"/>
      <w:bookmarkStart w:id="909" w:name="_Toc297120519"/>
      <w:bookmarkStart w:id="910" w:name="_Toc297123564"/>
      <w:bookmarkStart w:id="911" w:name="_Toc296944558"/>
      <w:bookmarkStart w:id="912" w:name="_Toc296503219"/>
      <w:bookmarkStart w:id="913" w:name="_Toc297048405"/>
      <w:bookmarkStart w:id="914" w:name="_Toc300935015"/>
      <w:bookmarkStart w:id="915" w:name="_Toc297216223"/>
      <w:bookmarkStart w:id="916" w:name="_Toc303539172"/>
      <w:bookmarkStart w:id="917" w:name="_Toc304295593"/>
      <w:bookmarkStart w:id="918" w:name="_Toc312678053"/>
      <w:r>
        <w:rPr>
          <w:rFonts w:ascii="Times New Roman" w:hAnsi="Times New Roman" w:eastAsia="黑体"/>
          <w:b w:val="0"/>
          <w:color w:val="000000"/>
          <w:sz w:val="32"/>
          <w:szCs w:val="32"/>
        </w:rPr>
        <w:t>13.</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验收和工程试车</w:t>
      </w:r>
      <w:bookmarkEnd w:id="902"/>
    </w:p>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13.1 分部分项工程验收</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13.1.2监理人不能按时进行验收时，应提前</w:t>
      </w:r>
      <w:r>
        <w:rPr>
          <w:rFonts w:ascii="Times New Roman" w:hAnsi="Times New Roman" w:eastAsia="仿宋_GB2312"/>
          <w:sz w:val="30"/>
          <w:szCs w:val="32"/>
          <w:u w:val="single"/>
        </w:rPr>
        <w:t xml:space="preserve">  / </w:t>
      </w:r>
      <w:r>
        <w:rPr>
          <w:rFonts w:ascii="Times New Roman" w:hAnsi="Times New Roman" w:eastAsia="仿宋_GB2312"/>
          <w:sz w:val="30"/>
          <w:szCs w:val="32"/>
        </w:rPr>
        <w:t>小时提交书面延期要求。</w:t>
      </w:r>
    </w:p>
    <w:p>
      <w:pPr>
        <w:spacing w:line="360" w:lineRule="auto"/>
        <w:ind w:firstLine="600" w:firstLineChars="200"/>
        <w:jc w:val="left"/>
        <w:rPr>
          <w:rFonts w:ascii="Times New Roman" w:hAnsi="Times New Roman" w:eastAsia="仿宋_GB2312"/>
          <w:b/>
          <w:color w:val="000000"/>
          <w:sz w:val="30"/>
          <w:szCs w:val="32"/>
        </w:rPr>
      </w:pPr>
      <w:r>
        <w:rPr>
          <w:rFonts w:ascii="Times New Roman" w:hAnsi="Times New Roman" w:eastAsia="仿宋_GB2312"/>
          <w:sz w:val="30"/>
          <w:szCs w:val="32"/>
        </w:rPr>
        <w:t>关于延期最长不得超过：</w:t>
      </w:r>
      <w:r>
        <w:rPr>
          <w:rFonts w:ascii="Times New Roman" w:hAnsi="Times New Roman" w:eastAsia="仿宋_GB2312"/>
          <w:sz w:val="30"/>
          <w:szCs w:val="32"/>
          <w:u w:val="single"/>
        </w:rPr>
        <w:t xml:space="preserve">  / </w:t>
      </w:r>
      <w:r>
        <w:rPr>
          <w:rFonts w:ascii="Times New Roman" w:hAnsi="Times New Roman" w:eastAsia="仿宋_GB2312"/>
          <w:sz w:val="30"/>
          <w:szCs w:val="32"/>
        </w:rPr>
        <w:t>小时。</w:t>
      </w:r>
    </w:p>
    <w:p>
      <w:pPr>
        <w:spacing w:after="120" w:line="360" w:lineRule="auto"/>
        <w:ind w:firstLine="600" w:firstLineChars="200"/>
        <w:rPr>
          <w:rFonts w:ascii="Times New Roman" w:hAnsi="Times New Roman" w:eastAsia="黑体"/>
          <w:color w:val="000000"/>
          <w:sz w:val="30"/>
          <w:szCs w:val="32"/>
        </w:rPr>
      </w:pPr>
      <w:bookmarkStart w:id="919" w:name="_Toc296891263"/>
      <w:bookmarkStart w:id="920" w:name="_Toc292559428"/>
      <w:bookmarkStart w:id="921" w:name="_Toc304295596"/>
      <w:bookmarkStart w:id="922" w:name="_Toc296346724"/>
      <w:bookmarkStart w:id="923" w:name="_Toc300935016"/>
      <w:bookmarkStart w:id="924" w:name="_Toc303539173"/>
      <w:bookmarkStart w:id="925" w:name="_Toc297216224"/>
      <w:bookmarkStart w:id="926" w:name="_Toc296503223"/>
      <w:bookmarkStart w:id="927" w:name="_Toc297048409"/>
      <w:bookmarkStart w:id="928" w:name="_Toc297123565"/>
      <w:bookmarkStart w:id="929" w:name="_Toc292559933"/>
      <w:bookmarkStart w:id="930" w:name="_Toc312678056"/>
      <w:bookmarkStart w:id="931" w:name="_Toc296891051"/>
      <w:bookmarkStart w:id="932" w:name="_Toc296944562"/>
      <w:bookmarkStart w:id="933" w:name="_Toc297120523"/>
      <w:bookmarkStart w:id="934" w:name="_Toc296347222"/>
      <w:bookmarkStart w:id="935" w:name="_Toc267251475"/>
      <w:bookmarkStart w:id="936" w:name="_Toc267251470"/>
      <w:bookmarkStart w:id="937" w:name="_Toc267251474"/>
      <w:bookmarkStart w:id="938" w:name="_Toc267251472"/>
      <w:bookmarkStart w:id="939" w:name="_Toc267251473"/>
      <w:bookmarkStart w:id="940" w:name="_Toc267251471"/>
      <w:bookmarkStart w:id="941" w:name="_Toc267251476"/>
      <w:r>
        <w:rPr>
          <w:rFonts w:ascii="Times New Roman" w:hAnsi="Times New Roman" w:eastAsia="黑体"/>
          <w:color w:val="000000"/>
          <w:sz w:val="30"/>
          <w:szCs w:val="32"/>
        </w:rPr>
        <w:t>13.2 竣工验收</w:t>
      </w:r>
    </w:p>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Pr>
        <w:spacing w:line="360" w:lineRule="auto"/>
        <w:ind w:firstLine="600" w:firstLineChars="200"/>
        <w:jc w:val="left"/>
        <w:rPr>
          <w:rFonts w:ascii="Times New Roman" w:hAnsi="Times New Roman" w:eastAsia="仿宋_GB2312"/>
          <w:color w:val="000000"/>
          <w:sz w:val="30"/>
          <w:szCs w:val="32"/>
        </w:rPr>
      </w:pPr>
      <w:bookmarkStart w:id="942" w:name="_Toc280868704"/>
      <w:bookmarkStart w:id="943" w:name="_Toc280868705"/>
      <w:bookmarkStart w:id="944" w:name="_Toc280868706"/>
      <w:bookmarkStart w:id="945" w:name="_Toc280868707"/>
      <w:bookmarkStart w:id="946" w:name="_Toc280868708"/>
      <w:bookmarkStart w:id="947" w:name="_Toc280868709"/>
      <w:r>
        <w:rPr>
          <w:rFonts w:ascii="Times New Roman" w:hAnsi="Times New Roman" w:eastAsia="仿宋_GB2312"/>
          <w:color w:val="000000"/>
          <w:sz w:val="30"/>
          <w:szCs w:val="32"/>
        </w:rPr>
        <w:t>13.2.2竣工验收程序</w:t>
      </w:r>
    </w:p>
    <w:bookmarkEnd w:id="942"/>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关于竣工验收程序的约定：</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kern w:val="0"/>
          <w:sz w:val="30"/>
          <w:szCs w:val="32"/>
        </w:rPr>
        <w:t>发包人不按照本项约定组织竣工验收、颁发工程接收证书的违约金的计算方法：</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bookmarkEnd w:id="943"/>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13.2.5移交、接收全部与部分工程</w:t>
      </w:r>
    </w:p>
    <w:bookmarkEnd w:id="944"/>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承包人向发包人移交工程的期限：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竣工验收</w:t>
      </w:r>
      <w:r>
        <w:rPr>
          <w:rFonts w:ascii="Times New Roman" w:hAnsi="Times New Roman" w:eastAsia="仿宋_GB2312"/>
          <w:color w:val="000000"/>
          <w:sz w:val="30"/>
          <w:szCs w:val="32"/>
          <w:u w:val="single"/>
        </w:rPr>
        <w:t>后</w:t>
      </w:r>
      <w:r>
        <w:rPr>
          <w:rFonts w:hint="eastAsia" w:ascii="Times New Roman" w:hAnsi="Times New Roman" w:eastAsia="仿宋_GB2312"/>
          <w:color w:val="000000"/>
          <w:sz w:val="30"/>
          <w:szCs w:val="32"/>
          <w:u w:val="single"/>
        </w:rPr>
        <w:t xml:space="preserve">7天内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发包人未按本合同约定接收全部或部分工程的，违约金的计算方法为：</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bookmarkEnd w:id="945"/>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承包人未按时移交工程的，违约金的计算方法为：</w:t>
      </w:r>
      <w:r>
        <w:rPr>
          <w:rFonts w:hint="eastAsia" w:ascii="Times New Roman" w:hAnsi="Times New Roman" w:eastAsia="仿宋_GB2312"/>
          <w:color w:val="000000"/>
          <w:sz w:val="30"/>
          <w:szCs w:val="32"/>
          <w:u w:val="single"/>
        </w:rPr>
        <w:t>工期每拖延一天处以合同总价万分之二的违约金，直至扣除合同总价的3％为止</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13.3 工程试车</w:t>
      </w:r>
    </w:p>
    <w:bookmarkEnd w:id="946"/>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13.3.1 试车程序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工程试车内容：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（1）单机无负荷试车费用由</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承担；</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（2）无负荷联动试车费用由</w:t>
      </w:r>
      <w:r>
        <w:rPr>
          <w:rFonts w:ascii="Times New Roman" w:hAnsi="Times New Roman" w:eastAsia="仿宋_GB2312"/>
          <w:color w:val="000000"/>
          <w:sz w:val="30"/>
          <w:szCs w:val="32"/>
          <w:u w:val="single"/>
        </w:rPr>
        <w:t xml:space="preserve"> / </w:t>
      </w:r>
      <w:r>
        <w:rPr>
          <w:rFonts w:ascii="Times New Roman" w:hAnsi="Times New Roman" w:eastAsia="仿宋_GB2312"/>
          <w:color w:val="000000"/>
          <w:kern w:val="0"/>
          <w:sz w:val="30"/>
          <w:szCs w:val="32"/>
        </w:rPr>
        <w:t>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13.3.3 投料试车</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关于投料试车相关事项的约定：</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13.6 竣工退场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13.6.1 竣工退场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承包人完成竣工退场的期限：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不得</w:t>
      </w:r>
      <w:r>
        <w:rPr>
          <w:rFonts w:ascii="Times New Roman" w:hAnsi="Times New Roman" w:eastAsia="仿宋_GB2312"/>
          <w:color w:val="000000"/>
          <w:sz w:val="30"/>
          <w:szCs w:val="32"/>
          <w:u w:val="single"/>
        </w:rPr>
        <w:t>晚于</w:t>
      </w:r>
      <w:r>
        <w:rPr>
          <w:rFonts w:hint="eastAsia" w:ascii="Times New Roman" w:hAnsi="Times New Roman" w:eastAsia="仿宋_GB2312"/>
          <w:color w:val="000000"/>
          <w:sz w:val="30"/>
          <w:szCs w:val="32"/>
          <w:u w:val="single"/>
        </w:rPr>
        <w:t>项目</w:t>
      </w:r>
      <w:r>
        <w:rPr>
          <w:rFonts w:ascii="Times New Roman" w:hAnsi="Times New Roman" w:eastAsia="仿宋_GB2312"/>
          <w:color w:val="000000"/>
          <w:sz w:val="30"/>
          <w:szCs w:val="32"/>
          <w:u w:val="single"/>
        </w:rPr>
        <w:t xml:space="preserve">移交日  </w:t>
      </w:r>
      <w:r>
        <w:rPr>
          <w:rFonts w:ascii="Times New Roman" w:hAnsi="Times New Roman"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bookmarkStart w:id="948" w:name="_Toc351203646"/>
      <w:r>
        <w:rPr>
          <w:rFonts w:ascii="Times New Roman" w:hAnsi="Times New Roman" w:eastAsia="黑体"/>
          <w:b w:val="0"/>
          <w:color w:val="000000"/>
          <w:sz w:val="32"/>
          <w:szCs w:val="32"/>
        </w:rPr>
        <w:t>14. 竣工结算</w:t>
      </w:r>
      <w:bookmarkEnd w:id="948"/>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14.1 竣工</w:t>
      </w:r>
      <w:r>
        <w:rPr>
          <w:rFonts w:hint="eastAsia" w:ascii="Times New Roman" w:hAnsi="Times New Roman" w:eastAsia="黑体"/>
          <w:color w:val="000000"/>
          <w:sz w:val="30"/>
          <w:szCs w:val="32"/>
        </w:rPr>
        <w:t>结算</w:t>
      </w:r>
      <w:r>
        <w:rPr>
          <w:rFonts w:ascii="Times New Roman" w:hAnsi="Times New Roman" w:eastAsia="黑体"/>
          <w:color w:val="000000"/>
          <w:sz w:val="30"/>
          <w:szCs w:val="32"/>
        </w:rPr>
        <w:t>申请</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sz w:val="30"/>
          <w:szCs w:val="32"/>
        </w:rPr>
        <w:t>承包人提交竣工</w:t>
      </w:r>
      <w:r>
        <w:rPr>
          <w:rFonts w:hint="eastAsia" w:ascii="Times New Roman" w:hAnsi="Times New Roman" w:eastAsia="仿宋_GB2312"/>
          <w:sz w:val="30"/>
          <w:szCs w:val="32"/>
        </w:rPr>
        <w:t>结算</w:t>
      </w:r>
      <w:r>
        <w:rPr>
          <w:rFonts w:ascii="Times New Roman" w:hAnsi="Times New Roman" w:eastAsia="仿宋_GB2312"/>
          <w:sz w:val="30"/>
          <w:szCs w:val="32"/>
        </w:rPr>
        <w:t>申请单的期限：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竣工</w:t>
      </w:r>
      <w:r>
        <w:rPr>
          <w:rFonts w:ascii="Times New Roman" w:hAnsi="Times New Roman" w:eastAsia="仿宋_GB2312"/>
          <w:color w:val="000000"/>
          <w:sz w:val="30"/>
          <w:szCs w:val="32"/>
          <w:u w:val="single"/>
        </w:rPr>
        <w:t>验收</w:t>
      </w:r>
      <w:r>
        <w:rPr>
          <w:rFonts w:hint="eastAsia" w:ascii="Times New Roman" w:hAnsi="Times New Roman" w:eastAsia="仿宋_GB2312"/>
          <w:color w:val="000000"/>
          <w:sz w:val="30"/>
          <w:szCs w:val="32"/>
          <w:u w:val="single"/>
        </w:rPr>
        <w:t>30天</w:t>
      </w:r>
      <w:r>
        <w:rPr>
          <w:rFonts w:ascii="Times New Roman" w:hAnsi="Times New Roman" w:eastAsia="仿宋_GB2312"/>
          <w:color w:val="000000"/>
          <w:sz w:val="30"/>
          <w:szCs w:val="32"/>
          <w:u w:val="single"/>
        </w:rPr>
        <w:t xml:space="preserve">内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color w:val="000000"/>
          <w:sz w:val="30"/>
          <w:szCs w:val="32"/>
        </w:rPr>
        <w:t>竣工</w:t>
      </w:r>
      <w:r>
        <w:rPr>
          <w:rFonts w:hint="eastAsia" w:ascii="Times New Roman" w:hAnsi="Times New Roman" w:eastAsia="仿宋_GB2312"/>
          <w:color w:val="000000"/>
          <w:sz w:val="30"/>
          <w:szCs w:val="32"/>
        </w:rPr>
        <w:t>结算</w:t>
      </w:r>
      <w:r>
        <w:rPr>
          <w:rFonts w:ascii="Times New Roman" w:hAnsi="Times New Roman" w:eastAsia="仿宋_GB2312"/>
          <w:color w:val="000000"/>
          <w:sz w:val="30"/>
          <w:szCs w:val="32"/>
        </w:rPr>
        <w:t>申请单应包括的内容：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竣工图、</w:t>
      </w:r>
      <w:r>
        <w:rPr>
          <w:rFonts w:ascii="Times New Roman" w:hAnsi="Times New Roman" w:eastAsia="仿宋_GB2312"/>
          <w:color w:val="000000"/>
          <w:sz w:val="30"/>
          <w:szCs w:val="32"/>
          <w:u w:val="single"/>
        </w:rPr>
        <w:t>开</w:t>
      </w:r>
      <w:r>
        <w:rPr>
          <w:rFonts w:hint="eastAsia" w:ascii="Times New Roman" w:hAnsi="Times New Roman" w:eastAsia="仿宋_GB2312"/>
          <w:color w:val="000000"/>
          <w:sz w:val="30"/>
          <w:szCs w:val="32"/>
          <w:u w:val="single"/>
        </w:rPr>
        <w:t>工</w:t>
      </w:r>
      <w:r>
        <w:rPr>
          <w:rFonts w:ascii="Times New Roman" w:hAnsi="Times New Roman" w:eastAsia="仿宋_GB2312"/>
          <w:color w:val="000000"/>
          <w:sz w:val="30"/>
          <w:szCs w:val="32"/>
          <w:u w:val="single"/>
        </w:rPr>
        <w:t>及竣工报告</w:t>
      </w:r>
      <w:r>
        <w:rPr>
          <w:rFonts w:hint="eastAsia" w:ascii="Times New Roman" w:hAnsi="Times New Roman" w:eastAsia="仿宋_GB2312"/>
          <w:color w:val="000000"/>
          <w:sz w:val="30"/>
          <w:szCs w:val="32"/>
          <w:u w:val="single"/>
        </w:rPr>
        <w:t>、竣工</w:t>
      </w:r>
      <w:r>
        <w:rPr>
          <w:rFonts w:ascii="Times New Roman" w:hAnsi="Times New Roman" w:eastAsia="仿宋_GB2312"/>
          <w:color w:val="000000"/>
          <w:sz w:val="30"/>
          <w:szCs w:val="32"/>
          <w:u w:val="single"/>
        </w:rPr>
        <w:t xml:space="preserve">验收记录、结算书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14.2 竣工结算审核</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w:t>
      </w:r>
      <w:r>
        <w:rPr>
          <w:rFonts w:hint="eastAsia" w:ascii="Times New Roman" w:hAnsi="Times New Roman" w:eastAsia="仿宋_GB2312"/>
          <w:sz w:val="30"/>
          <w:szCs w:val="32"/>
        </w:rPr>
        <w:t>审批</w:t>
      </w:r>
      <w:r>
        <w:rPr>
          <w:rFonts w:ascii="Times New Roman" w:hAnsi="Times New Roman" w:eastAsia="仿宋_GB2312"/>
          <w:sz w:val="30"/>
          <w:szCs w:val="32"/>
        </w:rPr>
        <w:t>竣工付款申请单的期限：</w:t>
      </w:r>
      <w:r>
        <w:rPr>
          <w:rFonts w:hint="eastAsia" w:ascii="Times New Roman" w:hAnsi="Times New Roman" w:eastAsia="仿宋_GB2312"/>
          <w:color w:val="000000"/>
          <w:sz w:val="30"/>
          <w:szCs w:val="32"/>
          <w:u w:val="single"/>
        </w:rPr>
        <w:t>收到完整竣工</w:t>
      </w:r>
      <w:r>
        <w:rPr>
          <w:rFonts w:ascii="Times New Roman" w:hAnsi="Times New Roman" w:eastAsia="仿宋_GB2312"/>
          <w:color w:val="000000"/>
          <w:sz w:val="30"/>
          <w:szCs w:val="32"/>
          <w:u w:val="single"/>
        </w:rPr>
        <w:t>资料</w:t>
      </w:r>
      <w:r>
        <w:rPr>
          <w:rFonts w:hint="eastAsia" w:ascii="Times New Roman" w:hAnsi="Times New Roman" w:eastAsia="仿宋_GB2312"/>
          <w:color w:val="000000"/>
          <w:sz w:val="30"/>
          <w:szCs w:val="32"/>
          <w:u w:val="single"/>
        </w:rPr>
        <w:t>30天</w:t>
      </w:r>
      <w:r>
        <w:rPr>
          <w:rFonts w:ascii="Times New Roman" w:hAnsi="Times New Roman" w:eastAsia="仿宋_GB2312"/>
          <w:color w:val="000000"/>
          <w:sz w:val="30"/>
          <w:szCs w:val="32"/>
          <w:u w:val="single"/>
        </w:rPr>
        <w:t>内</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sz w:val="30"/>
          <w:szCs w:val="32"/>
        </w:rPr>
        <w:t>发包人完成竣工付款的期限：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完成审批7天内</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关于竣工付款证书异议部分复核的方式和程序：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14.4 最终结清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14.4.1 最终结清申请单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承包人提交最终结清申请单的份数：</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color w:val="000000"/>
          <w:kern w:val="0"/>
          <w:sz w:val="30"/>
          <w:szCs w:val="32"/>
        </w:rPr>
        <w:t>承包人提交最终结算申请单的期限：</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sz w:val="30"/>
          <w:szCs w:val="32"/>
        </w:rPr>
        <w:t>。</w:t>
      </w:r>
      <w:r>
        <w:rPr>
          <w:rFonts w:ascii="Times New Roman" w:hAnsi="Times New Roman" w:eastAsia="仿宋_GB2312"/>
          <w:sz w:val="30"/>
          <w:szCs w:val="32"/>
        </w:rPr>
        <w:t xml:space="preserve"> </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14.4.2 最终结清证书和支付</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（1）发包人完成最终结清申请单的</w:t>
      </w:r>
      <w:r>
        <w:rPr>
          <w:rFonts w:hint="eastAsia" w:ascii="Times New Roman" w:hAnsi="Times New Roman" w:eastAsia="仿宋_GB2312"/>
          <w:sz w:val="30"/>
          <w:szCs w:val="32"/>
        </w:rPr>
        <w:t>审批</w:t>
      </w:r>
      <w:r>
        <w:rPr>
          <w:rFonts w:ascii="Times New Roman" w:hAnsi="Times New Roman" w:eastAsia="仿宋_GB2312"/>
          <w:sz w:val="30"/>
          <w:szCs w:val="32"/>
        </w:rPr>
        <w:t>并颁发最终结清证书的期限：</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（2）发包人完成支付的期限：</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bookmarkEnd w:id="935"/>
    <w:bookmarkEnd w:id="936"/>
    <w:bookmarkEnd w:id="937"/>
    <w:bookmarkEnd w:id="938"/>
    <w:bookmarkEnd w:id="939"/>
    <w:bookmarkEnd w:id="940"/>
    <w:bookmarkEnd w:id="941"/>
    <w:bookmarkEnd w:id="947"/>
    <w:p>
      <w:pPr>
        <w:pStyle w:val="5"/>
        <w:spacing w:before="120" w:after="120" w:line="360" w:lineRule="auto"/>
        <w:rPr>
          <w:rFonts w:ascii="Times New Roman" w:hAnsi="Times New Roman" w:eastAsia="黑体"/>
          <w:b w:val="0"/>
          <w:color w:val="000000"/>
          <w:sz w:val="32"/>
          <w:szCs w:val="32"/>
        </w:rPr>
      </w:pPr>
      <w:bookmarkStart w:id="949" w:name="_Toc351203647"/>
      <w:bookmarkStart w:id="950" w:name="_Toc267251483"/>
      <w:bookmarkStart w:id="951" w:name="_Toc267251482"/>
      <w:bookmarkStart w:id="952" w:name="_Toc267251484"/>
      <w:bookmarkStart w:id="953" w:name="_Toc267251485"/>
      <w:bookmarkStart w:id="954" w:name="_Toc267251488"/>
      <w:bookmarkStart w:id="955" w:name="_Toc267251486"/>
      <w:bookmarkStart w:id="956" w:name="_Toc267251489"/>
      <w:bookmarkStart w:id="957" w:name="_Toc267251490"/>
      <w:bookmarkStart w:id="958" w:name="_Toc267251491"/>
      <w:bookmarkStart w:id="959" w:name="_Toc267251497"/>
      <w:bookmarkStart w:id="960" w:name="_Toc267251493"/>
      <w:bookmarkStart w:id="961" w:name="_Toc267251494"/>
      <w:bookmarkStart w:id="962" w:name="_Toc267251502"/>
      <w:bookmarkStart w:id="963" w:name="_Toc267251499"/>
      <w:bookmarkStart w:id="964" w:name="_Toc267251495"/>
      <w:bookmarkStart w:id="965" w:name="_Toc267251492"/>
      <w:bookmarkStart w:id="966" w:name="_Toc267251503"/>
      <w:bookmarkStart w:id="967" w:name="_Toc267251496"/>
      <w:bookmarkStart w:id="968" w:name="_Toc267251501"/>
      <w:bookmarkStart w:id="969" w:name="_Toc267251498"/>
      <w:bookmarkStart w:id="970" w:name="_Toc267251506"/>
      <w:bookmarkStart w:id="971" w:name="_Toc267251504"/>
      <w:bookmarkStart w:id="972" w:name="_Toc267251507"/>
      <w:bookmarkStart w:id="973" w:name="_Toc267251508"/>
      <w:bookmarkStart w:id="974" w:name="_Toc267251509"/>
      <w:bookmarkStart w:id="975" w:name="_Toc267251513"/>
      <w:bookmarkStart w:id="976" w:name="_Toc267251510"/>
      <w:bookmarkStart w:id="977" w:name="_Toc267251515"/>
      <w:bookmarkStart w:id="978" w:name="_Toc267251514"/>
      <w:bookmarkStart w:id="979" w:name="_Toc267251511"/>
      <w:r>
        <w:rPr>
          <w:rFonts w:ascii="Times New Roman" w:hAnsi="Times New Roman" w:eastAsia="黑体"/>
          <w:b w:val="0"/>
          <w:color w:val="000000"/>
          <w:sz w:val="32"/>
          <w:szCs w:val="32"/>
        </w:rPr>
        <w:t>15. 缺陷责任期与保修</w:t>
      </w:r>
      <w:bookmarkEnd w:id="949"/>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15.2缺陷责任期</w:t>
      </w:r>
      <w:bookmarkEnd w:id="950"/>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缺陷责任期的具体期限：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自竣工</w:t>
      </w:r>
      <w:r>
        <w:rPr>
          <w:rFonts w:ascii="Times New Roman" w:hAnsi="Times New Roman" w:eastAsia="仿宋_GB2312"/>
          <w:color w:val="000000"/>
          <w:sz w:val="30"/>
          <w:szCs w:val="32"/>
          <w:u w:val="single"/>
        </w:rPr>
        <w:t>验收日起</w:t>
      </w:r>
      <w:r>
        <w:rPr>
          <w:rFonts w:hint="eastAsia" w:ascii="Times New Roman" w:hAnsi="Times New Roman" w:eastAsia="仿宋_GB2312"/>
          <w:color w:val="000000"/>
          <w:sz w:val="30"/>
          <w:szCs w:val="32"/>
          <w:u w:val="single"/>
        </w:rPr>
        <w:t>2年</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15.3 质量保证金</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olor w:val="000000"/>
          <w:sz w:val="30"/>
          <w:szCs w:val="32"/>
        </w:rPr>
        <w:t>关于是否扣留质量保证金的约定：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结算</w:t>
      </w:r>
      <w:r>
        <w:rPr>
          <w:rFonts w:ascii="Times New Roman" w:hAnsi="Times New Roman" w:eastAsia="仿宋_GB2312"/>
          <w:color w:val="000000"/>
          <w:sz w:val="30"/>
          <w:szCs w:val="32"/>
          <w:u w:val="single"/>
        </w:rPr>
        <w:t>审批价格的</w:t>
      </w:r>
      <w:r>
        <w:rPr>
          <w:rFonts w:hint="eastAsia" w:ascii="Times New Roman" w:hAnsi="Times New Roman" w:eastAsia="仿宋_GB2312"/>
          <w:color w:val="000000"/>
          <w:sz w:val="30"/>
          <w:szCs w:val="32"/>
          <w:u w:val="single"/>
        </w:rPr>
        <w:t>1.5</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（银行</w:t>
      </w:r>
      <w:r>
        <w:rPr>
          <w:rFonts w:ascii="Times New Roman" w:hAnsi="Times New Roman" w:eastAsia="仿宋_GB2312"/>
          <w:color w:val="000000"/>
          <w:sz w:val="30"/>
          <w:szCs w:val="32"/>
          <w:u w:val="single"/>
        </w:rPr>
        <w:t>保函或现金</w:t>
      </w:r>
      <w:r>
        <w:rPr>
          <w:rFonts w:hint="eastAsia" w:ascii="Times New Roman" w:hAnsi="Times New Roman" w:eastAsia="仿宋_GB2312"/>
          <w:color w:val="000000"/>
          <w:sz w:val="30"/>
          <w:szCs w:val="32"/>
          <w:u w:val="single"/>
        </w:rPr>
        <w:t>），2年后根据保修期限约定退还相应保修金（无息）</w:t>
      </w:r>
      <w:r>
        <w:rPr>
          <w:rFonts w:ascii="Times New Roman" w:hAnsi="Times New Roman" w:eastAsia="仿宋_GB2312"/>
          <w:color w:val="000000"/>
          <w:sz w:val="30"/>
          <w:szCs w:val="32"/>
        </w:rPr>
        <w:t>。</w:t>
      </w:r>
      <w:r>
        <w:rPr>
          <w:rFonts w:hint="eastAsia" w:eastAsia="仿宋_GB2312"/>
          <w:color w:val="000000"/>
          <w:sz w:val="30"/>
          <w:szCs w:val="32"/>
        </w:rPr>
        <w:t>在工程项目竣工前，承包人按专用合同条款第3.7条提供履约担保的，发包人不得同时预留工程质量保证金。</w:t>
      </w:r>
    </w:p>
    <w:p>
      <w:pPr>
        <w:spacing w:line="360" w:lineRule="auto"/>
        <w:ind w:firstLine="600" w:firstLineChars="200"/>
        <w:jc w:val="left"/>
        <w:outlineLvl w:val="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15.3.1 </w:t>
      </w:r>
      <w:r>
        <w:rPr>
          <w:rFonts w:hint="eastAsia" w:ascii="Times New Roman" w:hAnsi="Times New Roman" w:eastAsia="仿宋_GB2312"/>
          <w:color w:val="000000"/>
          <w:sz w:val="30"/>
          <w:szCs w:val="32"/>
        </w:rPr>
        <w:t>承包人提供</w:t>
      </w:r>
      <w:r>
        <w:rPr>
          <w:rFonts w:ascii="Times New Roman" w:hAnsi="Times New Roman" w:eastAsia="仿宋_GB2312"/>
          <w:color w:val="000000"/>
          <w:sz w:val="30"/>
          <w:szCs w:val="32"/>
        </w:rPr>
        <w:t>质量保证金的</w:t>
      </w:r>
      <w:r>
        <w:rPr>
          <w:rFonts w:hint="eastAsia" w:ascii="Times New Roman" w:hAnsi="Times New Roman" w:eastAsia="仿宋_GB2312"/>
          <w:color w:val="000000"/>
          <w:sz w:val="30"/>
          <w:szCs w:val="32"/>
        </w:rPr>
        <w:t>方</w:t>
      </w:r>
      <w:r>
        <w:rPr>
          <w:rFonts w:ascii="Times New Roman" w:hAnsi="Times New Roman" w:eastAsia="仿宋_GB2312"/>
          <w:color w:val="000000"/>
          <w:sz w:val="30"/>
          <w:szCs w:val="32"/>
        </w:rPr>
        <w:t>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质量保证金采用以下第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1</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（1）质量保证金保函，保证金额为：</w:t>
      </w:r>
      <w:r>
        <w:rPr>
          <w:rFonts w:hint="eastAsia" w:ascii="Times New Roman" w:hAnsi="Times New Roman" w:eastAsia="仿宋_GB2312"/>
          <w:color w:val="000000"/>
          <w:sz w:val="30"/>
          <w:szCs w:val="32"/>
          <w:u w:val="single"/>
        </w:rPr>
        <w:t>结算</w:t>
      </w:r>
      <w:r>
        <w:rPr>
          <w:rFonts w:ascii="Times New Roman" w:hAnsi="Times New Roman" w:eastAsia="仿宋_GB2312"/>
          <w:color w:val="000000"/>
          <w:sz w:val="30"/>
          <w:szCs w:val="32"/>
          <w:u w:val="single"/>
        </w:rPr>
        <w:t>审批价格的</w:t>
      </w:r>
      <w:r>
        <w:rPr>
          <w:rFonts w:hint="eastAsia" w:ascii="Times New Roman" w:hAnsi="Times New Roman" w:eastAsia="仿宋_GB2312"/>
          <w:color w:val="000000"/>
          <w:sz w:val="30"/>
          <w:szCs w:val="32"/>
          <w:u w:val="single"/>
        </w:rPr>
        <w:t>1.5</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%的工程款；</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jc w:val="left"/>
        <w:outlineLvl w:val="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15.3.2 质量保证金的扣留 </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质量保证金的扣留采取以下第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（2）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（2）工程竣工结算时一次性扣留质量保证金；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（3）其他扣留方式:</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关于质量保证金的补充约定：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bookmarkEnd w:id="951"/>
    <w:bookmarkEnd w:id="952"/>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15.4保修</w:t>
      </w:r>
    </w:p>
    <w:bookmarkEnd w:id="953"/>
    <w:p>
      <w:pPr>
        <w:spacing w:line="360" w:lineRule="auto"/>
        <w:ind w:firstLine="585" w:firstLineChars="195"/>
        <w:jc w:val="left"/>
        <w:rPr>
          <w:rFonts w:ascii="Times New Roman" w:hAnsi="Times New Roman" w:eastAsia="仿宋_GB2312"/>
          <w:color w:val="000000"/>
          <w:sz w:val="30"/>
          <w:szCs w:val="32"/>
        </w:rPr>
      </w:pPr>
      <w:r>
        <w:rPr>
          <w:rFonts w:ascii="Times New Roman" w:hAnsi="Times New Roman" w:eastAsia="仿宋_GB2312"/>
          <w:color w:val="000000"/>
          <w:sz w:val="30"/>
          <w:szCs w:val="32"/>
        </w:rPr>
        <w:t>15.4.1 保修责任</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工程保修期为：</w:t>
      </w:r>
      <w:r>
        <w:rPr>
          <w:rFonts w:ascii="Times New Roman" w:hAnsi="Times New Roman" w:eastAsia="仿宋_GB2312"/>
          <w:color w:val="000000"/>
          <w:kern w:val="0"/>
          <w:sz w:val="30"/>
          <w:szCs w:val="32"/>
          <w:u w:val="single"/>
        </w:rPr>
        <w:t xml:space="preserve">  2</w:t>
      </w:r>
      <w:r>
        <w:rPr>
          <w:rFonts w:hint="eastAsia" w:ascii="Times New Roman" w:hAnsi="Times New Roman" w:eastAsia="仿宋_GB2312"/>
          <w:color w:val="000000"/>
          <w:kern w:val="0"/>
          <w:sz w:val="30"/>
          <w:szCs w:val="32"/>
          <w:u w:val="single"/>
        </w:rPr>
        <w:t>年</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585" w:firstLineChars="195"/>
        <w:jc w:val="left"/>
        <w:rPr>
          <w:rFonts w:ascii="Times New Roman" w:hAnsi="Times New Roman" w:eastAsia="仿宋_GB2312"/>
          <w:color w:val="000000"/>
          <w:sz w:val="30"/>
          <w:szCs w:val="32"/>
        </w:rPr>
      </w:pPr>
      <w:r>
        <w:rPr>
          <w:rFonts w:ascii="Times New Roman" w:hAnsi="Times New Roman" w:eastAsia="仿宋_GB2312"/>
          <w:color w:val="000000"/>
          <w:sz w:val="30"/>
          <w:szCs w:val="32"/>
        </w:rPr>
        <w:t>15.4.3 修复通知</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承包人收到保修通知并到达工程现场的合理时间：</w:t>
      </w:r>
      <w:r>
        <w:rPr>
          <w:rFonts w:ascii="Times New Roman" w:hAnsi="Times New Roman" w:eastAsia="仿宋_GB2312"/>
          <w:color w:val="000000"/>
          <w:kern w:val="0"/>
          <w:sz w:val="30"/>
          <w:szCs w:val="32"/>
          <w:u w:val="single"/>
        </w:rPr>
        <w:t xml:space="preserve"> 72</w:t>
      </w:r>
      <w:r>
        <w:rPr>
          <w:rFonts w:hint="eastAsia" w:ascii="Times New Roman" w:hAnsi="Times New Roman" w:eastAsia="仿宋_GB2312"/>
          <w:color w:val="000000"/>
          <w:kern w:val="0"/>
          <w:sz w:val="30"/>
          <w:szCs w:val="32"/>
          <w:u w:val="single"/>
        </w:rPr>
        <w:t>小时</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bookmarkEnd w:id="954"/>
    <w:bookmarkEnd w:id="955"/>
    <w:bookmarkEnd w:id="956"/>
    <w:bookmarkEnd w:id="957"/>
    <w:p>
      <w:pPr>
        <w:pStyle w:val="5"/>
        <w:spacing w:before="120" w:after="120" w:line="360" w:lineRule="auto"/>
        <w:rPr>
          <w:rFonts w:ascii="Times New Roman" w:hAnsi="Times New Roman" w:eastAsia="黑体"/>
          <w:b w:val="0"/>
          <w:color w:val="000000"/>
          <w:sz w:val="32"/>
          <w:szCs w:val="32"/>
        </w:rPr>
      </w:pPr>
      <w:bookmarkStart w:id="980" w:name="_Toc351203648"/>
      <w:bookmarkStart w:id="981" w:name="_Toc280868717"/>
      <w:bookmarkStart w:id="982" w:name="_Toc280868718"/>
      <w:r>
        <w:rPr>
          <w:rFonts w:ascii="Times New Roman" w:hAnsi="Times New Roman" w:eastAsia="黑体"/>
          <w:b w:val="0"/>
          <w:color w:val="000000"/>
          <w:sz w:val="32"/>
          <w:szCs w:val="32"/>
        </w:rPr>
        <w:t>16. 违约</w:t>
      </w:r>
      <w:bookmarkEnd w:id="980"/>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16.1 发包人违约</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16.1.1发包人违约的情形</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发包人违约的其他情形：</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left="1500" w:hanging="1500" w:hangingChars="5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16.1.2 发包人违约的责任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发包人违约责任的承担方式和计算方法：</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（1）因发包人原因未能在计划开工日期前7天内下达开工通知的违约责任：</w:t>
      </w:r>
      <w:r>
        <w:rPr>
          <w:rFonts w:ascii="Times New Roman" w:hAnsi="Times New Roman" w:eastAsia="仿宋_GB2312"/>
          <w:color w:val="000000"/>
          <w:kern w:val="0"/>
          <w:sz w:val="30"/>
          <w:szCs w:val="32"/>
          <w:u w:val="single"/>
        </w:rPr>
        <w:t xml:space="preserve">  /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（2）因发包人原因未能按合同约定支付合同价款的违约责任：</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（3）发包人违反第10.1款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变更的范围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第（2）项约定，自行实施被取消的工作或转由他人实施的违约责任：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（5）因发包人违反合同约定造成暂停施工的违约责任：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（6）发包人无正当理由没有在约定期限内发出复工指示，导致承包人无法复工的违约责任：</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w:t>
      </w:r>
      <w:r>
        <w:rPr>
          <w:rFonts w:hint="eastAsia" w:ascii="Times New Roman" w:hAnsi="Times New Roman" w:eastAsia="仿宋_GB2312"/>
          <w:color w:val="000000"/>
          <w:kern w:val="0"/>
          <w:sz w:val="30"/>
          <w:szCs w:val="32"/>
        </w:rPr>
        <w:t>其他：</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16.1.3 因发包人违约解除合同</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约定暂停施工满</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天后发包人仍不纠正其违约行为并致使合同目的不能实现的，承包人有权解除合同。</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16.2 承包人违约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16.2.1 承包人违约的情形</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承包人违约的其他情形：</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16.2.2承包人违约的责任</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承包人违约责任的承担方式和计算方法：</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16.2.3 因承包人违约解除合同</w:t>
      </w:r>
    </w:p>
    <w:p>
      <w:pPr>
        <w:spacing w:before="120" w:after="120"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关于承包人违约解除合同的特别约定：</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before="120" w:after="120"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继续</w:t>
      </w:r>
      <w:r>
        <w:rPr>
          <w:rFonts w:ascii="Times New Roman" w:hAnsi="Times New Roman" w:eastAsia="仿宋_GB2312"/>
          <w:color w:val="000000"/>
          <w:kern w:val="0"/>
          <w:sz w:val="30"/>
          <w:szCs w:val="32"/>
        </w:rPr>
        <w:t>使用承包人在施工现场的材料、设备、临时工程、承包人文件和由承包人或以其名义编制的其他文件</w:t>
      </w:r>
      <w:r>
        <w:rPr>
          <w:rFonts w:hint="eastAsia" w:ascii="Times New Roman" w:hAnsi="Times New Roman" w:eastAsia="仿宋_GB2312"/>
          <w:color w:val="000000"/>
          <w:kern w:val="0"/>
          <w:sz w:val="30"/>
          <w:szCs w:val="32"/>
        </w:rPr>
        <w:t>的费用承担方式</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由</w:t>
      </w:r>
      <w:r>
        <w:rPr>
          <w:rFonts w:ascii="Times New Roman" w:hAnsi="Times New Roman" w:eastAsia="仿宋_GB2312"/>
          <w:color w:val="000000"/>
          <w:kern w:val="0"/>
          <w:sz w:val="30"/>
          <w:szCs w:val="32"/>
          <w:u w:val="single"/>
        </w:rPr>
        <w:t xml:space="preserve">承包人承担  </w:t>
      </w:r>
      <w:r>
        <w:rPr>
          <w:rFonts w:hint="eastAsia" w:ascii="Times New Roman" w:hAnsi="Times New Roman"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bookmarkStart w:id="983" w:name="_Toc351203649"/>
      <w:r>
        <w:rPr>
          <w:rFonts w:ascii="Times New Roman" w:hAnsi="Times New Roman" w:eastAsia="黑体"/>
          <w:b w:val="0"/>
          <w:color w:val="000000"/>
          <w:sz w:val="32"/>
          <w:szCs w:val="32"/>
        </w:rPr>
        <w:t>17. 不可抗力</w:t>
      </w:r>
      <w:bookmarkEnd w:id="983"/>
      <w:r>
        <w:rPr>
          <w:rFonts w:ascii="Times New Roman" w:hAnsi="Times New Roman" w:eastAsia="黑体"/>
          <w:b w:val="0"/>
          <w:color w:val="000000"/>
          <w:sz w:val="32"/>
          <w:szCs w:val="32"/>
        </w:rPr>
        <w:t xml:space="preserve"> </w:t>
      </w:r>
      <w:bookmarkEnd w:id="981"/>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17.1 不可抗力的确认</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sz w:val="30"/>
          <w:szCs w:val="32"/>
        </w:rPr>
        <w:t xml:space="preserve">除通用合同条款约定的不可抗力事件之外，视为不可抗力的其他情形： </w:t>
      </w:r>
      <w:r>
        <w:rPr>
          <w:rFonts w:ascii="Times New Roman" w:hAnsi="Times New Roman" w:eastAsia="仿宋_GB2312"/>
          <w:color w:val="000000"/>
          <w:kern w:val="0"/>
          <w:sz w:val="30"/>
          <w:szCs w:val="32"/>
          <w:u w:val="single"/>
        </w:rPr>
        <w:t xml:space="preserve">   /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17.4 因不可抗力解除合同</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合同解除后，发包人应在商定或确定发包人应支付款项后</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天内完成款项的支付。</w:t>
      </w:r>
    </w:p>
    <w:p>
      <w:pPr>
        <w:pStyle w:val="5"/>
        <w:spacing w:before="120" w:after="120" w:line="360" w:lineRule="auto"/>
        <w:rPr>
          <w:rFonts w:ascii="Times New Roman" w:hAnsi="Times New Roman" w:eastAsia="黑体"/>
          <w:b w:val="0"/>
          <w:color w:val="000000"/>
          <w:sz w:val="32"/>
          <w:szCs w:val="32"/>
        </w:rPr>
      </w:pPr>
      <w:bookmarkStart w:id="984" w:name="_Toc351203650"/>
      <w:r>
        <w:rPr>
          <w:rFonts w:ascii="Times New Roman" w:hAnsi="Times New Roman" w:eastAsia="黑体"/>
          <w:b w:val="0"/>
          <w:color w:val="000000"/>
          <w:sz w:val="32"/>
          <w:szCs w:val="32"/>
        </w:rPr>
        <w:t>18. 保险</w:t>
      </w:r>
      <w:bookmarkEnd w:id="984"/>
    </w:p>
    <w:bookmarkEnd w:id="982"/>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18.1 工程保险</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关于工程保险的特别约定：</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18.3 其他保险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关于其他保险的约定：</w:t>
      </w:r>
      <w:r>
        <w:rPr>
          <w:rFonts w:ascii="Times New Roman" w:hAnsi="Times New Roman" w:eastAsia="仿宋_GB2312"/>
          <w:color w:val="000000"/>
          <w:kern w:val="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承包人是否应为其施工设备等办理财产保险：</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18.7 通知义务</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关于变更保险合同时的通知义务的约定：</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bookmarkEnd w:id="958"/>
    <w:bookmarkEnd w:id="959"/>
    <w:bookmarkEnd w:id="960"/>
    <w:bookmarkEnd w:id="961"/>
    <w:bookmarkEnd w:id="962"/>
    <w:bookmarkEnd w:id="963"/>
    <w:bookmarkEnd w:id="964"/>
    <w:bookmarkEnd w:id="965"/>
    <w:bookmarkEnd w:id="966"/>
    <w:bookmarkEnd w:id="967"/>
    <w:bookmarkEnd w:id="968"/>
    <w:bookmarkEnd w:id="969"/>
    <w:p>
      <w:pPr>
        <w:pStyle w:val="5"/>
        <w:spacing w:before="120" w:after="120" w:line="360" w:lineRule="auto"/>
        <w:rPr>
          <w:rFonts w:ascii="Times New Roman" w:hAnsi="Times New Roman" w:eastAsia="黑体"/>
          <w:b w:val="0"/>
          <w:color w:val="000000"/>
          <w:sz w:val="32"/>
          <w:szCs w:val="32"/>
        </w:rPr>
      </w:pPr>
      <w:bookmarkStart w:id="985" w:name="_Toc351203651"/>
      <w:r>
        <w:rPr>
          <w:rFonts w:ascii="Times New Roman" w:hAnsi="Times New Roman" w:eastAsia="黑体"/>
          <w:b w:val="0"/>
          <w:color w:val="000000"/>
          <w:sz w:val="32"/>
          <w:szCs w:val="32"/>
        </w:rPr>
        <w:t>20. 争议解决</w:t>
      </w:r>
      <w:bookmarkEnd w:id="985"/>
    </w:p>
    <w:bookmarkEnd w:id="970"/>
    <w:bookmarkEnd w:id="971"/>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20.3 争</w:t>
      </w:r>
      <w:bookmarkEnd w:id="972"/>
      <w:r>
        <w:rPr>
          <w:rFonts w:ascii="Times New Roman" w:hAnsi="Times New Roman" w:eastAsia="黑体"/>
          <w:color w:val="000000"/>
          <w:sz w:val="30"/>
          <w:szCs w:val="32"/>
        </w:rPr>
        <w:t>议评审</w:t>
      </w:r>
    </w:p>
    <w:p>
      <w:pPr>
        <w:spacing w:line="360" w:lineRule="auto"/>
        <w:ind w:left="149" w:leftChars="71" w:firstLine="450" w:firstLineChars="15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合同当事人是否同意将工程争议提交争议评审小组决</w:t>
      </w:r>
      <w:r>
        <w:rPr>
          <w:rFonts w:hint="eastAsia" w:ascii="Times New Roman" w:hAnsi="Times New Roman" w:eastAsia="仿宋_GB2312"/>
          <w:color w:val="000000"/>
          <w:sz w:val="30"/>
          <w:szCs w:val="32"/>
        </w:rPr>
        <w:t>定：</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p>
    <w:p>
      <w:pPr>
        <w:spacing w:line="360" w:lineRule="auto"/>
        <w:ind w:firstLine="600" w:firstLineChars="200"/>
        <w:jc w:val="left"/>
        <w:outlineLvl w:val="0"/>
        <w:rPr>
          <w:rFonts w:ascii="Times New Roman" w:hAnsi="Times New Roman" w:eastAsia="仿宋_GB2312"/>
          <w:color w:val="000000"/>
          <w:sz w:val="30"/>
          <w:szCs w:val="32"/>
        </w:rPr>
      </w:pPr>
      <w:r>
        <w:rPr>
          <w:rFonts w:ascii="Times New Roman" w:hAnsi="Times New Roman" w:eastAsia="仿宋_GB2312"/>
          <w:color w:val="000000"/>
          <w:sz w:val="30"/>
          <w:szCs w:val="32"/>
        </w:rPr>
        <w:t>20.3.1 争议评审小组的确定</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争议评审小组成员的确定：</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选定争议评审员的期限：</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争议评审小组成员的报酬承担方式：</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其他事项的约定：</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20.3.2 争议评审小组的决定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合同当事人关于本项的约定：</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after="120" w:line="360" w:lineRule="auto"/>
        <w:ind w:firstLine="600" w:firstLineChars="200"/>
        <w:outlineLvl w:val="0"/>
        <w:rPr>
          <w:rFonts w:hint="eastAsia" w:ascii="Times New Roman" w:hAnsi="Times New Roman" w:eastAsia="黑体"/>
          <w:color w:val="000000"/>
          <w:sz w:val="30"/>
          <w:szCs w:val="32"/>
        </w:rPr>
      </w:pPr>
      <w:r>
        <w:rPr>
          <w:rFonts w:ascii="Times New Roman" w:hAnsi="Times New Roman" w:eastAsia="黑体"/>
          <w:color w:val="000000"/>
          <w:sz w:val="30"/>
          <w:szCs w:val="32"/>
        </w:rPr>
        <w:t>20.4仲裁或诉讼</w:t>
      </w:r>
      <w:bookmarkEnd w:id="973"/>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u w:val="single"/>
        </w:rPr>
        <w:t>1</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杭州</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人民法院起诉。</w:t>
      </w:r>
      <w:bookmarkEnd w:id="974"/>
      <w:bookmarkEnd w:id="975"/>
      <w:bookmarkEnd w:id="976"/>
      <w:bookmarkEnd w:id="977"/>
      <w:bookmarkEnd w:id="978"/>
      <w:bookmarkEnd w:id="979"/>
    </w:p>
    <w:p>
      <w:pPr>
        <w:spacing w:line="360" w:lineRule="auto"/>
        <w:jc w:val="left"/>
        <w:rPr>
          <w:rFonts w:ascii="Times New Roman" w:hAnsi="Times New Roman" w:eastAsia="黑体"/>
          <w:b/>
          <w:color w:val="000000"/>
          <w:sz w:val="32"/>
          <w:szCs w:val="32"/>
        </w:rPr>
      </w:pPr>
      <w:r>
        <w:rPr>
          <w:rFonts w:ascii="Times New Roman" w:hAnsi="Times New Roman" w:eastAsia="仿宋_GB2312"/>
          <w:color w:val="000000"/>
          <w:sz w:val="30"/>
          <w:szCs w:val="32"/>
        </w:rPr>
        <w:br w:type="page"/>
      </w:r>
      <w:bookmarkStart w:id="986" w:name="_Toc351203652"/>
      <w:r>
        <w:rPr>
          <w:rFonts w:ascii="Times New Roman" w:hAnsi="Times New Roman" w:eastAsia="黑体"/>
          <w:b/>
          <w:color w:val="000000"/>
          <w:sz w:val="32"/>
          <w:szCs w:val="32"/>
        </w:rPr>
        <w:t>附件</w:t>
      </w:r>
      <w:bookmarkEnd w:id="986"/>
    </w:p>
    <w:p>
      <w:pPr>
        <w:spacing w:line="360" w:lineRule="auto"/>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协议书附件：</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附件1：承包人承揽工程项目一览表</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专用合同条款附件：</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附件2：发包人供应材料设备一览表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附件3：工程质量保修书</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附件4：主要建设工程文件目录</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附件5：承包人用于本工程施工的机械设备表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附件6：承包人主要施工管理人员表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附件7：分包人主要施工管理人员表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附件8：履约担保格式</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附件9：预付款担保格式</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附件10：支付担保格式</w:t>
      </w:r>
    </w:p>
    <w:p>
      <w:pPr>
        <w:spacing w:line="360" w:lineRule="auto"/>
        <w:jc w:val="left"/>
        <w:rPr>
          <w:rFonts w:ascii="Times New Roman" w:hAnsi="Times New Roman" w:eastAsia="黑体"/>
          <w:color w:val="000000"/>
          <w:sz w:val="30"/>
          <w:szCs w:val="30"/>
        </w:rPr>
        <w:sectPr>
          <w:pgSz w:w="11906" w:h="16838"/>
          <w:pgMar w:top="1418" w:right="1555" w:bottom="1418" w:left="1531" w:header="851" w:footer="992" w:gutter="0"/>
          <w:pgNumType w:fmt="decimal" w:start="1"/>
          <w:cols w:space="720" w:num="1"/>
          <w:titlePg/>
          <w:docGrid w:type="lines" w:linePitch="312" w:charSpace="0"/>
        </w:sectPr>
      </w:pPr>
      <w:r>
        <w:rPr>
          <w:rFonts w:ascii="Times New Roman" w:hAnsi="Times New Roman" w:eastAsia="仿宋_GB2312"/>
          <w:color w:val="000000"/>
          <w:sz w:val="30"/>
          <w:szCs w:val="32"/>
        </w:rPr>
        <w:t>附件11：暂估价一览表</w:t>
      </w:r>
    </w:p>
    <w:p>
      <w:pPr>
        <w:spacing w:before="156" w:beforeLines="50" w:after="156" w:afterLines="50" w:line="440" w:lineRule="exact"/>
        <w:jc w:val="lef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附件1：</w:t>
      </w:r>
    </w:p>
    <w:p>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承包人承揽工程项目一览表</w:t>
      </w:r>
    </w:p>
    <w:tbl>
      <w:tblPr>
        <w:tblStyle w:val="2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单位工程名称</w:t>
            </w:r>
          </w:p>
        </w:tc>
        <w:tc>
          <w:tcPr>
            <w:tcW w:w="1843"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建设规模</w:t>
            </w:r>
          </w:p>
        </w:tc>
        <w:tc>
          <w:tcPr>
            <w:tcW w:w="1417"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建筑面积(平方米)</w:t>
            </w:r>
          </w:p>
        </w:tc>
        <w:tc>
          <w:tcPr>
            <w:tcW w:w="241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结构</w:t>
            </w:r>
            <w:r>
              <w:rPr>
                <w:rFonts w:hint="eastAsia" w:eastAsia="仿宋_GB2312"/>
                <w:color w:val="000000"/>
                <w:kern w:val="2"/>
                <w:sz w:val="28"/>
                <w:szCs w:val="30"/>
              </w:rPr>
              <w:t>形式</w:t>
            </w:r>
          </w:p>
        </w:tc>
        <w:tc>
          <w:tcPr>
            <w:tcW w:w="85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层数</w:t>
            </w:r>
          </w:p>
        </w:tc>
        <w:tc>
          <w:tcPr>
            <w:tcW w:w="156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2126"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设备安装内容</w:t>
            </w:r>
          </w:p>
        </w:tc>
        <w:tc>
          <w:tcPr>
            <w:tcW w:w="1417"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合同价格（元）</w:t>
            </w:r>
          </w:p>
        </w:tc>
        <w:tc>
          <w:tcPr>
            <w:tcW w:w="851"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开工日期</w:t>
            </w:r>
          </w:p>
        </w:tc>
        <w:tc>
          <w:tcPr>
            <w:tcW w:w="85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843"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241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56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2126"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3"/>
              <w:keepNext/>
              <w:spacing w:after="0" w:line="440" w:lineRule="exact"/>
              <w:ind w:left="63" w:right="63"/>
              <w:rPr>
                <w:rFonts w:eastAsia="仿宋_GB2312"/>
                <w:color w:val="000000"/>
                <w:kern w:val="2"/>
                <w:sz w:val="30"/>
                <w:szCs w:val="30"/>
              </w:rPr>
            </w:pPr>
          </w:p>
        </w:tc>
        <w:tc>
          <w:tcPr>
            <w:tcW w:w="1843" w:type="dxa"/>
            <w:noWrap w:val="0"/>
            <w:vAlign w:val="center"/>
          </w:tcPr>
          <w:p>
            <w:pPr>
              <w:pStyle w:val="13"/>
              <w:keepNext/>
              <w:spacing w:after="0" w:line="440" w:lineRule="exact"/>
              <w:ind w:left="63" w:right="63"/>
              <w:rPr>
                <w:rFonts w:eastAsia="仿宋_GB2312"/>
                <w:color w:val="000000"/>
                <w:kern w:val="2"/>
                <w:sz w:val="30"/>
                <w:szCs w:val="30"/>
              </w:rPr>
            </w:pPr>
          </w:p>
        </w:tc>
        <w:tc>
          <w:tcPr>
            <w:tcW w:w="1417" w:type="dxa"/>
            <w:noWrap w:val="0"/>
            <w:vAlign w:val="center"/>
          </w:tcPr>
          <w:p>
            <w:pPr>
              <w:pStyle w:val="13"/>
              <w:keepNext/>
              <w:spacing w:after="0" w:line="440" w:lineRule="exact"/>
              <w:ind w:left="63" w:right="63"/>
              <w:rPr>
                <w:rFonts w:eastAsia="仿宋_GB2312"/>
                <w:color w:val="000000"/>
                <w:kern w:val="2"/>
                <w:sz w:val="30"/>
                <w:szCs w:val="30"/>
              </w:rPr>
            </w:pPr>
          </w:p>
        </w:tc>
        <w:tc>
          <w:tcPr>
            <w:tcW w:w="2410"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c>
          <w:tcPr>
            <w:tcW w:w="1560" w:type="dxa"/>
            <w:noWrap w:val="0"/>
            <w:vAlign w:val="center"/>
          </w:tcPr>
          <w:p>
            <w:pPr>
              <w:pStyle w:val="13"/>
              <w:keepNext/>
              <w:spacing w:after="0" w:line="440" w:lineRule="exact"/>
              <w:ind w:left="63" w:right="63"/>
              <w:rPr>
                <w:rFonts w:eastAsia="仿宋_GB2312"/>
                <w:color w:val="000000"/>
                <w:kern w:val="2"/>
                <w:sz w:val="30"/>
                <w:szCs w:val="30"/>
              </w:rPr>
            </w:pPr>
          </w:p>
        </w:tc>
        <w:tc>
          <w:tcPr>
            <w:tcW w:w="2126" w:type="dxa"/>
            <w:noWrap w:val="0"/>
            <w:vAlign w:val="center"/>
          </w:tcPr>
          <w:p>
            <w:pPr>
              <w:pStyle w:val="13"/>
              <w:keepNext/>
              <w:spacing w:after="0" w:line="440" w:lineRule="exact"/>
              <w:ind w:left="63" w:right="63"/>
              <w:rPr>
                <w:rFonts w:eastAsia="仿宋_GB2312"/>
                <w:color w:val="000000"/>
                <w:kern w:val="2"/>
                <w:sz w:val="30"/>
                <w:szCs w:val="30"/>
              </w:rPr>
            </w:pPr>
          </w:p>
        </w:tc>
        <w:tc>
          <w:tcPr>
            <w:tcW w:w="1417"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3"/>
              <w:keepNext/>
              <w:spacing w:after="0" w:line="440" w:lineRule="exact"/>
              <w:ind w:left="63" w:right="63"/>
              <w:rPr>
                <w:rFonts w:eastAsia="仿宋_GB2312"/>
                <w:color w:val="000000"/>
                <w:kern w:val="2"/>
                <w:sz w:val="30"/>
                <w:szCs w:val="30"/>
              </w:rPr>
            </w:pPr>
          </w:p>
        </w:tc>
        <w:tc>
          <w:tcPr>
            <w:tcW w:w="1843" w:type="dxa"/>
            <w:noWrap w:val="0"/>
            <w:vAlign w:val="center"/>
          </w:tcPr>
          <w:p>
            <w:pPr>
              <w:pStyle w:val="13"/>
              <w:keepNext/>
              <w:spacing w:after="0" w:line="440" w:lineRule="exact"/>
              <w:ind w:left="63" w:right="63"/>
              <w:rPr>
                <w:rFonts w:eastAsia="仿宋_GB2312"/>
                <w:color w:val="000000"/>
                <w:kern w:val="2"/>
                <w:sz w:val="30"/>
                <w:szCs w:val="30"/>
              </w:rPr>
            </w:pPr>
          </w:p>
        </w:tc>
        <w:tc>
          <w:tcPr>
            <w:tcW w:w="1417" w:type="dxa"/>
            <w:noWrap w:val="0"/>
            <w:vAlign w:val="center"/>
          </w:tcPr>
          <w:p>
            <w:pPr>
              <w:pStyle w:val="13"/>
              <w:keepNext/>
              <w:spacing w:after="0" w:line="440" w:lineRule="exact"/>
              <w:ind w:left="63" w:right="63"/>
              <w:rPr>
                <w:rFonts w:eastAsia="仿宋_GB2312"/>
                <w:color w:val="000000"/>
                <w:kern w:val="2"/>
                <w:sz w:val="30"/>
                <w:szCs w:val="30"/>
              </w:rPr>
            </w:pPr>
          </w:p>
        </w:tc>
        <w:tc>
          <w:tcPr>
            <w:tcW w:w="2410"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c>
          <w:tcPr>
            <w:tcW w:w="1560" w:type="dxa"/>
            <w:noWrap w:val="0"/>
            <w:vAlign w:val="center"/>
          </w:tcPr>
          <w:p>
            <w:pPr>
              <w:pStyle w:val="13"/>
              <w:keepNext/>
              <w:spacing w:after="0" w:line="440" w:lineRule="exact"/>
              <w:ind w:left="63" w:right="63"/>
              <w:rPr>
                <w:rFonts w:eastAsia="仿宋_GB2312"/>
                <w:color w:val="000000"/>
                <w:kern w:val="2"/>
                <w:sz w:val="30"/>
                <w:szCs w:val="30"/>
              </w:rPr>
            </w:pPr>
          </w:p>
        </w:tc>
        <w:tc>
          <w:tcPr>
            <w:tcW w:w="2126" w:type="dxa"/>
            <w:noWrap w:val="0"/>
            <w:vAlign w:val="center"/>
          </w:tcPr>
          <w:p>
            <w:pPr>
              <w:pStyle w:val="13"/>
              <w:keepNext/>
              <w:spacing w:after="0" w:line="440" w:lineRule="exact"/>
              <w:ind w:left="63" w:right="63"/>
              <w:rPr>
                <w:rFonts w:eastAsia="仿宋_GB2312"/>
                <w:color w:val="000000"/>
                <w:kern w:val="2"/>
                <w:sz w:val="30"/>
                <w:szCs w:val="30"/>
              </w:rPr>
            </w:pPr>
          </w:p>
        </w:tc>
        <w:tc>
          <w:tcPr>
            <w:tcW w:w="1417"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3"/>
              <w:keepNext/>
              <w:spacing w:after="0" w:line="440" w:lineRule="exact"/>
              <w:ind w:left="63" w:right="63"/>
              <w:rPr>
                <w:rFonts w:eastAsia="仿宋_GB2312"/>
                <w:color w:val="000000"/>
                <w:kern w:val="2"/>
                <w:sz w:val="30"/>
                <w:szCs w:val="30"/>
              </w:rPr>
            </w:pPr>
          </w:p>
        </w:tc>
        <w:tc>
          <w:tcPr>
            <w:tcW w:w="1843" w:type="dxa"/>
            <w:noWrap w:val="0"/>
            <w:vAlign w:val="center"/>
          </w:tcPr>
          <w:p>
            <w:pPr>
              <w:pStyle w:val="13"/>
              <w:keepNext/>
              <w:spacing w:after="0" w:line="440" w:lineRule="exact"/>
              <w:ind w:left="63" w:right="63"/>
              <w:rPr>
                <w:rFonts w:eastAsia="仿宋_GB2312"/>
                <w:color w:val="000000"/>
                <w:kern w:val="2"/>
                <w:sz w:val="30"/>
                <w:szCs w:val="30"/>
              </w:rPr>
            </w:pPr>
          </w:p>
        </w:tc>
        <w:tc>
          <w:tcPr>
            <w:tcW w:w="1417" w:type="dxa"/>
            <w:noWrap w:val="0"/>
            <w:vAlign w:val="center"/>
          </w:tcPr>
          <w:p>
            <w:pPr>
              <w:pStyle w:val="13"/>
              <w:keepNext/>
              <w:spacing w:after="0" w:line="440" w:lineRule="exact"/>
              <w:ind w:left="63" w:right="63"/>
              <w:rPr>
                <w:rFonts w:eastAsia="仿宋_GB2312"/>
                <w:color w:val="000000"/>
                <w:kern w:val="2"/>
                <w:sz w:val="30"/>
                <w:szCs w:val="30"/>
              </w:rPr>
            </w:pPr>
          </w:p>
        </w:tc>
        <w:tc>
          <w:tcPr>
            <w:tcW w:w="2410"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c>
          <w:tcPr>
            <w:tcW w:w="1560" w:type="dxa"/>
            <w:noWrap w:val="0"/>
            <w:vAlign w:val="center"/>
          </w:tcPr>
          <w:p>
            <w:pPr>
              <w:pStyle w:val="13"/>
              <w:keepNext/>
              <w:spacing w:after="0" w:line="440" w:lineRule="exact"/>
              <w:ind w:left="63" w:right="63"/>
              <w:rPr>
                <w:rFonts w:eastAsia="仿宋_GB2312"/>
                <w:color w:val="000000"/>
                <w:kern w:val="2"/>
                <w:sz w:val="30"/>
                <w:szCs w:val="30"/>
              </w:rPr>
            </w:pPr>
          </w:p>
        </w:tc>
        <w:tc>
          <w:tcPr>
            <w:tcW w:w="2126" w:type="dxa"/>
            <w:noWrap w:val="0"/>
            <w:vAlign w:val="center"/>
          </w:tcPr>
          <w:p>
            <w:pPr>
              <w:pStyle w:val="13"/>
              <w:keepNext/>
              <w:spacing w:after="0" w:line="440" w:lineRule="exact"/>
              <w:ind w:left="63" w:right="63"/>
              <w:rPr>
                <w:rFonts w:eastAsia="仿宋_GB2312"/>
                <w:color w:val="000000"/>
                <w:kern w:val="2"/>
                <w:sz w:val="30"/>
                <w:szCs w:val="30"/>
              </w:rPr>
            </w:pPr>
          </w:p>
        </w:tc>
        <w:tc>
          <w:tcPr>
            <w:tcW w:w="1417"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3"/>
              <w:keepNext/>
              <w:spacing w:after="0" w:line="440" w:lineRule="exact"/>
              <w:ind w:left="63" w:right="63"/>
              <w:rPr>
                <w:rFonts w:eastAsia="仿宋_GB2312"/>
                <w:color w:val="000000"/>
                <w:kern w:val="2"/>
                <w:sz w:val="30"/>
                <w:szCs w:val="30"/>
              </w:rPr>
            </w:pPr>
          </w:p>
        </w:tc>
        <w:tc>
          <w:tcPr>
            <w:tcW w:w="1843" w:type="dxa"/>
            <w:noWrap w:val="0"/>
            <w:vAlign w:val="center"/>
          </w:tcPr>
          <w:p>
            <w:pPr>
              <w:pStyle w:val="13"/>
              <w:keepNext/>
              <w:spacing w:after="0" w:line="440" w:lineRule="exact"/>
              <w:ind w:left="63" w:right="63"/>
              <w:rPr>
                <w:rFonts w:eastAsia="仿宋_GB2312"/>
                <w:color w:val="000000"/>
                <w:kern w:val="2"/>
                <w:sz w:val="30"/>
                <w:szCs w:val="30"/>
              </w:rPr>
            </w:pPr>
          </w:p>
        </w:tc>
        <w:tc>
          <w:tcPr>
            <w:tcW w:w="1417" w:type="dxa"/>
            <w:noWrap w:val="0"/>
            <w:vAlign w:val="center"/>
          </w:tcPr>
          <w:p>
            <w:pPr>
              <w:pStyle w:val="13"/>
              <w:keepNext/>
              <w:spacing w:after="0" w:line="440" w:lineRule="exact"/>
              <w:ind w:left="63" w:right="63"/>
              <w:rPr>
                <w:rFonts w:eastAsia="仿宋_GB2312"/>
                <w:color w:val="000000"/>
                <w:kern w:val="2"/>
                <w:sz w:val="30"/>
                <w:szCs w:val="30"/>
              </w:rPr>
            </w:pPr>
          </w:p>
        </w:tc>
        <w:tc>
          <w:tcPr>
            <w:tcW w:w="2410"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c>
          <w:tcPr>
            <w:tcW w:w="1560" w:type="dxa"/>
            <w:noWrap w:val="0"/>
            <w:vAlign w:val="center"/>
          </w:tcPr>
          <w:p>
            <w:pPr>
              <w:pStyle w:val="13"/>
              <w:keepNext/>
              <w:spacing w:after="0" w:line="440" w:lineRule="exact"/>
              <w:ind w:left="63" w:right="63"/>
              <w:rPr>
                <w:rFonts w:eastAsia="仿宋_GB2312"/>
                <w:color w:val="000000"/>
                <w:kern w:val="2"/>
                <w:sz w:val="30"/>
                <w:szCs w:val="30"/>
              </w:rPr>
            </w:pPr>
          </w:p>
        </w:tc>
        <w:tc>
          <w:tcPr>
            <w:tcW w:w="2126" w:type="dxa"/>
            <w:noWrap w:val="0"/>
            <w:vAlign w:val="center"/>
          </w:tcPr>
          <w:p>
            <w:pPr>
              <w:pStyle w:val="13"/>
              <w:keepNext/>
              <w:spacing w:after="0" w:line="440" w:lineRule="exact"/>
              <w:ind w:left="63" w:right="63"/>
              <w:rPr>
                <w:rFonts w:eastAsia="仿宋_GB2312"/>
                <w:color w:val="000000"/>
                <w:kern w:val="2"/>
                <w:sz w:val="30"/>
                <w:szCs w:val="30"/>
              </w:rPr>
            </w:pPr>
          </w:p>
        </w:tc>
        <w:tc>
          <w:tcPr>
            <w:tcW w:w="1417"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r>
    </w:tbl>
    <w:p>
      <w:pPr>
        <w:spacing w:line="440" w:lineRule="exact"/>
        <w:rPr>
          <w:rFonts w:ascii="Times New Roman" w:hAnsi="Times New Roman" w:eastAsia="仿宋_GB2312"/>
          <w:b/>
          <w:color w:val="000000"/>
          <w:sz w:val="30"/>
          <w:szCs w:val="30"/>
        </w:rPr>
        <w:sectPr>
          <w:pgSz w:w="16838" w:h="11906" w:orient="landscape"/>
          <w:pgMar w:top="1554" w:right="1418" w:bottom="1531" w:left="1418" w:header="851" w:footer="992" w:gutter="0"/>
          <w:pgNumType w:fmt="decimal"/>
          <w:cols w:space="720" w:num="1"/>
          <w:titlePg/>
          <w:docGrid w:type="linesAndChars" w:linePitch="312" w:charSpace="0"/>
        </w:sectPr>
      </w:pP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87" w:name="_Toc296346726"/>
      <w:bookmarkStart w:id="988" w:name="_Toc267261692"/>
      <w:bookmarkStart w:id="989" w:name="_Toc296347224"/>
      <w:bookmarkStart w:id="990" w:name="_Toc296891265"/>
      <w:bookmarkStart w:id="991" w:name="_Toc296503225"/>
      <w:bookmarkStart w:id="992" w:name="_Toc296944564"/>
      <w:bookmarkStart w:id="993" w:name="_Toc296891053"/>
      <w:r>
        <w:rPr>
          <w:rFonts w:ascii="Times New Roman" w:hAnsi="Times New Roman" w:eastAsia="仿宋_GB2312"/>
          <w:color w:val="000000"/>
          <w:sz w:val="30"/>
          <w:szCs w:val="30"/>
        </w:rPr>
        <w:t>件2：</w:t>
      </w:r>
    </w:p>
    <w:bookmarkEnd w:id="987"/>
    <w:bookmarkEnd w:id="988"/>
    <w:bookmarkEnd w:id="989"/>
    <w:bookmarkEnd w:id="990"/>
    <w:bookmarkEnd w:id="991"/>
    <w:bookmarkEnd w:id="992"/>
    <w:bookmarkEnd w:id="993"/>
    <w:p>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发包人供应材料设备一览表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276" w:type="dxa"/>
            <w:tcBorders>
              <w:top w:val="single" w:color="auto" w:sz="12" w:space="0"/>
              <w:bottom w:val="double" w:color="auto" w:sz="6" w:space="0"/>
            </w:tcBorders>
            <w:noWrap w:val="0"/>
            <w:vAlign w:val="center"/>
          </w:tcPr>
          <w:p>
            <w:pPr>
              <w:pStyle w:val="13"/>
              <w:keepNext/>
              <w:spacing w:after="0" w:line="440" w:lineRule="exact"/>
              <w:ind w:left="63" w:right="63"/>
              <w:rPr>
                <w:rFonts w:hint="eastAsia" w:eastAsia="仿宋_GB2312"/>
                <w:color w:val="000000"/>
                <w:kern w:val="2"/>
                <w:sz w:val="28"/>
                <w:szCs w:val="30"/>
              </w:rPr>
            </w:pPr>
            <w:r>
              <w:rPr>
                <w:rFonts w:hint="eastAsia" w:eastAsia="仿宋_GB2312"/>
                <w:color w:val="000000"/>
                <w:kern w:val="2"/>
                <w:sz w:val="28"/>
                <w:szCs w:val="30"/>
              </w:rPr>
              <w:t xml:space="preserve">  </w:t>
            </w:r>
            <w:r>
              <w:rPr>
                <w:rFonts w:eastAsia="仿宋_GB2312"/>
                <w:color w:val="000000"/>
                <w:kern w:val="2"/>
                <w:sz w:val="28"/>
                <w:szCs w:val="30"/>
              </w:rPr>
              <w:t>材料、</w:t>
            </w:r>
          </w:p>
          <w:p>
            <w:pPr>
              <w:pStyle w:val="13"/>
              <w:keepNext/>
              <w:spacing w:after="0" w:line="440" w:lineRule="exact"/>
              <w:ind w:left="0" w:leftChars="0" w:right="63"/>
              <w:jc w:val="both"/>
              <w:rPr>
                <w:rFonts w:eastAsia="仿宋_GB2312"/>
                <w:color w:val="000000"/>
                <w:kern w:val="2"/>
                <w:sz w:val="28"/>
                <w:szCs w:val="30"/>
              </w:rPr>
            </w:pPr>
            <w:r>
              <w:rPr>
                <w:rFonts w:eastAsia="仿宋_GB2312"/>
                <w:color w:val="000000"/>
                <w:kern w:val="2"/>
                <w:sz w:val="28"/>
                <w:szCs w:val="30"/>
              </w:rPr>
              <w:t>设备品种</w:t>
            </w:r>
          </w:p>
        </w:tc>
        <w:tc>
          <w:tcPr>
            <w:tcW w:w="1418"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规格型号</w:t>
            </w:r>
          </w:p>
        </w:tc>
        <w:tc>
          <w:tcPr>
            <w:tcW w:w="94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w:t>
            </w:r>
          </w:p>
        </w:tc>
        <w:tc>
          <w:tcPr>
            <w:tcW w:w="851"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1044"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992"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质量等级</w:t>
            </w:r>
          </w:p>
        </w:tc>
        <w:tc>
          <w:tcPr>
            <w:tcW w:w="851"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供应时间</w:t>
            </w:r>
          </w:p>
        </w:tc>
        <w:tc>
          <w:tcPr>
            <w:tcW w:w="1487"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送达地点</w:t>
            </w:r>
          </w:p>
        </w:tc>
        <w:tc>
          <w:tcPr>
            <w:tcW w:w="992"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276"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94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044"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992"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487"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992"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276"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8"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94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044"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992"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8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992"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940"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044"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487"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940"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044"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487"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940"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044"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487"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940"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044"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487"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940"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044"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487"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940"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044"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487"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940"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044"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c>
          <w:tcPr>
            <w:tcW w:w="851" w:type="dxa"/>
            <w:noWrap w:val="0"/>
            <w:vAlign w:val="center"/>
          </w:tcPr>
          <w:p>
            <w:pPr>
              <w:pStyle w:val="13"/>
              <w:keepNext/>
              <w:spacing w:after="0" w:line="440" w:lineRule="exact"/>
              <w:ind w:left="63" w:right="63"/>
              <w:rPr>
                <w:rFonts w:eastAsia="仿宋_GB2312"/>
                <w:color w:val="000000"/>
                <w:kern w:val="2"/>
                <w:sz w:val="30"/>
                <w:szCs w:val="30"/>
              </w:rPr>
            </w:pPr>
          </w:p>
        </w:tc>
        <w:tc>
          <w:tcPr>
            <w:tcW w:w="1487" w:type="dxa"/>
            <w:noWrap w:val="0"/>
            <w:vAlign w:val="center"/>
          </w:tcPr>
          <w:p>
            <w:pPr>
              <w:pStyle w:val="13"/>
              <w:keepNext/>
              <w:spacing w:after="0" w:line="440" w:lineRule="exact"/>
              <w:ind w:left="63" w:right="63"/>
              <w:rPr>
                <w:rFonts w:eastAsia="仿宋_GB2312"/>
                <w:color w:val="000000"/>
                <w:kern w:val="2"/>
                <w:sz w:val="30"/>
                <w:szCs w:val="30"/>
              </w:rPr>
            </w:pPr>
          </w:p>
        </w:tc>
        <w:tc>
          <w:tcPr>
            <w:tcW w:w="99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bl>
    <w:p>
      <w:pPr>
        <w:spacing w:line="440" w:lineRule="exact"/>
        <w:rPr>
          <w:rFonts w:ascii="Times New Roman" w:hAnsi="Times New Roman" w:eastAsia="仿宋_GB2312"/>
          <w:color w:val="000000"/>
          <w:sz w:val="30"/>
          <w:szCs w:val="30"/>
        </w:rPr>
      </w:pP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94" w:name="_Toc267261693"/>
      <w:bookmarkStart w:id="995" w:name="_Toc296346727"/>
      <w:bookmarkStart w:id="996" w:name="_Toc296347225"/>
      <w:bookmarkStart w:id="997" w:name="_Toc296891054"/>
      <w:bookmarkStart w:id="998" w:name="_Toc296944565"/>
      <w:bookmarkStart w:id="999" w:name="_Toc296891266"/>
      <w:bookmarkStart w:id="1000" w:name="_Toc296503226"/>
      <w:r>
        <w:rPr>
          <w:rFonts w:ascii="Times New Roman" w:hAnsi="Times New Roman" w:eastAsia="仿宋_GB2312"/>
          <w:color w:val="000000"/>
          <w:sz w:val="30"/>
          <w:szCs w:val="30"/>
        </w:rPr>
        <w:t>件3：</w:t>
      </w:r>
      <w:bookmarkEnd w:id="994"/>
      <w:bookmarkEnd w:id="995"/>
      <w:bookmarkEnd w:id="996"/>
      <w:bookmarkEnd w:id="997"/>
      <w:bookmarkEnd w:id="998"/>
      <w:bookmarkEnd w:id="999"/>
      <w:bookmarkEnd w:id="1000"/>
      <w:r>
        <w:rPr>
          <w:rFonts w:ascii="Times New Roman" w:hAnsi="Times New Roman" w:eastAsia="黑体"/>
          <w:color w:val="000000"/>
          <w:sz w:val="30"/>
          <w:szCs w:val="30"/>
        </w:rPr>
        <w:t xml:space="preserve">    </w:t>
      </w: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工程质量保修书</w:t>
      </w:r>
    </w:p>
    <w:p>
      <w:pPr>
        <w:spacing w:line="44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发包人（全称）：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spacing w:line="44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　　承包人（全称）：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spacing w:line="440" w:lineRule="exact"/>
        <w:rPr>
          <w:rFonts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发包人和承包人根据《中华人民共和国建筑法》和《建设工程质量管理条例》，经协商一致就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（工程全称）签订工程质量保修书。</w:t>
      </w:r>
    </w:p>
    <w:p>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一、工程质量保修范围和内容</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承包人在质量保修期内，按照有关法律规定和合同约定，承担工程质量保修责任。</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outlineLvl w:val="0"/>
        <w:rPr>
          <w:rFonts w:ascii="Times New Roman" w:hAnsi="Times New Roman" w:eastAsia="黑体"/>
          <w:color w:val="000000"/>
          <w:sz w:val="30"/>
          <w:szCs w:val="30"/>
        </w:rPr>
      </w:pPr>
      <w:r>
        <w:rPr>
          <w:rFonts w:ascii="Times New Roman" w:hAnsi="Times New Roman" w:eastAsia="仿宋_GB2312"/>
          <w:b/>
          <w:color w:val="000000"/>
          <w:sz w:val="30"/>
          <w:szCs w:val="30"/>
        </w:rPr>
        <w:t>　　</w:t>
      </w:r>
      <w:r>
        <w:rPr>
          <w:rFonts w:ascii="Times New Roman" w:hAnsi="Times New Roman" w:eastAsia="黑体"/>
          <w:color w:val="000000"/>
          <w:sz w:val="30"/>
          <w:szCs w:val="30"/>
        </w:rPr>
        <w:t>二、质量保修期</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根据《建设工程质量管理条例》及有关规定，工程的质量保修期如下：</w:t>
      </w:r>
    </w:p>
    <w:p>
      <w:pPr>
        <w:ind w:firstLine="600" w:firstLineChars="200"/>
        <w:rPr>
          <w:rFonts w:hint="eastAsia" w:ascii="仿宋_GB2312" w:eastAsia="仿宋_GB2312"/>
          <w:sz w:val="30"/>
          <w:szCs w:val="30"/>
        </w:rPr>
      </w:pPr>
      <w:r>
        <w:rPr>
          <w:rFonts w:hint="eastAsia" w:ascii="仿宋_GB2312" w:eastAsia="仿宋_GB2312"/>
          <w:sz w:val="30"/>
          <w:szCs w:val="30"/>
        </w:rPr>
        <w:t>1</w:t>
      </w:r>
      <w:r>
        <w:rPr>
          <w:rFonts w:hint="eastAsia" w:ascii="Times New Roman" w:hAnsi="Times New Roman"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hint="eastAsia" w:ascii="仿宋_GB2312" w:eastAsia="仿宋_GB2312"/>
          <w:sz w:val="30"/>
          <w:szCs w:val="30"/>
        </w:rPr>
        <w:t>．</w:t>
      </w:r>
      <w:r>
        <w:rPr>
          <w:rFonts w:ascii="Times New Roman" w:hAnsi="Times New Roman" w:eastAsia="仿宋_GB2312"/>
          <w:color w:val="000000"/>
          <w:sz w:val="30"/>
          <w:szCs w:val="30"/>
        </w:rPr>
        <w:t>屋面防水工程、有防水要求的卫生间、房间和外墙面的防渗</w:t>
      </w:r>
      <w:r>
        <w:rPr>
          <w:rFonts w:hint="eastAsia" w:ascii="Times New Roman" w:hAnsi="Times New Roman" w:eastAsia="仿宋_GB2312"/>
          <w:color w:val="000000"/>
          <w:sz w:val="30"/>
          <w:szCs w:val="30"/>
        </w:rPr>
        <w:t xml:space="preserve">     为</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hint="eastAsia" w:ascii="仿宋_GB2312" w:eastAsia="仿宋_GB2312"/>
          <w:sz w:val="30"/>
          <w:szCs w:val="30"/>
        </w:rPr>
        <w:t>．</w:t>
      </w:r>
      <w:r>
        <w:rPr>
          <w:rFonts w:ascii="Times New Roman" w:hAnsi="Times New Roman" w:eastAsia="仿宋_GB2312"/>
          <w:color w:val="000000"/>
          <w:sz w:val="30"/>
          <w:szCs w:val="30"/>
        </w:rPr>
        <w:t>装修工程为</w:t>
      </w:r>
      <w:r>
        <w:rPr>
          <w:rFonts w:ascii="Times New Roman" w:hAnsi="Times New Roman" w:eastAsia="仿宋_GB2312"/>
          <w:color w:val="000000"/>
          <w:sz w:val="30"/>
          <w:szCs w:val="30"/>
          <w:u w:val="single"/>
        </w:rPr>
        <w:t xml:space="preserve">  2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w:t>
      </w:r>
      <w:r>
        <w:rPr>
          <w:rFonts w:hint="eastAsia" w:ascii="仿宋_GB2312" w:eastAsia="仿宋_GB2312"/>
          <w:sz w:val="30"/>
          <w:szCs w:val="30"/>
        </w:rPr>
        <w:t>．</w:t>
      </w:r>
      <w:r>
        <w:rPr>
          <w:rFonts w:ascii="Times New Roman" w:hAnsi="Times New Roman" w:eastAsia="仿宋_GB2312"/>
          <w:color w:val="000000"/>
          <w:sz w:val="30"/>
          <w:szCs w:val="30"/>
        </w:rPr>
        <w:t>电气管线、给排水管道、设备安装工程为</w:t>
      </w:r>
      <w:r>
        <w:rPr>
          <w:rFonts w:ascii="Times New Roman" w:hAnsi="Times New Roman" w:eastAsia="仿宋_GB2312"/>
          <w:color w:val="000000"/>
          <w:sz w:val="30"/>
          <w:szCs w:val="30"/>
          <w:u w:val="single"/>
        </w:rPr>
        <w:t xml:space="preserve"> 2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5</w:t>
      </w:r>
      <w:r>
        <w:rPr>
          <w:rFonts w:hint="eastAsia" w:ascii="仿宋_GB2312" w:eastAsia="仿宋_GB2312"/>
          <w:sz w:val="30"/>
          <w:szCs w:val="30"/>
        </w:rPr>
        <w:t>．</w:t>
      </w:r>
      <w:r>
        <w:rPr>
          <w:rFonts w:ascii="Times New Roman" w:hAnsi="Times New Roman" w:eastAsia="仿宋_GB2312"/>
          <w:color w:val="000000"/>
          <w:sz w:val="30"/>
          <w:szCs w:val="30"/>
        </w:rPr>
        <w:t>供热与供冷系统为</w:t>
      </w:r>
      <w:r>
        <w:rPr>
          <w:rFonts w:ascii="Times New Roman" w:hAnsi="Times New Roman" w:eastAsia="仿宋_GB2312"/>
          <w:color w:val="000000"/>
          <w:sz w:val="30"/>
          <w:szCs w:val="30"/>
          <w:u w:val="single"/>
        </w:rPr>
        <w:t xml:space="preserve"> 2 </w:t>
      </w:r>
      <w:r>
        <w:rPr>
          <w:rFonts w:ascii="Times New Roman" w:hAnsi="Times New Roman" w:eastAsia="仿宋_GB2312"/>
          <w:color w:val="000000"/>
          <w:sz w:val="30"/>
          <w:szCs w:val="30"/>
        </w:rPr>
        <w:t>个采暖期、供冷期；</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6</w:t>
      </w:r>
      <w:r>
        <w:rPr>
          <w:rFonts w:hint="eastAsia" w:ascii="仿宋_GB2312" w:eastAsia="仿宋_GB2312"/>
          <w:sz w:val="30"/>
          <w:szCs w:val="30"/>
        </w:rPr>
        <w:t>．</w:t>
      </w:r>
      <w:r>
        <w:rPr>
          <w:rFonts w:ascii="Times New Roman" w:hAnsi="Times New Roman" w:eastAsia="仿宋_GB2312"/>
          <w:color w:val="000000"/>
          <w:sz w:val="30"/>
          <w:szCs w:val="30"/>
        </w:rPr>
        <w:t>住宅小区内的给排水设施、道路等配套工程为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7</w:t>
      </w:r>
      <w:r>
        <w:rPr>
          <w:rFonts w:hint="eastAsia" w:ascii="仿宋_GB2312" w:eastAsia="仿宋_GB2312"/>
          <w:sz w:val="30"/>
          <w:szCs w:val="30"/>
        </w:rPr>
        <w:t>．</w:t>
      </w:r>
      <w:r>
        <w:rPr>
          <w:rFonts w:ascii="Times New Roman" w:hAnsi="Times New Roman" w:eastAsia="仿宋_GB2312"/>
          <w:color w:val="000000"/>
          <w:sz w:val="30"/>
          <w:szCs w:val="30"/>
        </w:rPr>
        <w:t>其他项目保修期限约定如下：</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   </w:t>
      </w:r>
      <w:r>
        <w:rPr>
          <w:rFonts w:ascii="Times New Roman" w:hAnsi="Times New Roman" w:eastAsia="仿宋_GB2312"/>
          <w:color w:val="000000"/>
          <w:sz w:val="30"/>
          <w:szCs w:val="30"/>
        </w:rPr>
        <w:t>。</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质量保修期自工程竣工验收合格之日起计算。</w:t>
      </w:r>
    </w:p>
    <w:p>
      <w:pPr>
        <w:spacing w:line="360" w:lineRule="auto"/>
        <w:ind w:firstLine="600" w:firstLineChars="200"/>
        <w:outlineLvl w:val="0"/>
        <w:rPr>
          <w:rFonts w:ascii="Times New Roman" w:hAnsi="Times New Roman" w:eastAsia="黑体"/>
          <w:color w:val="000000"/>
          <w:sz w:val="30"/>
          <w:szCs w:val="30"/>
        </w:rPr>
      </w:pPr>
      <w:r>
        <w:rPr>
          <w:rFonts w:ascii="Times New Roman" w:hAnsi="Times New Roman" w:eastAsia="黑体"/>
          <w:color w:val="000000"/>
          <w:sz w:val="30"/>
          <w:szCs w:val="30"/>
        </w:rPr>
        <w:t>三、缺陷责任期</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工程缺陷责任期为</w:t>
      </w:r>
      <w:r>
        <w:rPr>
          <w:rFonts w:ascii="Times New Roman" w:hAnsi="Times New Roman" w:eastAsia="仿宋_GB2312"/>
          <w:color w:val="000000"/>
          <w:sz w:val="30"/>
          <w:szCs w:val="30"/>
          <w:u w:val="single"/>
        </w:rPr>
        <w:t xml:space="preserve"> 24 </w:t>
      </w:r>
      <w:r>
        <w:rPr>
          <w:rFonts w:ascii="Times New Roman" w:hAnsi="Times New Roman" w:eastAsia="仿宋_GB2312"/>
          <w:color w:val="000000"/>
          <w:sz w:val="30"/>
          <w:szCs w:val="30"/>
        </w:rPr>
        <w:t>个月，缺陷责任期自工程</w:t>
      </w:r>
      <w:r>
        <w:rPr>
          <w:rFonts w:hint="eastAsia" w:ascii="Times New Roman" w:hAnsi="Times New Roman" w:eastAsia="仿宋_GB2312"/>
          <w:color w:val="000000"/>
          <w:sz w:val="30"/>
          <w:szCs w:val="30"/>
        </w:rPr>
        <w:t>通过竣工验收</w:t>
      </w:r>
      <w:r>
        <w:rPr>
          <w:rFonts w:ascii="Times New Roman" w:hAnsi="Times New Roman" w:eastAsia="仿宋_GB2312"/>
          <w:color w:val="000000"/>
          <w:sz w:val="30"/>
          <w:szCs w:val="30"/>
        </w:rPr>
        <w:t>之日起计算。单位工程先于全部工程进行验收，单位工程缺陷责任期自单位工程验收合格之日起算。</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缺陷责任期终止后，发包人应退还剩余的质量保证金。</w:t>
      </w:r>
    </w:p>
    <w:p>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xml:space="preserve">    四、质量保修责任</w:t>
      </w:r>
    </w:p>
    <w:p>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hint="eastAsia" w:ascii="仿宋_GB2312" w:eastAsia="仿宋_GB2312"/>
          <w:sz w:val="30"/>
          <w:szCs w:val="30"/>
        </w:rPr>
        <w:t>．</w:t>
      </w:r>
      <w:r>
        <w:rPr>
          <w:rFonts w:ascii="Times New Roman" w:hAnsi="Times New Roman" w:eastAsia="仿宋_GB2312"/>
          <w:color w:val="000000"/>
          <w:sz w:val="30"/>
          <w:szCs w:val="30"/>
        </w:rPr>
        <w:t>属于保修范围、内容的项目，承包人应当在接到保修通知之日起7天内派人保修。承包人不在约定期限内派人保修的，发包人可以委托他人修理。</w:t>
      </w:r>
    </w:p>
    <w:p>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hint="eastAsia" w:ascii="仿宋_GB2312" w:eastAsia="仿宋_GB2312"/>
          <w:sz w:val="30"/>
          <w:szCs w:val="30"/>
        </w:rPr>
        <w:t>．</w:t>
      </w:r>
      <w:r>
        <w:rPr>
          <w:rFonts w:ascii="Times New Roman" w:hAnsi="Times New Roman" w:eastAsia="仿宋_GB2312"/>
          <w:color w:val="000000"/>
          <w:sz w:val="30"/>
          <w:szCs w:val="30"/>
        </w:rPr>
        <w:t>发生紧急事故需抢修的，承包人在接到事故通知后，应当立即到达事故现场抢修。</w:t>
      </w:r>
    </w:p>
    <w:p>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hint="eastAsia" w:ascii="仿宋_GB2312" w:eastAsia="仿宋_GB2312"/>
          <w:sz w:val="30"/>
          <w:szCs w:val="30"/>
        </w:rPr>
        <w:t>．</w:t>
      </w:r>
      <w:r>
        <w:rPr>
          <w:rFonts w:ascii="Times New Roman" w:hAnsi="Times New Roman"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w:t>
      </w:r>
      <w:r>
        <w:rPr>
          <w:rFonts w:hint="eastAsia" w:ascii="仿宋_GB2312" w:eastAsia="仿宋_GB2312"/>
          <w:sz w:val="30"/>
          <w:szCs w:val="30"/>
        </w:rPr>
        <w:t>．</w:t>
      </w:r>
      <w:r>
        <w:rPr>
          <w:rFonts w:ascii="Times New Roman" w:hAnsi="Times New Roman" w:eastAsia="仿宋_GB2312"/>
          <w:color w:val="000000"/>
          <w:sz w:val="30"/>
          <w:szCs w:val="30"/>
        </w:rPr>
        <w:t>质量保修完成后，由发包人组织验收。</w:t>
      </w:r>
    </w:p>
    <w:p>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五、保修费用</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保修费用由造成质量缺陷的责任方承担。</w:t>
      </w:r>
    </w:p>
    <w:p>
      <w:pPr>
        <w:spacing w:line="360" w:lineRule="auto"/>
        <w:ind w:firstLine="600"/>
        <w:jc w:val="left"/>
        <w:outlineLvl w:val="0"/>
        <w:rPr>
          <w:rFonts w:ascii="Times New Roman" w:hAnsi="Times New Roman" w:eastAsia="仿宋_GB2312"/>
          <w:color w:val="000000"/>
          <w:sz w:val="30"/>
          <w:szCs w:val="30"/>
        </w:rPr>
      </w:pPr>
      <w:r>
        <w:rPr>
          <w:rFonts w:ascii="Times New Roman" w:hAnsi="Times New Roman" w:eastAsia="黑体"/>
          <w:b/>
          <w:color w:val="000000"/>
          <w:sz w:val="30"/>
          <w:szCs w:val="30"/>
        </w:rPr>
        <w:t>六</w:t>
      </w:r>
      <w:r>
        <w:rPr>
          <w:rFonts w:ascii="Times New Roman" w:hAnsi="Times New Roman" w:eastAsia="黑体"/>
          <w:color w:val="000000"/>
          <w:sz w:val="30"/>
          <w:szCs w:val="30"/>
        </w:rPr>
        <w:t>、双方约定的其他工程质量保修事项</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   </w:t>
      </w:r>
      <w:r>
        <w:rPr>
          <w:rFonts w:ascii="Times New Roman" w:hAnsi="Times New Roman" w:eastAsia="仿宋_GB2312"/>
          <w:color w:val="000000"/>
          <w:sz w:val="30"/>
          <w:szCs w:val="30"/>
        </w:rPr>
        <w:t>。</w:t>
      </w:r>
    </w:p>
    <w:p>
      <w:pPr>
        <w:spacing w:line="360" w:lineRule="auto"/>
        <w:ind w:firstLine="570" w:firstLineChars="190"/>
        <w:rPr>
          <w:rFonts w:ascii="Times New Roman" w:hAnsi="Times New Roman" w:eastAsia="仿宋_GB2312"/>
          <w:color w:val="000000"/>
          <w:sz w:val="30"/>
          <w:szCs w:val="30"/>
        </w:rPr>
      </w:pPr>
      <w:r>
        <w:rPr>
          <w:rFonts w:ascii="Times New Roman" w:hAnsi="Times New Roman" w:eastAsia="仿宋_GB2312"/>
          <w:color w:val="000000"/>
          <w:sz w:val="30"/>
          <w:szCs w:val="30"/>
        </w:rPr>
        <w:t>工程质量保修书由发包人、承包人在工程竣工验收前共同签署，作为施工合同附件，其有效期限至保修期满。</w:t>
      </w:r>
    </w:p>
    <w:p>
      <w:pPr>
        <w:spacing w:line="360" w:lineRule="auto"/>
        <w:ind w:firstLine="420"/>
        <w:rPr>
          <w:rFonts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发包人(公章)：</w:t>
      </w:r>
      <w:r>
        <w:rPr>
          <w:rFonts w:ascii="Times New Roman" w:hAnsi="Times New Roman" w:eastAsia="仿宋_GB2312"/>
          <w:color w:val="000000"/>
          <w:sz w:val="30"/>
          <w:szCs w:val="30"/>
          <w:u w:val="single"/>
        </w:rPr>
        <w:t xml:space="preserve">        </w:t>
      </w:r>
      <w:r>
        <w:rPr>
          <w:rFonts w:ascii="Times New Roman" w:hAnsi="Times New Roman" w:eastAsia="仿宋_GB2312"/>
          <w:color w:val="000000"/>
          <w:sz w:val="30"/>
          <w:szCs w:val="30"/>
        </w:rPr>
        <w:t xml:space="preserve"> 承包人(公章)：</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法定代表人(签字)：</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法定代表人(签字)：</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委托代理人(签字)：</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委托代理人(签字)：</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开户银行：</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    </w:t>
      </w:r>
      <w:r>
        <w:rPr>
          <w:rFonts w:ascii="Times New Roman" w:hAnsi="Times New Roman" w:eastAsia="仿宋_GB2312"/>
          <w:color w:val="000000"/>
          <w:sz w:val="30"/>
          <w:szCs w:val="30"/>
        </w:rPr>
        <w:t xml:space="preserve"> 邮政编码：</w:t>
      </w:r>
      <w:r>
        <w:rPr>
          <w:rFonts w:ascii="Times New Roman" w:hAnsi="Times New Roman" w:eastAsia="仿宋_GB2312"/>
          <w:color w:val="000000"/>
          <w:sz w:val="30"/>
          <w:szCs w:val="30"/>
          <w:u w:val="single"/>
        </w:rPr>
        <w:t xml:space="preserve">   </w:t>
      </w:r>
    </w:p>
    <w:p>
      <w:pPr>
        <w:spacing w:line="440" w:lineRule="exact"/>
        <w:rPr>
          <w:rFonts w:ascii="Times New Roman" w:hAnsi="Times New Roman" w:eastAsia="黑体"/>
          <w:color w:val="000000"/>
          <w:sz w:val="30"/>
          <w:szCs w:val="30"/>
        </w:rPr>
      </w:pPr>
      <w:r>
        <w:rPr>
          <w:rFonts w:ascii="Times New Roman" w:hAnsi="Times New Roman" w:eastAsia="仿宋_GB2312"/>
          <w:b/>
          <w:color w:val="000000"/>
          <w:sz w:val="30"/>
          <w:szCs w:val="30"/>
        </w:rPr>
        <w:br w:type="page"/>
      </w:r>
      <w:r>
        <w:rPr>
          <w:rFonts w:ascii="Times New Roman" w:hAnsi="Times New Roman" w:eastAsia="仿宋_GB2312"/>
          <w:color w:val="000000"/>
          <w:sz w:val="30"/>
          <w:szCs w:val="30"/>
        </w:rPr>
        <w:t>附件4：</w:t>
      </w: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主要建设工程文件目录</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文件名称</w:t>
            </w:r>
          </w:p>
        </w:tc>
        <w:tc>
          <w:tcPr>
            <w:tcW w:w="1276"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套数</w:t>
            </w:r>
          </w:p>
        </w:tc>
        <w:tc>
          <w:tcPr>
            <w:tcW w:w="145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费用</w:t>
            </w:r>
            <w:r>
              <w:rPr>
                <w:rFonts w:hint="eastAsia" w:eastAsia="仿宋_GB2312"/>
                <w:color w:val="000000"/>
                <w:kern w:val="2"/>
                <w:sz w:val="28"/>
                <w:szCs w:val="30"/>
              </w:rPr>
              <w:t>（元）</w:t>
            </w:r>
          </w:p>
        </w:tc>
        <w:tc>
          <w:tcPr>
            <w:tcW w:w="1243"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w:t>
            </w:r>
          </w:p>
        </w:tc>
        <w:tc>
          <w:tcPr>
            <w:tcW w:w="1450" w:type="dxa"/>
            <w:tcBorders>
              <w:top w:val="single" w:color="auto" w:sz="12" w:space="0"/>
              <w:bottom w:val="double" w:color="auto" w:sz="6" w:space="0"/>
            </w:tcBorders>
            <w:noWrap w:val="0"/>
            <w:vAlign w:val="top"/>
          </w:tcPr>
          <w:p>
            <w:pPr>
              <w:spacing w:line="440" w:lineRule="exact"/>
              <w:jc w:val="center"/>
              <w:rPr>
                <w:rFonts w:ascii="Times New Roman" w:hAnsi="Times New Roman" w:eastAsia="仿宋_GB2312"/>
                <w:color w:val="000000"/>
                <w:sz w:val="28"/>
                <w:szCs w:val="30"/>
              </w:rPr>
            </w:pPr>
            <w:r>
              <w:rPr>
                <w:rFonts w:ascii="Times New Roman" w:hAnsi="Times New Roman" w:eastAsia="仿宋_GB2312"/>
                <w:color w:val="000000"/>
                <w:sz w:val="28"/>
                <w:szCs w:val="30"/>
              </w:rPr>
              <w:t>移交时间</w:t>
            </w:r>
          </w:p>
        </w:tc>
        <w:tc>
          <w:tcPr>
            <w:tcW w:w="1667" w:type="dxa"/>
            <w:tcBorders>
              <w:top w:val="single" w:color="auto" w:sz="12" w:space="0"/>
              <w:bottom w:val="double" w:color="auto" w:sz="6" w:space="0"/>
            </w:tcBorders>
            <w:noWrap w:val="0"/>
            <w:vAlign w:val="top"/>
          </w:tcPr>
          <w:p>
            <w:pPr>
              <w:spacing w:line="440" w:lineRule="exact"/>
              <w:jc w:val="center"/>
              <w:rPr>
                <w:rFonts w:ascii="Times New Roman" w:hAnsi="Times New Roman" w:eastAsia="仿宋_GB2312"/>
                <w:color w:val="000000"/>
                <w:sz w:val="28"/>
                <w:szCs w:val="30"/>
              </w:rPr>
            </w:pPr>
            <w:r>
              <w:rPr>
                <w:rFonts w:ascii="Times New Roman" w:hAnsi="Times New Roman" w:eastAsia="仿宋_GB2312"/>
                <w:color w:val="000000"/>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276"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45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243"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45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667"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276"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243"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667"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243"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667"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243"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667"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243"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667"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243"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667"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243"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667"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243"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667"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spacing w:after="0" w:line="440" w:lineRule="exact"/>
              <w:ind w:left="63" w:right="63"/>
              <w:rPr>
                <w:rFonts w:eastAsia="仿宋_GB2312"/>
                <w:color w:val="000000"/>
                <w:kern w:val="2"/>
                <w:sz w:val="30"/>
                <w:szCs w:val="30"/>
              </w:rPr>
            </w:pPr>
          </w:p>
        </w:tc>
        <w:tc>
          <w:tcPr>
            <w:tcW w:w="1276"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243" w:type="dxa"/>
            <w:noWrap w:val="0"/>
            <w:vAlign w:val="center"/>
          </w:tcPr>
          <w:p>
            <w:pPr>
              <w:pStyle w:val="13"/>
              <w:keepNext/>
              <w:spacing w:after="0" w:line="440" w:lineRule="exact"/>
              <w:ind w:left="63" w:right="63"/>
              <w:rPr>
                <w:rFonts w:eastAsia="仿宋_GB2312"/>
                <w:color w:val="000000"/>
                <w:kern w:val="2"/>
                <w:sz w:val="30"/>
                <w:szCs w:val="30"/>
              </w:rPr>
            </w:pPr>
          </w:p>
        </w:tc>
        <w:tc>
          <w:tcPr>
            <w:tcW w:w="1450" w:type="dxa"/>
            <w:noWrap w:val="0"/>
            <w:vAlign w:val="center"/>
          </w:tcPr>
          <w:p>
            <w:pPr>
              <w:pStyle w:val="13"/>
              <w:keepNext/>
              <w:spacing w:after="0" w:line="440" w:lineRule="exact"/>
              <w:ind w:left="63" w:right="63"/>
              <w:rPr>
                <w:rFonts w:eastAsia="仿宋_GB2312"/>
                <w:color w:val="000000"/>
                <w:kern w:val="2"/>
                <w:sz w:val="30"/>
                <w:szCs w:val="30"/>
              </w:rPr>
            </w:pPr>
          </w:p>
        </w:tc>
        <w:tc>
          <w:tcPr>
            <w:tcW w:w="1667"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bl>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w:t>
      </w:r>
      <w:bookmarkStart w:id="1001" w:name="_Toc296347226"/>
      <w:bookmarkStart w:id="1002" w:name="_Toc296891055"/>
      <w:bookmarkStart w:id="1003" w:name="_Toc296346728"/>
      <w:bookmarkStart w:id="1004" w:name="_Toc296891267"/>
      <w:bookmarkStart w:id="1005" w:name="_Toc296503227"/>
      <w:bookmarkStart w:id="1006" w:name="_Toc296944566"/>
      <w:bookmarkStart w:id="1007" w:name="_Toc267261698"/>
      <w:r>
        <w:rPr>
          <w:rFonts w:ascii="Times New Roman" w:hAnsi="Times New Roman" w:eastAsia="仿宋_GB2312"/>
          <w:color w:val="000000"/>
          <w:sz w:val="30"/>
          <w:szCs w:val="30"/>
        </w:rPr>
        <w:t>件5：</w:t>
      </w:r>
    </w:p>
    <w:bookmarkEnd w:id="1001"/>
    <w:bookmarkEnd w:id="1002"/>
    <w:bookmarkEnd w:id="1003"/>
    <w:bookmarkEnd w:id="1004"/>
    <w:bookmarkEnd w:id="1005"/>
    <w:bookmarkEnd w:id="1006"/>
    <w:bookmarkEnd w:id="1007"/>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承包人用于本工程施工的机械设备表</w:t>
      </w:r>
    </w:p>
    <w:tbl>
      <w:tblPr>
        <w:tblStyle w:val="2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418"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机械或设备名称</w:t>
            </w:r>
          </w:p>
        </w:tc>
        <w:tc>
          <w:tcPr>
            <w:tcW w:w="85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规格型号</w:t>
            </w:r>
          </w:p>
        </w:tc>
        <w:tc>
          <w:tcPr>
            <w:tcW w:w="1058"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88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产地</w:t>
            </w:r>
          </w:p>
        </w:tc>
        <w:tc>
          <w:tcPr>
            <w:tcW w:w="102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制造年份</w:t>
            </w:r>
          </w:p>
        </w:tc>
        <w:tc>
          <w:tcPr>
            <w:tcW w:w="148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额定功率(kW)</w:t>
            </w:r>
          </w:p>
        </w:tc>
        <w:tc>
          <w:tcPr>
            <w:tcW w:w="1020"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921"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058"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88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48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c>
          <w:tcPr>
            <w:tcW w:w="921" w:type="dxa"/>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18"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058"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88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48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921"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c>
          <w:tcPr>
            <w:tcW w:w="1058" w:type="dxa"/>
            <w:noWrap w:val="0"/>
            <w:vAlign w:val="center"/>
          </w:tcPr>
          <w:p>
            <w:pPr>
              <w:pStyle w:val="13"/>
              <w:keepNext/>
              <w:spacing w:after="0" w:line="440" w:lineRule="exact"/>
              <w:ind w:left="63" w:right="63"/>
              <w:rPr>
                <w:rFonts w:eastAsia="仿宋_GB2312"/>
                <w:color w:val="000000"/>
                <w:kern w:val="2"/>
                <w:sz w:val="30"/>
                <w:szCs w:val="30"/>
              </w:rPr>
            </w:pPr>
          </w:p>
        </w:tc>
        <w:tc>
          <w:tcPr>
            <w:tcW w:w="8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14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921"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c>
          <w:tcPr>
            <w:tcW w:w="1058" w:type="dxa"/>
            <w:noWrap w:val="0"/>
            <w:vAlign w:val="center"/>
          </w:tcPr>
          <w:p>
            <w:pPr>
              <w:pStyle w:val="13"/>
              <w:keepNext/>
              <w:spacing w:after="0" w:line="440" w:lineRule="exact"/>
              <w:ind w:left="63" w:right="63"/>
              <w:rPr>
                <w:rFonts w:eastAsia="仿宋_GB2312"/>
                <w:color w:val="000000"/>
                <w:kern w:val="2"/>
                <w:sz w:val="30"/>
                <w:szCs w:val="30"/>
              </w:rPr>
            </w:pPr>
          </w:p>
        </w:tc>
        <w:tc>
          <w:tcPr>
            <w:tcW w:w="8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14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921"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c>
          <w:tcPr>
            <w:tcW w:w="1058" w:type="dxa"/>
            <w:noWrap w:val="0"/>
            <w:vAlign w:val="center"/>
          </w:tcPr>
          <w:p>
            <w:pPr>
              <w:pStyle w:val="13"/>
              <w:keepNext/>
              <w:spacing w:after="0" w:line="440" w:lineRule="exact"/>
              <w:ind w:left="63" w:right="63"/>
              <w:rPr>
                <w:rFonts w:eastAsia="仿宋_GB2312"/>
                <w:color w:val="000000"/>
                <w:kern w:val="2"/>
                <w:sz w:val="30"/>
                <w:szCs w:val="30"/>
              </w:rPr>
            </w:pPr>
          </w:p>
        </w:tc>
        <w:tc>
          <w:tcPr>
            <w:tcW w:w="8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14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921"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c>
          <w:tcPr>
            <w:tcW w:w="1058" w:type="dxa"/>
            <w:noWrap w:val="0"/>
            <w:vAlign w:val="center"/>
          </w:tcPr>
          <w:p>
            <w:pPr>
              <w:pStyle w:val="13"/>
              <w:keepNext/>
              <w:spacing w:after="0" w:line="440" w:lineRule="exact"/>
              <w:ind w:left="63" w:right="63"/>
              <w:rPr>
                <w:rFonts w:eastAsia="仿宋_GB2312"/>
                <w:color w:val="000000"/>
                <w:kern w:val="2"/>
                <w:sz w:val="30"/>
                <w:szCs w:val="30"/>
              </w:rPr>
            </w:pPr>
          </w:p>
        </w:tc>
        <w:tc>
          <w:tcPr>
            <w:tcW w:w="8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14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921"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c>
          <w:tcPr>
            <w:tcW w:w="1058" w:type="dxa"/>
            <w:noWrap w:val="0"/>
            <w:vAlign w:val="center"/>
          </w:tcPr>
          <w:p>
            <w:pPr>
              <w:pStyle w:val="13"/>
              <w:keepNext/>
              <w:spacing w:after="0" w:line="440" w:lineRule="exact"/>
              <w:ind w:left="63" w:right="63"/>
              <w:rPr>
                <w:rFonts w:eastAsia="仿宋_GB2312"/>
                <w:color w:val="000000"/>
                <w:kern w:val="2"/>
                <w:sz w:val="30"/>
                <w:szCs w:val="30"/>
              </w:rPr>
            </w:pPr>
          </w:p>
        </w:tc>
        <w:tc>
          <w:tcPr>
            <w:tcW w:w="8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14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921"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spacing w:after="0" w:line="440" w:lineRule="exact"/>
              <w:ind w:left="63" w:right="63"/>
              <w:rPr>
                <w:rFonts w:eastAsia="仿宋_GB2312"/>
                <w:color w:val="000000"/>
                <w:kern w:val="2"/>
                <w:sz w:val="30"/>
                <w:szCs w:val="30"/>
              </w:rPr>
            </w:pPr>
          </w:p>
        </w:tc>
        <w:tc>
          <w:tcPr>
            <w:tcW w:w="1418" w:type="dxa"/>
            <w:noWrap w:val="0"/>
            <w:vAlign w:val="center"/>
          </w:tcPr>
          <w:p>
            <w:pPr>
              <w:pStyle w:val="13"/>
              <w:keepNext/>
              <w:spacing w:after="0" w:line="440" w:lineRule="exact"/>
              <w:ind w:left="63" w:right="63"/>
              <w:rPr>
                <w:rFonts w:eastAsia="仿宋_GB2312"/>
                <w:color w:val="000000"/>
                <w:kern w:val="2"/>
                <w:sz w:val="30"/>
                <w:szCs w:val="30"/>
              </w:rPr>
            </w:pPr>
          </w:p>
        </w:tc>
        <w:tc>
          <w:tcPr>
            <w:tcW w:w="850" w:type="dxa"/>
            <w:noWrap w:val="0"/>
            <w:vAlign w:val="center"/>
          </w:tcPr>
          <w:p>
            <w:pPr>
              <w:pStyle w:val="13"/>
              <w:keepNext/>
              <w:spacing w:after="0" w:line="440" w:lineRule="exact"/>
              <w:ind w:left="63" w:right="63"/>
              <w:rPr>
                <w:rFonts w:eastAsia="仿宋_GB2312"/>
                <w:color w:val="000000"/>
                <w:kern w:val="2"/>
                <w:sz w:val="30"/>
                <w:szCs w:val="30"/>
              </w:rPr>
            </w:pPr>
          </w:p>
        </w:tc>
        <w:tc>
          <w:tcPr>
            <w:tcW w:w="1058" w:type="dxa"/>
            <w:noWrap w:val="0"/>
            <w:vAlign w:val="center"/>
          </w:tcPr>
          <w:p>
            <w:pPr>
              <w:pStyle w:val="13"/>
              <w:keepNext/>
              <w:spacing w:after="0" w:line="440" w:lineRule="exact"/>
              <w:ind w:left="63" w:right="63"/>
              <w:rPr>
                <w:rFonts w:eastAsia="仿宋_GB2312"/>
                <w:color w:val="000000"/>
                <w:kern w:val="2"/>
                <w:sz w:val="30"/>
                <w:szCs w:val="30"/>
              </w:rPr>
            </w:pPr>
          </w:p>
        </w:tc>
        <w:tc>
          <w:tcPr>
            <w:tcW w:w="8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1480" w:type="dxa"/>
            <w:noWrap w:val="0"/>
            <w:vAlign w:val="center"/>
          </w:tcPr>
          <w:p>
            <w:pPr>
              <w:pStyle w:val="13"/>
              <w:keepNext/>
              <w:spacing w:after="0" w:line="440" w:lineRule="exact"/>
              <w:ind w:left="63" w:right="63"/>
              <w:rPr>
                <w:rFonts w:eastAsia="仿宋_GB2312"/>
                <w:color w:val="000000"/>
                <w:kern w:val="2"/>
                <w:sz w:val="30"/>
                <w:szCs w:val="30"/>
              </w:rPr>
            </w:pPr>
          </w:p>
        </w:tc>
        <w:tc>
          <w:tcPr>
            <w:tcW w:w="1020" w:type="dxa"/>
            <w:noWrap w:val="0"/>
            <w:vAlign w:val="center"/>
          </w:tcPr>
          <w:p>
            <w:pPr>
              <w:pStyle w:val="13"/>
              <w:keepNext/>
              <w:spacing w:after="0" w:line="440" w:lineRule="exact"/>
              <w:ind w:left="63" w:right="63"/>
              <w:rPr>
                <w:rFonts w:eastAsia="仿宋_GB2312"/>
                <w:color w:val="000000"/>
                <w:kern w:val="2"/>
                <w:sz w:val="30"/>
                <w:szCs w:val="30"/>
              </w:rPr>
            </w:pPr>
          </w:p>
        </w:tc>
        <w:tc>
          <w:tcPr>
            <w:tcW w:w="921"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bl>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1008" w:name="_Toc267261699"/>
      <w:bookmarkStart w:id="1009" w:name="_Toc296944567"/>
      <w:bookmarkStart w:id="1010" w:name="_Toc296346729"/>
      <w:bookmarkStart w:id="1011" w:name="_Toc296503228"/>
      <w:bookmarkStart w:id="1012" w:name="_Toc296347227"/>
      <w:bookmarkStart w:id="1013" w:name="_Toc296891268"/>
      <w:bookmarkStart w:id="1014" w:name="_Toc296891056"/>
      <w:r>
        <w:rPr>
          <w:rFonts w:ascii="Times New Roman" w:hAnsi="Times New Roman" w:eastAsia="仿宋_GB2312"/>
          <w:color w:val="000000"/>
          <w:sz w:val="30"/>
          <w:szCs w:val="30"/>
        </w:rPr>
        <w:t>件6：</w:t>
      </w:r>
    </w:p>
    <w:bookmarkEnd w:id="1008"/>
    <w:bookmarkEnd w:id="1009"/>
    <w:bookmarkEnd w:id="1010"/>
    <w:bookmarkEnd w:id="1011"/>
    <w:bookmarkEnd w:id="1012"/>
    <w:bookmarkEnd w:id="1013"/>
    <w:bookmarkEnd w:id="1014"/>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承包人主要施工管理人员表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项目主管</w:t>
            </w:r>
          </w:p>
        </w:tc>
        <w:tc>
          <w:tcPr>
            <w:tcW w:w="1418" w:type="dxa"/>
            <w:tcBorders>
              <w:top w:val="nil"/>
            </w:tcBorders>
            <w:noWrap w:val="0"/>
            <w:vAlign w:val="center"/>
          </w:tcPr>
          <w:p>
            <w:pPr>
              <w:pStyle w:val="13"/>
              <w:keepNext/>
              <w:spacing w:after="0" w:line="440" w:lineRule="exact"/>
              <w:ind w:left="63" w:right="63"/>
              <w:rPr>
                <w:rFonts w:eastAsia="仿宋_GB2312"/>
                <w:color w:val="000000"/>
                <w:kern w:val="2"/>
                <w:sz w:val="28"/>
                <w:szCs w:val="30"/>
              </w:rPr>
            </w:pPr>
          </w:p>
        </w:tc>
        <w:tc>
          <w:tcPr>
            <w:tcW w:w="1134"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134"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4252"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3"/>
              <w:keepNext/>
              <w:spacing w:after="0" w:line="440" w:lineRule="exact"/>
              <w:ind w:left="63" w:right="63"/>
              <w:rPr>
                <w:rFonts w:eastAsia="仿宋_GB2312"/>
                <w:color w:val="000000"/>
                <w:kern w:val="2"/>
                <w:sz w:val="28"/>
                <w:szCs w:val="30"/>
              </w:rPr>
            </w:pP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3"/>
              <w:keepNext/>
              <w:spacing w:after="0" w:line="440" w:lineRule="exact"/>
              <w:ind w:left="63" w:right="63"/>
              <w:rPr>
                <w:rFonts w:eastAsia="仿宋_GB2312"/>
                <w:color w:val="000000"/>
                <w:kern w:val="2"/>
                <w:sz w:val="28"/>
                <w:szCs w:val="30"/>
              </w:rPr>
            </w:pP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项目副经理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造价管理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质量管理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材料管理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计划管理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spacing w:after="0" w:line="440" w:lineRule="exact"/>
              <w:ind w:left="63" w:right="63"/>
              <w:rPr>
                <w:rFonts w:eastAsia="仿宋_GB2312"/>
                <w:color w:val="000000"/>
                <w:kern w:val="2"/>
                <w:sz w:val="28"/>
                <w:szCs w:val="30"/>
              </w:rPr>
            </w:pPr>
          </w:p>
        </w:tc>
        <w:tc>
          <w:tcPr>
            <w:tcW w:w="1418" w:type="dxa"/>
            <w:tcBorders>
              <w:bottom w:val="nil"/>
            </w:tcBorders>
            <w:noWrap w:val="0"/>
            <w:vAlign w:val="center"/>
          </w:tcPr>
          <w:p>
            <w:pPr>
              <w:pStyle w:val="13"/>
              <w:keepNext/>
              <w:spacing w:after="0" w:line="440" w:lineRule="exact"/>
              <w:ind w:left="63" w:right="63"/>
              <w:rPr>
                <w:rFonts w:eastAsia="仿宋_GB2312"/>
                <w:color w:val="000000"/>
                <w:kern w:val="2"/>
                <w:sz w:val="28"/>
                <w:szCs w:val="30"/>
              </w:rPr>
            </w:pPr>
          </w:p>
        </w:tc>
        <w:tc>
          <w:tcPr>
            <w:tcW w:w="1134" w:type="dxa"/>
            <w:tcBorders>
              <w:bottom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134" w:type="dxa"/>
            <w:tcBorders>
              <w:bottom w:val="nil"/>
            </w:tcBorders>
            <w:noWrap w:val="0"/>
            <w:vAlign w:val="center"/>
          </w:tcPr>
          <w:p>
            <w:pPr>
              <w:pStyle w:val="13"/>
              <w:keepNext/>
              <w:spacing w:after="0" w:line="440" w:lineRule="exact"/>
              <w:ind w:left="63" w:right="63"/>
              <w:rPr>
                <w:rFonts w:eastAsia="仿宋_GB2312"/>
                <w:color w:val="000000"/>
                <w:kern w:val="2"/>
                <w:sz w:val="30"/>
                <w:szCs w:val="30"/>
              </w:rPr>
            </w:pPr>
          </w:p>
        </w:tc>
        <w:tc>
          <w:tcPr>
            <w:tcW w:w="4252" w:type="dxa"/>
            <w:tcBorders>
              <w:bottom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spacing w:after="0" w:line="440" w:lineRule="exact"/>
              <w:ind w:left="63" w:right="63"/>
              <w:rPr>
                <w:rFonts w:eastAsia="仿宋_GB2312"/>
                <w:color w:val="000000"/>
                <w:kern w:val="2"/>
                <w:sz w:val="28"/>
                <w:szCs w:val="30"/>
              </w:rPr>
            </w:pP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spacing w:after="0" w:line="440" w:lineRule="exact"/>
              <w:ind w:left="63" w:right="63"/>
              <w:rPr>
                <w:rFonts w:eastAsia="仿宋_GB2312"/>
                <w:color w:val="000000"/>
                <w:kern w:val="2"/>
                <w:sz w:val="28"/>
                <w:szCs w:val="30"/>
              </w:rPr>
            </w:pP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spacing w:after="0" w:line="440" w:lineRule="exact"/>
              <w:ind w:left="63" w:right="63"/>
              <w:rPr>
                <w:rFonts w:eastAsia="仿宋_GB2312"/>
                <w:color w:val="000000"/>
                <w:kern w:val="2"/>
                <w:sz w:val="28"/>
                <w:szCs w:val="30"/>
              </w:rPr>
            </w:pP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3"/>
              <w:keepNext/>
              <w:spacing w:after="0" w:line="440" w:lineRule="exact"/>
              <w:ind w:left="63" w:right="63"/>
              <w:rPr>
                <w:rFonts w:eastAsia="仿宋_GB2312"/>
                <w:color w:val="000000"/>
                <w:kern w:val="2"/>
                <w:sz w:val="28"/>
                <w:szCs w:val="30"/>
              </w:rPr>
            </w:pPr>
          </w:p>
        </w:tc>
        <w:tc>
          <w:tcPr>
            <w:tcW w:w="1418" w:type="dxa"/>
            <w:tcBorders>
              <w:bottom w:val="single" w:color="auto" w:sz="12" w:space="0"/>
            </w:tcBorders>
            <w:noWrap w:val="0"/>
            <w:vAlign w:val="center"/>
          </w:tcPr>
          <w:p>
            <w:pPr>
              <w:pStyle w:val="13"/>
              <w:keepNext/>
              <w:spacing w:after="0" w:line="440" w:lineRule="exact"/>
              <w:ind w:left="63" w:right="63"/>
              <w:rPr>
                <w:rFonts w:eastAsia="仿宋_GB2312"/>
                <w:color w:val="000000"/>
                <w:kern w:val="2"/>
                <w:sz w:val="28"/>
                <w:szCs w:val="30"/>
              </w:rPr>
            </w:pPr>
          </w:p>
        </w:tc>
        <w:tc>
          <w:tcPr>
            <w:tcW w:w="1134" w:type="dxa"/>
            <w:tcBorders>
              <w:bottom w:val="single" w:color="auto" w:sz="12"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134" w:type="dxa"/>
            <w:tcBorders>
              <w:bottom w:val="single" w:color="auto" w:sz="12" w:space="0"/>
            </w:tcBorders>
            <w:noWrap w:val="0"/>
            <w:vAlign w:val="center"/>
          </w:tcPr>
          <w:p>
            <w:pPr>
              <w:pStyle w:val="13"/>
              <w:keepNext/>
              <w:spacing w:after="0" w:line="440" w:lineRule="exact"/>
              <w:ind w:left="63" w:right="63"/>
              <w:rPr>
                <w:rFonts w:eastAsia="仿宋_GB2312"/>
                <w:color w:val="000000"/>
                <w:kern w:val="2"/>
                <w:sz w:val="30"/>
                <w:szCs w:val="30"/>
              </w:rPr>
            </w:pPr>
          </w:p>
        </w:tc>
        <w:tc>
          <w:tcPr>
            <w:tcW w:w="4252" w:type="dxa"/>
            <w:tcBorders>
              <w:bottom w:val="single" w:color="auto" w:sz="12" w:space="0"/>
            </w:tcBorders>
            <w:noWrap w:val="0"/>
            <w:vAlign w:val="center"/>
          </w:tcPr>
          <w:p>
            <w:pPr>
              <w:pStyle w:val="13"/>
              <w:keepNext/>
              <w:spacing w:after="0" w:line="440" w:lineRule="exact"/>
              <w:ind w:left="63" w:right="63"/>
              <w:rPr>
                <w:rFonts w:eastAsia="仿宋_GB2312"/>
                <w:color w:val="000000"/>
                <w:kern w:val="2"/>
                <w:sz w:val="30"/>
                <w:szCs w:val="30"/>
              </w:rPr>
            </w:pPr>
          </w:p>
        </w:tc>
      </w:tr>
    </w:tbl>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w:t>
      </w:r>
      <w:bookmarkStart w:id="1015" w:name="_Toc296347228"/>
      <w:bookmarkStart w:id="1016" w:name="_Toc296891269"/>
      <w:bookmarkStart w:id="1017" w:name="_Toc296891057"/>
      <w:bookmarkStart w:id="1018" w:name="_Toc296503229"/>
      <w:bookmarkStart w:id="1019" w:name="_Toc296944568"/>
      <w:bookmarkStart w:id="1020" w:name="_Toc296346730"/>
      <w:r>
        <w:rPr>
          <w:rFonts w:ascii="Times New Roman" w:hAnsi="Times New Roman" w:eastAsia="仿宋_GB2312"/>
          <w:color w:val="000000"/>
          <w:sz w:val="30"/>
          <w:szCs w:val="30"/>
        </w:rPr>
        <w:t>件7：</w:t>
      </w:r>
    </w:p>
    <w:bookmarkEnd w:id="1015"/>
    <w:bookmarkEnd w:id="1016"/>
    <w:bookmarkEnd w:id="1017"/>
    <w:bookmarkEnd w:id="1018"/>
    <w:bookmarkEnd w:id="1019"/>
    <w:bookmarkEnd w:id="1020"/>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分包人主要施工管理人员表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noWrap w:val="0"/>
            <w:vAlign w:val="center"/>
          </w:tcPr>
          <w:p>
            <w:pPr>
              <w:pStyle w:val="13"/>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项目主管</w:t>
            </w:r>
          </w:p>
        </w:tc>
        <w:tc>
          <w:tcPr>
            <w:tcW w:w="1418" w:type="dxa"/>
            <w:tcBorders>
              <w:top w:val="nil"/>
            </w:tcBorders>
            <w:noWrap w:val="0"/>
            <w:vAlign w:val="center"/>
          </w:tcPr>
          <w:p>
            <w:pPr>
              <w:pStyle w:val="13"/>
              <w:keepNext/>
              <w:spacing w:after="0" w:line="440" w:lineRule="exact"/>
              <w:ind w:left="63" w:right="63"/>
              <w:rPr>
                <w:rFonts w:eastAsia="仿宋_GB2312"/>
                <w:color w:val="000000"/>
                <w:kern w:val="2"/>
                <w:sz w:val="28"/>
                <w:szCs w:val="30"/>
              </w:rPr>
            </w:pPr>
          </w:p>
        </w:tc>
        <w:tc>
          <w:tcPr>
            <w:tcW w:w="1134"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134"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c>
          <w:tcPr>
            <w:tcW w:w="4252" w:type="dxa"/>
            <w:tcBorders>
              <w:top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3"/>
              <w:keepNext/>
              <w:spacing w:after="0" w:line="440" w:lineRule="exact"/>
              <w:ind w:left="63" w:right="63"/>
              <w:rPr>
                <w:rFonts w:eastAsia="仿宋_GB2312"/>
                <w:color w:val="000000"/>
                <w:kern w:val="2"/>
                <w:sz w:val="28"/>
                <w:szCs w:val="30"/>
              </w:rPr>
            </w:pP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3"/>
              <w:keepNext/>
              <w:spacing w:after="0" w:line="440" w:lineRule="exact"/>
              <w:ind w:left="63" w:right="63"/>
              <w:rPr>
                <w:rFonts w:eastAsia="仿宋_GB2312"/>
                <w:color w:val="000000"/>
                <w:kern w:val="2"/>
                <w:sz w:val="28"/>
                <w:szCs w:val="30"/>
              </w:rPr>
            </w:pP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项目副经理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造价管理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质量管理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材料管理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计划管理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spacing w:after="0" w:line="440" w:lineRule="exact"/>
              <w:ind w:left="63" w:right="63"/>
              <w:rPr>
                <w:rFonts w:eastAsia="仿宋_GB2312"/>
                <w:color w:val="000000"/>
                <w:kern w:val="2"/>
                <w:sz w:val="28"/>
                <w:szCs w:val="30"/>
              </w:rPr>
            </w:pPr>
          </w:p>
        </w:tc>
        <w:tc>
          <w:tcPr>
            <w:tcW w:w="1418" w:type="dxa"/>
            <w:tcBorders>
              <w:bottom w:val="nil"/>
            </w:tcBorders>
            <w:noWrap w:val="0"/>
            <w:vAlign w:val="center"/>
          </w:tcPr>
          <w:p>
            <w:pPr>
              <w:pStyle w:val="13"/>
              <w:keepNext/>
              <w:spacing w:after="0" w:line="440" w:lineRule="exact"/>
              <w:ind w:left="63" w:right="63"/>
              <w:rPr>
                <w:rFonts w:eastAsia="仿宋_GB2312"/>
                <w:color w:val="000000"/>
                <w:kern w:val="2"/>
                <w:sz w:val="28"/>
                <w:szCs w:val="30"/>
              </w:rPr>
            </w:pPr>
          </w:p>
        </w:tc>
        <w:tc>
          <w:tcPr>
            <w:tcW w:w="1134" w:type="dxa"/>
            <w:tcBorders>
              <w:bottom w:val="nil"/>
            </w:tcBorders>
            <w:noWrap w:val="0"/>
            <w:vAlign w:val="center"/>
          </w:tcPr>
          <w:p>
            <w:pPr>
              <w:pStyle w:val="13"/>
              <w:keepNext/>
              <w:spacing w:after="0" w:line="440" w:lineRule="exact"/>
              <w:ind w:left="63" w:right="63"/>
              <w:rPr>
                <w:rFonts w:eastAsia="仿宋_GB2312"/>
                <w:color w:val="000000"/>
                <w:kern w:val="2"/>
                <w:sz w:val="30"/>
                <w:szCs w:val="30"/>
              </w:rPr>
            </w:pPr>
          </w:p>
        </w:tc>
        <w:tc>
          <w:tcPr>
            <w:tcW w:w="1134" w:type="dxa"/>
            <w:tcBorders>
              <w:bottom w:val="nil"/>
            </w:tcBorders>
            <w:noWrap w:val="0"/>
            <w:vAlign w:val="center"/>
          </w:tcPr>
          <w:p>
            <w:pPr>
              <w:pStyle w:val="13"/>
              <w:keepNext/>
              <w:spacing w:after="0" w:line="440" w:lineRule="exact"/>
              <w:ind w:left="63" w:right="63"/>
              <w:rPr>
                <w:rFonts w:eastAsia="仿宋_GB2312"/>
                <w:color w:val="000000"/>
                <w:kern w:val="2"/>
                <w:sz w:val="30"/>
                <w:szCs w:val="30"/>
              </w:rPr>
            </w:pPr>
          </w:p>
        </w:tc>
        <w:tc>
          <w:tcPr>
            <w:tcW w:w="4252" w:type="dxa"/>
            <w:tcBorders>
              <w:bottom w:val="nil"/>
            </w:tcBorders>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spacing w:after="0" w:line="440" w:lineRule="exact"/>
              <w:ind w:left="63" w:right="63"/>
              <w:rPr>
                <w:rFonts w:eastAsia="仿宋_GB2312"/>
                <w:color w:val="000000"/>
                <w:kern w:val="2"/>
                <w:sz w:val="28"/>
                <w:szCs w:val="30"/>
              </w:rPr>
            </w:pP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spacing w:after="0" w:line="440" w:lineRule="exact"/>
              <w:ind w:left="63" w:right="63"/>
              <w:rPr>
                <w:rFonts w:eastAsia="仿宋_GB2312"/>
                <w:color w:val="000000"/>
                <w:kern w:val="2"/>
                <w:sz w:val="28"/>
                <w:szCs w:val="30"/>
              </w:rPr>
            </w:pP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spacing w:after="0" w:line="440" w:lineRule="exact"/>
              <w:ind w:left="63" w:right="63"/>
              <w:rPr>
                <w:rFonts w:eastAsia="仿宋_GB2312"/>
                <w:color w:val="000000"/>
                <w:kern w:val="2"/>
                <w:sz w:val="28"/>
                <w:szCs w:val="30"/>
              </w:rPr>
            </w:pPr>
          </w:p>
        </w:tc>
        <w:tc>
          <w:tcPr>
            <w:tcW w:w="1418" w:type="dxa"/>
            <w:noWrap w:val="0"/>
            <w:vAlign w:val="center"/>
          </w:tcPr>
          <w:p>
            <w:pPr>
              <w:pStyle w:val="13"/>
              <w:keepNext/>
              <w:spacing w:after="0" w:line="440" w:lineRule="exact"/>
              <w:ind w:left="63" w:right="63"/>
              <w:rPr>
                <w:rFonts w:eastAsia="仿宋_GB2312"/>
                <w:color w:val="000000"/>
                <w:kern w:val="2"/>
                <w:sz w:val="28"/>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1134" w:type="dxa"/>
            <w:noWrap w:val="0"/>
            <w:vAlign w:val="center"/>
          </w:tcPr>
          <w:p>
            <w:pPr>
              <w:pStyle w:val="13"/>
              <w:keepNext/>
              <w:spacing w:after="0" w:line="440" w:lineRule="exact"/>
              <w:ind w:left="63" w:right="63"/>
              <w:rPr>
                <w:rFonts w:eastAsia="仿宋_GB2312"/>
                <w:color w:val="000000"/>
                <w:kern w:val="2"/>
                <w:sz w:val="30"/>
                <w:szCs w:val="30"/>
              </w:rPr>
            </w:pPr>
          </w:p>
        </w:tc>
        <w:tc>
          <w:tcPr>
            <w:tcW w:w="4252" w:type="dxa"/>
            <w:noWrap w:val="0"/>
            <w:vAlign w:val="center"/>
          </w:tcPr>
          <w:p>
            <w:pPr>
              <w:pStyle w:val="13"/>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3"/>
              <w:keepNext/>
              <w:spacing w:after="0" w:line="440" w:lineRule="exact"/>
              <w:ind w:left="63" w:right="63"/>
              <w:rPr>
                <w:rFonts w:eastAsia="仿宋_GB2312"/>
                <w:color w:val="000000"/>
                <w:kern w:val="2"/>
                <w:sz w:val="28"/>
                <w:szCs w:val="30"/>
              </w:rPr>
            </w:pPr>
          </w:p>
        </w:tc>
        <w:tc>
          <w:tcPr>
            <w:tcW w:w="1418" w:type="dxa"/>
            <w:tcBorders>
              <w:bottom w:val="single" w:color="auto" w:sz="12" w:space="0"/>
            </w:tcBorders>
            <w:noWrap w:val="0"/>
            <w:vAlign w:val="center"/>
          </w:tcPr>
          <w:p>
            <w:pPr>
              <w:pStyle w:val="13"/>
              <w:keepNext/>
              <w:spacing w:after="0" w:line="440" w:lineRule="exact"/>
              <w:ind w:left="63" w:right="63"/>
              <w:rPr>
                <w:rFonts w:eastAsia="仿宋_GB2312"/>
                <w:color w:val="000000"/>
                <w:kern w:val="2"/>
                <w:sz w:val="28"/>
                <w:szCs w:val="30"/>
              </w:rPr>
            </w:pPr>
          </w:p>
        </w:tc>
        <w:tc>
          <w:tcPr>
            <w:tcW w:w="1134" w:type="dxa"/>
            <w:tcBorders>
              <w:bottom w:val="single" w:color="auto" w:sz="12" w:space="0"/>
            </w:tcBorders>
            <w:noWrap w:val="0"/>
            <w:vAlign w:val="center"/>
          </w:tcPr>
          <w:p>
            <w:pPr>
              <w:pStyle w:val="13"/>
              <w:keepNext/>
              <w:spacing w:after="0" w:line="440" w:lineRule="exact"/>
              <w:ind w:left="63" w:right="63"/>
              <w:rPr>
                <w:rFonts w:eastAsia="仿宋_GB2312"/>
                <w:color w:val="000000"/>
                <w:kern w:val="2"/>
                <w:sz w:val="30"/>
                <w:szCs w:val="30"/>
              </w:rPr>
            </w:pPr>
          </w:p>
        </w:tc>
        <w:tc>
          <w:tcPr>
            <w:tcW w:w="1134" w:type="dxa"/>
            <w:tcBorders>
              <w:bottom w:val="single" w:color="auto" w:sz="12" w:space="0"/>
            </w:tcBorders>
            <w:noWrap w:val="0"/>
            <w:vAlign w:val="center"/>
          </w:tcPr>
          <w:p>
            <w:pPr>
              <w:pStyle w:val="13"/>
              <w:keepNext/>
              <w:spacing w:after="0" w:line="440" w:lineRule="exact"/>
              <w:ind w:left="63" w:right="63"/>
              <w:rPr>
                <w:rFonts w:eastAsia="仿宋_GB2312"/>
                <w:color w:val="000000"/>
                <w:kern w:val="2"/>
                <w:sz w:val="30"/>
                <w:szCs w:val="30"/>
              </w:rPr>
            </w:pPr>
          </w:p>
        </w:tc>
        <w:tc>
          <w:tcPr>
            <w:tcW w:w="4252" w:type="dxa"/>
            <w:tcBorders>
              <w:bottom w:val="single" w:color="auto" w:sz="12" w:space="0"/>
            </w:tcBorders>
            <w:noWrap w:val="0"/>
            <w:vAlign w:val="center"/>
          </w:tcPr>
          <w:p>
            <w:pPr>
              <w:pStyle w:val="13"/>
              <w:keepNext/>
              <w:spacing w:after="0" w:line="440" w:lineRule="exact"/>
              <w:ind w:left="63" w:right="63"/>
              <w:rPr>
                <w:rFonts w:eastAsia="仿宋_GB2312"/>
                <w:color w:val="000000"/>
                <w:kern w:val="2"/>
                <w:sz w:val="30"/>
                <w:szCs w:val="30"/>
              </w:rPr>
            </w:pPr>
          </w:p>
        </w:tc>
      </w:tr>
    </w:tbl>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bookmarkStart w:id="1021" w:name="_Toc267261701"/>
      <w:r>
        <w:rPr>
          <w:rFonts w:ascii="Times New Roman" w:hAnsi="Times New Roman" w:eastAsia="仿宋_GB2312"/>
          <w:color w:val="000000"/>
          <w:sz w:val="30"/>
          <w:szCs w:val="30"/>
        </w:rPr>
        <w:t>附</w:t>
      </w:r>
      <w:bookmarkStart w:id="1022" w:name="_Toc296347230"/>
      <w:bookmarkStart w:id="1023" w:name="_Toc296891271"/>
      <w:bookmarkStart w:id="1024" w:name="_Toc296891059"/>
      <w:bookmarkStart w:id="1025" w:name="_Toc296944570"/>
      <w:bookmarkStart w:id="1026" w:name="_Toc296503231"/>
      <w:bookmarkStart w:id="1027" w:name="_Toc296346732"/>
      <w:r>
        <w:rPr>
          <w:rFonts w:ascii="Times New Roman" w:hAnsi="Times New Roman" w:eastAsia="仿宋_GB2312"/>
          <w:color w:val="000000"/>
          <w:sz w:val="30"/>
          <w:szCs w:val="30"/>
        </w:rPr>
        <w:t>件8：</w:t>
      </w:r>
    </w:p>
    <w:bookmarkEnd w:id="1021"/>
    <w:bookmarkEnd w:id="1022"/>
    <w:bookmarkEnd w:id="1023"/>
    <w:bookmarkEnd w:id="1024"/>
    <w:bookmarkEnd w:id="1025"/>
    <w:bookmarkEnd w:id="1026"/>
    <w:bookmarkEnd w:id="1027"/>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履约担保</w:t>
      </w:r>
    </w:p>
    <w:p>
      <w:pPr>
        <w:spacing w:line="440" w:lineRule="exac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rPr>
        <w:t>（发包人名称）：</w:t>
      </w:r>
    </w:p>
    <w:p>
      <w:pPr>
        <w:spacing w:line="440" w:lineRule="exact"/>
        <w:rPr>
          <w:rFonts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鉴于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（发包人名称，以下简称“发包人”）与</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（承包人名称）（以下称“承包人”）于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担保金额人民币（大写）</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担保有效期自你方与承包人签订的合同生效之日起至你方签发或应签发工程接收证书之日止。</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在本担保有效期内，因承包人违反合同约定的义务给你方造成经济损失时，我方在收到你方以书面形式提出的在担保金额内的赔偿要求后，在7天内无条件支付。</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你方和承包人按合同约定变更合同时，我方承担本担保规定的义务不变。</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因本保函发生的纠纷，可由双方协商解决，协商不成的，任何一方均可提请</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仲裁委员会仲裁。</w:t>
      </w:r>
    </w:p>
    <w:p>
      <w:pPr>
        <w:spacing w:line="360" w:lineRule="auto"/>
        <w:ind w:firstLine="600" w:firstLineChars="20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6. 本保函自我方法定代表人（或其授权代理人）签字并加盖公章之日起生效。</w:t>
      </w:r>
    </w:p>
    <w:p>
      <w:pPr>
        <w:spacing w:line="360" w:lineRule="auto"/>
        <w:rPr>
          <w:rFonts w:hint="eastAsia"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担 保 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（盖单位章）</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法定代表人或其委托代理人：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u w:val="single"/>
        </w:rPr>
      </w:pPr>
    </w:p>
    <w:p>
      <w:pPr>
        <w:spacing w:line="360" w:lineRule="auto"/>
        <w:ind w:left="1899" w:hanging="1899" w:hangingChars="633"/>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p>
    <w:p>
      <w:pPr>
        <w:spacing w:line="360" w:lineRule="auto"/>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1028" w:name="_Toc296503232"/>
      <w:bookmarkStart w:id="1029" w:name="_Toc296944571"/>
      <w:bookmarkStart w:id="1030" w:name="_Toc296346733"/>
      <w:bookmarkStart w:id="1031" w:name="_Toc296891272"/>
      <w:bookmarkStart w:id="1032" w:name="_Toc296347231"/>
      <w:bookmarkStart w:id="1033" w:name="_Toc296891060"/>
      <w:bookmarkStart w:id="1034" w:name="_Toc267261702"/>
      <w:r>
        <w:rPr>
          <w:rFonts w:ascii="Times New Roman" w:hAnsi="Times New Roman" w:eastAsia="仿宋_GB2312"/>
          <w:color w:val="000000"/>
          <w:sz w:val="30"/>
          <w:szCs w:val="30"/>
        </w:rPr>
        <w:t>件9 ：</w:t>
      </w:r>
    </w:p>
    <w:bookmarkEnd w:id="1028"/>
    <w:bookmarkEnd w:id="1029"/>
    <w:bookmarkEnd w:id="1030"/>
    <w:bookmarkEnd w:id="1031"/>
    <w:bookmarkEnd w:id="1032"/>
    <w:bookmarkEnd w:id="1033"/>
    <w:bookmarkEnd w:id="1034"/>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预付款担保</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（发包人名称）：</w:t>
      </w:r>
    </w:p>
    <w:p>
      <w:pPr>
        <w:spacing w:line="360" w:lineRule="auto"/>
        <w:rPr>
          <w:rFonts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（承包人名称）（以下称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）与</w:t>
      </w:r>
    </w:p>
    <w:p>
      <w:pPr>
        <w:spacing w:line="360" w:lineRule="auto"/>
        <w:outlineLvl w:val="0"/>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（发包人名称）（以下简称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日签订的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（工程名称）《建设工程施工合同》，承包人按约定的金额向</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提交一份预付款担保，即有权得到</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支付相等金额的预付款。我方愿意就你方提供给承包人的预付款</w:t>
      </w:r>
      <w:r>
        <w:rPr>
          <w:rFonts w:hint="eastAsia" w:ascii="Times New Roman" w:hAnsi="Times New Roman" w:eastAsia="仿宋_GB2312"/>
          <w:color w:val="000000"/>
          <w:sz w:val="30"/>
          <w:szCs w:val="30"/>
        </w:rPr>
        <w:t>为承包人</w:t>
      </w:r>
      <w:r>
        <w:rPr>
          <w:rFonts w:ascii="Times New Roman" w:hAnsi="Times New Roman" w:eastAsia="仿宋_GB2312"/>
          <w:color w:val="000000"/>
          <w:sz w:val="30"/>
          <w:szCs w:val="30"/>
        </w:rPr>
        <w:t>提供连带责任担保。</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担保金额人民币（大写）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元</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担保有效期自预付款支付给承包人起生效，至</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签发的</w:t>
      </w:r>
      <w:r>
        <w:rPr>
          <w:rFonts w:hint="eastAsia" w:ascii="Times New Roman" w:hAnsi="Times New Roman" w:eastAsia="仿宋_GB2312"/>
          <w:color w:val="000000"/>
          <w:sz w:val="30"/>
          <w:szCs w:val="30"/>
        </w:rPr>
        <w:t>进</w:t>
      </w:r>
      <w:r>
        <w:rPr>
          <w:rFonts w:ascii="Times New Roman" w:hAnsi="Times New Roman" w:eastAsia="仿宋_GB2312"/>
          <w:color w:val="000000"/>
          <w:sz w:val="30"/>
          <w:szCs w:val="30"/>
        </w:rPr>
        <w:t>度款支付证书说明已完全扣清止。</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在本保函有效期内，因承包人违反合同约定的义务而要求</w:t>
      </w:r>
      <w:r>
        <w:rPr>
          <w:rFonts w:hint="eastAsia" w:ascii="Times New Roman" w:hAnsi="Times New Roman" w:eastAsia="仿宋_GB2312"/>
          <w:color w:val="000000"/>
          <w:sz w:val="30"/>
          <w:szCs w:val="30"/>
        </w:rPr>
        <w:t>收</w:t>
      </w:r>
      <w:r>
        <w:rPr>
          <w:rFonts w:ascii="Times New Roman" w:hAnsi="Times New Roman" w:eastAsia="仿宋_GB2312"/>
          <w:color w:val="000000"/>
          <w:sz w:val="30"/>
          <w:szCs w:val="30"/>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按合同约定在向承包人签发的进度款支付证书中扣除的金额。</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4. 你方</w:t>
      </w:r>
      <w:r>
        <w:rPr>
          <w:rFonts w:ascii="Times New Roman" w:hAnsi="Times New Roman" w:eastAsia="仿宋_GB2312"/>
          <w:color w:val="000000"/>
          <w:sz w:val="30"/>
          <w:szCs w:val="30"/>
        </w:rPr>
        <w:t>和承包人按合同约定变更合同时，我方承担本保函规定的义务不变。</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ascii="Times New Roman" w:hAnsi="Times New Roman" w:eastAsia="仿宋_GB2312"/>
          <w:color w:val="000000"/>
          <w:sz w:val="30"/>
          <w:szCs w:val="30"/>
        </w:rPr>
        <w:t>因本保函发生的纠纷，可由双方协商解决，协商不成的，任何一方均可提请</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仲裁委员会仲裁。</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6. </w:t>
      </w:r>
      <w:r>
        <w:rPr>
          <w:rFonts w:ascii="Times New Roman" w:hAnsi="Times New Roman" w:eastAsia="仿宋_GB2312"/>
          <w:color w:val="000000"/>
          <w:sz w:val="30"/>
          <w:szCs w:val="30"/>
        </w:rPr>
        <w:t>本保函自我方法定代表人（或其授权代理人）签字并加盖公章之日起生效。</w:t>
      </w: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担保人：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（盖单位章）</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法定代表人或其委托代理人：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p>
    <w:p>
      <w:pPr>
        <w:spacing w:line="360" w:lineRule="auto"/>
        <w:rPr>
          <w:rFonts w:ascii="Times New Roman" w:hAnsi="Times New Roman" w:eastAsia="仿宋_GB2312"/>
          <w:color w:val="000000"/>
          <w:sz w:val="30"/>
          <w:szCs w:val="30"/>
          <w:u w:val="single"/>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spacing w:line="440" w:lineRule="exact"/>
        <w:rPr>
          <w:rFonts w:ascii="Times New Roman" w:hAnsi="Times New Roman" w:eastAsia="黑体"/>
          <w:color w:val="000000"/>
          <w:sz w:val="30"/>
          <w:szCs w:val="30"/>
        </w:rPr>
      </w:pPr>
      <w:r>
        <w:rPr>
          <w:rFonts w:ascii="Times New Roman" w:hAnsi="Times New Roman" w:eastAsia="仿宋_GB2312"/>
          <w:b/>
          <w:color w:val="000000"/>
          <w:sz w:val="30"/>
          <w:szCs w:val="30"/>
        </w:rPr>
        <w:br w:type="page"/>
      </w:r>
      <w:r>
        <w:rPr>
          <w:rFonts w:ascii="Times New Roman" w:hAnsi="Times New Roman" w:eastAsia="仿宋_GB2312"/>
          <w:color w:val="000000"/>
          <w:sz w:val="30"/>
          <w:szCs w:val="30"/>
        </w:rPr>
        <w:t>附</w:t>
      </w:r>
      <w:bookmarkStart w:id="1035" w:name="_Toc296891273"/>
      <w:bookmarkStart w:id="1036" w:name="_Toc296944572"/>
      <w:bookmarkStart w:id="1037" w:name="_Toc296346734"/>
      <w:bookmarkStart w:id="1038" w:name="_Toc296503233"/>
      <w:bookmarkStart w:id="1039" w:name="_Toc296891061"/>
      <w:bookmarkStart w:id="1040" w:name="_Toc296347232"/>
      <w:r>
        <w:rPr>
          <w:rFonts w:ascii="Times New Roman" w:hAnsi="Times New Roman" w:eastAsia="仿宋_GB2312"/>
          <w:color w:val="000000"/>
          <w:sz w:val="30"/>
          <w:szCs w:val="30"/>
        </w:rPr>
        <w:t xml:space="preserve">件10: </w:t>
      </w:r>
      <w:r>
        <w:rPr>
          <w:rFonts w:ascii="Times New Roman" w:hAnsi="Times New Roman" w:eastAsia="黑体"/>
          <w:color w:val="000000"/>
          <w:sz w:val="30"/>
          <w:szCs w:val="30"/>
        </w:rPr>
        <w:t xml:space="preserve"> </w:t>
      </w:r>
    </w:p>
    <w:bookmarkEnd w:id="1035"/>
    <w:bookmarkEnd w:id="1036"/>
    <w:bookmarkEnd w:id="1037"/>
    <w:bookmarkEnd w:id="1038"/>
    <w:bookmarkEnd w:id="1039"/>
    <w:bookmarkEnd w:id="1040"/>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支付担保</w:t>
      </w:r>
    </w:p>
    <w:p>
      <w:pPr>
        <w:spacing w:line="440" w:lineRule="exact"/>
        <w:jc w:val="lef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w:t>
      </w:r>
    </w:p>
    <w:p>
      <w:pPr>
        <w:spacing w:line="440" w:lineRule="exact"/>
        <w:jc w:val="left"/>
        <w:rPr>
          <w:rFonts w:ascii="Times New Roman" w:hAnsi="Times New Roman" w:eastAsia="仿宋_GB2312"/>
          <w:color w:val="000000"/>
          <w:sz w:val="30"/>
          <w:szCs w:val="30"/>
        </w:rPr>
      </w:pP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鉴于你方作为承包人已经与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日签订了</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（工程名称）《建设工程施工合同》（以下称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主合同</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），应发包人的申请，我方愿就发包人履行主合同约定的工程款支付义务以保证的方式向你方提供如下担保：</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一、保证的范围及保证金额</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我方的保证范围是主合同约定的工程款。</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本保函所称主合同约定的工程款是指主合同约定的除工程质量保证金以外的合同价款。</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我方保证的金额是主合同约定的工程款的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%，数额最高不超过人民币元（大写：</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二、保证的方式及保证期间</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我方保证的方式为：连带责任保证。</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我方保证的期间为：自本合同生效之日起至主合同约定的工程款支付完毕之日后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日内。</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你方与发包人协议变更工程款支付日期的，经我方书面同意后，保证期间按照变更后的支付日期做相应调整。</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三、承担保证责任的形式</w:t>
      </w: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我方承担保证责任的形式是代为支付。发包人未按主合同约定向你方支付工程款的，由我方在保证金额内代为支付。</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四、代偿的安排</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你方要求我方承担保证责任的，应向我方发出书面索赔通知及发包人未支付主合同约定工程款的证明材料。索赔通知应写明要求索赔的金额，支付款项应到达的账号。</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我方收到你方的书面索赔通知及相应的证明材料后７天内无条件支付。</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五、保证责任的解除</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在本保函承诺的保证期间内，你方未书面向我方主张保证责任的，自保证期间届满次日起，我方保证责任解除。</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发包人按主合同约定履行了工程款的全部支付义务的，自本保函承诺的保证期间届满次日起，我方保证责任解除。</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我方按照本保函向你方履行保证责任所支付金额达到本保函保证金额时，自我方向你方支付（支付款项从我方账户划出）之日起，保证责任即解除。</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4. </w:t>
      </w:r>
      <w:r>
        <w:rPr>
          <w:rFonts w:ascii="Times New Roman" w:hAnsi="Times New Roman" w:eastAsia="仿宋_GB2312"/>
          <w:color w:val="000000"/>
          <w:sz w:val="30"/>
          <w:szCs w:val="30"/>
        </w:rPr>
        <w:t>按照法律法规的规定或出现应解除我方保证责任的其他情形的，我方在本保函项下的保证责任亦解除。</w:t>
      </w:r>
    </w:p>
    <w:p>
      <w:pPr>
        <w:spacing w:line="360" w:lineRule="auto"/>
        <w:jc w:val="left"/>
        <w:rPr>
          <w:rFonts w:hint="eastAsia" w:ascii="Times New Roman" w:hAnsi="Times New Roman" w:eastAsia="仿宋_GB2312"/>
          <w:color w:val="000000"/>
          <w:sz w:val="30"/>
          <w:szCs w:val="30"/>
        </w:rPr>
      </w:pP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ascii="Times New Roman" w:hAnsi="Times New Roman" w:eastAsia="仿宋_GB2312"/>
          <w:color w:val="000000"/>
          <w:sz w:val="30"/>
          <w:szCs w:val="30"/>
        </w:rPr>
        <w:t>我方解除保证责任后，你方应自我方保证责任解除之日起</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个工作日内，将本保函原件返还我方。</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六、免责条款</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因你方违约致使发包人不能履行义务的，我方不承担保证责任。</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依照法律法规的规定或你方与发包人的另行约定，免除发包人部分或全部义务的，我方亦免除其相应的保证责任。</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变更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约定的变更不受本款限制。</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4. </w:t>
      </w:r>
      <w:r>
        <w:rPr>
          <w:rFonts w:ascii="Times New Roman" w:hAnsi="Times New Roman" w:eastAsia="仿宋_GB2312"/>
          <w:color w:val="000000"/>
          <w:sz w:val="30"/>
          <w:szCs w:val="30"/>
        </w:rPr>
        <w:t>因不可抗力造成发包人不能履行义务的，我方不承担保证责任。</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七、争议解决</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0"/>
        </w:rPr>
        <w:t>因本保函</w:t>
      </w:r>
      <w:r>
        <w:rPr>
          <w:rFonts w:hint="eastAsia" w:ascii="Times New Roman" w:hAnsi="Times New Roman" w:eastAsia="仿宋_GB2312"/>
          <w:color w:val="000000"/>
          <w:sz w:val="30"/>
          <w:szCs w:val="30"/>
        </w:rPr>
        <w:t>或本保函相关事项</w:t>
      </w:r>
      <w:r>
        <w:rPr>
          <w:rFonts w:ascii="Times New Roman" w:hAnsi="Times New Roman" w:eastAsia="仿宋_GB2312"/>
          <w:color w:val="000000"/>
          <w:sz w:val="30"/>
          <w:szCs w:val="30"/>
        </w:rPr>
        <w:t>发生的纠纷，可由双方协商解决，协商不成的，</w:t>
      </w:r>
      <w:r>
        <w:rPr>
          <w:rFonts w:ascii="Times New Roman" w:hAnsi="Times New Roman" w:eastAsia="仿宋_GB2312"/>
          <w:color w:val="000000"/>
          <w:sz w:val="30"/>
          <w:szCs w:val="32"/>
        </w:rPr>
        <w:t>按下列第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人民法院起诉。</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八、保函的生效</w:t>
      </w: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本保函自我方法定代表人（或其授权代理人）签字并加盖公章之日起生效。</w:t>
      </w:r>
    </w:p>
    <w:p>
      <w:pPr>
        <w:spacing w:line="360" w:lineRule="auto"/>
        <w:ind w:firstLine="600" w:firstLineChars="200"/>
        <w:jc w:val="left"/>
        <w:rPr>
          <w:rFonts w:hint="eastAsia" w:ascii="Times New Roman" w:hAnsi="Times New Roman" w:eastAsia="仿宋_GB2312"/>
          <w:color w:val="000000"/>
          <w:sz w:val="30"/>
          <w:szCs w:val="30"/>
        </w:rPr>
      </w:pPr>
    </w:p>
    <w:p>
      <w:pPr>
        <w:spacing w:line="360" w:lineRule="auto"/>
        <w:ind w:right="600"/>
        <w:jc w:val="left"/>
        <w:rPr>
          <w:rFonts w:hint="eastAsia" w:ascii="Times New Roman" w:hAnsi="Times New Roman" w:eastAsia="仿宋_GB2312"/>
          <w:color w:val="000000"/>
          <w:sz w:val="30"/>
          <w:szCs w:val="30"/>
        </w:rPr>
      </w:pPr>
    </w:p>
    <w:p>
      <w:pPr>
        <w:spacing w:line="360" w:lineRule="auto"/>
        <w:ind w:right="6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担保人：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（盖章）</w:t>
      </w:r>
    </w:p>
    <w:p>
      <w:pPr>
        <w:spacing w:line="360" w:lineRule="auto"/>
        <w:ind w:right="1200"/>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法定代表人或委托代理人：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ind w:right="150" w:firstLine="600" w:firstLineChars="200"/>
        <w:jc w:val="left"/>
        <w:rPr>
          <w:rFonts w:ascii="Times New Roman" w:hAnsi="Times New Roman" w:eastAsia="仿宋_GB2312"/>
          <w:color w:val="000000"/>
          <w:sz w:val="30"/>
          <w:szCs w:val="30"/>
          <w:u w:val="single"/>
        </w:rPr>
      </w:pPr>
    </w:p>
    <w:p>
      <w:pPr>
        <w:spacing w:line="360" w:lineRule="auto"/>
        <w:ind w:right="150"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附件11：</w:t>
      </w:r>
    </w:p>
    <w:p>
      <w:pPr>
        <w:spacing w:before="156" w:beforeLines="50" w:after="156" w:afterLines="50" w:line="440" w:lineRule="exact"/>
        <w:jc w:val="center"/>
        <w:outlineLvl w:val="0"/>
        <w:rPr>
          <w:rFonts w:ascii="Times New Roman" w:hAnsi="Times New Roman" w:eastAsia="黑体"/>
          <w:color w:val="000000"/>
          <w:sz w:val="30"/>
          <w:szCs w:val="30"/>
        </w:rPr>
      </w:pPr>
      <w:r>
        <w:rPr>
          <w:rFonts w:ascii="Times New Roman" w:hAnsi="Times New Roman" w:eastAsia="黑体"/>
          <w:color w:val="000000"/>
          <w:sz w:val="30"/>
          <w:szCs w:val="30"/>
        </w:rPr>
        <w:t>11-1：材料暂估价表</w:t>
      </w:r>
    </w:p>
    <w:tbl>
      <w:tblPr>
        <w:tblStyle w:val="2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名称</w:t>
            </w:r>
          </w:p>
        </w:tc>
        <w:tc>
          <w:tcPr>
            <w:tcW w:w="851"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w:t>
            </w:r>
          </w:p>
        </w:tc>
        <w:tc>
          <w:tcPr>
            <w:tcW w:w="774"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1352"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1418"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合价</w:t>
            </w:r>
            <w:r>
              <w:rPr>
                <w:rFonts w:hint="eastAsia" w:eastAsia="仿宋_GB2312"/>
                <w:color w:val="000000"/>
                <w:kern w:val="2"/>
                <w:sz w:val="28"/>
                <w:szCs w:val="30"/>
              </w:rPr>
              <w:t>（元）</w:t>
            </w:r>
          </w:p>
        </w:tc>
        <w:tc>
          <w:tcPr>
            <w:tcW w:w="1701"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1984"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851"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774"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1352"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1418"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1701"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1984"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851"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774"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1352"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1418"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1701"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bl>
    <w:p>
      <w:pPr>
        <w:spacing w:before="156" w:beforeLines="50" w:after="156" w:afterLines="50" w:line="440" w:lineRule="exact"/>
        <w:rPr>
          <w:rFonts w:hint="eastAsia" w:ascii="Times New Roman" w:hAnsi="Times New Roman" w:eastAsia="黑体"/>
          <w:color w:val="000000"/>
          <w:sz w:val="30"/>
          <w:szCs w:val="30"/>
        </w:rPr>
      </w:pPr>
    </w:p>
    <w:p>
      <w:pPr>
        <w:spacing w:before="156" w:beforeLines="50" w:after="156" w:afterLines="50" w:line="440" w:lineRule="exact"/>
        <w:jc w:val="center"/>
        <w:rPr>
          <w:rFonts w:ascii="Times New Roman" w:hAnsi="Times New Roman" w:eastAsia="黑体"/>
          <w:color w:val="000000"/>
          <w:sz w:val="30"/>
          <w:szCs w:val="30"/>
        </w:rPr>
      </w:pP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11-2：工程设备暂估价表</w:t>
      </w:r>
    </w:p>
    <w:tbl>
      <w:tblPr>
        <w:tblStyle w:val="2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名称</w:t>
            </w:r>
          </w:p>
        </w:tc>
        <w:tc>
          <w:tcPr>
            <w:tcW w:w="851"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w:t>
            </w:r>
          </w:p>
        </w:tc>
        <w:tc>
          <w:tcPr>
            <w:tcW w:w="774"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1352"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1418"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合价</w:t>
            </w:r>
            <w:r>
              <w:rPr>
                <w:rFonts w:hint="eastAsia" w:eastAsia="仿宋_GB2312"/>
                <w:color w:val="000000"/>
                <w:kern w:val="2"/>
                <w:sz w:val="28"/>
                <w:szCs w:val="30"/>
              </w:rPr>
              <w:t>（元）</w:t>
            </w:r>
          </w:p>
        </w:tc>
        <w:tc>
          <w:tcPr>
            <w:tcW w:w="1701"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1984"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851"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774"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1352"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1418"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c>
          <w:tcPr>
            <w:tcW w:w="1701" w:type="dxa"/>
            <w:tcBorders>
              <w:top w:val="double" w:color="auto" w:sz="6" w:space="0"/>
              <w:bottom w:val="single" w:color="auto" w:sz="6" w:space="0"/>
            </w:tcBorders>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1984"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851"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774"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1352"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1418"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c>
          <w:tcPr>
            <w:tcW w:w="1701" w:type="dxa"/>
            <w:tcBorders>
              <w:top w:val="nil"/>
            </w:tcBorders>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3"/>
              <w:keepNext/>
              <w:spacing w:after="0" w:line="440" w:lineRule="exact"/>
              <w:ind w:left="63" w:right="63"/>
              <w:rPr>
                <w:rFonts w:eastAsia="仿宋_GB2312"/>
                <w:color w:val="000000"/>
                <w:kern w:val="2"/>
                <w:sz w:val="28"/>
                <w:szCs w:val="30"/>
              </w:rPr>
            </w:pPr>
          </w:p>
        </w:tc>
        <w:tc>
          <w:tcPr>
            <w:tcW w:w="1984" w:type="dxa"/>
            <w:noWrap w:val="0"/>
            <w:vAlign w:val="top"/>
          </w:tcPr>
          <w:p>
            <w:pPr>
              <w:pStyle w:val="13"/>
              <w:keepNext/>
              <w:spacing w:after="0" w:line="440" w:lineRule="exact"/>
              <w:ind w:left="63" w:right="63"/>
              <w:rPr>
                <w:rFonts w:eastAsia="仿宋_GB2312"/>
                <w:color w:val="000000"/>
                <w:kern w:val="2"/>
                <w:sz w:val="28"/>
                <w:szCs w:val="30"/>
              </w:rPr>
            </w:pPr>
          </w:p>
        </w:tc>
        <w:tc>
          <w:tcPr>
            <w:tcW w:w="851" w:type="dxa"/>
            <w:noWrap w:val="0"/>
            <w:vAlign w:val="top"/>
          </w:tcPr>
          <w:p>
            <w:pPr>
              <w:pStyle w:val="13"/>
              <w:keepNext/>
              <w:spacing w:after="0" w:line="440" w:lineRule="exact"/>
              <w:ind w:left="63" w:right="63"/>
              <w:rPr>
                <w:rFonts w:eastAsia="仿宋_GB2312"/>
                <w:color w:val="000000"/>
                <w:kern w:val="2"/>
                <w:sz w:val="28"/>
                <w:szCs w:val="30"/>
              </w:rPr>
            </w:pPr>
          </w:p>
        </w:tc>
        <w:tc>
          <w:tcPr>
            <w:tcW w:w="774" w:type="dxa"/>
            <w:noWrap w:val="0"/>
            <w:vAlign w:val="top"/>
          </w:tcPr>
          <w:p>
            <w:pPr>
              <w:pStyle w:val="13"/>
              <w:keepNext/>
              <w:spacing w:after="0" w:line="440" w:lineRule="exact"/>
              <w:ind w:left="63" w:right="63"/>
              <w:rPr>
                <w:rFonts w:eastAsia="仿宋_GB2312"/>
                <w:color w:val="000000"/>
                <w:kern w:val="2"/>
                <w:sz w:val="28"/>
                <w:szCs w:val="30"/>
              </w:rPr>
            </w:pPr>
          </w:p>
        </w:tc>
        <w:tc>
          <w:tcPr>
            <w:tcW w:w="1352" w:type="dxa"/>
            <w:noWrap w:val="0"/>
            <w:vAlign w:val="top"/>
          </w:tcPr>
          <w:p>
            <w:pPr>
              <w:pStyle w:val="13"/>
              <w:keepNext/>
              <w:spacing w:after="0" w:line="440" w:lineRule="exact"/>
              <w:ind w:left="63" w:right="63"/>
              <w:rPr>
                <w:rFonts w:eastAsia="仿宋_GB2312"/>
                <w:color w:val="000000"/>
                <w:kern w:val="2"/>
                <w:sz w:val="28"/>
                <w:szCs w:val="30"/>
              </w:rPr>
            </w:pPr>
          </w:p>
        </w:tc>
        <w:tc>
          <w:tcPr>
            <w:tcW w:w="1418" w:type="dxa"/>
            <w:noWrap w:val="0"/>
            <w:vAlign w:val="top"/>
          </w:tcPr>
          <w:p>
            <w:pPr>
              <w:pStyle w:val="13"/>
              <w:keepNext/>
              <w:spacing w:after="0" w:line="440" w:lineRule="exact"/>
              <w:ind w:left="63" w:right="63"/>
              <w:rPr>
                <w:rFonts w:eastAsia="仿宋_GB2312"/>
                <w:color w:val="000000"/>
                <w:kern w:val="2"/>
                <w:sz w:val="28"/>
                <w:szCs w:val="30"/>
              </w:rPr>
            </w:pPr>
          </w:p>
        </w:tc>
        <w:tc>
          <w:tcPr>
            <w:tcW w:w="1701" w:type="dxa"/>
            <w:noWrap w:val="0"/>
            <w:vAlign w:val="top"/>
          </w:tcPr>
          <w:p>
            <w:pPr>
              <w:pStyle w:val="13"/>
              <w:keepNext/>
              <w:spacing w:after="0" w:line="440" w:lineRule="exact"/>
              <w:ind w:left="63" w:right="63"/>
              <w:rPr>
                <w:rFonts w:eastAsia="仿宋_GB2312"/>
                <w:color w:val="000000"/>
                <w:kern w:val="2"/>
                <w:sz w:val="28"/>
                <w:szCs w:val="30"/>
              </w:rPr>
            </w:pPr>
          </w:p>
        </w:tc>
      </w:tr>
    </w:tbl>
    <w:p>
      <w:pPr>
        <w:spacing w:line="440" w:lineRule="exact"/>
        <w:rPr>
          <w:rFonts w:ascii="Times New Roman" w:hAnsi="Times New Roman" w:eastAsia="仿宋_GB2312"/>
          <w:color w:val="000000"/>
          <w:sz w:val="30"/>
          <w:szCs w:val="30"/>
        </w:rPr>
      </w:pP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黑体"/>
          <w:color w:val="000000"/>
          <w:sz w:val="30"/>
          <w:szCs w:val="30"/>
        </w:rPr>
        <w:t>11-3：专业工程暂估价表</w:t>
      </w:r>
    </w:p>
    <w:tbl>
      <w:tblPr>
        <w:tblStyle w:val="28"/>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专业工程名称</w:t>
            </w:r>
          </w:p>
        </w:tc>
        <w:tc>
          <w:tcPr>
            <w:tcW w:w="4678"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工程内容</w:t>
            </w:r>
          </w:p>
        </w:tc>
        <w:tc>
          <w:tcPr>
            <w:tcW w:w="1276" w:type="dxa"/>
            <w:tcBorders>
              <w:top w:val="single" w:color="auto" w:sz="12" w:space="0"/>
              <w:bottom w:val="double" w:color="auto" w:sz="6" w:space="0"/>
            </w:tcBorders>
            <w:noWrap w:val="0"/>
            <w:vAlign w:val="top"/>
          </w:tcPr>
          <w:p>
            <w:pPr>
              <w:pStyle w:val="13"/>
              <w:keepNext/>
              <w:spacing w:after="0" w:line="440" w:lineRule="exact"/>
              <w:ind w:left="63" w:right="63"/>
              <w:rPr>
                <w:rFonts w:eastAsia="仿宋_GB2312"/>
                <w:color w:val="000000"/>
                <w:kern w:val="2"/>
                <w:sz w:val="28"/>
                <w:szCs w:val="30"/>
              </w:rPr>
            </w:pPr>
            <w:r>
              <w:rPr>
                <w:rFonts w:eastAsia="仿宋_GB2312"/>
                <w:color w:val="000000"/>
                <w:kern w:val="2"/>
                <w:sz w:val="28"/>
                <w:szCs w:val="30"/>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13"/>
              <w:keepNext/>
              <w:spacing w:after="0" w:line="440" w:lineRule="exact"/>
              <w:ind w:left="63" w:right="63"/>
              <w:rPr>
                <w:color w:val="000000"/>
                <w:kern w:val="2"/>
                <w:sz w:val="21"/>
                <w:szCs w:val="21"/>
              </w:rPr>
            </w:pPr>
          </w:p>
        </w:tc>
        <w:tc>
          <w:tcPr>
            <w:tcW w:w="1984" w:type="dxa"/>
            <w:tcBorders>
              <w:top w:val="double" w:color="auto" w:sz="6" w:space="0"/>
              <w:bottom w:val="single" w:color="auto" w:sz="6" w:space="0"/>
            </w:tcBorders>
            <w:noWrap w:val="0"/>
            <w:vAlign w:val="top"/>
          </w:tcPr>
          <w:p>
            <w:pPr>
              <w:pStyle w:val="13"/>
              <w:keepNext/>
              <w:spacing w:after="0" w:line="440" w:lineRule="exact"/>
              <w:ind w:left="63" w:right="63"/>
              <w:rPr>
                <w:color w:val="000000"/>
                <w:kern w:val="2"/>
                <w:sz w:val="21"/>
                <w:szCs w:val="21"/>
              </w:rPr>
            </w:pPr>
          </w:p>
        </w:tc>
        <w:tc>
          <w:tcPr>
            <w:tcW w:w="4678" w:type="dxa"/>
            <w:tcBorders>
              <w:top w:val="double" w:color="auto" w:sz="6" w:space="0"/>
              <w:bottom w:val="single" w:color="auto" w:sz="6" w:space="0"/>
            </w:tcBorders>
            <w:noWrap w:val="0"/>
            <w:vAlign w:val="top"/>
          </w:tcPr>
          <w:p>
            <w:pPr>
              <w:pStyle w:val="13"/>
              <w:keepNext/>
              <w:spacing w:after="0" w:line="440" w:lineRule="exact"/>
              <w:ind w:left="63" w:right="63"/>
              <w:rPr>
                <w:color w:val="000000"/>
                <w:kern w:val="2"/>
                <w:sz w:val="21"/>
                <w:szCs w:val="21"/>
              </w:rPr>
            </w:pPr>
          </w:p>
        </w:tc>
        <w:tc>
          <w:tcPr>
            <w:tcW w:w="1276" w:type="dxa"/>
            <w:tcBorders>
              <w:top w:val="double" w:color="auto" w:sz="6" w:space="0"/>
              <w:bottom w:val="single" w:color="auto" w:sz="6" w:space="0"/>
            </w:tcBorders>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3"/>
              <w:keepNext/>
              <w:spacing w:after="0" w:line="440" w:lineRule="exact"/>
              <w:ind w:left="63" w:right="63"/>
              <w:rPr>
                <w:color w:val="000000"/>
                <w:kern w:val="2"/>
                <w:sz w:val="21"/>
                <w:szCs w:val="21"/>
              </w:rPr>
            </w:pPr>
          </w:p>
        </w:tc>
        <w:tc>
          <w:tcPr>
            <w:tcW w:w="1984" w:type="dxa"/>
            <w:tcBorders>
              <w:top w:val="nil"/>
            </w:tcBorders>
            <w:noWrap w:val="0"/>
            <w:vAlign w:val="top"/>
          </w:tcPr>
          <w:p>
            <w:pPr>
              <w:pStyle w:val="13"/>
              <w:keepNext/>
              <w:spacing w:after="0" w:line="440" w:lineRule="exact"/>
              <w:ind w:left="63" w:right="63"/>
              <w:rPr>
                <w:color w:val="000000"/>
                <w:kern w:val="2"/>
                <w:sz w:val="21"/>
                <w:szCs w:val="21"/>
              </w:rPr>
            </w:pPr>
          </w:p>
        </w:tc>
        <w:tc>
          <w:tcPr>
            <w:tcW w:w="4678" w:type="dxa"/>
            <w:tcBorders>
              <w:top w:val="nil"/>
            </w:tcBorders>
            <w:noWrap w:val="0"/>
            <w:vAlign w:val="top"/>
          </w:tcPr>
          <w:p>
            <w:pPr>
              <w:pStyle w:val="13"/>
              <w:keepNext/>
              <w:spacing w:after="0" w:line="440" w:lineRule="exact"/>
              <w:ind w:left="63" w:right="63"/>
              <w:rPr>
                <w:color w:val="000000"/>
                <w:kern w:val="2"/>
                <w:sz w:val="21"/>
                <w:szCs w:val="21"/>
              </w:rPr>
            </w:pPr>
          </w:p>
        </w:tc>
        <w:tc>
          <w:tcPr>
            <w:tcW w:w="1276" w:type="dxa"/>
            <w:tcBorders>
              <w:top w:val="nil"/>
            </w:tcBorders>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3"/>
              <w:keepNext/>
              <w:spacing w:after="0" w:line="440" w:lineRule="exact"/>
              <w:ind w:left="63" w:right="63"/>
              <w:rPr>
                <w:color w:val="000000"/>
                <w:kern w:val="2"/>
                <w:sz w:val="21"/>
                <w:szCs w:val="21"/>
              </w:rPr>
            </w:pPr>
          </w:p>
        </w:tc>
        <w:tc>
          <w:tcPr>
            <w:tcW w:w="1984" w:type="dxa"/>
            <w:tcBorders>
              <w:top w:val="nil"/>
            </w:tcBorders>
            <w:noWrap w:val="0"/>
            <w:vAlign w:val="top"/>
          </w:tcPr>
          <w:p>
            <w:pPr>
              <w:pStyle w:val="13"/>
              <w:keepNext/>
              <w:spacing w:after="0" w:line="440" w:lineRule="exact"/>
              <w:ind w:left="63" w:right="63"/>
              <w:rPr>
                <w:color w:val="000000"/>
                <w:kern w:val="2"/>
                <w:sz w:val="21"/>
                <w:szCs w:val="21"/>
              </w:rPr>
            </w:pPr>
          </w:p>
        </w:tc>
        <w:tc>
          <w:tcPr>
            <w:tcW w:w="4678" w:type="dxa"/>
            <w:tcBorders>
              <w:top w:val="nil"/>
            </w:tcBorders>
            <w:noWrap w:val="0"/>
            <w:vAlign w:val="top"/>
          </w:tcPr>
          <w:p>
            <w:pPr>
              <w:pStyle w:val="13"/>
              <w:keepNext/>
              <w:spacing w:after="0" w:line="440" w:lineRule="exact"/>
              <w:ind w:left="63" w:right="63"/>
              <w:rPr>
                <w:color w:val="000000"/>
                <w:kern w:val="2"/>
                <w:sz w:val="21"/>
                <w:szCs w:val="21"/>
              </w:rPr>
            </w:pPr>
          </w:p>
        </w:tc>
        <w:tc>
          <w:tcPr>
            <w:tcW w:w="1276" w:type="dxa"/>
            <w:tcBorders>
              <w:top w:val="nil"/>
            </w:tcBorders>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spacing w:after="0" w:line="440" w:lineRule="exact"/>
              <w:ind w:left="63" w:right="63"/>
              <w:rPr>
                <w:color w:val="000000"/>
                <w:kern w:val="2"/>
                <w:sz w:val="21"/>
                <w:szCs w:val="21"/>
              </w:rPr>
            </w:pPr>
          </w:p>
        </w:tc>
        <w:tc>
          <w:tcPr>
            <w:tcW w:w="1984" w:type="dxa"/>
            <w:noWrap w:val="0"/>
            <w:vAlign w:val="top"/>
          </w:tcPr>
          <w:p>
            <w:pPr>
              <w:pStyle w:val="13"/>
              <w:keepNext/>
              <w:spacing w:after="0" w:line="440" w:lineRule="exact"/>
              <w:ind w:left="63" w:right="63"/>
              <w:rPr>
                <w:color w:val="000000"/>
                <w:kern w:val="2"/>
                <w:sz w:val="21"/>
                <w:szCs w:val="21"/>
              </w:rPr>
            </w:pPr>
          </w:p>
        </w:tc>
        <w:tc>
          <w:tcPr>
            <w:tcW w:w="4678" w:type="dxa"/>
            <w:noWrap w:val="0"/>
            <w:vAlign w:val="top"/>
          </w:tcPr>
          <w:p>
            <w:pPr>
              <w:pStyle w:val="13"/>
              <w:keepNext/>
              <w:spacing w:after="0" w:line="440" w:lineRule="exact"/>
              <w:ind w:left="63" w:right="63"/>
              <w:rPr>
                <w:color w:val="000000"/>
                <w:kern w:val="2"/>
                <w:sz w:val="21"/>
                <w:szCs w:val="21"/>
              </w:rPr>
            </w:pPr>
          </w:p>
        </w:tc>
        <w:tc>
          <w:tcPr>
            <w:tcW w:w="1276" w:type="dxa"/>
            <w:noWrap w:val="0"/>
            <w:vAlign w:val="top"/>
          </w:tcPr>
          <w:p>
            <w:pPr>
              <w:pStyle w:val="13"/>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13"/>
              <w:keepNext/>
              <w:spacing w:after="0" w:line="440" w:lineRule="exact"/>
              <w:ind w:left="63" w:right="63"/>
              <w:rPr>
                <w:color w:val="000000"/>
                <w:kern w:val="2"/>
                <w:sz w:val="21"/>
                <w:szCs w:val="21"/>
              </w:rPr>
            </w:pPr>
            <w:r>
              <w:rPr>
                <w:rFonts w:eastAsia="仿宋_GB2312"/>
                <w:color w:val="000000"/>
                <w:kern w:val="2"/>
                <w:sz w:val="28"/>
                <w:szCs w:val="30"/>
              </w:rPr>
              <w:t>小计：</w:t>
            </w:r>
          </w:p>
        </w:tc>
      </w:tr>
    </w:tbl>
    <w:p>
      <w:pPr>
        <w:rPr>
          <w:rFonts w:ascii="Times New Roman" w:hAnsi="Times New Roman"/>
        </w:rPr>
      </w:pPr>
    </w:p>
    <w:p>
      <w:pPr>
        <w:widowControl/>
        <w:jc w:val="left"/>
        <w:rPr>
          <w:rFonts w:hint="eastAsia" w:ascii="宋体" w:hAnsi="宋体"/>
          <w:b/>
          <w:color w:val="000000" w:themeColor="text1"/>
          <w:sz w:val="36"/>
          <w:szCs w:val="36"/>
          <w:highlight w:val="none"/>
          <w14:textFill>
            <w14:solidFill>
              <w14:schemeClr w14:val="tx1"/>
            </w14:solidFill>
          </w14:textFill>
        </w:rPr>
      </w:pPr>
    </w:p>
    <w:p>
      <w:pPr>
        <w:widowControl/>
        <w:jc w:val="left"/>
        <w:rPr>
          <w:rFonts w:hint="eastAsia" w:ascii="宋体" w:hAnsi="宋体"/>
          <w:b/>
          <w:color w:val="000000" w:themeColor="text1"/>
          <w:sz w:val="36"/>
          <w:szCs w:val="36"/>
          <w:highlight w:val="none"/>
          <w14:textFill>
            <w14:solidFill>
              <w14:schemeClr w14:val="tx1"/>
            </w14:solidFill>
          </w14:textFill>
        </w:rPr>
      </w:pPr>
    </w:p>
    <w:p>
      <w:pPr>
        <w:widowControl/>
        <w:jc w:val="cente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第六章：响应文件格式附件</w:t>
      </w:r>
    </w:p>
    <w:p>
      <w:pPr>
        <w:widowControl/>
        <w:jc w:val="left"/>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p>
    <w:p>
      <w:pPr>
        <w:rPr>
          <w:rFonts w:ascii="宋体" w:hAnsi="宋体"/>
          <w:b/>
          <w:bCs/>
          <w:color w:val="000000" w:themeColor="text1"/>
          <w:sz w:val="32"/>
          <w:szCs w:val="32"/>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pPr>
        <w:spacing w:line="400" w:lineRule="exact"/>
        <w:textAlignment w:val="baseline"/>
        <w:rPr>
          <w:b/>
          <w:bCs/>
          <w:color w:val="000000"/>
          <w:sz w:val="44"/>
          <w:szCs w:val="44"/>
          <w:highlight w:val="none"/>
        </w:rPr>
      </w:pPr>
      <w:r>
        <w:rPr>
          <w:sz w:val="36"/>
          <w:szCs w:val="36"/>
          <w:highlight w:val="none"/>
        </w:rPr>
        <w:t xml:space="preserve">                          </w:t>
      </w:r>
      <w:r>
        <w:rPr>
          <w:b/>
          <w:bCs/>
          <w:color w:val="000000"/>
          <w:sz w:val="44"/>
          <w:szCs w:val="44"/>
          <w:highlight w:val="none"/>
        </w:rPr>
        <w:t xml:space="preserve"> </w:t>
      </w:r>
    </w:p>
    <w:p>
      <w:pPr>
        <w:adjustRightInd w:val="0"/>
        <w:snapToGrid w:val="0"/>
        <w:spacing w:line="500" w:lineRule="exact"/>
        <w:ind w:left="1814" w:leftChars="270" w:hanging="1247" w:hangingChars="345"/>
        <w:jc w:val="center"/>
        <w:rPr>
          <w:rFonts w:ascii="宋体" w:hAnsi="宋体"/>
          <w:b/>
          <w:bCs/>
          <w:color w:val="000000"/>
          <w:sz w:val="36"/>
          <w:szCs w:val="36"/>
          <w:highlight w:val="none"/>
        </w:rPr>
      </w:pPr>
      <w:r>
        <w:rPr>
          <w:rFonts w:hint="eastAsia" w:ascii="宋体" w:hAnsi="宋体"/>
          <w:b/>
          <w:bCs/>
          <w:color w:val="000000"/>
          <w:sz w:val="36"/>
          <w:szCs w:val="36"/>
          <w:highlight w:val="none"/>
        </w:rPr>
        <w:t>大楼中央空调整体改造项目一期</w:t>
      </w:r>
    </w:p>
    <w:p>
      <w:pPr>
        <w:adjustRightInd w:val="0"/>
        <w:snapToGrid w:val="0"/>
        <w:spacing w:line="400" w:lineRule="exact"/>
        <w:ind w:left="1533" w:leftChars="270" w:hanging="966" w:hangingChars="345"/>
        <w:jc w:val="center"/>
        <w:rPr>
          <w:rFonts w:hint="eastAsia" w:ascii="宋体" w:hAnsi="宋体" w:eastAsia="宋体"/>
          <w:sz w:val="28"/>
          <w:szCs w:val="28"/>
          <w:highlight w:val="none"/>
          <w:lang w:eastAsia="zh-CN"/>
        </w:rPr>
      </w:pPr>
      <w:r>
        <w:rPr>
          <w:rFonts w:ascii="宋体" w:hAnsi="宋体"/>
          <w:sz w:val="28"/>
          <w:szCs w:val="28"/>
          <w:highlight w:val="none"/>
        </w:rPr>
        <w:t>项目编号：</w:t>
      </w:r>
      <w:r>
        <w:rPr>
          <w:rFonts w:hint="eastAsia" w:ascii="宋体" w:hAnsi="宋体"/>
          <w:kern w:val="0"/>
          <w:sz w:val="28"/>
          <w:szCs w:val="28"/>
          <w:highlight w:val="none"/>
          <w:lang w:eastAsia="zh-CN"/>
        </w:rPr>
        <w:t>杭政采分-2020-02923[HZZFCG-YS-2020-08323]</w:t>
      </w:r>
    </w:p>
    <w:p>
      <w:pPr>
        <w:adjustRightInd w:val="0"/>
        <w:snapToGrid w:val="0"/>
        <w:spacing w:line="400" w:lineRule="exact"/>
        <w:rPr>
          <w:rFonts w:ascii="Times New Roman" w:hAnsi="Times New Roman" w:eastAsia="楷体_GB2312"/>
          <w:b/>
          <w:bCs/>
          <w:sz w:val="30"/>
          <w:szCs w:val="30"/>
          <w:highlight w:val="none"/>
        </w:rPr>
      </w:pPr>
      <w:r>
        <w:rPr>
          <w:rFonts w:eastAsia="楷体_GB2312"/>
          <w:b/>
          <w:bCs/>
          <w:sz w:val="30"/>
          <w:szCs w:val="30"/>
          <w:highlight w:val="none"/>
        </w:rPr>
        <w:t xml:space="preserve"> </w:t>
      </w:r>
    </w:p>
    <w:p>
      <w:pPr>
        <w:spacing w:line="600" w:lineRule="exact"/>
        <w:jc w:val="center"/>
        <w:textAlignment w:val="baseline"/>
        <w:rPr>
          <w:sz w:val="36"/>
          <w:szCs w:val="36"/>
          <w:highlight w:val="none"/>
        </w:rPr>
      </w:pPr>
      <w:r>
        <w:rPr>
          <w:sz w:val="48"/>
          <w:szCs w:val="48"/>
          <w:highlight w:val="none"/>
        </w:rPr>
        <w:t xml:space="preserve">  </w:t>
      </w:r>
      <w:r>
        <w:rPr>
          <w:rFonts w:ascii="宋体" w:hAnsi="宋体"/>
          <w:sz w:val="36"/>
          <w:szCs w:val="36"/>
          <w:highlight w:val="none"/>
        </w:rPr>
        <w:t>（资格证明文件</w:t>
      </w:r>
      <w:r>
        <w:rPr>
          <w:rFonts w:hint="eastAsia" w:ascii="宋体" w:hAnsi="宋体"/>
          <w:sz w:val="36"/>
          <w:szCs w:val="36"/>
          <w:highlight w:val="none"/>
        </w:rPr>
        <w:t>/商务与技术文件</w:t>
      </w:r>
      <w:r>
        <w:rPr>
          <w:rFonts w:hint="eastAsia"/>
          <w:sz w:val="36"/>
          <w:szCs w:val="36"/>
          <w:highlight w:val="none"/>
        </w:rPr>
        <w:t>/</w:t>
      </w:r>
      <w:r>
        <w:rPr>
          <w:rFonts w:hint="eastAsia" w:ascii="宋体" w:hAnsi="宋体"/>
          <w:sz w:val="36"/>
          <w:szCs w:val="36"/>
          <w:highlight w:val="none"/>
        </w:rPr>
        <w:t>报价文件</w:t>
      </w:r>
      <w:r>
        <w:rPr>
          <w:rFonts w:ascii="宋体" w:hAnsi="宋体"/>
          <w:sz w:val="36"/>
          <w:szCs w:val="36"/>
          <w:highlight w:val="none"/>
        </w:rPr>
        <w:t>）</w:t>
      </w:r>
    </w:p>
    <w:p>
      <w:pPr>
        <w:spacing w:line="840" w:lineRule="exact"/>
        <w:jc w:val="center"/>
        <w:textAlignment w:val="baseline"/>
        <w:rPr>
          <w:sz w:val="84"/>
          <w:szCs w:val="84"/>
          <w:highlight w:val="none"/>
        </w:rPr>
      </w:pPr>
      <w:r>
        <w:rPr>
          <w:sz w:val="84"/>
          <w:szCs w:val="84"/>
          <w:highlight w:val="none"/>
        </w:rPr>
        <w:t xml:space="preserve"> </w:t>
      </w:r>
    </w:p>
    <w:p>
      <w:pPr>
        <w:spacing w:line="840" w:lineRule="exact"/>
        <w:jc w:val="center"/>
        <w:textAlignment w:val="baseline"/>
        <w:rPr>
          <w:sz w:val="84"/>
          <w:szCs w:val="84"/>
          <w:highlight w:val="none"/>
        </w:rPr>
      </w:pPr>
      <w:r>
        <w:rPr>
          <w:rFonts w:hint="eastAsia" w:ascii="宋体" w:hAnsi="宋体"/>
          <w:sz w:val="84"/>
          <w:szCs w:val="84"/>
          <w:highlight w:val="none"/>
        </w:rPr>
        <w:t xml:space="preserve"> 响</w:t>
      </w:r>
    </w:p>
    <w:p>
      <w:pPr>
        <w:spacing w:line="840" w:lineRule="exact"/>
        <w:jc w:val="center"/>
        <w:textAlignment w:val="baseline"/>
        <w:rPr>
          <w:sz w:val="84"/>
          <w:szCs w:val="84"/>
          <w:highlight w:val="none"/>
        </w:rPr>
      </w:pPr>
      <w:r>
        <w:rPr>
          <w:rFonts w:hint="eastAsia" w:ascii="宋体" w:hAnsi="宋体"/>
          <w:sz w:val="84"/>
          <w:szCs w:val="84"/>
          <w:highlight w:val="none"/>
        </w:rPr>
        <w:t xml:space="preserve"> 应</w:t>
      </w:r>
    </w:p>
    <w:p>
      <w:pPr>
        <w:spacing w:line="840" w:lineRule="exact"/>
        <w:jc w:val="center"/>
        <w:textAlignment w:val="baseline"/>
        <w:rPr>
          <w:sz w:val="84"/>
          <w:szCs w:val="84"/>
          <w:highlight w:val="none"/>
        </w:rPr>
      </w:pPr>
      <w:r>
        <w:rPr>
          <w:rFonts w:hint="eastAsia" w:ascii="宋体" w:hAnsi="宋体"/>
          <w:sz w:val="84"/>
          <w:szCs w:val="84"/>
          <w:highlight w:val="none"/>
        </w:rPr>
        <w:t xml:space="preserve"> </w:t>
      </w:r>
      <w:r>
        <w:rPr>
          <w:rFonts w:ascii="宋体" w:hAnsi="宋体"/>
          <w:sz w:val="84"/>
          <w:szCs w:val="84"/>
          <w:highlight w:val="none"/>
        </w:rPr>
        <w:t>文</w:t>
      </w:r>
    </w:p>
    <w:p>
      <w:pPr>
        <w:spacing w:line="840" w:lineRule="exact"/>
        <w:jc w:val="center"/>
        <w:textAlignment w:val="baseline"/>
        <w:rPr>
          <w:sz w:val="84"/>
          <w:szCs w:val="84"/>
          <w:highlight w:val="none"/>
        </w:rPr>
      </w:pPr>
      <w:r>
        <w:rPr>
          <w:rFonts w:hint="eastAsia" w:ascii="宋体" w:hAnsi="宋体"/>
          <w:sz w:val="84"/>
          <w:szCs w:val="84"/>
          <w:highlight w:val="none"/>
        </w:rPr>
        <w:t xml:space="preserve"> </w:t>
      </w:r>
      <w:r>
        <w:rPr>
          <w:rFonts w:ascii="宋体" w:hAnsi="宋体"/>
          <w:sz w:val="84"/>
          <w:szCs w:val="84"/>
          <w:highlight w:val="none"/>
        </w:rPr>
        <w:t>件</w:t>
      </w:r>
    </w:p>
    <w:p>
      <w:pPr>
        <w:spacing w:line="400" w:lineRule="exact"/>
        <w:ind w:firstLine="1980" w:firstLineChars="550"/>
        <w:rPr>
          <w:sz w:val="36"/>
          <w:szCs w:val="36"/>
          <w:highlight w:val="none"/>
        </w:rPr>
      </w:pPr>
      <w:r>
        <w:rPr>
          <w:sz w:val="36"/>
          <w:szCs w:val="36"/>
          <w:highlight w:val="none"/>
        </w:rPr>
        <w:t xml:space="preserve"> </w:t>
      </w:r>
    </w:p>
    <w:p>
      <w:pPr>
        <w:spacing w:line="400" w:lineRule="exact"/>
        <w:ind w:firstLine="1980" w:firstLineChars="550"/>
        <w:rPr>
          <w:sz w:val="36"/>
          <w:szCs w:val="36"/>
          <w:highlight w:val="none"/>
        </w:rPr>
      </w:pPr>
      <w:r>
        <w:rPr>
          <w:sz w:val="36"/>
          <w:szCs w:val="36"/>
          <w:highlight w:val="none"/>
        </w:rPr>
        <w:t xml:space="preserve"> </w:t>
      </w:r>
    </w:p>
    <w:p>
      <w:pPr>
        <w:spacing w:line="400" w:lineRule="exact"/>
        <w:ind w:firstLine="1155" w:firstLineChars="550"/>
        <w:rPr>
          <w:sz w:val="36"/>
          <w:szCs w:val="36"/>
          <w:highlight w:val="none"/>
        </w:rPr>
      </w:pPr>
      <w:r>
        <w:rPr>
          <w:highlight w:val="none"/>
        </w:rPr>
        <w:t xml:space="preserve"> </w:t>
      </w:r>
    </w:p>
    <w:p>
      <w:pPr>
        <w:spacing w:line="600" w:lineRule="exact"/>
        <w:ind w:firstLine="1980" w:firstLineChars="550"/>
        <w:rPr>
          <w:sz w:val="36"/>
          <w:szCs w:val="36"/>
          <w:highlight w:val="none"/>
        </w:rPr>
      </w:pPr>
      <w:r>
        <w:rPr>
          <w:rFonts w:hint="eastAsia" w:ascii="宋体" w:hAnsi="宋体"/>
          <w:sz w:val="36"/>
          <w:szCs w:val="36"/>
          <w:highlight w:val="none"/>
        </w:rPr>
        <w:t>供应商</w:t>
      </w:r>
      <w:r>
        <w:rPr>
          <w:rFonts w:ascii="宋体" w:hAnsi="宋体"/>
          <w:sz w:val="36"/>
          <w:szCs w:val="36"/>
          <w:highlight w:val="none"/>
        </w:rPr>
        <w:t>全称：（加盖单位</w:t>
      </w:r>
      <w:r>
        <w:rPr>
          <w:rFonts w:hint="eastAsia" w:ascii="宋体" w:hAnsi="宋体"/>
          <w:sz w:val="36"/>
          <w:szCs w:val="36"/>
          <w:highlight w:val="none"/>
        </w:rPr>
        <w:t>电子</w:t>
      </w:r>
      <w:r>
        <w:rPr>
          <w:rFonts w:ascii="宋体" w:hAnsi="宋体"/>
          <w:sz w:val="36"/>
          <w:szCs w:val="36"/>
          <w:highlight w:val="none"/>
        </w:rPr>
        <w:t>公章）</w:t>
      </w:r>
    </w:p>
    <w:p>
      <w:pPr>
        <w:spacing w:line="400" w:lineRule="exact"/>
        <w:ind w:firstLine="1980" w:firstLineChars="550"/>
        <w:rPr>
          <w:sz w:val="36"/>
          <w:szCs w:val="36"/>
          <w:highlight w:val="none"/>
        </w:rPr>
      </w:pPr>
      <w:r>
        <w:rPr>
          <w:rFonts w:ascii="宋体" w:hAnsi="宋体"/>
          <w:sz w:val="36"/>
          <w:szCs w:val="36"/>
          <w:highlight w:val="none"/>
        </w:rPr>
        <w:t>法定代表人：（</w:t>
      </w:r>
      <w:r>
        <w:rPr>
          <w:rFonts w:hint="eastAsia" w:ascii="宋体" w:hAnsi="宋体"/>
          <w:sz w:val="36"/>
          <w:szCs w:val="36"/>
          <w:highlight w:val="none"/>
        </w:rPr>
        <w:t>签字或盖章</w:t>
      </w:r>
      <w:r>
        <w:rPr>
          <w:rFonts w:ascii="宋体" w:hAnsi="宋体"/>
          <w:sz w:val="36"/>
          <w:szCs w:val="36"/>
          <w:highlight w:val="none"/>
        </w:rPr>
        <w:t>）</w:t>
      </w:r>
    </w:p>
    <w:p>
      <w:pPr>
        <w:spacing w:line="600" w:lineRule="exact"/>
        <w:ind w:firstLine="1980" w:firstLineChars="550"/>
        <w:rPr>
          <w:sz w:val="36"/>
          <w:szCs w:val="36"/>
          <w:highlight w:val="none"/>
        </w:rPr>
      </w:pPr>
      <w:r>
        <w:rPr>
          <w:sz w:val="36"/>
          <w:szCs w:val="36"/>
          <w:highlight w:val="none"/>
        </w:rPr>
        <w:t xml:space="preserve"> </w:t>
      </w:r>
    </w:p>
    <w:p>
      <w:pPr>
        <w:spacing w:line="400" w:lineRule="exact"/>
        <w:ind w:firstLine="4320" w:firstLineChars="1200"/>
        <w:rPr>
          <w:sz w:val="36"/>
          <w:szCs w:val="36"/>
          <w:highlight w:val="none"/>
        </w:rPr>
      </w:pPr>
      <w:r>
        <w:rPr>
          <w:sz w:val="36"/>
          <w:szCs w:val="36"/>
          <w:highlight w:val="none"/>
        </w:rPr>
        <w:t xml:space="preserve"> </w:t>
      </w:r>
    </w:p>
    <w:p>
      <w:pPr>
        <w:spacing w:line="400" w:lineRule="exact"/>
        <w:ind w:firstLine="4320" w:firstLineChars="1200"/>
        <w:rPr>
          <w:sz w:val="36"/>
          <w:szCs w:val="36"/>
          <w:highlight w:val="none"/>
        </w:rPr>
      </w:pPr>
      <w:r>
        <w:rPr>
          <w:rFonts w:ascii="宋体" w:hAnsi="宋体"/>
          <w:sz w:val="36"/>
          <w:szCs w:val="36"/>
          <w:highlight w:val="none"/>
        </w:rPr>
        <w:t>年</w:t>
      </w:r>
      <w:r>
        <w:rPr>
          <w:sz w:val="36"/>
          <w:szCs w:val="36"/>
          <w:highlight w:val="none"/>
        </w:rPr>
        <w:t xml:space="preserve">   </w:t>
      </w:r>
      <w:r>
        <w:rPr>
          <w:rFonts w:ascii="宋体" w:hAnsi="宋体"/>
          <w:sz w:val="36"/>
          <w:szCs w:val="36"/>
          <w:highlight w:val="none"/>
        </w:rPr>
        <w:t>月</w:t>
      </w:r>
      <w:r>
        <w:rPr>
          <w:sz w:val="36"/>
          <w:szCs w:val="36"/>
          <w:highlight w:val="none"/>
        </w:rPr>
        <w:t xml:space="preserve">   </w:t>
      </w:r>
      <w:r>
        <w:rPr>
          <w:rFonts w:ascii="宋体" w:hAnsi="宋体"/>
          <w:sz w:val="36"/>
          <w:szCs w:val="36"/>
          <w:highlight w:val="none"/>
        </w:rPr>
        <w:t>日</w:t>
      </w:r>
    </w:p>
    <w:p>
      <w:pPr>
        <w:spacing w:line="400" w:lineRule="exact"/>
        <w:rPr>
          <w:rFonts w:ascii="宋体" w:hAnsi="宋体"/>
          <w:sz w:val="24"/>
          <w:highlight w:val="none"/>
        </w:rPr>
      </w:pPr>
      <w:r>
        <w:rPr>
          <w:rFonts w:hint="eastAsia" w:ascii="宋体" w:hAnsi="宋体"/>
          <w:highlight w:val="none"/>
        </w:rPr>
        <w:t xml:space="preserve"> </w:t>
      </w:r>
    </w:p>
    <w:p>
      <w:pPr>
        <w:pStyle w:val="53"/>
        <w:rPr>
          <w:rFonts w:ascii="宋体" w:hAnsi="宋体"/>
          <w:highlight w:val="none"/>
        </w:rPr>
        <w:sectPr>
          <w:pgSz w:w="12240" w:h="15840"/>
          <w:pgMar w:top="1440" w:right="1800" w:bottom="1440" w:left="1800" w:header="720" w:footer="720" w:gutter="0"/>
          <w:cols w:space="720" w:num="1"/>
        </w:sectPr>
      </w:pPr>
    </w:p>
    <w:p>
      <w:pPr>
        <w:wordWrap w:val="0"/>
        <w:spacing w:line="360" w:lineRule="auto"/>
        <w:contextualSpacing/>
        <w:jc w:val="left"/>
        <w:outlineLvl w:val="3"/>
        <w:rPr>
          <w:rFonts w:ascii="仿宋" w:hAnsi="仿宋" w:eastAsia="华文中宋"/>
          <w:b/>
          <w:bCs/>
          <w:sz w:val="28"/>
          <w:szCs w:val="28"/>
          <w:highlight w:val="none"/>
        </w:rPr>
      </w:pPr>
      <w:r>
        <w:rPr>
          <w:rFonts w:hint="eastAsia" w:ascii="仿宋" w:hAnsi="仿宋" w:eastAsia="华文中宋"/>
          <w:b/>
          <w:bCs/>
          <w:sz w:val="28"/>
          <w:szCs w:val="28"/>
          <w:highlight w:val="none"/>
        </w:rPr>
        <w:t>附件2</w:t>
      </w:r>
    </w:p>
    <w:p>
      <w:pPr>
        <w:wordWrap w:val="0"/>
        <w:spacing w:line="360" w:lineRule="auto"/>
        <w:contextualSpacing/>
        <w:jc w:val="center"/>
        <w:outlineLvl w:val="3"/>
        <w:rPr>
          <w:rFonts w:ascii="仿宋" w:hAnsi="仿宋" w:eastAsia="华文中宋"/>
          <w:b/>
          <w:bCs/>
          <w:kern w:val="0"/>
          <w:sz w:val="28"/>
          <w:szCs w:val="28"/>
          <w:highlight w:val="none"/>
        </w:rPr>
      </w:pPr>
      <w:r>
        <w:rPr>
          <w:rFonts w:hint="eastAsia" w:ascii="华文中宋" w:hAnsi="华文中宋" w:eastAsia="华文中宋"/>
          <w:b/>
          <w:bCs/>
          <w:sz w:val="28"/>
          <w:szCs w:val="28"/>
          <w:highlight w:val="none"/>
        </w:rPr>
        <w:t>具有独立承担民事责任的能力：</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供应商须在响应文件中出具符合以下情况的证明材料复印件（五选一）：</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1）如供应商是企业（包括合伙企业），提供在工商部门注册的有效“企业法人营业执照”或“营业执照”；</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2）如供应商是事业单位，提供有效的“事业单位法人证书”；</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3）如供应商是非企业专业服务机构的，提供执业许可证等证明文件；</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4）如供应商是个体工商户，提供有效的“个体工商户营业执照”；</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5）如供应商是自然人，提供有效的自然人身份证明（居民身份证正反面或公安机关出具的临时居民身份证正反面或港澳台胞证或护照）。</w:t>
      </w:r>
    </w:p>
    <w:p>
      <w:pPr>
        <w:wordWrap w:val="0"/>
        <w:spacing w:line="360" w:lineRule="auto"/>
        <w:contextualSpacing/>
        <w:jc w:val="left"/>
        <w:outlineLvl w:val="3"/>
        <w:rPr>
          <w:rFonts w:ascii="仿宋" w:hAnsi="仿宋" w:eastAsia="华文中宋"/>
          <w:b/>
          <w:bCs/>
          <w:sz w:val="28"/>
          <w:szCs w:val="28"/>
          <w:highlight w:val="none"/>
        </w:rPr>
      </w:pPr>
      <w:r>
        <w:rPr>
          <w:rFonts w:hint="eastAsia" w:ascii="宋体" w:hAnsi="宋体"/>
          <w:b/>
          <w:bCs/>
          <w:sz w:val="28"/>
          <w:szCs w:val="28"/>
          <w:highlight w:val="none"/>
        </w:rPr>
        <w:br w:type="page"/>
      </w:r>
      <w:r>
        <w:rPr>
          <w:rFonts w:hint="eastAsia" w:ascii="仿宋" w:hAnsi="仿宋" w:eastAsia="华文中宋"/>
          <w:b/>
          <w:bCs/>
          <w:sz w:val="28"/>
          <w:szCs w:val="28"/>
          <w:highlight w:val="none"/>
        </w:rPr>
        <w:t>附件3</w:t>
      </w:r>
    </w:p>
    <w:p>
      <w:pPr>
        <w:wordWrap w:val="0"/>
        <w:spacing w:line="360" w:lineRule="auto"/>
        <w:contextualSpacing/>
        <w:jc w:val="center"/>
        <w:outlineLvl w:val="3"/>
        <w:rPr>
          <w:rFonts w:ascii="仿宋" w:hAnsi="仿宋" w:eastAsia="华文中宋"/>
          <w:b/>
          <w:bCs/>
          <w:kern w:val="0"/>
          <w:sz w:val="28"/>
          <w:szCs w:val="28"/>
          <w:highlight w:val="none"/>
        </w:rPr>
      </w:pPr>
      <w:r>
        <w:rPr>
          <w:rFonts w:hint="eastAsia" w:ascii="华文中宋" w:hAnsi="华文中宋" w:eastAsia="华文中宋"/>
          <w:b/>
          <w:bCs/>
          <w:sz w:val="28"/>
          <w:szCs w:val="28"/>
          <w:highlight w:val="none"/>
        </w:rPr>
        <w:t>具有良好的商业信誉和健全的财务会计制度的证明材料：</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供应商须在响应文件中出具符合以下情况的证明材料复印件（三选一）：</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1）供应商是法人的，应提供最近一个年度经审计的财务报告，包括资产负债表、利润表或损益表(执行《小企业会计准则》的提供资产负债表和利润表两张基本报表），未经审计的，提供资产负债表、利润表或损益表。</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2）其他组织和自然人如没有经审计的财务报告的，可以提供资产负债表、利润表或损益表。</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3）新成立不足一年的公司须出具情况说明。</w:t>
      </w:r>
    </w:p>
    <w:p>
      <w:pPr>
        <w:wordWrap w:val="0"/>
        <w:spacing w:line="360" w:lineRule="auto"/>
        <w:ind w:firstLine="420" w:firstLineChars="200"/>
        <w:contextualSpacing/>
        <w:rPr>
          <w:rFonts w:ascii="华文中宋" w:hAnsi="华文中宋" w:eastAsia="华文中宋"/>
          <w:szCs w:val="21"/>
          <w:highlight w:val="none"/>
        </w:rPr>
      </w:pPr>
      <w:r>
        <w:rPr>
          <w:rFonts w:hint="eastAsia" w:ascii="华文中宋" w:hAnsi="华文中宋" w:eastAsia="华文中宋"/>
          <w:szCs w:val="21"/>
          <w:highlight w:val="none"/>
        </w:rPr>
        <w:t xml:space="preserve"> </w:t>
      </w:r>
    </w:p>
    <w:p>
      <w:pPr>
        <w:wordWrap w:val="0"/>
        <w:spacing w:line="360" w:lineRule="auto"/>
        <w:ind w:firstLine="420" w:firstLineChars="200"/>
        <w:contextualSpacing/>
        <w:rPr>
          <w:rFonts w:ascii="华文中宋" w:hAnsi="华文中宋" w:eastAsia="华文中宋"/>
          <w:szCs w:val="21"/>
          <w:highlight w:val="none"/>
        </w:rPr>
      </w:pPr>
      <w:r>
        <w:rPr>
          <w:rFonts w:hint="eastAsia" w:ascii="华文中宋" w:hAnsi="华文中宋" w:eastAsia="华文中宋"/>
          <w:szCs w:val="21"/>
          <w:highlight w:val="none"/>
        </w:rPr>
        <w:t xml:space="preserve">  </w:t>
      </w:r>
    </w:p>
    <w:p>
      <w:pPr>
        <w:wordWrap w:val="0"/>
        <w:spacing w:line="360" w:lineRule="auto"/>
        <w:ind w:firstLine="420" w:firstLineChars="200"/>
        <w:contextualSpacing/>
        <w:rPr>
          <w:rFonts w:ascii="华文中宋" w:hAnsi="华文中宋" w:eastAsia="华文中宋"/>
          <w:szCs w:val="21"/>
          <w:highlight w:val="none"/>
        </w:rPr>
      </w:pPr>
      <w:r>
        <w:rPr>
          <w:rFonts w:hint="eastAsia" w:ascii="华文中宋" w:hAnsi="华文中宋" w:eastAsia="华文中宋"/>
          <w:szCs w:val="21"/>
          <w:highlight w:val="none"/>
        </w:rPr>
        <w:t xml:space="preserve"> </w:t>
      </w:r>
    </w:p>
    <w:p>
      <w:pPr>
        <w:wordWrap w:val="0"/>
        <w:spacing w:line="360" w:lineRule="auto"/>
        <w:contextualSpacing/>
        <w:jc w:val="left"/>
        <w:outlineLvl w:val="3"/>
        <w:rPr>
          <w:rFonts w:ascii="仿宋" w:hAnsi="仿宋" w:eastAsia="华文中宋"/>
          <w:b/>
          <w:bCs/>
          <w:sz w:val="28"/>
          <w:szCs w:val="28"/>
          <w:highlight w:val="none"/>
        </w:rPr>
      </w:pPr>
      <w:r>
        <w:rPr>
          <w:rFonts w:hint="eastAsia" w:ascii="仿宋" w:hAnsi="仿宋" w:eastAsia="华文中宋"/>
          <w:b/>
          <w:bCs/>
          <w:sz w:val="28"/>
          <w:szCs w:val="28"/>
          <w:highlight w:val="none"/>
        </w:rPr>
        <w:t>附件4</w:t>
      </w:r>
    </w:p>
    <w:p>
      <w:pPr>
        <w:wordWrap w:val="0"/>
        <w:spacing w:line="360" w:lineRule="auto"/>
        <w:contextualSpacing/>
        <w:jc w:val="center"/>
        <w:outlineLvl w:val="3"/>
        <w:rPr>
          <w:rFonts w:ascii="仿宋" w:hAnsi="仿宋" w:eastAsia="华文中宋"/>
          <w:b/>
          <w:bCs/>
          <w:kern w:val="0"/>
          <w:sz w:val="28"/>
          <w:szCs w:val="28"/>
          <w:highlight w:val="none"/>
        </w:rPr>
      </w:pPr>
      <w:r>
        <w:rPr>
          <w:rFonts w:hint="eastAsia" w:ascii="华文中宋" w:hAnsi="华文中宋" w:eastAsia="华文中宋"/>
          <w:b/>
          <w:bCs/>
          <w:sz w:val="28"/>
          <w:szCs w:val="28"/>
          <w:highlight w:val="none"/>
        </w:rPr>
        <w:t>具有履行合同所必需的设备和专业技术能力：</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供应商须在响应文件中出具具有履行合同所必需的设备和专业技术能力的《承诺函》；（由供应商根据本项目情况自定）</w:t>
      </w:r>
    </w:p>
    <w:p>
      <w:pPr>
        <w:wordWrap w:val="0"/>
        <w:adjustRightInd w:val="0"/>
        <w:snapToGrid w:val="0"/>
        <w:spacing w:line="360" w:lineRule="auto"/>
        <w:ind w:firstLine="420" w:firstLineChars="200"/>
        <w:contextualSpacing/>
        <w:rPr>
          <w:rFonts w:ascii="宋体" w:hAnsi="宋体" w:eastAsia="华文中宋" w:cs="宋体"/>
          <w:b/>
          <w:bCs/>
          <w:kern w:val="0"/>
          <w:szCs w:val="21"/>
          <w:highlight w:val="none"/>
        </w:rPr>
      </w:pPr>
      <w:r>
        <w:rPr>
          <w:rFonts w:hint="eastAsia" w:ascii="宋体" w:hAnsi="宋体" w:eastAsia="华文中宋" w:cs="宋体"/>
          <w:b/>
          <w:bCs/>
          <w:szCs w:val="21"/>
          <w:highlight w:val="none"/>
        </w:rPr>
        <w:t xml:space="preserve"> </w:t>
      </w:r>
    </w:p>
    <w:p>
      <w:pPr>
        <w:wordWrap w:val="0"/>
        <w:adjustRightInd w:val="0"/>
        <w:snapToGrid w:val="0"/>
        <w:spacing w:line="360" w:lineRule="auto"/>
        <w:ind w:firstLine="420" w:firstLineChars="200"/>
        <w:contextualSpacing/>
        <w:rPr>
          <w:rFonts w:ascii="宋体" w:hAnsi="宋体" w:eastAsia="华文中宋" w:cs="宋体"/>
          <w:b/>
          <w:bCs/>
          <w:szCs w:val="21"/>
          <w:highlight w:val="none"/>
        </w:rPr>
      </w:pPr>
      <w:r>
        <w:rPr>
          <w:rFonts w:hint="eastAsia" w:ascii="宋体" w:hAnsi="宋体" w:eastAsia="华文中宋" w:cs="宋体"/>
          <w:b/>
          <w:bCs/>
          <w:szCs w:val="21"/>
          <w:highlight w:val="none"/>
        </w:rPr>
        <w:t xml:space="preserve"> </w:t>
      </w:r>
    </w:p>
    <w:p>
      <w:pPr>
        <w:wordWrap w:val="0"/>
        <w:adjustRightInd w:val="0"/>
        <w:snapToGrid w:val="0"/>
        <w:spacing w:line="360" w:lineRule="auto"/>
        <w:ind w:firstLine="420" w:firstLineChars="200"/>
        <w:contextualSpacing/>
        <w:rPr>
          <w:rFonts w:ascii="宋体" w:hAnsi="宋体" w:eastAsia="华文中宋" w:cs="宋体"/>
          <w:b/>
          <w:bCs/>
          <w:szCs w:val="21"/>
          <w:highlight w:val="none"/>
        </w:rPr>
      </w:pPr>
      <w:r>
        <w:rPr>
          <w:rFonts w:hint="eastAsia" w:ascii="宋体" w:hAnsi="宋体" w:eastAsia="华文中宋" w:cs="宋体"/>
          <w:b/>
          <w:bCs/>
          <w:szCs w:val="21"/>
          <w:highlight w:val="none"/>
        </w:rPr>
        <w:t xml:space="preserve">  </w:t>
      </w:r>
    </w:p>
    <w:p>
      <w:pPr>
        <w:wordWrap w:val="0"/>
        <w:spacing w:line="360" w:lineRule="auto"/>
        <w:contextualSpacing/>
        <w:jc w:val="left"/>
        <w:outlineLvl w:val="3"/>
        <w:rPr>
          <w:rFonts w:ascii="仿宋" w:hAnsi="仿宋" w:eastAsia="华文中宋"/>
          <w:b/>
          <w:bCs/>
          <w:sz w:val="28"/>
          <w:szCs w:val="28"/>
          <w:highlight w:val="none"/>
        </w:rPr>
      </w:pPr>
      <w:r>
        <w:rPr>
          <w:rFonts w:hint="eastAsia" w:ascii="仿宋" w:hAnsi="仿宋" w:eastAsia="华文中宋"/>
          <w:b/>
          <w:bCs/>
          <w:sz w:val="28"/>
          <w:szCs w:val="28"/>
          <w:highlight w:val="none"/>
        </w:rPr>
        <w:t>附件5</w:t>
      </w:r>
    </w:p>
    <w:p>
      <w:pPr>
        <w:wordWrap w:val="0"/>
        <w:spacing w:line="360" w:lineRule="auto"/>
        <w:contextualSpacing/>
        <w:jc w:val="center"/>
        <w:outlineLvl w:val="3"/>
        <w:rPr>
          <w:rFonts w:ascii="仿宋" w:hAnsi="仿宋" w:eastAsia="华文中宋"/>
          <w:b/>
          <w:bCs/>
          <w:sz w:val="28"/>
          <w:szCs w:val="28"/>
          <w:highlight w:val="none"/>
        </w:rPr>
      </w:pPr>
      <w:r>
        <w:rPr>
          <w:rFonts w:hint="eastAsia" w:ascii="华文中宋" w:hAnsi="华文中宋" w:eastAsia="华文中宋"/>
          <w:b/>
          <w:bCs/>
          <w:sz w:val="28"/>
          <w:szCs w:val="28"/>
          <w:highlight w:val="none"/>
        </w:rPr>
        <w:t>有依法缴纳税收和社会保障资金的良好记录：</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供应商须在响应文件中同时出具满足以下要求的证明材料复印件：</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1）供应商须提供最近三个月内任一时间点的纳税证明。</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2）供应商须提供最近三个月内任一时间点缴纳社会保险的凭据（缴税付款凭证或社会保险缴纳证明）</w:t>
      </w:r>
    </w:p>
    <w:p>
      <w:pPr>
        <w:wordWrap w:val="0"/>
        <w:spacing w:line="360" w:lineRule="auto"/>
        <w:ind w:firstLine="480" w:firstLineChars="200"/>
        <w:contextualSpacing/>
        <w:rPr>
          <w:rFonts w:ascii="宋体" w:hAnsi="宋体"/>
          <w:sz w:val="24"/>
          <w:highlight w:val="none"/>
        </w:rPr>
      </w:pPr>
      <w:r>
        <w:rPr>
          <w:rFonts w:hint="eastAsia" w:ascii="宋体" w:hAnsi="宋体"/>
          <w:sz w:val="24"/>
          <w:highlight w:val="none"/>
        </w:rPr>
        <w:t>依法免税或不需要缴纳社会保障资金的供应商，应提供相应文件证明其依法免税或不需要缴纳社会保障资金。</w:t>
      </w:r>
    </w:p>
    <w:p>
      <w:pPr>
        <w:wordWrap w:val="0"/>
        <w:spacing w:line="360" w:lineRule="auto"/>
        <w:contextualSpacing/>
        <w:jc w:val="left"/>
        <w:outlineLvl w:val="3"/>
        <w:rPr>
          <w:rFonts w:ascii="仿宋" w:hAnsi="仿宋" w:eastAsia="华文中宋"/>
          <w:b/>
          <w:bCs/>
          <w:sz w:val="28"/>
          <w:szCs w:val="28"/>
          <w:highlight w:val="none"/>
        </w:rPr>
      </w:pPr>
      <w:r>
        <w:rPr>
          <w:rFonts w:hint="eastAsia" w:ascii="仿宋" w:hAnsi="仿宋" w:eastAsia="华文中宋"/>
          <w:b/>
          <w:bCs/>
          <w:sz w:val="28"/>
          <w:szCs w:val="28"/>
          <w:highlight w:val="none"/>
        </w:rPr>
        <w:br w:type="page"/>
      </w:r>
      <w:r>
        <w:rPr>
          <w:rFonts w:hint="eastAsia" w:ascii="仿宋" w:hAnsi="仿宋" w:eastAsia="华文中宋"/>
          <w:b/>
          <w:bCs/>
          <w:sz w:val="28"/>
          <w:szCs w:val="28"/>
          <w:highlight w:val="none"/>
        </w:rPr>
        <w:t>附件6</w:t>
      </w:r>
    </w:p>
    <w:p>
      <w:pPr>
        <w:wordWrap w:val="0"/>
        <w:spacing w:line="360" w:lineRule="auto"/>
        <w:contextualSpacing/>
        <w:jc w:val="center"/>
        <w:outlineLvl w:val="3"/>
        <w:rPr>
          <w:rFonts w:ascii="仿宋" w:hAnsi="仿宋" w:eastAsia="华文中宋"/>
          <w:b/>
          <w:bCs/>
          <w:kern w:val="0"/>
          <w:sz w:val="28"/>
          <w:szCs w:val="28"/>
          <w:highlight w:val="none"/>
        </w:rPr>
      </w:pPr>
      <w:r>
        <w:rPr>
          <w:rFonts w:hint="eastAsia" w:ascii="华文中宋" w:hAnsi="华文中宋" w:eastAsia="华文中宋"/>
          <w:b/>
          <w:bCs/>
          <w:sz w:val="28"/>
          <w:szCs w:val="28"/>
          <w:highlight w:val="none"/>
        </w:rPr>
        <w:t>参加政府采购活动前三年内，在经营活动中没有重大违法记录：</w:t>
      </w:r>
    </w:p>
    <w:p>
      <w:pPr>
        <w:wordWrap w:val="0"/>
        <w:spacing w:line="360" w:lineRule="auto"/>
        <w:ind w:firstLine="420" w:firstLineChars="200"/>
        <w:contextualSpacing/>
        <w:rPr>
          <w:rFonts w:ascii="宋体" w:hAnsi="宋体"/>
          <w:szCs w:val="21"/>
          <w:highlight w:val="none"/>
        </w:rPr>
      </w:pPr>
      <w:r>
        <w:rPr>
          <w:rFonts w:hint="eastAsia" w:ascii="宋体" w:hAnsi="宋体"/>
          <w:szCs w:val="21"/>
          <w:highlight w:val="none"/>
        </w:rPr>
        <w:t>供应商须在响应文件中出具《磋商声明书》。</w:t>
      </w:r>
    </w:p>
    <w:p>
      <w:pPr>
        <w:snapToGrid w:val="0"/>
        <w:spacing w:before="156" w:beforeLines="50" w:after="50" w:line="360" w:lineRule="auto"/>
        <w:ind w:firstLine="643" w:firstLineChars="200"/>
        <w:jc w:val="center"/>
        <w:rPr>
          <w:rStyle w:val="31"/>
          <w:rFonts w:ascii="宋体" w:hAnsi="宋体"/>
          <w:b/>
          <w:color w:val="000000" w:themeColor="text1"/>
          <w:sz w:val="32"/>
          <w:szCs w:val="32"/>
          <w:highlight w:val="none"/>
          <w:u w:val="none"/>
          <w14:textFill>
            <w14:solidFill>
              <w14:schemeClr w14:val="tx1"/>
            </w14:solidFill>
          </w14:textFill>
        </w:rPr>
      </w:pPr>
      <w:r>
        <w:rPr>
          <w:rStyle w:val="31"/>
          <w:rFonts w:hint="eastAsia" w:ascii="宋体" w:hAnsi="宋体"/>
          <w:b/>
          <w:color w:val="000000" w:themeColor="text1"/>
          <w:sz w:val="32"/>
          <w:szCs w:val="32"/>
          <w:highlight w:val="none"/>
          <w:u w:val="none"/>
          <w14:textFill>
            <w14:solidFill>
              <w14:schemeClr w14:val="tx1"/>
            </w14:solidFill>
          </w14:textFill>
        </w:rPr>
        <w:t>磋商声明书</w:t>
      </w:r>
    </w:p>
    <w:p>
      <w:pPr>
        <w:snapToGrid w:val="0"/>
        <w:spacing w:before="156" w:beforeLines="50" w:after="50" w:line="288" w:lineRule="auto"/>
        <w:ind w:firstLine="480" w:firstLineChars="200"/>
        <w:rPr>
          <w:rFonts w:ascii="宋体" w:hAnsi="宋体" w:cs="楷体_GB2312"/>
          <w:color w:val="000000" w:themeColor="text1"/>
          <w:kern w:val="0"/>
          <w:sz w:val="24"/>
          <w:highlight w:val="none"/>
          <w14:textFill>
            <w14:solidFill>
              <w14:schemeClr w14:val="tx1"/>
            </w14:solidFill>
          </w14:textFill>
        </w:rPr>
      </w:pPr>
      <w:r>
        <w:rPr>
          <w:rFonts w:hint="eastAsia" w:ascii="宋体" w:hAnsi="宋体" w:cs="楷体_GB2312"/>
          <w:color w:val="000000" w:themeColor="text1"/>
          <w:kern w:val="0"/>
          <w:sz w:val="24"/>
          <w:highlight w:val="none"/>
          <w14:textFill>
            <w14:solidFill>
              <w14:schemeClr w14:val="tx1"/>
            </w14:solidFill>
          </w14:textFill>
        </w:rPr>
        <w:t>（采购代理机构名称）：</w:t>
      </w:r>
    </w:p>
    <w:p>
      <w:pPr>
        <w:snapToGrid w:val="0"/>
        <w:spacing w:before="156" w:beforeLines="50" w:after="50" w:line="288" w:lineRule="auto"/>
        <w:ind w:firstLine="480" w:firstLineChars="200"/>
        <w:rPr>
          <w:rFonts w:ascii="宋体" w:hAnsi="宋体" w:cs="楷体_GB2312"/>
          <w:color w:val="000000" w:themeColor="text1"/>
          <w:kern w:val="0"/>
          <w:sz w:val="24"/>
          <w:highlight w:val="none"/>
          <w14:textFill>
            <w14:solidFill>
              <w14:schemeClr w14:val="tx1"/>
            </w14:solidFill>
          </w14:textFill>
        </w:rPr>
      </w:pPr>
      <w:r>
        <w:rPr>
          <w:rFonts w:hint="eastAsia" w:ascii="宋体" w:hAnsi="宋体" w:cs="楷体_GB2312"/>
          <w:color w:val="000000" w:themeColor="text1"/>
          <w:kern w:val="0"/>
          <w:sz w:val="24"/>
          <w:highlight w:val="none"/>
          <w:u w:val="single"/>
          <w14:textFill>
            <w14:solidFill>
              <w14:schemeClr w14:val="tx1"/>
            </w14:solidFill>
          </w14:textFill>
        </w:rPr>
        <w:t xml:space="preserve">（供应商名称）            </w:t>
      </w:r>
      <w:r>
        <w:rPr>
          <w:rFonts w:hint="eastAsia" w:ascii="宋体" w:hAnsi="宋体" w:cs="楷体_GB2312"/>
          <w:color w:val="000000" w:themeColor="text1"/>
          <w:kern w:val="0"/>
          <w:sz w:val="24"/>
          <w:highlight w:val="none"/>
          <w14:textFill>
            <w14:solidFill>
              <w14:schemeClr w14:val="tx1"/>
            </w14:solidFill>
          </w14:textFill>
        </w:rPr>
        <w:t>系中华人民共和国合法企业，经营地址。</w:t>
      </w:r>
    </w:p>
    <w:p>
      <w:pPr>
        <w:snapToGrid w:val="0"/>
        <w:spacing w:before="156" w:beforeLines="50" w:after="50" w:line="288" w:lineRule="auto"/>
        <w:ind w:firstLine="480" w:firstLineChars="200"/>
        <w:rPr>
          <w:rFonts w:ascii="宋体" w:hAnsi="宋体" w:cs="楷体_GB2312"/>
          <w:color w:val="000000" w:themeColor="text1"/>
          <w:kern w:val="0"/>
          <w:sz w:val="24"/>
          <w:highlight w:val="none"/>
          <w14:textFill>
            <w14:solidFill>
              <w14:schemeClr w14:val="tx1"/>
            </w14:solidFill>
          </w14:textFill>
        </w:rPr>
      </w:pPr>
      <w:r>
        <w:rPr>
          <w:rFonts w:hint="eastAsia" w:ascii="宋体" w:hAnsi="宋体" w:cs="楷体_GB2312"/>
          <w:color w:val="000000" w:themeColor="text1"/>
          <w:kern w:val="0"/>
          <w:sz w:val="24"/>
          <w:highlight w:val="none"/>
          <w14:textFill>
            <w14:solidFill>
              <w14:schemeClr w14:val="tx1"/>
            </w14:solidFill>
          </w14:textFill>
        </w:rPr>
        <w:t>我（</w:t>
      </w:r>
      <w:r>
        <w:rPr>
          <w:rFonts w:hint="eastAsia" w:ascii="宋体" w:hAnsi="宋体" w:cs="楷体_GB2312"/>
          <w:color w:val="000000" w:themeColor="text1"/>
          <w:kern w:val="0"/>
          <w:sz w:val="24"/>
          <w:highlight w:val="none"/>
          <w:u w:val="single"/>
          <w14:textFill>
            <w14:solidFill>
              <w14:schemeClr w14:val="tx1"/>
            </w14:solidFill>
          </w14:textFill>
        </w:rPr>
        <w:t xml:space="preserve"> 姓名 </w:t>
      </w:r>
      <w:r>
        <w:rPr>
          <w:rFonts w:hint="eastAsia" w:ascii="宋体" w:hAnsi="宋体" w:cs="楷体_GB2312"/>
          <w:color w:val="000000" w:themeColor="text1"/>
          <w:kern w:val="0"/>
          <w:sz w:val="24"/>
          <w:highlight w:val="none"/>
          <w14:textFill>
            <w14:solidFill>
              <w14:schemeClr w14:val="tx1"/>
            </w14:solidFill>
          </w14:textFill>
        </w:rPr>
        <w:t>）系（</w:t>
      </w:r>
      <w:r>
        <w:rPr>
          <w:rFonts w:hint="eastAsia" w:ascii="宋体" w:hAnsi="宋体" w:cs="楷体_GB2312"/>
          <w:color w:val="000000" w:themeColor="text1"/>
          <w:kern w:val="0"/>
          <w:sz w:val="24"/>
          <w:highlight w:val="none"/>
          <w:u w:val="single"/>
          <w14:textFill>
            <w14:solidFill>
              <w14:schemeClr w14:val="tx1"/>
            </w14:solidFill>
          </w14:textFill>
        </w:rPr>
        <w:t xml:space="preserve"> 供应商名称 </w:t>
      </w:r>
      <w:r>
        <w:rPr>
          <w:rFonts w:hint="eastAsia" w:ascii="宋体" w:hAnsi="宋体" w:cs="楷体_GB2312"/>
          <w:color w:val="000000" w:themeColor="text1"/>
          <w:kern w:val="0"/>
          <w:sz w:val="24"/>
          <w:highlight w:val="none"/>
          <w14:textFill>
            <w14:solidFill>
              <w14:schemeClr w14:val="tx1"/>
            </w14:solidFill>
          </w14:textFill>
        </w:rPr>
        <w:t>）的法定代表人，我公司自愿参加贵方组织的</w:t>
      </w:r>
      <w:r>
        <w:rPr>
          <w:rFonts w:hint="eastAsia" w:ascii="宋体" w:hAnsi="宋体" w:cs="楷体_GB2312"/>
          <w:color w:val="000000" w:themeColor="text1"/>
          <w:kern w:val="0"/>
          <w:sz w:val="24"/>
          <w:highlight w:val="none"/>
          <w:u w:val="single"/>
          <w14:textFill>
            <w14:solidFill>
              <w14:schemeClr w14:val="tx1"/>
            </w14:solidFill>
          </w14:textFill>
        </w:rPr>
        <w:t xml:space="preserve">                    项目</w:t>
      </w:r>
      <w:r>
        <w:rPr>
          <w:rFonts w:hint="eastAsia" w:ascii="宋体" w:hAnsi="宋体" w:cs="楷体_GB2312"/>
          <w:color w:val="000000" w:themeColor="text1"/>
          <w:kern w:val="0"/>
          <w:sz w:val="24"/>
          <w:highlight w:val="none"/>
          <w14:textFill>
            <w14:solidFill>
              <w14:schemeClr w14:val="tx1"/>
            </w14:solidFill>
          </w14:textFill>
        </w:rPr>
        <w:t>（编号为</w:t>
      </w:r>
      <w:r>
        <w:rPr>
          <w:rFonts w:hint="eastAsia" w:ascii="宋体" w:hAnsi="宋体" w:cs="楷体_GB2312"/>
          <w:color w:val="000000" w:themeColor="text1"/>
          <w:kern w:val="0"/>
          <w:sz w:val="24"/>
          <w:highlight w:val="none"/>
          <w:u w:val="single"/>
          <w14:textFill>
            <w14:solidFill>
              <w14:schemeClr w14:val="tx1"/>
            </w14:solidFill>
          </w14:textFill>
        </w:rPr>
        <w:t xml:space="preserve"> </w:t>
      </w:r>
      <w:r>
        <w:rPr>
          <w:rFonts w:ascii="宋体" w:hAnsi="宋体" w:cs="楷体_GB2312"/>
          <w:color w:val="000000" w:themeColor="text1"/>
          <w:kern w:val="0"/>
          <w:sz w:val="24"/>
          <w:highlight w:val="none"/>
          <w:u w:val="single"/>
          <w14:textFill>
            <w14:solidFill>
              <w14:schemeClr w14:val="tx1"/>
            </w14:solidFill>
          </w14:textFill>
        </w:rPr>
        <w:t xml:space="preserve">    </w:t>
      </w:r>
      <w:r>
        <w:rPr>
          <w:rFonts w:hint="eastAsia" w:ascii="宋体" w:hAnsi="宋体" w:cs="楷体_GB2312"/>
          <w:color w:val="000000" w:themeColor="text1"/>
          <w:kern w:val="0"/>
          <w:sz w:val="24"/>
          <w:highlight w:val="none"/>
          <w14:textFill>
            <w14:solidFill>
              <w14:schemeClr w14:val="tx1"/>
            </w14:solidFill>
          </w14:textFill>
        </w:rPr>
        <w:t>）的磋商，为此，我公司就本次磋商有关事项郑重声明如下：</w:t>
      </w:r>
    </w:p>
    <w:p>
      <w:pPr>
        <w:numPr>
          <w:ilvl w:val="0"/>
          <w:numId w:val="8"/>
        </w:numPr>
        <w:snapToGrid w:val="0"/>
        <w:spacing w:before="156" w:beforeLines="50" w:after="50" w:line="288" w:lineRule="auto"/>
        <w:ind w:firstLine="480" w:firstLineChars="200"/>
        <w:rPr>
          <w:rFonts w:ascii="宋体" w:hAnsi="宋体" w:cs="楷体_GB2312"/>
          <w:b/>
          <w:color w:val="000000" w:themeColor="text1"/>
          <w:kern w:val="0"/>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8"/>
        </w:numPr>
        <w:snapToGrid w:val="0"/>
        <w:spacing w:before="156" w:beforeLines="50" w:after="50" w:line="288" w:lineRule="auto"/>
        <w:ind w:firstLine="480" w:firstLineChars="200"/>
        <w:rPr>
          <w:rFonts w:ascii="宋体" w:hAnsi="宋体" w:cs="楷体_GB2312"/>
          <w:color w:val="000000" w:themeColor="text1"/>
          <w:kern w:val="0"/>
          <w:sz w:val="24"/>
          <w:highlight w:val="none"/>
          <w14:textFill>
            <w14:solidFill>
              <w14:schemeClr w14:val="tx1"/>
            </w14:solidFill>
          </w14:textFill>
        </w:rPr>
      </w:pPr>
      <w:r>
        <w:rPr>
          <w:rFonts w:hint="eastAsia" w:ascii="宋体" w:hAnsi="宋体" w:cs="楷体_GB2312"/>
          <w:color w:val="000000" w:themeColor="text1"/>
          <w:kern w:val="0"/>
          <w:sz w:val="24"/>
          <w:highlight w:val="none"/>
          <w14:textFill>
            <w14:solidFill>
              <w14:schemeClr w14:val="tx1"/>
            </w14:solidFill>
          </w14:textFill>
        </w:rPr>
        <w:t>我公司</w:t>
      </w:r>
      <w:r>
        <w:rPr>
          <w:rFonts w:ascii="宋体" w:hAnsi="宋体" w:cs="楷体_GB2312"/>
          <w:color w:val="000000" w:themeColor="text1"/>
          <w:kern w:val="0"/>
          <w:sz w:val="24"/>
          <w:highlight w:val="none"/>
          <w14:textFill>
            <w14:solidFill>
              <w14:schemeClr w14:val="tx1"/>
            </w14:solidFill>
          </w14:textFill>
        </w:rPr>
        <w:t>在参与</w:t>
      </w:r>
      <w:r>
        <w:rPr>
          <w:rFonts w:hint="eastAsia" w:ascii="宋体" w:hAnsi="宋体" w:cs="楷体_GB2312"/>
          <w:color w:val="000000" w:themeColor="text1"/>
          <w:kern w:val="0"/>
          <w:sz w:val="24"/>
          <w:highlight w:val="none"/>
          <w14:textFill>
            <w14:solidFill>
              <w14:schemeClr w14:val="tx1"/>
            </w14:solidFill>
          </w14:textFill>
        </w:rPr>
        <w:t>磋商</w:t>
      </w:r>
      <w:r>
        <w:rPr>
          <w:rFonts w:ascii="宋体" w:hAnsi="宋体" w:cs="楷体_GB2312"/>
          <w:color w:val="000000" w:themeColor="text1"/>
          <w:kern w:val="0"/>
          <w:sz w:val="24"/>
          <w:highlight w:val="none"/>
          <w14:textFill>
            <w14:solidFill>
              <w14:schemeClr w14:val="tx1"/>
            </w14:solidFill>
          </w14:textFill>
        </w:rPr>
        <w:t>前已</w:t>
      </w:r>
      <w:r>
        <w:rPr>
          <w:rFonts w:hint="eastAsia" w:ascii="宋体" w:hAnsi="宋体" w:cs="楷体_GB2312"/>
          <w:color w:val="000000" w:themeColor="text1"/>
          <w:kern w:val="0"/>
          <w:sz w:val="24"/>
          <w:highlight w:val="none"/>
          <w14:textFill>
            <w14:solidFill>
              <w14:schemeClr w14:val="tx1"/>
            </w14:solidFill>
          </w14:textFill>
        </w:rPr>
        <w:t>详细审查</w:t>
      </w:r>
      <w:r>
        <w:rPr>
          <w:rFonts w:ascii="宋体" w:hAnsi="宋体" w:cs="楷体_GB2312"/>
          <w:color w:val="000000" w:themeColor="text1"/>
          <w:kern w:val="0"/>
          <w:sz w:val="24"/>
          <w:highlight w:val="none"/>
          <w14:textFill>
            <w14:solidFill>
              <w14:schemeClr w14:val="tx1"/>
            </w14:solidFill>
          </w14:textFill>
        </w:rPr>
        <w:t>了</w:t>
      </w:r>
      <w:r>
        <w:rPr>
          <w:rFonts w:hint="eastAsia" w:ascii="宋体" w:hAnsi="宋体" w:cs="楷体_GB2312"/>
          <w:color w:val="000000" w:themeColor="text1"/>
          <w:kern w:val="0"/>
          <w:sz w:val="24"/>
          <w:highlight w:val="none"/>
          <w14:textFill>
            <w14:solidFill>
              <w14:schemeClr w14:val="tx1"/>
            </w14:solidFill>
          </w14:textFill>
        </w:rPr>
        <w:t>磋商采购</w:t>
      </w:r>
      <w:r>
        <w:rPr>
          <w:rFonts w:ascii="宋体" w:hAnsi="宋体" w:cs="楷体_GB2312"/>
          <w:color w:val="000000" w:themeColor="text1"/>
          <w:kern w:val="0"/>
          <w:sz w:val="24"/>
          <w:highlight w:val="none"/>
          <w14:textFill>
            <w14:solidFill>
              <w14:schemeClr w14:val="tx1"/>
            </w14:solidFill>
          </w14:textFill>
        </w:rPr>
        <w:t>文件和所有相关资料，我方完全明白并认为此</w:t>
      </w:r>
      <w:r>
        <w:rPr>
          <w:rFonts w:hint="eastAsia" w:ascii="宋体" w:hAnsi="宋体" w:cs="楷体_GB2312"/>
          <w:color w:val="000000" w:themeColor="text1"/>
          <w:kern w:val="0"/>
          <w:sz w:val="24"/>
          <w:highlight w:val="none"/>
          <w14:textFill>
            <w14:solidFill>
              <w14:schemeClr w14:val="tx1"/>
            </w14:solidFill>
          </w14:textFill>
        </w:rPr>
        <w:t>磋商采购</w:t>
      </w:r>
      <w:r>
        <w:rPr>
          <w:rFonts w:ascii="宋体" w:hAnsi="宋体" w:cs="楷体_GB2312"/>
          <w:color w:val="000000" w:themeColor="text1"/>
          <w:kern w:val="0"/>
          <w:sz w:val="24"/>
          <w:highlight w:val="none"/>
          <w14:textFill>
            <w14:solidFill>
              <w14:schemeClr w14:val="tx1"/>
            </w14:solidFill>
          </w14:textFill>
        </w:rPr>
        <w:t>文件没有倾向性，也没有存在排斥潜在</w:t>
      </w:r>
      <w:r>
        <w:rPr>
          <w:rFonts w:hint="eastAsia" w:ascii="宋体" w:hAnsi="宋体" w:cs="楷体_GB2312"/>
          <w:color w:val="000000" w:themeColor="text1"/>
          <w:kern w:val="0"/>
          <w:sz w:val="24"/>
          <w:highlight w:val="none"/>
          <w14:textFill>
            <w14:solidFill>
              <w14:schemeClr w14:val="tx1"/>
            </w14:solidFill>
          </w14:textFill>
        </w:rPr>
        <w:t>供应商</w:t>
      </w:r>
      <w:r>
        <w:rPr>
          <w:rFonts w:ascii="宋体" w:hAnsi="宋体" w:cs="楷体_GB2312"/>
          <w:color w:val="000000" w:themeColor="text1"/>
          <w:kern w:val="0"/>
          <w:sz w:val="24"/>
          <w:highlight w:val="none"/>
          <w14:textFill>
            <w14:solidFill>
              <w14:schemeClr w14:val="tx1"/>
            </w14:solidFill>
          </w14:textFill>
        </w:rPr>
        <w:t>的内容，我方同意</w:t>
      </w:r>
      <w:r>
        <w:rPr>
          <w:rFonts w:hint="eastAsia" w:ascii="宋体" w:hAnsi="宋体" w:cs="楷体_GB2312"/>
          <w:color w:val="000000" w:themeColor="text1"/>
          <w:kern w:val="0"/>
          <w:sz w:val="24"/>
          <w:highlight w:val="none"/>
          <w14:textFill>
            <w14:solidFill>
              <w14:schemeClr w14:val="tx1"/>
            </w14:solidFill>
          </w14:textFill>
        </w:rPr>
        <w:t>磋商采购</w:t>
      </w:r>
      <w:r>
        <w:rPr>
          <w:rFonts w:ascii="宋体" w:hAnsi="宋体" w:cs="楷体_GB2312"/>
          <w:color w:val="000000" w:themeColor="text1"/>
          <w:kern w:val="0"/>
          <w:sz w:val="24"/>
          <w:highlight w:val="none"/>
          <w14:textFill>
            <w14:solidFill>
              <w14:schemeClr w14:val="tx1"/>
            </w14:solidFill>
          </w14:textFill>
        </w:rPr>
        <w:t>文件的相关条款，放弃对</w:t>
      </w:r>
      <w:r>
        <w:rPr>
          <w:rFonts w:hint="eastAsia" w:ascii="宋体" w:hAnsi="宋体" w:cs="楷体_GB2312"/>
          <w:color w:val="000000" w:themeColor="text1"/>
          <w:kern w:val="0"/>
          <w:sz w:val="24"/>
          <w:highlight w:val="none"/>
          <w14:textFill>
            <w14:solidFill>
              <w14:schemeClr w14:val="tx1"/>
            </w14:solidFill>
          </w14:textFill>
        </w:rPr>
        <w:t>磋商采购</w:t>
      </w:r>
      <w:r>
        <w:rPr>
          <w:rFonts w:ascii="宋体" w:hAnsi="宋体" w:cs="楷体_GB2312"/>
          <w:color w:val="000000" w:themeColor="text1"/>
          <w:kern w:val="0"/>
          <w:sz w:val="24"/>
          <w:highlight w:val="none"/>
          <w14:textFill>
            <w14:solidFill>
              <w14:schemeClr w14:val="tx1"/>
            </w14:solidFill>
          </w14:textFill>
        </w:rPr>
        <w:t>文件提出误解和质疑的一切权</w:t>
      </w:r>
      <w:r>
        <w:rPr>
          <w:rFonts w:hint="eastAsia" w:ascii="宋体" w:hAnsi="宋体" w:cs="楷体_GB2312"/>
          <w:color w:val="000000" w:themeColor="text1"/>
          <w:kern w:val="0"/>
          <w:sz w:val="24"/>
          <w:highlight w:val="none"/>
          <w14:textFill>
            <w14:solidFill>
              <w14:schemeClr w14:val="tx1"/>
            </w14:solidFill>
          </w14:textFill>
        </w:rPr>
        <w:t>利。</w:t>
      </w:r>
    </w:p>
    <w:p>
      <w:pPr>
        <w:snapToGrid w:val="0"/>
        <w:spacing w:before="156" w:beforeLines="50" w:after="50"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方正书宋简体"/>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楷体_GB2312"/>
          <w:color w:val="000000" w:themeColor="text1"/>
          <w:kern w:val="0"/>
          <w:sz w:val="24"/>
          <w:highlight w:val="none"/>
          <w14:textFill>
            <w14:solidFill>
              <w14:schemeClr w14:val="tx1"/>
            </w14:solidFill>
          </w14:textFill>
        </w:rPr>
        <w:t>我</w:t>
      </w:r>
      <w:r>
        <w:rPr>
          <w:rFonts w:hint="eastAsia" w:ascii="宋体" w:hAnsi="宋体" w:cs="方正书宋简体"/>
          <w:color w:val="000000" w:themeColor="text1"/>
          <w:kern w:val="0"/>
          <w:sz w:val="24"/>
          <w:highlight w:val="none"/>
          <w:lang w:val="zh-CN"/>
          <w14:textFill>
            <w14:solidFill>
              <w14:schemeClr w14:val="tx1"/>
            </w14:solidFill>
          </w14:textFill>
        </w:rPr>
        <w:t>公司</w:t>
      </w:r>
      <w:r>
        <w:rPr>
          <w:rFonts w:hint="eastAsia" w:ascii="宋体" w:hAnsi="宋体" w:cs="楷体_GB2312"/>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楷体_GB2312"/>
          <w:color w:val="000000" w:themeColor="text1"/>
          <w:kern w:val="0"/>
          <w:sz w:val="24"/>
          <w:highlight w:val="none"/>
          <w14:textFill>
            <w14:solidFill>
              <w14:schemeClr w14:val="tx1"/>
            </w14:solidFill>
          </w14:textFill>
        </w:rPr>
        <w:t>我</w:t>
      </w:r>
      <w:r>
        <w:rPr>
          <w:rFonts w:hint="eastAsia" w:ascii="宋体" w:hAnsi="宋体" w:cs="方正书宋简体"/>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w:t>
      </w:r>
      <w:r>
        <w:rPr>
          <w:rFonts w:hint="eastAsia" w:ascii="宋体" w:hAnsi="宋体" w:cs="楷体_GB2312"/>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楷体_GB2312"/>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总报价</w:t>
      </w:r>
      <w:r>
        <w:rPr>
          <w:rFonts w:hint="eastAsia" w:ascii="宋体" w:hAnsi="宋体" w:cs="楷体_GB2312"/>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288" w:lineRule="auto"/>
        <w:ind w:firstLine="480" w:firstLineChars="200"/>
        <w:rPr>
          <w:rFonts w:ascii="宋体" w:hAnsi="宋体" w:cs="方正书宋简体"/>
          <w:color w:val="000000" w:themeColor="text1"/>
          <w:sz w:val="24"/>
          <w:highlight w:val="none"/>
          <w14:textFill>
            <w14:solidFill>
              <w14:schemeClr w14:val="tx1"/>
            </w14:solidFill>
          </w14:textFill>
        </w:rPr>
      </w:pPr>
      <w:r>
        <w:rPr>
          <w:rFonts w:hint="eastAsia" w:ascii="宋体" w:hAnsi="宋体" w:cs="楷体_GB2312"/>
          <w:color w:val="000000" w:themeColor="text1"/>
          <w:kern w:val="0"/>
          <w:sz w:val="24"/>
          <w:highlight w:val="none"/>
          <w:lang w:val="af-ZA"/>
          <w14:textFill>
            <w14:solidFill>
              <w14:schemeClr w14:val="tx1"/>
            </w14:solidFill>
          </w14:textFill>
        </w:rPr>
        <w:t>5、我</w:t>
      </w:r>
      <w:r>
        <w:rPr>
          <w:rFonts w:hint="eastAsia" w:ascii="宋体" w:hAnsi="宋体" w:cs="楷体_GB2312"/>
          <w:color w:val="000000" w:themeColor="text1"/>
          <w:kern w:val="0"/>
          <w:sz w:val="24"/>
          <w:highlight w:val="none"/>
          <w:lang w:val="zh-CN"/>
          <w14:textFill>
            <w14:solidFill>
              <w14:schemeClr w14:val="tx1"/>
            </w14:solidFill>
          </w14:textFill>
        </w:rPr>
        <w:t>公司</w:t>
      </w:r>
      <w:r>
        <w:rPr>
          <w:rFonts w:hint="eastAsia" w:ascii="宋体" w:hAnsi="宋体" w:cs="楷体_GB2312"/>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方正书宋简体"/>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60" w:lineRule="auto"/>
        <w:ind w:firstLine="4680" w:firstLineChars="1950"/>
        <w:rPr>
          <w:rFonts w:ascii="宋体" w:hAnsi="宋体" w:cs="方正书宋简体"/>
          <w:color w:val="000000" w:themeColor="text1"/>
          <w:kern w:val="0"/>
          <w:sz w:val="24"/>
          <w:highlight w:val="none"/>
          <w:lang w:val="zh-CN"/>
          <w14:textFill>
            <w14:solidFill>
              <w14:schemeClr w14:val="tx1"/>
            </w14:solidFill>
          </w14:textFill>
        </w:rPr>
      </w:pPr>
      <w:r>
        <w:rPr>
          <w:rFonts w:hint="eastAsia" w:ascii="宋体" w:hAnsi="宋体" w:cs="方正书宋简体"/>
          <w:color w:val="000000" w:themeColor="text1"/>
          <w:kern w:val="0"/>
          <w:sz w:val="24"/>
          <w:highlight w:val="none"/>
          <w:lang w:val="zh-CN"/>
          <w14:textFill>
            <w14:solidFill>
              <w14:schemeClr w14:val="tx1"/>
            </w14:solidFill>
          </w14:textFill>
        </w:rPr>
        <w:t xml:space="preserve">    供应商名称(公章)：</w:t>
      </w:r>
    </w:p>
    <w:p>
      <w:pPr>
        <w:adjustRightInd w:val="0"/>
        <w:snapToGrid w:val="0"/>
        <w:spacing w:line="360" w:lineRule="auto"/>
        <w:rPr>
          <w:rFonts w:ascii="宋体" w:hAnsi="宋体" w:cs="方正书宋简体"/>
          <w:color w:val="000000" w:themeColor="text1"/>
          <w:kern w:val="0"/>
          <w:sz w:val="24"/>
          <w:highlight w:val="none"/>
          <w:lang w:val="zh-CN"/>
          <w14:textFill>
            <w14:solidFill>
              <w14:schemeClr w14:val="tx1"/>
            </w14:solidFill>
          </w14:textFill>
        </w:rPr>
      </w:pPr>
      <w:r>
        <w:rPr>
          <w:rFonts w:hint="eastAsia" w:ascii="宋体" w:hAnsi="宋体" w:cs="方正书宋简体"/>
          <w:color w:val="000000" w:themeColor="text1"/>
          <w:kern w:val="0"/>
          <w:sz w:val="24"/>
          <w:highlight w:val="none"/>
          <w:lang w:val="zh-CN"/>
          <w14:textFill>
            <w14:solidFill>
              <w14:schemeClr w14:val="tx1"/>
            </w14:solidFill>
          </w14:textFill>
        </w:rPr>
        <w:t xml:space="preserve">                                   法定代表人或授权委托人(签章或签字)：</w:t>
      </w:r>
    </w:p>
    <w:p>
      <w:pPr>
        <w:adjustRightInd w:val="0"/>
        <w:snapToGrid w:val="0"/>
        <w:spacing w:line="360" w:lineRule="auto"/>
        <w:ind w:right="480"/>
        <w:jc w:val="center"/>
        <w:rPr>
          <w:rFonts w:ascii="宋体" w:hAnsi="宋体" w:cs="方正书宋简体"/>
          <w:color w:val="000000" w:themeColor="text1"/>
          <w:kern w:val="0"/>
          <w:sz w:val="24"/>
          <w:highlight w:val="none"/>
          <w:lang w:val="zh-CN"/>
          <w14:textFill>
            <w14:solidFill>
              <w14:schemeClr w14:val="tx1"/>
            </w14:solidFill>
          </w14:textFill>
        </w:rPr>
      </w:pPr>
      <w:r>
        <w:rPr>
          <w:rFonts w:hint="eastAsia" w:ascii="宋体" w:hAnsi="宋体" w:cs="方正书宋简体"/>
          <w:color w:val="000000" w:themeColor="text1"/>
          <w:kern w:val="0"/>
          <w:sz w:val="24"/>
          <w:highlight w:val="none"/>
          <w:lang w:val="zh-CN"/>
          <w14:textFill>
            <w14:solidFill>
              <w14:schemeClr w14:val="tx1"/>
            </w14:solidFill>
          </w14:textFill>
        </w:rPr>
        <w:t xml:space="preserve">                                  日期：年  月   日</w:t>
      </w:r>
    </w:p>
    <w:p>
      <w:pPr>
        <w:adjustRightInd w:val="0"/>
        <w:snapToGrid w:val="0"/>
        <w:spacing w:line="360" w:lineRule="auto"/>
        <w:ind w:right="480"/>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line="360" w:lineRule="auto"/>
        <w:ind w:firstLine="321" w:firstLineChars="100"/>
        <w:jc w:val="center"/>
        <w:rPr>
          <w:rFonts w:ascii="宋体" w:hAnsi="宋体"/>
          <w:b/>
          <w:color w:val="000000" w:themeColor="text1"/>
          <w:sz w:val="32"/>
          <w:szCs w:val="32"/>
          <w:highlight w:val="none"/>
          <w:u w:val="singl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t>授权</w:t>
      </w:r>
      <w:r>
        <w:rPr>
          <w:rFonts w:hint="eastAsia" w:ascii="宋体" w:hAnsi="宋体"/>
          <w:b/>
          <w:color w:val="000000" w:themeColor="text1"/>
          <w:sz w:val="32"/>
          <w:szCs w:val="32"/>
          <w:highlight w:val="none"/>
          <w14:textFill>
            <w14:solidFill>
              <w14:schemeClr w14:val="tx1"/>
            </w14:solidFill>
          </w14:textFill>
        </w:rPr>
        <w:t>委托</w:t>
      </w:r>
      <w:r>
        <w:rPr>
          <w:rFonts w:ascii="宋体" w:hAnsi="宋体"/>
          <w:b/>
          <w:color w:val="000000" w:themeColor="text1"/>
          <w:sz w:val="32"/>
          <w:szCs w:val="32"/>
          <w:highlight w:val="none"/>
          <w14:textFill>
            <w14:solidFill>
              <w14:schemeClr w14:val="tx1"/>
            </w14:solidFill>
          </w14:textFill>
        </w:rPr>
        <w:t>书</w:t>
      </w:r>
    </w:p>
    <w:p>
      <w:pPr>
        <w:pStyle w:val="18"/>
        <w:spacing w:line="500" w:lineRule="exact"/>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cs="楷体_GB2312"/>
          <w:color w:val="000000" w:themeColor="text1"/>
          <w:kern w:val="0"/>
          <w:sz w:val="24"/>
          <w:highlight w:val="none"/>
          <w:u w:val="single"/>
          <w14:textFill>
            <w14:solidFill>
              <w14:schemeClr w14:val="tx1"/>
            </w14:solidFill>
          </w14:textFill>
        </w:rPr>
        <w:t>（采购代理机构名称）</w:t>
      </w:r>
      <w:r>
        <w:rPr>
          <w:rFonts w:ascii="宋体" w:hAnsi="宋体" w:eastAsia="宋体"/>
          <w:b/>
          <w:color w:val="000000" w:themeColor="text1"/>
          <w:sz w:val="24"/>
          <w:highlight w:val="none"/>
          <w14:textFill>
            <w14:solidFill>
              <w14:schemeClr w14:val="tx1"/>
            </w14:solidFill>
          </w14:textFill>
        </w:rPr>
        <w:t>：</w:t>
      </w:r>
    </w:p>
    <w:p>
      <w:pPr>
        <w:pStyle w:val="18"/>
        <w:spacing w:line="440" w:lineRule="atLeast"/>
        <w:ind w:left="240" w:hanging="240" w:hangingChars="1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    </w:t>
      </w:r>
      <w:r>
        <w:rPr>
          <w:rFonts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供应商</w:t>
      </w:r>
      <w:r>
        <w:rPr>
          <w:rFonts w:ascii="宋体" w:hAnsi="宋体" w:eastAsia="宋体"/>
          <w:color w:val="000000" w:themeColor="text1"/>
          <w:sz w:val="24"/>
          <w:highlight w:val="none"/>
          <w:u w:val="single"/>
          <w14:textFill>
            <w14:solidFill>
              <w14:schemeClr w14:val="tx1"/>
            </w14:solidFill>
          </w14:textFill>
        </w:rPr>
        <w:t xml:space="preserve">全称）  </w:t>
      </w:r>
      <w:r>
        <w:rPr>
          <w:rFonts w:ascii="宋体" w:hAnsi="宋体" w:eastAsia="宋体"/>
          <w:color w:val="000000" w:themeColor="text1"/>
          <w:sz w:val="24"/>
          <w:highlight w:val="none"/>
          <w14:textFill>
            <w14:solidFill>
              <w14:schemeClr w14:val="tx1"/>
            </w14:solidFill>
          </w14:textFill>
        </w:rPr>
        <w:t>法定代表人</w:t>
      </w:r>
      <w:r>
        <w:rPr>
          <w:rFonts w:hint="eastAsia" w:ascii="宋体" w:hAnsi="宋体" w:eastAsia="宋体" w:cs="Tahoma"/>
          <w:color w:val="000000" w:themeColor="text1"/>
          <w:sz w:val="24"/>
          <w:highlight w:val="none"/>
          <w14:textFill>
            <w14:solidFill>
              <w14:schemeClr w14:val="tx1"/>
            </w14:solidFill>
          </w14:textFill>
        </w:rPr>
        <w:t>（或营业执照中单位负责人）</w:t>
      </w:r>
      <w:r>
        <w:rPr>
          <w:rFonts w:ascii="宋体" w:hAnsi="宋体" w:eastAsia="宋体"/>
          <w:color w:val="000000" w:themeColor="text1"/>
          <w:sz w:val="24"/>
          <w:highlight w:val="none"/>
          <w:u w:val="single"/>
          <w14:textFill>
            <w14:solidFill>
              <w14:schemeClr w14:val="tx1"/>
            </w14:solidFill>
          </w14:textFill>
        </w:rPr>
        <w:tab/>
      </w:r>
      <w:r>
        <w:rPr>
          <w:rFonts w:ascii="宋体" w:hAnsi="宋体" w:eastAsia="宋体"/>
          <w:color w:val="000000" w:themeColor="text1"/>
          <w:sz w:val="24"/>
          <w:highlight w:val="none"/>
          <w:u w:val="single"/>
          <w14:textFill>
            <w14:solidFill>
              <w14:schemeClr w14:val="tx1"/>
            </w14:solidFill>
          </w14:textFill>
        </w:rPr>
        <w:t>（法定代表</w:t>
      </w:r>
      <w:r>
        <w:rPr>
          <w:rFonts w:hint="eastAsia" w:ascii="宋体" w:hAnsi="宋体" w:eastAsia="宋体"/>
          <w:color w:val="000000" w:themeColor="text1"/>
          <w:sz w:val="24"/>
          <w:highlight w:val="none"/>
          <w:u w:val="single"/>
          <w14:textFill>
            <w14:solidFill>
              <w14:schemeClr w14:val="tx1"/>
            </w14:solidFill>
          </w14:textFill>
        </w:rPr>
        <w:t>人</w:t>
      </w:r>
      <w:r>
        <w:rPr>
          <w:rFonts w:hint="eastAsia" w:ascii="宋体" w:hAnsi="宋体" w:eastAsia="宋体" w:cs="Tahoma"/>
          <w:color w:val="000000" w:themeColor="text1"/>
          <w:sz w:val="24"/>
          <w:highlight w:val="none"/>
          <w:u w:val="single"/>
          <w14:textFill>
            <w14:solidFill>
              <w14:schemeClr w14:val="tx1"/>
            </w14:solidFill>
          </w14:textFill>
        </w:rPr>
        <w:t>或营业执照中单位负责人</w:t>
      </w:r>
      <w:r>
        <w:rPr>
          <w:rFonts w:ascii="宋体" w:hAnsi="宋体" w:eastAsia="宋体"/>
          <w:color w:val="000000" w:themeColor="text1"/>
          <w:sz w:val="24"/>
          <w:highlight w:val="none"/>
          <w:u w:val="single"/>
          <w14:textFill>
            <w14:solidFill>
              <w14:schemeClr w14:val="tx1"/>
            </w14:solidFill>
          </w14:textFill>
        </w:rPr>
        <w:t xml:space="preserve">姓名） </w:t>
      </w:r>
      <w:r>
        <w:rPr>
          <w:rFonts w:ascii="宋体" w:hAnsi="宋体" w:eastAsia="宋体"/>
          <w:color w:val="000000" w:themeColor="text1"/>
          <w:sz w:val="24"/>
          <w:highlight w:val="none"/>
          <w14:textFill>
            <w14:solidFill>
              <w14:schemeClr w14:val="tx1"/>
            </w14:solidFill>
          </w14:textFill>
        </w:rPr>
        <w:t>授权</w:t>
      </w:r>
      <w:r>
        <w:rPr>
          <w:rFonts w:hint="eastAsia" w:ascii="宋体" w:hAnsi="宋体" w:eastAsia="宋体"/>
          <w:color w:val="000000" w:themeColor="text1"/>
          <w:sz w:val="24"/>
          <w:highlight w:val="none"/>
          <w:u w:val="single"/>
          <w14:textFill>
            <w14:solidFill>
              <w14:schemeClr w14:val="tx1"/>
            </w14:solidFill>
          </w14:textFill>
        </w:rPr>
        <w:t xml:space="preserve">   （全权代表</w:t>
      </w:r>
      <w:r>
        <w:rPr>
          <w:rFonts w:ascii="宋体" w:hAnsi="宋体" w:eastAsia="宋体"/>
          <w:color w:val="000000" w:themeColor="text1"/>
          <w:sz w:val="24"/>
          <w:highlight w:val="none"/>
          <w:u w:val="single"/>
          <w14:textFill>
            <w14:solidFill>
              <w14:schemeClr w14:val="tx1"/>
            </w14:solidFill>
          </w14:textFill>
        </w:rPr>
        <w:t>姓名</w:t>
      </w:r>
      <w:r>
        <w:rPr>
          <w:rFonts w:hint="eastAsia" w:ascii="宋体" w:hAnsi="宋体" w:eastAsia="宋体"/>
          <w:color w:val="000000" w:themeColor="text1"/>
          <w:sz w:val="24"/>
          <w:highlight w:val="none"/>
          <w:u w:val="single"/>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为</w:t>
      </w:r>
      <w:r>
        <w:rPr>
          <w:rFonts w:hint="eastAsia" w:ascii="宋体" w:hAnsi="宋体" w:eastAsia="宋体"/>
          <w:color w:val="000000" w:themeColor="text1"/>
          <w:sz w:val="24"/>
          <w:highlight w:val="none"/>
          <w14:textFill>
            <w14:solidFill>
              <w14:schemeClr w14:val="tx1"/>
            </w14:solidFill>
          </w14:textFill>
        </w:rPr>
        <w:t>全权代表</w:t>
      </w:r>
      <w:r>
        <w:rPr>
          <w:rFonts w:ascii="宋体" w:hAnsi="宋体" w:eastAsia="宋体"/>
          <w:color w:val="000000" w:themeColor="text1"/>
          <w:sz w:val="24"/>
          <w:highlight w:val="none"/>
          <w14:textFill>
            <w14:solidFill>
              <w14:schemeClr w14:val="tx1"/>
            </w14:solidFill>
          </w14:textFill>
        </w:rPr>
        <w:t>，参加贵单位组织的</w:t>
      </w:r>
      <w:r>
        <w:rPr>
          <w:rFonts w:hint="eastAsia" w:ascii="宋体" w:hAnsi="宋体" w:eastAsia="宋体"/>
          <w:color w:val="000000" w:themeColor="text1"/>
          <w:sz w:val="24"/>
          <w:highlight w:val="none"/>
          <w:u w:val="single"/>
          <w14:textFill>
            <w14:solidFill>
              <w14:schemeClr w14:val="tx1"/>
            </w14:solidFill>
          </w14:textFill>
        </w:rPr>
        <w:t xml:space="preserve">                   项目</w:t>
      </w:r>
      <w:r>
        <w:rPr>
          <w:rFonts w:ascii="宋体" w:hAnsi="宋体" w:eastAsia="宋体"/>
          <w:color w:val="000000" w:themeColor="text1"/>
          <w:sz w:val="24"/>
          <w:highlight w:val="none"/>
          <w14:textFill>
            <w14:solidFill>
              <w14:schemeClr w14:val="tx1"/>
            </w14:solidFill>
          </w14:textFill>
        </w:rPr>
        <w:t>的采购活动，并代表我方全权办理针对上述项目的磋商、签约等具体事务和签署相关文件。</w:t>
      </w:r>
      <w:r>
        <w:rPr>
          <w:rFonts w:hint="eastAsia" w:ascii="宋体" w:hAnsi="宋体" w:eastAsia="宋体"/>
          <w:color w:val="000000" w:themeColor="text1"/>
          <w:sz w:val="24"/>
          <w:highlight w:val="none"/>
          <w14:textFill>
            <w14:solidFill>
              <w14:schemeClr w14:val="tx1"/>
            </w14:solidFill>
          </w14:textFill>
        </w:rPr>
        <w:t>我方对全权代表的签字事项负全部责任。</w:t>
      </w:r>
    </w:p>
    <w:p>
      <w:pPr>
        <w:pStyle w:val="18"/>
        <w:spacing w:line="440" w:lineRule="atLeast"/>
        <w:ind w:left="139" w:leftChars="66"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8"/>
        <w:spacing w:line="440" w:lineRule="atLeast"/>
        <w:ind w:left="139" w:leftChars="66"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全权代表无转委托权，特此委托。</w:t>
      </w:r>
    </w:p>
    <w:p>
      <w:pPr>
        <w:spacing w:line="440" w:lineRule="atLeast"/>
        <w:rPr>
          <w:rFonts w:ascii="宋体" w:hAnsi="宋体"/>
          <w:color w:val="000000" w:themeColor="text1"/>
          <w:sz w:val="24"/>
          <w:highlight w:val="none"/>
          <w14:textFill>
            <w14:solidFill>
              <w14:schemeClr w14:val="tx1"/>
            </w14:solidFill>
          </w14:textFill>
        </w:rPr>
      </w:pPr>
    </w:p>
    <w:p>
      <w:pPr>
        <w:spacing w:line="440" w:lineRule="atLeas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法定代表人签字或签章：</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供应商全称（公章）：</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日期：</w:t>
      </w:r>
    </w:p>
    <w:p>
      <w:pPr>
        <w:spacing w:line="440" w:lineRule="atLeast"/>
        <w:rPr>
          <w:rFonts w:ascii="宋体" w:hAnsi="宋体"/>
          <w:color w:val="000000" w:themeColor="text1"/>
          <w:sz w:val="24"/>
          <w:highlight w:val="none"/>
          <w14:textFill>
            <w14:solidFill>
              <w14:schemeClr w14:val="tx1"/>
            </w14:solidFill>
          </w14:textFill>
        </w:rPr>
      </w:pPr>
    </w:p>
    <w:p>
      <w:pPr>
        <w:spacing w:line="440" w:lineRule="atLeas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p>
    <w:tbl>
      <w:tblPr>
        <w:tblStyle w:val="2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40" w:lineRule="atLeast"/>
              <w:rPr>
                <w:rFonts w:ascii="宋体" w:hAnsi="宋体"/>
                <w:b/>
                <w:color w:val="000000" w:themeColor="text1"/>
                <w:sz w:val="24"/>
                <w:highlight w:val="none"/>
                <w14:textFill>
                  <w14:solidFill>
                    <w14:schemeClr w14:val="tx1"/>
                  </w14:solidFill>
                </w14:textFill>
              </w:rPr>
            </w:pPr>
          </w:p>
          <w:p>
            <w:pPr>
              <w:spacing w:line="440" w:lineRule="atLeast"/>
              <w:ind w:firstLine="361" w:firstLineChars="1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法定代表身份证扫描件粘帖处</w:t>
            </w:r>
          </w:p>
        </w:tc>
      </w:tr>
    </w:tbl>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法定代表人姓名：                                 </w:t>
      </w:r>
    </w:p>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传真：</w:t>
      </w:r>
    </w:p>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p>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p>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w:t>
      </w:r>
    </w:p>
    <w:p>
      <w:pPr>
        <w:spacing w:line="440" w:lineRule="atLeast"/>
        <w:rPr>
          <w:rFonts w:ascii="宋体" w:hAnsi="宋体"/>
          <w:b/>
          <w:color w:val="000000" w:themeColor="text1"/>
          <w:sz w:val="24"/>
          <w:highlight w:val="none"/>
          <w14:textFill>
            <w14:solidFill>
              <w14:schemeClr w14:val="tx1"/>
            </w14:solidFill>
          </w14:textFill>
        </w:rPr>
      </w:pPr>
    </w:p>
    <w:tbl>
      <w:tblPr>
        <w:tblStyle w:val="2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40" w:lineRule="atLeast"/>
              <w:rPr>
                <w:rFonts w:ascii="宋体" w:hAnsi="宋体"/>
                <w:b/>
                <w:color w:val="000000" w:themeColor="text1"/>
                <w:sz w:val="24"/>
                <w:highlight w:val="none"/>
                <w14:textFill>
                  <w14:solidFill>
                    <w14:schemeClr w14:val="tx1"/>
                  </w14:solidFill>
                </w14:textFill>
              </w:rPr>
            </w:pPr>
          </w:p>
          <w:p>
            <w:pPr>
              <w:spacing w:line="440" w:lineRule="atLeast"/>
              <w:ind w:firstLine="361" w:firstLineChars="1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全权代表身份证扫描件粘帖处</w:t>
            </w:r>
          </w:p>
        </w:tc>
      </w:tr>
    </w:tbl>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全权代表姓名：       </w:t>
      </w:r>
    </w:p>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职务：                           </w:t>
      </w:r>
    </w:p>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sz w:val="24"/>
          <w:highlight w:val="none"/>
        </w:rPr>
        <w:t>邮箱：</w:t>
      </w:r>
    </w:p>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p>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p>
    <w:p>
      <w:pPr>
        <w:spacing w:line="440" w:lineRule="atLeas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w:t>
      </w:r>
    </w:p>
    <w:p>
      <w:pPr>
        <w:pStyle w:val="18"/>
        <w:spacing w:line="500" w:lineRule="exact"/>
        <w:ind w:left="2"/>
        <w:rPr>
          <w:rFonts w:ascii="宋体" w:hAnsi="宋体" w:eastAsia="宋体"/>
          <w:b/>
          <w:color w:val="000000" w:themeColor="text1"/>
          <w:sz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宋体" w:hAnsi="宋体" w:eastAsia="宋体"/>
          <w:b/>
          <w:color w:val="000000" w:themeColor="text1"/>
          <w:sz w:val="24"/>
          <w:highlight w:val="none"/>
          <w14:textFill>
            <w14:solidFill>
              <w14:schemeClr w14:val="tx1"/>
            </w14:solidFill>
          </w14:textFill>
        </w:rPr>
        <w:t>备注：手机号码和电子邮箱必须准确填写，开评标过程中须保持手机号码和电子邮箱畅通，随时进行项目开标情况通报及回执。</w:t>
      </w:r>
    </w:p>
    <w:p>
      <w:pPr>
        <w:pStyle w:val="51"/>
        <w:shd w:val="clear" w:color="auto" w:fill="FFFFFF"/>
        <w:spacing w:before="0" w:beforeAutospacing="0" w:after="0" w:afterAutospacing="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 xml:space="preserve">附件8      </w:t>
      </w:r>
    </w:p>
    <w:p>
      <w:pPr>
        <w:pStyle w:val="51"/>
        <w:shd w:val="clear" w:color="auto" w:fill="FFFFFF"/>
        <w:spacing w:before="0" w:beforeAutospacing="0" w:after="0" w:afterAutospacing="0" w:line="360" w:lineRule="auto"/>
        <w:jc w:val="center"/>
        <w:rPr>
          <w:rFonts w:ascii="宋体" w:hAnsi="宋体"/>
          <w:b/>
          <w:bCs/>
          <w:color w:val="000000" w:themeColor="text1"/>
          <w:spacing w:val="2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供应商</w:t>
      </w:r>
      <w:r>
        <w:rPr>
          <w:rFonts w:hint="eastAsia" w:ascii="宋体" w:hAnsi="宋体"/>
          <w:b/>
          <w:bCs/>
          <w:color w:val="000000" w:themeColor="text1"/>
          <w:spacing w:val="21"/>
          <w:sz w:val="32"/>
          <w:szCs w:val="32"/>
          <w:highlight w:val="none"/>
          <w14:textFill>
            <w14:solidFill>
              <w14:schemeClr w14:val="tx1"/>
            </w14:solidFill>
          </w14:textFill>
        </w:rPr>
        <w:t>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企业名称</w:t>
            </w:r>
          </w:p>
        </w:tc>
        <w:tc>
          <w:tcPr>
            <w:tcW w:w="3979" w:type="dxa"/>
            <w:gridSpan w:val="6"/>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2001" w:type="dxa"/>
            <w:gridSpan w:val="3"/>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法人代表</w:t>
            </w:r>
          </w:p>
        </w:tc>
        <w:tc>
          <w:tcPr>
            <w:tcW w:w="2151" w:type="dxa"/>
            <w:gridSpan w:val="2"/>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001" w:type="dxa"/>
            <w:gridSpan w:val="3"/>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企业性质</w:t>
            </w:r>
          </w:p>
        </w:tc>
        <w:tc>
          <w:tcPr>
            <w:tcW w:w="2151" w:type="dxa"/>
            <w:gridSpan w:val="2"/>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51"/>
              <w:shd w:val="clear" w:color="auto" w:fill="FFFFFF"/>
              <w:spacing w:before="0" w:beforeAutospacing="0" w:after="0" w:afterAutospacing="0" w:line="360" w:lineRule="auto"/>
              <w:rPr>
                <w:rFonts w:ascii="宋体" w:hAnsi="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楷体_GB2312"/>
                <w:bCs/>
                <w:color w:val="000000" w:themeColor="text1"/>
                <w:spacing w:val="16"/>
                <w:kern w:val="0"/>
                <w:sz w:val="24"/>
                <w:highlight w:val="none"/>
                <w14:textFill>
                  <w14:solidFill>
                    <w14:schemeClr w14:val="tx1"/>
                  </w14:solidFill>
                </w14:textFill>
              </w:rPr>
            </w:pPr>
          </w:p>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001" w:type="dxa"/>
            <w:gridSpan w:val="3"/>
          </w:tcPr>
          <w:p>
            <w:pPr>
              <w:pStyle w:val="51"/>
              <w:shd w:val="clear" w:color="auto" w:fill="FFFFFF"/>
              <w:spacing w:line="360" w:lineRule="auto"/>
              <w:ind w:left="107"/>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股东关系</w:t>
            </w:r>
          </w:p>
        </w:tc>
        <w:tc>
          <w:tcPr>
            <w:tcW w:w="2151" w:type="dxa"/>
            <w:gridSpan w:val="2"/>
          </w:tcPr>
          <w:p>
            <w:pPr>
              <w:pStyle w:val="51"/>
              <w:shd w:val="clear" w:color="auto" w:fill="FFFFFF"/>
              <w:spacing w:line="360" w:lineRule="auto"/>
              <w:ind w:left="107"/>
              <w:rPr>
                <w:rFonts w:ascii="宋体" w:hAnsi="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2"/>
                <w:highlight w:val="none"/>
                <w14:textFill>
                  <w14:solidFill>
                    <w14:schemeClr w14:val="tx1"/>
                  </w14:solidFill>
                </w14:textFill>
              </w:rPr>
              <w:t>联系人</w:t>
            </w:r>
            <w:r>
              <w:rPr>
                <w:rFonts w:hint="eastAsia" w:ascii="宋体" w:hAnsi="宋体"/>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楷体_GB2312"/>
                <w:bCs/>
                <w:color w:val="000000" w:themeColor="text1"/>
                <w:spacing w:val="16"/>
                <w:kern w:val="0"/>
                <w:sz w:val="24"/>
                <w:highlight w:val="none"/>
                <w14:textFill>
                  <w14:solidFill>
                    <w14:schemeClr w14:val="tx1"/>
                  </w14:solidFill>
                </w14:textFill>
              </w:rPr>
            </w:pPr>
          </w:p>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001" w:type="dxa"/>
            <w:gridSpan w:val="3"/>
            <w:vMerge w:val="restart"/>
          </w:tcPr>
          <w:p>
            <w:pPr>
              <w:pStyle w:val="51"/>
              <w:shd w:val="clear" w:color="auto" w:fill="FFFFFF"/>
              <w:spacing w:before="0" w:beforeAutospacing="0" w:after="0" w:afterAutospacing="0"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传真</w:t>
            </w:r>
          </w:p>
        </w:tc>
        <w:tc>
          <w:tcPr>
            <w:tcW w:w="2151" w:type="dxa"/>
            <w:gridSpan w:val="2"/>
            <w:vMerge w:val="restart"/>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w:t>
            </w:r>
          </w:p>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w:t>
            </w:r>
          </w:p>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业</w:t>
            </w:r>
          </w:p>
          <w:p>
            <w:pPr>
              <w:pStyle w:val="51"/>
              <w:shd w:val="clear" w:color="auto" w:fill="FFFFFF"/>
              <w:spacing w:line="360" w:lineRule="auto"/>
              <w:ind w:left="107"/>
              <w:rPr>
                <w:rFonts w:ascii="宋体" w:hAnsi="宋体"/>
                <w:bCs/>
                <w:color w:val="000000" w:themeColor="text1"/>
                <w:spacing w:val="27"/>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概</w:t>
            </w:r>
          </w:p>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况</w:t>
            </w:r>
          </w:p>
        </w:tc>
        <w:tc>
          <w:tcPr>
            <w:tcW w:w="701" w:type="dxa"/>
            <w:tcBorders>
              <w:top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1163" w:type="dxa"/>
            <w:tcBorders>
              <w:top w:val="single" w:color="auto" w:sz="4" w:space="0"/>
            </w:tcBorders>
          </w:tcPr>
          <w:p>
            <w:pPr>
              <w:pStyle w:val="51"/>
              <w:shd w:val="clear" w:color="auto" w:fill="FFFFFF"/>
              <w:spacing w:before="0" w:beforeAutospacing="0" w:after="0" w:afterAutospacing="0"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8"/>
                <w:highlight w:val="none"/>
                <w14:textFill>
                  <w14:solidFill>
                    <w14:schemeClr w14:val="tx1"/>
                  </w14:solidFill>
                </w14:textFill>
              </w:rPr>
              <w:t>具备大专以</w:t>
            </w:r>
            <w:r>
              <w:rPr>
                <w:rFonts w:hint="eastAsia" w:ascii="宋体" w:hAnsi="宋体"/>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tcPr>
          <w:p>
            <w:pPr>
              <w:widowControl/>
              <w:spacing w:line="360" w:lineRule="auto"/>
              <w:jc w:val="left"/>
              <w:rPr>
                <w:rFonts w:ascii="宋体" w:hAnsi="宋体" w:cs="楷体_GB2312"/>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楷体_GB2312"/>
                <w:bCs/>
                <w:color w:val="000000" w:themeColor="text1"/>
                <w:spacing w:val="16"/>
                <w:kern w:val="0"/>
                <w:sz w:val="24"/>
                <w:highlight w:val="none"/>
                <w14:textFill>
                  <w14:solidFill>
                    <w14:schemeClr w14:val="tx1"/>
                  </w14:solidFill>
                </w14:textFill>
              </w:rPr>
            </w:pPr>
          </w:p>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c>
          <w:tcPr>
            <w:tcW w:w="2001" w:type="dxa"/>
            <w:gridSpan w:val="3"/>
            <w:tcBorders>
              <w:top w:val="single" w:color="auto" w:sz="4" w:space="0"/>
            </w:tcBorders>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65"/>
                <w:highlight w:val="none"/>
                <w14:textFill>
                  <w14:solidFill>
                    <w14:schemeClr w14:val="tx1"/>
                  </w14:solidFill>
                </w14:textFill>
              </w:rPr>
              <w:t>国家授予技</w:t>
            </w:r>
            <w:r>
              <w:rPr>
                <w:rFonts w:hint="eastAsia" w:ascii="宋体" w:hAnsi="宋体"/>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tcPr>
          <w:p>
            <w:pPr>
              <w:widowControl/>
              <w:spacing w:line="360" w:lineRule="auto"/>
              <w:jc w:val="left"/>
              <w:rPr>
                <w:rFonts w:ascii="宋体" w:hAnsi="宋体" w:cs="楷体_GB2312"/>
                <w:bCs/>
                <w:color w:val="000000" w:themeColor="text1"/>
                <w:spacing w:val="16"/>
                <w:kern w:val="0"/>
                <w:sz w:val="24"/>
                <w:highlight w:val="none"/>
                <w14:textFill>
                  <w14:solidFill>
                    <w14:schemeClr w14:val="tx1"/>
                  </w14:solidFill>
                </w14:textFill>
              </w:rPr>
            </w:pPr>
          </w:p>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701" w:type="dxa"/>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占地面积</w:t>
            </w:r>
          </w:p>
        </w:tc>
        <w:tc>
          <w:tcPr>
            <w:tcW w:w="910" w:type="dxa"/>
            <w:gridSpan w:val="2"/>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1163" w:type="dxa"/>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建筑面积</w:t>
            </w:r>
          </w:p>
        </w:tc>
        <w:tc>
          <w:tcPr>
            <w:tcW w:w="1205" w:type="dxa"/>
            <w:gridSpan w:val="2"/>
          </w:tcPr>
          <w:p>
            <w:pPr>
              <w:pStyle w:val="51"/>
              <w:shd w:val="clear" w:color="auto" w:fill="FFFFFF"/>
              <w:spacing w:line="360" w:lineRule="auto"/>
              <w:ind w:firstLine="48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平方米 </w:t>
            </w:r>
          </w:p>
          <w:p>
            <w:pPr>
              <w:pStyle w:val="51"/>
              <w:shd w:val="clear" w:color="auto" w:fill="FFFFFF"/>
              <w:spacing w:line="360" w:lineRule="auto"/>
              <w:rPr>
                <w:rFonts w:hint="eastAsia" w:ascii="宋体" w:hAnsi="宋体" w:eastAsia="宋体"/>
                <w:bCs/>
                <w:color w:val="000000" w:themeColor="text1"/>
                <w:highlight w:val="none"/>
                <w:lang w:val="en-US" w:eastAsia="zh-CN"/>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□自有□</w:t>
            </w:r>
            <w:r>
              <w:rPr>
                <w:rFonts w:hint="eastAsia" w:ascii="宋体" w:hAnsi="宋体"/>
                <w:bCs/>
                <w:color w:val="000000" w:themeColor="text1"/>
                <w:spacing w:val="16"/>
                <w:highlight w:val="none"/>
                <w:lang w:val="en-US" w:eastAsia="zh-CN"/>
                <w14:textFill>
                  <w14:solidFill>
                    <w14:schemeClr w14:val="tx1"/>
                  </w14:solidFill>
                </w14:textFill>
              </w:rPr>
              <w:t>租赁</w:t>
            </w:r>
          </w:p>
        </w:tc>
        <w:tc>
          <w:tcPr>
            <w:tcW w:w="2001" w:type="dxa"/>
            <w:gridSpan w:val="3"/>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51"/>
              <w:shd w:val="clear" w:color="auto" w:fill="FFFFFF"/>
              <w:spacing w:before="0" w:beforeAutospacing="0" w:after="0" w:afterAutospacing="0" w:line="360" w:lineRule="auto"/>
              <w:rPr>
                <w:rFonts w:ascii="宋体" w:hAnsi="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701" w:type="dxa"/>
          </w:tcPr>
          <w:p>
            <w:pPr>
              <w:pStyle w:val="51"/>
              <w:shd w:val="clear" w:color="auto" w:fill="FFFFFF"/>
              <w:spacing w:line="360" w:lineRule="auto"/>
              <w:ind w:left="2"/>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注册资金</w:t>
            </w:r>
          </w:p>
        </w:tc>
        <w:tc>
          <w:tcPr>
            <w:tcW w:w="910" w:type="dxa"/>
            <w:gridSpan w:val="2"/>
          </w:tcPr>
          <w:p>
            <w:pPr>
              <w:pStyle w:val="51"/>
              <w:shd w:val="clear" w:color="auto" w:fill="FFFFFF"/>
              <w:spacing w:line="360" w:lineRule="auto"/>
              <w:ind w:left="2"/>
              <w:rPr>
                <w:rFonts w:ascii="宋体" w:hAnsi="宋体"/>
                <w:bCs/>
                <w:color w:val="000000" w:themeColor="text1"/>
                <w:highlight w:val="none"/>
                <w14:textFill>
                  <w14:solidFill>
                    <w14:schemeClr w14:val="tx1"/>
                  </w14:solidFill>
                </w14:textFill>
              </w:rPr>
            </w:pPr>
          </w:p>
        </w:tc>
        <w:tc>
          <w:tcPr>
            <w:tcW w:w="1163" w:type="dxa"/>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注册发证</w:t>
            </w:r>
            <w:r>
              <w:rPr>
                <w:rFonts w:hint="eastAsia" w:ascii="宋体" w:hAnsi="宋体"/>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楷体_GB2312"/>
                <w:bCs/>
                <w:color w:val="000000" w:themeColor="text1"/>
                <w:kern w:val="0"/>
                <w:sz w:val="24"/>
                <w:highlight w:val="none"/>
                <w14:textFill>
                  <w14:solidFill>
                    <w14:schemeClr w14:val="tx1"/>
                  </w14:solidFill>
                </w14:textFill>
              </w:rPr>
            </w:pPr>
          </w:p>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1218" w:type="dxa"/>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公司成</w:t>
            </w:r>
            <w:r>
              <w:rPr>
                <w:rFonts w:hint="eastAsia" w:ascii="宋体" w:hAnsi="宋体"/>
                <w:bCs/>
                <w:color w:val="000000" w:themeColor="text1"/>
                <w:spacing w:val="12"/>
                <w:highlight w:val="none"/>
                <w14:textFill>
                  <w14:solidFill>
                    <w14:schemeClr w14:val="tx1"/>
                  </w14:solidFill>
                </w14:textFill>
              </w:rPr>
              <w:t>立时间</w:t>
            </w:r>
          </w:p>
        </w:tc>
        <w:tc>
          <w:tcPr>
            <w:tcW w:w="933" w:type="dxa"/>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701" w:type="dxa"/>
          </w:tcPr>
          <w:p>
            <w:pPr>
              <w:pStyle w:val="51"/>
              <w:shd w:val="clear" w:color="auto" w:fill="FFFFFF"/>
              <w:spacing w:line="360" w:lineRule="auto"/>
              <w:ind w:left="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核准经营范围</w:t>
            </w:r>
          </w:p>
        </w:tc>
        <w:tc>
          <w:tcPr>
            <w:tcW w:w="7430" w:type="dxa"/>
            <w:gridSpan w:val="10"/>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8131" w:type="dxa"/>
            <w:gridSpan w:val="11"/>
          </w:tcPr>
          <w:p>
            <w:pPr>
              <w:pStyle w:val="51"/>
              <w:shd w:val="clear" w:color="auto" w:fill="FFFFFF"/>
              <w:spacing w:line="360" w:lineRule="auto"/>
              <w:rPr>
                <w:rFonts w:ascii="宋体" w:hAnsi="宋体"/>
                <w:bCs/>
                <w:color w:val="000000" w:themeColor="text1"/>
                <w:spacing w:val="13"/>
                <w:highlight w:val="none"/>
                <w14:textFill>
                  <w14:solidFill>
                    <w14:schemeClr w14:val="tx1"/>
                  </w14:solidFill>
                </w14:textFill>
              </w:rPr>
            </w:pPr>
            <w:r>
              <w:rPr>
                <w:rFonts w:hint="eastAsia" w:ascii="宋体" w:hAnsi="宋体"/>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w:t>
            </w:r>
          </w:p>
          <w:p>
            <w:pPr>
              <w:pStyle w:val="51"/>
              <w:shd w:val="clear" w:color="auto" w:fill="FFFFFF"/>
              <w:spacing w:line="360" w:lineRule="auto"/>
              <w:ind w:left="107"/>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企</w:t>
            </w:r>
            <w:r>
              <w:rPr>
                <w:rFonts w:hint="eastAsia" w:ascii="宋体" w:hAnsi="宋体"/>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51"/>
              <w:shd w:val="clear" w:color="auto" w:fill="FFFFFF"/>
              <w:spacing w:before="0" w:beforeAutospacing="0" w:after="0" w:afterAutospacing="0"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2"/>
                <w:highlight w:val="none"/>
                <w14:textFill>
                  <w14:solidFill>
                    <w14:schemeClr w14:val="tx1"/>
                  </w14:solidFill>
                </w14:textFill>
              </w:rPr>
              <w:t>产品生产许可证情况</w:t>
            </w:r>
            <w:r>
              <w:rPr>
                <w:rFonts w:hint="eastAsia" w:ascii="宋体" w:hAnsi="宋体"/>
                <w:bCs/>
                <w:color w:val="000000" w:themeColor="text1"/>
                <w:spacing w:val="41"/>
                <w:highlight w:val="none"/>
                <w14:textFill>
                  <w14:solidFill>
                    <w14:schemeClr w14:val="tx1"/>
                  </w14:solidFill>
                </w14:textFill>
              </w:rPr>
              <w:t>（对需获得生产许可证的</w:t>
            </w:r>
            <w:r>
              <w:rPr>
                <w:rFonts w:hint="eastAsia" w:ascii="宋体" w:hAnsi="宋体"/>
                <w:bCs/>
                <w:color w:val="000000" w:themeColor="text1"/>
                <w:spacing w:val="11"/>
                <w:highlight w:val="none"/>
                <w14:textFill>
                  <w14:solidFill>
                    <w14:schemeClr w14:val="tx1"/>
                  </w14:solidFill>
                </w14:textFill>
              </w:rPr>
              <w:t>产品要填写此栏）</w:t>
            </w:r>
          </w:p>
        </w:tc>
        <w:tc>
          <w:tcPr>
            <w:tcW w:w="1333" w:type="dxa"/>
            <w:gridSpan w:val="3"/>
          </w:tcPr>
          <w:p>
            <w:pPr>
              <w:pStyle w:val="51"/>
              <w:shd w:val="clear" w:color="auto" w:fill="FFFFFF"/>
              <w:spacing w:line="360" w:lineRule="auto"/>
              <w:ind w:right="-78" w:rightChars="-37"/>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产品名称</w:t>
            </w:r>
          </w:p>
        </w:tc>
        <w:tc>
          <w:tcPr>
            <w:tcW w:w="1418" w:type="dxa"/>
            <w:gridSpan w:val="2"/>
          </w:tcPr>
          <w:p>
            <w:pPr>
              <w:pStyle w:val="51"/>
              <w:shd w:val="clear" w:color="auto" w:fill="FFFFFF"/>
              <w:spacing w:before="0" w:beforeAutospacing="0" w:after="0" w:afterAutospacing="0"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发证机关</w:t>
            </w:r>
          </w:p>
        </w:tc>
        <w:tc>
          <w:tcPr>
            <w:tcW w:w="1276" w:type="dxa"/>
          </w:tcPr>
          <w:p>
            <w:pPr>
              <w:pStyle w:val="51"/>
              <w:shd w:val="clear" w:color="auto" w:fill="FFFFFF"/>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编号</w:t>
            </w:r>
          </w:p>
        </w:tc>
        <w:tc>
          <w:tcPr>
            <w:tcW w:w="1618" w:type="dxa"/>
            <w:gridSpan w:val="2"/>
          </w:tcPr>
          <w:p>
            <w:pPr>
              <w:pStyle w:val="51"/>
              <w:shd w:val="clear" w:color="auto" w:fill="FFFFFF"/>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16"/>
                <w:highlight w:val="none"/>
                <w14:textFill>
                  <w14:solidFill>
                    <w14:schemeClr w14:val="tx1"/>
                  </w14:solidFill>
                </w14:textFill>
              </w:rPr>
              <w:t>发证时间</w:t>
            </w:r>
          </w:p>
        </w:tc>
        <w:tc>
          <w:tcPr>
            <w:tcW w:w="933" w:type="dxa"/>
          </w:tcPr>
          <w:p>
            <w:pPr>
              <w:pStyle w:val="51"/>
              <w:shd w:val="clear" w:color="auto" w:fill="FFFFFF"/>
              <w:spacing w:before="0" w:beforeAutospacing="0" w:after="0" w:afterAutospacing="0"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51"/>
              <w:shd w:val="clear" w:color="auto" w:fill="FFFFFF"/>
              <w:spacing w:line="360" w:lineRule="auto"/>
              <w:ind w:left="107"/>
              <w:rPr>
                <w:rFonts w:ascii="宋体" w:hAnsi="宋体"/>
                <w:bCs/>
                <w:color w:val="000000" w:themeColor="text1"/>
                <w:highlight w:val="none"/>
                <w14:textFill>
                  <w14:solidFill>
                    <w14:schemeClr w14:val="tx1"/>
                  </w14:solidFill>
                </w14:textFill>
              </w:rPr>
            </w:pPr>
          </w:p>
        </w:tc>
        <w:tc>
          <w:tcPr>
            <w:tcW w:w="1553" w:type="dxa"/>
            <w:gridSpan w:val="2"/>
            <w:vMerge w:val="continue"/>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1333" w:type="dxa"/>
            <w:gridSpan w:val="3"/>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1418" w:type="dxa"/>
            <w:gridSpan w:val="2"/>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1276" w:type="dxa"/>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c>
          <w:tcPr>
            <w:tcW w:w="2551" w:type="dxa"/>
            <w:gridSpan w:val="3"/>
          </w:tcPr>
          <w:p>
            <w:pPr>
              <w:pStyle w:val="51"/>
              <w:shd w:val="clear" w:color="auto" w:fill="FFFFFF"/>
              <w:spacing w:line="360" w:lineRule="auto"/>
              <w:rPr>
                <w:rFonts w:ascii="宋体" w:hAnsi="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51"/>
              <w:shd w:val="clear" w:color="auto" w:fill="FFFFFF"/>
              <w:spacing w:line="360" w:lineRule="auto"/>
              <w:ind w:left="107"/>
              <w:rPr>
                <w:rFonts w:ascii="宋体" w:hAnsi="宋体"/>
                <w:bCs/>
                <w:color w:val="000000" w:themeColor="text1"/>
                <w:spacing w:val="16"/>
                <w:highlight w:val="none"/>
                <w14:textFill>
                  <w14:solidFill>
                    <w14:schemeClr w14:val="tx1"/>
                  </w14:solidFill>
                </w14:textFill>
              </w:rPr>
            </w:pPr>
          </w:p>
        </w:tc>
        <w:tc>
          <w:tcPr>
            <w:tcW w:w="1553" w:type="dxa"/>
            <w:gridSpan w:val="2"/>
          </w:tcPr>
          <w:p>
            <w:pPr>
              <w:pStyle w:val="51"/>
              <w:shd w:val="clear" w:color="auto" w:fill="FFFFFF"/>
              <w:spacing w:before="0" w:beforeAutospacing="0" w:after="0" w:afterAutospacing="0" w:line="360" w:lineRule="auto"/>
              <w:ind w:right="-107" w:rightChars="-51"/>
              <w:rPr>
                <w:rFonts w:ascii="宋体" w:hAnsi="宋体"/>
                <w:bCs/>
                <w:color w:val="000000" w:themeColor="text1"/>
                <w:spacing w:val="41"/>
                <w:highlight w:val="none"/>
                <w14:textFill>
                  <w14:solidFill>
                    <w14:schemeClr w14:val="tx1"/>
                  </w14:solidFill>
                </w14:textFill>
              </w:rPr>
            </w:pPr>
            <w:r>
              <w:rPr>
                <w:rFonts w:hint="eastAsia" w:ascii="宋体" w:hAnsi="宋体"/>
                <w:bCs/>
                <w:color w:val="000000" w:themeColor="text1"/>
                <w:spacing w:val="41"/>
                <w:highlight w:val="none"/>
                <w14:textFill>
                  <w14:solidFill>
                    <w14:schemeClr w14:val="tx1"/>
                  </w14:solidFill>
                </w14:textFill>
              </w:rPr>
              <w:t>企业通过质量体系、环保</w:t>
            </w:r>
            <w:r>
              <w:rPr>
                <w:rFonts w:hint="eastAsia" w:ascii="宋体" w:hAnsi="宋体"/>
                <w:bCs/>
                <w:color w:val="000000" w:themeColor="text1"/>
                <w:spacing w:val="11"/>
                <w:highlight w:val="none"/>
                <w14:textFill>
                  <w14:solidFill>
                    <w14:schemeClr w14:val="tx1"/>
                  </w14:solidFill>
                </w14:textFill>
              </w:rPr>
              <w:t>体系、计量等认证情况</w:t>
            </w:r>
          </w:p>
        </w:tc>
        <w:tc>
          <w:tcPr>
            <w:tcW w:w="6578" w:type="dxa"/>
            <w:gridSpan w:val="9"/>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51"/>
              <w:shd w:val="clear" w:color="auto" w:fill="FFFFFF"/>
              <w:spacing w:line="360" w:lineRule="auto"/>
              <w:ind w:left="107"/>
              <w:rPr>
                <w:rFonts w:ascii="宋体" w:hAnsi="宋体"/>
                <w:bCs/>
                <w:color w:val="000000" w:themeColor="text1"/>
                <w:spacing w:val="27"/>
                <w:highlight w:val="none"/>
                <w14:textFill>
                  <w14:solidFill>
                    <w14:schemeClr w14:val="tx1"/>
                  </w14:solidFill>
                </w14:textFill>
              </w:rPr>
            </w:pPr>
          </w:p>
        </w:tc>
        <w:tc>
          <w:tcPr>
            <w:tcW w:w="1553" w:type="dxa"/>
            <w:gridSpan w:val="2"/>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r>
              <w:rPr>
                <w:rFonts w:hint="eastAsia" w:ascii="宋体" w:hAnsi="宋体"/>
                <w:bCs/>
                <w:color w:val="000000" w:themeColor="text1"/>
                <w:spacing w:val="10"/>
                <w:highlight w:val="none"/>
                <w14:textFill>
                  <w14:solidFill>
                    <w14:schemeClr w14:val="tx1"/>
                  </w14:solidFill>
                </w14:textFill>
              </w:rPr>
              <w:t>企业获得专利情况</w:t>
            </w:r>
          </w:p>
        </w:tc>
        <w:tc>
          <w:tcPr>
            <w:tcW w:w="6578" w:type="dxa"/>
            <w:gridSpan w:val="9"/>
          </w:tcPr>
          <w:p>
            <w:pPr>
              <w:pStyle w:val="51"/>
              <w:shd w:val="clear" w:color="auto" w:fill="FFFFFF"/>
              <w:spacing w:line="360" w:lineRule="auto"/>
              <w:rPr>
                <w:rFonts w:ascii="宋体" w:hAnsi="宋体"/>
                <w:bCs/>
                <w:color w:val="000000" w:themeColor="text1"/>
                <w:spacing w:val="16"/>
                <w:highlight w:val="none"/>
                <w14:textFill>
                  <w14:solidFill>
                    <w14:schemeClr w14:val="tx1"/>
                  </w14:solidFill>
                </w14:textFill>
              </w:rPr>
            </w:pPr>
          </w:p>
        </w:tc>
      </w:tr>
    </w:tbl>
    <w:p>
      <w:pPr>
        <w:pStyle w:val="51"/>
        <w:shd w:val="clear" w:color="auto" w:fill="FFFFFF"/>
        <w:spacing w:before="0" w:beforeAutospacing="0" w:after="0" w:afterAutospacing="0" w:line="360" w:lineRule="auto"/>
        <w:rPr>
          <w:rFonts w:ascii="宋体" w:hAnsi="宋体"/>
          <w:color w:val="000000" w:themeColor="text1"/>
          <w:highlight w:val="none"/>
          <w14:textFill>
            <w14:solidFill>
              <w14:schemeClr w14:val="tx1"/>
            </w14:solidFill>
          </w14:textFill>
        </w:rPr>
      </w:pPr>
    </w:p>
    <w:p>
      <w:pPr>
        <w:pStyle w:val="51"/>
        <w:shd w:val="clear" w:color="auto" w:fill="FFFFFF"/>
        <w:spacing w:before="0" w:beforeAutospacing="0" w:after="0" w:afterAutospacing="0" w:line="360" w:lineRule="auto"/>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要求：</w:t>
      </w:r>
    </w:p>
    <w:p>
      <w:pPr>
        <w:pStyle w:val="51"/>
        <w:shd w:val="clear" w:color="auto" w:fill="FFFFFF"/>
        <w:spacing w:before="0" w:beforeAutospacing="0" w:after="0" w:afterAutospacing="0" w:line="360" w:lineRule="auto"/>
        <w:ind w:firstLine="424" w:firstLineChars="202"/>
        <w:rPr>
          <w:rFonts w:ascii="宋体" w:hAnsi="宋体"/>
          <w:color w:val="000000" w:themeColor="text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1.姓名栏必须将所有股东都统计在内，若非股份公司此行（第三行）无需填写；</w:t>
      </w:r>
    </w:p>
    <w:p>
      <w:pPr>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pPr>
        <w:ind w:left="420"/>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pPr>
        <w:ind w:firstLine="435"/>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rPr>
          <w:rFonts w:ascii="宋体" w:hAnsi="宋体"/>
          <w:color w:val="000000" w:themeColor="text1"/>
          <w:sz w:val="24"/>
          <w:highlight w:val="none"/>
          <w14:textFill>
            <w14:solidFill>
              <w14:schemeClr w14:val="tx1"/>
            </w14:solidFill>
          </w14:textFill>
        </w:rPr>
      </w:pPr>
    </w:p>
    <w:p>
      <w:pPr>
        <w:pStyle w:val="51"/>
        <w:shd w:val="clear" w:color="auto" w:fill="FFFFFF"/>
        <w:spacing w:before="0" w:beforeAutospacing="0" w:after="0" w:afterAutospacing="0"/>
        <w:ind w:firstLine="424" w:firstLineChars="177"/>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        期：</w:t>
      </w:r>
      <w:r>
        <w:rPr>
          <w:rFonts w:hint="eastAsia" w:ascii="宋体" w:hAnsi="宋体"/>
          <w:color w:val="000000" w:themeColor="text1"/>
          <w:highlight w:val="none"/>
          <w:u w:val="single"/>
          <w14:textFill>
            <w14:solidFill>
              <w14:schemeClr w14:val="tx1"/>
            </w14:solidFill>
          </w14:textFill>
        </w:rPr>
        <w:t xml:space="preserve">                            </w:t>
      </w:r>
    </w:p>
    <w:p>
      <w:pPr>
        <w:widowControl/>
        <w:jc w:val="left"/>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br w:type="page"/>
      </w:r>
    </w:p>
    <w:p>
      <w:pPr>
        <w:snapToGrid w:val="0"/>
        <w:spacing w:before="50" w:after="50"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9"/>
              <w:snapToGrid w:val="0"/>
              <w:spacing w:before="156" w:beforeLines="50" w:after="50" w:line="360" w:lineRule="auto"/>
              <w:ind w:left="5250"/>
              <w:rPr>
                <w:rFonts w:ascii="宋体" w:hAnsi="宋体" w:eastAsia="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9"/>
              <w:snapToGrid w:val="0"/>
              <w:spacing w:before="156" w:beforeLines="50" w:after="50" w:line="360" w:lineRule="auto"/>
              <w:ind w:left="5250"/>
              <w:rPr>
                <w:rFonts w:ascii="宋体" w:hAnsi="宋体" w:eastAsia="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9"/>
              <w:spacing w:line="360" w:lineRule="auto"/>
              <w:ind w:left="5250"/>
              <w:rPr>
                <w:rFonts w:ascii="宋体" w:hAnsi="宋体" w:eastAsia="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在填写时，如本表格不适合供应商的实际情况，可根据本表格式自行划表填写。</w:t>
      </w:r>
    </w:p>
    <w:p>
      <w:pPr>
        <w:pStyle w:val="48"/>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2.附人员证书原件的扫描件；</w:t>
      </w:r>
    </w:p>
    <w:p>
      <w:pPr>
        <w:pStyle w:val="48"/>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3.出具上述人员在本单位服务近六个月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社保证明，按评标办法</w:t>
      </w:r>
      <w:r>
        <w:rPr>
          <w:rFonts w:ascii="宋体" w:hAnsi="宋体"/>
          <w:color w:val="000000" w:themeColor="text1"/>
          <w:szCs w:val="21"/>
          <w:highlight w:val="none"/>
          <w14:textFill>
            <w14:solidFill>
              <w14:schemeClr w14:val="tx1"/>
            </w14:solidFill>
          </w14:textFill>
        </w:rPr>
        <w:t>要求提供</w:t>
      </w:r>
      <w:r>
        <w:rPr>
          <w:rFonts w:hint="eastAsia" w:ascii="宋体" w:hAnsi="宋体"/>
          <w:color w:val="000000" w:themeColor="text1"/>
          <w:szCs w:val="21"/>
          <w:highlight w:val="none"/>
          <w14:textFill>
            <w14:solidFill>
              <w14:schemeClr w14:val="tx1"/>
            </w14:solidFill>
          </w14:textFill>
        </w:rPr>
        <w:t>。</w:t>
      </w:r>
    </w:p>
    <w:p>
      <w:pPr>
        <w:snapToGrid w:val="0"/>
        <w:spacing w:before="50" w:after="156" w:afterLines="50" w:line="360" w:lineRule="auto"/>
        <w:jc w:val="left"/>
        <w:rPr>
          <w:rFonts w:ascii="宋体" w:hAnsi="宋体"/>
          <w:color w:val="000000" w:themeColor="text1"/>
          <w:sz w:val="24"/>
          <w:szCs w:val="20"/>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993"/>
        <w:rPr>
          <w:rFonts w:ascii="宋体" w:hAnsi="宋体"/>
          <w:color w:val="000000" w:themeColor="text1"/>
          <w:sz w:val="24"/>
          <w:highlight w:val="none"/>
          <w14:textFill>
            <w14:solidFill>
              <w14:schemeClr w14:val="tx1"/>
            </w14:solidFill>
          </w14:textFill>
        </w:rPr>
      </w:pPr>
    </w:p>
    <w:p>
      <w:pPr>
        <w:snapToGrid w:val="0"/>
        <w:spacing w:before="50" w:after="50" w:line="360" w:lineRule="auto"/>
        <w:rPr>
          <w:rFonts w:ascii="宋体" w:hAnsi="宋体"/>
          <w:b/>
          <w:sz w:val="28"/>
          <w:highlight w:val="none"/>
        </w:rPr>
        <w:sectPr>
          <w:pgSz w:w="11906" w:h="16838"/>
          <w:pgMar w:top="1440" w:right="1800" w:bottom="1440" w:left="1800" w:header="851" w:footer="992" w:gutter="0"/>
          <w:cols w:space="720" w:num="1"/>
          <w:docGrid w:type="lines" w:linePitch="312" w:charSpace="0"/>
        </w:sect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18"/>
        <w:adjustRightInd w:val="0"/>
        <w:snapToGrid w:val="0"/>
        <w:spacing w:line="360" w:lineRule="auto"/>
        <w:jc w:val="center"/>
        <w:rPr>
          <w:rFonts w:ascii="宋体" w:hAnsi="宋体" w:eastAsia="宋体"/>
          <w:b/>
          <w:color w:val="000000" w:themeColor="text1"/>
          <w:sz w:val="32"/>
          <w:szCs w:val="32"/>
          <w:highlight w:val="none"/>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商务响应表</w:t>
      </w:r>
    </w:p>
    <w:p>
      <w:pPr>
        <w:pStyle w:val="18"/>
        <w:adjustRightInd w:val="0"/>
        <w:snapToGrid w:val="0"/>
        <w:spacing w:line="360" w:lineRule="auto"/>
        <w:jc w:val="left"/>
        <w:rPr>
          <w:rFonts w:ascii="宋体" w:hAnsi="宋体" w:eastAsia="宋体" w:cs="Tahoma"/>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项目名称及编号：</w:t>
      </w:r>
    </w:p>
    <w:tbl>
      <w:tblPr>
        <w:tblStyle w:val="28"/>
        <w:tblW w:w="8176" w:type="dxa"/>
        <w:tblInd w:w="0" w:type="dxa"/>
        <w:tblLayout w:type="fixed"/>
        <w:tblCellMar>
          <w:top w:w="0" w:type="dxa"/>
          <w:left w:w="108" w:type="dxa"/>
          <w:bottom w:w="0" w:type="dxa"/>
          <w:right w:w="108" w:type="dxa"/>
        </w:tblCellMar>
      </w:tblPr>
      <w:tblGrid>
        <w:gridCol w:w="2090"/>
        <w:gridCol w:w="2660"/>
        <w:gridCol w:w="1713"/>
        <w:gridCol w:w="1713"/>
      </w:tblGrid>
      <w:tr>
        <w:tblPrEx>
          <w:tblCellMar>
            <w:top w:w="0" w:type="dxa"/>
            <w:left w:w="108" w:type="dxa"/>
            <w:bottom w:w="0" w:type="dxa"/>
            <w:right w:w="108" w:type="dxa"/>
          </w:tblCellMar>
        </w:tblPrEx>
        <w:trPr>
          <w:trHeight w:val="828"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s="楷体_GB2312"/>
                <w:bCs/>
                <w:color w:val="000000" w:themeColor="text1"/>
                <w:spacing w:val="10"/>
                <w:kern w:val="0"/>
                <w:sz w:val="24"/>
                <w:szCs w:val="22"/>
                <w:highlight w:val="none"/>
                <w14:textFill>
                  <w14:solidFill>
                    <w14:schemeClr w14:val="tx1"/>
                  </w14:solidFill>
                </w14:textFill>
              </w:rPr>
            </w:pPr>
            <w:r>
              <w:rPr>
                <w:rFonts w:hint="eastAsia" w:ascii="宋体" w:hAnsi="宋体" w:eastAsia="宋体" w:cs="楷体_GB2312"/>
                <w:bCs/>
                <w:color w:val="000000" w:themeColor="text1"/>
                <w:spacing w:val="10"/>
                <w:kern w:val="0"/>
                <w:sz w:val="24"/>
                <w:szCs w:val="22"/>
                <w:highlight w:val="none"/>
                <w14:textFill>
                  <w14:solidFill>
                    <w14:schemeClr w14:val="tx1"/>
                  </w14:solidFill>
                </w14:textFill>
              </w:rPr>
              <w:t>内容</w:t>
            </w: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s="楷体_GB2312"/>
                <w:bCs/>
                <w:color w:val="000000" w:themeColor="text1"/>
                <w:spacing w:val="10"/>
                <w:kern w:val="0"/>
                <w:sz w:val="24"/>
                <w:szCs w:val="22"/>
                <w:highlight w:val="none"/>
                <w14:textFill>
                  <w14:solidFill>
                    <w14:schemeClr w14:val="tx1"/>
                  </w14:solidFill>
                </w14:textFill>
              </w:rPr>
            </w:pPr>
            <w:r>
              <w:rPr>
                <w:rFonts w:hint="eastAsia" w:ascii="宋体" w:hAnsi="宋体" w:eastAsia="宋体" w:cs="楷体_GB2312"/>
                <w:bCs/>
                <w:color w:val="000000" w:themeColor="text1"/>
                <w:spacing w:val="10"/>
                <w:kern w:val="0"/>
                <w:sz w:val="24"/>
                <w:szCs w:val="22"/>
                <w:highlight w:val="none"/>
                <w14:textFill>
                  <w14:solidFill>
                    <w14:schemeClr w14:val="tx1"/>
                  </w14:solidFill>
                </w14:textFill>
              </w:rPr>
              <w:t>磋商文件</w:t>
            </w:r>
            <w:r>
              <w:rPr>
                <w:rFonts w:ascii="宋体" w:hAnsi="宋体" w:eastAsia="宋体" w:cs="楷体_GB2312"/>
                <w:bCs/>
                <w:color w:val="000000" w:themeColor="text1"/>
                <w:spacing w:val="10"/>
                <w:kern w:val="0"/>
                <w:sz w:val="24"/>
                <w:szCs w:val="22"/>
                <w:highlight w:val="none"/>
                <w14:textFill>
                  <w14:solidFill>
                    <w14:schemeClr w14:val="tx1"/>
                  </w14:solidFill>
                </w14:textFill>
              </w:rPr>
              <w:t>商务</w:t>
            </w:r>
            <w:r>
              <w:rPr>
                <w:rFonts w:hint="eastAsia" w:ascii="宋体" w:hAnsi="宋体" w:eastAsia="宋体" w:cs="楷体_GB2312"/>
                <w:bCs/>
                <w:color w:val="000000" w:themeColor="text1"/>
                <w:spacing w:val="10"/>
                <w:kern w:val="0"/>
                <w:sz w:val="24"/>
                <w:szCs w:val="22"/>
                <w:highlight w:val="none"/>
                <w14:textFill>
                  <w14:solidFill>
                    <w14:schemeClr w14:val="tx1"/>
                  </w14:solidFill>
                </w14:textFill>
              </w:rPr>
              <w:t>要求</w:t>
            </w: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s="楷体_GB2312"/>
                <w:bCs/>
                <w:color w:val="000000" w:themeColor="text1"/>
                <w:spacing w:val="10"/>
                <w:kern w:val="0"/>
                <w:sz w:val="24"/>
                <w:szCs w:val="22"/>
                <w:highlight w:val="none"/>
                <w14:textFill>
                  <w14:solidFill>
                    <w14:schemeClr w14:val="tx1"/>
                  </w14:solidFill>
                </w14:textFill>
              </w:rPr>
            </w:pPr>
            <w:r>
              <w:rPr>
                <w:rFonts w:ascii="宋体" w:hAnsi="宋体" w:eastAsia="宋体" w:cs="楷体_GB2312"/>
                <w:bCs/>
                <w:color w:val="000000" w:themeColor="text1"/>
                <w:spacing w:val="10"/>
                <w:kern w:val="0"/>
                <w:sz w:val="24"/>
                <w:szCs w:val="22"/>
                <w:highlight w:val="none"/>
                <w14:textFill>
                  <w14:solidFill>
                    <w14:schemeClr w14:val="tx1"/>
                  </w14:solidFill>
                </w14:textFill>
              </w:rPr>
              <w:t>商务</w:t>
            </w:r>
            <w:r>
              <w:rPr>
                <w:rFonts w:hint="eastAsia" w:ascii="宋体" w:hAnsi="宋体" w:eastAsia="宋体" w:cs="楷体_GB2312"/>
                <w:bCs/>
                <w:color w:val="000000" w:themeColor="text1"/>
                <w:spacing w:val="10"/>
                <w:kern w:val="0"/>
                <w:sz w:val="24"/>
                <w:szCs w:val="22"/>
                <w:highlight w:val="none"/>
                <w14:textFill>
                  <w14:solidFill>
                    <w14:schemeClr w14:val="tx1"/>
                  </w14:solidFill>
                </w14:textFill>
              </w:rPr>
              <w:t>响应</w:t>
            </w: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s="楷体_GB2312"/>
                <w:bCs/>
                <w:color w:val="000000" w:themeColor="text1"/>
                <w:spacing w:val="10"/>
                <w:kern w:val="0"/>
                <w:sz w:val="24"/>
                <w:szCs w:val="22"/>
                <w:highlight w:val="none"/>
                <w14:textFill>
                  <w14:solidFill>
                    <w14:schemeClr w14:val="tx1"/>
                  </w14:solidFill>
                </w14:textFill>
              </w:rPr>
            </w:pPr>
            <w:r>
              <w:rPr>
                <w:rFonts w:hint="eastAsia" w:ascii="宋体" w:hAnsi="宋体" w:eastAsia="宋体" w:cs="楷体_GB2312"/>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r>
              <w:rPr>
                <w:rFonts w:hint="eastAsia" w:ascii="宋体" w:hAnsi="宋体" w:eastAsia="宋体"/>
                <w:color w:val="000000" w:themeColor="text1"/>
                <w:spacing w:val="20"/>
                <w:sz w:val="24"/>
                <w:highlight w:val="none"/>
                <w14:textFill>
                  <w14:solidFill>
                    <w14:schemeClr w14:val="tx1"/>
                  </w14:solidFill>
                </w14:textFill>
              </w:rPr>
              <w:t>完成时间</w:t>
            </w: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r>
              <w:rPr>
                <w:rFonts w:hint="eastAsia" w:ascii="宋体" w:hAnsi="宋体" w:eastAsia="宋体"/>
                <w:color w:val="000000" w:themeColor="text1"/>
                <w:spacing w:val="20"/>
                <w:sz w:val="24"/>
                <w:highlight w:val="none"/>
                <w14:textFill>
                  <w14:solidFill>
                    <w14:schemeClr w14:val="tx1"/>
                  </w14:solidFill>
                </w14:textFill>
              </w:rPr>
              <w:t>质保期</w:t>
            </w: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r>
              <w:rPr>
                <w:rFonts w:hint="eastAsia" w:ascii="宋体" w:hAnsi="宋体" w:eastAsia="宋体"/>
                <w:color w:val="000000" w:themeColor="text1"/>
                <w:spacing w:val="20"/>
                <w:sz w:val="24"/>
                <w:highlight w:val="none"/>
                <w14:textFill>
                  <w14:solidFill>
                    <w14:schemeClr w14:val="tx1"/>
                  </w14:solidFill>
                </w14:textFill>
              </w:rPr>
              <w:t>付款方式</w:t>
            </w: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r>
              <w:rPr>
                <w:rFonts w:hint="eastAsia" w:ascii="宋体" w:hAnsi="宋体" w:eastAsia="宋体"/>
                <w:color w:val="000000" w:themeColor="text1"/>
                <w:spacing w:val="20"/>
                <w:sz w:val="24"/>
                <w:highlight w:val="none"/>
                <w14:textFill>
                  <w14:solidFill>
                    <w14:schemeClr w14:val="tx1"/>
                  </w14:solidFill>
                </w14:textFill>
              </w:rPr>
              <w:t>质量要求</w:t>
            </w: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r>
              <w:rPr>
                <w:rFonts w:hint="eastAsia" w:ascii="宋体" w:hAnsi="宋体" w:eastAsia="宋体"/>
                <w:color w:val="000000" w:themeColor="text1"/>
                <w:spacing w:val="20"/>
                <w:sz w:val="24"/>
                <w:highlight w:val="none"/>
                <w14:textFill>
                  <w14:solidFill>
                    <w14:schemeClr w14:val="tx1"/>
                  </w14:solidFill>
                </w14:textFill>
              </w:rPr>
              <w:t>完成地点</w:t>
            </w: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bl>
    <w:p>
      <w:pPr>
        <w:pStyle w:val="18"/>
        <w:adjustRightInd w:val="0"/>
        <w:snapToGrid w:val="0"/>
        <w:spacing w:line="360" w:lineRule="auto"/>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备注：1、供应商在填写其中的“磋商响应</w:t>
      </w:r>
      <w:r>
        <w:rPr>
          <w:rFonts w:ascii="宋体" w:hAnsi="宋体" w:eastAsia="宋体"/>
          <w:color w:val="000000" w:themeColor="text1"/>
          <w:sz w:val="24"/>
          <w:highlight w:val="none"/>
          <w14:textFill>
            <w14:solidFill>
              <w14:schemeClr w14:val="tx1"/>
            </w14:solidFill>
          </w14:textFill>
        </w:rPr>
        <w:t>商务</w:t>
      </w:r>
      <w:r>
        <w:rPr>
          <w:rFonts w:hint="eastAsia" w:ascii="宋体" w:hAnsi="宋体" w:eastAsia="宋体"/>
          <w:color w:val="000000" w:themeColor="text1"/>
          <w:sz w:val="24"/>
          <w:highlight w:val="none"/>
          <w14:textFill>
            <w14:solidFill>
              <w14:schemeClr w14:val="tx1"/>
            </w14:solidFill>
          </w14:textFill>
        </w:rPr>
        <w:t>响应”内容时，必须对照本磋商文件“商务需求”中各指标项逐条说明，写出各磋商服务响应内容，不得以“符合”或“满足”等词语作简单回答或者完全复制本项目商务需求中内容，否则磋商小组有权视其磋商响应文件未响应磋商文件要求。</w:t>
      </w:r>
    </w:p>
    <w:p>
      <w:pPr>
        <w:pStyle w:val="18"/>
        <w:adjustRightInd w:val="0"/>
        <w:snapToGrid w:val="0"/>
        <w:spacing w:line="360" w:lineRule="auto"/>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2、如未提供</w:t>
      </w:r>
      <w:r>
        <w:rPr>
          <w:rFonts w:ascii="宋体" w:hAnsi="宋体" w:eastAsia="宋体"/>
          <w:color w:val="000000" w:themeColor="text1"/>
          <w:sz w:val="24"/>
          <w:highlight w:val="none"/>
          <w14:textFill>
            <w14:solidFill>
              <w14:schemeClr w14:val="tx1"/>
            </w14:solidFill>
          </w14:textFill>
        </w:rPr>
        <w:t>或未填写</w:t>
      </w:r>
      <w:r>
        <w:rPr>
          <w:rFonts w:hint="eastAsia" w:ascii="宋体" w:hAnsi="宋体" w:eastAsia="宋体"/>
          <w:color w:val="000000" w:themeColor="text1"/>
          <w:sz w:val="24"/>
          <w:highlight w:val="none"/>
          <w14:textFill>
            <w14:solidFill>
              <w14:schemeClr w14:val="tx1"/>
            </w14:solidFill>
          </w14:textFill>
        </w:rPr>
        <w:t>均</w:t>
      </w:r>
      <w:r>
        <w:rPr>
          <w:rFonts w:ascii="宋体" w:hAnsi="宋体" w:eastAsia="宋体"/>
          <w:color w:val="000000" w:themeColor="text1"/>
          <w:sz w:val="24"/>
          <w:highlight w:val="none"/>
          <w14:textFill>
            <w14:solidFill>
              <w14:schemeClr w14:val="tx1"/>
            </w14:solidFill>
          </w14:textFill>
        </w:rPr>
        <w:t>视为完全相应</w:t>
      </w:r>
      <w:r>
        <w:rPr>
          <w:rFonts w:hint="eastAsia" w:ascii="宋体" w:hAnsi="宋体" w:eastAsia="宋体"/>
          <w:color w:val="000000" w:themeColor="text1"/>
          <w:sz w:val="24"/>
          <w:highlight w:val="none"/>
          <w14:textFill>
            <w14:solidFill>
              <w14:schemeClr w14:val="tx1"/>
            </w14:solidFill>
          </w14:textFill>
        </w:rPr>
        <w:t>采购</w:t>
      </w:r>
      <w:r>
        <w:rPr>
          <w:rFonts w:ascii="宋体" w:hAnsi="宋体" w:eastAsia="宋体"/>
          <w:color w:val="000000" w:themeColor="text1"/>
          <w:sz w:val="24"/>
          <w:highlight w:val="none"/>
          <w14:textFill>
            <w14:solidFill>
              <w14:schemeClr w14:val="tx1"/>
            </w14:solidFill>
          </w14:textFill>
        </w:rPr>
        <w:t>需求内容。</w:t>
      </w:r>
    </w:p>
    <w:p>
      <w:pPr>
        <w:ind w:firstLine="424" w:firstLineChars="177"/>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pPr>
        <w:ind w:left="420"/>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pPr>
        <w:ind w:firstLine="435"/>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rPr>
          <w:rFonts w:ascii="宋体" w:hAnsi="宋体"/>
          <w:color w:val="000000" w:themeColor="text1"/>
          <w:sz w:val="24"/>
          <w:highlight w:val="none"/>
          <w14:textFill>
            <w14:solidFill>
              <w14:schemeClr w14:val="tx1"/>
            </w14:solidFill>
          </w14:textFill>
        </w:rPr>
      </w:pPr>
    </w:p>
    <w:p>
      <w:pPr>
        <w:pStyle w:val="51"/>
        <w:shd w:val="clear" w:color="auto" w:fill="FFFFFF"/>
        <w:spacing w:before="0" w:beforeAutospacing="0" w:after="0" w:afterAutospacing="0"/>
        <w:ind w:firstLine="424" w:firstLineChars="177"/>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        期：</w:t>
      </w:r>
      <w:r>
        <w:rPr>
          <w:rFonts w:hint="eastAsia" w:ascii="宋体" w:hAnsi="宋体"/>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18"/>
        <w:adjustRightInd w:val="0"/>
        <w:snapToGrid w:val="0"/>
        <w:spacing w:line="360" w:lineRule="auto"/>
        <w:jc w:val="center"/>
        <w:rPr>
          <w:rFonts w:ascii="宋体" w:hAnsi="宋体" w:eastAsia="宋体"/>
          <w:b/>
          <w:color w:val="000000" w:themeColor="text1"/>
          <w:sz w:val="32"/>
          <w:szCs w:val="32"/>
          <w:highlight w:val="none"/>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技术响应表</w:t>
      </w:r>
    </w:p>
    <w:p>
      <w:pPr>
        <w:pStyle w:val="18"/>
        <w:adjustRightInd w:val="0"/>
        <w:snapToGrid w:val="0"/>
        <w:spacing w:line="360" w:lineRule="auto"/>
        <w:jc w:val="left"/>
        <w:rPr>
          <w:rFonts w:ascii="宋体" w:hAnsi="宋体" w:eastAsia="宋体" w:cs="Tahoma"/>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项目名称及编号：</w:t>
      </w:r>
    </w:p>
    <w:tbl>
      <w:tblPr>
        <w:tblStyle w:val="28"/>
        <w:tblW w:w="8176" w:type="dxa"/>
        <w:tblInd w:w="0" w:type="dxa"/>
        <w:tblLayout w:type="fixed"/>
        <w:tblCellMar>
          <w:top w:w="0" w:type="dxa"/>
          <w:left w:w="108" w:type="dxa"/>
          <w:bottom w:w="0" w:type="dxa"/>
          <w:right w:w="108" w:type="dxa"/>
        </w:tblCellMar>
      </w:tblPr>
      <w:tblGrid>
        <w:gridCol w:w="2090"/>
        <w:gridCol w:w="2660"/>
        <w:gridCol w:w="1713"/>
        <w:gridCol w:w="1713"/>
      </w:tblGrid>
      <w:tr>
        <w:tblPrEx>
          <w:tblCellMar>
            <w:top w:w="0" w:type="dxa"/>
            <w:left w:w="108" w:type="dxa"/>
            <w:bottom w:w="0" w:type="dxa"/>
            <w:right w:w="108" w:type="dxa"/>
          </w:tblCellMar>
        </w:tblPrEx>
        <w:trPr>
          <w:trHeight w:val="828"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s="楷体_GB2312"/>
                <w:bCs/>
                <w:color w:val="000000" w:themeColor="text1"/>
                <w:spacing w:val="10"/>
                <w:kern w:val="0"/>
                <w:sz w:val="24"/>
                <w:szCs w:val="22"/>
                <w:highlight w:val="none"/>
                <w14:textFill>
                  <w14:solidFill>
                    <w14:schemeClr w14:val="tx1"/>
                  </w14:solidFill>
                </w14:textFill>
              </w:rPr>
            </w:pPr>
            <w:r>
              <w:rPr>
                <w:rFonts w:hint="eastAsia" w:ascii="宋体" w:hAnsi="宋体" w:eastAsia="宋体" w:cs="楷体_GB2312"/>
                <w:bCs/>
                <w:color w:val="000000" w:themeColor="text1"/>
                <w:spacing w:val="10"/>
                <w:kern w:val="0"/>
                <w:sz w:val="24"/>
                <w:szCs w:val="22"/>
                <w:highlight w:val="none"/>
                <w14:textFill>
                  <w14:solidFill>
                    <w14:schemeClr w14:val="tx1"/>
                  </w14:solidFill>
                </w14:textFill>
              </w:rPr>
              <w:t>内容</w:t>
            </w: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s="楷体_GB2312"/>
                <w:bCs/>
                <w:color w:val="000000" w:themeColor="text1"/>
                <w:spacing w:val="10"/>
                <w:kern w:val="0"/>
                <w:sz w:val="24"/>
                <w:szCs w:val="22"/>
                <w:highlight w:val="none"/>
                <w14:textFill>
                  <w14:solidFill>
                    <w14:schemeClr w14:val="tx1"/>
                  </w14:solidFill>
                </w14:textFill>
              </w:rPr>
            </w:pPr>
            <w:r>
              <w:rPr>
                <w:rFonts w:hint="eastAsia" w:ascii="宋体" w:hAnsi="宋体" w:eastAsia="宋体" w:cs="楷体_GB2312"/>
                <w:bCs/>
                <w:color w:val="000000" w:themeColor="text1"/>
                <w:spacing w:val="10"/>
                <w:kern w:val="0"/>
                <w:sz w:val="24"/>
                <w:szCs w:val="22"/>
                <w:highlight w:val="none"/>
                <w14:textFill>
                  <w14:solidFill>
                    <w14:schemeClr w14:val="tx1"/>
                  </w14:solidFill>
                </w14:textFill>
              </w:rPr>
              <w:t>磋商文件技术要求</w:t>
            </w: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s="楷体_GB2312"/>
                <w:bCs/>
                <w:color w:val="000000" w:themeColor="text1"/>
                <w:spacing w:val="10"/>
                <w:kern w:val="0"/>
                <w:sz w:val="24"/>
                <w:szCs w:val="22"/>
                <w:highlight w:val="none"/>
                <w14:textFill>
                  <w14:solidFill>
                    <w14:schemeClr w14:val="tx1"/>
                  </w14:solidFill>
                </w14:textFill>
              </w:rPr>
            </w:pPr>
            <w:r>
              <w:rPr>
                <w:rFonts w:hint="eastAsia" w:ascii="宋体" w:hAnsi="宋体" w:eastAsia="宋体" w:cs="楷体_GB2312"/>
                <w:bCs/>
                <w:color w:val="000000" w:themeColor="text1"/>
                <w:spacing w:val="10"/>
                <w:kern w:val="0"/>
                <w:sz w:val="24"/>
                <w:szCs w:val="22"/>
                <w:highlight w:val="none"/>
                <w14:textFill>
                  <w14:solidFill>
                    <w14:schemeClr w14:val="tx1"/>
                  </w14:solidFill>
                </w14:textFill>
              </w:rPr>
              <w:t>技术响应</w:t>
            </w: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s="楷体_GB2312"/>
                <w:bCs/>
                <w:color w:val="000000" w:themeColor="text1"/>
                <w:spacing w:val="10"/>
                <w:kern w:val="0"/>
                <w:sz w:val="24"/>
                <w:szCs w:val="22"/>
                <w:highlight w:val="none"/>
                <w14:textFill>
                  <w14:solidFill>
                    <w14:schemeClr w14:val="tx1"/>
                  </w14:solidFill>
                </w14:textFill>
              </w:rPr>
            </w:pPr>
            <w:r>
              <w:rPr>
                <w:rFonts w:hint="eastAsia" w:ascii="宋体" w:hAnsi="宋体" w:eastAsia="宋体" w:cs="楷体_GB2312"/>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22" w:hRule="atLeast"/>
        </w:trPr>
        <w:tc>
          <w:tcPr>
            <w:tcW w:w="2090" w:type="dxa"/>
            <w:tcBorders>
              <w:top w:val="single" w:color="auto" w:sz="4" w:space="0"/>
              <w:left w:val="single" w:color="auto" w:sz="4" w:space="0"/>
              <w:bottom w:val="single" w:color="auto" w:sz="4" w:space="0"/>
              <w:right w:val="single" w:color="auto" w:sz="4" w:space="0"/>
            </w:tcBorders>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p>
        </w:tc>
        <w:tc>
          <w:tcPr>
            <w:tcW w:w="2660"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line="360" w:lineRule="auto"/>
              <w:jc w:val="center"/>
              <w:rPr>
                <w:rFonts w:ascii="宋体" w:hAnsi="宋体" w:eastAsia="宋体"/>
                <w:color w:val="000000" w:themeColor="text1"/>
                <w:spacing w:val="20"/>
                <w:sz w:val="24"/>
                <w:highlight w:val="none"/>
                <w14:textFill>
                  <w14:solidFill>
                    <w14:schemeClr w14:val="tx1"/>
                  </w14:solidFill>
                </w14:textFill>
              </w:rPr>
            </w:pPr>
          </w:p>
        </w:tc>
      </w:tr>
    </w:tbl>
    <w:p>
      <w:pPr>
        <w:pStyle w:val="18"/>
        <w:adjustRightInd w:val="0"/>
        <w:snapToGrid w:val="0"/>
        <w:spacing w:line="360" w:lineRule="auto"/>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备注：1、供应商在填写其中的“磋商响应技术响应”内容时，必须对照本磋商文件“技术需求”中各指标项逐条说明，写出各磋商技术响应内容，不得以“符合”或“满足”等词语作简单回答或者完全复制本项目技术需求中内容，否则磋商小组有权视其磋商响应文件未响应磋商文件要求。</w:t>
      </w:r>
    </w:p>
    <w:p>
      <w:pPr>
        <w:pStyle w:val="18"/>
        <w:adjustRightInd w:val="0"/>
        <w:snapToGrid w:val="0"/>
        <w:spacing w:line="360" w:lineRule="auto"/>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2、如未提供</w:t>
      </w:r>
      <w:r>
        <w:rPr>
          <w:rFonts w:ascii="宋体" w:hAnsi="宋体" w:eastAsia="宋体"/>
          <w:color w:val="000000" w:themeColor="text1"/>
          <w:sz w:val="24"/>
          <w:highlight w:val="none"/>
          <w14:textFill>
            <w14:solidFill>
              <w14:schemeClr w14:val="tx1"/>
            </w14:solidFill>
          </w14:textFill>
        </w:rPr>
        <w:t>或未填写</w:t>
      </w:r>
      <w:r>
        <w:rPr>
          <w:rFonts w:hint="eastAsia" w:ascii="宋体" w:hAnsi="宋体" w:eastAsia="宋体"/>
          <w:color w:val="000000" w:themeColor="text1"/>
          <w:sz w:val="24"/>
          <w:highlight w:val="none"/>
          <w14:textFill>
            <w14:solidFill>
              <w14:schemeClr w14:val="tx1"/>
            </w14:solidFill>
          </w14:textFill>
        </w:rPr>
        <w:t>均</w:t>
      </w:r>
      <w:r>
        <w:rPr>
          <w:rFonts w:ascii="宋体" w:hAnsi="宋体" w:eastAsia="宋体"/>
          <w:color w:val="000000" w:themeColor="text1"/>
          <w:sz w:val="24"/>
          <w:highlight w:val="none"/>
          <w14:textFill>
            <w14:solidFill>
              <w14:schemeClr w14:val="tx1"/>
            </w14:solidFill>
          </w14:textFill>
        </w:rPr>
        <w:t>视为完全相应</w:t>
      </w:r>
      <w:r>
        <w:rPr>
          <w:rFonts w:hint="eastAsia" w:ascii="宋体" w:hAnsi="宋体" w:eastAsia="宋体"/>
          <w:color w:val="000000" w:themeColor="text1"/>
          <w:sz w:val="24"/>
          <w:highlight w:val="none"/>
          <w14:textFill>
            <w14:solidFill>
              <w14:schemeClr w14:val="tx1"/>
            </w14:solidFill>
          </w14:textFill>
        </w:rPr>
        <w:t>采购</w:t>
      </w:r>
      <w:r>
        <w:rPr>
          <w:rFonts w:ascii="宋体" w:hAnsi="宋体" w:eastAsia="宋体"/>
          <w:color w:val="000000" w:themeColor="text1"/>
          <w:sz w:val="24"/>
          <w:highlight w:val="none"/>
          <w14:textFill>
            <w14:solidFill>
              <w14:schemeClr w14:val="tx1"/>
            </w14:solidFill>
          </w14:textFill>
        </w:rPr>
        <w:t>需求内容。</w:t>
      </w:r>
    </w:p>
    <w:p>
      <w:pPr>
        <w:ind w:firstLine="424" w:firstLineChars="177"/>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pPr>
        <w:ind w:left="420"/>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pPr>
        <w:ind w:firstLine="435"/>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rPr>
          <w:rFonts w:ascii="宋体" w:hAnsi="宋体"/>
          <w:color w:val="000000" w:themeColor="text1"/>
          <w:sz w:val="24"/>
          <w:highlight w:val="none"/>
          <w14:textFill>
            <w14:solidFill>
              <w14:schemeClr w14:val="tx1"/>
            </w14:solidFill>
          </w14:textFill>
        </w:rPr>
      </w:pPr>
    </w:p>
    <w:p>
      <w:pPr>
        <w:pStyle w:val="51"/>
        <w:shd w:val="clear" w:color="auto" w:fill="FFFFFF"/>
        <w:spacing w:before="0" w:beforeAutospacing="0" w:after="0" w:afterAutospacing="0"/>
        <w:ind w:firstLine="424" w:firstLineChars="177"/>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        期：</w:t>
      </w:r>
      <w:r>
        <w:rPr>
          <w:rFonts w:hint="eastAsia" w:ascii="宋体" w:hAnsi="宋体"/>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p>
    <w:p>
      <w:pPr>
        <w:widowControl/>
        <w:jc w:val="left"/>
        <w:rPr>
          <w:rFonts w:ascii="宋体" w:hAnsi="宋体"/>
          <w:b/>
          <w:color w:val="000000" w:themeColor="text1"/>
          <w:sz w:val="28"/>
          <w:highlight w:val="none"/>
          <w14:textFill>
            <w14:solidFill>
              <w14:schemeClr w14:val="tx1"/>
            </w14:solidFill>
          </w14:textFill>
        </w:rPr>
      </w:pPr>
      <w:r>
        <w:rPr>
          <w:rFonts w:ascii="宋体" w:hAnsi="宋体"/>
          <w:b/>
          <w:color w:val="000000" w:themeColor="text1"/>
          <w:sz w:val="28"/>
          <w:highlight w:val="none"/>
          <w14:textFill>
            <w14:solidFill>
              <w14:schemeClr w14:val="tx1"/>
            </w14:solidFill>
          </w14:textFill>
        </w:rPr>
        <w:br w:type="page"/>
      </w: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pStyle w:val="42"/>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42"/>
        <w:spacing w:line="360" w:lineRule="auto"/>
        <w:jc w:val="center"/>
        <w:rPr>
          <w:rFonts w:ascii="宋体" w:hAnsi="宋体" w:cs="Tahoma"/>
          <w:color w:val="000000" w:themeColor="text1"/>
          <w:sz w:val="28"/>
          <w:szCs w:val="28"/>
          <w:highlight w:val="none"/>
          <w14:textFill>
            <w14:solidFill>
              <w14:schemeClr w14:val="tx1"/>
            </w14:solidFill>
          </w14:textFill>
        </w:rPr>
      </w:pP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2"/>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42"/>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42"/>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42"/>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Borders>
              <w:top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Borders>
              <w:top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42"/>
              <w:spacing w:line="360" w:lineRule="auto"/>
              <w:jc w:val="center"/>
              <w:rPr>
                <w:rFonts w:ascii="宋体" w:hAnsi="宋体" w:cs="Tahoma"/>
                <w:color w:val="000000" w:themeColor="text1"/>
                <w:szCs w:val="21"/>
                <w:highlight w:val="none"/>
                <w14:textFill>
                  <w14:solidFill>
                    <w14:schemeClr w14:val="tx1"/>
                  </w14:solidFill>
                </w14:textFill>
              </w:rPr>
            </w:pPr>
          </w:p>
        </w:tc>
      </w:tr>
    </w:tbl>
    <w:p>
      <w:pPr>
        <w:pStyle w:val="42"/>
        <w:tabs>
          <w:tab w:val="left" w:pos="1050"/>
        </w:tabs>
        <w:spacing w:line="360" w:lineRule="auto"/>
        <w:rPr>
          <w:rFonts w:ascii="宋体" w:hAnsi="宋体"/>
          <w:color w:val="000000" w:themeColor="text1"/>
          <w:sz w:val="24"/>
          <w:highlight w:val="none"/>
          <w14:textFill>
            <w14:solidFill>
              <w14:schemeClr w14:val="tx1"/>
            </w14:solidFill>
          </w14:textFill>
        </w:rPr>
      </w:pPr>
    </w:p>
    <w:p>
      <w:pPr>
        <w:pStyle w:val="42"/>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42"/>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1.填写磋商供应商获得资质、认证或企业信誉证书。</w:t>
      </w:r>
    </w:p>
    <w:p>
      <w:pPr>
        <w:pStyle w:val="42"/>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2.附所列证书原件的扫描件或其他证明材料。</w:t>
      </w:r>
    </w:p>
    <w:p>
      <w:pPr>
        <w:pStyle w:val="42"/>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p>
    <w:p>
      <w:pPr>
        <w:pStyle w:val="42"/>
        <w:tabs>
          <w:tab w:val="left" w:pos="1050"/>
        </w:tabs>
        <w:spacing w:line="360" w:lineRule="auto"/>
        <w:ind w:firstLine="720" w:firstLineChars="300"/>
        <w:rPr>
          <w:rFonts w:ascii="宋体" w:hAnsi="宋体"/>
          <w:color w:val="000000" w:themeColor="text1"/>
          <w:sz w:val="24"/>
          <w:highlight w:val="none"/>
          <w14:textFill>
            <w14:solidFill>
              <w14:schemeClr w14:val="tx1"/>
            </w14:solidFill>
          </w14:textFill>
        </w:rPr>
      </w:pPr>
    </w:p>
    <w:p>
      <w:pPr>
        <w:pStyle w:val="42"/>
        <w:tabs>
          <w:tab w:val="left" w:pos="1050"/>
        </w:tabs>
        <w:spacing w:line="360" w:lineRule="auto"/>
        <w:ind w:firstLine="720" w:firstLineChars="300"/>
        <w:rPr>
          <w:rFonts w:ascii="宋体" w:hAnsi="宋体"/>
          <w:color w:val="000000" w:themeColor="text1"/>
          <w:sz w:val="24"/>
          <w:highlight w:val="none"/>
          <w14:textFill>
            <w14:solidFill>
              <w14:schemeClr w14:val="tx1"/>
            </w14:solidFill>
          </w14:textFill>
        </w:rPr>
      </w:pPr>
    </w:p>
    <w:p>
      <w:pPr>
        <w:pStyle w:val="42"/>
        <w:tabs>
          <w:tab w:val="left" w:pos="1050"/>
        </w:tabs>
        <w:spacing w:line="360" w:lineRule="auto"/>
        <w:ind w:firstLine="720" w:firstLineChars="30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p>
    <w:p>
      <w:pPr>
        <w:pStyle w:val="51"/>
        <w:shd w:val="clear" w:color="auto" w:fill="FFFFFF"/>
        <w:spacing w:before="0" w:beforeAutospacing="0" w:after="0" w:afterAutospacing="0" w:line="360" w:lineRule="auto"/>
        <w:ind w:firstLine="424" w:firstLineChars="177"/>
        <w:rPr>
          <w:rFonts w:ascii="宋体" w:hAnsi="宋体"/>
          <w:b/>
          <w:bCs/>
          <w:color w:val="000000" w:themeColor="text1"/>
          <w:spacing w:val="1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        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p>
    <w:p>
      <w:pPr>
        <w:pStyle w:val="6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类似项目实施情况一览表</w:t>
      </w:r>
    </w:p>
    <w:p>
      <w:pPr>
        <w:pStyle w:val="60"/>
        <w:spacing w:line="360" w:lineRule="auto"/>
        <w:jc w:val="center"/>
        <w:rPr>
          <w:rFonts w:ascii="宋体" w:hAnsi="宋体"/>
          <w:b/>
          <w:color w:val="000000" w:themeColor="text1"/>
          <w:sz w:val="28"/>
          <w:szCs w:val="28"/>
          <w:highlight w:val="none"/>
          <w14:textFill>
            <w14:solidFill>
              <w14:schemeClr w14:val="tx1"/>
            </w14:solidFill>
          </w14:textFill>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0"/>
              <w:spacing w:line="360" w:lineRule="auto"/>
              <w:jc w:val="center"/>
              <w:rPr>
                <w:rFonts w:ascii="宋体" w:hAnsi="宋体" w:cs="Tahoma"/>
                <w:b/>
                <w:bCs/>
                <w:color w:val="000000" w:themeColor="text1"/>
                <w:sz w:val="24"/>
                <w:highlight w:val="none"/>
                <w14:textFill>
                  <w14:solidFill>
                    <w14:schemeClr w14:val="tx1"/>
                  </w14:solidFill>
                </w14:textFill>
              </w:rPr>
            </w:pPr>
            <w:r>
              <w:rPr>
                <w:rFonts w:hint="eastAsia" w:ascii="宋体" w:hAnsi="宋体" w:cs="Tahoma"/>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jc w:val="center"/>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0"/>
              <w:spacing w:line="360" w:lineRule="auto"/>
              <w:rPr>
                <w:rFonts w:ascii="宋体" w:hAnsi="宋体" w:cs="Tahoma"/>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Tahoma"/>
          <w:b/>
          <w:color w:val="000000" w:themeColor="text1"/>
          <w:szCs w:val="21"/>
          <w:highlight w:val="none"/>
          <w14:textFill>
            <w14:solidFill>
              <w14:schemeClr w14:val="tx1"/>
            </w14:solidFill>
          </w14:textFill>
        </w:rPr>
      </w:pPr>
      <w:r>
        <w:rPr>
          <w:rFonts w:hint="eastAsia" w:ascii="宋体" w:hAnsi="宋体" w:cs="Tahoma"/>
          <w:b/>
          <w:color w:val="000000" w:themeColor="text1"/>
          <w:szCs w:val="21"/>
          <w:highlight w:val="none"/>
          <w14:textFill>
            <w14:solidFill>
              <w14:schemeClr w14:val="tx1"/>
            </w14:solidFill>
          </w14:textFill>
        </w:rPr>
        <w:t>要求</w:t>
      </w:r>
      <w:r>
        <w:rPr>
          <w:rFonts w:ascii="宋体" w:hAnsi="宋体" w:cs="Tahoma"/>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Tahoma"/>
          <w:b/>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1</w:t>
      </w:r>
      <w:r>
        <w:rPr>
          <w:rFonts w:hint="eastAsia" w:ascii="宋体" w:hAnsi="宋体" w:cs="Tahoma"/>
          <w:color w:val="000000" w:themeColor="text1"/>
          <w:szCs w:val="21"/>
          <w:highlight w:val="none"/>
          <w14:textFill>
            <w14:solidFill>
              <w14:schemeClr w14:val="tx1"/>
            </w14:solidFill>
          </w14:textFill>
        </w:rPr>
        <w:t>.</w:t>
      </w:r>
      <w:r>
        <w:rPr>
          <w:rFonts w:ascii="宋体" w:hAnsi="宋体" w:cs="Tahoma"/>
          <w:color w:val="000000" w:themeColor="text1"/>
          <w:szCs w:val="21"/>
          <w:highlight w:val="none"/>
          <w14:textFill>
            <w14:solidFill>
              <w14:schemeClr w14:val="tx1"/>
            </w14:solidFill>
          </w14:textFill>
        </w:rPr>
        <w:t>业绩证明应提供证明材料</w:t>
      </w:r>
      <w:r>
        <w:rPr>
          <w:rFonts w:hint="eastAsia" w:ascii="宋体" w:hAnsi="宋体" w:cs="Tahoma"/>
          <w:color w:val="000000" w:themeColor="text1"/>
          <w:szCs w:val="21"/>
          <w:highlight w:val="none"/>
          <w14:textFill>
            <w14:solidFill>
              <w14:schemeClr w14:val="tx1"/>
            </w14:solidFill>
          </w14:textFill>
        </w:rPr>
        <w:t>原件的扫描件</w:t>
      </w:r>
      <w:r>
        <w:rPr>
          <w:rFonts w:ascii="宋体" w:hAnsi="宋体" w:cs="Tahoma"/>
          <w:color w:val="000000" w:themeColor="text1"/>
          <w:szCs w:val="21"/>
          <w:highlight w:val="none"/>
          <w14:textFill>
            <w14:solidFill>
              <w14:schemeClr w14:val="tx1"/>
            </w14:solidFill>
          </w14:textFill>
        </w:rPr>
        <w:t>（合同</w:t>
      </w:r>
      <w:r>
        <w:rPr>
          <w:rFonts w:hint="eastAsia" w:ascii="宋体" w:hAnsi="宋体" w:cs="Tahoma"/>
          <w:color w:val="000000" w:themeColor="text1"/>
          <w:szCs w:val="21"/>
          <w:highlight w:val="none"/>
          <w14:textFill>
            <w14:solidFill>
              <w14:schemeClr w14:val="tx1"/>
            </w14:solidFill>
          </w14:textFill>
        </w:rPr>
        <w:t>原件的扫描件可只提供首页、显示</w:t>
      </w:r>
      <w:r>
        <w:rPr>
          <w:rFonts w:ascii="宋体" w:hAnsi="宋体" w:cs="Tahoma"/>
          <w:color w:val="000000" w:themeColor="text1"/>
          <w:szCs w:val="21"/>
          <w:highlight w:val="none"/>
          <w14:textFill>
            <w14:solidFill>
              <w14:schemeClr w14:val="tx1"/>
            </w14:solidFill>
          </w14:textFill>
        </w:rPr>
        <w:t>项目特征规模页、</w:t>
      </w:r>
      <w:r>
        <w:rPr>
          <w:rFonts w:hint="eastAsia" w:ascii="宋体" w:hAnsi="宋体" w:cs="Tahoma"/>
          <w:color w:val="000000" w:themeColor="text1"/>
          <w:szCs w:val="21"/>
          <w:highlight w:val="none"/>
          <w14:textFill>
            <w14:solidFill>
              <w14:schemeClr w14:val="tx1"/>
            </w14:solidFill>
          </w14:textFill>
        </w:rPr>
        <w:t>含金额页、盖章页并加盖磋商供应商公章</w:t>
      </w:r>
      <w:r>
        <w:rPr>
          <w:rFonts w:ascii="宋体" w:hAnsi="宋体" w:cs="Tahoma"/>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2</w:t>
      </w:r>
      <w:r>
        <w:rPr>
          <w:rFonts w:hint="eastAsia" w:ascii="宋体" w:hAnsi="宋体" w:cs="Tahoma"/>
          <w:color w:val="000000" w:themeColor="text1"/>
          <w:szCs w:val="21"/>
          <w:highlight w:val="none"/>
          <w14:textFill>
            <w14:solidFill>
              <w14:schemeClr w14:val="tx1"/>
            </w14:solidFill>
          </w14:textFill>
        </w:rPr>
        <w:t>.磋商供应商</w:t>
      </w:r>
      <w:r>
        <w:rPr>
          <w:rFonts w:ascii="宋体" w:hAnsi="宋体" w:cs="Tahoma"/>
          <w:color w:val="000000" w:themeColor="text1"/>
          <w:szCs w:val="21"/>
          <w:highlight w:val="none"/>
          <w14:textFill>
            <w14:solidFill>
              <w14:schemeClr w14:val="tx1"/>
            </w14:solidFill>
          </w14:textFill>
        </w:rPr>
        <w:t>可按此表格式复制</w:t>
      </w:r>
      <w:r>
        <w:rPr>
          <w:rFonts w:hint="eastAsia" w:ascii="宋体" w:hAnsi="宋体" w:cs="Tahoma"/>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jc w:val="center"/>
        <w:rPr>
          <w:rFonts w:ascii="宋体" w:hAnsi="宋体"/>
          <w:snapToGrid w:val="0"/>
          <w:color w:val="000000" w:themeColor="text1"/>
          <w:kern w:val="0"/>
          <w:sz w:val="24"/>
          <w:highlight w:val="none"/>
          <w14:textFill>
            <w14:solidFill>
              <w14:schemeClr w14:val="tx1"/>
            </w14:solidFill>
          </w14:textFill>
        </w:rPr>
      </w:pPr>
    </w:p>
    <w:p>
      <w:pPr>
        <w:tabs>
          <w:tab w:val="left" w:pos="2460"/>
        </w:tabs>
        <w:spacing w:line="360" w:lineRule="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w:t>
      </w:r>
      <w:r>
        <w:rPr>
          <w:rFonts w:hint="eastAsia" w:ascii="宋体" w:hAnsi="宋体"/>
          <w:b/>
          <w:color w:val="000000" w:themeColor="text1"/>
          <w:sz w:val="28"/>
          <w:highlight w:val="none"/>
          <w14:textFill>
            <w14:solidFill>
              <w14:schemeClr w14:val="tx1"/>
            </w14:solidFill>
          </w14:textFill>
        </w:rPr>
        <w:t>4</w:t>
      </w:r>
      <w:r>
        <w:rPr>
          <w:rFonts w:ascii="宋体" w:hAnsi="宋体"/>
          <w:b/>
          <w:color w:val="000000" w:themeColor="text1"/>
          <w:sz w:val="28"/>
          <w:highlight w:val="none"/>
          <w14:textFill>
            <w14:solidFill>
              <w14:schemeClr w14:val="tx1"/>
            </w14:solidFill>
          </w14:textFill>
        </w:rPr>
        <w:tab/>
      </w:r>
      <w:r>
        <w:rPr>
          <w:rFonts w:hint="eastAsia" w:ascii="宋体" w:hAnsi="宋体"/>
          <w:b/>
          <w:color w:val="000000" w:themeColor="text1"/>
          <w:sz w:val="30"/>
          <w:szCs w:val="30"/>
          <w:highlight w:val="none"/>
          <w14:textFill>
            <w14:solidFill>
              <w14:schemeClr w14:val="tx1"/>
            </w14:solidFill>
          </w14:textFill>
        </w:rPr>
        <w:t xml:space="preserve">                              </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首次报价一览表</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pPr>
        <w:pStyle w:val="18"/>
        <w:spacing w:line="320" w:lineRule="exact"/>
        <w:rPr>
          <w:rFonts w:ascii="宋体" w:hAnsi="宋体" w:eastAsia="宋体"/>
          <w:b/>
          <w:color w:val="000000" w:themeColor="text1"/>
          <w:sz w:val="24"/>
          <w:highlight w:val="none"/>
          <w14:textFill>
            <w14:solidFill>
              <w14:schemeClr w14:val="tx1"/>
            </w14:solidFill>
          </w14:textFill>
        </w:rPr>
      </w:pPr>
    </w:p>
    <w:p>
      <w:pPr>
        <w:pStyle w:val="18"/>
        <w:spacing w:line="320" w:lineRule="exact"/>
        <w:rPr>
          <w:rFonts w:ascii="宋体" w:hAnsi="宋体" w:eastAsia="宋体"/>
          <w:b/>
          <w:color w:val="000000" w:themeColor="text1"/>
          <w:sz w:val="24"/>
          <w:highlight w:val="none"/>
          <w:u w:val="singl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项目编号：</w:t>
      </w:r>
      <w:r>
        <w:rPr>
          <w:rFonts w:hint="eastAsia" w:ascii="宋体" w:hAnsi="宋体" w:eastAsia="宋体"/>
          <w:b/>
          <w:color w:val="000000" w:themeColor="text1"/>
          <w:sz w:val="24"/>
          <w:highlight w:val="none"/>
          <w:u w:val="single"/>
          <w14:textFill>
            <w14:solidFill>
              <w14:schemeClr w14:val="tx1"/>
            </w14:solidFill>
          </w14:textFill>
        </w:rPr>
        <w:t xml:space="preserve">               </w:t>
      </w:r>
    </w:p>
    <w:p>
      <w:pPr>
        <w:pStyle w:val="49"/>
        <w:spacing w:line="360" w:lineRule="auto"/>
        <w:ind w:right="480"/>
        <w:jc w:val="left"/>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项目名称：</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pPr>
        <w:pStyle w:val="9"/>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总报价应当包含本项目采购内容中的所有工作开支。包括但不限于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2.报价一经涂改，应在涂改处加盖单位公章，或者由法定代表人或全权代表签字或盖章，否则作无效标处理。</w:t>
      </w:r>
    </w:p>
    <w:p>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本项目招标代理服务费中标人支付，由供应商自行考虑，分摊在各项投标报价中，结算时不再另行计取。</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磋商供应商名称（公章）：</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磋商供应商代表签章或签字：</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tLeast"/>
        <w:ind w:left="480"/>
        <w:rPr>
          <w:rFonts w:ascii="宋体" w:hAnsi="宋体"/>
          <w:b/>
          <w:sz w:val="28"/>
          <w:highlight w:val="none"/>
        </w:rPr>
      </w:pPr>
      <w:r>
        <w:rPr>
          <w:rFonts w:hint="eastAsia" w:ascii="宋体" w:hAnsi="宋体"/>
          <w:b/>
          <w:sz w:val="28"/>
          <w:highlight w:val="none"/>
        </w:rPr>
        <w:t>附件</w:t>
      </w:r>
      <w:r>
        <w:rPr>
          <w:rFonts w:ascii="宋体" w:hAnsi="宋体"/>
          <w:b/>
          <w:sz w:val="28"/>
          <w:highlight w:val="none"/>
        </w:rPr>
        <w:t>1</w:t>
      </w:r>
      <w:r>
        <w:rPr>
          <w:rFonts w:hint="eastAsia" w:ascii="宋体" w:hAnsi="宋体"/>
          <w:b/>
          <w:sz w:val="28"/>
          <w:highlight w:val="none"/>
        </w:rPr>
        <w:t xml:space="preserve">5        </w:t>
      </w:r>
    </w:p>
    <w:p>
      <w:pPr>
        <w:spacing w:line="360" w:lineRule="auto"/>
        <w:ind w:left="480"/>
        <w:jc w:val="center"/>
        <w:rPr>
          <w:rFonts w:ascii="宋体" w:hAnsi="宋体"/>
          <w:highlight w:val="none"/>
        </w:rPr>
      </w:pPr>
      <w:r>
        <w:rPr>
          <w:rFonts w:hint="eastAsia" w:ascii="宋体" w:hAnsi="宋体"/>
          <w:b/>
          <w:sz w:val="32"/>
          <w:szCs w:val="32"/>
          <w:highlight w:val="none"/>
        </w:rPr>
        <w:t>首次报价明细表</w:t>
      </w:r>
      <w:r>
        <w:rPr>
          <w:rFonts w:hint="eastAsia" w:ascii="宋体" w:hAnsi="宋体"/>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 xml:space="preserve"> 项目编号：</w:t>
      </w:r>
      <w:r>
        <w:rPr>
          <w:rFonts w:hint="eastAsia" w:ascii="宋体" w:hAnsi="宋体"/>
          <w:sz w:val="24"/>
          <w:highlight w:val="none"/>
          <w:u w:val="single"/>
        </w:rPr>
        <w:t xml:space="preserve">                  </w:t>
      </w:r>
      <w:r>
        <w:rPr>
          <w:rFonts w:hint="eastAsia" w:ascii="宋体" w:hAnsi="宋体"/>
          <w:sz w:val="24"/>
          <w:highlight w:val="none"/>
        </w:rPr>
        <w:t xml:space="preserve">                  [货币单位：人民币元]</w:t>
      </w:r>
    </w:p>
    <w:p>
      <w:pPr>
        <w:spacing w:line="360" w:lineRule="auto"/>
        <w:ind w:firstLine="120" w:firstLineChars="50"/>
        <w:rPr>
          <w:rFonts w:ascii="宋体" w:hAnsi="宋体"/>
          <w:b/>
          <w:sz w:val="24"/>
          <w:highlight w:val="none"/>
        </w:rPr>
      </w:pPr>
      <w:r>
        <w:rPr>
          <w:rFonts w:hint="eastAsia" w:ascii="宋体" w:hAnsi="宋体"/>
          <w:b/>
          <w:sz w:val="24"/>
          <w:highlight w:val="none"/>
        </w:rPr>
        <w:t>另附册已</w:t>
      </w:r>
      <w:r>
        <w:rPr>
          <w:rFonts w:ascii="宋体" w:hAnsi="宋体"/>
          <w:b/>
          <w:sz w:val="24"/>
          <w:highlight w:val="none"/>
        </w:rPr>
        <w:t>报价工程量清单</w:t>
      </w:r>
      <w:r>
        <w:rPr>
          <w:rFonts w:hint="eastAsia" w:ascii="宋体" w:hAnsi="宋体"/>
          <w:b/>
          <w:sz w:val="24"/>
          <w:highlight w:val="none"/>
        </w:rPr>
        <w:t>作为</w:t>
      </w:r>
      <w:r>
        <w:rPr>
          <w:rFonts w:ascii="宋体" w:hAnsi="宋体"/>
          <w:b/>
          <w:sz w:val="24"/>
          <w:highlight w:val="none"/>
        </w:rPr>
        <w:t>本报价明细表。</w:t>
      </w:r>
    </w:p>
    <w:p>
      <w:pPr>
        <w:spacing w:line="360" w:lineRule="auto"/>
        <w:rPr>
          <w:rFonts w:ascii="宋体" w:hAnsi="宋体"/>
          <w:b/>
          <w:szCs w:val="21"/>
          <w:highlight w:val="none"/>
        </w:rPr>
      </w:pPr>
      <w:r>
        <w:rPr>
          <w:rFonts w:hint="eastAsia" w:ascii="宋体" w:hAnsi="宋体"/>
          <w:b/>
          <w:szCs w:val="21"/>
          <w:highlight w:val="none"/>
        </w:rPr>
        <w:t>要求：</w:t>
      </w:r>
    </w:p>
    <w:p>
      <w:pPr>
        <w:spacing w:line="360" w:lineRule="auto"/>
        <w:ind w:left="435"/>
        <w:rPr>
          <w:rFonts w:ascii="宋体" w:hAnsi="宋体"/>
          <w:szCs w:val="21"/>
          <w:highlight w:val="none"/>
        </w:rPr>
      </w:pPr>
      <w:r>
        <w:rPr>
          <w:rFonts w:hint="eastAsia" w:ascii="宋体" w:hAnsi="宋体"/>
          <w:szCs w:val="21"/>
          <w:highlight w:val="none"/>
        </w:rPr>
        <w:t>1. 本表为《首次报价一览表》的报价明细表，如有缺项、漏项，视为磋商报价中已包含相关费用，采购人无需另外支付任何费用。</w:t>
      </w:r>
    </w:p>
    <w:p>
      <w:pPr>
        <w:spacing w:line="360" w:lineRule="auto"/>
        <w:ind w:left="435"/>
        <w:rPr>
          <w:rFonts w:ascii="宋体"/>
          <w:szCs w:val="21"/>
          <w:highlight w:val="none"/>
          <w:lang w:val="zh-CN"/>
        </w:rPr>
      </w:pPr>
      <w:r>
        <w:rPr>
          <w:rFonts w:hint="eastAsia" w:ascii="宋体" w:hAnsi="宋体"/>
          <w:szCs w:val="21"/>
          <w:highlight w:val="none"/>
        </w:rPr>
        <w:t>2.</w:t>
      </w:r>
      <w:r>
        <w:rPr>
          <w:rFonts w:hint="eastAsia" w:ascii="宋体"/>
          <w:szCs w:val="21"/>
          <w:highlight w:val="none"/>
          <w:lang w:val="zh-CN"/>
        </w:rPr>
        <w:t>“</w:t>
      </w:r>
      <w:r>
        <w:rPr>
          <w:rFonts w:hint="eastAsia" w:ascii="宋体" w:hAnsi="宋体"/>
          <w:szCs w:val="21"/>
          <w:highlight w:val="none"/>
        </w:rPr>
        <w:t>报价明细表</w:t>
      </w:r>
      <w:r>
        <w:rPr>
          <w:rFonts w:hint="eastAsia" w:ascii="宋体"/>
          <w:szCs w:val="21"/>
          <w:highlight w:val="none"/>
          <w:lang w:val="zh-CN"/>
        </w:rPr>
        <w:t>”中的报价合计应与“首次报价一览表”中的总报价相一致，不一致时，以首次报价一览表为准。</w:t>
      </w:r>
    </w:p>
    <w:p>
      <w:pPr>
        <w:spacing w:line="360" w:lineRule="auto"/>
        <w:ind w:left="435"/>
        <w:rPr>
          <w:rFonts w:ascii="宋体"/>
          <w:szCs w:val="21"/>
          <w:highlight w:val="none"/>
          <w:lang w:val="zh-CN"/>
        </w:rPr>
      </w:pPr>
      <w:r>
        <w:rPr>
          <w:rFonts w:hint="eastAsia" w:ascii="宋体"/>
          <w:szCs w:val="21"/>
          <w:highlight w:val="none"/>
        </w:rPr>
        <w:t>3.</w:t>
      </w:r>
      <w:r>
        <w:rPr>
          <w:rFonts w:hint="eastAsia" w:ascii="宋体"/>
          <w:szCs w:val="21"/>
          <w:highlight w:val="none"/>
          <w:lang w:val="zh-CN"/>
        </w:rPr>
        <w:t>报价明细表所填内容按磋商文件采购设备清单要求为准。如有漏报的，视同已包含在磋商总价内或已作优惠处理。有重大缺项的将作无效标处理。</w:t>
      </w:r>
    </w:p>
    <w:p>
      <w:pPr>
        <w:spacing w:line="360" w:lineRule="auto"/>
        <w:ind w:left="435"/>
        <w:rPr>
          <w:rFonts w:ascii="宋体"/>
          <w:szCs w:val="21"/>
          <w:highlight w:val="none"/>
          <w:lang w:val="zh-CN"/>
        </w:rPr>
      </w:pPr>
      <w:r>
        <w:rPr>
          <w:rFonts w:hint="eastAsia" w:ascii="宋体"/>
          <w:szCs w:val="21"/>
          <w:highlight w:val="none"/>
          <w:lang w:val="zh-CN"/>
        </w:rPr>
        <w:t>4. 本表中的型号规格必须明确，磋商文件中明确要求定制的除外。</w:t>
      </w:r>
    </w:p>
    <w:p>
      <w:pPr>
        <w:snapToGrid w:val="0"/>
        <w:spacing w:before="156" w:beforeLines="50" w:after="156" w:afterLines="50"/>
        <w:ind w:firstLine="371" w:firstLineChars="177"/>
        <w:rPr>
          <w:rFonts w:ascii="宋体"/>
          <w:szCs w:val="21"/>
          <w:highlight w:val="none"/>
          <w:lang w:val="zh-CN"/>
        </w:rPr>
      </w:pPr>
    </w:p>
    <w:p>
      <w:pPr>
        <w:snapToGrid w:val="0"/>
        <w:spacing w:before="156" w:beforeLines="50" w:after="156" w:afterLines="50"/>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napToGrid w:val="0"/>
        <w:spacing w:before="156" w:beforeLines="50" w:after="156" w:afterLines="50"/>
        <w:ind w:left="420"/>
        <w:rPr>
          <w:rFonts w:ascii="宋体" w:hAnsi="宋体"/>
          <w:sz w:val="24"/>
          <w:highlight w:val="none"/>
        </w:rPr>
      </w:pPr>
    </w:p>
    <w:p>
      <w:pPr>
        <w:snapToGrid w:val="0"/>
        <w:spacing w:before="156" w:beforeLines="50" w:after="156" w:afterLines="50"/>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napToGrid w:val="0"/>
        <w:spacing w:before="156" w:beforeLines="50" w:after="156" w:afterLines="50"/>
        <w:ind w:firstLine="435"/>
        <w:rPr>
          <w:rFonts w:ascii="宋体" w:hAnsi="宋体"/>
          <w:sz w:val="24"/>
          <w:highlight w:val="none"/>
        </w:rPr>
      </w:pPr>
    </w:p>
    <w:p>
      <w:pPr>
        <w:snapToGrid w:val="0"/>
        <w:spacing w:before="156" w:beforeLines="50" w:after="156" w:afterLines="50"/>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snapToGrid w:val="0"/>
        <w:spacing w:before="156" w:beforeLines="50" w:after="156" w:afterLines="50"/>
        <w:rPr>
          <w:rFonts w:ascii="宋体" w:hAnsi="宋体"/>
          <w:sz w:val="24"/>
          <w:highlight w:val="none"/>
        </w:rPr>
      </w:pPr>
    </w:p>
    <w:p>
      <w:pPr>
        <w:pStyle w:val="51"/>
        <w:shd w:val="clear" w:color="auto" w:fill="FFFFFF"/>
        <w:snapToGrid w:val="0"/>
        <w:spacing w:before="156" w:beforeLines="50" w:beforeAutospacing="0" w:after="156" w:afterLines="5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pPr>
        <w:widowControl/>
        <w:jc w:val="left"/>
        <w:rPr>
          <w:rFonts w:ascii="宋体" w:hAnsi="宋体"/>
          <w:b/>
          <w:sz w:val="28"/>
          <w:highlight w:val="none"/>
        </w:rPr>
      </w:pPr>
      <w:r>
        <w:rPr>
          <w:rFonts w:ascii="宋体" w:hAnsi="宋体"/>
          <w:b/>
          <w:sz w:val="28"/>
          <w:highlight w:val="none"/>
        </w:rPr>
        <w:br w:type="page"/>
      </w:r>
    </w:p>
    <w:p>
      <w:pPr>
        <w:spacing w:line="360" w:lineRule="auto"/>
        <w:rPr>
          <w:rFonts w:ascii="宋体" w:hAnsi="宋体"/>
          <w:b/>
          <w:sz w:val="28"/>
          <w:highlight w:val="none"/>
        </w:rPr>
      </w:pPr>
      <w:r>
        <w:rPr>
          <w:rFonts w:hint="eastAsia" w:ascii="宋体" w:hAnsi="宋体"/>
          <w:b/>
          <w:sz w:val="28"/>
          <w:highlight w:val="none"/>
        </w:rPr>
        <w:t>附件16</w:t>
      </w:r>
    </w:p>
    <w:p>
      <w:pPr>
        <w:spacing w:line="360" w:lineRule="auto"/>
        <w:ind w:right="-110"/>
        <w:jc w:val="center"/>
        <w:rPr>
          <w:rFonts w:ascii="宋体" w:hAnsi="宋体"/>
          <w:b/>
          <w:sz w:val="32"/>
          <w:szCs w:val="32"/>
          <w:highlight w:val="none"/>
        </w:rPr>
      </w:pPr>
      <w:r>
        <w:rPr>
          <w:rFonts w:hint="eastAsia" w:ascii="宋体" w:hAnsi="宋体"/>
          <w:b/>
          <w:sz w:val="32"/>
          <w:szCs w:val="32"/>
          <w:highlight w:val="none"/>
        </w:rPr>
        <w:t>小</w:t>
      </w:r>
      <w:r>
        <w:rPr>
          <w:rFonts w:hint="eastAsia" w:ascii="宋体" w:hAnsi="宋体"/>
          <w:b/>
          <w:sz w:val="32"/>
          <w:szCs w:val="32"/>
          <w:highlight w:val="none"/>
          <w:lang w:val="en-GB"/>
        </w:rPr>
        <w:t>微</w:t>
      </w:r>
      <w:r>
        <w:rPr>
          <w:rFonts w:hint="eastAsia" w:ascii="宋体" w:hAnsi="宋体"/>
          <w:b/>
          <w:sz w:val="32"/>
          <w:szCs w:val="32"/>
          <w:highlight w:val="none"/>
        </w:rPr>
        <w:t>企业声明函</w:t>
      </w:r>
    </w:p>
    <w:p>
      <w:pPr>
        <w:pStyle w:val="64"/>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本公司郑重声明，根据《政府采购促进中小企业发展暂行办法》（财库[2011]181号）的规定，本公司为______（请填写：小型、微型）企业。即，本公司同时满足以下条件：</w:t>
      </w:r>
    </w:p>
    <w:p>
      <w:pPr>
        <w:pStyle w:val="64"/>
        <w:spacing w:line="360" w:lineRule="auto"/>
        <w:ind w:firstLine="504" w:firstLineChars="200"/>
        <w:rPr>
          <w:rFonts w:ascii="宋体" w:hAnsi="宋体"/>
          <w:spacing w:val="6"/>
          <w:sz w:val="24"/>
          <w:highlight w:val="none"/>
        </w:rPr>
      </w:pPr>
      <w:r>
        <w:rPr>
          <w:rFonts w:hint="eastAsia" w:ascii="宋体" w:hAnsi="宋体"/>
          <w:spacing w:val="6"/>
          <w:sz w:val="24"/>
          <w:highlight w:val="none"/>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highlight w:val="none"/>
          <w:u w:val="dash"/>
        </w:rPr>
        <w:t>（此处填写从业人员和营业收入的具体数据）</w:t>
      </w:r>
      <w:r>
        <w:rPr>
          <w:rFonts w:hint="eastAsia" w:ascii="宋体" w:hAnsi="宋体"/>
          <w:spacing w:val="6"/>
          <w:sz w:val="24"/>
          <w:highlight w:val="none"/>
        </w:rPr>
        <w:t>，为______（请填写：小型、微型）企业。</w:t>
      </w:r>
    </w:p>
    <w:p>
      <w:pPr>
        <w:pStyle w:val="64"/>
        <w:spacing w:line="360" w:lineRule="auto"/>
        <w:ind w:firstLine="504" w:firstLineChars="200"/>
        <w:rPr>
          <w:rFonts w:ascii="宋体" w:hAnsi="宋体"/>
          <w:spacing w:val="6"/>
          <w:sz w:val="24"/>
          <w:highlight w:val="none"/>
        </w:rPr>
      </w:pPr>
      <w:r>
        <w:rPr>
          <w:rFonts w:hint="eastAsia" w:ascii="宋体" w:hAnsi="宋体"/>
          <w:spacing w:val="6"/>
          <w:sz w:val="24"/>
          <w:highlight w:val="none"/>
        </w:rPr>
        <w:t>2.本公司参加</w:t>
      </w:r>
      <w:r>
        <w:rPr>
          <w:rFonts w:hint="eastAsia" w:ascii="宋体" w:hAnsi="宋体"/>
          <w:sz w:val="24"/>
          <w:highlight w:val="none"/>
        </w:rPr>
        <w:t>×××组织</w:t>
      </w:r>
      <w:r>
        <w:rPr>
          <w:rFonts w:hint="eastAsia" w:ascii="宋体" w:hAnsi="宋体"/>
          <w:spacing w:val="6"/>
          <w:sz w:val="24"/>
          <w:highlight w:val="none"/>
        </w:rPr>
        <w:t>的采购项目（项目编号： ）采购活动提供本企业制造的货物，由本企业承担工程、提供服务，或者提供其他______（请填写：小型、微型）企业制造的货物。本条所称货物不包括使用大型企业注册商标的货物。</w:t>
      </w:r>
    </w:p>
    <w:p>
      <w:pPr>
        <w:pStyle w:val="64"/>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本公司对上述声明的真实性负责。如有虚假，将依法承担相应责任。</w:t>
      </w:r>
    </w:p>
    <w:p>
      <w:pPr>
        <w:pStyle w:val="64"/>
        <w:spacing w:line="360" w:lineRule="auto"/>
        <w:ind w:firstLine="504" w:firstLineChars="200"/>
        <w:rPr>
          <w:rFonts w:ascii="宋体" w:hAnsi="宋体"/>
          <w:spacing w:val="6"/>
          <w:sz w:val="24"/>
          <w:highlight w:val="none"/>
        </w:rPr>
      </w:pPr>
    </w:p>
    <w:p>
      <w:pPr>
        <w:pStyle w:val="64"/>
        <w:spacing w:line="360" w:lineRule="auto"/>
        <w:ind w:left="4253" w:leftChars="2025" w:firstLine="480"/>
        <w:rPr>
          <w:rFonts w:ascii="宋体" w:hAnsi="宋体"/>
          <w:sz w:val="24"/>
          <w:highlight w:val="none"/>
        </w:rPr>
      </w:pPr>
      <w:r>
        <w:rPr>
          <w:rFonts w:hint="eastAsia" w:ascii="宋体" w:hAnsi="宋体"/>
          <w:sz w:val="24"/>
          <w:highlight w:val="none"/>
        </w:rPr>
        <w:t>投 标 人（公章）：</w:t>
      </w:r>
    </w:p>
    <w:p>
      <w:pPr>
        <w:pStyle w:val="64"/>
        <w:spacing w:line="360" w:lineRule="auto"/>
        <w:ind w:left="4253" w:leftChars="2025" w:right="360" w:firstLine="480"/>
        <w:jc w:val="right"/>
        <w:rPr>
          <w:rFonts w:ascii="宋体" w:hAnsi="宋体"/>
          <w:spacing w:val="6"/>
          <w:sz w:val="24"/>
          <w:highlight w:val="none"/>
        </w:rPr>
      </w:pPr>
      <w:r>
        <w:rPr>
          <w:rFonts w:hint="eastAsia" w:ascii="宋体" w:hAnsi="宋体"/>
          <w:sz w:val="24"/>
          <w:highlight w:val="none"/>
        </w:rPr>
        <w:t xml:space="preserve">日期： </w:t>
      </w:r>
      <w:r>
        <w:rPr>
          <w:rFonts w:hint="eastAsia" w:ascii="宋体" w:hAnsi="宋体" w:cstheme="minorBidi"/>
          <w:color w:val="FF66CC"/>
          <w:sz w:val="24"/>
          <w:highlight w:val="none"/>
        </w:rPr>
        <w:t>××</w:t>
      </w:r>
      <w:r>
        <w:rPr>
          <w:rFonts w:hint="eastAsia" w:ascii="宋体" w:hAnsi="宋体" w:cs="Arial"/>
          <w:sz w:val="24"/>
          <w:highlight w:val="none"/>
        </w:rPr>
        <w:t>年</w:t>
      </w:r>
      <w:r>
        <w:rPr>
          <w:rFonts w:hint="eastAsia" w:ascii="宋体" w:hAnsi="宋体" w:cstheme="minorBidi"/>
          <w:color w:val="FF66CC"/>
          <w:sz w:val="24"/>
          <w:highlight w:val="none"/>
        </w:rPr>
        <w:t>××</w:t>
      </w:r>
      <w:r>
        <w:rPr>
          <w:rFonts w:hint="eastAsia" w:ascii="宋体" w:hAnsi="宋体" w:cs="Arial"/>
          <w:sz w:val="24"/>
          <w:highlight w:val="none"/>
        </w:rPr>
        <w:t>月</w:t>
      </w:r>
      <w:r>
        <w:rPr>
          <w:rFonts w:hint="eastAsia" w:ascii="宋体" w:hAnsi="宋体" w:cstheme="minorBidi"/>
          <w:color w:val="FF66CC"/>
          <w:sz w:val="24"/>
          <w:highlight w:val="none"/>
        </w:rPr>
        <w:t>××</w:t>
      </w:r>
      <w:r>
        <w:rPr>
          <w:rFonts w:hint="eastAsia" w:ascii="宋体" w:hAnsi="宋体" w:cs="Arial"/>
          <w:sz w:val="24"/>
          <w:highlight w:val="none"/>
        </w:rPr>
        <w:t>日</w:t>
      </w:r>
    </w:p>
    <w:p>
      <w:pPr>
        <w:pStyle w:val="64"/>
        <w:spacing w:line="360" w:lineRule="auto"/>
        <w:ind w:firstLine="643"/>
        <w:jc w:val="center"/>
        <w:rPr>
          <w:rFonts w:ascii="宋体" w:hAnsi="宋体"/>
          <w:b/>
          <w:spacing w:val="6"/>
          <w:sz w:val="32"/>
          <w:szCs w:val="32"/>
          <w:highlight w:val="none"/>
        </w:rPr>
      </w:pPr>
      <w:r>
        <w:rPr>
          <w:rFonts w:hint="eastAsia" w:ascii="宋体" w:hAnsi="宋体"/>
          <w:b/>
          <w:sz w:val="32"/>
          <w:szCs w:val="32"/>
          <w:highlight w:val="none"/>
          <w:lang w:val="en-GB"/>
        </w:rPr>
        <w:t>小微企业声明函（制造商）</w:t>
      </w:r>
    </w:p>
    <w:p>
      <w:pPr>
        <w:pStyle w:val="64"/>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64"/>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本公司对上述声明的真实性负责。如有虚假，将依法承担相应责任。</w:t>
      </w:r>
    </w:p>
    <w:p>
      <w:pPr>
        <w:pStyle w:val="64"/>
        <w:spacing w:line="360" w:lineRule="auto"/>
        <w:ind w:firstLine="504" w:firstLineChars="200"/>
        <w:rPr>
          <w:rFonts w:ascii="宋体" w:hAnsi="宋体"/>
          <w:spacing w:val="6"/>
          <w:sz w:val="24"/>
          <w:highlight w:val="none"/>
        </w:rPr>
      </w:pPr>
    </w:p>
    <w:p>
      <w:pPr>
        <w:pStyle w:val="64"/>
        <w:spacing w:line="360" w:lineRule="auto"/>
        <w:ind w:firstLine="504" w:firstLineChars="200"/>
        <w:jc w:val="center"/>
        <w:rPr>
          <w:rFonts w:ascii="宋体" w:hAnsi="宋体"/>
          <w:spacing w:val="6"/>
          <w:sz w:val="24"/>
          <w:highlight w:val="none"/>
        </w:rPr>
      </w:pPr>
      <w:r>
        <w:rPr>
          <w:rFonts w:hint="eastAsia" w:ascii="宋体" w:hAnsi="宋体"/>
          <w:spacing w:val="6"/>
          <w:sz w:val="24"/>
          <w:highlight w:val="none"/>
        </w:rPr>
        <w:t>企业名称（单位公章）：</w:t>
      </w:r>
    </w:p>
    <w:p>
      <w:pPr>
        <w:pStyle w:val="64"/>
        <w:spacing w:line="360" w:lineRule="auto"/>
        <w:ind w:left="4253" w:leftChars="2025" w:right="360" w:firstLine="480"/>
        <w:jc w:val="center"/>
        <w:rPr>
          <w:rFonts w:ascii="宋体" w:hAnsi="宋体"/>
          <w:spacing w:val="6"/>
          <w:sz w:val="24"/>
          <w:highlight w:val="none"/>
        </w:rPr>
      </w:pPr>
      <w:r>
        <w:rPr>
          <w:rFonts w:hint="eastAsia" w:ascii="宋体" w:hAnsi="宋体"/>
          <w:sz w:val="24"/>
          <w:highlight w:val="none"/>
        </w:rPr>
        <w:t xml:space="preserve">日期：   </w:t>
      </w:r>
      <w:r>
        <w:rPr>
          <w:rFonts w:hint="eastAsia" w:ascii="宋体" w:hAnsi="宋体" w:cstheme="minorBidi"/>
          <w:color w:val="FF66CC"/>
          <w:sz w:val="24"/>
          <w:highlight w:val="none"/>
        </w:rPr>
        <w:t>××</w:t>
      </w:r>
      <w:r>
        <w:rPr>
          <w:rFonts w:hint="eastAsia" w:ascii="宋体" w:hAnsi="宋体" w:cs="Arial"/>
          <w:sz w:val="24"/>
          <w:highlight w:val="none"/>
        </w:rPr>
        <w:t>年</w:t>
      </w:r>
      <w:r>
        <w:rPr>
          <w:rFonts w:hint="eastAsia" w:ascii="宋体" w:hAnsi="宋体" w:cstheme="minorBidi"/>
          <w:color w:val="FF66CC"/>
          <w:sz w:val="24"/>
          <w:highlight w:val="none"/>
        </w:rPr>
        <w:t>××</w:t>
      </w:r>
      <w:r>
        <w:rPr>
          <w:rFonts w:hint="eastAsia" w:ascii="宋体" w:hAnsi="宋体" w:cs="Arial"/>
          <w:sz w:val="24"/>
          <w:highlight w:val="none"/>
        </w:rPr>
        <w:t>月</w:t>
      </w:r>
      <w:r>
        <w:rPr>
          <w:rFonts w:hint="eastAsia" w:ascii="宋体" w:hAnsi="宋体" w:cstheme="minorBidi"/>
          <w:color w:val="FF66CC"/>
          <w:sz w:val="24"/>
          <w:highlight w:val="none"/>
        </w:rPr>
        <w:t>××</w:t>
      </w:r>
      <w:r>
        <w:rPr>
          <w:rFonts w:hint="eastAsia" w:ascii="宋体" w:hAnsi="宋体" w:cs="Arial"/>
          <w:sz w:val="24"/>
          <w:highlight w:val="none"/>
        </w:rPr>
        <w:t>日</w:t>
      </w:r>
    </w:p>
    <w:p>
      <w:pPr>
        <w:adjustRightInd w:val="0"/>
        <w:snapToGrid w:val="0"/>
        <w:spacing w:line="480" w:lineRule="auto"/>
        <w:jc w:val="center"/>
        <w:rPr>
          <w:rFonts w:ascii="宋体" w:hAnsi="宋体"/>
          <w:b/>
          <w:sz w:val="32"/>
          <w:szCs w:val="32"/>
          <w:highlight w:val="none"/>
          <w:lang w:val="en-GB"/>
        </w:rPr>
      </w:pPr>
      <w:r>
        <w:rPr>
          <w:rFonts w:hint="eastAsia" w:ascii="宋体" w:hAnsi="宋体"/>
          <w:b/>
          <w:sz w:val="32"/>
          <w:szCs w:val="32"/>
          <w:highlight w:val="none"/>
          <w:lang w:val="en-GB"/>
        </w:rPr>
        <w:t>中小企业资格确认意见书</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spacing w:val="6"/>
          <w:sz w:val="24"/>
          <w:highlight w:val="none"/>
        </w:rPr>
      </w:pP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 xml:space="preserve">                        省（市、县、区）中小企业局（盖章）</w:t>
      </w:r>
    </w:p>
    <w:p>
      <w:pPr>
        <w:spacing w:line="588" w:lineRule="exact"/>
        <w:ind w:firstLine="4284" w:firstLineChars="1700"/>
        <w:rPr>
          <w:rFonts w:ascii="宋体" w:hAnsi="宋体"/>
          <w:spacing w:val="6"/>
          <w:sz w:val="24"/>
          <w:highlight w:val="none"/>
        </w:rPr>
      </w:pPr>
      <w:r>
        <w:rPr>
          <w:rFonts w:hint="eastAsia" w:ascii="宋体" w:hAnsi="宋体"/>
          <w:spacing w:val="6"/>
          <w:sz w:val="24"/>
          <w:highlight w:val="none"/>
        </w:rPr>
        <w:t>日期：</w:t>
      </w:r>
      <w:r>
        <w:rPr>
          <w:rFonts w:hint="eastAsia" w:ascii="宋体" w:hAnsi="宋体" w:cstheme="minorBidi"/>
          <w:color w:val="FF66CC"/>
          <w:sz w:val="24"/>
          <w:highlight w:val="none"/>
        </w:rPr>
        <w:t>××</w:t>
      </w:r>
      <w:r>
        <w:rPr>
          <w:rFonts w:hint="eastAsia" w:ascii="宋体" w:hAnsi="宋体"/>
          <w:spacing w:val="6"/>
          <w:sz w:val="24"/>
          <w:highlight w:val="none"/>
        </w:rPr>
        <w:t>年</w:t>
      </w:r>
      <w:r>
        <w:rPr>
          <w:rFonts w:hint="eastAsia" w:ascii="宋体" w:hAnsi="宋体" w:cstheme="minorBidi"/>
          <w:color w:val="FF66CC"/>
          <w:sz w:val="24"/>
          <w:highlight w:val="none"/>
        </w:rPr>
        <w:t>××</w:t>
      </w:r>
      <w:r>
        <w:rPr>
          <w:rFonts w:hint="eastAsia" w:ascii="宋体" w:hAnsi="宋体"/>
          <w:spacing w:val="6"/>
          <w:sz w:val="24"/>
          <w:highlight w:val="none"/>
        </w:rPr>
        <w:t>月</w:t>
      </w:r>
      <w:r>
        <w:rPr>
          <w:rFonts w:hint="eastAsia" w:ascii="宋体" w:hAnsi="宋体" w:cstheme="minorBidi"/>
          <w:color w:val="FF66CC"/>
          <w:sz w:val="24"/>
          <w:highlight w:val="none"/>
        </w:rPr>
        <w:t>××</w:t>
      </w:r>
      <w:r>
        <w:rPr>
          <w:rFonts w:hint="eastAsia" w:ascii="宋体" w:hAnsi="宋体"/>
          <w:spacing w:val="6"/>
          <w:sz w:val="24"/>
          <w:highlight w:val="none"/>
        </w:rPr>
        <w:t>日</w:t>
      </w:r>
    </w:p>
    <w:p>
      <w:pPr>
        <w:pStyle w:val="18"/>
        <w:spacing w:line="360" w:lineRule="auto"/>
        <w:jc w:val="center"/>
        <w:outlineLvl w:val="1"/>
        <w:rPr>
          <w:rFonts w:hAnsi="宋体"/>
          <w:b/>
          <w:sz w:val="32"/>
          <w:szCs w:val="32"/>
          <w:highlight w:val="none"/>
          <w:lang w:val="en-GB"/>
        </w:rPr>
      </w:pPr>
    </w:p>
    <w:p>
      <w:pPr>
        <w:pStyle w:val="18"/>
        <w:spacing w:line="360" w:lineRule="auto"/>
        <w:jc w:val="center"/>
        <w:outlineLvl w:val="1"/>
        <w:rPr>
          <w:rFonts w:hAnsi="宋体"/>
          <w:b/>
          <w:sz w:val="32"/>
          <w:szCs w:val="32"/>
          <w:highlight w:val="none"/>
          <w:lang w:val="en-GB"/>
        </w:rPr>
      </w:pPr>
    </w:p>
    <w:p>
      <w:pPr>
        <w:pStyle w:val="18"/>
        <w:spacing w:line="360" w:lineRule="auto"/>
        <w:jc w:val="center"/>
        <w:outlineLvl w:val="1"/>
        <w:rPr>
          <w:rFonts w:hAnsi="宋体"/>
          <w:b/>
          <w:sz w:val="32"/>
          <w:szCs w:val="32"/>
          <w:highlight w:val="none"/>
          <w:lang w:val="en-GB"/>
        </w:rPr>
      </w:pPr>
    </w:p>
    <w:p>
      <w:pPr>
        <w:pStyle w:val="18"/>
        <w:spacing w:line="360" w:lineRule="auto"/>
        <w:jc w:val="center"/>
        <w:outlineLvl w:val="1"/>
        <w:rPr>
          <w:rFonts w:hAnsi="宋体"/>
          <w:b/>
          <w:sz w:val="32"/>
          <w:szCs w:val="32"/>
          <w:highlight w:val="none"/>
          <w:lang w:val="en-GB"/>
        </w:rPr>
      </w:pPr>
      <w:r>
        <w:rPr>
          <w:rFonts w:hint="eastAsia" w:hAnsi="宋体"/>
          <w:b/>
          <w:sz w:val="32"/>
          <w:szCs w:val="32"/>
          <w:highlight w:val="none"/>
          <w:lang w:val="en-GB"/>
        </w:rPr>
        <w:t>残疾人福利性单位声明函</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highlight w:val="none"/>
        </w:rPr>
      </w:pPr>
    </w:p>
    <w:p>
      <w:pPr>
        <w:tabs>
          <w:tab w:val="left" w:pos="4860"/>
        </w:tabs>
        <w:spacing w:line="588" w:lineRule="exact"/>
        <w:ind w:right="1560" w:firstLine="504" w:firstLineChars="200"/>
        <w:jc w:val="center"/>
        <w:rPr>
          <w:rFonts w:ascii="宋体" w:hAnsi="宋体"/>
          <w:spacing w:val="6"/>
          <w:sz w:val="24"/>
          <w:highlight w:val="none"/>
        </w:rPr>
      </w:pPr>
      <w:r>
        <w:rPr>
          <w:rFonts w:hint="eastAsia" w:ascii="宋体" w:hAnsi="宋体"/>
          <w:spacing w:val="6"/>
          <w:sz w:val="24"/>
          <w:highlight w:val="none"/>
        </w:rPr>
        <w:t xml:space="preserve">             单位名称（盖章）：</w:t>
      </w:r>
    </w:p>
    <w:p>
      <w:pPr>
        <w:tabs>
          <w:tab w:val="left" w:pos="4860"/>
        </w:tabs>
        <w:spacing w:line="588" w:lineRule="exact"/>
        <w:ind w:right="1560" w:firstLine="504" w:firstLineChars="200"/>
        <w:jc w:val="center"/>
        <w:rPr>
          <w:rFonts w:ascii="宋体" w:hAnsi="宋体"/>
          <w:sz w:val="24"/>
          <w:highlight w:val="none"/>
        </w:rPr>
      </w:pPr>
      <w:r>
        <w:rPr>
          <w:rFonts w:hint="eastAsia" w:ascii="宋体" w:hAnsi="宋体"/>
          <w:spacing w:val="6"/>
          <w:sz w:val="24"/>
          <w:highlight w:val="none"/>
        </w:rPr>
        <w:t xml:space="preserve">       日  期：</w:t>
      </w:r>
    </w:p>
    <w:p>
      <w:pPr>
        <w:pStyle w:val="64"/>
        <w:spacing w:line="360" w:lineRule="auto"/>
        <w:ind w:firstLine="562"/>
        <w:rPr>
          <w:rFonts w:ascii="宋体" w:hAnsi="宋体"/>
          <w:b/>
          <w:sz w:val="28"/>
          <w:szCs w:val="28"/>
          <w:highlight w:val="none"/>
        </w:rPr>
      </w:pPr>
    </w:p>
    <w:p>
      <w:pPr>
        <w:widowControl/>
        <w:jc w:val="left"/>
        <w:rPr>
          <w:rFonts w:ascii="宋体" w:hAnsi="宋体"/>
          <w:b/>
          <w:sz w:val="28"/>
          <w:szCs w:val="28"/>
          <w:highlight w:val="none"/>
        </w:rPr>
      </w:pPr>
      <w:r>
        <w:rPr>
          <w:rFonts w:ascii="宋体" w:hAnsi="宋体"/>
          <w:b/>
          <w:sz w:val="28"/>
          <w:szCs w:val="28"/>
          <w:highlight w:val="none"/>
        </w:rPr>
        <w:br w:type="page"/>
      </w:r>
    </w:p>
    <w:p>
      <w:pPr>
        <w:pStyle w:val="64"/>
        <w:spacing w:line="360" w:lineRule="auto"/>
        <w:jc w:val="left"/>
        <w:rPr>
          <w:rFonts w:ascii="宋体" w:hAnsi="宋体"/>
          <w:b/>
          <w:sz w:val="28"/>
          <w:szCs w:val="28"/>
          <w:highlight w:val="none"/>
        </w:rPr>
      </w:pPr>
      <w:r>
        <w:rPr>
          <w:rFonts w:hint="eastAsia" w:ascii="宋体" w:hAnsi="宋体"/>
          <w:b/>
          <w:sz w:val="28"/>
          <w:szCs w:val="28"/>
          <w:highlight w:val="none"/>
        </w:rPr>
        <w:t>附件17</w:t>
      </w:r>
    </w:p>
    <w:p>
      <w:pPr>
        <w:pStyle w:val="65"/>
        <w:spacing w:line="360" w:lineRule="auto"/>
        <w:rPr>
          <w:highlight w:val="none"/>
        </w:rPr>
      </w:pPr>
    </w:p>
    <w:p>
      <w:pPr>
        <w:pStyle w:val="63"/>
        <w:spacing w:line="360" w:lineRule="auto"/>
        <w:jc w:val="center"/>
        <w:rPr>
          <w:rFonts w:ascii="宋体" w:hAnsi="宋体"/>
          <w:b/>
          <w:sz w:val="32"/>
          <w:szCs w:val="32"/>
          <w:highlight w:val="none"/>
          <w:lang w:val="en-GB"/>
        </w:rPr>
      </w:pPr>
      <w:r>
        <w:rPr>
          <w:rFonts w:hint="eastAsia" w:ascii="宋体" w:hAnsi="宋体"/>
          <w:b/>
          <w:sz w:val="32"/>
          <w:szCs w:val="32"/>
          <w:highlight w:val="none"/>
          <w:lang w:val="en-GB"/>
        </w:rPr>
        <w:t>产品适用政府采购政策情况表</w:t>
      </w:r>
    </w:p>
    <w:p>
      <w:pPr>
        <w:pStyle w:val="63"/>
        <w:spacing w:line="360" w:lineRule="auto"/>
        <w:jc w:val="center"/>
        <w:rPr>
          <w:rFonts w:ascii="宋体" w:hAnsi="宋体"/>
          <w:b/>
          <w:sz w:val="32"/>
          <w:szCs w:val="32"/>
          <w:highlight w:val="none"/>
          <w:lang w:val="en-GB"/>
        </w:rPr>
      </w:pPr>
    </w:p>
    <w:tbl>
      <w:tblPr>
        <w:tblStyle w:val="28"/>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63"/>
              <w:tabs>
                <w:tab w:val="left" w:pos="1260"/>
              </w:tabs>
              <w:jc w:val="center"/>
              <w:rPr>
                <w:rFonts w:ascii="宋体" w:hAnsi="宋体"/>
                <w:sz w:val="24"/>
                <w:highlight w:val="none"/>
                <w:lang w:val="en-GB"/>
              </w:rPr>
            </w:pPr>
            <w:r>
              <w:rPr>
                <w:rFonts w:hint="eastAsia" w:ascii="宋体" w:hAnsi="宋体"/>
                <w:sz w:val="24"/>
                <w:highlight w:val="none"/>
                <w:lang w:val="en-GB"/>
              </w:rPr>
              <w:t>小微企业扶持政策</w:t>
            </w:r>
          </w:p>
        </w:tc>
        <w:tc>
          <w:tcPr>
            <w:tcW w:w="8111" w:type="dxa"/>
            <w:gridSpan w:val="3"/>
            <w:vAlign w:val="center"/>
          </w:tcPr>
          <w:tbl>
            <w:tblPr>
              <w:tblStyle w:val="28"/>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63"/>
                    <w:tabs>
                      <w:tab w:val="left" w:pos="1260"/>
                    </w:tabs>
                    <w:spacing w:line="360" w:lineRule="auto"/>
                    <w:rPr>
                      <w:rFonts w:ascii="宋体" w:hAnsi="宋体"/>
                      <w:sz w:val="24"/>
                      <w:highlight w:val="none"/>
                    </w:rPr>
                  </w:pPr>
                  <w:r>
                    <w:rPr>
                      <w:rFonts w:hint="eastAsia" w:ascii="宋体" w:hAnsi="宋体"/>
                      <w:b/>
                      <w:bCs/>
                      <w:sz w:val="24"/>
                      <w:highlight w:val="none"/>
                    </w:rPr>
                    <w:t>小型、微型企业投标且所投产品（指货物、工程、服务）由本企业制造，或者所投产品（仅指货物）含有其他小型、微型企业制造的，应</w:t>
                  </w:r>
                  <w:r>
                    <w:rPr>
                      <w:rFonts w:hint="eastAsia" w:ascii="宋体" w:hAnsi="宋体"/>
                      <w:b/>
                      <w:bCs/>
                      <w:sz w:val="24"/>
                      <w:highlight w:val="none"/>
                      <w:lang w:val="en-GB"/>
                    </w:rPr>
                    <w:t>按要求列出具体产品与金额。</w:t>
                  </w:r>
                </w:p>
              </w:tc>
            </w:tr>
          </w:tbl>
          <w:p>
            <w:pPr>
              <w:pStyle w:val="63"/>
              <w:tabs>
                <w:tab w:val="left" w:pos="1260"/>
              </w:tabs>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3"/>
              <w:tabs>
                <w:tab w:val="left" w:pos="1260"/>
              </w:tabs>
              <w:jc w:val="center"/>
              <w:rPr>
                <w:rFonts w:ascii="宋体" w:hAnsi="宋体"/>
                <w:sz w:val="24"/>
                <w:highlight w:val="none"/>
                <w:lang w:val="en-GB"/>
              </w:rPr>
            </w:pPr>
          </w:p>
        </w:tc>
        <w:tc>
          <w:tcPr>
            <w:tcW w:w="2679" w:type="dxa"/>
            <w:vAlign w:val="center"/>
          </w:tcPr>
          <w:p>
            <w:pPr>
              <w:pStyle w:val="63"/>
              <w:tabs>
                <w:tab w:val="left" w:pos="1260"/>
              </w:tabs>
              <w:jc w:val="center"/>
              <w:rPr>
                <w:rFonts w:ascii="宋体" w:hAnsi="宋体"/>
                <w:sz w:val="24"/>
                <w:highlight w:val="none"/>
                <w:lang w:val="en-GB"/>
              </w:rPr>
            </w:pPr>
            <w:r>
              <w:rPr>
                <w:rFonts w:hint="eastAsia" w:ascii="宋体" w:hAnsi="宋体"/>
                <w:sz w:val="24"/>
                <w:highlight w:val="none"/>
                <w:lang w:val="en-GB"/>
              </w:rPr>
              <w:t>产品名称（品牌、型号）</w:t>
            </w:r>
          </w:p>
        </w:tc>
        <w:tc>
          <w:tcPr>
            <w:tcW w:w="3811" w:type="dxa"/>
            <w:vAlign w:val="center"/>
          </w:tcPr>
          <w:p>
            <w:pPr>
              <w:pStyle w:val="63"/>
              <w:tabs>
                <w:tab w:val="left" w:pos="1260"/>
              </w:tabs>
              <w:jc w:val="center"/>
              <w:rPr>
                <w:rFonts w:ascii="宋体" w:hAnsi="宋体"/>
                <w:sz w:val="24"/>
                <w:highlight w:val="none"/>
                <w:lang w:val="en-GB"/>
              </w:rPr>
            </w:pPr>
            <w:r>
              <w:rPr>
                <w:rFonts w:hint="eastAsia" w:ascii="宋体" w:hAnsi="宋体"/>
                <w:sz w:val="24"/>
                <w:highlight w:val="none"/>
                <w:lang w:val="en-GB"/>
              </w:rPr>
              <w:t>制造企业名称</w:t>
            </w:r>
          </w:p>
        </w:tc>
        <w:tc>
          <w:tcPr>
            <w:tcW w:w="1621" w:type="dxa"/>
            <w:vAlign w:val="center"/>
          </w:tcPr>
          <w:p>
            <w:pPr>
              <w:pStyle w:val="63"/>
              <w:tabs>
                <w:tab w:val="left" w:pos="1260"/>
              </w:tabs>
              <w:jc w:val="center"/>
              <w:rPr>
                <w:rFonts w:ascii="宋体" w:hAnsi="宋体"/>
                <w:sz w:val="24"/>
                <w:highlight w:val="none"/>
                <w:lang w:val="en-GB"/>
              </w:rPr>
            </w:pPr>
            <w:r>
              <w:rPr>
                <w:rFonts w:hint="eastAsia" w:ascii="宋体" w:hAnsi="宋体"/>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3"/>
              <w:tabs>
                <w:tab w:val="left" w:pos="1260"/>
              </w:tabs>
              <w:jc w:val="center"/>
              <w:rPr>
                <w:rFonts w:ascii="宋体" w:hAnsi="宋体"/>
                <w:sz w:val="24"/>
                <w:highlight w:val="none"/>
                <w:lang w:val="en-GB"/>
              </w:rPr>
            </w:pPr>
          </w:p>
        </w:tc>
        <w:tc>
          <w:tcPr>
            <w:tcW w:w="2679" w:type="dxa"/>
            <w:vAlign w:val="center"/>
          </w:tcPr>
          <w:p>
            <w:pPr>
              <w:pStyle w:val="63"/>
              <w:tabs>
                <w:tab w:val="left" w:pos="1260"/>
              </w:tabs>
              <w:jc w:val="center"/>
              <w:rPr>
                <w:rFonts w:ascii="宋体" w:hAnsi="宋体"/>
                <w:sz w:val="24"/>
                <w:highlight w:val="none"/>
                <w:lang w:val="en-GB"/>
              </w:rPr>
            </w:pPr>
          </w:p>
        </w:tc>
        <w:tc>
          <w:tcPr>
            <w:tcW w:w="3811" w:type="dxa"/>
            <w:vAlign w:val="center"/>
          </w:tcPr>
          <w:p>
            <w:pPr>
              <w:pStyle w:val="63"/>
              <w:tabs>
                <w:tab w:val="left" w:pos="1260"/>
              </w:tabs>
              <w:jc w:val="center"/>
              <w:rPr>
                <w:rFonts w:ascii="宋体" w:hAnsi="宋体"/>
                <w:sz w:val="24"/>
                <w:highlight w:val="none"/>
                <w:lang w:val="en-GB"/>
              </w:rPr>
            </w:pPr>
          </w:p>
        </w:tc>
        <w:tc>
          <w:tcPr>
            <w:tcW w:w="1621" w:type="dxa"/>
            <w:vAlign w:val="center"/>
          </w:tcPr>
          <w:p>
            <w:pPr>
              <w:pStyle w:val="63"/>
              <w:tabs>
                <w:tab w:val="left" w:pos="1260"/>
              </w:tabs>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3"/>
              <w:tabs>
                <w:tab w:val="left" w:pos="1260"/>
              </w:tabs>
              <w:jc w:val="center"/>
              <w:rPr>
                <w:rFonts w:ascii="宋体" w:hAnsi="宋体"/>
                <w:sz w:val="24"/>
                <w:highlight w:val="none"/>
                <w:lang w:val="en-GB"/>
              </w:rPr>
            </w:pPr>
          </w:p>
        </w:tc>
        <w:tc>
          <w:tcPr>
            <w:tcW w:w="2679" w:type="dxa"/>
            <w:vAlign w:val="center"/>
          </w:tcPr>
          <w:p>
            <w:pPr>
              <w:pStyle w:val="63"/>
              <w:tabs>
                <w:tab w:val="left" w:pos="1260"/>
              </w:tabs>
              <w:jc w:val="center"/>
              <w:rPr>
                <w:rFonts w:ascii="宋体" w:hAnsi="宋体"/>
                <w:sz w:val="24"/>
                <w:highlight w:val="none"/>
                <w:lang w:val="en-GB"/>
              </w:rPr>
            </w:pPr>
          </w:p>
        </w:tc>
        <w:tc>
          <w:tcPr>
            <w:tcW w:w="3811" w:type="dxa"/>
            <w:vAlign w:val="center"/>
          </w:tcPr>
          <w:p>
            <w:pPr>
              <w:pStyle w:val="63"/>
              <w:tabs>
                <w:tab w:val="left" w:pos="1260"/>
              </w:tabs>
              <w:jc w:val="center"/>
              <w:rPr>
                <w:rFonts w:ascii="宋体" w:hAnsi="宋体"/>
                <w:sz w:val="24"/>
                <w:highlight w:val="none"/>
                <w:lang w:val="en-GB"/>
              </w:rPr>
            </w:pPr>
          </w:p>
        </w:tc>
        <w:tc>
          <w:tcPr>
            <w:tcW w:w="1621" w:type="dxa"/>
            <w:vAlign w:val="center"/>
          </w:tcPr>
          <w:p>
            <w:pPr>
              <w:pStyle w:val="63"/>
              <w:tabs>
                <w:tab w:val="left" w:pos="1260"/>
              </w:tabs>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3"/>
              <w:tabs>
                <w:tab w:val="left" w:pos="1260"/>
              </w:tabs>
              <w:jc w:val="center"/>
              <w:rPr>
                <w:rFonts w:ascii="宋体" w:hAnsi="宋体"/>
                <w:sz w:val="24"/>
                <w:highlight w:val="none"/>
                <w:lang w:val="en-GB"/>
              </w:rPr>
            </w:pPr>
          </w:p>
        </w:tc>
        <w:tc>
          <w:tcPr>
            <w:tcW w:w="2679" w:type="dxa"/>
            <w:vAlign w:val="center"/>
          </w:tcPr>
          <w:p>
            <w:pPr>
              <w:pStyle w:val="63"/>
              <w:tabs>
                <w:tab w:val="left" w:pos="1260"/>
              </w:tabs>
              <w:jc w:val="center"/>
              <w:rPr>
                <w:rFonts w:ascii="宋体" w:hAnsi="宋体"/>
                <w:sz w:val="24"/>
                <w:highlight w:val="none"/>
                <w:lang w:val="en-GB"/>
              </w:rPr>
            </w:pPr>
          </w:p>
        </w:tc>
        <w:tc>
          <w:tcPr>
            <w:tcW w:w="3811" w:type="dxa"/>
            <w:vAlign w:val="center"/>
          </w:tcPr>
          <w:p>
            <w:pPr>
              <w:pStyle w:val="63"/>
              <w:tabs>
                <w:tab w:val="left" w:pos="1260"/>
              </w:tabs>
              <w:jc w:val="center"/>
              <w:rPr>
                <w:rFonts w:ascii="宋体" w:hAnsi="宋体"/>
                <w:sz w:val="24"/>
                <w:highlight w:val="none"/>
                <w:lang w:val="en-GB"/>
              </w:rPr>
            </w:pPr>
          </w:p>
        </w:tc>
        <w:tc>
          <w:tcPr>
            <w:tcW w:w="1621" w:type="dxa"/>
            <w:vAlign w:val="center"/>
          </w:tcPr>
          <w:p>
            <w:pPr>
              <w:pStyle w:val="63"/>
              <w:tabs>
                <w:tab w:val="left" w:pos="1260"/>
              </w:tabs>
              <w:jc w:val="center"/>
              <w:rPr>
                <w:rFonts w:ascii="宋体" w:hAnsi="宋体"/>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63"/>
              <w:tabs>
                <w:tab w:val="left" w:pos="1260"/>
              </w:tabs>
              <w:jc w:val="center"/>
              <w:rPr>
                <w:rFonts w:ascii="宋体" w:hAnsi="宋体"/>
                <w:sz w:val="24"/>
                <w:highlight w:val="none"/>
                <w:lang w:val="en-GB"/>
              </w:rPr>
            </w:pPr>
          </w:p>
        </w:tc>
        <w:tc>
          <w:tcPr>
            <w:tcW w:w="6490" w:type="dxa"/>
            <w:gridSpan w:val="2"/>
            <w:vAlign w:val="center"/>
          </w:tcPr>
          <w:p>
            <w:pPr>
              <w:pStyle w:val="63"/>
              <w:tabs>
                <w:tab w:val="left" w:pos="1260"/>
              </w:tabs>
              <w:jc w:val="center"/>
              <w:rPr>
                <w:rFonts w:ascii="宋体" w:hAnsi="宋体"/>
                <w:sz w:val="24"/>
                <w:highlight w:val="none"/>
                <w:lang w:val="en-GB"/>
              </w:rPr>
            </w:pPr>
            <w:r>
              <w:rPr>
                <w:rFonts w:hint="eastAsia" w:ascii="宋体" w:hAnsi="宋体"/>
                <w:sz w:val="24"/>
                <w:highlight w:val="none"/>
              </w:rPr>
              <w:t>小型、微型企业产品</w:t>
            </w:r>
            <w:r>
              <w:rPr>
                <w:rFonts w:hint="eastAsia" w:ascii="宋体" w:hAnsi="宋体"/>
                <w:sz w:val="24"/>
                <w:highlight w:val="none"/>
                <w:lang w:val="en-GB"/>
              </w:rPr>
              <w:t>金额合计（元）</w:t>
            </w:r>
          </w:p>
          <w:p>
            <w:pPr>
              <w:rPr>
                <w:highlight w:val="none"/>
              </w:rPr>
            </w:pPr>
          </w:p>
        </w:tc>
        <w:tc>
          <w:tcPr>
            <w:tcW w:w="1621" w:type="dxa"/>
            <w:vAlign w:val="center"/>
          </w:tcPr>
          <w:p>
            <w:pPr>
              <w:pStyle w:val="63"/>
              <w:tabs>
                <w:tab w:val="left" w:pos="1260"/>
              </w:tabs>
              <w:jc w:val="center"/>
              <w:rPr>
                <w:rFonts w:ascii="宋体" w:hAnsi="宋体"/>
                <w:sz w:val="24"/>
                <w:highlight w:val="none"/>
                <w:lang w:val="en-GB"/>
              </w:rPr>
            </w:pPr>
          </w:p>
        </w:tc>
      </w:tr>
    </w:tbl>
    <w:p>
      <w:pPr>
        <w:pStyle w:val="63"/>
        <w:spacing w:line="360" w:lineRule="auto"/>
        <w:rPr>
          <w:rFonts w:ascii="宋体" w:hAnsi="宋体"/>
          <w:szCs w:val="21"/>
          <w:highlight w:val="none"/>
          <w:lang w:val="en-GB"/>
        </w:rPr>
      </w:pPr>
    </w:p>
    <w:p>
      <w:pPr>
        <w:pStyle w:val="63"/>
        <w:spacing w:line="360" w:lineRule="auto"/>
        <w:rPr>
          <w:rFonts w:ascii="宋体" w:hAnsi="宋体"/>
          <w:szCs w:val="21"/>
          <w:highlight w:val="none"/>
          <w:lang w:val="en-GB"/>
        </w:rPr>
      </w:pPr>
      <w:r>
        <w:rPr>
          <w:rFonts w:hint="eastAsia" w:ascii="宋体" w:hAnsi="宋体"/>
          <w:szCs w:val="21"/>
          <w:highlight w:val="none"/>
          <w:lang w:val="en-GB"/>
        </w:rPr>
        <w:t>填报要求：</w:t>
      </w:r>
    </w:p>
    <w:p>
      <w:pPr>
        <w:pStyle w:val="63"/>
        <w:widowControl/>
        <w:numPr>
          <w:ilvl w:val="0"/>
          <w:numId w:val="9"/>
        </w:numPr>
        <w:spacing w:line="360" w:lineRule="auto"/>
        <w:ind w:right="84" w:rightChars="40"/>
        <w:jc w:val="left"/>
        <w:rPr>
          <w:rFonts w:ascii="宋体" w:hAnsi="宋体"/>
          <w:szCs w:val="21"/>
          <w:highlight w:val="none"/>
          <w:lang w:val="en-GB"/>
        </w:rPr>
      </w:pPr>
      <w:r>
        <w:rPr>
          <w:rFonts w:hint="eastAsia" w:ascii="宋体" w:hAnsi="宋体"/>
          <w:szCs w:val="21"/>
          <w:highlight w:val="none"/>
          <w:lang w:val="en-GB"/>
        </w:rPr>
        <w:t>本表的产品名称、规格型号和注册商标、金额要与《报价明细表》一致。</w:t>
      </w:r>
    </w:p>
    <w:p>
      <w:pPr>
        <w:pStyle w:val="63"/>
        <w:widowControl/>
        <w:numPr>
          <w:ilvl w:val="0"/>
          <w:numId w:val="9"/>
        </w:numPr>
        <w:spacing w:line="360" w:lineRule="auto"/>
        <w:ind w:right="84" w:rightChars="40"/>
        <w:jc w:val="left"/>
        <w:rPr>
          <w:rFonts w:ascii="宋体" w:hAnsi="宋体"/>
          <w:szCs w:val="21"/>
          <w:highlight w:val="none"/>
          <w:lang w:val="en-GB"/>
        </w:rPr>
      </w:pPr>
      <w:r>
        <w:rPr>
          <w:rFonts w:hint="eastAsia" w:ascii="宋体" w:hAnsi="宋体"/>
          <w:szCs w:val="21"/>
          <w:highlight w:val="none"/>
          <w:lang w:val="en-GB"/>
        </w:rPr>
        <w:t>制造商为小型或微型企业时才需要填“制造商企业类型”栏，填写内容为“小型”或“微型”。</w:t>
      </w:r>
    </w:p>
    <w:p>
      <w:pPr>
        <w:pStyle w:val="63"/>
        <w:widowControl/>
        <w:numPr>
          <w:ilvl w:val="0"/>
          <w:numId w:val="9"/>
        </w:numPr>
        <w:spacing w:line="360" w:lineRule="auto"/>
        <w:ind w:right="84" w:rightChars="40"/>
        <w:jc w:val="left"/>
        <w:rPr>
          <w:rFonts w:ascii="宋体" w:hAnsi="宋体"/>
          <w:szCs w:val="21"/>
          <w:highlight w:val="none"/>
          <w:lang w:val="en-GB"/>
        </w:rPr>
      </w:pPr>
      <w:r>
        <w:rPr>
          <w:rFonts w:hint="eastAsia" w:ascii="宋体" w:hAnsi="宋体"/>
          <w:szCs w:val="21"/>
          <w:highlight w:val="none"/>
          <w:lang w:val="en-GB"/>
        </w:rPr>
        <w:t>请供应商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rPr>
                              <w:lang w:val="en-US"/>
                            </w:rPr>
                            <w:t>34</w:t>
                          </w:r>
                          <w:r>
                            <w:rPr>
                              <w:lang w:val="en-US"/>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zd6BX1QEAAJQDAAAOAAAAAAAAAAEAIAAAAB4B&#10;AABkcnMvZTJvRG9jLnhtbFBLBQYAAAAABgAGAFkBAABl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rPr>
                        <w:lang w:val="en-US"/>
                      </w:rPr>
                      <w:t>34</w:t>
                    </w:r>
                    <w:r>
                      <w:rPr>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eastAsia="仿宋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139</w:t>
                          </w:r>
                          <w:r>
                            <w:rPr>
                              <w:rFonts w:ascii="Times New Roman" w:hAnsi="Times New Roman" w:eastAsia="仿宋_GB2312"/>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2"/>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139</w:t>
                    </w:r>
                    <w:r>
                      <w:rPr>
                        <w:rFonts w:ascii="Times New Roman" w:hAnsi="Times New Roman" w:eastAsia="仿宋_GB2312"/>
                        <w:sz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rFonts w:hint="eastAsia"/>
                            </w:rPr>
                            <w:fldChar w:fldCharType="begin"/>
                          </w:r>
                          <w:r>
                            <w:rPr>
                              <w:rFonts w:hint="eastAsia"/>
                            </w:rPr>
                            <w:instrText xml:space="preserve"> PAGE  \* MERGEFORMAT </w:instrText>
                          </w:r>
                          <w:r>
                            <w:rPr>
                              <w:rFonts w:hint="eastAsia"/>
                            </w:rPr>
                            <w:fldChar w:fldCharType="separate"/>
                          </w:r>
                          <w:r>
                            <w:t>133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jc w:val="center"/>
                    </w:pPr>
                    <w:r>
                      <w:rPr>
                        <w:rFonts w:hint="eastAsia"/>
                      </w:rPr>
                      <w:fldChar w:fldCharType="begin"/>
                    </w:r>
                    <w:r>
                      <w:rPr>
                        <w:rFonts w:hint="eastAsia"/>
                      </w:rPr>
                      <w:instrText xml:space="preserve"> PAGE  \* MERGEFORMAT </w:instrText>
                    </w:r>
                    <w:r>
                      <w:rPr>
                        <w:rFonts w:hint="eastAsia"/>
                      </w:rPr>
                      <w:fldChar w:fldCharType="separate"/>
                    </w:r>
                    <w:r>
                      <w:t>133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34</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共</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42</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1785EECD"/>
    <w:multiLevelType w:val="singleLevel"/>
    <w:tmpl w:val="1785EECD"/>
    <w:lvl w:ilvl="0" w:tentative="0">
      <w:start w:val="1"/>
      <w:numFmt w:val="decimal"/>
      <w:suff w:val="nothing"/>
      <w:lvlText w:val="%1、"/>
      <w:lvlJc w:val="left"/>
    </w:lvl>
  </w:abstractNum>
  <w:abstractNum w:abstractNumId="3">
    <w:nsid w:val="279E5DEE"/>
    <w:multiLevelType w:val="singleLevel"/>
    <w:tmpl w:val="279E5DEE"/>
    <w:lvl w:ilvl="0" w:tentative="0">
      <w:start w:val="1"/>
      <w:numFmt w:val="chineseCounting"/>
      <w:suff w:val="space"/>
      <w:lvlText w:val="第%1章"/>
      <w:lvlJc w:val="left"/>
      <w:rPr>
        <w:rFonts w:hint="eastAsia"/>
      </w:rPr>
    </w:lvl>
  </w:abstractNum>
  <w:abstractNum w:abstractNumId="4">
    <w:nsid w:val="471E06A1"/>
    <w:multiLevelType w:val="singleLevel"/>
    <w:tmpl w:val="471E06A1"/>
    <w:lvl w:ilvl="0" w:tentative="0">
      <w:start w:val="1"/>
      <w:numFmt w:val="japaneseCounting"/>
      <w:pStyle w:val="8"/>
      <w:lvlText w:val="%1、"/>
      <w:lvlJc w:val="left"/>
      <w:pPr>
        <w:tabs>
          <w:tab w:val="left" w:pos="960"/>
        </w:tabs>
        <w:ind w:left="960" w:hanging="600"/>
      </w:pPr>
      <w:rPr>
        <w:rFonts w:hint="eastAsia"/>
        <w:lang w:val="en-US"/>
      </w:rPr>
    </w:lvl>
  </w:abstractNum>
  <w:abstractNum w:abstractNumId="5">
    <w:nsid w:val="4969F691"/>
    <w:multiLevelType w:val="singleLevel"/>
    <w:tmpl w:val="4969F691"/>
    <w:lvl w:ilvl="0" w:tentative="0">
      <w:start w:val="2"/>
      <w:numFmt w:val="decimal"/>
      <w:suff w:val="nothing"/>
      <w:lvlText w:val="（%1）"/>
      <w:lvlJc w:val="left"/>
    </w:lvl>
  </w:abstractNum>
  <w:abstractNum w:abstractNumId="6">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8">
    <w:nsid w:val="72A2F334"/>
    <w:multiLevelType w:val="singleLevel"/>
    <w:tmpl w:val="72A2F334"/>
    <w:lvl w:ilvl="0" w:tentative="0">
      <w:start w:val="2"/>
      <w:numFmt w:val="chineseCounting"/>
      <w:suff w:val="nothing"/>
      <w:lvlText w:val="%1、"/>
      <w:lvlJc w:val="left"/>
      <w:rPr>
        <w:rFonts w:hint="eastAsia"/>
      </w:rPr>
    </w:lvl>
  </w:abstractNum>
  <w:num w:numId="1">
    <w:abstractNumId w:val="4"/>
  </w:num>
  <w:num w:numId="2">
    <w:abstractNumId w:val="3"/>
  </w:num>
  <w:num w:numId="3">
    <w:abstractNumId w:val="6"/>
  </w:num>
  <w:num w:numId="4">
    <w:abstractNumId w:val="5"/>
  </w:num>
  <w:num w:numId="5">
    <w:abstractNumId w:val="2"/>
  </w:num>
  <w:num w:numId="6">
    <w:abstractNumId w:val="8"/>
  </w:num>
  <w:num w:numId="7">
    <w:abstractNumId w:val="1"/>
  </w:num>
  <w:num w:numId="8">
    <w:abstractNumId w:val="0"/>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永生@油条">
    <w15:presenceInfo w15:providerId="None" w15:userId="永生@油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DE"/>
    <w:rsid w:val="00002FCA"/>
    <w:rsid w:val="00003136"/>
    <w:rsid w:val="000068E3"/>
    <w:rsid w:val="00007EDE"/>
    <w:rsid w:val="000113CF"/>
    <w:rsid w:val="00014706"/>
    <w:rsid w:val="00014A3D"/>
    <w:rsid w:val="00017A01"/>
    <w:rsid w:val="0002114A"/>
    <w:rsid w:val="000238C2"/>
    <w:rsid w:val="000251CD"/>
    <w:rsid w:val="00033334"/>
    <w:rsid w:val="00034FCB"/>
    <w:rsid w:val="00057F44"/>
    <w:rsid w:val="000618F0"/>
    <w:rsid w:val="00061DBC"/>
    <w:rsid w:val="000643FA"/>
    <w:rsid w:val="0007117D"/>
    <w:rsid w:val="00076373"/>
    <w:rsid w:val="00077A92"/>
    <w:rsid w:val="00084D51"/>
    <w:rsid w:val="00092528"/>
    <w:rsid w:val="00093886"/>
    <w:rsid w:val="0009771D"/>
    <w:rsid w:val="0009794E"/>
    <w:rsid w:val="000A0AA9"/>
    <w:rsid w:val="000A1651"/>
    <w:rsid w:val="000A1947"/>
    <w:rsid w:val="000A3E87"/>
    <w:rsid w:val="000A5FE4"/>
    <w:rsid w:val="000A6575"/>
    <w:rsid w:val="000B736F"/>
    <w:rsid w:val="000C0B10"/>
    <w:rsid w:val="000C5B76"/>
    <w:rsid w:val="000C6D68"/>
    <w:rsid w:val="000D4371"/>
    <w:rsid w:val="000D5315"/>
    <w:rsid w:val="000E308E"/>
    <w:rsid w:val="000E3830"/>
    <w:rsid w:val="000F2A9B"/>
    <w:rsid w:val="000F5C4B"/>
    <w:rsid w:val="00102477"/>
    <w:rsid w:val="00104C65"/>
    <w:rsid w:val="00111749"/>
    <w:rsid w:val="00111E1B"/>
    <w:rsid w:val="00112B03"/>
    <w:rsid w:val="00113FEC"/>
    <w:rsid w:val="00114E4B"/>
    <w:rsid w:val="00116C9D"/>
    <w:rsid w:val="001206D2"/>
    <w:rsid w:val="001224C6"/>
    <w:rsid w:val="00122D50"/>
    <w:rsid w:val="001230AB"/>
    <w:rsid w:val="001318A9"/>
    <w:rsid w:val="00131B16"/>
    <w:rsid w:val="0013345E"/>
    <w:rsid w:val="001346F0"/>
    <w:rsid w:val="00134E23"/>
    <w:rsid w:val="0013792F"/>
    <w:rsid w:val="00140EC9"/>
    <w:rsid w:val="00142C82"/>
    <w:rsid w:val="00147C0A"/>
    <w:rsid w:val="001501C0"/>
    <w:rsid w:val="00151661"/>
    <w:rsid w:val="001516AF"/>
    <w:rsid w:val="00151CF7"/>
    <w:rsid w:val="00153F10"/>
    <w:rsid w:val="00156091"/>
    <w:rsid w:val="001574E8"/>
    <w:rsid w:val="00161076"/>
    <w:rsid w:val="0016355F"/>
    <w:rsid w:val="0016361A"/>
    <w:rsid w:val="00166951"/>
    <w:rsid w:val="00166D22"/>
    <w:rsid w:val="00175B4D"/>
    <w:rsid w:val="001771E5"/>
    <w:rsid w:val="001778D7"/>
    <w:rsid w:val="00181F9E"/>
    <w:rsid w:val="001830C2"/>
    <w:rsid w:val="00187358"/>
    <w:rsid w:val="00190B97"/>
    <w:rsid w:val="00191356"/>
    <w:rsid w:val="0019183A"/>
    <w:rsid w:val="001953EF"/>
    <w:rsid w:val="00196345"/>
    <w:rsid w:val="00196BAF"/>
    <w:rsid w:val="00197CB3"/>
    <w:rsid w:val="001A2E57"/>
    <w:rsid w:val="001A554A"/>
    <w:rsid w:val="001A6152"/>
    <w:rsid w:val="001B22C4"/>
    <w:rsid w:val="001B2AA9"/>
    <w:rsid w:val="001B40C9"/>
    <w:rsid w:val="001D1DB2"/>
    <w:rsid w:val="001D53D7"/>
    <w:rsid w:val="001D7F0C"/>
    <w:rsid w:val="001E4207"/>
    <w:rsid w:val="001E66E4"/>
    <w:rsid w:val="001E738B"/>
    <w:rsid w:val="001E797B"/>
    <w:rsid w:val="001E7EDC"/>
    <w:rsid w:val="001F00FE"/>
    <w:rsid w:val="00204B47"/>
    <w:rsid w:val="00207A5A"/>
    <w:rsid w:val="002116C9"/>
    <w:rsid w:val="00214AF7"/>
    <w:rsid w:val="00216F12"/>
    <w:rsid w:val="00217E6D"/>
    <w:rsid w:val="00225CDE"/>
    <w:rsid w:val="00225EE4"/>
    <w:rsid w:val="002272C6"/>
    <w:rsid w:val="00234C48"/>
    <w:rsid w:val="00241EB4"/>
    <w:rsid w:val="00242E45"/>
    <w:rsid w:val="00246F9E"/>
    <w:rsid w:val="0025079B"/>
    <w:rsid w:val="00254AC0"/>
    <w:rsid w:val="00255016"/>
    <w:rsid w:val="00256CB0"/>
    <w:rsid w:val="00257A80"/>
    <w:rsid w:val="00260934"/>
    <w:rsid w:val="0026109B"/>
    <w:rsid w:val="002635F8"/>
    <w:rsid w:val="00263B66"/>
    <w:rsid w:val="00264884"/>
    <w:rsid w:val="00265BD4"/>
    <w:rsid w:val="00270EB6"/>
    <w:rsid w:val="00271703"/>
    <w:rsid w:val="00273B2A"/>
    <w:rsid w:val="002760D9"/>
    <w:rsid w:val="00287258"/>
    <w:rsid w:val="00287BAB"/>
    <w:rsid w:val="00291659"/>
    <w:rsid w:val="00296AEA"/>
    <w:rsid w:val="002A18EC"/>
    <w:rsid w:val="002B08C7"/>
    <w:rsid w:val="002B56C9"/>
    <w:rsid w:val="002C3AF4"/>
    <w:rsid w:val="002D0961"/>
    <w:rsid w:val="002D1599"/>
    <w:rsid w:val="002D3351"/>
    <w:rsid w:val="002D3C2B"/>
    <w:rsid w:val="002D47DD"/>
    <w:rsid w:val="002D4E9E"/>
    <w:rsid w:val="002E0695"/>
    <w:rsid w:val="002E12F2"/>
    <w:rsid w:val="002E1E8B"/>
    <w:rsid w:val="002E4B72"/>
    <w:rsid w:val="002F14B6"/>
    <w:rsid w:val="002F2E84"/>
    <w:rsid w:val="002F384A"/>
    <w:rsid w:val="002F52DF"/>
    <w:rsid w:val="002F61FA"/>
    <w:rsid w:val="002F67C7"/>
    <w:rsid w:val="00301FF1"/>
    <w:rsid w:val="0031041F"/>
    <w:rsid w:val="003130F4"/>
    <w:rsid w:val="00314627"/>
    <w:rsid w:val="00314F2B"/>
    <w:rsid w:val="00317187"/>
    <w:rsid w:val="00317C2F"/>
    <w:rsid w:val="0032065E"/>
    <w:rsid w:val="00321186"/>
    <w:rsid w:val="00321974"/>
    <w:rsid w:val="003261EA"/>
    <w:rsid w:val="0032658F"/>
    <w:rsid w:val="0033046C"/>
    <w:rsid w:val="0033249C"/>
    <w:rsid w:val="0033564A"/>
    <w:rsid w:val="00336F8A"/>
    <w:rsid w:val="003430D2"/>
    <w:rsid w:val="003448C9"/>
    <w:rsid w:val="003505FE"/>
    <w:rsid w:val="0035233F"/>
    <w:rsid w:val="003625A2"/>
    <w:rsid w:val="003671A6"/>
    <w:rsid w:val="003672EE"/>
    <w:rsid w:val="00372507"/>
    <w:rsid w:val="00372E53"/>
    <w:rsid w:val="00374028"/>
    <w:rsid w:val="00374CB0"/>
    <w:rsid w:val="003769A9"/>
    <w:rsid w:val="00376C70"/>
    <w:rsid w:val="00377352"/>
    <w:rsid w:val="00380683"/>
    <w:rsid w:val="00386D57"/>
    <w:rsid w:val="00387546"/>
    <w:rsid w:val="003915F1"/>
    <w:rsid w:val="003951A5"/>
    <w:rsid w:val="00397A50"/>
    <w:rsid w:val="003A53DD"/>
    <w:rsid w:val="003B04B4"/>
    <w:rsid w:val="003B5E7C"/>
    <w:rsid w:val="003B7536"/>
    <w:rsid w:val="003C5132"/>
    <w:rsid w:val="003C6238"/>
    <w:rsid w:val="003C662E"/>
    <w:rsid w:val="003D06E7"/>
    <w:rsid w:val="003D22B7"/>
    <w:rsid w:val="003D3BED"/>
    <w:rsid w:val="003D5AA1"/>
    <w:rsid w:val="003D7521"/>
    <w:rsid w:val="003E1D65"/>
    <w:rsid w:val="003E4624"/>
    <w:rsid w:val="00405E5A"/>
    <w:rsid w:val="00406803"/>
    <w:rsid w:val="0041416B"/>
    <w:rsid w:val="004147D9"/>
    <w:rsid w:val="00424ECB"/>
    <w:rsid w:val="004250B3"/>
    <w:rsid w:val="004270B4"/>
    <w:rsid w:val="0044224A"/>
    <w:rsid w:val="00450129"/>
    <w:rsid w:val="00452557"/>
    <w:rsid w:val="00456F48"/>
    <w:rsid w:val="00457B04"/>
    <w:rsid w:val="0046059F"/>
    <w:rsid w:val="00462CED"/>
    <w:rsid w:val="00465D93"/>
    <w:rsid w:val="004663F2"/>
    <w:rsid w:val="004921ED"/>
    <w:rsid w:val="004932F9"/>
    <w:rsid w:val="004A025E"/>
    <w:rsid w:val="004A2C45"/>
    <w:rsid w:val="004A4ACE"/>
    <w:rsid w:val="004B0C7C"/>
    <w:rsid w:val="004B30C4"/>
    <w:rsid w:val="004C537A"/>
    <w:rsid w:val="004C6BF3"/>
    <w:rsid w:val="004C6C06"/>
    <w:rsid w:val="004D0AB5"/>
    <w:rsid w:val="004D23EA"/>
    <w:rsid w:val="004D4442"/>
    <w:rsid w:val="004D4E7A"/>
    <w:rsid w:val="004E1B0E"/>
    <w:rsid w:val="004E2E89"/>
    <w:rsid w:val="004E6325"/>
    <w:rsid w:val="004F53F0"/>
    <w:rsid w:val="004F6293"/>
    <w:rsid w:val="004F6578"/>
    <w:rsid w:val="00501960"/>
    <w:rsid w:val="00501A03"/>
    <w:rsid w:val="005078C0"/>
    <w:rsid w:val="0051052F"/>
    <w:rsid w:val="00514CCC"/>
    <w:rsid w:val="005256DD"/>
    <w:rsid w:val="0052619C"/>
    <w:rsid w:val="00526EC8"/>
    <w:rsid w:val="00527BD5"/>
    <w:rsid w:val="0053244F"/>
    <w:rsid w:val="0053338F"/>
    <w:rsid w:val="005423FB"/>
    <w:rsid w:val="00551E5F"/>
    <w:rsid w:val="005615B1"/>
    <w:rsid w:val="00562B0A"/>
    <w:rsid w:val="00563CD5"/>
    <w:rsid w:val="00566B89"/>
    <w:rsid w:val="00571F91"/>
    <w:rsid w:val="0058022E"/>
    <w:rsid w:val="0058067C"/>
    <w:rsid w:val="00580BAC"/>
    <w:rsid w:val="00583337"/>
    <w:rsid w:val="00583898"/>
    <w:rsid w:val="00596B7C"/>
    <w:rsid w:val="005A4133"/>
    <w:rsid w:val="005A5FA1"/>
    <w:rsid w:val="005A600A"/>
    <w:rsid w:val="005B04A2"/>
    <w:rsid w:val="005B2CB7"/>
    <w:rsid w:val="005B3546"/>
    <w:rsid w:val="005B4F70"/>
    <w:rsid w:val="005B5F8B"/>
    <w:rsid w:val="005B7068"/>
    <w:rsid w:val="005C21ED"/>
    <w:rsid w:val="005C6F29"/>
    <w:rsid w:val="005D484B"/>
    <w:rsid w:val="005E440B"/>
    <w:rsid w:val="005E44AE"/>
    <w:rsid w:val="005E488C"/>
    <w:rsid w:val="005E7BDA"/>
    <w:rsid w:val="005F5F0B"/>
    <w:rsid w:val="005F673A"/>
    <w:rsid w:val="005F6A48"/>
    <w:rsid w:val="006060DE"/>
    <w:rsid w:val="00610CE1"/>
    <w:rsid w:val="00617444"/>
    <w:rsid w:val="00623DB5"/>
    <w:rsid w:val="006261DB"/>
    <w:rsid w:val="00627192"/>
    <w:rsid w:val="00627531"/>
    <w:rsid w:val="006350F0"/>
    <w:rsid w:val="00635D0C"/>
    <w:rsid w:val="00637E20"/>
    <w:rsid w:val="006439F3"/>
    <w:rsid w:val="00644F81"/>
    <w:rsid w:val="006453E4"/>
    <w:rsid w:val="00645549"/>
    <w:rsid w:val="00645967"/>
    <w:rsid w:val="00645BD2"/>
    <w:rsid w:val="0064660D"/>
    <w:rsid w:val="006475F2"/>
    <w:rsid w:val="006524AD"/>
    <w:rsid w:val="006525B5"/>
    <w:rsid w:val="006616BF"/>
    <w:rsid w:val="00661F52"/>
    <w:rsid w:val="006624C3"/>
    <w:rsid w:val="00664A3A"/>
    <w:rsid w:val="006707D6"/>
    <w:rsid w:val="006714C1"/>
    <w:rsid w:val="00671A9F"/>
    <w:rsid w:val="006759BA"/>
    <w:rsid w:val="00675B75"/>
    <w:rsid w:val="006776B2"/>
    <w:rsid w:val="006933A8"/>
    <w:rsid w:val="006946DC"/>
    <w:rsid w:val="00695E5C"/>
    <w:rsid w:val="00697352"/>
    <w:rsid w:val="006A1349"/>
    <w:rsid w:val="006A17F8"/>
    <w:rsid w:val="006A54BE"/>
    <w:rsid w:val="006A6064"/>
    <w:rsid w:val="006B6AC3"/>
    <w:rsid w:val="006C1276"/>
    <w:rsid w:val="006C6130"/>
    <w:rsid w:val="006D14F1"/>
    <w:rsid w:val="006D2443"/>
    <w:rsid w:val="006E6485"/>
    <w:rsid w:val="006F1EF4"/>
    <w:rsid w:val="006F1FF3"/>
    <w:rsid w:val="006F2265"/>
    <w:rsid w:val="00700A76"/>
    <w:rsid w:val="007106F0"/>
    <w:rsid w:val="00712B61"/>
    <w:rsid w:val="0071578B"/>
    <w:rsid w:val="00717067"/>
    <w:rsid w:val="007172C4"/>
    <w:rsid w:val="00721909"/>
    <w:rsid w:val="00721EC7"/>
    <w:rsid w:val="007267D1"/>
    <w:rsid w:val="007313D6"/>
    <w:rsid w:val="00733435"/>
    <w:rsid w:val="0073498A"/>
    <w:rsid w:val="00741407"/>
    <w:rsid w:val="00742509"/>
    <w:rsid w:val="0074329D"/>
    <w:rsid w:val="00744D37"/>
    <w:rsid w:val="007459E9"/>
    <w:rsid w:val="00746409"/>
    <w:rsid w:val="00753022"/>
    <w:rsid w:val="00753C4C"/>
    <w:rsid w:val="0075462B"/>
    <w:rsid w:val="00755E00"/>
    <w:rsid w:val="00770B44"/>
    <w:rsid w:val="007711A6"/>
    <w:rsid w:val="00771A4A"/>
    <w:rsid w:val="0077324E"/>
    <w:rsid w:val="00782F73"/>
    <w:rsid w:val="00787152"/>
    <w:rsid w:val="007962DE"/>
    <w:rsid w:val="00797397"/>
    <w:rsid w:val="007A6B99"/>
    <w:rsid w:val="007B1D1F"/>
    <w:rsid w:val="007B689E"/>
    <w:rsid w:val="007D3652"/>
    <w:rsid w:val="007D54B5"/>
    <w:rsid w:val="007D7293"/>
    <w:rsid w:val="007E2766"/>
    <w:rsid w:val="007E53C3"/>
    <w:rsid w:val="007F333B"/>
    <w:rsid w:val="007F3F07"/>
    <w:rsid w:val="007F4149"/>
    <w:rsid w:val="007F5652"/>
    <w:rsid w:val="007F66AB"/>
    <w:rsid w:val="007F7985"/>
    <w:rsid w:val="00804A64"/>
    <w:rsid w:val="00805C31"/>
    <w:rsid w:val="00805C45"/>
    <w:rsid w:val="00806CEB"/>
    <w:rsid w:val="00812347"/>
    <w:rsid w:val="00814AFC"/>
    <w:rsid w:val="0081595C"/>
    <w:rsid w:val="00815B9E"/>
    <w:rsid w:val="00821977"/>
    <w:rsid w:val="008224E1"/>
    <w:rsid w:val="008253E0"/>
    <w:rsid w:val="00836474"/>
    <w:rsid w:val="008400E2"/>
    <w:rsid w:val="00840672"/>
    <w:rsid w:val="00842103"/>
    <w:rsid w:val="0084380A"/>
    <w:rsid w:val="00846498"/>
    <w:rsid w:val="00856E5C"/>
    <w:rsid w:val="00862B90"/>
    <w:rsid w:val="00872732"/>
    <w:rsid w:val="008734A3"/>
    <w:rsid w:val="00873C42"/>
    <w:rsid w:val="00874BF3"/>
    <w:rsid w:val="0087659D"/>
    <w:rsid w:val="00880016"/>
    <w:rsid w:val="00881F20"/>
    <w:rsid w:val="008833CA"/>
    <w:rsid w:val="00887312"/>
    <w:rsid w:val="008878C2"/>
    <w:rsid w:val="0089321C"/>
    <w:rsid w:val="0089362A"/>
    <w:rsid w:val="00893875"/>
    <w:rsid w:val="00894544"/>
    <w:rsid w:val="00895956"/>
    <w:rsid w:val="00895B8A"/>
    <w:rsid w:val="00897BD8"/>
    <w:rsid w:val="008A4C03"/>
    <w:rsid w:val="008A4D22"/>
    <w:rsid w:val="008A5E57"/>
    <w:rsid w:val="008A6509"/>
    <w:rsid w:val="008B3853"/>
    <w:rsid w:val="008B7488"/>
    <w:rsid w:val="008B7D5E"/>
    <w:rsid w:val="008C2A6F"/>
    <w:rsid w:val="008C4ADD"/>
    <w:rsid w:val="008C58B0"/>
    <w:rsid w:val="008D13CD"/>
    <w:rsid w:val="008D181F"/>
    <w:rsid w:val="008D4698"/>
    <w:rsid w:val="008D5A5C"/>
    <w:rsid w:val="008E5079"/>
    <w:rsid w:val="008F3150"/>
    <w:rsid w:val="008F3A7C"/>
    <w:rsid w:val="008F46E1"/>
    <w:rsid w:val="008F586E"/>
    <w:rsid w:val="00900F60"/>
    <w:rsid w:val="009038F5"/>
    <w:rsid w:val="009079AE"/>
    <w:rsid w:val="00910878"/>
    <w:rsid w:val="00914E27"/>
    <w:rsid w:val="00917D80"/>
    <w:rsid w:val="009303C2"/>
    <w:rsid w:val="009309B4"/>
    <w:rsid w:val="0093416F"/>
    <w:rsid w:val="00934FD8"/>
    <w:rsid w:val="00941B77"/>
    <w:rsid w:val="00943DEF"/>
    <w:rsid w:val="00953824"/>
    <w:rsid w:val="00953CD2"/>
    <w:rsid w:val="00955A0B"/>
    <w:rsid w:val="00957C45"/>
    <w:rsid w:val="0096328A"/>
    <w:rsid w:val="0097442E"/>
    <w:rsid w:val="009755FF"/>
    <w:rsid w:val="00977516"/>
    <w:rsid w:val="009825CD"/>
    <w:rsid w:val="00984B2D"/>
    <w:rsid w:val="00984F88"/>
    <w:rsid w:val="009854D8"/>
    <w:rsid w:val="0098566F"/>
    <w:rsid w:val="00990C56"/>
    <w:rsid w:val="009966EC"/>
    <w:rsid w:val="009A15BD"/>
    <w:rsid w:val="009A3520"/>
    <w:rsid w:val="009A4312"/>
    <w:rsid w:val="009A5812"/>
    <w:rsid w:val="009B6216"/>
    <w:rsid w:val="009B65B9"/>
    <w:rsid w:val="009B6FE1"/>
    <w:rsid w:val="009C19EE"/>
    <w:rsid w:val="009C3BDA"/>
    <w:rsid w:val="009C3FC8"/>
    <w:rsid w:val="009C7F30"/>
    <w:rsid w:val="009D5772"/>
    <w:rsid w:val="009D5F20"/>
    <w:rsid w:val="009E49FD"/>
    <w:rsid w:val="009E4C25"/>
    <w:rsid w:val="009F0D9E"/>
    <w:rsid w:val="009F20D2"/>
    <w:rsid w:val="009F33DA"/>
    <w:rsid w:val="009F66EB"/>
    <w:rsid w:val="00A00C21"/>
    <w:rsid w:val="00A0753D"/>
    <w:rsid w:val="00A1730B"/>
    <w:rsid w:val="00A1732A"/>
    <w:rsid w:val="00A2177C"/>
    <w:rsid w:val="00A256A3"/>
    <w:rsid w:val="00A3344B"/>
    <w:rsid w:val="00A342E2"/>
    <w:rsid w:val="00A360E1"/>
    <w:rsid w:val="00A3713E"/>
    <w:rsid w:val="00A47999"/>
    <w:rsid w:val="00A51F7A"/>
    <w:rsid w:val="00A525F7"/>
    <w:rsid w:val="00A53716"/>
    <w:rsid w:val="00A5441D"/>
    <w:rsid w:val="00A54EA5"/>
    <w:rsid w:val="00A570D7"/>
    <w:rsid w:val="00A677F0"/>
    <w:rsid w:val="00A913AC"/>
    <w:rsid w:val="00A924D4"/>
    <w:rsid w:val="00A93BF9"/>
    <w:rsid w:val="00A946BA"/>
    <w:rsid w:val="00AA7D94"/>
    <w:rsid w:val="00AC0342"/>
    <w:rsid w:val="00AC3C97"/>
    <w:rsid w:val="00AC6351"/>
    <w:rsid w:val="00AD3DF8"/>
    <w:rsid w:val="00AD6BE3"/>
    <w:rsid w:val="00AE00E9"/>
    <w:rsid w:val="00AE046F"/>
    <w:rsid w:val="00AE24B1"/>
    <w:rsid w:val="00AE492D"/>
    <w:rsid w:val="00AE7F9B"/>
    <w:rsid w:val="00AF3BA8"/>
    <w:rsid w:val="00AF4390"/>
    <w:rsid w:val="00AF49C8"/>
    <w:rsid w:val="00AF7B2C"/>
    <w:rsid w:val="00B00F2F"/>
    <w:rsid w:val="00B010A1"/>
    <w:rsid w:val="00B03A22"/>
    <w:rsid w:val="00B0540B"/>
    <w:rsid w:val="00B12781"/>
    <w:rsid w:val="00B17A77"/>
    <w:rsid w:val="00B21C95"/>
    <w:rsid w:val="00B2399F"/>
    <w:rsid w:val="00B24809"/>
    <w:rsid w:val="00B25614"/>
    <w:rsid w:val="00B25775"/>
    <w:rsid w:val="00B25F6A"/>
    <w:rsid w:val="00B26944"/>
    <w:rsid w:val="00B30032"/>
    <w:rsid w:val="00B301E9"/>
    <w:rsid w:val="00B30F4B"/>
    <w:rsid w:val="00B31023"/>
    <w:rsid w:val="00B3371A"/>
    <w:rsid w:val="00B445C7"/>
    <w:rsid w:val="00B47353"/>
    <w:rsid w:val="00B53457"/>
    <w:rsid w:val="00B54144"/>
    <w:rsid w:val="00B562B5"/>
    <w:rsid w:val="00B57EF8"/>
    <w:rsid w:val="00B62DB0"/>
    <w:rsid w:val="00B65F14"/>
    <w:rsid w:val="00B66E6B"/>
    <w:rsid w:val="00B71D6C"/>
    <w:rsid w:val="00B71E7B"/>
    <w:rsid w:val="00B725B1"/>
    <w:rsid w:val="00B75202"/>
    <w:rsid w:val="00B81990"/>
    <w:rsid w:val="00B83443"/>
    <w:rsid w:val="00B846C1"/>
    <w:rsid w:val="00B876B8"/>
    <w:rsid w:val="00B91004"/>
    <w:rsid w:val="00B97537"/>
    <w:rsid w:val="00B97748"/>
    <w:rsid w:val="00BA38B1"/>
    <w:rsid w:val="00BA47A9"/>
    <w:rsid w:val="00BA74E1"/>
    <w:rsid w:val="00BB3223"/>
    <w:rsid w:val="00BB5156"/>
    <w:rsid w:val="00BC64BE"/>
    <w:rsid w:val="00BC7CBA"/>
    <w:rsid w:val="00BD09D8"/>
    <w:rsid w:val="00BE0FA1"/>
    <w:rsid w:val="00BE1AF7"/>
    <w:rsid w:val="00BE2E9A"/>
    <w:rsid w:val="00BE368C"/>
    <w:rsid w:val="00BE3750"/>
    <w:rsid w:val="00BE40F4"/>
    <w:rsid w:val="00BE6831"/>
    <w:rsid w:val="00BF282A"/>
    <w:rsid w:val="00BF7329"/>
    <w:rsid w:val="00BF7CD7"/>
    <w:rsid w:val="00BF7DC7"/>
    <w:rsid w:val="00C00B53"/>
    <w:rsid w:val="00C03BAA"/>
    <w:rsid w:val="00C04958"/>
    <w:rsid w:val="00C06BDF"/>
    <w:rsid w:val="00C103B2"/>
    <w:rsid w:val="00C124D0"/>
    <w:rsid w:val="00C149CA"/>
    <w:rsid w:val="00C152E9"/>
    <w:rsid w:val="00C15886"/>
    <w:rsid w:val="00C20A8F"/>
    <w:rsid w:val="00C23D1E"/>
    <w:rsid w:val="00C2789E"/>
    <w:rsid w:val="00C4711F"/>
    <w:rsid w:val="00C5451B"/>
    <w:rsid w:val="00C57291"/>
    <w:rsid w:val="00C61009"/>
    <w:rsid w:val="00C62AF2"/>
    <w:rsid w:val="00C6410B"/>
    <w:rsid w:val="00C64A2E"/>
    <w:rsid w:val="00C65610"/>
    <w:rsid w:val="00C72CDF"/>
    <w:rsid w:val="00C737B9"/>
    <w:rsid w:val="00C77363"/>
    <w:rsid w:val="00C8151E"/>
    <w:rsid w:val="00C822D0"/>
    <w:rsid w:val="00C91468"/>
    <w:rsid w:val="00C94876"/>
    <w:rsid w:val="00C95B77"/>
    <w:rsid w:val="00CA3F62"/>
    <w:rsid w:val="00CA494B"/>
    <w:rsid w:val="00CB6812"/>
    <w:rsid w:val="00CC6FC0"/>
    <w:rsid w:val="00CD0CE2"/>
    <w:rsid w:val="00CD1B25"/>
    <w:rsid w:val="00CD20B8"/>
    <w:rsid w:val="00CD3192"/>
    <w:rsid w:val="00CD6A45"/>
    <w:rsid w:val="00CE2A5B"/>
    <w:rsid w:val="00CE301F"/>
    <w:rsid w:val="00CE56C9"/>
    <w:rsid w:val="00CF2EB6"/>
    <w:rsid w:val="00CF5A31"/>
    <w:rsid w:val="00CF7383"/>
    <w:rsid w:val="00CF742F"/>
    <w:rsid w:val="00D0002C"/>
    <w:rsid w:val="00D001D8"/>
    <w:rsid w:val="00D0555E"/>
    <w:rsid w:val="00D074D4"/>
    <w:rsid w:val="00D12B8A"/>
    <w:rsid w:val="00D152F3"/>
    <w:rsid w:val="00D20C80"/>
    <w:rsid w:val="00D378D3"/>
    <w:rsid w:val="00D40C87"/>
    <w:rsid w:val="00D4244D"/>
    <w:rsid w:val="00D453D0"/>
    <w:rsid w:val="00D56248"/>
    <w:rsid w:val="00D60CF4"/>
    <w:rsid w:val="00D61FB4"/>
    <w:rsid w:val="00D66393"/>
    <w:rsid w:val="00D67704"/>
    <w:rsid w:val="00D71FD4"/>
    <w:rsid w:val="00D74708"/>
    <w:rsid w:val="00D81F57"/>
    <w:rsid w:val="00D83417"/>
    <w:rsid w:val="00D873CA"/>
    <w:rsid w:val="00D91144"/>
    <w:rsid w:val="00D92C8A"/>
    <w:rsid w:val="00DA027C"/>
    <w:rsid w:val="00DA09ED"/>
    <w:rsid w:val="00DA18A2"/>
    <w:rsid w:val="00DA5346"/>
    <w:rsid w:val="00DA5722"/>
    <w:rsid w:val="00DA5B20"/>
    <w:rsid w:val="00DB7244"/>
    <w:rsid w:val="00DC075A"/>
    <w:rsid w:val="00DC2AA9"/>
    <w:rsid w:val="00DC5836"/>
    <w:rsid w:val="00DD0861"/>
    <w:rsid w:val="00DD3A1A"/>
    <w:rsid w:val="00DD5527"/>
    <w:rsid w:val="00DD6107"/>
    <w:rsid w:val="00DF100A"/>
    <w:rsid w:val="00DF3B7F"/>
    <w:rsid w:val="00E0335D"/>
    <w:rsid w:val="00E0364C"/>
    <w:rsid w:val="00E04C3C"/>
    <w:rsid w:val="00E052FD"/>
    <w:rsid w:val="00E12C79"/>
    <w:rsid w:val="00E139C4"/>
    <w:rsid w:val="00E209D9"/>
    <w:rsid w:val="00E3305F"/>
    <w:rsid w:val="00E41A3B"/>
    <w:rsid w:val="00E41B64"/>
    <w:rsid w:val="00E4200D"/>
    <w:rsid w:val="00E434A3"/>
    <w:rsid w:val="00E43868"/>
    <w:rsid w:val="00E53F45"/>
    <w:rsid w:val="00E5460F"/>
    <w:rsid w:val="00E562F3"/>
    <w:rsid w:val="00E563CF"/>
    <w:rsid w:val="00E6388F"/>
    <w:rsid w:val="00E6434D"/>
    <w:rsid w:val="00E65B04"/>
    <w:rsid w:val="00E66F3C"/>
    <w:rsid w:val="00E67ADD"/>
    <w:rsid w:val="00E75DC7"/>
    <w:rsid w:val="00E778C0"/>
    <w:rsid w:val="00E813E3"/>
    <w:rsid w:val="00E82196"/>
    <w:rsid w:val="00E84069"/>
    <w:rsid w:val="00E955FF"/>
    <w:rsid w:val="00E9598D"/>
    <w:rsid w:val="00EA057B"/>
    <w:rsid w:val="00EA3F96"/>
    <w:rsid w:val="00EA7801"/>
    <w:rsid w:val="00EB0686"/>
    <w:rsid w:val="00EB0E64"/>
    <w:rsid w:val="00EB3EC8"/>
    <w:rsid w:val="00EB4D57"/>
    <w:rsid w:val="00EC0C0C"/>
    <w:rsid w:val="00EC3F20"/>
    <w:rsid w:val="00EC65A8"/>
    <w:rsid w:val="00EC66E7"/>
    <w:rsid w:val="00EC69FA"/>
    <w:rsid w:val="00EC6F52"/>
    <w:rsid w:val="00EC74A6"/>
    <w:rsid w:val="00ED6F36"/>
    <w:rsid w:val="00ED7569"/>
    <w:rsid w:val="00EE4173"/>
    <w:rsid w:val="00EF1820"/>
    <w:rsid w:val="00EF2FD6"/>
    <w:rsid w:val="00EF4327"/>
    <w:rsid w:val="00EF681C"/>
    <w:rsid w:val="00EF7202"/>
    <w:rsid w:val="00EF7678"/>
    <w:rsid w:val="00F03472"/>
    <w:rsid w:val="00F06D0B"/>
    <w:rsid w:val="00F07551"/>
    <w:rsid w:val="00F11F82"/>
    <w:rsid w:val="00F129D0"/>
    <w:rsid w:val="00F13256"/>
    <w:rsid w:val="00F149CB"/>
    <w:rsid w:val="00F14B72"/>
    <w:rsid w:val="00F22724"/>
    <w:rsid w:val="00F2694A"/>
    <w:rsid w:val="00F3086B"/>
    <w:rsid w:val="00F32356"/>
    <w:rsid w:val="00F34EF1"/>
    <w:rsid w:val="00F37745"/>
    <w:rsid w:val="00F47C6D"/>
    <w:rsid w:val="00F5706C"/>
    <w:rsid w:val="00F6006F"/>
    <w:rsid w:val="00F6139A"/>
    <w:rsid w:val="00F63A42"/>
    <w:rsid w:val="00F63E20"/>
    <w:rsid w:val="00F63E36"/>
    <w:rsid w:val="00F65FDD"/>
    <w:rsid w:val="00F667AF"/>
    <w:rsid w:val="00F66A2C"/>
    <w:rsid w:val="00F707E6"/>
    <w:rsid w:val="00F70967"/>
    <w:rsid w:val="00F72390"/>
    <w:rsid w:val="00F726BF"/>
    <w:rsid w:val="00F742F7"/>
    <w:rsid w:val="00F74D10"/>
    <w:rsid w:val="00F80BF4"/>
    <w:rsid w:val="00F822A6"/>
    <w:rsid w:val="00F83408"/>
    <w:rsid w:val="00F835DD"/>
    <w:rsid w:val="00F8580F"/>
    <w:rsid w:val="00F87601"/>
    <w:rsid w:val="00FA0F97"/>
    <w:rsid w:val="00FA1C99"/>
    <w:rsid w:val="00FA2A40"/>
    <w:rsid w:val="00FA5F3D"/>
    <w:rsid w:val="00FB0CFD"/>
    <w:rsid w:val="00FB2EE4"/>
    <w:rsid w:val="00FB4140"/>
    <w:rsid w:val="00FB6BC3"/>
    <w:rsid w:val="00FB7FCD"/>
    <w:rsid w:val="00FC1BC1"/>
    <w:rsid w:val="00FC75D1"/>
    <w:rsid w:val="00FC7949"/>
    <w:rsid w:val="00FD2949"/>
    <w:rsid w:val="00FD3450"/>
    <w:rsid w:val="00FE09EA"/>
    <w:rsid w:val="00FE4399"/>
    <w:rsid w:val="00FE4B5B"/>
    <w:rsid w:val="00FE5504"/>
    <w:rsid w:val="00FE65EB"/>
    <w:rsid w:val="031F0BD0"/>
    <w:rsid w:val="04CD731B"/>
    <w:rsid w:val="05041960"/>
    <w:rsid w:val="07CA43AC"/>
    <w:rsid w:val="08B729FF"/>
    <w:rsid w:val="0907699D"/>
    <w:rsid w:val="0A307C97"/>
    <w:rsid w:val="0AD92A42"/>
    <w:rsid w:val="0B6B1123"/>
    <w:rsid w:val="0D353973"/>
    <w:rsid w:val="0DE2468A"/>
    <w:rsid w:val="0E243F80"/>
    <w:rsid w:val="0ECD0C9A"/>
    <w:rsid w:val="0F5170E2"/>
    <w:rsid w:val="0F895230"/>
    <w:rsid w:val="100606CB"/>
    <w:rsid w:val="118252A5"/>
    <w:rsid w:val="122F6C04"/>
    <w:rsid w:val="13134FDB"/>
    <w:rsid w:val="14132920"/>
    <w:rsid w:val="15B60AF1"/>
    <w:rsid w:val="18205C83"/>
    <w:rsid w:val="18B3029F"/>
    <w:rsid w:val="18EC237C"/>
    <w:rsid w:val="1A093C4A"/>
    <w:rsid w:val="1A1D3847"/>
    <w:rsid w:val="1AB737DE"/>
    <w:rsid w:val="1B8F251C"/>
    <w:rsid w:val="1D8F4C7F"/>
    <w:rsid w:val="1DE63703"/>
    <w:rsid w:val="1EE92BCE"/>
    <w:rsid w:val="21302811"/>
    <w:rsid w:val="228D0334"/>
    <w:rsid w:val="23144143"/>
    <w:rsid w:val="247F0D69"/>
    <w:rsid w:val="24CC0D68"/>
    <w:rsid w:val="25690E34"/>
    <w:rsid w:val="257F739C"/>
    <w:rsid w:val="26684EB3"/>
    <w:rsid w:val="273E1D47"/>
    <w:rsid w:val="2822132D"/>
    <w:rsid w:val="28945237"/>
    <w:rsid w:val="29C0704A"/>
    <w:rsid w:val="2A164E21"/>
    <w:rsid w:val="2A6F6A9F"/>
    <w:rsid w:val="2B48435D"/>
    <w:rsid w:val="2B74142C"/>
    <w:rsid w:val="2BD335AA"/>
    <w:rsid w:val="2CC7637F"/>
    <w:rsid w:val="2CFF231F"/>
    <w:rsid w:val="2D091D10"/>
    <w:rsid w:val="2E9A0FAB"/>
    <w:rsid w:val="2EE330D8"/>
    <w:rsid w:val="310F6B93"/>
    <w:rsid w:val="32950B1F"/>
    <w:rsid w:val="332E2DC3"/>
    <w:rsid w:val="338A6E04"/>
    <w:rsid w:val="33D90C83"/>
    <w:rsid w:val="33EB4E73"/>
    <w:rsid w:val="33F3547E"/>
    <w:rsid w:val="358579BF"/>
    <w:rsid w:val="35D151C8"/>
    <w:rsid w:val="36413C79"/>
    <w:rsid w:val="36BF1DD2"/>
    <w:rsid w:val="36CE1E68"/>
    <w:rsid w:val="38186343"/>
    <w:rsid w:val="38B6505D"/>
    <w:rsid w:val="38EE3222"/>
    <w:rsid w:val="39137BCC"/>
    <w:rsid w:val="391E39AD"/>
    <w:rsid w:val="39366A83"/>
    <w:rsid w:val="3A945BA3"/>
    <w:rsid w:val="3B7001CE"/>
    <w:rsid w:val="3C3B6DA1"/>
    <w:rsid w:val="3CB91A62"/>
    <w:rsid w:val="3DFD7965"/>
    <w:rsid w:val="3F086869"/>
    <w:rsid w:val="3F2F3692"/>
    <w:rsid w:val="3FAD63A0"/>
    <w:rsid w:val="40217801"/>
    <w:rsid w:val="43E80C33"/>
    <w:rsid w:val="44931544"/>
    <w:rsid w:val="44BC2C32"/>
    <w:rsid w:val="458727AA"/>
    <w:rsid w:val="46BC37F2"/>
    <w:rsid w:val="47A1125B"/>
    <w:rsid w:val="49A117C5"/>
    <w:rsid w:val="4AD66569"/>
    <w:rsid w:val="4AF96FA1"/>
    <w:rsid w:val="4BD95F02"/>
    <w:rsid w:val="4D1B4A9D"/>
    <w:rsid w:val="4DD101CC"/>
    <w:rsid w:val="4E2B34A0"/>
    <w:rsid w:val="4E5321E1"/>
    <w:rsid w:val="4F0B668B"/>
    <w:rsid w:val="525B269A"/>
    <w:rsid w:val="52AD3F7D"/>
    <w:rsid w:val="52BC6F6A"/>
    <w:rsid w:val="533E25EC"/>
    <w:rsid w:val="55C71E85"/>
    <w:rsid w:val="56904F8D"/>
    <w:rsid w:val="56AF6BFF"/>
    <w:rsid w:val="57280BE4"/>
    <w:rsid w:val="5B0C2013"/>
    <w:rsid w:val="5B265EB5"/>
    <w:rsid w:val="5BC562B5"/>
    <w:rsid w:val="5C932D4B"/>
    <w:rsid w:val="5CD01F00"/>
    <w:rsid w:val="5D0132A8"/>
    <w:rsid w:val="5DA52508"/>
    <w:rsid w:val="5DDB48DC"/>
    <w:rsid w:val="5E5218E8"/>
    <w:rsid w:val="5E9641CF"/>
    <w:rsid w:val="5F0F6EAA"/>
    <w:rsid w:val="5FDC3F39"/>
    <w:rsid w:val="60EC7228"/>
    <w:rsid w:val="610042FE"/>
    <w:rsid w:val="62375643"/>
    <w:rsid w:val="6322494F"/>
    <w:rsid w:val="635554EA"/>
    <w:rsid w:val="638044B2"/>
    <w:rsid w:val="63B60CD2"/>
    <w:rsid w:val="65E33EAB"/>
    <w:rsid w:val="66AE605A"/>
    <w:rsid w:val="677F245B"/>
    <w:rsid w:val="67A572DB"/>
    <w:rsid w:val="6A04351A"/>
    <w:rsid w:val="6B053E23"/>
    <w:rsid w:val="6B1A6080"/>
    <w:rsid w:val="6B1C7422"/>
    <w:rsid w:val="6BD62996"/>
    <w:rsid w:val="6BE95552"/>
    <w:rsid w:val="6C5B50A9"/>
    <w:rsid w:val="6C881A75"/>
    <w:rsid w:val="6CA17551"/>
    <w:rsid w:val="6D267305"/>
    <w:rsid w:val="6DEB1CDE"/>
    <w:rsid w:val="6F153D6B"/>
    <w:rsid w:val="6F8E2033"/>
    <w:rsid w:val="704B44E5"/>
    <w:rsid w:val="71F2536B"/>
    <w:rsid w:val="72500BC9"/>
    <w:rsid w:val="72DB3FC7"/>
    <w:rsid w:val="72E2001A"/>
    <w:rsid w:val="73A925A0"/>
    <w:rsid w:val="7707109B"/>
    <w:rsid w:val="77E44FC7"/>
    <w:rsid w:val="78E51593"/>
    <w:rsid w:val="7A075F44"/>
    <w:rsid w:val="7A0C4606"/>
    <w:rsid w:val="7B3927AA"/>
    <w:rsid w:val="7BED7A99"/>
    <w:rsid w:val="7C6914E9"/>
    <w:rsid w:val="7C82671B"/>
    <w:rsid w:val="7CA207E3"/>
    <w:rsid w:val="7D0A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nhideWhenUsed="0" w:uiPriority="0" w:semiHidden="0" w:name="toc 3"/>
    <w:lsdException w:unhideWhenUsed="0" w:uiPriority="0" w:semiHidden="0" w:name="toc 4"/>
    <w:lsdException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line="300" w:lineRule="auto"/>
      <w:ind w:firstLine="200" w:firstLineChars="200"/>
      <w:outlineLvl w:val="1"/>
    </w:pPr>
    <w:rPr>
      <w:rFonts w:ascii="Arial" w:hAnsi="Arial"/>
      <w:b/>
      <w:bCs/>
      <w:szCs w:val="32"/>
    </w:rPr>
  </w:style>
  <w:style w:type="paragraph" w:styleId="4">
    <w:name w:val="heading 3"/>
    <w:basedOn w:val="1"/>
    <w:next w:val="1"/>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5">
    <w:name w:val="heading 4"/>
    <w:basedOn w:val="1"/>
    <w:next w:val="1"/>
    <w:link w:val="6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spacing w:before="280" w:beforeLines="0" w:after="290" w:afterLines="0" w:line="372" w:lineRule="auto"/>
      <w:outlineLvl w:val="4"/>
    </w:pPr>
    <w:rPr>
      <w:b/>
      <w:bCs/>
      <w:sz w:val="28"/>
      <w:szCs w:val="28"/>
    </w:rPr>
  </w:style>
  <w:style w:type="paragraph" w:styleId="7">
    <w:name w:val="heading 6"/>
    <w:basedOn w:val="1"/>
    <w:next w:val="1"/>
    <w:link w:val="39"/>
    <w:qFormat/>
    <w:uiPriority w:val="0"/>
    <w:pPr>
      <w:keepNext/>
      <w:keepLines/>
      <w:spacing w:before="240" w:after="64" w:line="320" w:lineRule="auto"/>
      <w:outlineLvl w:val="5"/>
    </w:pPr>
    <w:rPr>
      <w:rFonts w:ascii="Calibri Light" w:hAnsi="Calibri Light" w:eastAsia="楷体_GB2312"/>
      <w:b/>
      <w:bCs/>
      <w:sz w:val="24"/>
      <w:lang w:val="zh-CN"/>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numPr>
        <w:ilvl w:val="0"/>
        <w:numId w:val="1"/>
      </w:numPr>
      <w:tabs>
        <w:tab w:val="left" w:pos="454"/>
        <w:tab w:val="left" w:pos="720"/>
        <w:tab w:val="left" w:pos="899"/>
      </w:tabs>
      <w:spacing w:afterLines="50"/>
      <w:ind w:left="454" w:hanging="284"/>
      <w:jc w:val="left"/>
    </w:pPr>
    <w:rPr>
      <w:kern w:val="0"/>
      <w:sz w:val="24"/>
      <w:szCs w:val="20"/>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Tahoma" w:hAnsi="Tahoma" w:eastAsia="Cambria Math" w:cs="Tahoma"/>
      <w:sz w:val="20"/>
      <w:szCs w:val="20"/>
    </w:rPr>
  </w:style>
  <w:style w:type="paragraph" w:styleId="11">
    <w:name w:val="annotation text"/>
    <w:basedOn w:val="1"/>
    <w:link w:val="33"/>
    <w:qFormat/>
    <w:uiPriority w:val="0"/>
    <w:pPr>
      <w:jc w:val="left"/>
    </w:pPr>
    <w:rPr>
      <w:lang w:val="zh-CN"/>
    </w:rPr>
  </w:style>
  <w:style w:type="paragraph" w:styleId="12">
    <w:name w:val="Body Text 3"/>
    <w:basedOn w:val="1"/>
    <w:qFormat/>
    <w:uiPriority w:val="0"/>
    <w:pPr>
      <w:spacing w:after="120"/>
    </w:pPr>
    <w:rPr>
      <w:sz w:val="16"/>
      <w:szCs w:val="16"/>
    </w:rPr>
  </w:style>
  <w:style w:type="paragraph" w:styleId="13">
    <w:name w:val="Body Text"/>
    <w:basedOn w:val="1"/>
    <w:qFormat/>
    <w:uiPriority w:val="0"/>
    <w:pPr>
      <w:spacing w:after="120"/>
    </w:pPr>
  </w:style>
  <w:style w:type="paragraph" w:styleId="14">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15">
    <w:name w:val="List 2"/>
    <w:basedOn w:val="1"/>
    <w:qFormat/>
    <w:uiPriority w:val="0"/>
    <w:pPr>
      <w:ind w:left="100" w:leftChars="200" w:hanging="200" w:hangingChars="200"/>
    </w:pPr>
  </w:style>
  <w:style w:type="paragraph" w:styleId="16">
    <w:name w:val="toc 5"/>
    <w:basedOn w:val="1"/>
    <w:next w:val="1"/>
    <w:uiPriority w:val="0"/>
    <w:pPr>
      <w:tabs>
        <w:tab w:val="right" w:leader="dot" w:pos="8296"/>
      </w:tabs>
      <w:ind w:left="1050" w:leftChars="500"/>
    </w:pPr>
  </w:style>
  <w:style w:type="paragraph" w:styleId="17">
    <w:name w:val="toc 3"/>
    <w:basedOn w:val="1"/>
    <w:next w:val="1"/>
    <w:uiPriority w:val="0"/>
    <w:pPr>
      <w:ind w:left="840" w:leftChars="400"/>
    </w:pPr>
  </w:style>
  <w:style w:type="paragraph" w:styleId="18">
    <w:name w:val="Plain Text"/>
    <w:basedOn w:val="1"/>
    <w:link w:val="38"/>
    <w:qFormat/>
    <w:uiPriority w:val="0"/>
    <w:rPr>
      <w:rFonts w:ascii="楷体_GB2312" w:hAnsi="Courier New" w:eastAsia="楷体_GB2312"/>
    </w:rPr>
  </w:style>
  <w:style w:type="paragraph" w:styleId="19">
    <w:name w:val="Date"/>
    <w:basedOn w:val="1"/>
    <w:next w:val="1"/>
    <w:qFormat/>
    <w:uiPriority w:val="0"/>
    <w:pPr>
      <w:ind w:left="2500" w:leftChars="2500"/>
    </w:pPr>
    <w:rPr>
      <w:rFonts w:eastAsia="楷体_GB2312"/>
      <w:sz w:val="32"/>
      <w:szCs w:val="20"/>
    </w:r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34"/>
    <w:qFormat/>
    <w:uiPriority w:val="0"/>
    <w:rPr>
      <w:sz w:val="18"/>
      <w:szCs w:val="18"/>
      <w:lang w:val="zh-CN"/>
    </w:rPr>
  </w:style>
  <w:style w:type="paragraph" w:styleId="22">
    <w:name w:val="footer"/>
    <w:basedOn w:val="1"/>
    <w:link w:val="35"/>
    <w:qFormat/>
    <w:uiPriority w:val="0"/>
    <w:pPr>
      <w:tabs>
        <w:tab w:val="center" w:pos="4153"/>
        <w:tab w:val="right" w:pos="8306"/>
      </w:tabs>
      <w:snapToGrid w:val="0"/>
      <w:jc w:val="left"/>
    </w:pPr>
    <w:rPr>
      <w:sz w:val="18"/>
      <w:szCs w:val="18"/>
      <w:lang w:val="zh-CN"/>
    </w:rPr>
  </w:style>
  <w:style w:type="paragraph" w:styleId="23">
    <w:name w:val="header"/>
    <w:basedOn w:val="1"/>
    <w:link w:val="37"/>
    <w:qFormat/>
    <w:uiPriority w:val="0"/>
    <w:pPr>
      <w:pBdr>
        <w:bottom w:val="single" w:color="auto" w:sz="6" w:space="1"/>
      </w:pBdr>
      <w:tabs>
        <w:tab w:val="center" w:pos="4153"/>
        <w:tab w:val="right" w:pos="8306"/>
      </w:tabs>
      <w:snapToGrid w:val="0"/>
      <w:jc w:val="center"/>
    </w:pPr>
    <w:rPr>
      <w:sz w:val="18"/>
      <w:szCs w:val="18"/>
      <w:lang w:val="zh-CN"/>
    </w:rPr>
  </w:style>
  <w:style w:type="paragraph" w:styleId="24">
    <w:name w:val="toc 4"/>
    <w:basedOn w:val="1"/>
    <w:next w:val="1"/>
    <w:uiPriority w:val="0"/>
    <w:pPr>
      <w:tabs>
        <w:tab w:val="left" w:pos="1890"/>
        <w:tab w:val="right" w:leader="dot" w:pos="8296"/>
      </w:tabs>
      <w:ind w:left="630" w:leftChars="300"/>
    </w:pPr>
  </w:style>
  <w:style w:type="paragraph" w:styleId="25">
    <w:name w:val="List"/>
    <w:basedOn w:val="1"/>
    <w:qFormat/>
    <w:uiPriority w:val="0"/>
    <w:pPr>
      <w:ind w:left="200" w:hanging="200" w:hangingChars="200"/>
    </w:pPr>
    <w:rPr>
      <w:sz w:val="28"/>
    </w:rPr>
  </w:style>
  <w:style w:type="paragraph" w:styleId="26">
    <w:name w:val="Normal (Web)"/>
    <w:basedOn w:val="1"/>
    <w:qFormat/>
    <w:uiPriority w:val="99"/>
    <w:pPr>
      <w:widowControl/>
      <w:spacing w:before="100" w:beforeAutospacing="1" w:after="100" w:afterAutospacing="1"/>
      <w:jc w:val="left"/>
    </w:pPr>
    <w:rPr>
      <w:rFonts w:hint="eastAsia" w:ascii="楷体_GB2312" w:hAnsi="楷体_GB2312"/>
      <w:kern w:val="0"/>
      <w:sz w:val="24"/>
    </w:rPr>
  </w:style>
  <w:style w:type="paragraph" w:styleId="27">
    <w:name w:val="annotation subject"/>
    <w:basedOn w:val="11"/>
    <w:next w:val="11"/>
    <w:link w:val="36"/>
    <w:qFormat/>
    <w:uiPriority w:val="0"/>
    <w:rPr>
      <w:b/>
      <w:bCs/>
    </w:rPr>
  </w:style>
  <w:style w:type="character" w:styleId="30">
    <w:name w:val="page number"/>
    <w:basedOn w:val="29"/>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customStyle="1" w:styleId="33">
    <w:name w:val="批注文字 Char"/>
    <w:link w:val="11"/>
    <w:qFormat/>
    <w:uiPriority w:val="0"/>
    <w:rPr>
      <w:kern w:val="2"/>
      <w:sz w:val="21"/>
      <w:szCs w:val="24"/>
    </w:rPr>
  </w:style>
  <w:style w:type="character" w:customStyle="1" w:styleId="34">
    <w:name w:val="批注框文本 Char"/>
    <w:link w:val="21"/>
    <w:qFormat/>
    <w:uiPriority w:val="0"/>
    <w:rPr>
      <w:kern w:val="2"/>
      <w:sz w:val="18"/>
      <w:szCs w:val="18"/>
    </w:rPr>
  </w:style>
  <w:style w:type="character" w:customStyle="1" w:styleId="35">
    <w:name w:val="页脚 Char"/>
    <w:link w:val="22"/>
    <w:qFormat/>
    <w:uiPriority w:val="0"/>
    <w:rPr>
      <w:kern w:val="2"/>
      <w:sz w:val="18"/>
      <w:szCs w:val="18"/>
    </w:rPr>
  </w:style>
  <w:style w:type="character" w:customStyle="1" w:styleId="36">
    <w:name w:val="批注主题 Char"/>
    <w:basedOn w:val="33"/>
    <w:link w:val="27"/>
    <w:qFormat/>
    <w:uiPriority w:val="0"/>
    <w:rPr>
      <w:kern w:val="2"/>
      <w:sz w:val="21"/>
      <w:szCs w:val="24"/>
    </w:rPr>
  </w:style>
  <w:style w:type="character" w:customStyle="1" w:styleId="37">
    <w:name w:val="页眉 Char"/>
    <w:link w:val="23"/>
    <w:qFormat/>
    <w:uiPriority w:val="0"/>
    <w:rPr>
      <w:kern w:val="2"/>
      <w:sz w:val="18"/>
      <w:szCs w:val="18"/>
    </w:rPr>
  </w:style>
  <w:style w:type="character" w:customStyle="1" w:styleId="38">
    <w:name w:val="纯文本 Char"/>
    <w:link w:val="18"/>
    <w:qFormat/>
    <w:uiPriority w:val="0"/>
    <w:rPr>
      <w:rFonts w:ascii="楷体_GB2312" w:hAnsi="Courier New" w:eastAsia="楷体_GB2312"/>
      <w:kern w:val="2"/>
      <w:sz w:val="21"/>
      <w:szCs w:val="24"/>
      <w:lang w:val="en-US" w:eastAsia="zh-CN" w:bidi="ar-SA"/>
    </w:rPr>
  </w:style>
  <w:style w:type="character" w:customStyle="1" w:styleId="39">
    <w:name w:val="标题 6 Char"/>
    <w:link w:val="7"/>
    <w:semiHidden/>
    <w:qFormat/>
    <w:uiPriority w:val="0"/>
    <w:rPr>
      <w:rFonts w:ascii="Calibri Light" w:hAnsi="Calibri Light" w:eastAsia="楷体_GB2312" w:cs="@方正书宋简体"/>
      <w:b/>
      <w:bCs/>
      <w:kern w:val="2"/>
      <w:sz w:val="24"/>
      <w:szCs w:val="24"/>
    </w:rPr>
  </w:style>
  <w:style w:type="paragraph" w:customStyle="1" w:styleId="40">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41">
    <w:name w:val="列出段落1"/>
    <w:basedOn w:val="1"/>
    <w:qFormat/>
    <w:uiPriority w:val="0"/>
    <w:pPr>
      <w:ind w:firstLine="420" w:firstLineChars="200"/>
    </w:pPr>
    <w:rPr>
      <w:kern w:val="0"/>
      <w:szCs w:val="20"/>
    </w:rPr>
  </w:style>
  <w:style w:type="paragraph" w:customStyle="1" w:styleId="42">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img"/>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44">
    <w:name w:val="列出段落2"/>
    <w:basedOn w:val="1"/>
    <w:qFormat/>
    <w:uiPriority w:val="34"/>
    <w:pPr>
      <w:ind w:firstLine="420" w:firstLineChars="200"/>
    </w:pPr>
    <w:rPr>
      <w:rFonts w:eastAsia="楷体_GB2312" w:cs="@方正书宋简体"/>
      <w:szCs w:val="22"/>
    </w:rPr>
  </w:style>
  <w:style w:type="paragraph" w:customStyle="1" w:styleId="45">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p0"/>
    <w:basedOn w:val="1"/>
    <w:qFormat/>
    <w:uiPriority w:val="0"/>
    <w:pPr>
      <w:widowControl/>
      <w:spacing w:line="365" w:lineRule="atLeast"/>
      <w:ind w:left="1"/>
    </w:pPr>
    <w:rPr>
      <w:kern w:val="0"/>
      <w:sz w:val="20"/>
      <w:szCs w:val="20"/>
    </w:rPr>
  </w:style>
  <w:style w:type="paragraph" w:customStyle="1" w:styleId="47">
    <w:name w:val="p18"/>
    <w:basedOn w:val="1"/>
    <w:qFormat/>
    <w:uiPriority w:val="99"/>
    <w:pPr>
      <w:widowControl/>
      <w:spacing w:line="748" w:lineRule="atLeast"/>
      <w:ind w:left="-527" w:firstLine="527"/>
    </w:pPr>
    <w:rPr>
      <w:rFonts w:ascii="楷体_GB2312" w:hAnsi="楷体_GB2312" w:cs="楷体_GB2312"/>
      <w:kern w:val="0"/>
      <w:sz w:val="24"/>
    </w:rPr>
  </w:style>
  <w:style w:type="paragraph" w:customStyle="1" w:styleId="48">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Char"/>
    <w:basedOn w:val="1"/>
    <w:qFormat/>
    <w:uiPriority w:val="0"/>
  </w:style>
  <w:style w:type="paragraph" w:customStyle="1" w:styleId="51">
    <w:name w:val="reader-word-layer"/>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52">
    <w:name w:val="正文_14"/>
    <w:qFormat/>
    <w:uiPriority w:val="0"/>
    <w:rPr>
      <w:rFonts w:ascii="Calibri" w:hAnsi="Calibri" w:eastAsia="宋体" w:cs="Times New Roman"/>
      <w:sz w:val="21"/>
      <w:lang w:val="en-US" w:eastAsia="zh-CN" w:bidi="ar-SA"/>
    </w:rPr>
  </w:style>
  <w:style w:type="paragraph" w:customStyle="1" w:styleId="5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Char1"/>
    <w:basedOn w:val="1"/>
    <w:qFormat/>
    <w:uiPriority w:val="0"/>
  </w:style>
  <w:style w:type="paragraph" w:customStyle="1" w:styleId="55">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5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paragraph" w:customStyle="1" w:styleId="59">
    <w:name w:val="Table Paragraph"/>
    <w:basedOn w:val="1"/>
    <w:qFormat/>
    <w:uiPriority w:val="1"/>
    <w:rPr>
      <w:szCs w:val="20"/>
    </w:rPr>
  </w:style>
  <w:style w:type="paragraph" w:customStyle="1" w:styleId="6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Char Char Char Char Char Char Char Char Char"/>
    <w:basedOn w:val="1"/>
    <w:qFormat/>
    <w:uiPriority w:val="0"/>
    <w:pPr>
      <w:widowControl/>
      <w:spacing w:after="160" w:line="240" w:lineRule="exact"/>
      <w:jc w:val="left"/>
    </w:pPr>
    <w:rPr>
      <w:rFonts w:ascii="Times New Roman" w:hAnsi="Times New Roman" w:eastAsia="Times New Roman"/>
      <w:kern w:val="0"/>
      <w:sz w:val="24"/>
      <w:szCs w:val="20"/>
    </w:rPr>
  </w:style>
  <w:style w:type="paragraph" w:styleId="62">
    <w:name w:val="List Paragraph"/>
    <w:basedOn w:val="1"/>
    <w:qFormat/>
    <w:uiPriority w:val="34"/>
    <w:pPr>
      <w:ind w:firstLine="420" w:firstLineChars="200"/>
    </w:pPr>
  </w:style>
  <w:style w:type="paragraph" w:customStyle="1" w:styleId="6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15"/>
    <w:basedOn w:val="29"/>
    <w:qFormat/>
    <w:uiPriority w:val="0"/>
    <w:rPr>
      <w:rFonts w:hint="default" w:ascii="Times New Roman" w:hAnsi="Times New Roman" w:cs="Times New Roman"/>
    </w:rPr>
  </w:style>
  <w:style w:type="character" w:customStyle="1" w:styleId="67">
    <w:name w:val="标题 4 Char"/>
    <w:basedOn w:val="29"/>
    <w:link w:val="5"/>
    <w:semiHidden/>
    <w:qFormat/>
    <w:uiPriority w:val="0"/>
    <w:rPr>
      <w:rFonts w:asciiTheme="majorHAnsi" w:hAnsiTheme="majorHAnsi" w:eastAsiaTheme="majorEastAsia" w:cstheme="majorBidi"/>
      <w:b/>
      <w:bCs/>
      <w:kern w:val="2"/>
      <w:sz w:val="28"/>
      <w:szCs w:val="28"/>
    </w:rPr>
  </w:style>
  <w:style w:type="paragraph" w:customStyle="1" w:styleId="68">
    <w:name w:val="样式1"/>
    <w:basedOn w:val="1"/>
    <w:link w:val="69"/>
    <w:qFormat/>
    <w:uiPriority w:val="0"/>
    <w:pPr>
      <w:spacing w:line="360" w:lineRule="exact"/>
      <w:ind w:firstLine="200" w:firstLineChars="200"/>
    </w:pPr>
    <w:rPr>
      <w:rFonts w:ascii="Arial" w:hAnsi="Arial"/>
    </w:rPr>
  </w:style>
  <w:style w:type="character" w:customStyle="1" w:styleId="69">
    <w:name w:val="样式1 Char Char"/>
    <w:link w:val="68"/>
    <w:qFormat/>
    <w:uiPriority w:val="0"/>
    <w:rPr>
      <w:rFonts w:ascii="Arial" w:hAnsi="Arial" w:eastAsia="宋体" w:cs="Times New Roman"/>
      <w:kern w:val="2"/>
      <w:sz w:val="21"/>
      <w:szCs w:val="24"/>
    </w:rPr>
  </w:style>
  <w:style w:type="paragraph" w:customStyle="1" w:styleId="70">
    <w:name w:val="_Style 6"/>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CFDD7-A949-4873-81F3-0E36C93E1957}">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3245</Words>
  <Characters>18497</Characters>
  <Lines>154</Lines>
  <Paragraphs>43</Paragraphs>
  <TotalTime>1</TotalTime>
  <ScaleCrop>false</ScaleCrop>
  <LinksUpToDate>false</LinksUpToDate>
  <CharactersWithSpaces>21699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2020-07-29T01:17:00Z</dcterms:created>
  <dc:creator>dell</dc:creator>
  <cp:lastModifiedBy>永生@油条</cp:lastModifiedBy>
  <cp:lastPrinted>2020-08-20T07:09:00Z</cp:lastPrinted>
  <dcterms:modified xsi:type="dcterms:W3CDTF">2020-09-27T04:08:54Z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