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643"/>
        <w:rPr>
          <w:rFonts w:ascii="仿宋_GB2312" w:eastAsia="仿宋_GB2312"/>
        </w:rPr>
      </w:pPr>
    </w:p>
    <w:p>
      <w:pPr>
        <w:ind w:firstLine="640"/>
        <w:jc w:val="center"/>
        <w:rPr>
          <w:rFonts w:ascii="仿宋_GB2312" w:eastAsia="仿宋_GB2312"/>
          <w:sz w:val="32"/>
          <w:szCs w:val="32"/>
        </w:rPr>
      </w:pPr>
    </w:p>
    <w:p>
      <w:pPr>
        <w:spacing w:line="600" w:lineRule="exact"/>
        <w:ind w:firstLine="600"/>
        <w:jc w:val="center"/>
        <w:rPr>
          <w:rFonts w:ascii="仿宋_GB2312" w:eastAsia="仿宋_GB2312"/>
          <w:sz w:val="30"/>
          <w:szCs w:val="30"/>
        </w:rPr>
      </w:pPr>
      <w:r>
        <w:rPr>
          <w:rFonts w:hint="eastAsia" w:ascii="仿宋_GB2312" w:eastAsia="仿宋_GB2312"/>
          <w:sz w:val="30"/>
          <w:szCs w:val="30"/>
        </w:rPr>
        <w:t>浙江省舟山市自然灾害应急能力提升工程预警指挥项目提升综合风险监测预警和指挥支撑保障能力分项采购项目</w:t>
      </w:r>
      <w:r>
        <w:rPr>
          <w:rFonts w:hint="eastAsia" w:ascii="仿宋_GB2312" w:eastAsia="仿宋_GB2312"/>
          <w:sz w:val="30"/>
          <w:szCs w:val="30"/>
        </w:rPr>
        <w:tab/>
      </w:r>
    </w:p>
    <w:p>
      <w:pPr>
        <w:pStyle w:val="11"/>
        <w:jc w:val="center"/>
      </w:pPr>
    </w:p>
    <w:p>
      <w:pPr>
        <w:spacing w:line="600" w:lineRule="exact"/>
        <w:ind w:firstLine="600"/>
        <w:jc w:val="center"/>
        <w:rPr>
          <w:rFonts w:ascii="仿宋_GB2312" w:eastAsia="仿宋_GB2312"/>
          <w:sz w:val="24"/>
          <w:szCs w:val="24"/>
        </w:rPr>
      </w:pPr>
    </w:p>
    <w:p>
      <w:pPr>
        <w:jc w:val="center"/>
        <w:rPr>
          <w:rFonts w:ascii="仿宋_GB2312" w:eastAsia="仿宋_GB2312"/>
          <w:sz w:val="24"/>
          <w:szCs w:val="24"/>
        </w:rPr>
      </w:pPr>
    </w:p>
    <w:p>
      <w:pPr>
        <w:spacing w:line="600" w:lineRule="exact"/>
        <w:ind w:firstLine="600"/>
        <w:jc w:val="center"/>
        <w:rPr>
          <w:rFonts w:ascii="仿宋_GB2312" w:eastAsia="仿宋_GB2312"/>
          <w:sz w:val="30"/>
          <w:szCs w:val="30"/>
        </w:rPr>
      </w:pPr>
      <w:r>
        <w:rPr>
          <w:rFonts w:hint="eastAsia" w:ascii="仿宋_GB2312" w:eastAsia="仿宋_GB2312"/>
          <w:sz w:val="30"/>
          <w:szCs w:val="30"/>
        </w:rPr>
        <w:t>公开招标文件</w:t>
      </w:r>
    </w:p>
    <w:p>
      <w:pPr>
        <w:spacing w:line="600" w:lineRule="exact"/>
        <w:ind w:firstLine="600"/>
        <w:jc w:val="center"/>
        <w:rPr>
          <w:rFonts w:ascii="仿宋_GB2312" w:eastAsia="仿宋_GB2312"/>
          <w:sz w:val="30"/>
          <w:szCs w:val="30"/>
        </w:rPr>
      </w:pPr>
      <w:r>
        <w:rPr>
          <w:rFonts w:hint="eastAsia" w:ascii="仿宋_GB2312" w:eastAsia="仿宋_GB2312"/>
          <w:sz w:val="30"/>
          <w:szCs w:val="30"/>
        </w:rPr>
        <w:t>（电子招投标）</w:t>
      </w:r>
    </w:p>
    <w:p>
      <w:pPr>
        <w:spacing w:line="600" w:lineRule="exact"/>
        <w:ind w:firstLine="600"/>
        <w:jc w:val="center"/>
        <w:rPr>
          <w:rFonts w:ascii="仿宋_GB2312" w:eastAsia="仿宋_GB2312"/>
          <w:color w:val="000000" w:themeColor="text1"/>
          <w:sz w:val="30"/>
          <w:szCs w:val="30"/>
        </w:rPr>
      </w:pPr>
      <w:r>
        <w:rPr>
          <w:rFonts w:hint="eastAsia" w:ascii="仿宋_GB2312" w:eastAsia="仿宋_GB2312"/>
          <w:color w:val="000000" w:themeColor="text1"/>
          <w:sz w:val="30"/>
          <w:szCs w:val="30"/>
        </w:rPr>
        <w:t>编号:ZSZFCG2024-ZB-013</w:t>
      </w:r>
    </w:p>
    <w:p>
      <w:pPr>
        <w:spacing w:line="600" w:lineRule="exact"/>
        <w:ind w:firstLine="600"/>
        <w:jc w:val="center"/>
        <w:rPr>
          <w:rFonts w:ascii="仿宋_GB2312" w:eastAsia="仿宋_GB2312"/>
          <w:sz w:val="30"/>
          <w:szCs w:val="30"/>
        </w:rPr>
      </w:pPr>
    </w:p>
    <w:p>
      <w:pPr>
        <w:spacing w:line="600" w:lineRule="exact"/>
        <w:ind w:firstLine="600"/>
        <w:jc w:val="center"/>
        <w:rPr>
          <w:rFonts w:ascii="仿宋_GB2312" w:eastAsia="仿宋_GB2312"/>
          <w:sz w:val="30"/>
          <w:szCs w:val="30"/>
        </w:rPr>
      </w:pPr>
    </w:p>
    <w:p>
      <w:pPr>
        <w:spacing w:line="600" w:lineRule="exact"/>
        <w:ind w:firstLine="600"/>
        <w:jc w:val="center"/>
        <w:rPr>
          <w:rFonts w:ascii="仿宋_GB2312" w:eastAsia="仿宋_GB2312"/>
          <w:sz w:val="30"/>
          <w:szCs w:val="30"/>
        </w:rPr>
      </w:pPr>
    </w:p>
    <w:p>
      <w:pPr>
        <w:spacing w:line="600" w:lineRule="exact"/>
        <w:ind w:firstLine="600"/>
        <w:jc w:val="center"/>
        <w:rPr>
          <w:rFonts w:ascii="仿宋_GB2312" w:eastAsia="仿宋_GB2312"/>
          <w:sz w:val="30"/>
          <w:szCs w:val="30"/>
        </w:rPr>
      </w:pPr>
    </w:p>
    <w:p>
      <w:pPr>
        <w:spacing w:line="600" w:lineRule="exact"/>
        <w:ind w:firstLine="600"/>
        <w:jc w:val="center"/>
        <w:rPr>
          <w:rFonts w:ascii="仿宋_GB2312" w:eastAsia="仿宋_GB2312"/>
          <w:sz w:val="30"/>
          <w:szCs w:val="30"/>
        </w:rPr>
      </w:pPr>
    </w:p>
    <w:p>
      <w:pPr>
        <w:adjustRightInd w:val="0"/>
        <w:snapToGrid w:val="0"/>
        <w:spacing w:line="600" w:lineRule="exact"/>
        <w:ind w:firstLine="600"/>
        <w:jc w:val="center"/>
        <w:rPr>
          <w:rFonts w:hint="eastAsia" w:ascii="仿宋_GB2312" w:eastAsia="仿宋_GB2312"/>
          <w:sz w:val="30"/>
          <w:szCs w:val="30"/>
          <w:lang w:eastAsia="zh-CN"/>
        </w:rPr>
      </w:pPr>
      <w:r>
        <w:rPr>
          <w:rFonts w:hint="eastAsia" w:ascii="仿宋_GB2312" w:eastAsia="仿宋_GB2312"/>
          <w:sz w:val="30"/>
          <w:szCs w:val="30"/>
        </w:rPr>
        <w:t>舟山市应急管理局、普朱管委会、普陀区应急管理局、岱山县应急管理局、嵊泗县应急管委局、普陀山镇人民政府、定海区应急管理局</w:t>
      </w:r>
    </w:p>
    <w:p>
      <w:pPr>
        <w:adjustRightInd w:val="0"/>
        <w:snapToGrid w:val="0"/>
        <w:spacing w:line="600" w:lineRule="exact"/>
        <w:ind w:firstLine="600"/>
        <w:jc w:val="center"/>
        <w:rPr>
          <w:rFonts w:ascii="仿宋_GB2312" w:eastAsia="仿宋_GB2312"/>
          <w:sz w:val="30"/>
          <w:szCs w:val="30"/>
        </w:rPr>
      </w:pPr>
      <w:r>
        <w:rPr>
          <w:rFonts w:hint="eastAsia" w:ascii="仿宋_GB2312" w:eastAsia="仿宋_GB2312"/>
          <w:sz w:val="30"/>
          <w:szCs w:val="30"/>
        </w:rPr>
        <w:t>舟山市公共资源交易中心</w:t>
      </w:r>
    </w:p>
    <w:p>
      <w:pPr>
        <w:adjustRightInd w:val="0"/>
        <w:snapToGrid w:val="0"/>
        <w:spacing w:line="600" w:lineRule="exact"/>
        <w:ind w:firstLine="600"/>
        <w:jc w:val="center"/>
        <w:rPr>
          <w:rFonts w:ascii="仿宋_GB2312" w:eastAsia="仿宋_GB2312"/>
          <w:sz w:val="30"/>
          <w:szCs w:val="30"/>
        </w:rPr>
      </w:pPr>
      <w:r>
        <w:rPr>
          <w:rFonts w:hint="eastAsia" w:ascii="仿宋_GB2312" w:eastAsia="仿宋_GB2312"/>
          <w:sz w:val="30"/>
          <w:szCs w:val="30"/>
        </w:rPr>
        <w:t>2024年</w:t>
      </w:r>
      <w:r>
        <w:rPr>
          <w:rFonts w:hint="eastAsia" w:ascii="仿宋_GB2312" w:eastAsia="仿宋_GB2312"/>
          <w:sz w:val="30"/>
          <w:szCs w:val="30"/>
          <w:lang w:val="en-US" w:eastAsia="zh-CN"/>
        </w:rPr>
        <w:t>5</w:t>
      </w:r>
      <w:r>
        <w:rPr>
          <w:rFonts w:hint="eastAsia" w:ascii="仿宋_GB2312" w:eastAsia="仿宋_GB2312"/>
          <w:sz w:val="30"/>
          <w:szCs w:val="30"/>
        </w:rPr>
        <w:t>月</w:t>
      </w:r>
    </w:p>
    <w:p>
      <w:pPr>
        <w:adjustRightInd w:val="0"/>
        <w:snapToGrid w:val="0"/>
        <w:rPr>
          <w:rFonts w:ascii="仿宋_GB2312" w:eastAsia="仿宋_GB2312"/>
          <w:sz w:val="24"/>
          <w:szCs w:val="24"/>
        </w:rPr>
      </w:pPr>
      <w:r>
        <w:rPr>
          <w:rFonts w:hint="eastAsia" w:ascii="仿宋_GB2312" w:eastAsia="仿宋_GB2312"/>
          <w:sz w:val="24"/>
          <w:szCs w:val="24"/>
        </w:rPr>
        <w:br w:type="page"/>
      </w:r>
      <w:bookmarkStart w:id="0" w:name="_Hlt67893495"/>
      <w:bookmarkEnd w:id="0"/>
    </w:p>
    <w:p>
      <w:pPr>
        <w:rPr>
          <w:rFonts w:ascii="仿宋_GB2312" w:eastAsia="仿宋_GB2312"/>
          <w:sz w:val="24"/>
          <w:szCs w:val="24"/>
        </w:rPr>
      </w:pPr>
    </w:p>
    <w:p>
      <w:pPr>
        <w:ind w:firstLine="562"/>
        <w:jc w:val="center"/>
        <w:rPr>
          <w:rFonts w:ascii="仿宋_GB2312" w:hAnsi="宋体" w:eastAsia="仿宋_GB2312"/>
          <w:b/>
          <w:sz w:val="28"/>
          <w:szCs w:val="28"/>
        </w:rPr>
      </w:pPr>
      <w:r>
        <w:rPr>
          <w:rFonts w:hint="eastAsia" w:ascii="仿宋_GB2312" w:hAnsi="宋体" w:eastAsia="仿宋_GB2312"/>
          <w:b/>
          <w:sz w:val="28"/>
          <w:szCs w:val="28"/>
        </w:rPr>
        <w:t>目  录</w:t>
      </w:r>
    </w:p>
    <w:p>
      <w:pPr>
        <w:ind w:firstLine="560"/>
        <w:rPr>
          <w:rFonts w:ascii="仿宋_GB2312" w:eastAsia="仿宋_GB2312"/>
          <w:sz w:val="28"/>
          <w:szCs w:val="28"/>
        </w:rPr>
      </w:pPr>
    </w:p>
    <w:p>
      <w:pPr>
        <w:spacing w:line="360" w:lineRule="auto"/>
        <w:ind w:firstLine="560"/>
        <w:rPr>
          <w:rFonts w:ascii="仿宋_GB2312" w:eastAsia="仿宋_GB2312"/>
          <w:sz w:val="28"/>
          <w:szCs w:val="28"/>
        </w:rPr>
      </w:pP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第一部分      招标公告</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第二部分      投标人须知</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第三部分      采购需求</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第四部分      评标办法</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第五部分      拟签订的合同文本</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第六部分      应提交的有关格式范例</w:t>
      </w:r>
    </w:p>
    <w:p>
      <w:pPr>
        <w:rPr>
          <w:rFonts w:ascii="仿宋_GB2312" w:hAnsi="黑体" w:eastAsia="仿宋_GB2312"/>
          <w:sz w:val="24"/>
          <w:szCs w:val="24"/>
        </w:rPr>
      </w:pPr>
      <w:bookmarkStart w:id="1" w:name="_Hlt91233176"/>
      <w:bookmarkEnd w:id="1"/>
      <w:bookmarkStart w:id="2" w:name="_Toc91899869"/>
    </w:p>
    <w:p>
      <w:pPr>
        <w:rPr>
          <w:rFonts w:ascii="仿宋_GB2312" w:hAnsi="黑体"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ind w:firstLine="3360" w:firstLineChars="1400"/>
        <w:outlineLvl w:val="0"/>
        <w:rPr>
          <w:rFonts w:ascii="仿宋_GB2312" w:hAnsi="黑体" w:eastAsia="仿宋_GB2312"/>
          <w:b/>
          <w:sz w:val="28"/>
          <w:szCs w:val="28"/>
        </w:rPr>
      </w:pPr>
      <w:bookmarkStart w:id="3" w:name="第一部分"/>
      <w:r>
        <w:rPr>
          <w:rFonts w:hint="eastAsia" w:ascii="仿宋_GB2312" w:eastAsia="仿宋_GB2312"/>
          <w:sz w:val="24"/>
          <w:szCs w:val="24"/>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sz w:val="32"/>
          <w:szCs w:val="32"/>
        </w:rPr>
        <w:t>第一部分招标公告</w:t>
      </w:r>
    </w:p>
    <w:p>
      <w:pPr>
        <w:spacing w:line="420" w:lineRule="exact"/>
        <w:ind w:firstLine="482" w:firstLineChars="200"/>
        <w:contextualSpacing/>
        <w:rPr>
          <w:rFonts w:ascii="仿宋_GB2312" w:eastAsia="仿宋_GB2312"/>
          <w:b/>
          <w:sz w:val="24"/>
          <w:szCs w:val="24"/>
        </w:rPr>
      </w:pPr>
    </w:p>
    <w:p>
      <w:pPr>
        <w:spacing w:line="420" w:lineRule="exact"/>
        <w:ind w:firstLine="480" w:firstLineChars="200"/>
        <w:contextualSpacing/>
        <w:rPr>
          <w:rFonts w:ascii="仿宋_GB2312" w:eastAsia="仿宋_GB2312"/>
          <w:sz w:val="24"/>
          <w:szCs w:val="24"/>
        </w:rPr>
      </w:pPr>
      <w:r>
        <w:rPr>
          <w:rFonts w:hint="eastAsia" w:ascii="仿宋_GB2312" w:eastAsia="仿宋_GB2312"/>
          <w:bCs/>
          <w:sz w:val="24"/>
          <w:szCs w:val="24"/>
        </w:rPr>
        <w:t>浙江省舟山市自然灾害应急能力提升工程预警指挥项目提升综合风险监测预警和指挥支撑保障能力分项采购项目</w:t>
      </w:r>
      <w:r>
        <w:rPr>
          <w:rFonts w:hint="eastAsia" w:ascii="仿宋_GB2312" w:eastAsia="仿宋_GB2312"/>
          <w:sz w:val="24"/>
          <w:szCs w:val="24"/>
        </w:rPr>
        <w:t>的潜在投标人应在政采云平</w:t>
      </w:r>
      <w:r>
        <w:rPr>
          <w:rFonts w:hint="eastAsia" w:ascii="仿宋_GB2312" w:eastAsia="仿宋_GB2312"/>
          <w:color w:val="000000" w:themeColor="text1"/>
          <w:sz w:val="24"/>
          <w:szCs w:val="24"/>
        </w:rPr>
        <w:t>台（</w:t>
      </w:r>
      <w:r>
        <w:fldChar w:fldCharType="begin"/>
      </w:r>
      <w:r>
        <w:instrText xml:space="preserve"> HYPERLINK "https://www.zcygov.cn/）获取（下载）招标文件，并于2024年5月10日9点15分00秒" </w:instrText>
      </w:r>
      <w:r>
        <w:fldChar w:fldCharType="separate"/>
      </w:r>
      <w:r>
        <w:rPr>
          <w:rStyle w:val="28"/>
          <w:rFonts w:hint="eastAsia" w:ascii="仿宋_GB2312" w:eastAsia="仿宋_GB2312"/>
          <w:color w:val="000000" w:themeColor="text1"/>
          <w:sz w:val="24"/>
          <w:szCs w:val="24"/>
        </w:rPr>
        <w:t>https://www.zcygov.cn/）获取（下载）招标文件，并于2024年</w:t>
      </w:r>
      <w:r>
        <w:rPr>
          <w:rStyle w:val="28"/>
          <w:rFonts w:hint="eastAsia" w:ascii="仿宋_GB2312" w:eastAsia="仿宋_GB2312"/>
          <w:color w:val="000000" w:themeColor="text1"/>
          <w:sz w:val="24"/>
          <w:szCs w:val="24"/>
          <w:lang w:val="en-US" w:eastAsia="zh-CN"/>
        </w:rPr>
        <w:t>6</w:t>
      </w:r>
      <w:r>
        <w:rPr>
          <w:rStyle w:val="28"/>
          <w:rFonts w:hint="eastAsia" w:ascii="仿宋_GB2312" w:eastAsia="仿宋_GB2312"/>
          <w:color w:val="000000" w:themeColor="text1"/>
          <w:sz w:val="24"/>
          <w:szCs w:val="24"/>
        </w:rPr>
        <w:t>月</w:t>
      </w:r>
      <w:r>
        <w:rPr>
          <w:rStyle w:val="28"/>
          <w:rFonts w:hint="eastAsia" w:ascii="仿宋_GB2312" w:eastAsia="仿宋_GB2312"/>
          <w:color w:val="000000" w:themeColor="text1"/>
          <w:sz w:val="24"/>
          <w:szCs w:val="24"/>
          <w:lang w:val="en-US" w:eastAsia="zh-CN"/>
        </w:rPr>
        <w:t>5</w:t>
      </w:r>
      <w:r>
        <w:rPr>
          <w:rStyle w:val="28"/>
          <w:rFonts w:hint="eastAsia" w:ascii="仿宋_GB2312" w:eastAsia="仿宋_GB2312"/>
          <w:color w:val="000000" w:themeColor="text1"/>
          <w:sz w:val="24"/>
          <w:szCs w:val="24"/>
        </w:rPr>
        <w:t>日9点1</w:t>
      </w:r>
      <w:r>
        <w:rPr>
          <w:rStyle w:val="28"/>
          <w:rFonts w:hint="eastAsia" w:ascii="仿宋_GB2312" w:eastAsia="仿宋_GB2312"/>
          <w:color w:val="000000" w:themeColor="text1"/>
          <w:sz w:val="24"/>
          <w:szCs w:val="24"/>
          <w:lang w:val="en-US" w:eastAsia="zh-CN"/>
        </w:rPr>
        <w:t>0</w:t>
      </w:r>
      <w:r>
        <w:rPr>
          <w:rStyle w:val="28"/>
          <w:rFonts w:hint="eastAsia" w:ascii="仿宋_GB2312" w:eastAsia="仿宋_GB2312"/>
          <w:color w:val="000000" w:themeColor="text1"/>
          <w:sz w:val="24"/>
          <w:szCs w:val="24"/>
        </w:rPr>
        <w:t>分00秒</w:t>
      </w:r>
      <w:r>
        <w:rPr>
          <w:rStyle w:val="28"/>
          <w:rFonts w:hint="eastAsia" w:ascii="仿宋_GB2312" w:eastAsia="仿宋_GB2312"/>
          <w:color w:val="000000" w:themeColor="text1"/>
          <w:sz w:val="24"/>
          <w:szCs w:val="24"/>
        </w:rPr>
        <w:fldChar w:fldCharType="end"/>
      </w:r>
      <w:r>
        <w:rPr>
          <w:rFonts w:hint="eastAsia" w:ascii="仿宋_GB2312" w:eastAsia="仿宋_GB2312"/>
          <w:color w:val="000000" w:themeColor="text1"/>
          <w:sz w:val="24"/>
          <w:szCs w:val="24"/>
        </w:rPr>
        <w:t>（</w:t>
      </w:r>
      <w:r>
        <w:rPr>
          <w:rFonts w:hint="eastAsia" w:ascii="仿宋_GB2312" w:eastAsia="仿宋_GB2312"/>
          <w:sz w:val="24"/>
          <w:szCs w:val="24"/>
        </w:rPr>
        <w:t>北京时间）前递交（上传）投标文件。</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一、项目基本情况                                            </w:t>
      </w:r>
    </w:p>
    <w:p>
      <w:pPr>
        <w:spacing w:line="420" w:lineRule="exact"/>
        <w:ind w:firstLine="480" w:firstLineChars="200"/>
        <w:contextualSpacing/>
        <w:rPr>
          <w:rFonts w:ascii="仿宋_GB2312" w:eastAsia="仿宋_GB2312"/>
          <w:color w:val="000000" w:themeColor="text1"/>
          <w:sz w:val="24"/>
          <w:szCs w:val="24"/>
        </w:rPr>
      </w:pPr>
      <w:r>
        <w:rPr>
          <w:rFonts w:hint="eastAsia" w:ascii="仿宋_GB2312" w:eastAsia="仿宋_GB2312"/>
          <w:sz w:val="24"/>
          <w:szCs w:val="24"/>
        </w:rPr>
        <w:t>项目编号：</w:t>
      </w:r>
      <w:r>
        <w:rPr>
          <w:rFonts w:hint="eastAsia" w:ascii="仿宋_GB2312" w:eastAsia="仿宋_GB2312"/>
          <w:color w:val="000000" w:themeColor="text1"/>
          <w:sz w:val="24"/>
          <w:szCs w:val="24"/>
        </w:rPr>
        <w:t>ZSZFCG2024-ZB-013</w:t>
      </w:r>
    </w:p>
    <w:p>
      <w:pPr>
        <w:spacing w:line="420" w:lineRule="exact"/>
        <w:ind w:firstLine="480" w:firstLineChars="200"/>
        <w:contextualSpacing/>
        <w:rPr>
          <w:rFonts w:ascii="仿宋_GB2312" w:eastAsia="仿宋_GB2312"/>
          <w:bCs/>
          <w:color w:val="000000" w:themeColor="text1"/>
          <w:sz w:val="24"/>
          <w:szCs w:val="24"/>
        </w:rPr>
      </w:pPr>
      <w:r>
        <w:rPr>
          <w:rFonts w:hint="eastAsia" w:ascii="仿宋_GB2312" w:eastAsia="仿宋_GB2312"/>
          <w:bCs/>
          <w:color w:val="000000" w:themeColor="text1"/>
          <w:sz w:val="24"/>
          <w:szCs w:val="24"/>
        </w:rPr>
        <w:t>项目名称：浙江省舟山市自然灾害应急能力提升工程预警指挥项目提升综合风险监测预警和指挥支撑保障能力分项采购项目</w:t>
      </w:r>
      <w:r>
        <w:rPr>
          <w:rFonts w:hint="eastAsia" w:ascii="仿宋_GB2312" w:eastAsia="仿宋_GB2312"/>
          <w:bCs/>
          <w:color w:val="000000" w:themeColor="text1"/>
          <w:sz w:val="24"/>
          <w:szCs w:val="24"/>
        </w:rPr>
        <w:tab/>
      </w:r>
    </w:p>
    <w:p>
      <w:pPr>
        <w:spacing w:line="420" w:lineRule="exact"/>
        <w:ind w:firstLine="480" w:firstLineChars="200"/>
        <w:contextualSpacing/>
        <w:rPr>
          <w:rFonts w:ascii="仿宋_GB2312" w:eastAsia="仿宋_GB2312"/>
          <w:bCs/>
          <w:color w:val="000000" w:themeColor="text1"/>
          <w:sz w:val="24"/>
          <w:szCs w:val="24"/>
        </w:rPr>
      </w:pPr>
      <w:r>
        <w:rPr>
          <w:rFonts w:hint="eastAsia" w:ascii="仿宋_GB2312" w:eastAsia="仿宋_GB2312"/>
          <w:bCs/>
          <w:color w:val="000000" w:themeColor="text1"/>
          <w:sz w:val="24"/>
          <w:szCs w:val="24"/>
        </w:rPr>
        <w:t>预算金额（元）：标项一：品目一（市本级）：12086000元、品目二（普朱管委会）:81000元、品目三（普陀区）：339000元、品目四（岱山县）：114000元、品目五（嵊泗县）：72000元；</w:t>
      </w:r>
    </w:p>
    <w:p>
      <w:pPr>
        <w:pStyle w:val="11"/>
        <w:rPr>
          <w:rFonts w:ascii="仿宋_GB2312" w:eastAsia="仿宋_GB2312"/>
          <w:bCs/>
          <w:color w:val="000000" w:themeColor="text1"/>
          <w:szCs w:val="24"/>
        </w:rPr>
      </w:pPr>
      <w:r>
        <w:rPr>
          <w:rFonts w:hint="eastAsia" w:ascii="仿宋_GB2312" w:eastAsia="仿宋_GB2312"/>
          <w:bCs/>
          <w:color w:val="000000" w:themeColor="text1"/>
          <w:szCs w:val="24"/>
        </w:rPr>
        <w:t>标项二：品目一（市本级）：970000元、品目二（普朱管委会）:5000元、品目三（普陀区）：602000元、品目四（岱山县）：105000元、品目五（嵊泗县）：375000元；品目六（普陀山镇）:120000元、品目七（定海区）：5000元；</w:t>
      </w:r>
    </w:p>
    <w:p>
      <w:pPr>
        <w:spacing w:line="420" w:lineRule="exact"/>
        <w:ind w:firstLine="480" w:firstLineChars="200"/>
        <w:contextualSpacing/>
        <w:rPr>
          <w:rFonts w:ascii="仿宋_GB2312" w:eastAsia="仿宋_GB2312"/>
          <w:bCs/>
          <w:sz w:val="24"/>
          <w:szCs w:val="24"/>
        </w:rPr>
      </w:pPr>
      <w:r>
        <w:rPr>
          <w:rFonts w:hint="eastAsia" w:ascii="仿宋_GB2312" w:eastAsia="仿宋_GB2312"/>
          <w:bCs/>
          <w:color w:val="000000" w:themeColor="text1"/>
          <w:sz w:val="24"/>
          <w:szCs w:val="24"/>
        </w:rPr>
        <w:t>最高限价（元）：标项一：品目一：12086000元、品目二:81000元、品目三：</w:t>
      </w:r>
      <w:r>
        <w:rPr>
          <w:rFonts w:hint="eastAsia" w:ascii="仿宋_GB2312" w:eastAsia="仿宋_GB2312"/>
          <w:bCs/>
          <w:sz w:val="24"/>
          <w:szCs w:val="24"/>
        </w:rPr>
        <w:t>339000元、品目四：114000元、品目五：72000元；</w:t>
      </w:r>
    </w:p>
    <w:p>
      <w:pPr>
        <w:pStyle w:val="11"/>
        <w:rPr>
          <w:rFonts w:ascii="仿宋_GB2312" w:eastAsia="仿宋_GB2312"/>
          <w:bCs/>
          <w:color w:val="000000" w:themeColor="text1"/>
          <w:szCs w:val="24"/>
        </w:rPr>
      </w:pPr>
      <w:r>
        <w:rPr>
          <w:rFonts w:hint="eastAsia" w:ascii="仿宋_GB2312" w:eastAsia="仿宋_GB2312"/>
          <w:bCs/>
          <w:color w:val="000000" w:themeColor="text1"/>
          <w:szCs w:val="24"/>
        </w:rPr>
        <w:t>标项二：品目一（市本级）：970000元、品目二（普朱管委会）:5000元、品目三（普陀区）：602000元、品目四（岱山县）：105000元、品目五（嵊泗县）：375000元；品目六（普陀山镇）:120000元、品目七（定海区）：5000元；</w:t>
      </w:r>
    </w:p>
    <w:p>
      <w:pPr>
        <w:spacing w:line="420" w:lineRule="exact"/>
        <w:ind w:firstLine="480" w:firstLineChars="200"/>
        <w:contextualSpacing/>
        <w:rPr>
          <w:rFonts w:ascii="仿宋_GB2312" w:eastAsia="仿宋_GB2312"/>
          <w:color w:val="000000" w:themeColor="text1"/>
          <w:sz w:val="24"/>
          <w:szCs w:val="24"/>
        </w:rPr>
      </w:pPr>
      <w:r>
        <w:rPr>
          <w:rFonts w:hint="eastAsia" w:ascii="仿宋_GB2312" w:eastAsia="仿宋_GB2312"/>
          <w:color w:val="000000" w:themeColor="text1"/>
          <w:sz w:val="24"/>
          <w:szCs w:val="24"/>
        </w:rPr>
        <w:t>采购需求：详见招标文件第三部分采购需求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合同履约期限：详见采购文件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本项目接受联合体投标：</w:t>
      </w:r>
      <w:r>
        <w:rPr>
          <w:rFonts w:hint="eastAsia" w:ascii="仿宋_GB2312" w:eastAsia="仿宋_GB2312"/>
          <w:sz w:val="24"/>
          <w:szCs w:val="24"/>
        </w:rPr>
        <w:sym w:font="Wingdings" w:char="00A8"/>
      </w:r>
      <w:r>
        <w:rPr>
          <w:rFonts w:hint="eastAsia" w:ascii="仿宋_GB2312" w:eastAsia="仿宋_GB2312"/>
          <w:sz w:val="24"/>
          <w:szCs w:val="24"/>
        </w:rPr>
        <w:t>否，</w:t>
      </w:r>
      <w:sdt>
        <w:sdtPr>
          <w:rPr>
            <w:rFonts w:hint="eastAsia" w:ascii="仿宋_GB2312" w:eastAsia="仿宋_GB2312"/>
            <w:sz w:val="24"/>
            <w:szCs w:val="24"/>
          </w:rPr>
          <w:id w:val="2035453831"/>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sdt>
        <w:sdtPr>
          <w:rPr>
            <w:rFonts w:hint="eastAsia" w:ascii="仿宋_GB2312" w:eastAsia="仿宋_GB2312"/>
            <w:sz w:val="24"/>
            <w:szCs w:val="24"/>
          </w:rPr>
          <w:id w:val="2"/>
        </w:sdtPr>
        <w:sdtEndPr>
          <w:rPr>
            <w:rFonts w:hint="eastAsia" w:ascii="仿宋_GB2312" w:eastAsia="仿宋_GB2312"/>
            <w:sz w:val="24"/>
            <w:szCs w:val="24"/>
          </w:rPr>
        </w:sdtEndPr>
        <w:sdtContent/>
      </w:sdt>
      <w:r>
        <w:rPr>
          <w:rFonts w:hint="eastAsia" w:ascii="仿宋_GB2312" w:eastAsia="仿宋_GB2312"/>
          <w:sz w:val="24"/>
          <w:szCs w:val="24"/>
        </w:rPr>
        <w:t>是。</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二、申请人的资格要求：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 满足《中华人民共和国政府采购法》第二十二条规定；未被“信用中国”（www.creditchina.gov.cn)、中国政府采购网（www.ccgp.gov.cn）列入失信被执行人、重大税收违法失信主体、政府采购严重违法失信行为记录名单；</w:t>
      </w:r>
    </w:p>
    <w:p>
      <w:pPr>
        <w:spacing w:line="420" w:lineRule="exact"/>
        <w:ind w:firstLine="480"/>
        <w:contextualSpacing/>
        <w:rPr>
          <w:rFonts w:ascii="仿宋_GB2312" w:eastAsia="仿宋_GB2312"/>
          <w:sz w:val="24"/>
          <w:szCs w:val="24"/>
        </w:rPr>
      </w:pPr>
      <w:r>
        <w:rPr>
          <w:rFonts w:hint="eastAsia" w:ascii="仿宋_GB2312" w:eastAsia="仿宋_GB2312"/>
          <w:sz w:val="24"/>
          <w:szCs w:val="24"/>
        </w:rPr>
        <w:t>2.落实政府采购政策需满足的资格要求：</w:t>
      </w:r>
    </w:p>
    <w:p>
      <w:pPr>
        <w:spacing w:line="42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1902925274"/>
        </w:sdtPr>
        <w:sdtEndPr>
          <w:rPr>
            <w:rFonts w:hint="eastAsia" w:ascii="仿宋_GB2312" w:eastAsia="仿宋_GB2312"/>
            <w:sz w:val="24"/>
            <w:szCs w:val="24"/>
          </w:rPr>
        </w:sdtEndPr>
        <w:sdtContent>
          <w:sdt>
            <w:sdtPr>
              <w:rPr>
                <w:rFonts w:hint="eastAsia" w:ascii="仿宋_GB2312" w:eastAsia="仿宋_GB2312"/>
                <w:sz w:val="24"/>
                <w:szCs w:val="24"/>
              </w:rPr>
              <w:id w:val="156501047"/>
            </w:sdtPr>
            <w:sdtEndPr>
              <w:rPr>
                <w:rFonts w:hint="eastAsia" w:ascii="仿宋_GB2312" w:eastAsia="仿宋_GB2312"/>
                <w:b/>
                <w:sz w:val="24"/>
                <w:szCs w:val="24"/>
              </w:rPr>
            </w:sdtEndPr>
            <w:sdtContent>
              <w:sdt>
                <w:sdtPr>
                  <w:rPr>
                    <w:rFonts w:hint="eastAsia" w:ascii="仿宋_GB2312" w:eastAsia="仿宋_GB2312"/>
                    <w:sz w:val="24"/>
                    <w:szCs w:val="24"/>
                  </w:rPr>
                  <w:id w:val="3267788"/>
                </w:sdtPr>
                <w:sdtEndPr>
                  <w:rPr>
                    <w:rFonts w:hint="eastAsia" w:ascii="仿宋_GB2312" w:eastAsia="仿宋_GB2312"/>
                    <w:sz w:val="24"/>
                    <w:szCs w:val="24"/>
                  </w:rPr>
                </w:sdtEndPr>
                <w:sdtContent>
                  <w:r>
                    <w:rPr>
                      <w:rFonts w:hint="eastAsia" w:ascii="仿宋_GB2312" w:eastAsia="仿宋_GB2312"/>
                      <w:b/>
                      <w:sz w:val="24"/>
                      <w:szCs w:val="24"/>
                    </w:rPr>
                    <w:sym w:font="Wingdings" w:char="00FE"/>
                  </w:r>
                </w:sdtContent>
              </w:sdt>
            </w:sdtContent>
          </w:sdt>
        </w:sdtContent>
      </w:sdt>
      <w:r>
        <w:rPr>
          <w:rFonts w:hint="eastAsia" w:ascii="仿宋_GB2312" w:eastAsia="仿宋_GB2312"/>
          <w:sz w:val="24"/>
          <w:szCs w:val="24"/>
        </w:rPr>
        <w:t>无</w:t>
      </w:r>
    </w:p>
    <w:p>
      <w:pPr>
        <w:spacing w:line="42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269264797"/>
        </w:sdtPr>
        <w:sdtEndPr>
          <w:rPr>
            <w:rFonts w:hint="eastAsia" w:ascii="仿宋_GB2312" w:eastAsia="仿宋_GB2312"/>
            <w:sz w:val="24"/>
            <w:szCs w:val="24"/>
          </w:rPr>
        </w:sdtEndPr>
        <w:sdtContent>
          <w:sdt>
            <w:sdtPr>
              <w:rPr>
                <w:rFonts w:hint="eastAsia" w:ascii="仿宋_GB2312" w:eastAsia="仿宋_GB2312"/>
                <w:sz w:val="24"/>
                <w:szCs w:val="24"/>
              </w:rPr>
              <w:id w:val="1648123872"/>
            </w:sdtPr>
            <w:sdtEndPr>
              <w:rPr>
                <w:rFonts w:hint="eastAsia" w:ascii="仿宋_GB2312" w:eastAsia="仿宋_GB2312"/>
                <w:sz w:val="24"/>
                <w:szCs w:val="24"/>
              </w:rPr>
            </w:sdtEndPr>
            <w:sdtContent>
              <w:sdt>
                <w:sdtPr>
                  <w:rPr>
                    <w:rFonts w:hint="eastAsia" w:ascii="仿宋_GB2312" w:eastAsia="仿宋_GB2312"/>
                    <w:sz w:val="24"/>
                    <w:szCs w:val="24"/>
                  </w:rPr>
                  <w:id w:val="1648123875"/>
                </w:sdtPr>
                <w:sdtEndPr>
                  <w:rPr>
                    <w:rFonts w:hint="eastAsia" w:ascii="仿宋_GB2312" w:eastAsia="仿宋_GB2312"/>
                    <w:sz w:val="24"/>
                    <w:szCs w:val="24"/>
                  </w:rPr>
                </w:sdtEndPr>
                <w:sdtContent>
                  <w:sdt>
                    <w:sdtPr>
                      <w:rPr>
                        <w:rFonts w:hint="eastAsia" w:ascii="仿宋_GB2312" w:eastAsia="仿宋_GB2312"/>
                        <w:sz w:val="24"/>
                        <w:szCs w:val="24"/>
                      </w:rPr>
                      <w:id w:val="613081803"/>
                    </w:sdtPr>
                    <w:sdtEndPr>
                      <w:rPr>
                        <w:rFonts w:hint="eastAsia" w:ascii="仿宋_GB2312" w:eastAsia="仿宋_GB2312"/>
                        <w:b/>
                        <w:sz w:val="24"/>
                        <w:szCs w:val="24"/>
                      </w:rPr>
                    </w:sdtEndPr>
                    <w:sdtContent>
                      <w:sdt>
                        <w:sdtPr>
                          <w:rPr>
                            <w:rFonts w:hint="eastAsia" w:ascii="仿宋_GB2312" w:eastAsia="仿宋_GB2312"/>
                            <w:sz w:val="24"/>
                            <w:szCs w:val="24"/>
                          </w:rPr>
                          <w:id w:val="156501049"/>
                        </w:sdtPr>
                        <w:sdtEndPr>
                          <w:rPr>
                            <w:rFonts w:hint="eastAsia" w:ascii="仿宋_GB2312" w:eastAsia="仿宋_GB2312"/>
                            <w:sz w:val="24"/>
                            <w:szCs w:val="24"/>
                          </w:rPr>
                        </w:sdtEndPr>
                        <w:sdtContent>
                          <w:sdt>
                            <w:sdtPr>
                              <w:rPr>
                                <w:rFonts w:hint="eastAsia" w:ascii="仿宋_GB2312" w:eastAsia="仿宋_GB2312"/>
                                <w:sz w:val="24"/>
                                <w:szCs w:val="24"/>
                              </w:rPr>
                              <w:id w:val="3267786"/>
                            </w:sdtPr>
                            <w:sdtEndPr>
                              <w:rPr>
                                <w:rFonts w:hint="eastAsia" w:ascii="仿宋_GB2312" w:eastAsia="仿宋_GB2312"/>
                                <w:b/>
                                <w:sz w:val="24"/>
                                <w:szCs w:val="24"/>
                              </w:rPr>
                            </w:sdtEndPr>
                            <w:sdtContent>
                              <w:r>
                                <w:rPr>
                                  <w:rFonts w:hint="eastAsia" w:ascii="仿宋_GB2312" w:eastAsia="仿宋_GB2312"/>
                                  <w:b/>
                                  <w:sz w:val="24"/>
                                  <w:szCs w:val="24"/>
                                </w:rPr>
                                <w:sym w:font="Wingdings" w:char="00A8"/>
                              </w:r>
                            </w:sdtContent>
                          </w:sdt>
                        </w:sdtContent>
                      </w:sdt>
                    </w:sdtContent>
                  </w:sdt>
                </w:sdtContent>
              </w:sdt>
            </w:sdtContent>
          </w:sdt>
        </w:sdtContent>
      </w:sdt>
      <w:r>
        <w:rPr>
          <w:rFonts w:hint="eastAsia" w:ascii="仿宋_GB2312" w:eastAsia="仿宋_GB2312"/>
          <w:sz w:val="24"/>
          <w:szCs w:val="24"/>
        </w:rPr>
        <w:t>专门面向中小企业</w:t>
      </w:r>
    </w:p>
    <w:p>
      <w:pPr>
        <w:spacing w:line="420" w:lineRule="exact"/>
        <w:ind w:firstLine="960" w:firstLineChars="400"/>
        <w:contextualSpacing/>
        <w:rPr>
          <w:rFonts w:ascii="仿宋_GB2312" w:eastAsia="仿宋_GB2312"/>
          <w:sz w:val="24"/>
          <w:szCs w:val="24"/>
        </w:rPr>
      </w:pPr>
      <w:sdt>
        <w:sdtPr>
          <w:rPr>
            <w:rFonts w:hint="eastAsia" w:ascii="仿宋_GB2312" w:eastAsia="仿宋_GB2312"/>
            <w:sz w:val="24"/>
            <w:szCs w:val="24"/>
          </w:rPr>
          <w:id w:val="12"/>
        </w:sdtPr>
        <w:sdtEndPr>
          <w:rPr>
            <w:rFonts w:hint="eastAsia" w:ascii="仿宋_GB2312" w:eastAsia="仿宋_GB2312"/>
            <w:sz w:val="24"/>
            <w:szCs w:val="24"/>
          </w:rPr>
        </w:sdtEndPr>
        <w:sdtContent>
          <w:sdt>
            <w:sdtPr>
              <w:rPr>
                <w:rFonts w:hint="eastAsia" w:ascii="仿宋_GB2312" w:eastAsia="仿宋_GB2312"/>
                <w:sz w:val="24"/>
                <w:szCs w:val="24"/>
              </w:rPr>
              <w:id w:val="269264799"/>
            </w:sdtPr>
            <w:sdtEndPr>
              <w:rPr>
                <w:rFonts w:hint="eastAsia" w:ascii="仿宋_GB2312" w:eastAsia="仿宋_GB2312"/>
                <w:sz w:val="24"/>
                <w:szCs w:val="24"/>
              </w:rPr>
            </w:sdtEndPr>
            <w:sdtContent>
              <w:r>
                <w:rPr>
                  <w:rFonts w:hint="eastAsia" w:ascii="仿宋_GB2312" w:eastAsia="仿宋_GB2312"/>
                  <w:b/>
                  <w:sz w:val="24"/>
                  <w:szCs w:val="24"/>
                </w:rPr>
                <w:sym w:font="Wingdings" w:char="00A8"/>
              </w:r>
              <w:r>
                <w:rPr>
                  <w:rFonts w:hint="eastAsia" w:ascii="仿宋_GB2312" w:eastAsia="仿宋_GB2312"/>
                  <w:sz w:val="24"/>
                  <w:szCs w:val="24"/>
                </w:rPr>
                <w:t>货物全部由符合政策要求的中小企业制造，提供中小企业声明函；</w:t>
              </w:r>
            </w:sdtContent>
          </w:sdt>
        </w:sdtContent>
      </w:sdt>
    </w:p>
    <w:p>
      <w:pPr>
        <w:spacing w:line="420" w:lineRule="exact"/>
        <w:ind w:firstLine="960" w:firstLineChars="400"/>
        <w:contextualSpacing/>
        <w:rPr>
          <w:rFonts w:ascii="仿宋_GB2312" w:eastAsia="仿宋_GB2312"/>
          <w:sz w:val="24"/>
          <w:szCs w:val="24"/>
        </w:rPr>
      </w:pPr>
      <w:r>
        <w:rPr>
          <w:rFonts w:hint="eastAsia" w:ascii="仿宋_GB2312" w:hAnsi="MS Mincho" w:eastAsia="MS Mincho" w:cs="MS Mincho"/>
          <w:sz w:val="24"/>
          <w:szCs w:val="24"/>
        </w:rPr>
        <w:t>☐</w:t>
      </w:r>
      <w:r>
        <w:rPr>
          <w:rFonts w:hint="eastAsia" w:ascii="仿宋_GB2312" w:eastAsia="仿宋_GB2312"/>
          <w:sz w:val="24"/>
          <w:szCs w:val="24"/>
        </w:rPr>
        <w:t>货物全部由符合政策要求的小微企业制造，提供中小企业声明函；</w:t>
      </w:r>
    </w:p>
    <w:p>
      <w:pPr>
        <w:spacing w:line="420" w:lineRule="exact"/>
        <w:ind w:firstLine="960" w:firstLineChars="400"/>
        <w:contextualSpacing/>
        <w:rPr>
          <w:rFonts w:ascii="仿宋_GB2312" w:eastAsia="仿宋_GB2312"/>
          <w:sz w:val="24"/>
          <w:szCs w:val="24"/>
        </w:rPr>
      </w:pPr>
      <w:sdt>
        <w:sdtPr>
          <w:rPr>
            <w:rFonts w:hint="eastAsia" w:ascii="仿宋_GB2312" w:eastAsia="仿宋_GB2312"/>
            <w:sz w:val="24"/>
            <w:szCs w:val="24"/>
          </w:rPr>
          <w:id w:val="14"/>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sdt>
        <w:sdtPr>
          <w:rPr>
            <w:rFonts w:hint="eastAsia" w:ascii="仿宋_GB2312" w:eastAsia="仿宋_GB2312"/>
            <w:sz w:val="24"/>
            <w:szCs w:val="24"/>
          </w:rPr>
          <w:id w:val="15"/>
        </w:sdtPr>
        <w:sdtEndPr>
          <w:rPr>
            <w:rFonts w:hint="eastAsia" w:ascii="仿宋_GB2312" w:eastAsia="仿宋_GB2312"/>
            <w:b/>
            <w:sz w:val="24"/>
            <w:szCs w:val="24"/>
          </w:rPr>
        </w:sdtEndPr>
        <w:sdtContent>
          <w:sdt>
            <w:sdtPr>
              <w:rPr>
                <w:rFonts w:hint="eastAsia" w:ascii="仿宋_GB2312" w:eastAsia="仿宋_GB2312"/>
                <w:sz w:val="24"/>
                <w:szCs w:val="24"/>
              </w:rPr>
              <w:id w:val="613081805"/>
            </w:sdtPr>
            <w:sdtEndPr>
              <w:rPr>
                <w:rFonts w:hint="eastAsia" w:ascii="仿宋_GB2312" w:eastAsia="仿宋_GB2312"/>
                <w:b/>
                <w:sz w:val="24"/>
                <w:szCs w:val="24"/>
              </w:rPr>
            </w:sdtEndPr>
            <w:sdtContent>
              <w:sdt>
                <w:sdtPr>
                  <w:rPr>
                    <w:rFonts w:hint="eastAsia" w:ascii="仿宋_GB2312" w:eastAsia="仿宋_GB2312"/>
                    <w:sz w:val="24"/>
                    <w:szCs w:val="24"/>
                  </w:rPr>
                  <w:id w:val="156501051"/>
                </w:sdtPr>
                <w:sdtEndPr>
                  <w:rPr>
                    <w:rFonts w:hint="eastAsia" w:ascii="仿宋_GB2312" w:eastAsia="仿宋_GB2312"/>
                    <w:sz w:val="24"/>
                    <w:szCs w:val="24"/>
                  </w:rPr>
                </w:sdtEndPr>
                <w:sdtContent>
                  <w:sdt>
                    <w:sdtPr>
                      <w:rPr>
                        <w:rFonts w:hint="eastAsia" w:ascii="仿宋_GB2312" w:eastAsia="仿宋_GB2312"/>
                        <w:sz w:val="24"/>
                        <w:szCs w:val="24"/>
                      </w:rPr>
                      <w:id w:val="3267792"/>
                      <w:showingPlcHdr/>
                    </w:sdtPr>
                    <w:sdtEndPr>
                      <w:rPr>
                        <w:rFonts w:hint="eastAsia" w:ascii="仿宋_GB2312" w:eastAsia="仿宋_GB2312"/>
                        <w:b/>
                        <w:sz w:val="24"/>
                        <w:szCs w:val="24"/>
                      </w:rPr>
                    </w:sdtEndPr>
                    <w:sdtContent/>
                  </w:sdt>
                </w:sdtContent>
              </w:sdt>
            </w:sdtContent>
          </w:sdt>
        </w:sdtContent>
      </w:sdt>
      <w:r>
        <w:rPr>
          <w:rFonts w:hint="eastAsia" w:ascii="仿宋_GB2312" w:eastAsia="仿宋_GB2312"/>
          <w:sz w:val="24"/>
          <w:szCs w:val="24"/>
        </w:rPr>
        <w:t>服务全部由符合政策要求的中小企业承接，提供中小企业声明函；</w:t>
      </w:r>
    </w:p>
    <w:p>
      <w:pPr>
        <w:spacing w:line="420" w:lineRule="exact"/>
        <w:ind w:firstLine="960" w:firstLineChars="400"/>
        <w:contextualSpacing/>
        <w:rPr>
          <w:rFonts w:ascii="仿宋_GB2312" w:eastAsia="仿宋_GB2312"/>
          <w:sz w:val="24"/>
          <w:szCs w:val="24"/>
        </w:rPr>
      </w:pPr>
      <w:sdt>
        <w:sdtPr>
          <w:rPr>
            <w:rFonts w:hint="eastAsia" w:ascii="仿宋_GB2312" w:eastAsia="仿宋_GB2312"/>
            <w:sz w:val="24"/>
            <w:szCs w:val="24"/>
          </w:rPr>
          <w:id w:val="19"/>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服务全部由符合政策要求的小微企业承接，提供中小企业声明函；</w:t>
      </w:r>
    </w:p>
    <w:p>
      <w:pPr>
        <w:spacing w:line="42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20"/>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府采购活动，无需提供联合协议；</w:t>
      </w:r>
    </w:p>
    <w:p>
      <w:pPr>
        <w:spacing w:line="42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34630645"/>
        </w:sdtPr>
        <w:sdtEndPr>
          <w:rPr>
            <w:rFonts w:hint="eastAsia" w:ascii="仿宋_GB2312" w:eastAsia="仿宋_GB2312"/>
            <w:sz w:val="24"/>
            <w:szCs w:val="24"/>
          </w:rPr>
        </w:sdtEndPr>
        <w:sdtContent>
          <w:sdt>
            <w:sdtPr>
              <w:rPr>
                <w:rFonts w:hint="eastAsia" w:ascii="仿宋_GB2312" w:eastAsia="仿宋_GB2312"/>
                <w:sz w:val="24"/>
                <w:szCs w:val="24"/>
              </w:rPr>
              <w:id w:val="1648123874"/>
            </w:sdtPr>
            <w:sdtEndPr>
              <w:rPr>
                <w:rFonts w:hint="eastAsia" w:ascii="仿宋_GB2312" w:eastAsia="仿宋_GB2312"/>
                <w:sz w:val="24"/>
                <w:szCs w:val="24"/>
              </w:rPr>
            </w:sdtEndPr>
            <w:sdtContent>
              <w:sdt>
                <w:sdtPr>
                  <w:rPr>
                    <w:rFonts w:hint="eastAsia" w:ascii="仿宋_GB2312" w:eastAsia="仿宋_GB2312"/>
                    <w:sz w:val="24"/>
                    <w:szCs w:val="24"/>
                  </w:rPr>
                  <w:id w:val="23"/>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 xml:space="preserve">要求合同分包，提供分包意向协议和中小企业声明函，分包意向协议中，中小微企业合同份额为合同总金额的   %，如果供应商本身提供所有标的均由中小微企业制造、承建或承接，视同符合了资格条件，无需再向中小微企业分包，无需提供分包意向协议； </w:t>
              </w:r>
            </w:sdtContent>
          </w:sdt>
        </w:sdtContent>
      </w:sdt>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3.本项目的特定资格要求：无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三、获取招标文件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时间：/至2024年</w:t>
      </w:r>
      <w:r>
        <w:rPr>
          <w:rFonts w:hint="eastAsia" w:ascii="仿宋_GB2312" w:eastAsia="仿宋_GB2312"/>
          <w:sz w:val="24"/>
          <w:szCs w:val="24"/>
          <w:lang w:val="en-US" w:eastAsia="zh-CN"/>
        </w:rPr>
        <w:t>6</w:t>
      </w:r>
      <w:r>
        <w:rPr>
          <w:rFonts w:hint="eastAsia" w:ascii="仿宋_GB2312" w:eastAsia="仿宋_GB2312"/>
          <w:sz w:val="24"/>
          <w:szCs w:val="24"/>
        </w:rPr>
        <w:t>月</w:t>
      </w:r>
      <w:r>
        <w:rPr>
          <w:rFonts w:hint="eastAsia" w:ascii="仿宋_GB2312" w:eastAsia="仿宋_GB2312"/>
          <w:sz w:val="24"/>
          <w:szCs w:val="24"/>
          <w:lang w:val="en-US" w:eastAsia="zh-CN"/>
        </w:rPr>
        <w:t>5</w:t>
      </w:r>
      <w:r>
        <w:rPr>
          <w:rFonts w:hint="eastAsia" w:ascii="仿宋_GB2312" w:eastAsia="仿宋_GB2312"/>
          <w:sz w:val="24"/>
          <w:szCs w:val="24"/>
        </w:rPr>
        <w:t>日，每天上午00:00至12:00 ，下午12:00至23:59（北京时间，线上获取法定节假日均可，线下获取文件法定节假日除外的工作时间）</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地点（网址）：政采云平台（https://www.zcygov.cn/）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方式：供应商登录政采云平台https://www.zcygov.cn/在线申请获取采购文件（进入“项目采购”应用，在获取采购文件菜单中选择项目，申请获取采购文件）。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售价（元）：0 </w:t>
      </w:r>
      <w:r>
        <w:rPr>
          <w:rFonts w:hint="eastAsia" w:ascii="仿宋_GB2312" w:eastAsia="仿宋_GB2312"/>
          <w:sz w:val="24"/>
          <w:szCs w:val="24"/>
        </w:rPr>
        <w:tab/>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四、提交投标文件截止时间、开标时间和地点</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提交投标文件截止时间：2024年</w:t>
      </w:r>
      <w:r>
        <w:rPr>
          <w:rFonts w:hint="eastAsia" w:ascii="仿宋_GB2312" w:eastAsia="仿宋_GB2312"/>
          <w:sz w:val="24"/>
          <w:szCs w:val="24"/>
          <w:lang w:val="en-US" w:eastAsia="zh-CN"/>
        </w:rPr>
        <w:t>6</w:t>
      </w:r>
      <w:r>
        <w:rPr>
          <w:rFonts w:hint="eastAsia" w:ascii="仿宋_GB2312" w:eastAsia="仿宋_GB2312"/>
          <w:sz w:val="24"/>
          <w:szCs w:val="24"/>
        </w:rPr>
        <w:t>月</w:t>
      </w:r>
      <w:r>
        <w:rPr>
          <w:rFonts w:hint="eastAsia" w:ascii="仿宋_GB2312" w:eastAsia="仿宋_GB2312"/>
          <w:sz w:val="24"/>
          <w:szCs w:val="24"/>
          <w:lang w:val="en-US" w:eastAsia="zh-CN"/>
        </w:rPr>
        <w:t>5</w:t>
      </w:r>
      <w:r>
        <w:rPr>
          <w:rFonts w:hint="eastAsia" w:ascii="仿宋_GB2312" w:eastAsia="仿宋_GB2312"/>
          <w:sz w:val="24"/>
          <w:szCs w:val="24"/>
        </w:rPr>
        <w:t>日9点1</w:t>
      </w:r>
      <w:r>
        <w:rPr>
          <w:rFonts w:hint="eastAsia" w:ascii="仿宋_GB2312" w:eastAsia="仿宋_GB2312"/>
          <w:sz w:val="24"/>
          <w:szCs w:val="24"/>
          <w:lang w:val="en-US" w:eastAsia="zh-CN"/>
        </w:rPr>
        <w:t>0</w:t>
      </w:r>
      <w:r>
        <w:rPr>
          <w:rFonts w:hint="eastAsia" w:ascii="仿宋_GB2312" w:eastAsia="仿宋_GB2312"/>
          <w:sz w:val="24"/>
          <w:szCs w:val="24"/>
        </w:rPr>
        <w:t>分 （北京时间）</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投标地点（网址）：政采云平台（https://www.zcygov.cn/）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开标时间：2024年</w:t>
      </w:r>
      <w:r>
        <w:rPr>
          <w:rFonts w:hint="eastAsia" w:ascii="仿宋_GB2312" w:eastAsia="仿宋_GB2312"/>
          <w:sz w:val="24"/>
          <w:szCs w:val="24"/>
          <w:lang w:val="en-US" w:eastAsia="zh-CN"/>
        </w:rPr>
        <w:t>6</w:t>
      </w:r>
      <w:r>
        <w:rPr>
          <w:rFonts w:hint="eastAsia" w:ascii="仿宋_GB2312" w:eastAsia="仿宋_GB2312"/>
          <w:sz w:val="24"/>
          <w:szCs w:val="24"/>
        </w:rPr>
        <w:t>月</w:t>
      </w:r>
      <w:r>
        <w:rPr>
          <w:rFonts w:hint="eastAsia" w:ascii="仿宋_GB2312" w:eastAsia="仿宋_GB2312"/>
          <w:sz w:val="24"/>
          <w:szCs w:val="24"/>
          <w:lang w:val="en-US" w:eastAsia="zh-CN"/>
        </w:rPr>
        <w:t>5</w:t>
      </w:r>
      <w:r>
        <w:rPr>
          <w:rFonts w:hint="eastAsia" w:ascii="仿宋_GB2312" w:eastAsia="仿宋_GB2312"/>
          <w:sz w:val="24"/>
          <w:szCs w:val="24"/>
        </w:rPr>
        <w:t>日9点1</w:t>
      </w:r>
      <w:r>
        <w:rPr>
          <w:rFonts w:hint="eastAsia" w:ascii="仿宋_GB2312" w:eastAsia="仿宋_GB2312"/>
          <w:sz w:val="24"/>
          <w:szCs w:val="24"/>
          <w:lang w:val="en-US" w:eastAsia="zh-CN"/>
        </w:rPr>
        <w:t>0</w:t>
      </w:r>
      <w:r>
        <w:rPr>
          <w:rFonts w:hint="eastAsia" w:ascii="仿宋_GB2312" w:eastAsia="仿宋_GB2312"/>
          <w:sz w:val="24"/>
          <w:szCs w:val="24"/>
        </w:rPr>
        <w:t xml:space="preserve">分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开标地点（网址）：政采云平台（https://www.zcygov.cn/）</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五、公告期限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自本公告发布之日起5个工作日。</w:t>
      </w:r>
    </w:p>
    <w:p>
      <w:pPr>
        <w:spacing w:line="420" w:lineRule="exact"/>
        <w:ind w:firstLine="482" w:firstLineChars="200"/>
        <w:contextualSpacing/>
        <w:rPr>
          <w:rFonts w:ascii="仿宋_GB2312" w:eastAsia="仿宋_GB2312"/>
          <w:sz w:val="24"/>
          <w:szCs w:val="24"/>
        </w:rPr>
      </w:pPr>
      <w:r>
        <w:rPr>
          <w:rFonts w:hint="eastAsia" w:ascii="仿宋_GB2312" w:eastAsia="仿宋_GB2312"/>
          <w:b/>
          <w:sz w:val="24"/>
          <w:szCs w:val="24"/>
        </w:rPr>
        <w:t>六、其他补充事宜</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420" w:lineRule="exact"/>
        <w:ind w:firstLine="602" w:firstLineChars="250"/>
        <w:contextualSpacing/>
        <w:rPr>
          <w:rFonts w:ascii="仿宋_GB2312" w:eastAsia="仿宋_GB2312"/>
          <w:b/>
          <w:sz w:val="24"/>
          <w:szCs w:val="24"/>
        </w:rPr>
      </w:pPr>
      <w:r>
        <w:rPr>
          <w:rFonts w:hint="eastAsia" w:ascii="仿宋_GB2312" w:eastAsia="仿宋_GB2312"/>
          <w:b/>
          <w:sz w:val="24"/>
          <w:szCs w:val="24"/>
        </w:rPr>
        <w:t>七、对本次采购提出询问、质疑、投诉，请按以下方式联系</w:t>
      </w:r>
    </w:p>
    <w:p>
      <w:pPr>
        <w:spacing w:line="360" w:lineRule="auto"/>
        <w:ind w:left="479" w:leftChars="228"/>
        <w:rPr>
          <w:rFonts w:ascii="仿宋_GB2312" w:hAnsi="仿宋_GB2312" w:eastAsia="仿宋_GB2312" w:cs="仿宋_GB2312"/>
          <w:sz w:val="24"/>
          <w:szCs w:val="24"/>
        </w:rPr>
      </w:pPr>
      <w:r>
        <w:rPr>
          <w:rFonts w:hint="eastAsia" w:ascii="仿宋_GB2312" w:hAnsi="仿宋_GB2312" w:eastAsia="仿宋_GB2312" w:cs="仿宋_GB2312"/>
          <w:sz w:val="24"/>
          <w:szCs w:val="24"/>
        </w:rPr>
        <w:t>1.采购人信息</w:t>
      </w:r>
    </w:p>
    <w:p>
      <w:pPr>
        <w:spacing w:line="360" w:lineRule="auto"/>
        <w:ind w:left="479" w:leftChars="228"/>
        <w:rPr>
          <w:rFonts w:ascii="仿宋_GB2312" w:eastAsia="仿宋_GB2312"/>
          <w:bCs/>
          <w:color w:val="FF0000"/>
          <w:sz w:val="24"/>
          <w:szCs w:val="24"/>
        </w:rPr>
      </w:pPr>
      <w:r>
        <w:rPr>
          <w:rFonts w:hint="eastAsia" w:ascii="仿宋_GB2312" w:hAnsi="仿宋_GB2312" w:eastAsia="仿宋_GB2312" w:cs="仿宋_GB2312"/>
          <w:sz w:val="24"/>
          <w:szCs w:val="24"/>
        </w:rPr>
        <w:t>名称:</w:t>
      </w:r>
      <w:r>
        <w:rPr>
          <w:rFonts w:hint="eastAsia" w:ascii="仿宋_GB2312" w:eastAsia="仿宋_GB2312"/>
          <w:bCs/>
          <w:sz w:val="24"/>
          <w:szCs w:val="24"/>
        </w:rPr>
        <w:t>品目一：舟山市应急管理局、品目二:普朱管委会应急管理局、品目三：普陀区应急管理局、品目四：岱山县应急管理局、品目五：嵊泗县应急管理局；品目六：普陀山镇人民政</w:t>
      </w:r>
      <w:r>
        <w:rPr>
          <w:rFonts w:hint="eastAsia" w:ascii="仿宋_GB2312" w:eastAsia="仿宋_GB2312"/>
          <w:bCs/>
          <w:color w:val="000000" w:themeColor="text1"/>
          <w:sz w:val="24"/>
          <w:szCs w:val="24"/>
        </w:rPr>
        <w:t>府、品目七：定海区应急管理局</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地址: 舟山市定海区新城海天大道681号</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传真:/0580-2283019</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项目联系人（询问）: 李先生</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项目联系方式（询问）：0580-2282922</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质疑联系人：黄先生</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质疑联系方式：0580-2282951</w:t>
      </w:r>
    </w:p>
    <w:p>
      <w:pPr>
        <w:spacing w:line="360" w:lineRule="auto"/>
        <w:ind w:firstLine="480"/>
        <w:rPr>
          <w:rFonts w:ascii="仿宋_GB2312" w:eastAsia="仿宋_GB2312"/>
          <w:sz w:val="24"/>
          <w:szCs w:val="24"/>
        </w:rPr>
      </w:pPr>
      <w:r>
        <w:rPr>
          <w:rFonts w:hint="eastAsia" w:ascii="仿宋_GB2312" w:eastAsia="仿宋_GB2312"/>
          <w:sz w:val="24"/>
          <w:szCs w:val="24"/>
        </w:rPr>
        <w:t>2.采购代理机构信息</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名称：舟山市公共资源交易中心</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地址：舟山市新城翁山路555号四楼（大宗商品交易中心同幢西边）</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传真：/             </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项目联系人（询问）：陈女士</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项目联系方式（询问）： 0580-2280969</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质疑联系人：丁先生</w:t>
      </w:r>
    </w:p>
    <w:p>
      <w:pPr>
        <w:spacing w:line="420" w:lineRule="exact"/>
        <w:ind w:firstLine="48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质疑联系方式：0580-2280948　 </w:t>
      </w:r>
    </w:p>
    <w:p>
      <w:pPr>
        <w:numPr>
          <w:ilvl w:val="0"/>
          <w:numId w:val="2"/>
        </w:numPr>
        <w:spacing w:line="420" w:lineRule="exact"/>
        <w:ind w:firstLine="480"/>
        <w:contextualSpacing/>
        <w:rPr>
          <w:rFonts w:ascii="仿宋_GB2312" w:eastAsia="仿宋_GB2312"/>
          <w:sz w:val="24"/>
          <w:szCs w:val="24"/>
        </w:rPr>
      </w:pPr>
      <w:r>
        <w:rPr>
          <w:rFonts w:hint="eastAsia" w:ascii="仿宋_GB2312" w:eastAsia="仿宋_GB2312"/>
          <w:sz w:val="24"/>
          <w:szCs w:val="24"/>
        </w:rPr>
        <w:t>同级政府采购监督管理部门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名称：舟山市财政局政府采购监管处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地址：舟山市定海区新城海天大道681号</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传真：0580-2282591</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联系人 ：王女士</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监督投诉电话：0580-2282591</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若对项目采购电子交易系统操作有疑问，可登录政采云（https://www.zcygov.cn/），点击右侧咨询小采，获取采小蜜智能服务管家帮助，或拨打政采云服务热线95763获取热线服务帮助。</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 CA问题联系电话（人工）：汇信CA 400-888-4636；天谷CA 400-087-8198。</w:t>
      </w:r>
    </w:p>
    <w:p>
      <w:pPr>
        <w:spacing w:line="540" w:lineRule="exact"/>
        <w:ind w:firstLine="560"/>
        <w:contextualSpacing/>
        <w:rPr>
          <w:rFonts w:ascii="仿宋_GB2312" w:eastAsia="仿宋_GB2312"/>
          <w:sz w:val="28"/>
          <w:szCs w:val="28"/>
        </w:rPr>
      </w:pPr>
    </w:p>
    <w:p>
      <w:pPr>
        <w:ind w:firstLine="2940" w:firstLineChars="1050"/>
        <w:jc w:val="left"/>
        <w:outlineLvl w:val="0"/>
        <w:rPr>
          <w:rFonts w:ascii="仿宋_GB2312" w:hAnsi="宋体" w:eastAsia="仿宋_GB2312"/>
          <w:b/>
          <w:sz w:val="28"/>
          <w:szCs w:val="28"/>
        </w:rPr>
      </w:pPr>
      <w:r>
        <w:rPr>
          <w:rFonts w:hint="eastAsia" w:ascii="仿宋_GB2312" w:eastAsia="仿宋_GB2312"/>
          <w:sz w:val="28"/>
          <w:szCs w:val="28"/>
        </w:rPr>
        <w:br w:type="page"/>
      </w:r>
      <w:r>
        <w:rPr>
          <w:rFonts w:hint="eastAsia"/>
          <w:sz w:val="32"/>
          <w:szCs w:val="32"/>
        </w:rPr>
        <w:t>第二部分</w:t>
      </w:r>
      <w:bookmarkEnd w:id="8"/>
      <w:r>
        <w:rPr>
          <w:rFonts w:hint="eastAsia"/>
          <w:sz w:val="32"/>
          <w:szCs w:val="32"/>
        </w:rPr>
        <w:t>投标人须知</w:t>
      </w:r>
      <w:bookmarkEnd w:id="9"/>
    </w:p>
    <w:bookmarkEnd w:id="10"/>
    <w:p>
      <w:pPr>
        <w:spacing w:line="540" w:lineRule="exact"/>
        <w:contextualSpacing/>
        <w:jc w:val="center"/>
        <w:rPr>
          <w:rFonts w:ascii="仿宋_GB2312" w:eastAsia="仿宋_GB2312"/>
          <w:sz w:val="24"/>
          <w:szCs w:val="24"/>
        </w:rPr>
      </w:pPr>
      <w:bookmarkStart w:id="11" w:name="_Toc164416483"/>
      <w:bookmarkStart w:id="12" w:name="第三部分"/>
      <w:r>
        <w:rPr>
          <w:rFonts w:hint="eastAsia" w:ascii="仿宋_GB2312" w:eastAsia="仿宋_GB2312"/>
          <w:sz w:val="24"/>
          <w:szCs w:val="24"/>
        </w:rPr>
        <w:t>前附表</w:t>
      </w:r>
    </w:p>
    <w:tbl>
      <w:tblPr>
        <w:tblStyle w:val="2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pacing w:line="54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事  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b/>
                <w:sz w:val="24"/>
                <w:szCs w:val="24"/>
              </w:rPr>
            </w:pPr>
            <w:r>
              <w:rPr>
                <w:rFonts w:hint="eastAsia" w:ascii="仿宋_GB2312" w:eastAsia="仿宋_GB2312"/>
                <w:sz w:val="24"/>
                <w:szCs w:val="24"/>
              </w:rPr>
              <w:t>有关本项目实施所需的所有费用（含税费）均计入报价。</w:t>
            </w:r>
            <w:r>
              <w:rPr>
                <w:rFonts w:hint="eastAsia" w:ascii="仿宋_GB2312" w:eastAsia="仿宋_GB2312"/>
                <w:b/>
                <w:sz w:val="24"/>
                <w:szCs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_GB2312" w:eastAsia="仿宋_GB2312"/>
                <w:sz w:val="24"/>
                <w:szCs w:val="24"/>
              </w:rPr>
              <w:t>投标文件中价格全部采用人民币报价。招标文件未列明，而投标人认为必需的费用也需列入报价。</w:t>
            </w:r>
            <w:r>
              <w:rPr>
                <w:rFonts w:hint="eastAsia" w:ascii="仿宋_GB2312" w:eastAsia="仿宋_GB2312"/>
                <w:b/>
                <w:sz w:val="24"/>
                <w:szCs w:val="24"/>
              </w:rPr>
              <w:t>提醒：验收时检测费用由采购人承担，不包含在投标总价中。</w:t>
            </w:r>
          </w:p>
          <w:p>
            <w:pPr>
              <w:spacing w:line="400" w:lineRule="exact"/>
              <w:contextualSpacing/>
              <w:rPr>
                <w:rFonts w:ascii="仿宋_GB2312" w:eastAsia="仿宋_GB2312"/>
                <w:b/>
                <w:sz w:val="24"/>
                <w:szCs w:val="24"/>
              </w:rPr>
            </w:pPr>
            <w:r>
              <w:rPr>
                <w:rFonts w:hint="eastAsia" w:ascii="仿宋_GB2312" w:eastAsia="仿宋_GB2312"/>
                <w:b/>
                <w:sz w:val="24"/>
                <w:szCs w:val="24"/>
              </w:rPr>
              <w:t>投标报价出现下列情形的，投标无效：</w:t>
            </w:r>
          </w:p>
          <w:p>
            <w:pPr>
              <w:spacing w:line="400" w:lineRule="exact"/>
              <w:contextualSpacing/>
              <w:rPr>
                <w:rFonts w:ascii="仿宋_GB2312" w:eastAsia="仿宋_GB2312"/>
                <w:b/>
                <w:sz w:val="24"/>
                <w:szCs w:val="24"/>
              </w:rPr>
            </w:pPr>
            <w:r>
              <w:rPr>
                <w:rFonts w:hint="eastAsia" w:ascii="仿宋_GB2312" w:eastAsia="仿宋_GB2312"/>
                <w:b/>
                <w:sz w:val="24"/>
                <w:szCs w:val="24"/>
              </w:rPr>
              <w:t>1.投标文件出现不是唯一的、有选择性投标报价的；</w:t>
            </w:r>
          </w:p>
          <w:p>
            <w:pPr>
              <w:spacing w:line="400" w:lineRule="exact"/>
              <w:contextualSpacing/>
              <w:rPr>
                <w:rFonts w:ascii="仿宋_GB2312" w:eastAsia="仿宋_GB2312"/>
                <w:b/>
                <w:sz w:val="24"/>
                <w:szCs w:val="24"/>
              </w:rPr>
            </w:pPr>
            <w:r>
              <w:rPr>
                <w:rFonts w:hint="eastAsia" w:ascii="仿宋_GB2312" w:eastAsia="仿宋_GB2312"/>
                <w:b/>
                <w:sz w:val="24"/>
                <w:szCs w:val="24"/>
              </w:rPr>
              <w:t>2.投标报价超过招标文件中规定的每品目预算金额或者最高限价的;</w:t>
            </w:r>
          </w:p>
          <w:p>
            <w:pPr>
              <w:spacing w:line="400" w:lineRule="exact"/>
              <w:contextualSpacing/>
              <w:rPr>
                <w:rFonts w:ascii="仿宋_GB2312" w:eastAsia="仿宋_GB2312"/>
                <w:b/>
                <w:sz w:val="24"/>
                <w:szCs w:val="24"/>
              </w:rPr>
            </w:pPr>
            <w:r>
              <w:rPr>
                <w:rFonts w:hint="eastAsia" w:ascii="仿宋_GB2312" w:eastAsia="仿宋_GB2312"/>
                <w:b/>
                <w:sz w:val="24"/>
                <w:szCs w:val="24"/>
              </w:rPr>
              <w:t>3.报价明显低于其他通过符合性审查投标人的报价，有可能影响产品质量或者不能诚信履约的，未能按要求提供书面说明或者提交相关证明材料证明其报价合理性的;</w:t>
            </w:r>
          </w:p>
          <w:p>
            <w:pPr>
              <w:spacing w:line="400" w:lineRule="exact"/>
              <w:contextualSpacing/>
              <w:rPr>
                <w:rFonts w:ascii="仿宋_GB2312" w:eastAsia="仿宋_GB2312"/>
                <w:sz w:val="24"/>
                <w:szCs w:val="24"/>
              </w:rPr>
            </w:pPr>
            <w:r>
              <w:rPr>
                <w:rFonts w:hint="eastAsia" w:ascii="仿宋_GB2312" w:eastAsia="仿宋_GB2312"/>
                <w:b/>
                <w:sz w:val="24"/>
                <w:szCs w:val="24"/>
              </w:rPr>
              <w:t>4.投标人对根据修正原则修正后的报价不确认的。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694637009"/>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r>
              <w:rPr>
                <w:rFonts w:hint="eastAsia" w:ascii="仿宋_GB2312" w:eastAsia="仿宋_GB2312"/>
                <w:sz w:val="24"/>
                <w:szCs w:val="24"/>
              </w:rPr>
              <w:t xml:space="preserve"> A同意将非主、非关键性的</w:t>
            </w:r>
            <w:r>
              <w:rPr>
                <w:rFonts w:hint="eastAsia" w:ascii="仿宋_GB2312" w:eastAsia="仿宋_GB2312"/>
                <w:sz w:val="24"/>
                <w:szCs w:val="24"/>
                <w:u w:val="single"/>
              </w:rPr>
              <w:t xml:space="preserve"> 标项一：中载云台安装施工   标项二：直放站安装        </w:t>
            </w:r>
            <w:r>
              <w:rPr>
                <w:rFonts w:hint="eastAsia" w:ascii="仿宋_GB2312" w:eastAsia="仿宋_GB2312"/>
                <w:sz w:val="24"/>
                <w:szCs w:val="24"/>
              </w:rPr>
              <w:t>分包。</w:t>
            </w:r>
          </w:p>
          <w:p>
            <w:pPr>
              <w:spacing w:line="400" w:lineRule="exact"/>
              <w:contextualSpacing/>
              <w:rPr>
                <w:rFonts w:ascii="仿宋_GB2312" w:eastAsia="仿宋_GB2312"/>
                <w:sz w:val="24"/>
                <w:szCs w:val="24"/>
              </w:rPr>
            </w:pPr>
            <w:r>
              <w:rPr>
                <w:rFonts w:hint="eastAsia" w:ascii="仿宋_GB2312" w:eastAsia="仿宋_GB2312"/>
                <w:sz w:val="24"/>
                <w:szCs w:val="24"/>
              </w:rPr>
              <w:t>本项目上述允许分包的合同份额所占合同总金额小于30%。</w:t>
            </w:r>
          </w:p>
          <w:p>
            <w:pPr>
              <w:spacing w:line="400" w:lineRule="exact"/>
              <w:contextualSpacing/>
              <w:rPr>
                <w:rFonts w:ascii="仿宋_GB2312" w:eastAsia="仿宋_GB2312"/>
                <w:sz w:val="24"/>
                <w:szCs w:val="24"/>
              </w:rPr>
            </w:pPr>
            <w:sdt>
              <w:sdtPr>
                <w:rPr>
                  <w:rFonts w:hint="eastAsia" w:ascii="仿宋_GB2312" w:eastAsia="仿宋_GB2312"/>
                  <w:sz w:val="24"/>
                  <w:szCs w:val="24"/>
                </w:rPr>
                <w:id w:val="25"/>
              </w:sdtPr>
              <w:sdtEndPr>
                <w:rPr>
                  <w:rFonts w:hint="eastAsia" w:ascii="仿宋_GB2312" w:eastAsia="仿宋_GB2312"/>
                  <w:sz w:val="24"/>
                  <w:szCs w:val="24"/>
                </w:rPr>
              </w:sdtEndPr>
              <w:sdtContent>
                <w:sdt>
                  <w:sdtPr>
                    <w:rPr>
                      <w:rFonts w:hint="eastAsia" w:ascii="仿宋_GB2312" w:eastAsia="仿宋_GB2312"/>
                      <w:sz w:val="24"/>
                      <w:szCs w:val="24"/>
                    </w:rPr>
                    <w:id w:val="40571220"/>
                  </w:sdtPr>
                  <w:sdtEndPr>
                    <w:rPr>
                      <w:rFonts w:hint="eastAsia" w:ascii="仿宋_GB2312" w:eastAsia="仿宋_GB2312"/>
                      <w:sz w:val="24"/>
                      <w:szCs w:val="24"/>
                    </w:rPr>
                  </w:sdtEndPr>
                  <w:sdtContent>
                    <w:sdt>
                      <w:sdtPr>
                        <w:rPr>
                          <w:rFonts w:hint="eastAsia" w:ascii="仿宋_GB2312" w:eastAsia="仿宋_GB2312"/>
                          <w:sz w:val="24"/>
                          <w:szCs w:val="24"/>
                        </w:rPr>
                        <w:id w:val="1314372530"/>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Content>
                </w:sdt>
              </w:sdtContent>
            </w:sdt>
            <w:r>
              <w:rPr>
                <w:rFonts w:hint="eastAsia" w:ascii="仿宋_GB2312" w:eastAsia="仿宋_GB2312"/>
                <w:sz w:val="24"/>
                <w:szCs w:val="24"/>
              </w:rPr>
              <w:t>B不同意分包。</w:t>
            </w:r>
          </w:p>
          <w:p>
            <w:pPr>
              <w:pStyle w:val="11"/>
              <w:ind w:firstLine="0" w:firstLineChars="0"/>
              <w:rPr>
                <w:rFonts w:ascii="仿宋_GB2312" w:eastAsia="仿宋_GB2312"/>
                <w:szCs w:val="24"/>
              </w:rPr>
            </w:pPr>
            <w:r>
              <w:rPr>
                <w:rFonts w:hint="eastAsia" w:ascii="仿宋_GB2312" w:eastAsia="仿宋_GB2312"/>
                <w:szCs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（1）资格证明文件：见招标文件第二部分11.1。</w:t>
            </w:r>
          </w:p>
          <w:p>
            <w:pPr>
              <w:spacing w:line="400" w:lineRule="exact"/>
              <w:contextualSpacing/>
              <w:rPr>
                <w:rFonts w:ascii="仿宋_GB2312" w:eastAsia="仿宋_GB2312"/>
                <w:sz w:val="24"/>
                <w:szCs w:val="24"/>
              </w:rPr>
            </w:pPr>
            <w:r>
              <w:rPr>
                <w:rFonts w:hint="eastAsia" w:ascii="仿宋_GB2312" w:eastAsia="仿宋_GB2312"/>
                <w:sz w:val="24"/>
                <w:szCs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trPr>
        <w:tc>
          <w:tcPr>
            <w:tcW w:w="629" w:type="dxa"/>
            <w:vMerge w:val="continue"/>
            <w:tcBorders>
              <w:left w:val="single" w:color="auto" w:sz="4" w:space="0"/>
              <w:bottom w:val="single" w:color="auto" w:sz="4" w:space="0"/>
              <w:right w:val="single" w:color="auto" w:sz="4" w:space="0"/>
            </w:tcBorders>
          </w:tcPr>
          <w:p>
            <w:pPr>
              <w:spacing w:line="540" w:lineRule="exact"/>
              <w:contextualSpacing/>
              <w:rPr>
                <w:rFonts w:ascii="仿宋_GB2312" w:eastAsia="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bookmarkStart w:id="13" w:name="PO_15528_PM040"/>
            <w:bookmarkEnd w:id="13"/>
            <w:sdt>
              <w:sdtPr>
                <w:rPr>
                  <w:rFonts w:hint="eastAsia" w:ascii="仿宋_GB2312" w:eastAsia="仿宋_GB2312"/>
                  <w:sz w:val="24"/>
                  <w:szCs w:val="24"/>
                </w:rPr>
                <w:id w:val="28"/>
              </w:sdtPr>
              <w:sdtEndPr>
                <w:rPr>
                  <w:rFonts w:hint="eastAsia" w:ascii="微软雅黑" w:hAnsi="微软雅黑" w:eastAsia="微软雅黑"/>
                  <w:color w:val="171A1D"/>
                  <w:sz w:val="18"/>
                  <w:szCs w:val="18"/>
                  <w:shd w:val="clear" w:color="auto" w:fill="FFFFFF"/>
                </w:rPr>
              </w:sdtEndPr>
              <w:sdtContent>
                <w:sdt>
                  <w:sdtPr>
                    <w:rPr>
                      <w:rFonts w:hint="eastAsia" w:ascii="仿宋_GB2312" w:eastAsia="仿宋_GB2312"/>
                      <w:sz w:val="24"/>
                      <w:szCs w:val="24"/>
                    </w:rPr>
                    <w:id w:val="346402517"/>
                  </w:sdtPr>
                  <w:sdtEndPr>
                    <w:rPr>
                      <w:rFonts w:hint="eastAsia" w:ascii="微软雅黑" w:hAnsi="微软雅黑" w:eastAsia="微软雅黑"/>
                      <w:color w:val="171A1D"/>
                      <w:sz w:val="18"/>
                      <w:szCs w:val="18"/>
                      <w:shd w:val="clear" w:color="auto" w:fill="FFFFFF"/>
                    </w:rPr>
                  </w:sdtEndPr>
                  <w:sdtContent/>
                </w:sdt>
              </w:sdtContent>
            </w:sdt>
            <w:sdt>
              <w:sdtPr>
                <w:rPr>
                  <w:rFonts w:hint="eastAsia" w:ascii="仿宋_GB2312" w:eastAsia="仿宋_GB2312"/>
                  <w:sz w:val="24"/>
                  <w:szCs w:val="24"/>
                </w:rPr>
                <w:id w:val="100"/>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r>
              <w:rPr>
                <w:rFonts w:hint="eastAsia" w:ascii="仿宋_GB2312" w:eastAsia="仿宋_GB2312"/>
                <w:sz w:val="24"/>
                <w:szCs w:val="24"/>
              </w:rPr>
              <w:t>A不组织。</w:t>
            </w:r>
          </w:p>
          <w:p>
            <w:pPr>
              <w:spacing w:line="500" w:lineRule="exact"/>
              <w:jc w:val="left"/>
              <w:rPr>
                <w:rFonts w:ascii="仿宋_GB2312" w:eastAsia="仿宋_GB2312"/>
                <w:sz w:val="24"/>
                <w:szCs w:val="24"/>
              </w:rPr>
            </w:pPr>
            <w:sdt>
              <w:sdtPr>
                <w:rPr>
                  <w:rFonts w:hint="eastAsia" w:ascii="仿宋_GB2312" w:eastAsia="仿宋_GB2312"/>
                  <w:sz w:val="24"/>
                  <w:szCs w:val="24"/>
                </w:rPr>
                <w:id w:val="101"/>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B组织，时间： ,地点： ，联系人： ，联系方式：。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346402516"/>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r>
              <w:rPr>
                <w:rFonts w:hint="eastAsia" w:ascii="仿宋_GB2312" w:eastAsia="仿宋_GB2312"/>
                <w:sz w:val="24"/>
                <w:szCs w:val="24"/>
              </w:rPr>
              <w:t>A不要求提供。</w:t>
            </w:r>
          </w:p>
          <w:p>
            <w:pPr>
              <w:spacing w:line="400" w:lineRule="exact"/>
              <w:contextualSpacing/>
              <w:rPr>
                <w:rFonts w:ascii="仿宋_GB2312" w:eastAsia="仿宋_GB2312"/>
                <w:sz w:val="24"/>
                <w:szCs w:val="24"/>
              </w:rPr>
            </w:pPr>
            <w:r>
              <w:rPr>
                <w:rFonts w:hint="eastAsia" w:ascii="仿宋_GB2312" w:hAnsi="MS Mincho" w:eastAsia="MS Mincho" w:cs="MS Mincho"/>
                <w:sz w:val="24"/>
                <w:szCs w:val="24"/>
              </w:rPr>
              <w:t>☐</w:t>
            </w:r>
            <w:r>
              <w:rPr>
                <w:rFonts w:hint="eastAsia" w:ascii="仿宋_GB2312" w:eastAsia="仿宋_GB2312"/>
                <w:sz w:val="24"/>
                <w:szCs w:val="24"/>
              </w:rPr>
              <w:t>B要求提供，</w:t>
            </w:r>
          </w:p>
          <w:p>
            <w:pPr>
              <w:spacing w:line="4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hint="eastAsia" w:ascii="仿宋_GB2312" w:hAnsi="宋体" w:eastAsia="仿宋_GB2312" w:cs="宋体"/>
                <w:snapToGrid w:val="0"/>
                <w:kern w:val="28"/>
                <w:sz w:val="24"/>
                <w:szCs w:val="24"/>
              </w:rPr>
              <w:t>样品：</w:t>
            </w:r>
            <w:r>
              <w:rPr>
                <w:rFonts w:hint="eastAsia" w:ascii="仿宋_GB2312" w:hAnsi="宋体" w:eastAsia="仿宋_GB2312" w:cs="宋体"/>
                <w:kern w:val="0"/>
                <w:sz w:val="24"/>
                <w:szCs w:val="24"/>
              </w:rPr>
              <w:t>；</w:t>
            </w:r>
          </w:p>
          <w:p>
            <w:pPr>
              <w:spacing w:line="4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（2）</w:t>
            </w:r>
            <w:r>
              <w:rPr>
                <w:rFonts w:hint="eastAsia" w:ascii="仿宋_GB2312" w:hAnsi="宋体" w:eastAsia="仿宋_GB2312" w:cs="宋体"/>
                <w:snapToGrid w:val="0"/>
                <w:kern w:val="28"/>
                <w:sz w:val="24"/>
                <w:szCs w:val="24"/>
              </w:rPr>
              <w:t>样品制作的标准和要求：</w:t>
            </w:r>
            <w:r>
              <w:rPr>
                <w:rFonts w:hint="eastAsia" w:ascii="仿宋_GB2312" w:hAnsi="宋体" w:eastAsia="仿宋_GB2312" w:cs="宋体"/>
                <w:kern w:val="0"/>
                <w:sz w:val="24"/>
                <w:szCs w:val="24"/>
              </w:rPr>
              <w:t>；</w:t>
            </w:r>
          </w:p>
          <w:p>
            <w:pPr>
              <w:spacing w:line="4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（3）样品的评审方法以及评审标准</w:t>
            </w:r>
            <w:r>
              <w:rPr>
                <w:rFonts w:hint="eastAsia" w:ascii="仿宋_GB2312" w:hAnsi="宋体" w:eastAsia="仿宋_GB2312" w:cs="宋体"/>
                <w:snapToGrid w:val="0"/>
                <w:kern w:val="28"/>
                <w:sz w:val="24"/>
                <w:szCs w:val="24"/>
              </w:rPr>
              <w:t>：详见</w:t>
            </w:r>
            <w:r>
              <w:rPr>
                <w:rFonts w:hint="eastAsia" w:ascii="仿宋_GB2312" w:hAnsi="宋体" w:eastAsia="仿宋_GB2312" w:cs="宋体"/>
                <w:sz w:val="24"/>
                <w:szCs w:val="24"/>
                <w:u w:val="single"/>
              </w:rPr>
              <w:t>评标办法</w:t>
            </w:r>
            <w:r>
              <w:rPr>
                <w:rFonts w:hint="eastAsia" w:ascii="仿宋_GB2312" w:hAnsi="宋体" w:eastAsia="仿宋_GB2312" w:cs="宋体"/>
                <w:kern w:val="0"/>
                <w:sz w:val="24"/>
                <w:szCs w:val="24"/>
              </w:rPr>
              <w:t>；</w:t>
            </w:r>
          </w:p>
          <w:p>
            <w:pPr>
              <w:spacing w:line="4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（4）是否需要随样品提交检测报告：</w:t>
            </w:r>
            <w:sdt>
              <w:sdtPr>
                <w:rPr>
                  <w:rFonts w:hint="eastAsia" w:ascii="仿宋_GB2312" w:hAnsi="宋体" w:eastAsia="仿宋_GB2312" w:cs="宋体"/>
                  <w:kern w:val="0"/>
                  <w:sz w:val="24"/>
                  <w:szCs w:val="24"/>
                </w:rPr>
                <w:id w:val="1303421454"/>
              </w:sdtPr>
              <w:sdtEndPr>
                <w:rPr>
                  <w:rFonts w:hint="eastAsia" w:ascii="仿宋_GB2312" w:hAnsi="宋体" w:eastAsia="仿宋_GB2312" w:cs="宋体"/>
                  <w:kern w:val="0"/>
                  <w:sz w:val="24"/>
                  <w:szCs w:val="24"/>
                </w:rPr>
              </w:sdtEndPr>
              <w:sdtContent>
                <w:r>
                  <w:rPr>
                    <w:rFonts w:hint="eastAsia" w:ascii="仿宋_GB2312" w:hAnsi="MS Gothic" w:eastAsia="MS Gothic" w:cs="宋体"/>
                    <w:kern w:val="0"/>
                    <w:sz w:val="24"/>
                    <w:szCs w:val="24"/>
                  </w:rPr>
                  <w:t>☐</w:t>
                </w:r>
              </w:sdtContent>
            </w:sdt>
            <w:r>
              <w:rPr>
                <w:rFonts w:hint="eastAsia" w:ascii="仿宋_GB2312" w:hAnsi="宋体" w:eastAsia="仿宋_GB2312" w:cs="宋体"/>
                <w:kern w:val="0"/>
                <w:sz w:val="24"/>
                <w:szCs w:val="24"/>
              </w:rPr>
              <w:t>否；</w:t>
            </w:r>
            <w:sdt>
              <w:sdtPr>
                <w:rPr>
                  <w:rFonts w:hint="eastAsia" w:ascii="仿宋_GB2312" w:hAnsi="宋体" w:eastAsia="仿宋_GB2312" w:cs="宋体"/>
                  <w:kern w:val="0"/>
                  <w:sz w:val="24"/>
                  <w:szCs w:val="24"/>
                </w:rPr>
                <w:id w:val="1621728433"/>
              </w:sdtPr>
              <w:sdtEndPr>
                <w:rPr>
                  <w:rFonts w:hint="eastAsia" w:ascii="仿宋_GB2312" w:hAnsi="宋体" w:eastAsia="仿宋_GB2312" w:cs="宋体"/>
                  <w:kern w:val="0"/>
                  <w:sz w:val="24"/>
                  <w:szCs w:val="24"/>
                </w:rPr>
              </w:sdtEndPr>
              <w:sdtContent>
                <w:r>
                  <w:rPr>
                    <w:rFonts w:hint="eastAsia" w:ascii="仿宋_GB2312" w:hAnsi="MS Mincho" w:eastAsia="MS Mincho" w:cs="MS Mincho"/>
                    <w:kern w:val="0"/>
                    <w:sz w:val="24"/>
                    <w:szCs w:val="24"/>
                  </w:rPr>
                  <w:t>☐</w:t>
                </w:r>
              </w:sdtContent>
            </w:sdt>
            <w:r>
              <w:rPr>
                <w:rFonts w:hint="eastAsia" w:ascii="仿宋_GB2312" w:hAnsi="宋体" w:eastAsia="仿宋_GB2312" w:cs="宋体"/>
                <w:kern w:val="0"/>
                <w:sz w:val="24"/>
                <w:szCs w:val="24"/>
              </w:rPr>
              <w:t>是，检测机构的要求</w:t>
            </w:r>
            <w:r>
              <w:rPr>
                <w:rFonts w:hint="eastAsia" w:ascii="仿宋_GB2312" w:hAnsi="宋体" w:eastAsia="仿宋_GB2312" w:cs="宋体"/>
                <w:sz w:val="24"/>
                <w:szCs w:val="24"/>
              </w:rPr>
              <w:t>：</w:t>
            </w:r>
            <w:r>
              <w:rPr>
                <w:rFonts w:hint="eastAsia" w:ascii="仿宋_GB2312" w:hAnsi="宋体" w:eastAsia="仿宋_GB2312" w:cs="宋体"/>
                <w:kern w:val="0"/>
                <w:sz w:val="24"/>
                <w:szCs w:val="24"/>
              </w:rPr>
              <w:t>；检测内容</w:t>
            </w:r>
            <w:r>
              <w:rPr>
                <w:rFonts w:hint="eastAsia" w:ascii="仿宋_GB2312" w:hAnsi="宋体" w:eastAsia="仿宋_GB2312" w:cs="宋体"/>
                <w:sz w:val="24"/>
                <w:szCs w:val="24"/>
              </w:rPr>
              <w:t>：</w:t>
            </w:r>
            <w:r>
              <w:rPr>
                <w:rFonts w:hint="eastAsia" w:ascii="仿宋_GB2312" w:hAnsi="宋体" w:eastAsia="仿宋_GB2312" w:cs="宋体"/>
                <w:kern w:val="0"/>
                <w:sz w:val="24"/>
                <w:szCs w:val="24"/>
              </w:rPr>
              <w:t>。</w:t>
            </w:r>
          </w:p>
          <w:p>
            <w:pPr>
              <w:spacing w:line="400" w:lineRule="exact"/>
              <w:rPr>
                <w:rFonts w:ascii="仿宋_GB2312" w:hAnsi="宋体" w:eastAsia="仿宋_GB2312" w:cs="宋体"/>
                <w:sz w:val="24"/>
                <w:szCs w:val="24"/>
              </w:rPr>
            </w:pPr>
            <w:r>
              <w:rPr>
                <w:rFonts w:hint="eastAsia" w:ascii="仿宋_GB2312" w:hAnsi="宋体" w:eastAsia="仿宋_GB2312" w:cs="宋体"/>
                <w:sz w:val="24"/>
                <w:szCs w:val="24"/>
              </w:rPr>
              <w:t>（5）提供样品的时间：</w:t>
            </w:r>
            <w:r>
              <w:rPr>
                <w:rFonts w:hint="eastAsia" w:ascii="仿宋_GB2312" w:hAnsi="宋体" w:eastAsia="仿宋_GB2312" w:cs="宋体"/>
                <w:kern w:val="0"/>
                <w:sz w:val="24"/>
                <w:szCs w:val="24"/>
              </w:rPr>
              <w:t>；地点：；联系人</w:t>
            </w:r>
            <w:r>
              <w:rPr>
                <w:rFonts w:hint="eastAsia" w:ascii="仿宋_GB2312" w:hAnsi="宋体" w:eastAsia="仿宋_GB2312" w:cs="宋体"/>
                <w:sz w:val="24"/>
                <w:szCs w:val="24"/>
              </w:rPr>
              <w:t>：，</w:t>
            </w:r>
            <w:r>
              <w:rPr>
                <w:rFonts w:hint="eastAsia" w:ascii="仿宋_GB2312" w:hAnsi="宋体" w:eastAsia="仿宋_GB2312" w:cs="宋体"/>
                <w:kern w:val="28"/>
                <w:sz w:val="24"/>
                <w:szCs w:val="24"/>
              </w:rPr>
              <w:t>联系电话：</w:t>
            </w:r>
            <w:r>
              <w:rPr>
                <w:rFonts w:hint="eastAsia" w:ascii="仿宋_GB2312" w:hAnsi="宋体" w:eastAsia="仿宋_GB2312" w:cs="宋体"/>
                <w:sz w:val="24"/>
                <w:szCs w:val="24"/>
              </w:rPr>
              <w:t>。请投标人在上述时间内提供样品并按规定位置安装完毕。超过截止时间的，采购人或采购代理机构将不予接收，并将清场并封闭样品现场。</w:t>
            </w:r>
          </w:p>
          <w:p>
            <w:pPr>
              <w:spacing w:line="400" w:lineRule="exact"/>
              <w:rPr>
                <w:rFonts w:ascii="仿宋_GB2312" w:hAnsi="宋体" w:eastAsia="仿宋_GB2312" w:cs="宋体"/>
                <w:sz w:val="24"/>
                <w:szCs w:val="24"/>
              </w:rPr>
            </w:pPr>
            <w:r>
              <w:rPr>
                <w:rFonts w:hint="eastAsia" w:ascii="仿宋_GB2312" w:hAnsi="宋体" w:eastAsia="仿宋_GB2312" w:cs="宋体"/>
                <w:sz w:val="24"/>
                <w:szCs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400" w:lineRule="exact"/>
              <w:contextualSpacing/>
              <w:rPr>
                <w:rFonts w:ascii="仿宋_GB2312" w:eastAsia="仿宋_GB2312"/>
                <w:sz w:val="24"/>
                <w:szCs w:val="24"/>
              </w:rPr>
            </w:pPr>
            <w:r>
              <w:rPr>
                <w:rFonts w:hint="eastAsia" w:ascii="仿宋_GB2312" w:hAnsi="宋体" w:eastAsia="仿宋_GB2312" w:cs="宋体"/>
                <w:sz w:val="24"/>
                <w:szCs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highlight w:val="yellow"/>
              </w:rPr>
            </w:pPr>
            <w:r>
              <w:rPr>
                <w:rFonts w:hint="eastAsia" w:ascii="仿宋_GB2312" w:eastAsia="仿宋_GB2312"/>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35"/>
              </w:sdtPr>
              <w:sdtEndPr>
                <w:rPr>
                  <w:rFonts w:hint="eastAsia" w:ascii="仿宋_GB2312" w:eastAsia="仿宋_GB2312"/>
                  <w:sz w:val="24"/>
                  <w:szCs w:val="24"/>
                </w:rPr>
              </w:sdtEndPr>
              <w:sdtContent>
                <w:sdt>
                  <w:sdtPr>
                    <w:rPr>
                      <w:rFonts w:hint="eastAsia" w:ascii="仿宋_GB2312" w:eastAsia="仿宋_GB2312"/>
                      <w:sz w:val="24"/>
                      <w:szCs w:val="24"/>
                    </w:rPr>
                    <w:id w:val="346402515"/>
                  </w:sdtPr>
                  <w:sdtEndPr>
                    <w:rPr>
                      <w:rFonts w:hint="eastAsia" w:ascii="仿宋_GB2312" w:eastAsia="仿宋_GB2312"/>
                      <w:sz w:val="24"/>
                      <w:szCs w:val="24"/>
                    </w:rPr>
                  </w:sdtEndPr>
                  <w:sdtContent>
                    <w:sdt>
                      <w:sdtPr>
                        <w:rPr>
                          <w:rFonts w:hint="eastAsia" w:ascii="仿宋_GB2312" w:eastAsia="仿宋_GB2312"/>
                          <w:sz w:val="24"/>
                          <w:szCs w:val="24"/>
                        </w:rPr>
                        <w:id w:val="37"/>
                      </w:sdtPr>
                      <w:sdtEndPr>
                        <w:rPr>
                          <w:rFonts w:hint="eastAsia" w:ascii="仿宋_GB2312" w:eastAsia="仿宋_GB2312"/>
                          <w:sz w:val="24"/>
                          <w:szCs w:val="24"/>
                        </w:rPr>
                      </w:sdtEndPr>
                      <w:sdtContent>
                        <w:sdt>
                          <w:sdtPr>
                            <w:rPr>
                              <w:rFonts w:hint="eastAsia" w:ascii="仿宋_GB2312" w:eastAsia="仿宋_GB2312"/>
                              <w:sz w:val="24"/>
                              <w:szCs w:val="24"/>
                            </w:rPr>
                            <w:id w:val="114596229"/>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Content>
                    </w:sdt>
                  </w:sdtContent>
                </w:sdt>
              </w:sdtContent>
            </w:sdt>
            <w:r>
              <w:rPr>
                <w:rFonts w:hint="eastAsia" w:ascii="仿宋_GB2312" w:eastAsia="仿宋_GB2312"/>
                <w:sz w:val="24"/>
                <w:szCs w:val="24"/>
              </w:rPr>
              <w:t>A不组织。</w:t>
            </w:r>
          </w:p>
          <w:p>
            <w:pPr>
              <w:spacing w:line="400" w:lineRule="exact"/>
              <w:contextualSpacing/>
              <w:rPr>
                <w:rFonts w:ascii="仿宋_GB2312" w:eastAsia="仿宋_GB2312"/>
                <w:sz w:val="24"/>
                <w:szCs w:val="24"/>
              </w:rPr>
            </w:pPr>
            <w:sdt>
              <w:sdtPr>
                <w:rPr>
                  <w:rFonts w:hint="eastAsia" w:ascii="仿宋_GB2312" w:eastAsia="仿宋_GB2312"/>
                  <w:sz w:val="24"/>
                  <w:szCs w:val="24"/>
                </w:rPr>
                <w:id w:val="1174071719"/>
              </w:sdtPr>
              <w:sdtEndPr>
                <w:rPr>
                  <w:rFonts w:hint="eastAsia" w:ascii="仿宋_GB2312" w:eastAsia="仿宋_GB2312"/>
                  <w:sz w:val="24"/>
                  <w:szCs w:val="24"/>
                </w:rPr>
              </w:sdtEndPr>
              <w:sdtContent>
                <w:sdt>
                  <w:sdtPr>
                    <w:rPr>
                      <w:rFonts w:hint="eastAsia" w:ascii="仿宋_GB2312" w:eastAsia="仿宋_GB2312"/>
                      <w:sz w:val="24"/>
                      <w:szCs w:val="24"/>
                    </w:rPr>
                    <w:id w:val="40"/>
                  </w:sdtPr>
                  <w:sdtEndPr>
                    <w:rPr>
                      <w:rFonts w:hint="eastAsia" w:ascii="仿宋_GB2312" w:eastAsia="仿宋_GB2312"/>
                      <w:sz w:val="24"/>
                      <w:szCs w:val="24"/>
                    </w:rPr>
                  </w:sdtEndPr>
                  <w:sdtContent>
                    <w:sdt>
                      <w:sdtPr>
                        <w:rPr>
                          <w:rFonts w:hint="eastAsia" w:ascii="仿宋_GB2312" w:eastAsia="仿宋_GB2312"/>
                          <w:sz w:val="24"/>
                          <w:szCs w:val="24"/>
                        </w:rPr>
                        <w:id w:val="41"/>
                        <w:showingPlcHdr/>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sdtContent>
                </w:sdt>
              </w:sdtContent>
            </w:sdt>
            <w:r>
              <w:rPr>
                <w:rFonts w:hint="eastAsia" w:ascii="仿宋_GB2312" w:eastAsia="仿宋_GB2312"/>
                <w:sz w:val="24"/>
                <w:szCs w:val="24"/>
              </w:rPr>
              <w:t>B组织。</w:t>
            </w:r>
          </w:p>
          <w:p>
            <w:pPr>
              <w:spacing w:line="400" w:lineRule="exact"/>
              <w:contextualSpacing/>
              <w:rPr>
                <w:rFonts w:ascii="仿宋_GB2312" w:eastAsia="仿宋_GB2312"/>
                <w:sz w:val="24"/>
                <w:szCs w:val="24"/>
              </w:rPr>
            </w:pPr>
            <w:r>
              <w:rPr>
                <w:rFonts w:hint="eastAsia" w:ascii="仿宋_GB2312" w:eastAsia="仿宋_GB2312"/>
                <w:sz w:val="24"/>
                <w:szCs w:val="24"/>
              </w:rPr>
              <w:t>（1）在评标时安排每个投标人进行方案讲解演示。每个投标人时间不超过</w:t>
            </w:r>
            <w:r>
              <w:rPr>
                <w:rFonts w:hint="eastAsia" w:ascii="仿宋_GB2312" w:eastAsia="仿宋_GB2312"/>
                <w:sz w:val="24"/>
                <w:szCs w:val="24"/>
                <w:u w:val="single"/>
              </w:rPr>
              <w:t>20（编制时可根据项目情况进行调整）</w:t>
            </w:r>
            <w:r>
              <w:rPr>
                <w:rFonts w:hint="eastAsia" w:ascii="仿宋_GB2312" w:eastAsia="仿宋_GB2312"/>
                <w:sz w:val="24"/>
                <w:szCs w:val="24"/>
              </w:rPr>
              <w:t>分钟，讲解次序以投标文件解密时间先后次序为准，讲解演示人员不超过</w:t>
            </w:r>
            <w:r>
              <w:rPr>
                <w:rFonts w:hint="eastAsia" w:ascii="仿宋_GB2312" w:eastAsia="仿宋_GB2312"/>
                <w:sz w:val="24"/>
                <w:szCs w:val="24"/>
                <w:u w:val="single"/>
              </w:rPr>
              <w:t>3（编制时可根据项目情况进行调整）</w:t>
            </w:r>
            <w:r>
              <w:rPr>
                <w:rFonts w:hint="eastAsia" w:ascii="仿宋_GB2312" w:eastAsia="仿宋_GB2312"/>
                <w:sz w:val="24"/>
                <w:szCs w:val="24"/>
              </w:rPr>
              <w:t>人。讲解演示结束后按要求解答评标委员会提问。</w:t>
            </w:r>
          </w:p>
          <w:p>
            <w:pPr>
              <w:spacing w:line="400" w:lineRule="exact"/>
              <w:contextualSpacing/>
              <w:rPr>
                <w:rFonts w:ascii="仿宋_GB2312" w:eastAsia="仿宋_GB2312"/>
                <w:sz w:val="24"/>
                <w:szCs w:val="24"/>
              </w:rPr>
            </w:pPr>
            <w:r>
              <w:rPr>
                <w:rFonts w:hint="eastAsia" w:ascii="仿宋_GB2312" w:eastAsia="仿宋_GB2312"/>
                <w:sz w:val="24"/>
                <w:szCs w:val="24"/>
              </w:rPr>
              <w:t>（2）方案讲解演示可选择以下其中一种方式：</w:t>
            </w:r>
          </w:p>
          <w:p>
            <w:pPr>
              <w:spacing w:line="400" w:lineRule="exact"/>
              <w:contextualSpacing/>
              <w:rPr>
                <w:rFonts w:ascii="仿宋_GB2312" w:eastAsia="仿宋_GB2312"/>
                <w:sz w:val="24"/>
                <w:szCs w:val="24"/>
              </w:rPr>
            </w:pPr>
            <w:sdt>
              <w:sdtPr>
                <w:rPr>
                  <w:rFonts w:hint="eastAsia" w:ascii="仿宋_GB2312" w:eastAsia="仿宋_GB2312"/>
                  <w:sz w:val="24"/>
                  <w:szCs w:val="24"/>
                </w:rPr>
                <w:id w:val="42"/>
              </w:sdtPr>
              <w:sdtEndPr>
                <w:rPr>
                  <w:rFonts w:hint="eastAsia" w:ascii="仿宋_GB2312" w:eastAsia="仿宋_GB2312"/>
                  <w:sz w:val="24"/>
                  <w:szCs w:val="24"/>
                </w:rPr>
              </w:sdtEndPr>
              <w:sdtContent>
                <w:sdt>
                  <w:sdtPr>
                    <w:rPr>
                      <w:rFonts w:hint="eastAsia" w:ascii="仿宋_GB2312" w:eastAsia="仿宋_GB2312"/>
                      <w:sz w:val="24"/>
                      <w:szCs w:val="24"/>
                    </w:rPr>
                    <w:id w:val="114596244"/>
                  </w:sdtPr>
                  <w:sdtEndPr>
                    <w:rPr>
                      <w:rFonts w:hint="eastAsia" w:ascii="仿宋_GB2312" w:eastAsia="仿宋_GB2312"/>
                      <w:sz w:val="24"/>
                      <w:szCs w:val="24"/>
                    </w:rPr>
                  </w:sdtEndPr>
                  <w:sdtContent>
                    <w:sdt>
                      <w:sdtPr>
                        <w:rPr>
                          <w:rFonts w:hint="eastAsia" w:ascii="仿宋_GB2312" w:eastAsia="仿宋_GB2312"/>
                          <w:sz w:val="24"/>
                          <w:szCs w:val="24"/>
                        </w:rPr>
                        <w:id w:val="114"/>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sdtContent>
                </w:sdt>
              </w:sdtContent>
            </w:sdt>
            <w:r>
              <w:rPr>
                <w:rFonts w:hint="eastAsia" w:ascii="仿宋_GB2312" w:hAnsi="仿宋_GB2312" w:eastAsia="仿宋_GB2312" w:cs="仿宋_GB2312"/>
                <w:sz w:val="24"/>
                <w:szCs w:val="24"/>
              </w:rPr>
              <w:t>政采云平台在线讲解演示。政采云平台在线讲解需投标人根据政采云平台操作要求做好准备工作，提前完善软硬件配置环境。</w:t>
            </w:r>
          </w:p>
          <w:p>
            <w:pPr>
              <w:spacing w:line="400" w:lineRule="exact"/>
              <w:contextualSpacing/>
              <w:rPr>
                <w:rFonts w:ascii="仿宋_GB2312" w:eastAsia="仿宋_GB2312"/>
                <w:sz w:val="24"/>
                <w:szCs w:val="24"/>
              </w:rPr>
            </w:pPr>
            <w:sdt>
              <w:sdtPr>
                <w:rPr>
                  <w:rFonts w:hint="eastAsia" w:ascii="仿宋_GB2312" w:eastAsia="仿宋_GB2312"/>
                  <w:sz w:val="24"/>
                  <w:szCs w:val="24"/>
                </w:rPr>
                <w:id w:val="44"/>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交易中心现场讲解演示。现场讲解地点为，讲解演示所用电脑等设备由投标人自备。现场讲解演示人员进场时提供讲解人员名单（加盖公章）及身份证明，否则不得讲解演示。</w:t>
            </w:r>
          </w:p>
          <w:p>
            <w:pPr>
              <w:spacing w:line="400" w:lineRule="exact"/>
              <w:contextualSpacing/>
              <w:rPr>
                <w:rFonts w:ascii="仿宋_GB2312" w:eastAsia="仿宋_GB2312"/>
                <w:sz w:val="24"/>
                <w:szCs w:val="24"/>
              </w:rPr>
            </w:pPr>
            <w:r>
              <w:rPr>
                <w:rFonts w:hint="eastAsia" w:ascii="仿宋_GB2312" w:eastAsia="仿宋_GB2312"/>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45"/>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r>
              <w:rPr>
                <w:rFonts w:hint="eastAsia" w:ascii="仿宋_GB2312" w:eastAsia="仿宋_GB2312"/>
                <w:sz w:val="24"/>
                <w:szCs w:val="24"/>
              </w:rPr>
              <w:t>本项目不允许采购进口产品。</w:t>
            </w:r>
          </w:p>
          <w:p>
            <w:pPr>
              <w:spacing w:line="400" w:lineRule="exact"/>
              <w:contextualSpacing/>
              <w:rPr>
                <w:rFonts w:ascii="仿宋_GB2312" w:eastAsia="仿宋_GB2312"/>
                <w:sz w:val="24"/>
                <w:szCs w:val="24"/>
              </w:rPr>
            </w:pPr>
            <w:r>
              <w:rPr>
                <w:rFonts w:hint="eastAsia" w:ascii="仿宋_GB2312" w:hAnsi="MS Mincho" w:eastAsia="MS Mincho" w:cs="MS Mincho"/>
                <w:sz w:val="24"/>
                <w:szCs w:val="24"/>
              </w:rPr>
              <w:t>☐</w:t>
            </w:r>
            <w:r>
              <w:rPr>
                <w:rFonts w:hint="eastAsia" w:ascii="仿宋_GB2312" w:eastAsia="仿宋_GB2312"/>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11"/>
              <w:ind w:firstLine="0" w:firstLineChars="0"/>
              <w:rPr>
                <w:rFonts w:ascii="仿宋_GB2312" w:eastAsia="仿宋_GB2312"/>
                <w:szCs w:val="24"/>
              </w:rPr>
            </w:pPr>
            <w:r>
              <w:rPr>
                <w:rFonts w:hint="eastAsia" w:ascii="仿宋_GB2312" w:eastAsia="仿宋_GB2312"/>
                <w:szCs w:val="24"/>
              </w:rPr>
              <w:t>货物类，单一产品或核心产品为：</w:t>
            </w:r>
            <w:r>
              <w:rPr>
                <w:rFonts w:hint="eastAsia" w:ascii="仿宋_GB2312" w:eastAsia="仿宋_GB2312"/>
                <w:szCs w:val="24"/>
                <w:u w:val="single"/>
              </w:rPr>
              <w:t xml:space="preserve">标项一：热成像中载云台  标项二：网络型可编程中央控制主机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sz w:val="24"/>
                <w:szCs w:val="24"/>
              </w:rPr>
            </w:pPr>
            <w:r>
              <w:rPr>
                <w:rFonts w:hint="eastAsia" w:ascii="仿宋_GB2312" w:hAnsi="仿宋" w:eastAsia="仿宋_GB2312"/>
                <w:sz w:val="24"/>
                <w:szCs w:val="24"/>
              </w:rPr>
              <w:t>采购标的： 详见采购需求 ，所属行业：详见采购需求。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eastAsia="仿宋_GB2312"/>
                <w:sz w:val="24"/>
                <w:szCs w:val="24"/>
                <w:lang w:val="zh-CN"/>
              </w:rPr>
            </w:pPr>
            <w:r>
              <w:rPr>
                <w:rFonts w:hint="eastAsia" w:ascii="仿宋_GB2312" w:eastAsia="仿宋_GB2312"/>
                <w:sz w:val="24"/>
                <w:szCs w:val="24"/>
              </w:rPr>
              <w:sym w:font="Wingdings" w:char="00FE"/>
            </w:r>
            <w:r>
              <w:rPr>
                <w:rFonts w:hint="eastAsia" w:ascii="仿宋_GB2312" w:eastAsia="仿宋_GB2312"/>
                <w:sz w:val="24"/>
                <w:szCs w:val="24"/>
                <w:lang w:val="zh-CN"/>
              </w:rPr>
              <w:t>依据国家确定的认证机构出具的、处于有效期之内的节能产品认证证书，对获得证书的产品实施政府优先采购或强制采购；其中，</w:t>
            </w:r>
            <w:sdt>
              <w:sdtPr>
                <w:rPr>
                  <w:rFonts w:hint="eastAsia" w:ascii="仿宋_GB2312" w:eastAsia="仿宋_GB2312"/>
                  <w:sz w:val="24"/>
                  <w:szCs w:val="24"/>
                </w:rPr>
                <w:id w:val="117"/>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r>
              <w:rPr>
                <w:rFonts w:hint="eastAsia" w:ascii="仿宋_GB2312" w:eastAsia="仿宋_GB2312"/>
                <w:sz w:val="24"/>
                <w:szCs w:val="24"/>
                <w:lang w:val="zh-CN"/>
              </w:rPr>
              <w:t>对</w:t>
            </w:r>
            <w:r>
              <w:rPr>
                <w:rFonts w:hint="eastAsia" w:ascii="仿宋_GB2312" w:eastAsia="仿宋_GB2312"/>
                <w:sz w:val="24"/>
                <w:szCs w:val="24"/>
                <w:u w:val="single"/>
              </w:rPr>
              <w:t xml:space="preserve">     </w:t>
            </w:r>
            <w:r>
              <w:rPr>
                <w:rFonts w:hint="eastAsia" w:ascii="仿宋_GB2312" w:eastAsia="仿宋_GB2312"/>
                <w:sz w:val="24"/>
                <w:szCs w:val="24"/>
                <w:lang w:val="zh-CN"/>
              </w:rPr>
              <w:t>实施政府优先采购，</w:t>
            </w:r>
            <w:r>
              <w:rPr>
                <w:rFonts w:hint="eastAsia" w:ascii="仿宋_GB2312" w:eastAsia="仿宋_GB2312"/>
                <w:sz w:val="24"/>
                <w:szCs w:val="24"/>
              </w:rPr>
              <w:t>详</w:t>
            </w:r>
            <w:r>
              <w:rPr>
                <w:rFonts w:hint="eastAsia" w:ascii="仿宋_GB2312" w:eastAsia="仿宋_GB2312"/>
                <w:sz w:val="24"/>
                <w:szCs w:val="24"/>
                <w:lang w:val="zh-CN"/>
              </w:rPr>
              <w:t>见评分标准；</w:t>
            </w:r>
            <w:sdt>
              <w:sdtPr>
                <w:rPr>
                  <w:rFonts w:hint="eastAsia" w:ascii="仿宋_GB2312" w:eastAsia="仿宋_GB2312"/>
                  <w:sz w:val="24"/>
                  <w:szCs w:val="24"/>
                </w:rPr>
                <w:id w:val="1216464879"/>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r>
              <w:rPr>
                <w:rFonts w:hint="eastAsia" w:ascii="仿宋_GB2312" w:eastAsia="仿宋_GB2312"/>
                <w:sz w:val="24"/>
                <w:szCs w:val="24"/>
              </w:rPr>
              <w:t>▲</w:t>
            </w:r>
            <w:r>
              <w:rPr>
                <w:rFonts w:hint="eastAsia" w:ascii="仿宋_GB2312" w:eastAsia="仿宋_GB2312"/>
                <w:sz w:val="24"/>
                <w:szCs w:val="24"/>
                <w:lang w:val="zh-CN"/>
              </w:rPr>
              <w:t>对</w:t>
            </w:r>
            <w:r>
              <w:rPr>
                <w:rFonts w:hint="eastAsia" w:ascii="仿宋_GB2312" w:eastAsia="仿宋_GB2312"/>
                <w:sz w:val="24"/>
                <w:szCs w:val="24"/>
                <w:u w:val="single"/>
              </w:rPr>
              <w:t xml:space="preserve">     标项二：信创操作电脑  </w:t>
            </w:r>
            <w:r>
              <w:rPr>
                <w:rFonts w:hint="eastAsia" w:ascii="仿宋_GB2312" w:eastAsia="仿宋_GB2312"/>
                <w:sz w:val="24"/>
                <w:szCs w:val="24"/>
                <w:lang w:val="zh-CN"/>
              </w:rPr>
              <w:t>实施政府强制采购，投标人</w:t>
            </w:r>
            <w:r>
              <w:rPr>
                <w:rFonts w:hint="eastAsia" w:ascii="仿宋_GB2312" w:eastAsia="仿宋_GB2312"/>
                <w:sz w:val="24"/>
                <w:szCs w:val="24"/>
              </w:rPr>
              <w:t>就</w:t>
            </w:r>
            <w:r>
              <w:rPr>
                <w:rFonts w:hint="eastAsia" w:ascii="仿宋_GB2312" w:eastAsia="仿宋_GB2312"/>
                <w:sz w:val="24"/>
                <w:szCs w:val="24"/>
                <w:lang w:val="zh-CN"/>
              </w:rPr>
              <w:t>相应的投标产品未</w:t>
            </w:r>
            <w:r>
              <w:rPr>
                <w:rFonts w:hint="eastAsia" w:ascii="仿宋_GB2312" w:eastAsia="仿宋_GB2312"/>
                <w:sz w:val="24"/>
                <w:szCs w:val="24"/>
              </w:rPr>
              <w:t>提供</w:t>
            </w:r>
            <w:r>
              <w:rPr>
                <w:rFonts w:hint="eastAsia" w:ascii="仿宋_GB2312" w:eastAsia="仿宋_GB2312"/>
                <w:sz w:val="24"/>
                <w:szCs w:val="24"/>
                <w:lang w:val="zh-CN"/>
              </w:rPr>
              <w:t>国家确定的认证机构出具的、处于有效期之内的节能产品认证证书的，投标无效。</w:t>
            </w:r>
          </w:p>
          <w:p>
            <w:pPr>
              <w:spacing w:line="360" w:lineRule="auto"/>
              <w:ind w:firstLine="480" w:firstLineChars="200"/>
              <w:rPr>
                <w:rFonts w:ascii="仿宋_GB2312" w:eastAsia="仿宋_GB2312"/>
                <w:sz w:val="24"/>
                <w:szCs w:val="24"/>
                <w:lang w:val="zh-CN"/>
              </w:rPr>
            </w:pPr>
            <w:sdt>
              <w:sdtPr>
                <w:rPr>
                  <w:rFonts w:hint="eastAsia" w:ascii="仿宋_GB2312" w:eastAsia="仿宋_GB2312"/>
                  <w:sz w:val="24"/>
                  <w:szCs w:val="24"/>
                </w:rPr>
                <w:id w:val="183178446"/>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r>
              <w:rPr>
                <w:rFonts w:hint="eastAsia" w:ascii="仿宋_GB2312" w:eastAsia="仿宋_GB2312"/>
                <w:sz w:val="24"/>
                <w:szCs w:val="24"/>
                <w:lang w:val="zh-CN"/>
              </w:rPr>
              <w:t>依据国家确定的认证机构出具的、处于有效期之内的环境标志产品认证证书，对获得证书的</w:t>
            </w:r>
            <w:r>
              <w:rPr>
                <w:rFonts w:hint="eastAsia" w:ascii="仿宋_GB2312" w:eastAsia="仿宋_GB2312"/>
                <w:sz w:val="24"/>
                <w:szCs w:val="24"/>
                <w:u w:val="single"/>
              </w:rPr>
              <w:t xml:space="preserve">  标项二：信创操作电脑   </w:t>
            </w:r>
            <w:r>
              <w:rPr>
                <w:rFonts w:hint="eastAsia" w:ascii="仿宋_GB2312" w:eastAsia="仿宋_GB2312"/>
                <w:sz w:val="24"/>
                <w:szCs w:val="24"/>
                <w:lang w:val="zh-CN"/>
              </w:rPr>
              <w:t>实施政府优先采购，</w:t>
            </w:r>
            <w:r>
              <w:rPr>
                <w:rFonts w:hint="eastAsia" w:ascii="仿宋_GB2312" w:eastAsia="仿宋_GB2312"/>
                <w:sz w:val="24"/>
                <w:szCs w:val="24"/>
              </w:rPr>
              <w:t>详</w:t>
            </w:r>
            <w:r>
              <w:rPr>
                <w:rFonts w:hint="eastAsia" w:ascii="仿宋_GB2312" w:eastAsia="仿宋_GB2312"/>
                <w:sz w:val="24"/>
                <w:szCs w:val="24"/>
                <w:lang w:val="zh-CN"/>
              </w:rPr>
              <w:t>见评分标准。</w:t>
            </w:r>
          </w:p>
          <w:p>
            <w:pPr>
              <w:spacing w:line="40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259426652"/>
              </w:sdtPr>
              <w:sdtEndPr>
                <w:rPr>
                  <w:rFonts w:hint="eastAsia" w:ascii="仿宋_GB2312" w:eastAsia="仿宋_GB2312"/>
                  <w:sz w:val="24"/>
                  <w:szCs w:val="24"/>
                </w:rPr>
              </w:sdtEndPr>
              <w:sdtContent>
                <w:sdt>
                  <w:sdtPr>
                    <w:rPr>
                      <w:rFonts w:hint="eastAsia" w:ascii="仿宋_GB2312" w:eastAsia="仿宋_GB2312"/>
                      <w:sz w:val="24"/>
                      <w:szCs w:val="24"/>
                    </w:rPr>
                    <w:id w:val="2084333943"/>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Content>
            </w:sdt>
            <w:r>
              <w:rPr>
                <w:rFonts w:hint="eastAsia" w:ascii="仿宋_GB2312" w:eastAsia="仿宋_GB2312"/>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1" w:hRule="atLeast"/>
          <w:tblHeader/>
        </w:trPr>
        <w:tc>
          <w:tcPr>
            <w:tcW w:w="629" w:type="dxa"/>
            <w:tcBorders>
              <w:top w:val="single" w:color="auto" w:sz="4" w:space="0"/>
              <w:left w:val="single" w:color="000000" w:sz="8"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11</w:t>
            </w:r>
          </w:p>
        </w:tc>
        <w:tc>
          <w:tcPr>
            <w:tcW w:w="1843" w:type="dxa"/>
            <w:tcBorders>
              <w:top w:val="single" w:color="000000" w:sz="8" w:space="0"/>
              <w:left w:val="single" w:color="000000" w:sz="2" w:space="0"/>
              <w:right w:val="single" w:color="000000" w:sz="8"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政采贷</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pPr>
              <w:pStyle w:val="3"/>
              <w:spacing w:line="400" w:lineRule="exact"/>
              <w:rPr>
                <w:rFonts w:ascii="仿宋_GB2312" w:eastAsia="仿宋_GB2312"/>
                <w:sz w:val="24"/>
                <w:szCs w:val="24"/>
              </w:rPr>
            </w:pPr>
            <w:r>
              <w:rPr>
                <w:rFonts w:hint="eastAsia" w:ascii="仿宋_GB2312" w:eastAsia="仿宋_GB2312"/>
                <w:sz w:val="24"/>
                <w:szCs w:val="24"/>
              </w:rPr>
              <w:t>（2）供应商中标后也可在“政采云”平台申请政采贷：操作路径：登录政采云平台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备份投标文件的送达地点和签收人员详见招标文件第二部分15.3.；15.4。采购人、采购代理机构不强制或变相强制投标人提交备份投标文件。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 xml:space="preserve">是否需要履约保证金: </w:t>
            </w:r>
            <w:sdt>
              <w:sdtPr>
                <w:rPr>
                  <w:rFonts w:hint="eastAsia" w:ascii="仿宋_GB2312" w:eastAsia="仿宋_GB2312"/>
                  <w:sz w:val="24"/>
                  <w:szCs w:val="24"/>
                </w:rPr>
                <w:id w:val="185291820"/>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sdt>
              <w:sdtPr>
                <w:rPr>
                  <w:rFonts w:hint="eastAsia" w:ascii="仿宋_GB2312" w:eastAsia="仿宋_GB2312"/>
                  <w:sz w:val="24"/>
                  <w:szCs w:val="24"/>
                </w:rPr>
                <w:id w:val="504719723"/>
              </w:sdtPr>
              <w:sdtEndPr>
                <w:rPr>
                  <w:rFonts w:hint="eastAsia" w:ascii="仿宋_GB2312" w:eastAsia="仿宋_GB2312"/>
                  <w:sz w:val="24"/>
                  <w:szCs w:val="24"/>
                </w:rPr>
              </w:sdtEndPr>
              <w:sdtContent>
                <w:r>
                  <w:rPr>
                    <w:rFonts w:hint="eastAsia" w:ascii="仿宋_GB2312" w:eastAsia="仿宋_GB2312"/>
                    <w:sz w:val="24"/>
                    <w:szCs w:val="24"/>
                  </w:rPr>
                  <w:t>是</w:t>
                </w:r>
                <w:sdt>
                  <w:sdtPr>
                    <w:rPr>
                      <w:rFonts w:hint="eastAsia" w:ascii="仿宋_GB2312" w:eastAsia="仿宋_GB2312"/>
                      <w:sz w:val="24"/>
                      <w:szCs w:val="24"/>
                    </w:rPr>
                    <w:id w:val="504719725"/>
                  </w:sdtPr>
                  <w:sdtEndPr>
                    <w:rPr>
                      <w:rFonts w:hint="eastAsia" w:ascii="仿宋_GB2312" w:hAnsi="MS Mincho" w:eastAsia="仿宋_GB2312" w:cs="MS Mincho"/>
                      <w:sz w:val="24"/>
                      <w:szCs w:val="24"/>
                    </w:rPr>
                  </w:sdtEndPr>
                  <w:sdtContent>
                    <w:sdt>
                      <w:sdtPr>
                        <w:rPr>
                          <w:rFonts w:hint="eastAsia" w:ascii="仿宋_GB2312" w:eastAsia="仿宋_GB2312"/>
                          <w:sz w:val="24"/>
                          <w:szCs w:val="24"/>
                        </w:rPr>
                        <w:id w:val="366925715"/>
                      </w:sdtPr>
                      <w:sdtEndPr>
                        <w:rPr>
                          <w:rFonts w:hint="eastAsia" w:ascii="仿宋_GB2312" w:eastAsia="仿宋_GB2312"/>
                          <w:sz w:val="24"/>
                          <w:szCs w:val="24"/>
                        </w:rPr>
                      </w:sdtEndPr>
                      <w:sdtContent>
                        <w:sdt>
                          <w:sdtPr>
                            <w:rPr>
                              <w:rFonts w:hint="eastAsia" w:ascii="仿宋_GB2312" w:eastAsia="仿宋_GB2312"/>
                              <w:sz w:val="24"/>
                              <w:szCs w:val="24"/>
                            </w:rPr>
                            <w:id w:val="50"/>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Content>
                    </w:sdt>
                  </w:sdtContent>
                </w:sdt>
                <w:r>
                  <w:rPr>
                    <w:rFonts w:hint="eastAsia" w:ascii="仿宋_GB2312" w:eastAsia="仿宋_GB2312"/>
                    <w:sz w:val="24"/>
                    <w:szCs w:val="24"/>
                  </w:rPr>
                  <w:t>否</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联合体投标的，联合体各方分别提供与联合体协议中规定的分工内容相应的业绩证明材料，业绩数量以提供材料较少的一方为准。</w:t>
            </w:r>
          </w:p>
          <w:p>
            <w:pPr>
              <w:spacing w:line="400" w:lineRule="exact"/>
              <w:rPr>
                <w:rFonts w:ascii="仿宋_GB2312" w:eastAsia="仿宋_GB2312"/>
                <w:sz w:val="24"/>
                <w:szCs w:val="24"/>
              </w:rPr>
            </w:pPr>
            <w:sdt>
              <w:sdtPr>
                <w:rPr>
                  <w:rFonts w:hint="eastAsia" w:ascii="仿宋_GB2312" w:eastAsia="仿宋_GB2312"/>
                  <w:sz w:val="24"/>
                  <w:szCs w:val="24"/>
                </w:rPr>
                <w:id w:val="51"/>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联合体投标的，联合体各方均需按招标文件第四部分评标办法提供资信证明文件，否则视为不符合相关要求。</w:t>
            </w:r>
          </w:p>
          <w:p>
            <w:pPr>
              <w:pStyle w:val="3"/>
              <w:spacing w:line="400" w:lineRule="exact"/>
              <w:rPr>
                <w:rFonts w:ascii="仿宋_GB2312" w:eastAsia="仿宋_GB2312"/>
                <w:sz w:val="24"/>
                <w:szCs w:val="24"/>
              </w:rPr>
            </w:pPr>
            <w:sdt>
              <w:sdtPr>
                <w:rPr>
                  <w:rFonts w:hint="eastAsia" w:ascii="仿宋_GB2312" w:eastAsia="仿宋_GB2312"/>
                  <w:sz w:val="24"/>
                  <w:szCs w:val="24"/>
                </w:rPr>
                <w:id w:val="52"/>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r>
              <w:rPr>
                <w:rFonts w:hint="eastAsia" w:ascii="仿宋_GB2312" w:eastAsia="仿宋_GB2312"/>
                <w:sz w:val="24"/>
                <w:szCs w:val="24"/>
              </w:rPr>
              <w:t>联合体投标的，联合体中有一方或者联合体成员根据分工按招标文件第四部分评标办法提供资信证明文件的，视为符合了相关要求。</w:t>
            </w:r>
          </w:p>
        </w:tc>
      </w:tr>
    </w:tbl>
    <w:p>
      <w:pPr>
        <w:spacing w:line="420" w:lineRule="exact"/>
        <w:ind w:firstLine="472" w:firstLineChars="196"/>
        <w:contextualSpacing/>
        <w:rPr>
          <w:rFonts w:ascii="仿宋_GB2312" w:eastAsia="仿宋_GB2312"/>
          <w:b/>
          <w:sz w:val="24"/>
          <w:szCs w:val="24"/>
        </w:rPr>
      </w:pPr>
      <w:r>
        <w:rPr>
          <w:rFonts w:hint="eastAsia" w:ascii="仿宋_GB2312" w:eastAsia="仿宋_GB2312"/>
          <w:b/>
          <w:sz w:val="24"/>
          <w:szCs w:val="24"/>
        </w:rPr>
        <w:t>一、总则</w:t>
      </w:r>
    </w:p>
    <w:p>
      <w:pPr>
        <w:tabs>
          <w:tab w:val="left" w:pos="8001"/>
        </w:tabs>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1.适用范围</w:t>
      </w:r>
      <w:r>
        <w:rPr>
          <w:rFonts w:hint="eastAsia" w:ascii="仿宋_GB2312" w:eastAsia="仿宋_GB2312"/>
          <w:sz w:val="24"/>
          <w:szCs w:val="24"/>
        </w:rPr>
        <w:tab/>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本招标文件适用于该项目的招标、投标、开标、资格审查及信用信息查询、评标、定标、合同、验收等行为（法律、法规另有规定的，从其规定）。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2.定义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2.1 “采购人”系指招标公告中载明的本项目的采购人。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2.2 “采购代理机构”系指招标公告中载明的本项目的采购代理机构。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 “投标人”系指是指响应招标、参加投标竞争的法人、其他组织或者自然人。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2.4 “负责人”系指法人企业的法定负责人，或其他组织为法律、行政法规规定代表单位行使职权的主要负责人，或自然人本人。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2.6“电子交易平台”是指本项目政府采购活动所依托的政府采购云平台（https://www.zcygov.cn/）。</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2.7 “▲”系指实质性要求条款，“</w:t>
      </w:r>
      <w:r>
        <w:rPr>
          <w:rFonts w:hint="eastAsia" w:ascii="仿宋_GB2312" w:hAnsi="仿宋_GB2312" w:eastAsia="仿宋_GB2312" w:cs="仿宋_GB2312"/>
          <w:sz w:val="24"/>
          <w:szCs w:val="24"/>
        </w:rPr>
        <w:t>★</w:t>
      </w:r>
      <w:r>
        <w:rPr>
          <w:rFonts w:hint="eastAsia" w:ascii="仿宋_GB2312" w:eastAsia="仿宋_GB2312"/>
          <w:sz w:val="24"/>
          <w:szCs w:val="24"/>
        </w:rPr>
        <w:t>”系产品采购项目中单一产品或核心产品，“</w:t>
      </w:r>
      <w:sdt>
        <w:sdtPr>
          <w:rPr>
            <w:rFonts w:hint="eastAsia" w:ascii="仿宋_GB2312" w:eastAsia="仿宋_GB2312"/>
            <w:sz w:val="24"/>
            <w:szCs w:val="24"/>
          </w:rPr>
          <w:id w:val="512970236"/>
        </w:sdtPr>
        <w:sdtEndPr>
          <w:rPr>
            <w:rFonts w:hint="eastAsia" w:ascii="仿宋_GB2312" w:eastAsia="仿宋_GB2312"/>
            <w:sz w:val="24"/>
            <w:szCs w:val="24"/>
          </w:rPr>
        </w:sdtEndPr>
        <w:sdtContent>
          <w:sdt>
            <w:sdtPr>
              <w:rPr>
                <w:rFonts w:hint="eastAsia" w:ascii="仿宋_GB2312" w:eastAsia="仿宋_GB2312"/>
                <w:sz w:val="24"/>
                <w:szCs w:val="24"/>
              </w:rPr>
              <w:id w:val="54"/>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sdtContent>
      </w:sdt>
      <w:r>
        <w:rPr>
          <w:rFonts w:hint="eastAsia" w:ascii="仿宋_GB2312" w:eastAsia="仿宋_GB2312"/>
          <w:sz w:val="24"/>
          <w:szCs w:val="24"/>
        </w:rPr>
        <w:t>” 系指适用本项目的要求，“</w:t>
      </w:r>
      <w:sdt>
        <w:sdtPr>
          <w:rPr>
            <w:rFonts w:hint="eastAsia" w:ascii="仿宋_GB2312" w:eastAsia="仿宋_GB2312"/>
            <w:sz w:val="24"/>
            <w:szCs w:val="24"/>
          </w:rPr>
          <w:id w:val="404888855"/>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 系指不适用本项目的要求。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 采购项目需要落实的政府采购政策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 支持绿色发展。</w:t>
      </w:r>
    </w:p>
    <w:p>
      <w:pPr>
        <w:spacing w:line="420" w:lineRule="exact"/>
        <w:ind w:firstLine="480" w:firstLineChars="200"/>
        <w:contextualSpacing/>
        <w:rPr>
          <w:rFonts w:ascii="仿宋_GB2312" w:eastAsia="仿宋_GB2312"/>
          <w:b/>
          <w:sz w:val="24"/>
          <w:szCs w:val="24"/>
        </w:rPr>
      </w:pPr>
      <w:r>
        <w:rPr>
          <w:rFonts w:hint="eastAsia" w:ascii="仿宋_GB2312" w:eastAsia="仿宋_GB2312"/>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eastAsia="仿宋_GB2312"/>
          <w:b/>
          <w:sz w:val="24"/>
          <w:szCs w:val="24"/>
        </w:rPr>
        <w:t>▲采购人拟采购的产品属于政府强制采购的节能产品品目清单范围的，投标人未按招标文件要求提供国家确定的认证机构出具的、处于有效期之内的节能产品认证证书的，投标无效。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3.2.2 修缮、装修类项目采购建材的，采购人应将绿色建筑和绿色建材性能、指标等作为实质性条件纳入招标文件和合同。</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Style w:val="3"/>
        <w:spacing w:line="420" w:lineRule="exact"/>
        <w:rPr>
          <w:rFonts w:ascii="仿宋_GB2312" w:eastAsia="仿宋_GB2312"/>
          <w:sz w:val="24"/>
          <w:szCs w:val="24"/>
        </w:rPr>
      </w:pPr>
      <w:r>
        <w:rPr>
          <w:rFonts w:hint="eastAsia" w:ascii="仿宋_GB2312" w:eastAsia="仿宋_GB2312"/>
          <w:sz w:val="24"/>
          <w:szCs w:val="24"/>
        </w:rPr>
        <w:t xml:space="preserve">    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3.3支持中小企业发展</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符合中小企业划分标准的个体工商户，在政府采购活动中视同中小企业。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3.3.2在政府采购活动中，投标人提供的货物、工程或者服务符合下列情形的，享受中小企业扶持政策：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3.3.2.1在货物采购项目中，货物由中小企业制造，即货物由中小企业生产且使用该中小企业商号或者注册商标；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3.3.2.2在工程采购项目中，工程由中小企业承建，即工程施工单位为中小企业；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3.3.2.3在服务采购项目中，服务由中小企业承接，即提供服务的人员为中小企业依照《中华人民共和国劳动合同法》订立劳动合同的从业人员。</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在货物采购项目中，投标人提供的货物既有中小企业制造货物，也有大型企业制造货物的，不享受中小企业扶持政策。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以联合体形式参加政府采购活动，联合体各方均为中小企业的，联合体视同中小企业。其中，联合体各方均为小微企业的，联合体视同小微企业。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3.3.3对于未预留份额专门面向中小企业的政府采购项目，以及预留份额政府采购项目中的非预留部分标项，对小型和微型企业的投标报价给予</w:t>
      </w:r>
      <w:r>
        <w:rPr>
          <w:rFonts w:hint="eastAsia" w:ascii="仿宋_GB2312" w:eastAsia="仿宋_GB2312"/>
          <w:sz w:val="24"/>
          <w:szCs w:val="24"/>
          <w:u w:val="single"/>
        </w:rPr>
        <w:t>10%</w:t>
      </w:r>
      <w:r>
        <w:rPr>
          <w:rFonts w:hint="eastAsia" w:ascii="仿宋_GB2312" w:eastAsia="仿宋_GB2312"/>
          <w:sz w:val="24"/>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仿宋_GB2312" w:eastAsia="仿宋_GB2312"/>
          <w:sz w:val="24"/>
          <w:szCs w:val="24"/>
          <w:u w:val="single"/>
        </w:rPr>
        <w:t>4%</w:t>
      </w:r>
      <w:r>
        <w:rPr>
          <w:rFonts w:hint="eastAsia" w:ascii="仿宋_GB2312" w:eastAsia="仿宋_GB2312"/>
          <w:sz w:val="24"/>
          <w:szCs w:val="24"/>
        </w:rPr>
        <w:t>的扣除，用扣除后的价格参加评审。组成联合体或者接受分包的小微企业与联合体内其他企业、分包企业之间存在直接控股、管理关系的，不享受价格扣除优惠政策。专门面向中小企业采购的项目或者采购包，不再执行价格评审优惠的扶持政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3.3.4符合《关于促进残疾人就业政府采购政策的通知》（财库〔2017〕141号）规定的条件并提供《残疾人福利性单位声明函》（附件1）的残疾人福利性单位视同小型、微型企业；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3.3.7中小企业享受扶持政策获得政府采购合同的，小微企业不得将合同分包给大中型企业，中型企业不得将合同分包给大型企业。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3.4支持创新发展</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 采购人优先采购被认定为首台套产品和“制造精品”的自主创新产品。</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3.5平等对待内外资企业和符合条件的破产重整企业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平等对待内外资企业和符合条件的破产重整企业，切实保障企业公平竞争，平等维护企业的合法利益。</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3.6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 询问、质疑、投诉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在线询问、质疑、投诉。根据《浙江省财政厅关于进一步促进政府采购公平竞争打造最优营商环境的通知》（浙财采监（2021）22号）文件关于“健全行政裁决机制”要求，鼓励供应商询问线上提起，路径为：政采云-项目采购-询问质疑投诉-询问列表；鼓励供应商质疑线上提起，路径为：政采云-项目采购-询问质疑投诉-质疑列表。质疑供应商对线上质疑答复不满意的，可线上提起投诉，路径为：浙江政务服务网-政府采购投诉处理-在线办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4.2供应商询问</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4.3供应商质疑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4.3.1提出质疑的供应商应当是参与所质疑项目采购活动的供应商。潜在供应商已依法获取其可质疑的招标文件的，可以对该文件提出质疑。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4.3.2供应商认为招标文件、采购过程和中标结果使自己的权益受到损害的，可以在知道或者应知其权益受到损害之日起七个工作日内，以书面形式或线上向采购人或者采购代理机构提出质疑，否则，采购人或者采购代理机构不予受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4.3.2.1对招标文件提出质疑的，质疑期限为供应商获得招标文件之日或者招标文件公告期限届满之日起计算。供应商获得招标文件在公告期限届满之日后的，应当自招标文件公告期限届满之日起计算，且应当在采购响应截止时间之前提出，否则采购人或者采购代理机构不予受理。对招标文件中特定资格条件、采购需求、评分办法提出的质疑，原则上由采购人负责答复；对招标文件中其他内容提出的质疑，原则上由采购代理机构负责答复。</w:t>
      </w:r>
    </w:p>
    <w:p>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4.3.2.2对采购过程提出质疑的，质疑期限为各采购程序环节结束之日起计算。对同一采购程序环节的质疑，供应商须在法定质疑期内一次性提出。对采购过程中有关现场考察或开标前答疑会事项提出的质疑，原则上由采购人负责答复；对采购过程中其它事项提出的质疑，原则上由采购代理机构负责答复。</w:t>
      </w:r>
    </w:p>
    <w:p>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4.3.2.3对采购结果提出质疑的，质疑期限自采购结果公告期限届满之日起计算。对采购结果提出质疑的，采购代理机构负责答复。</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4.3.3供应商提出质疑应当提交质疑函和必要的证明材料。质疑函应当包括下列内容：</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4.3.3.1供应商的姓名或者名称、地址、邮编、联系人及联系电话；</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4.3.3.2质疑项目的名称、编号；</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4.3.3.3具体、明确的质疑事项和与质疑事项相关的请求；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4.3.3.4事实依据；</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4.3.3.5必要的法律依据；</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4.3.3.6提出质疑的日期。</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供应商线下提交质疑函的，质疑函需一式三份。供应商为自然人的，应当由本人签字；供应商为法人或者其他组织的，应当由法定代表人、主要负责人，或者其授权代表签字或者盖章，并加盖公章。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质疑函范本及制作说明详见附件2。</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4.3.4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4.3.5询问或者质疑事项可能影响采购结果的，采购人应当暂停签订合同，已经签订合同的，应当中止履行合同。</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4.4供应商投诉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4.4.1质疑供应商对采购人、采购代理机构的答复不满意或者采购人、采购代理机构未在规定的时间内作出答复的，可以在答复期满后十五个工作日内向同级政府采购监督管理部门提出投诉。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4.4.2供应商投诉的事项不得超出已质疑事项的范围，基于质疑答复内容提出的投诉事项除外。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4.4.3供应商投诉应当有明确的请求和必要的证明材料。</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4.4.5 以联合体形式参加政府采购活动的，其投诉应当由组成联合体的所有供应商共同提出。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投诉书范本及制作说明详见附件3。</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二、招标文件的构成、澄清、修改</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5．招标文件的构成</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 招标文件包括下列文件及附件：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5.1.1招标公告；</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5.1.2投标人须知；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5.1.3采购需求；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5.1.4评标办法；</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5.1.5拟签订的合同文本；</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5.1.6应提交的有关格式范例。</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5.2与本项目有关的澄清或者修改的内容为招标文件的组成部分。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 招标文件的澄清、修改</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6.1已获取招标文件的潜在投标人，若有问题需要澄清，应于投标截止时间前，以书面形式向采购代理机构提出。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line="420" w:lineRule="exact"/>
        <w:ind w:firstLine="482"/>
        <w:contextualSpacing/>
        <w:rPr>
          <w:rFonts w:ascii="仿宋_GB2312" w:eastAsia="仿宋_GB2312"/>
          <w:b/>
          <w:sz w:val="24"/>
          <w:szCs w:val="24"/>
        </w:rPr>
      </w:pPr>
      <w:r>
        <w:rPr>
          <w:rFonts w:hint="eastAsia" w:ascii="仿宋_GB2312" w:eastAsia="仿宋_GB2312"/>
          <w:b/>
          <w:sz w:val="24"/>
          <w:szCs w:val="24"/>
        </w:rPr>
        <w:t xml:space="preserve">    三、投标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 招标文件的获取</w:t>
      </w:r>
    </w:p>
    <w:p>
      <w:pPr>
        <w:spacing w:line="420" w:lineRule="exact"/>
        <w:contextualSpacing/>
        <w:rPr>
          <w:rFonts w:ascii="仿宋_GB2312" w:eastAsia="仿宋_GB2312"/>
          <w:sz w:val="24"/>
          <w:szCs w:val="24"/>
        </w:rPr>
      </w:pPr>
      <w:r>
        <w:rPr>
          <w:rFonts w:hint="eastAsia" w:ascii="仿宋_GB2312" w:eastAsia="仿宋_GB2312"/>
          <w:sz w:val="24"/>
          <w:szCs w:val="24"/>
        </w:rPr>
        <w:t xml:space="preserve">    详见招标公告中获取招标文件的时间期限、地点、方式及招标文件售价。</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8.开标前答疑会或现场考察</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采购人组织潜在投标人现场考察或者召开开标前答疑会的，潜在投标人按第二部分投标人须知前附表的规定参加现场考察或者开标前答疑会。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9.投标保证金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本项目不需缴纳投标保证金。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10. 投标文件的语言</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投标文件及投标人与采购有关的来往通知、函件和文件均应使用中文。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 投标文件的组成</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11.1资格文件：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11.1.1符合参加政府采购活动应当具备的一般条件的承诺函；</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11.1.2落实政府采购政策需满足的资格要求（如果有）;</w:t>
      </w:r>
    </w:p>
    <w:p>
      <w:pPr>
        <w:spacing w:line="420" w:lineRule="exact"/>
        <w:ind w:firstLine="480"/>
        <w:contextualSpacing/>
        <w:rPr>
          <w:rFonts w:ascii="仿宋_GB2312" w:eastAsia="仿宋_GB2312"/>
          <w:sz w:val="24"/>
          <w:szCs w:val="24"/>
        </w:rPr>
      </w:pPr>
      <w:r>
        <w:rPr>
          <w:rFonts w:hint="eastAsia" w:ascii="仿宋_GB2312" w:eastAsia="仿宋_GB2312"/>
          <w:sz w:val="24"/>
          <w:szCs w:val="24"/>
        </w:rPr>
        <w:t>11.1.3本项目的特定资格要求（如果有）；</w:t>
      </w:r>
    </w:p>
    <w:p>
      <w:pPr>
        <w:spacing w:line="420" w:lineRule="exact"/>
        <w:ind w:firstLine="480"/>
        <w:contextualSpacing/>
        <w:rPr>
          <w:rFonts w:ascii="仿宋_GB2312" w:eastAsia="仿宋_GB2312"/>
          <w:sz w:val="24"/>
          <w:szCs w:val="24"/>
        </w:rPr>
      </w:pPr>
      <w:r>
        <w:rPr>
          <w:rFonts w:hint="eastAsia" w:ascii="仿宋_GB2312" w:eastAsia="仿宋_GB2312"/>
          <w:sz w:val="24"/>
          <w:szCs w:val="24"/>
        </w:rPr>
        <w:t>11.1.4联合协议（如果有）；</w:t>
      </w:r>
    </w:p>
    <w:p>
      <w:pPr>
        <w:spacing w:line="420" w:lineRule="exact"/>
        <w:ind w:firstLine="480"/>
        <w:contextualSpacing/>
        <w:rPr>
          <w:rFonts w:ascii="仿宋_GB2312" w:eastAsia="仿宋_GB2312"/>
          <w:sz w:val="24"/>
          <w:szCs w:val="24"/>
        </w:rPr>
      </w:pPr>
      <w:r>
        <w:rPr>
          <w:rFonts w:hint="eastAsia" w:ascii="仿宋_GB2312" w:eastAsia="仿宋_GB2312"/>
          <w:sz w:val="24"/>
          <w:szCs w:val="24"/>
        </w:rPr>
        <w:t>11.1.5分包意向协议（如果有）。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  商务技术文件：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11.2.1投标函；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11.2.2授权委托书或法定代表人（单位负责人）身份证明；</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11.2.3联合协议（如果有）；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11.2.4分包意向协议（如果有）；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11.2.5符合性审查资料；</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11.2.6拟投入的项目班子格式；</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11.2.7评标标准相应的商务技术资料；</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11.2.8投标标的清单（如果有）；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11.2.9商务技术偏离表（如果有）；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11.2.10政府采购供应商廉洁自律承诺书。</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11.3报价文件：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11.3.1开标一览表（报价表）；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11.3.2中小企业声明函；</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11.3.3详细阐述关于不影响产品质量或者诚信履约的具体原因（如果报价低于项目预算50%的）。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12.投标文件的编制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12.2投标人进行电子投标应安装客户端软件—“政采云电子交易客户端”，并按照招标文件和电子交易平台的要求编制并加密投标文件。投标人未按规定加密的投标文件，电子交易平台将拒收并提示。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12.3使用“政采云电子交易客户端”需要提前申领CA数字证书，申领流程请自行前往“浙江政府采购网-下载专区-电子交易客户端-CA驱动和申领流程”进行查阅。</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13.投标文件的签署、盖章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13.1投标文件按照招标文件第六部分格式要求进行签署、盖章。▲</w:t>
      </w:r>
      <w:r>
        <w:rPr>
          <w:rFonts w:hint="eastAsia" w:ascii="仿宋_GB2312" w:eastAsia="仿宋_GB2312"/>
          <w:b/>
          <w:sz w:val="24"/>
          <w:szCs w:val="24"/>
        </w:rPr>
        <w:t>投标人的投标文件未按照招标文件要求签署、盖章的，其投标无效</w:t>
      </w:r>
      <w:r>
        <w:rPr>
          <w:rFonts w:hint="eastAsia" w:ascii="仿宋_GB2312" w:eastAsia="仿宋_GB2312"/>
          <w:sz w:val="24"/>
          <w:szCs w:val="24"/>
        </w:rPr>
        <w:t>。</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13.2为确保网上操作合法、有效和安全，投标人应当在投标截止时间前完成在“政府采购云平台”的身份认证，确保在电子投标过程中能够对相关数据电文进行加密和使用电子签名。</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13.3招标文件对投标文件签署、盖章的要求适用于电子签名。</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14.投标文件的提交、补充、修改、撤回</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14.2电子交易平台收到投标文件，将妥善保存并即时向供应商发出确认回执通知。在投标截止时间前，除供应商补充、修改或者撤回投标文件外，任何单位和个人不得解密或提取投标文件。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14.3采购人、采购代理机构可以视情况延长投标文件提交的截止时间。在上述情况下，采购代理机构与投标人以前在投标截止期方面的全部权利、责任和义务，将适用于延长至新的投标截止期。</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15.备份投标文件</w:t>
      </w:r>
    </w:p>
    <w:p>
      <w:pPr>
        <w:spacing w:line="420" w:lineRule="exact"/>
        <w:contextualSpacing/>
        <w:rPr>
          <w:rFonts w:ascii="仿宋_GB2312" w:eastAsia="仿宋_GB2312"/>
          <w:sz w:val="24"/>
          <w:szCs w:val="24"/>
        </w:rPr>
      </w:pPr>
      <w:r>
        <w:rPr>
          <w:rFonts w:hint="eastAsia" w:ascii="仿宋_GB2312" w:eastAsia="仿宋_GB2312"/>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15.3直接提交备份投标文件的，投标人应于开标当日投标截止时间前将备份投标文件按要求密封和标记后送达舟山市新城翁山路555号四楼（大宗商品交易中心同幢西边）4楼政府采购窗口；送达时间以签收人签收时间为准（签收人：曹女士，联系电话：0580-2281591）。采购代理机构将拒绝接受逾期送达的备份投标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15.4以邮政快递方式递交备份投标文件的，投标人应先将备份投标文件按要求密封和标记，再进行邮政快递包装后邮寄。备份投标文件须在投标截止时间之前送达舟山市翁山路555号4楼4024室；送达时间以签收人签收时间为准（签收人：曹女士，联系电话：0580-2281591）。采购代理机构将拒绝接受逾期送达的备份投标文件。邮寄过程中，电子备份投标文件发生泄露、遗失、损坏或延期送达等情况的，由投标人自行负责。</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15.5投标人仅提交备份投标文件，没有在电子交易平台传输递交投标文件的，投标无效。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16.投标文件的无效处理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有招标文件第四部分4.2项规定的情形之一的，投标无效。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17.投标有效期</w:t>
      </w:r>
    </w:p>
    <w:p>
      <w:pPr>
        <w:spacing w:line="420" w:lineRule="exact"/>
        <w:ind w:firstLine="480" w:firstLineChars="200"/>
        <w:contextualSpacing/>
        <w:rPr>
          <w:rFonts w:ascii="仿宋_GB2312" w:eastAsia="仿宋_GB2312"/>
          <w:b/>
          <w:sz w:val="24"/>
          <w:szCs w:val="24"/>
        </w:rPr>
      </w:pPr>
      <w:r>
        <w:rPr>
          <w:rFonts w:hint="eastAsia" w:ascii="仿宋_GB2312" w:eastAsia="仿宋_GB2312"/>
          <w:sz w:val="24"/>
          <w:szCs w:val="24"/>
        </w:rPr>
        <w:t>17.1投标有效期为从提交投标文件的截止之日起90天。▲</w:t>
      </w:r>
      <w:r>
        <w:rPr>
          <w:rFonts w:hint="eastAsia" w:ascii="仿宋_GB2312" w:eastAsia="仿宋_GB2312"/>
          <w:b/>
          <w:sz w:val="24"/>
          <w:szCs w:val="24"/>
        </w:rPr>
        <w:t>投标人的投标文件中承诺的投标有效期少于招标文件中载明的投标有效期的，投标无效。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17.2投标文件合格投递后，自投标截止日期起，在投标有效期内有效。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四、开标、资格审查与信用信息查询</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18.开标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18.1采购代理机构按照招标文件规定的时间通过电子交易平台组织开标，所有投标人均应当准时在线参加。</w:t>
      </w:r>
    </w:p>
    <w:p>
      <w:pPr>
        <w:spacing w:line="420" w:lineRule="exact"/>
        <w:contextualSpacing/>
        <w:rPr>
          <w:rFonts w:ascii="仿宋_GB2312" w:eastAsia="仿宋_GB2312"/>
          <w:sz w:val="24"/>
          <w:szCs w:val="24"/>
        </w:rPr>
      </w:pPr>
      <w:r>
        <w:rPr>
          <w:rFonts w:hint="eastAsia" w:ascii="仿宋_GB2312" w:eastAsia="仿宋_GB2312"/>
          <w:sz w:val="24"/>
          <w:szCs w:val="24"/>
        </w:rPr>
        <w:t>　  18.2开标时，电子交易平台按开标时间自动提取所有投标文件。采购代理机构依托电子交易平台发起开始解密指令，投标人按照平台提示和招标文件的规定在半小时内完成在线解密。</w:t>
      </w:r>
    </w:p>
    <w:p>
      <w:pPr>
        <w:spacing w:line="420" w:lineRule="exact"/>
        <w:contextualSpacing/>
        <w:rPr>
          <w:rFonts w:ascii="仿宋_GB2312" w:eastAsia="仿宋_GB2312"/>
          <w:sz w:val="24"/>
          <w:szCs w:val="24"/>
        </w:rPr>
      </w:pPr>
      <w:r>
        <w:rPr>
          <w:rFonts w:hint="eastAsia" w:ascii="仿宋_GB2312" w:eastAsia="仿宋_GB2312"/>
          <w:sz w:val="24"/>
          <w:szCs w:val="24"/>
        </w:rPr>
        <w:t>　  18.3</w:t>
      </w:r>
      <w:r>
        <w:rPr>
          <w:rFonts w:hint="eastAsia" w:ascii="仿宋_GB2312" w:eastAsia="仿宋_GB2312"/>
          <w:b/>
          <w:sz w:val="24"/>
          <w:szCs w:val="24"/>
        </w:rPr>
        <w:t>投标文件未按时解密，投标人提供了备份投标文件的，以备份投标文件作为依据，否则视为投标文件撤回。投标文件已按时解密的，备份投标文件自动失效。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19.资格审查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19.1开标后，采购人将依法对投标人的资格进行审查。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19.2采购人依据法律法规和招标文件的规定，对投标人的基本资格条件、特定资格条件进行审查。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19.3投标人未按照招标文件要求提供与基本资格条件、特定资格条件相应的有效资格证明材料的，视为投标人不具备招标文件中规定的资格要求，其投标无效。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19.4对未通过资格审查的投标人，采购人或采购代理机构告知其未通过的原因。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19.5合格投标人不足3家的，不再评标。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20.信用信息查询</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20.1信用信息查询渠道及截止时间：采购代理机构将通过“信用中国”网站(www.creditchina.gov.cn)、中国政府采购网(www.ccgp.gov.cn)渠道查询投标人投标截止时间当天的信用记录。</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20.2信用信息查询记录和证据留存的具体方式：现场查询的投标人的信用记录、查询结果经确认后将与采购文件一起存档。</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五、评标</w:t>
      </w:r>
    </w:p>
    <w:p>
      <w:pPr>
        <w:spacing w:line="420" w:lineRule="exact"/>
        <w:ind w:firstLine="480" w:firstLineChars="200"/>
        <w:contextualSpacing/>
        <w:rPr>
          <w:rFonts w:ascii="仿宋_GB2312" w:eastAsia="仿宋_GB2312"/>
          <w:sz w:val="24"/>
          <w:szCs w:val="24"/>
        </w:rPr>
      </w:pPr>
      <w:bookmarkStart w:id="14" w:name="_Toc91899903"/>
      <w:r>
        <w:rPr>
          <w:rFonts w:hint="eastAsia" w:ascii="仿宋_GB2312" w:eastAsia="仿宋_GB2312"/>
          <w:sz w:val="24"/>
          <w:szCs w:val="24"/>
        </w:rPr>
        <w:t>21. 评标委员会将根据招标文件和有关规定，履行评标工作职责，并按照评标办法及评分标准，全面衡量各投标人对招标文件的响应情况。对实质上响应招标文件的投标人，按照评审得分由高到低排序，并按顺序提出授标建议。评标办法详见招标文件第四部分。本项目由采购人授权评审委员会（谈判小组、询价小组）根据中标（成交）候选人名单及排序，直接确定中标人（成交供应商）。</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六、定标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22.确定中标供应商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候选人撤销投标（响应）文件不能成为采购人不确认采购结果的正当理由（采购文件中明确）。中标、成交通知书和中标、成交结果公告应当在规定时间内同时发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23.中标通知与中标结果公告</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23.1自中标人确定之日起2个工作日内，采购代理机构通过电子交易平台向中标人发出中标通知书，同时编制发布采购结果公告。采购代理机构也可以以纸质形式进行中标通知。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23.3公告期限为1个工作日。</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七、合同授予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24. 合同主要条款详见第五部分拟签订的合同文本。</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 合同的签订</w:t>
      </w:r>
    </w:p>
    <w:p>
      <w:pPr>
        <w:spacing w:line="420" w:lineRule="exact"/>
        <w:ind w:firstLine="480" w:firstLineChars="200"/>
        <w:contextualSpacing/>
        <w:rPr>
          <w:rFonts w:ascii="仿宋_GB2312" w:eastAsia="仿宋_GB2312"/>
          <w:sz w:val="24"/>
          <w:szCs w:val="24"/>
          <w:u w:val="single"/>
        </w:rPr>
      </w:pPr>
      <w:r>
        <w:rPr>
          <w:rFonts w:hint="eastAsia" w:ascii="仿宋_GB2312" w:eastAsia="仿宋_GB2312"/>
          <w:sz w:val="24"/>
          <w:szCs w:val="24"/>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采购人与中标供应商按照采购文件确定的事项签订政府采购合同，并及时上传发布。</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25.2中标人按规定的日期、时间、地点，由法定代表人或其授权代表与采购人代表签订合同。如中标人为联合体的，由联合体成员各方法定代表人或其授权代表与采购人代表签订合同。</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25.3中标供应商拒绝与采购人签订合同的，采购人可以按照评审报告推荐的中标或者成交候选人名单排序，确定下一候选人为中标供应商，也可以重新开展政府采购活动。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25.4中标供应商放弃中标资格导致重新采购的，应当承担支付专家评审费等费用在内的赔偿责任。</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25.5采购合同由采购人与中标供应商根据招标文件、投标文件等内容通过政府采购电子交易平台在线签订，自动备案。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26. 履约保证金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27. 预付款</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八、电子交易活动的中止</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 电子交易活动的中止。采购过程中出现以下情形，导致电子交易平台无法正常运行，或者无法保证电子交易的公平、公正和安全时，采购代理机构可中止电子交易活动：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28.1电子交易平台发生故障而无法登录访问的；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28.2电子交易平台应用或数据库出现错误，不能进行正常操作的；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28.3电子交易平台发现严重安全漏洞，有潜在泄密危险的；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28.4病毒发作导致不能进行正常操作的；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28.5其他无法保证电子交易的公平、公正和安全的情况。</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29.出现以上情形，不影响采购公平、公正性的，采购组织机构可以待上述情形消除后继续组织电子交易活动，也可以决定某些环节以纸质形式进行；影响或可能影响采购公平、公正性的，应当重新采购。</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九、验收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30.验收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30.2采购人可以邀请参加本项目的其他投标人或者第三方机构参与验收。参与验收的投标人或者第三方机构的意见作为验收书的参考资料一并存档。</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spacing w:line="540" w:lineRule="exact"/>
        <w:contextualSpacing/>
        <w:rPr>
          <w:rFonts w:ascii="仿宋_GB2312" w:eastAsia="仿宋_GB2312"/>
          <w:sz w:val="24"/>
          <w:szCs w:val="24"/>
        </w:rPr>
        <w:sectPr>
          <w:footerReference r:id="rId6" w:type="first"/>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117"/>
        </w:sectPr>
      </w:pPr>
      <w:bookmarkStart w:id="15" w:name="_Hlt74729768"/>
      <w:bookmarkEnd w:id="15"/>
      <w:bookmarkStart w:id="16" w:name="_Hlt74714665"/>
      <w:bookmarkEnd w:id="16"/>
      <w:bookmarkStart w:id="17" w:name="_Hlt75236290"/>
      <w:bookmarkEnd w:id="17"/>
      <w:bookmarkStart w:id="18" w:name="_Hlt74730295"/>
      <w:bookmarkEnd w:id="18"/>
      <w:bookmarkStart w:id="19" w:name="_Hlt68057669"/>
      <w:bookmarkEnd w:id="19"/>
      <w:bookmarkStart w:id="20" w:name="_Hlt68072998"/>
      <w:bookmarkEnd w:id="20"/>
      <w:bookmarkStart w:id="21" w:name="_Hlt75236101"/>
      <w:bookmarkEnd w:id="21"/>
      <w:bookmarkStart w:id="22" w:name="_Hlt68072990"/>
      <w:bookmarkEnd w:id="22"/>
      <w:bookmarkStart w:id="23" w:name="_Hlt68073093"/>
      <w:bookmarkEnd w:id="23"/>
      <w:bookmarkStart w:id="24" w:name="_Hlt75236011"/>
      <w:bookmarkEnd w:id="24"/>
      <w:bookmarkStart w:id="25" w:name="_Hlt74707468"/>
      <w:bookmarkEnd w:id="25"/>
      <w:bookmarkStart w:id="26" w:name="_Hlt68403820"/>
      <w:bookmarkEnd w:id="26"/>
    </w:p>
    <w:bookmarkEnd w:id="11"/>
    <w:bookmarkEnd w:id="12"/>
    <w:p>
      <w:pPr>
        <w:numPr>
          <w:ilvl w:val="0"/>
          <w:numId w:val="3"/>
        </w:numPr>
        <w:ind w:firstLine="2731" w:firstLineChars="850"/>
        <w:jc w:val="left"/>
        <w:outlineLvl w:val="0"/>
        <w:rPr>
          <w:b/>
          <w:sz w:val="32"/>
          <w:szCs w:val="32"/>
        </w:rPr>
      </w:pPr>
      <w:bookmarkStart w:id="27" w:name="第四部分"/>
      <w:r>
        <w:rPr>
          <w:rFonts w:hint="eastAsia"/>
          <w:b/>
          <w:sz w:val="32"/>
          <w:szCs w:val="32"/>
        </w:rPr>
        <w:t xml:space="preserve">  采购需求</w:t>
      </w:r>
    </w:p>
    <w:p>
      <w:pPr>
        <w:pStyle w:val="6"/>
        <w:snapToGrid w:val="0"/>
        <w:spacing w:before="0" w:after="0" w:line="360" w:lineRule="auto"/>
        <w:ind w:firstLine="482" w:firstLineChars="200"/>
        <w:rPr>
          <w:rFonts w:ascii="仿宋_GB2312" w:hAnsi="仿宋_GB2312" w:eastAsia="仿宋_GB2312" w:cs="仿宋_GB2312"/>
          <w:sz w:val="24"/>
          <w:szCs w:val="24"/>
        </w:rPr>
      </w:pPr>
      <w:bookmarkStart w:id="28" w:name="_Hlk56759931"/>
      <w:bookmarkStart w:id="29" w:name="_Hlk56610403"/>
      <w:bookmarkStart w:id="30" w:name="_Hlk57127289"/>
      <w:r>
        <w:rPr>
          <w:rFonts w:hint="eastAsia" w:ascii="仿宋_GB2312" w:hAnsi="仿宋_GB2312" w:eastAsia="仿宋_GB2312" w:cs="仿宋_GB2312"/>
          <w:sz w:val="24"/>
          <w:szCs w:val="24"/>
        </w:rPr>
        <w:t>标项一：</w:t>
      </w:r>
    </w:p>
    <w:p>
      <w:pPr>
        <w:pStyle w:val="6"/>
        <w:snapToGrid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一、项目背景</w:t>
      </w:r>
    </w:p>
    <w:p>
      <w:p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 w:val="24"/>
          <w:szCs w:val="24"/>
        </w:rPr>
        <w:t>防灾减灾救灾事关人民群众生命财产安全，事关社会和谐稳定。2023年以来，党中央、国务院对提升防灾减灾救灾能力、有效防范化解自然灾害重大风险做出了系列部署,2023年8月17日，中共中央政治局常务委员会召开会议，研究部署防汛抗洪救灾和灾后恢复重建工作，指出要进一步加强气象预警与灾害预报的联动，突出临灾预警，做好点对点精准预报和滚动更新，强化预警指向性，落实直达基层防汛责任人的临灾预警“叫应”机制，加强预警和应急响应联动，落实应急预案行动措施，把握工作主动权；要认真排查总结，抓紧补短板、强弱项，进一步提升我国防灾减灾救灾能力。要进一步建强各级应急指挥部体系，完善调度指挥、会商研判、业务保障等设施设备和系统，确保上下贯通、一体应对。10月份，国家计划增发1万亿元人民币国债，将推动实施自然灾害应急能力提升工程作为其中一项重要内容。</w:t>
      </w:r>
    </w:p>
    <w:p>
      <w:pPr>
        <w:pStyle w:val="6"/>
        <w:snapToGrid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二、建设目标</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按照应急管理部和省应急管理厅统一部署，2024年底前，推动各地建成跨地域、跨层级的自然灾害防治预警指挥体系，实现自然灾害防治数据横向互联、纵向贯通；加强自然灾害综合风险感知能力，提高灾害风险研判、预警提醒和应急叫应能力; 进一步建强各级应急指挥中心，形成“上下贯通、左右联通”的应急指挥调度通信网络，增强应急通信保底手段，提升指挥系统抗灾能力、网络安全感知能力和科技支撑保障能力。</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项目按照浙江省应急管理厅下发的《浙江省自然灾害应急提升工程预警指挥项目可行性研究报告》，在舟山市应急管理局已建的部分感知网络基础上，进一步提升视频汇聚级联能力，聚焦山洪灾害易发多发区、森林草原防火重点区、地质灾害隐患点、城市易涝点等多灾易灾地区和避难场所等，针对视频监控盲区等补点建设视频监控设备，实现对重点区域的全天候监测和突发灾害异常情况的实时监控和动态预警，并通过视频级联节点推送至省级视频监控平台。补齐本地区视频监控短板，强化自然灾害综合风险的智能分析，提升灾害综合风险监测预警能力。</w:t>
      </w:r>
    </w:p>
    <w:p>
      <w:pPr>
        <w:pStyle w:val="6"/>
        <w:snapToGrid w:val="0"/>
        <w:spacing w:before="0" w:after="0" w:line="360" w:lineRule="auto"/>
        <w:ind w:firstLine="482" w:firstLineChars="200"/>
        <w:rPr>
          <w:rFonts w:ascii="仿宋_GB2312" w:hAnsi="仿宋_GB2312" w:eastAsia="仿宋_GB2312" w:cs="仿宋_GB2312"/>
          <w:bCs/>
          <w:sz w:val="24"/>
          <w:szCs w:val="24"/>
        </w:rPr>
      </w:pPr>
      <w:r>
        <w:rPr>
          <w:rFonts w:hint="eastAsia" w:ascii="仿宋_GB2312" w:hAnsi="仿宋_GB2312" w:eastAsia="仿宋_GB2312" w:cs="仿宋_GB2312"/>
          <w:sz w:val="24"/>
          <w:szCs w:val="24"/>
        </w:rPr>
        <w:t>三、建设内容及要求</w:t>
      </w:r>
    </w:p>
    <w:p>
      <w:pPr>
        <w:numPr>
          <w:ilvl w:val="0"/>
          <w:numId w:val="4"/>
        </w:numPr>
        <w:tabs>
          <w:tab w:val="left" w:pos="840"/>
        </w:tabs>
        <w:spacing w:line="360" w:lineRule="auto"/>
        <w:ind w:left="0" w:firstLine="420"/>
        <w:rPr>
          <w:rFonts w:ascii="仿宋_GB2312" w:hAnsi="仿宋_GB2312" w:eastAsia="仿宋_GB2312" w:cs="仿宋_GB2312"/>
          <w:sz w:val="24"/>
          <w:szCs w:val="24"/>
        </w:rPr>
      </w:pPr>
      <w:r>
        <w:rPr>
          <w:rFonts w:hint="eastAsia" w:ascii="仿宋_GB2312" w:hAnsi="仿宋_GB2312" w:eastAsia="仿宋_GB2312" w:cs="仿宋_GB2312"/>
          <w:sz w:val="24"/>
          <w:szCs w:val="24"/>
        </w:rPr>
        <w:t>在自然灾害重点风险区域（如森林）补充建设96个热成像中载云台视频监控，提高视频监控覆盖范围。</w:t>
      </w:r>
    </w:p>
    <w:p>
      <w:pPr>
        <w:tabs>
          <w:tab w:val="left" w:pos="840"/>
        </w:tabs>
        <w:spacing w:line="360" w:lineRule="auto"/>
        <w:ind w:firstLine="420" w:firstLineChars="175"/>
        <w:rPr>
          <w:rFonts w:ascii="仿宋_GB2312" w:hAnsi="仿宋_GB2312" w:eastAsia="仿宋_GB2312" w:cs="仿宋_GB2312"/>
          <w:color w:val="FF0000"/>
          <w:sz w:val="24"/>
          <w:szCs w:val="24"/>
        </w:rPr>
      </w:pPr>
      <w:r>
        <w:rPr>
          <w:rFonts w:hint="eastAsia" w:ascii="仿宋_GB2312" w:hAnsi="仿宋_GB2312" w:eastAsia="仿宋_GB2312" w:cs="仿宋_GB2312"/>
          <w:sz w:val="24"/>
          <w:szCs w:val="24"/>
        </w:rPr>
        <w:t xml:space="preserve">前端视频监控终端建设围绕山洪灾害易发多发区、森林草原防火重点区、防汛防台海塘堤坝、地质灾害隐患点、城市易涝点等多灾易灾地区等，针对视频监控盲区，基于高位挂载体、电力、通信网络等基础设施部署高点视频监控设备，在全市多灾易灾地区部署智能视频监控终端，具备智能烟火检测、水位检测、区域入侵监测等边缘计算能力，能够将识别的风险隐患以视频流、图片等方式推送至省级视频监控系统，实现对重点区域的全天候监测和突发灾害异常情况的实时监控和动态预警。视频点位（共96处）如下表： </w:t>
      </w:r>
    </w:p>
    <w:tbl>
      <w:tblPr>
        <w:tblStyle w:val="24"/>
        <w:tblW w:w="8854" w:type="dxa"/>
        <w:tblInd w:w="98" w:type="dxa"/>
        <w:tblLayout w:type="fixed"/>
        <w:tblCellMar>
          <w:top w:w="0" w:type="dxa"/>
          <w:left w:w="108" w:type="dxa"/>
          <w:bottom w:w="0" w:type="dxa"/>
          <w:right w:w="108" w:type="dxa"/>
        </w:tblCellMar>
      </w:tblPr>
      <w:tblGrid>
        <w:gridCol w:w="412"/>
        <w:gridCol w:w="1060"/>
        <w:gridCol w:w="1001"/>
        <w:gridCol w:w="1749"/>
        <w:gridCol w:w="1159"/>
        <w:gridCol w:w="1146"/>
        <w:gridCol w:w="1312"/>
        <w:gridCol w:w="1015"/>
      </w:tblGrid>
      <w:tr>
        <w:tblPrEx>
          <w:tblCellMar>
            <w:top w:w="0" w:type="dxa"/>
            <w:left w:w="108" w:type="dxa"/>
            <w:bottom w:w="0" w:type="dxa"/>
            <w:right w:w="108" w:type="dxa"/>
          </w:tblCellMar>
        </w:tblPrEx>
        <w:trPr>
          <w:trHeight w:val="780" w:hRule="atLeast"/>
        </w:trPr>
        <w:tc>
          <w:tcPr>
            <w:tcW w:w="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16"/>
                <w:szCs w:val="16"/>
              </w:rPr>
            </w:pPr>
            <w:r>
              <w:rPr>
                <w:rFonts w:hint="eastAsia" w:ascii="仿宋_GB2312" w:hAnsi="仿宋_GB2312" w:eastAsia="仿宋_GB2312" w:cs="仿宋_GB2312"/>
                <w:b/>
                <w:bCs/>
                <w:kern w:val="0"/>
                <w:sz w:val="16"/>
                <w:szCs w:val="16"/>
              </w:rPr>
              <w:t>序号</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16"/>
                <w:szCs w:val="16"/>
              </w:rPr>
            </w:pPr>
            <w:r>
              <w:rPr>
                <w:rFonts w:hint="eastAsia" w:ascii="仿宋_GB2312" w:hAnsi="仿宋_GB2312" w:eastAsia="仿宋_GB2312" w:cs="仿宋_GB2312"/>
                <w:b/>
                <w:bCs/>
                <w:sz w:val="16"/>
                <w:szCs w:val="16"/>
              </w:rPr>
              <w:t>地点</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16"/>
                <w:szCs w:val="16"/>
              </w:rPr>
            </w:pPr>
            <w:r>
              <w:rPr>
                <w:rFonts w:hint="eastAsia" w:ascii="仿宋_GB2312" w:hAnsi="仿宋_GB2312" w:eastAsia="仿宋_GB2312" w:cs="仿宋_GB2312"/>
                <w:b/>
                <w:bCs/>
                <w:kern w:val="0"/>
                <w:sz w:val="16"/>
                <w:szCs w:val="16"/>
              </w:rPr>
              <w:t>所属县区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16"/>
                <w:szCs w:val="16"/>
              </w:rPr>
            </w:pPr>
            <w:r>
              <w:rPr>
                <w:rFonts w:hint="eastAsia" w:ascii="仿宋_GB2312" w:hAnsi="仿宋_GB2312" w:eastAsia="仿宋_GB2312" w:cs="仿宋_GB2312"/>
                <w:b/>
                <w:bCs/>
                <w:kern w:val="0"/>
                <w:sz w:val="16"/>
                <w:szCs w:val="16"/>
              </w:rPr>
              <w:t>站点地址</w:t>
            </w: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16"/>
                <w:szCs w:val="16"/>
              </w:rPr>
            </w:pPr>
            <w:r>
              <w:rPr>
                <w:rFonts w:hint="eastAsia" w:ascii="仿宋_GB2312" w:hAnsi="仿宋_GB2312" w:eastAsia="仿宋_GB2312" w:cs="仿宋_GB2312"/>
                <w:b/>
                <w:bCs/>
                <w:kern w:val="0"/>
                <w:sz w:val="16"/>
                <w:szCs w:val="16"/>
              </w:rPr>
              <w:t>经度</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16"/>
                <w:szCs w:val="16"/>
              </w:rPr>
            </w:pPr>
            <w:r>
              <w:rPr>
                <w:rFonts w:hint="eastAsia" w:ascii="仿宋_GB2312" w:hAnsi="仿宋_GB2312" w:eastAsia="仿宋_GB2312" w:cs="仿宋_GB2312"/>
                <w:b/>
                <w:bCs/>
                <w:kern w:val="0"/>
                <w:sz w:val="16"/>
                <w:szCs w:val="16"/>
              </w:rPr>
              <w:t>纬度</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16"/>
                <w:szCs w:val="16"/>
              </w:rPr>
            </w:pPr>
            <w:r>
              <w:rPr>
                <w:rFonts w:hint="eastAsia" w:ascii="仿宋_GB2312" w:hAnsi="仿宋_GB2312" w:eastAsia="仿宋_GB2312" w:cs="仿宋_GB2312"/>
                <w:b/>
                <w:bCs/>
                <w:kern w:val="0"/>
                <w:sz w:val="16"/>
                <w:szCs w:val="16"/>
              </w:rPr>
              <w:t>监控区域类型</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sz w:val="16"/>
                <w:szCs w:val="16"/>
              </w:rPr>
            </w:pPr>
            <w:r>
              <w:rPr>
                <w:rFonts w:hint="eastAsia" w:ascii="仿宋_GB2312" w:hAnsi="仿宋_GB2312" w:eastAsia="仿宋_GB2312" w:cs="仿宋_GB2312"/>
                <w:b/>
                <w:bCs/>
                <w:kern w:val="0"/>
                <w:sz w:val="16"/>
                <w:szCs w:val="16"/>
              </w:rPr>
              <w:t>挂载地址类型</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定海大沙</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浙江省舟山市定海区大沙峙岙塘村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122.0218124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30.14292336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379"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定海马岙安家村</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定海马岙安家村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122.0860443</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30.1221199</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定海移动公司</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浙江省舟山市定海区定海移动公司</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122.1009</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30.02585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642"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4</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定海盐仓</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浙江省舟山市定海区盐仓坝桥村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122.0641556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30.03290558</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定海南洞五雷寺</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浙江省舟山市定海区五雷寺</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122.1084952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30.08576497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6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6</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舟山自来水厂</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浙江省舟山市定海临城舟山自来水公司楼顶</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122.230691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29.990948</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7</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定海金塘野岭</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浙江省舟山市定海区金塘镇野岭山上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121.8600006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30.02208519</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619"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8</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舟山金塘大鹏</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浙江省舟山市定海区金塘大鹏</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121.823512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30.070772</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舟山白泉小支</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浙江省舟山市定海区白展线小支村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122.1895142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30.07937622</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10</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普陀山梵音洞</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浙江省舟山市普陀区山梵音洞</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122.4089432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30.00247192</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40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11</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普陀大展</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浙江省舟山市普陀区普陀大展</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122.2805023</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30.03250122</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普陀塘头</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浙江省舟山市普陀区塘头渔业村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122.3405304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30.01662254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13</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普陀朱家尖大山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浙江省舟山市普陀区东沙村度假村路</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122.4164124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29.90569687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82"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14</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普陀大青山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浙江省舟山市普陀区普陀大青山</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122.38783</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29.85668</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普陀桃花庵跟</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浙江省舟山市普陀区桃花庵跟村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122.285361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29.819584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16</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普陀六横凉帽潭</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浙江省舟山市普陀区六横平蛟凉帽潭</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122.1672134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29.72468185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17</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普陀龙山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浙江省舟山市普陀区龙山村鑫亚大道</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122.1040726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29.77671051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18</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岱山魔星山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浙江省舟山市岱山县魔星山</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122.1844482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30.2644049</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岱山大衢观音山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浙江省舟山市岱山县大衢观音山</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122.31088</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30.4287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20</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嵊泗大象山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浙江省舟山市嵊泗县东海路菜圃</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122.44922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30.71494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森林防火区</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21</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舟山干览东契头</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浙江省舟山市定海区共建路东契头村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122.1527786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30.11138725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22</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定海413医院</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浙江省舟山市定海区四一三医院内小山包上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122.111908</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30.03016853</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23</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舟山东岠岛东岙</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浙江省舟山市定海区东岠岛东岙村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122.119957</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29.97859383</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7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24</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舟山北蝉小展</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浙江省舟山市定海区北蝉乡小展岭隧道过去300米处</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122.2377777</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30.06028175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定海石礁</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浙江省舟山市定海区双桥镇石礁路边</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122.0467224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30.04452324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26</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舟山小沙</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浙江省舟山市定海区双小线陈家桥金鹰集团</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122.0550003</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30.12610054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27</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定海岑港天童</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浙江省舟山市定海岑港天童</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122.011322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30.04699707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28</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舟山长白</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浙江省舟山市定海区长白乡长白乡政府</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122.0344467</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30.17427635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定海册子凤凰山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浙江省舟山市定海区册子凤凰山山顶</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121.9339142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30.08285522</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舟山北蝉新奥能源</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舟山北蝉新奥能源南侧</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122.2824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30.097546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31</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舟山岙山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浙江省舟山市定海区长岙公路岙山村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122.1380692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29.95296097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32</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定海白泉皋泄</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浙江省舟山市定海区定海白泉皋泄</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122.1558304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30.05028152</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33</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舟山三江</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浙江省舟山市定海区鸭东线三江码头</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122.112703</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30.137201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34</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海通公司</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浙江省舟山市定海区岑港西岙村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121.9810944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30.05871201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舟山西蟹峙</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浙江省舟山市定海区盘峙村西蟹峙</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122.0494461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29.98277664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7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36</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舟山岑港地坂里</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浙江省舟山市定海区岑港地板里外外回峰寺北侧山坡上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121.9907761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30.08848381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37</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定海烟墩马鞍山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浙江省舟山市定海区岑港镇烟墩社区马鞍山上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121.9747696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30.13487244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38</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定海临城凉眼契</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浙江省舟山市定海区临城凉眼契山包上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122.232048</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29.99116135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7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定海临城韩家</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浙江省舟山市定海区临城风景沁园北侧沙井头村东南侧山坡</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122.2115326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30.0073204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40</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定海临城金鸡山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浙江省舟山市定海区临城金鸡山山上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122.1986466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30.00774384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59"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41</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舟山临城高道山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浙江省舟山市定海区临城高云寺山后</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122.1804571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30.01736318</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42</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定海开发区</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浙江省舟山市定海区开发B区甬东村山包上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122.1466827</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29.998703</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43</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舟山双桥紫微</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浙江省舟山市定海区双桥镇紫薇村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122.0372238</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30.0838871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44</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马岙北海村</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浙江省舟山市定海区马岙北海村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122.0886917</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30.15343285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7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45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定海大沙紫窟</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浙江省舟山市定海区大沙镇马目乡紫窟村长了尚山坡上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121.9894485</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30.15119171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46</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舟山城东郑家</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浙江省舟山市定海区城东郑家</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122.1580353</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30.01735687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47</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舟山岑港柴戴</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浙江省舟山市定海区岑柴线柴戴村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122.0295715</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30.09937096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7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48</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定海金塘老牛岗</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浙江省舟山市定海区金塘岛双礁村东向老牛岗山坡上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121.8703156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29.97481728</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49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定海城北王家塘</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浙江省舟山市定海城北王家塘</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122.1053619</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30.04428864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50</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定海干榄南洞</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浙江省舟山市定海区干榄南洞</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122.1285095</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30.09073067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51</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定海岑港大桥</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浙江省舟山市定海区岑港大桥旁山包上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121.991946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30.073365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52</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舟山岑港马目</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浙江省舟山市定海区岑港镇马目村山顶</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121.9475555</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30.17421722</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53</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舟山市定海区和平花苑</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浙江省舟山市定海区和平花苑2幢</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122.105202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30.011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54</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舟山金塘长沙北岙</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定海区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舟山金塘长沙北岙</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121.9164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30.0417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55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普陀六横双塘</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浙江省舟山市普陀区大梅线双塘村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122.1352768</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29.72361183</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56</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普陀桃花海洋渔业公司</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浙江省舟山市普陀区桃花海洋渔业公司东面山坡</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122.2861633</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29.83720016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7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57</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普陀芦花舵岙</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浙江省舟山市普陀区芦花舵岙村白象山子小村后山上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122.2856064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29.96759605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58</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普陀南岙</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浙江省舟山市普陀区南岙村应螺线</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122.2966995</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29.98670006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59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普陀展茅螺门码头</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浙江省舟山市普陀区展茅街道螺门村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122.280098</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30.06370163</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60</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普陀东港陈家后</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普陀东港海边人家周围区域</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122.3199234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29.99378967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61</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普陀鲁家峙佘家山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浙江省舟山市普陀区鲁家峙村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122.3013916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29.93694305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62</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普陀六横老鹰咀</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浙江省舟山市普陀区六横台门镇老鹰咀</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122.1807556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29.66330147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7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63</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普陀小干欧华船厂</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浙江省舟山市普陀区大干路1弄东岙村欧华船厂后山上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122.2445297</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29.95219612</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64</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普陀六横涨起港</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浙江省舟山市普陀区普陀六横涨起港</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122.0618134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29.74760056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65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普陀蚂蚁</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浙江省舟山市普陀区后岙村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122.2690811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29.87255096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66</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普陀朱家尖白沙</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浙江省舟山市普陀区小沙头村白沙乡</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122.4497223</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29.94527626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67</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普陀山紫竹林</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浙江省舟山市普陀区龙湾村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122.3861542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29.98151016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68</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朱家尖大青山猫跳</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浙江省舟山市朱家尖大青山猫跳</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122.4025497</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29.83341026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69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桃花射雕城</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舟山市普陀区桃花射雕城</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122.2404022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29.83964157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70</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普陀朱家尖大黄岩</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浙江省舟山市普陀区朱家尖大黄岩</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122.368909</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29.866179</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71</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普陀朱家尖老佃房</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浙江省舟山市普陀区香月线月岙村山顶</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122.405644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29.936556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72</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普陀桃花米鱼洋</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浙江省舟山市普陀区对峙村沙乌线</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122.303055</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29.786388</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73</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普陀朱家尖海洋馆</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浙江省舟山市普陀区朱家尖海洋科技馆</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122.3463135</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29.94815063</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74</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普陀朱家尖白山头</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浙江省舟山市普陀区金沙大道白山头村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122.369823</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29.940444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75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普陀朱家尖牛角尖</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浙江省舟山市普陀区朱家尖镇牛角湾山咀庙筲线</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122.383228</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29.877051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76</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普陀山合兴</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浙江省舟山市普陀区普陀山合兴村索道旁</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122.396515</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30.018451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77</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普陀朱家尖顺母</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浙江省舟山市普陀区凉樟线顺母村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122.3362503</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29.92653084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78</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普陀东极</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普陀区</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浙江省舟山市普陀区东极镇庙子湖村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122.6848831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30.19818878</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79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岱山岱西</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浙江省舟山市岱山岱西小山村山坡上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122.1240082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30.30503845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80</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岱山东沙泥峙</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浙江省舟山市岱山县南峰路泥峙社区</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122.178093</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30.30831909</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7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81</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岱山岱东</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浙江省舟山市岱山县县岱东镇东海路185号对面岱东中</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122.1975174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30.29133034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82</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岱山秀山凉帽山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浙江省舟山市岱山县外凤凰村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122.1520386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30.18862534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83</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岱山长涂倭井潭</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浙江省舟山市岱山县长涂镇政府后小山上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122.2995071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30.25534821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84</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岱山高亭磨盘山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浙江省舟山市岱山县高亭磨盘山蓬莱公园山顶上</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122.2086029</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30.24448586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78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85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岱山大衢黄泽山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浙江省舟山市岱山县衢山镇黄泽山村靠近黄泽南岙村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122.3315582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30.51367188</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86</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岱山秀山三礁</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浙江省舟山市岱山县红九线三礁村</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122.1863937</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30.17375183</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87</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岱山大衢鼠浪</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岱山县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浙江省舟山市岱山县南湖村鼠浪</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122.4623337</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30.43487167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88</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小洋沈家湾</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浙江省舟山市嵊泗县小洋沈家湾</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122.125557</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30.60472107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89</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嵊泗菜园仰天院</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浙江省舟山市嵊泗县菜园镇仰天院上面</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122.4425507</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30.7287941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90</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嵊泗嵊山壁下</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浙江省舟山市嵊泗县嵊山壁下</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122.7825012</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30.78994751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91</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嵊泗枸杞小西天</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浙江省舟山市嵊泗县枸杞岛小西天</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122.7780609</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30.7238884</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92</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嵊泗嵊山政府</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浙江省舟山市嵊泗县箱子岙嵊山</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122.810051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30.72268295</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93</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嵊泗黄沙岙</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浙江省舟山市嵊泗县五龙乡黄沙岙</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122.4997711</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30.70760727</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94</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嵊泗石柱</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浙江省舟山市嵊泗县菜园镇石柱</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122.4571686</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30.69628906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95</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嵊泗花鸟</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浙江省舟山市嵊泗县花鸟乡嵊泗县花鸟</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122.6938934</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30.85233116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r>
        <w:tblPrEx>
          <w:tblCellMar>
            <w:top w:w="0" w:type="dxa"/>
            <w:left w:w="108" w:type="dxa"/>
            <w:bottom w:w="0" w:type="dxa"/>
            <w:right w:w="108" w:type="dxa"/>
          </w:tblCellMar>
        </w:tblPrEx>
        <w:trPr>
          <w:trHeight w:val="520" w:hRule="atLeast"/>
        </w:trPr>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96</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嵊泗黄龙东嘴头</w:t>
            </w:r>
          </w:p>
        </w:tc>
        <w:tc>
          <w:tcPr>
            <w:tcW w:w="10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嵊泗县</w:t>
            </w:r>
          </w:p>
        </w:tc>
        <w:tc>
          <w:tcPr>
            <w:tcW w:w="1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浙江省舟山市嵊泗县黄龙东嘴头</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122.5731125</w:t>
            </w: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30.66291046</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综合灾害风险区域</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kern w:val="0"/>
                <w:sz w:val="16"/>
                <w:szCs w:val="16"/>
              </w:rPr>
              <w:t>高位</w:t>
            </w:r>
          </w:p>
        </w:tc>
      </w:tr>
    </w:tbl>
    <w:p>
      <w:pPr>
        <w:numPr>
          <w:ilvl w:val="0"/>
          <w:numId w:val="4"/>
        </w:numPr>
        <w:tabs>
          <w:tab w:val="left" w:pos="840"/>
        </w:tabs>
        <w:spacing w:line="360" w:lineRule="auto"/>
        <w:ind w:left="0" w:firstLine="560"/>
        <w:rPr>
          <w:rFonts w:ascii="仿宋_GB2312" w:hAnsi="仿宋_GB2312" w:eastAsia="仿宋_GB2312" w:cs="仿宋_GB2312"/>
          <w:sz w:val="24"/>
          <w:szCs w:val="24"/>
        </w:rPr>
      </w:pPr>
      <w:r>
        <w:rPr>
          <w:rFonts w:hint="eastAsia" w:ascii="仿宋_GB2312" w:hAnsi="仿宋_GB2312" w:eastAsia="仿宋_GB2312" w:cs="仿宋_GB2312"/>
          <w:sz w:val="24"/>
          <w:szCs w:val="24"/>
        </w:rPr>
        <w:t>建设1套市级视频汇聚平台。</w:t>
      </w:r>
    </w:p>
    <w:p>
      <w:pPr>
        <w:tabs>
          <w:tab w:val="left" w:pos="840"/>
        </w:tabs>
        <w:spacing w:line="360" w:lineRule="auto"/>
        <w:ind w:firstLine="420" w:firstLineChars="175"/>
        <w:rPr>
          <w:rFonts w:ascii="仿宋_GB2312" w:hAnsi="仿宋_GB2312" w:eastAsia="仿宋_GB2312" w:cs="仿宋_GB2312"/>
          <w:sz w:val="24"/>
          <w:szCs w:val="24"/>
        </w:rPr>
      </w:pPr>
      <w:r>
        <w:rPr>
          <w:rFonts w:hint="eastAsia" w:ascii="仿宋_GB2312" w:hAnsi="仿宋_GB2312" w:eastAsia="仿宋_GB2312" w:cs="仿宋_GB2312"/>
          <w:sz w:val="24"/>
          <w:szCs w:val="24"/>
        </w:rPr>
        <w:t>部署1套市级视频监控资源汇聚级联，实现对本地区防汛、林火、地质等自然灾害监控视频，政府相关部门自然灾害类监控视频的接入，接入能力不少</w:t>
      </w:r>
      <w:r>
        <w:rPr>
          <w:rFonts w:hint="eastAsia" w:ascii="仿宋_GB2312" w:hAnsi="仿宋_GB2312" w:eastAsia="仿宋_GB2312" w:cs="仿宋_GB2312"/>
          <w:color w:val="auto"/>
          <w:sz w:val="24"/>
          <w:szCs w:val="24"/>
        </w:rPr>
        <w:t>于10万路</w:t>
      </w:r>
      <w:r>
        <w:rPr>
          <w:rFonts w:hint="eastAsia" w:ascii="仿宋_GB2312" w:hAnsi="仿宋_GB2312" w:eastAsia="仿宋_GB2312" w:cs="仿宋_GB2312"/>
          <w:sz w:val="24"/>
          <w:szCs w:val="24"/>
        </w:rPr>
        <w:t>，通过视频级联节点，将本地区接入的视频监控，推送至省级视频监控平台，实现与省级视频监控平台的互联互通。并配置满足视频资源汇聚系统所需的相应硬件资源。</w:t>
      </w:r>
    </w:p>
    <w:p>
      <w:pPr>
        <w:spacing w:line="360" w:lineRule="auto"/>
        <w:ind w:firstLine="410" w:firstLineChars="171"/>
        <w:rPr>
          <w:rFonts w:ascii="仿宋_GB2312" w:hAnsi="仿宋_GB2312" w:eastAsia="仿宋_GB2312" w:cs="仿宋_GB2312"/>
          <w:sz w:val="24"/>
          <w:szCs w:val="24"/>
        </w:rPr>
      </w:pPr>
      <w:r>
        <w:rPr>
          <w:rFonts w:hint="eastAsia" w:ascii="仿宋_GB2312" w:hAnsi="仿宋_GB2312" w:eastAsia="仿宋_GB2312" w:cs="仿宋_GB2312"/>
          <w:sz w:val="24"/>
          <w:szCs w:val="24"/>
        </w:rPr>
        <w:t>3.市县应急部门购买224台天通卫星电话，市县两级分配如下表：</w:t>
      </w:r>
    </w:p>
    <w:tbl>
      <w:tblPr>
        <w:tblStyle w:val="24"/>
        <w:tblW w:w="8195" w:type="dxa"/>
        <w:jc w:val="center"/>
        <w:tblLayout w:type="fixed"/>
        <w:tblCellMar>
          <w:top w:w="0" w:type="dxa"/>
          <w:left w:w="108" w:type="dxa"/>
          <w:bottom w:w="0" w:type="dxa"/>
          <w:right w:w="108" w:type="dxa"/>
        </w:tblCellMar>
      </w:tblPr>
      <w:tblGrid>
        <w:gridCol w:w="1132"/>
        <w:gridCol w:w="891"/>
        <w:gridCol w:w="1037"/>
        <w:gridCol w:w="1150"/>
        <w:gridCol w:w="977"/>
        <w:gridCol w:w="901"/>
        <w:gridCol w:w="939"/>
        <w:gridCol w:w="1168"/>
      </w:tblGrid>
      <w:tr>
        <w:tblPrEx>
          <w:tblCellMar>
            <w:top w:w="0" w:type="dxa"/>
            <w:left w:w="108" w:type="dxa"/>
            <w:bottom w:w="0" w:type="dxa"/>
            <w:right w:w="108" w:type="dxa"/>
          </w:tblCellMar>
        </w:tblPrEx>
        <w:trPr>
          <w:trHeight w:val="79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6A6A6"/>
            <w:vAlign w:val="center"/>
          </w:tcPr>
          <w:p>
            <w:pPr>
              <w:widowControl/>
              <w:spacing w:line="360" w:lineRule="auto"/>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设备名称</w:t>
            </w:r>
          </w:p>
        </w:tc>
        <w:tc>
          <w:tcPr>
            <w:tcW w:w="891" w:type="dxa"/>
            <w:tcBorders>
              <w:top w:val="single" w:color="000000" w:sz="4" w:space="0"/>
              <w:left w:val="single" w:color="000000" w:sz="4" w:space="0"/>
              <w:bottom w:val="single" w:color="000000" w:sz="4" w:space="0"/>
              <w:right w:val="single" w:color="000000" w:sz="4" w:space="0"/>
            </w:tcBorders>
            <w:shd w:val="clear" w:color="auto" w:fill="A6A6A6"/>
            <w:vAlign w:val="center"/>
          </w:tcPr>
          <w:p>
            <w:pPr>
              <w:widowControl/>
              <w:spacing w:line="360" w:lineRule="auto"/>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市本级</w:t>
            </w:r>
          </w:p>
        </w:tc>
        <w:tc>
          <w:tcPr>
            <w:tcW w:w="1037" w:type="dxa"/>
            <w:tcBorders>
              <w:top w:val="single" w:color="000000" w:sz="4" w:space="0"/>
              <w:left w:val="single" w:color="000000" w:sz="4" w:space="0"/>
              <w:bottom w:val="single" w:color="000000" w:sz="4" w:space="0"/>
              <w:right w:val="single" w:color="000000" w:sz="4" w:space="0"/>
            </w:tcBorders>
            <w:shd w:val="clear" w:color="auto" w:fill="A6A6A6"/>
            <w:vAlign w:val="center"/>
          </w:tcPr>
          <w:p>
            <w:pPr>
              <w:widowControl/>
              <w:spacing w:line="360" w:lineRule="auto"/>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普朱管委会</w:t>
            </w:r>
          </w:p>
        </w:tc>
        <w:tc>
          <w:tcPr>
            <w:tcW w:w="1150" w:type="dxa"/>
            <w:tcBorders>
              <w:top w:val="single" w:color="000000" w:sz="4" w:space="0"/>
              <w:left w:val="single" w:color="000000" w:sz="4" w:space="0"/>
              <w:bottom w:val="single" w:color="000000" w:sz="4" w:space="0"/>
              <w:right w:val="single" w:color="000000" w:sz="4" w:space="0"/>
            </w:tcBorders>
            <w:shd w:val="clear" w:color="auto" w:fill="A6A6A6"/>
            <w:vAlign w:val="center"/>
          </w:tcPr>
          <w:p>
            <w:pPr>
              <w:widowControl/>
              <w:spacing w:line="360" w:lineRule="auto"/>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定海区</w:t>
            </w:r>
          </w:p>
        </w:tc>
        <w:tc>
          <w:tcPr>
            <w:tcW w:w="977" w:type="dxa"/>
            <w:tcBorders>
              <w:top w:val="single" w:color="000000" w:sz="4" w:space="0"/>
              <w:left w:val="single" w:color="000000" w:sz="4" w:space="0"/>
              <w:bottom w:val="single" w:color="000000" w:sz="4" w:space="0"/>
              <w:right w:val="single" w:color="000000" w:sz="4" w:space="0"/>
            </w:tcBorders>
            <w:shd w:val="clear" w:color="auto" w:fill="A6A6A6"/>
            <w:vAlign w:val="center"/>
          </w:tcPr>
          <w:p>
            <w:pPr>
              <w:widowControl/>
              <w:spacing w:line="360" w:lineRule="auto"/>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普陀区</w:t>
            </w:r>
          </w:p>
        </w:tc>
        <w:tc>
          <w:tcPr>
            <w:tcW w:w="901" w:type="dxa"/>
            <w:tcBorders>
              <w:top w:val="single" w:color="000000" w:sz="4" w:space="0"/>
              <w:left w:val="single" w:color="000000" w:sz="4" w:space="0"/>
              <w:bottom w:val="single" w:color="000000" w:sz="4" w:space="0"/>
              <w:right w:val="single" w:color="000000" w:sz="4" w:space="0"/>
            </w:tcBorders>
            <w:shd w:val="clear" w:color="auto" w:fill="A6A6A6"/>
            <w:vAlign w:val="center"/>
          </w:tcPr>
          <w:p>
            <w:pPr>
              <w:widowControl/>
              <w:spacing w:line="360" w:lineRule="auto"/>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岱山县</w:t>
            </w:r>
          </w:p>
        </w:tc>
        <w:tc>
          <w:tcPr>
            <w:tcW w:w="939" w:type="dxa"/>
            <w:tcBorders>
              <w:top w:val="single" w:color="000000" w:sz="4" w:space="0"/>
              <w:left w:val="single" w:color="000000" w:sz="4" w:space="0"/>
              <w:bottom w:val="single" w:color="000000" w:sz="4" w:space="0"/>
              <w:right w:val="single" w:color="000000" w:sz="4" w:space="0"/>
            </w:tcBorders>
            <w:shd w:val="clear" w:color="auto" w:fill="A6A6A6"/>
            <w:vAlign w:val="center"/>
          </w:tcPr>
          <w:p>
            <w:pPr>
              <w:widowControl/>
              <w:spacing w:line="360" w:lineRule="auto"/>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嵊泗县</w:t>
            </w:r>
          </w:p>
        </w:tc>
        <w:tc>
          <w:tcPr>
            <w:tcW w:w="1168" w:type="dxa"/>
            <w:tcBorders>
              <w:top w:val="single" w:color="000000" w:sz="4" w:space="0"/>
              <w:left w:val="single" w:color="000000" w:sz="4" w:space="0"/>
              <w:bottom w:val="single" w:color="000000" w:sz="4" w:space="0"/>
              <w:right w:val="single" w:color="000000" w:sz="4" w:space="0"/>
            </w:tcBorders>
            <w:shd w:val="clear" w:color="auto" w:fill="A6A6A6"/>
            <w:vAlign w:val="center"/>
          </w:tcPr>
          <w:p>
            <w:pPr>
              <w:widowControl/>
              <w:spacing w:line="360" w:lineRule="auto"/>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szCs w:val="21"/>
              </w:rPr>
              <w:t>全市合计</w:t>
            </w:r>
          </w:p>
        </w:tc>
      </w:tr>
      <w:tr>
        <w:tblPrEx>
          <w:tblCellMar>
            <w:top w:w="0" w:type="dxa"/>
            <w:left w:w="108" w:type="dxa"/>
            <w:bottom w:w="0" w:type="dxa"/>
            <w:right w:w="108" w:type="dxa"/>
          </w:tblCellMar>
        </w:tblPrEx>
        <w:trPr>
          <w:trHeight w:val="509" w:hRule="atLeast"/>
          <w:jc w:val="center"/>
        </w:trPr>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天通卫星</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22</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27</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0</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113</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38</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24</w:t>
            </w:r>
          </w:p>
        </w:tc>
        <w:tc>
          <w:tcPr>
            <w:tcW w:w="116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kern w:val="0"/>
                <w:szCs w:val="21"/>
              </w:rPr>
              <w:t>224</w:t>
            </w:r>
          </w:p>
        </w:tc>
      </w:tr>
    </w:tbl>
    <w:p>
      <w:pPr>
        <w:tabs>
          <w:tab w:val="left" w:pos="840"/>
        </w:tabs>
        <w:spacing w:line="360" w:lineRule="auto"/>
        <w:ind w:firstLine="420" w:firstLineChars="175"/>
        <w:rPr>
          <w:rFonts w:ascii="仿宋_GB2312" w:hAnsi="仿宋_GB2312" w:eastAsia="仿宋_GB2312" w:cs="仿宋_GB2312"/>
          <w:sz w:val="24"/>
          <w:szCs w:val="24"/>
        </w:rPr>
      </w:pPr>
    </w:p>
    <w:p>
      <w:pPr>
        <w:pStyle w:val="6"/>
        <w:numPr>
          <w:ilvl w:val="0"/>
          <w:numId w:val="5"/>
        </w:numPr>
        <w:snapToGrid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采购清单及性能要求</w:t>
      </w:r>
    </w:p>
    <w:p>
      <w:pPr>
        <w:pStyle w:val="2"/>
        <w:ind w:firstLine="46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szCs w:val="24"/>
        </w:rPr>
        <w:t>项目采购预算金额：12692000元，含5个品目，如下表：</w:t>
      </w:r>
    </w:p>
    <w:p>
      <w:pPr>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4.1采购清单</w:t>
      </w:r>
    </w:p>
    <w:tbl>
      <w:tblPr>
        <w:tblStyle w:val="24"/>
        <w:tblW w:w="8300" w:type="dxa"/>
        <w:tblInd w:w="134" w:type="dxa"/>
        <w:tblLayout w:type="fixed"/>
        <w:tblCellMar>
          <w:top w:w="0" w:type="dxa"/>
          <w:left w:w="108" w:type="dxa"/>
          <w:bottom w:w="0" w:type="dxa"/>
          <w:right w:w="108" w:type="dxa"/>
        </w:tblCellMar>
      </w:tblPr>
      <w:tblGrid>
        <w:gridCol w:w="638"/>
        <w:gridCol w:w="2234"/>
        <w:gridCol w:w="1319"/>
        <w:gridCol w:w="1218"/>
        <w:gridCol w:w="1663"/>
        <w:gridCol w:w="1228"/>
      </w:tblGrid>
      <w:tr>
        <w:tblPrEx>
          <w:tblCellMar>
            <w:top w:w="0" w:type="dxa"/>
            <w:left w:w="108" w:type="dxa"/>
            <w:bottom w:w="0" w:type="dxa"/>
            <w:right w:w="108" w:type="dxa"/>
          </w:tblCellMar>
        </w:tblPrEx>
        <w:trPr>
          <w:trHeight w:val="708"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序号</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设备名称</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数量</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单位</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themeColor="text1"/>
                <w:kern w:val="0"/>
                <w:sz w:val="20"/>
              </w:rPr>
            </w:pPr>
            <w:r>
              <w:rPr>
                <w:rFonts w:hint="eastAsia" w:ascii="仿宋_GB2312" w:hAnsi="仿宋_GB2312" w:eastAsia="仿宋_GB2312" w:cs="仿宋_GB2312"/>
                <w:b/>
                <w:bCs/>
                <w:color w:val="000000" w:themeColor="text1"/>
                <w:kern w:val="0"/>
                <w:sz w:val="20"/>
              </w:rPr>
              <w:t>备注</w:t>
            </w: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themeColor="text1"/>
                <w:kern w:val="0"/>
                <w:sz w:val="20"/>
              </w:rPr>
            </w:pPr>
            <w:r>
              <w:rPr>
                <w:rFonts w:hint="eastAsia" w:ascii="仿宋_GB2312" w:hAnsi="仿宋_GB2312" w:eastAsia="仿宋_GB2312" w:cs="仿宋_GB2312"/>
                <w:b/>
                <w:bCs/>
                <w:color w:val="000000" w:themeColor="text1"/>
                <w:kern w:val="0"/>
                <w:sz w:val="20"/>
              </w:rPr>
              <w:t>中小企业划分标准所属行业</w:t>
            </w:r>
          </w:p>
        </w:tc>
      </w:tr>
      <w:tr>
        <w:tblPrEx>
          <w:tblCellMar>
            <w:top w:w="0" w:type="dxa"/>
            <w:left w:w="108" w:type="dxa"/>
            <w:bottom w:w="0" w:type="dxa"/>
            <w:right w:w="108" w:type="dxa"/>
          </w:tblCellMar>
        </w:tblPrEx>
        <w:trPr>
          <w:trHeight w:val="446" w:hRule="atLeast"/>
        </w:trPr>
        <w:tc>
          <w:tcPr>
            <w:tcW w:w="7072"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（一）品目一：舟山市应急管理局        预算金额：12086000元</w:t>
            </w: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kern w:val="0"/>
                <w:sz w:val="20"/>
              </w:rPr>
            </w:pPr>
          </w:p>
        </w:tc>
      </w:tr>
      <w:tr>
        <w:tblPrEx>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市级视频汇聚平台</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套</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kern w:val="0"/>
                <w:sz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软件和信息技术服务</w:t>
            </w:r>
          </w:p>
        </w:tc>
      </w:tr>
      <w:tr>
        <w:tblPrEx>
          <w:tblCellMar>
            <w:top w:w="0" w:type="dxa"/>
            <w:left w:w="108" w:type="dxa"/>
            <w:bottom w:w="0" w:type="dxa"/>
            <w:right w:w="108" w:type="dxa"/>
          </w:tblCellMar>
        </w:tblPrEx>
        <w:trPr>
          <w:trHeight w:val="409"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2</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磁盘阵列</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3</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工业</w:t>
            </w:r>
          </w:p>
        </w:tc>
      </w:tr>
      <w:tr>
        <w:tblPrEx>
          <w:tblCellMar>
            <w:top w:w="0" w:type="dxa"/>
            <w:left w:w="108" w:type="dxa"/>
            <w:bottom w:w="0" w:type="dxa"/>
            <w:right w:w="108" w:type="dxa"/>
          </w:tblCellMar>
        </w:tblPrEx>
        <w:trPr>
          <w:trHeight w:val="493"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3</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硬盘</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120</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块</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工业</w:t>
            </w:r>
          </w:p>
        </w:tc>
      </w:tr>
      <w:tr>
        <w:tblPrEx>
          <w:tblCellMar>
            <w:top w:w="0" w:type="dxa"/>
            <w:left w:w="108" w:type="dxa"/>
            <w:bottom w:w="0" w:type="dxa"/>
            <w:right w:w="108" w:type="dxa"/>
          </w:tblCellMar>
        </w:tblPrEx>
        <w:trPr>
          <w:trHeight w:val="484"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4</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视频智能分析仪</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工业</w:t>
            </w:r>
          </w:p>
        </w:tc>
      </w:tr>
      <w:tr>
        <w:tblPrEx>
          <w:tblCellMar>
            <w:top w:w="0" w:type="dxa"/>
            <w:left w:w="108" w:type="dxa"/>
            <w:bottom w:w="0" w:type="dxa"/>
            <w:right w:w="108" w:type="dxa"/>
          </w:tblCellMar>
        </w:tblPrEx>
        <w:trPr>
          <w:trHeight w:val="355"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分析卡</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8</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张</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工业</w:t>
            </w:r>
          </w:p>
        </w:tc>
      </w:tr>
      <w:tr>
        <w:tblPrEx>
          <w:tblCellMar>
            <w:top w:w="0" w:type="dxa"/>
            <w:left w:w="108" w:type="dxa"/>
            <w:bottom w:w="0" w:type="dxa"/>
            <w:right w:w="108" w:type="dxa"/>
          </w:tblCellMar>
        </w:tblPrEx>
        <w:trPr>
          <w:trHeight w:val="509"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6</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管理型以太网交换机</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工业</w:t>
            </w:r>
          </w:p>
        </w:tc>
      </w:tr>
      <w:tr>
        <w:tblPrEx>
          <w:tblCellMar>
            <w:top w:w="0" w:type="dxa"/>
            <w:left w:w="108" w:type="dxa"/>
            <w:bottom w:w="0" w:type="dxa"/>
            <w:right w:w="108" w:type="dxa"/>
          </w:tblCellMar>
        </w:tblPrEx>
        <w:trPr>
          <w:trHeight w:val="455"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7</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万兆光模块</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4</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块</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工业</w:t>
            </w:r>
          </w:p>
        </w:tc>
      </w:tr>
      <w:tr>
        <w:tblPrEx>
          <w:tblCellMar>
            <w:top w:w="0" w:type="dxa"/>
            <w:left w:w="108" w:type="dxa"/>
            <w:bottom w:w="0" w:type="dxa"/>
            <w:right w:w="108" w:type="dxa"/>
          </w:tblCellMar>
        </w:tblPrEx>
        <w:trPr>
          <w:trHeight w:val="608"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★热成像中载云台</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96</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工业</w:t>
            </w:r>
          </w:p>
        </w:tc>
      </w:tr>
      <w:tr>
        <w:tblPrEx>
          <w:tblCellMar>
            <w:top w:w="0" w:type="dxa"/>
            <w:left w:w="108" w:type="dxa"/>
            <w:bottom w:w="0" w:type="dxa"/>
            <w:right w:w="108" w:type="dxa"/>
          </w:tblCellMar>
        </w:tblPrEx>
        <w:trPr>
          <w:trHeight w:val="468"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9</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天通卫星电话</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highlight w:val="yellow"/>
              </w:rPr>
            </w:pPr>
            <w:r>
              <w:rPr>
                <w:rFonts w:hint="eastAsia" w:ascii="仿宋_GB2312" w:hAnsi="仿宋_GB2312" w:eastAsia="仿宋_GB2312" w:cs="仿宋_GB2312"/>
                <w:color w:val="000000" w:themeColor="text1"/>
                <w:sz w:val="20"/>
              </w:rPr>
              <w:t>22</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市本级</w:t>
            </w: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工业</w:t>
            </w:r>
          </w:p>
        </w:tc>
      </w:tr>
      <w:tr>
        <w:tblPrEx>
          <w:tblCellMar>
            <w:top w:w="0" w:type="dxa"/>
            <w:left w:w="108" w:type="dxa"/>
            <w:bottom w:w="0" w:type="dxa"/>
            <w:right w:w="108" w:type="dxa"/>
          </w:tblCellMar>
        </w:tblPrEx>
        <w:trPr>
          <w:trHeight w:val="441" w:hRule="atLeast"/>
        </w:trPr>
        <w:tc>
          <w:tcPr>
            <w:tcW w:w="7072"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600" w:firstLineChars="300"/>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（二）品目二：普朱管委会      预算金额：81000元</w:t>
            </w: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p>
        </w:tc>
      </w:tr>
      <w:tr>
        <w:tblPrEx>
          <w:tblCellMar>
            <w:top w:w="0" w:type="dxa"/>
            <w:left w:w="108" w:type="dxa"/>
            <w:bottom w:w="0" w:type="dxa"/>
            <w:right w:w="108" w:type="dxa"/>
          </w:tblCellMar>
        </w:tblPrEx>
        <w:trPr>
          <w:trHeight w:val="451"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天通卫星电话</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highlight w:val="yellow"/>
              </w:rPr>
            </w:pPr>
            <w:r>
              <w:rPr>
                <w:rFonts w:hint="eastAsia" w:ascii="仿宋_GB2312" w:hAnsi="仿宋_GB2312" w:eastAsia="仿宋_GB2312" w:cs="仿宋_GB2312"/>
                <w:color w:val="000000" w:themeColor="text1"/>
                <w:sz w:val="20"/>
              </w:rPr>
              <w:t>27</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普朱</w:t>
            </w: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工业</w:t>
            </w:r>
          </w:p>
        </w:tc>
      </w:tr>
      <w:tr>
        <w:tblPrEx>
          <w:tblCellMar>
            <w:top w:w="0" w:type="dxa"/>
            <w:left w:w="108" w:type="dxa"/>
            <w:bottom w:w="0" w:type="dxa"/>
            <w:right w:w="108" w:type="dxa"/>
          </w:tblCellMar>
        </w:tblPrEx>
        <w:trPr>
          <w:trHeight w:val="396" w:hRule="atLeast"/>
        </w:trPr>
        <w:tc>
          <w:tcPr>
            <w:tcW w:w="707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（三）品目三：普陀区应急管理局        预算金额：339000元</w:t>
            </w: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p>
        </w:tc>
      </w:tr>
      <w:tr>
        <w:tblPrEx>
          <w:tblCellMar>
            <w:top w:w="0" w:type="dxa"/>
            <w:left w:w="108" w:type="dxa"/>
            <w:bottom w:w="0" w:type="dxa"/>
            <w:right w:w="108" w:type="dxa"/>
          </w:tblCellMar>
        </w:tblPrEx>
        <w:trPr>
          <w:trHeight w:val="396"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天通卫星电话</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highlight w:val="yellow"/>
              </w:rPr>
            </w:pPr>
            <w:r>
              <w:rPr>
                <w:rFonts w:hint="eastAsia" w:ascii="仿宋_GB2312" w:hAnsi="仿宋_GB2312" w:eastAsia="仿宋_GB2312" w:cs="仿宋_GB2312"/>
                <w:color w:val="000000" w:themeColor="text1"/>
                <w:sz w:val="20"/>
              </w:rPr>
              <w:t>113</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普陀</w:t>
            </w: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工业</w:t>
            </w:r>
          </w:p>
        </w:tc>
      </w:tr>
      <w:tr>
        <w:tblPrEx>
          <w:tblCellMar>
            <w:top w:w="0" w:type="dxa"/>
            <w:left w:w="108" w:type="dxa"/>
            <w:bottom w:w="0" w:type="dxa"/>
            <w:right w:w="108" w:type="dxa"/>
          </w:tblCellMar>
        </w:tblPrEx>
        <w:trPr>
          <w:trHeight w:val="378" w:hRule="atLeast"/>
        </w:trPr>
        <w:tc>
          <w:tcPr>
            <w:tcW w:w="707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（四）品目四：岱山县应急管理局        预算金额：114000元</w:t>
            </w: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p>
        </w:tc>
      </w:tr>
      <w:tr>
        <w:tblPrEx>
          <w:tblCellMar>
            <w:top w:w="0" w:type="dxa"/>
            <w:left w:w="108" w:type="dxa"/>
            <w:bottom w:w="0" w:type="dxa"/>
            <w:right w:w="108" w:type="dxa"/>
          </w:tblCellMar>
        </w:tblPrEx>
        <w:trPr>
          <w:trHeight w:val="442"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天通卫星电话</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highlight w:val="yellow"/>
              </w:rPr>
            </w:pPr>
            <w:r>
              <w:rPr>
                <w:rFonts w:hint="eastAsia" w:ascii="仿宋_GB2312" w:hAnsi="仿宋_GB2312" w:eastAsia="仿宋_GB2312" w:cs="仿宋_GB2312"/>
                <w:color w:val="000000" w:themeColor="text1"/>
                <w:sz w:val="20"/>
              </w:rPr>
              <w:t>38</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岱山</w:t>
            </w: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工业</w:t>
            </w:r>
          </w:p>
        </w:tc>
      </w:tr>
      <w:tr>
        <w:tblPrEx>
          <w:tblCellMar>
            <w:top w:w="0" w:type="dxa"/>
            <w:left w:w="108" w:type="dxa"/>
            <w:bottom w:w="0" w:type="dxa"/>
            <w:right w:w="108" w:type="dxa"/>
          </w:tblCellMar>
        </w:tblPrEx>
        <w:trPr>
          <w:trHeight w:val="432" w:hRule="atLeast"/>
        </w:trPr>
        <w:tc>
          <w:tcPr>
            <w:tcW w:w="707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w:t>
            </w:r>
            <w:r>
              <w:rPr>
                <w:rFonts w:hint="eastAsia" w:ascii="仿宋_GB2312" w:hAnsi="仿宋_GB2312" w:eastAsia="仿宋_GB2312" w:cs="仿宋_GB2312"/>
                <w:color w:val="000000" w:themeColor="text1"/>
                <w:kern w:val="0"/>
                <w:sz w:val="20"/>
                <w:lang w:val="en-US" w:eastAsia="zh-CN"/>
              </w:rPr>
              <w:t>五</w:t>
            </w:r>
            <w:r>
              <w:rPr>
                <w:rFonts w:hint="eastAsia" w:ascii="仿宋_GB2312" w:hAnsi="仿宋_GB2312" w:eastAsia="仿宋_GB2312" w:cs="仿宋_GB2312"/>
                <w:color w:val="000000" w:themeColor="text1"/>
                <w:kern w:val="0"/>
                <w:sz w:val="20"/>
              </w:rPr>
              <w:t>）品目五：嵊泗县应急管理局        预算金额：72000元</w:t>
            </w: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p>
        </w:tc>
      </w:tr>
      <w:tr>
        <w:tblPrEx>
          <w:tblCellMar>
            <w:top w:w="0" w:type="dxa"/>
            <w:left w:w="108" w:type="dxa"/>
            <w:bottom w:w="0" w:type="dxa"/>
            <w:right w:w="108" w:type="dxa"/>
          </w:tblCellMar>
        </w:tblPrEx>
        <w:trPr>
          <w:trHeight w:val="460"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天通卫星电话</w:t>
            </w:r>
          </w:p>
        </w:tc>
        <w:tc>
          <w:tcPr>
            <w:tcW w:w="1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highlight w:val="yellow"/>
              </w:rPr>
            </w:pPr>
            <w:r>
              <w:rPr>
                <w:rFonts w:hint="eastAsia" w:ascii="仿宋_GB2312" w:hAnsi="仿宋_GB2312" w:eastAsia="仿宋_GB2312" w:cs="仿宋_GB2312"/>
                <w:color w:val="000000" w:themeColor="text1"/>
                <w:sz w:val="20"/>
              </w:rPr>
              <w:t>24</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嵊泗</w:t>
            </w:r>
          </w:p>
        </w:tc>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工业</w:t>
            </w:r>
          </w:p>
        </w:tc>
      </w:tr>
    </w:tbl>
    <w:p>
      <w:pPr>
        <w:rPr>
          <w:rFonts w:ascii="仿宋_GB2312" w:hAnsi="仿宋_GB2312" w:eastAsia="仿宋_GB2312" w:cs="仿宋_GB2312"/>
          <w:color w:val="000000" w:themeColor="text1"/>
          <w:sz w:val="24"/>
          <w:szCs w:val="24"/>
        </w:rPr>
      </w:pPr>
    </w:p>
    <w:p>
      <w:pP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4.2 技术性能要求</w:t>
      </w:r>
    </w:p>
    <w:tbl>
      <w:tblPr>
        <w:tblStyle w:val="24"/>
        <w:tblW w:w="9169" w:type="dxa"/>
        <w:tblInd w:w="-344" w:type="dxa"/>
        <w:tblLayout w:type="fixed"/>
        <w:tblCellMar>
          <w:top w:w="0" w:type="dxa"/>
          <w:left w:w="108" w:type="dxa"/>
          <w:bottom w:w="0" w:type="dxa"/>
          <w:right w:w="108" w:type="dxa"/>
        </w:tblCellMar>
      </w:tblPr>
      <w:tblGrid>
        <w:gridCol w:w="427"/>
        <w:gridCol w:w="791"/>
        <w:gridCol w:w="7009"/>
        <w:gridCol w:w="542"/>
        <w:gridCol w:w="400"/>
      </w:tblGrid>
      <w:tr>
        <w:tblPrEx>
          <w:tblCellMar>
            <w:top w:w="0" w:type="dxa"/>
            <w:left w:w="108" w:type="dxa"/>
            <w:bottom w:w="0" w:type="dxa"/>
            <w:right w:w="108" w:type="dxa"/>
          </w:tblCellMar>
        </w:tblPrEx>
        <w:trPr>
          <w:trHeight w:val="601"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名称</w:t>
            </w:r>
          </w:p>
        </w:tc>
        <w:tc>
          <w:tcPr>
            <w:tcW w:w="70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参数要求</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数量</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单位</w:t>
            </w:r>
          </w:p>
        </w:tc>
      </w:tr>
      <w:tr>
        <w:tblPrEx>
          <w:tblCellMar>
            <w:top w:w="0" w:type="dxa"/>
            <w:left w:w="108" w:type="dxa"/>
            <w:bottom w:w="0" w:type="dxa"/>
            <w:right w:w="108" w:type="dxa"/>
          </w:tblCellMar>
        </w:tblPrEx>
        <w:trPr>
          <w:trHeight w:val="9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市级视频汇聚平台</w:t>
            </w:r>
          </w:p>
        </w:tc>
        <w:tc>
          <w:tcPr>
            <w:tcW w:w="7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市级视频监控资源汇聚级联，实现对本地区防汛、林火、地质等自然灾害监控视频，政府相关部门自然灾害类监控视频的接入，接</w:t>
            </w:r>
            <w:r>
              <w:rPr>
                <w:rFonts w:hint="eastAsia" w:ascii="仿宋_GB2312" w:hAnsi="仿宋_GB2312" w:eastAsia="仿宋_GB2312" w:cs="仿宋_GB2312"/>
                <w:kern w:val="0"/>
                <w:sz w:val="20"/>
              </w:rPr>
              <w:t>入能力不少</w:t>
            </w:r>
            <w:r>
              <w:rPr>
                <w:rFonts w:hint="eastAsia" w:ascii="仿宋_GB2312" w:hAnsi="仿宋_GB2312" w:eastAsia="仿宋_GB2312" w:cs="仿宋_GB2312"/>
                <w:color w:val="000000" w:themeColor="text1"/>
                <w:kern w:val="0"/>
                <w:sz w:val="20"/>
              </w:rPr>
              <w:t xml:space="preserve">于10万路，通过视频级联节点，将本地区接入的视频监控，推送至省级视频监控平台，实现与省级视频监控平台的互联互通。市级视频监控资源汇聚要求如下：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视频资源接入与共享。可以通过平台联网的方式接入各类下级平台的视频资源，上下级平台的联网对接应满足GB/T28181的标准强制项要求。包括（1）GB/T28181-2022 国标协议对接；（2）非标平台升级改造对接；（3）非标平台网关改造对接（SDK 对接）；（4）视频直接接入；</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视频基础应用:包括（1）视频实时预览；（2）轮巡预览；（3）云台控制；（4）媒体分发；（5）视频点播；（6）地图服务；（7）录像存储与回放。</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3.开放接口服务：包括（1）取流接口；（2）设备管理接口；（3）统计服务；（4）资源目录服务接口；（5）视频应用服务接口。</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点位搜索。通过点位搜索，实现视频资源在多种筛选条件下的快速搜索，并在电子地图上展示搜索结果。</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标签管理。标签中心提供基于应急业务的标签治理能力，可根据实际业务需求，对设备进行场景化标签标注，多样业务标签提升业务价值。</w:t>
            </w:r>
          </w:p>
          <w:p>
            <w:pPr>
              <w:widowControl/>
              <w:jc w:val="left"/>
              <w:textAlignment w:val="center"/>
            </w:pPr>
            <w:r>
              <w:rPr>
                <w:rFonts w:hint="eastAsia" w:ascii="仿宋_GB2312" w:hAnsi="仿宋_GB2312" w:eastAsia="仿宋_GB2312" w:cs="仿宋_GB2312"/>
                <w:color w:val="000000" w:themeColor="text1"/>
                <w:kern w:val="0"/>
                <w:sz w:val="20"/>
              </w:rPr>
              <w:t>6.</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设备治理：包括（1）设备质量监测；（2）治理清单管理；（3）空间信息治理；（3）场所类型标定；（5）设备坐标系转换；（6）批量关联标定；（7）标签级联。</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套</w:t>
            </w:r>
          </w:p>
        </w:tc>
      </w:tr>
      <w:tr>
        <w:tblPrEx>
          <w:tblCellMar>
            <w:top w:w="0" w:type="dxa"/>
            <w:left w:w="108" w:type="dxa"/>
            <w:bottom w:w="0" w:type="dxa"/>
            <w:right w:w="108" w:type="dxa"/>
          </w:tblCellMar>
        </w:tblPrEx>
        <w:trPr>
          <w:trHeight w:val="9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2</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磁盘阵列</w:t>
            </w:r>
          </w:p>
        </w:tc>
        <w:tc>
          <w:tcPr>
            <w:tcW w:w="7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themeColor="text1"/>
                <w:sz w:val="20"/>
                <w:lang w:val="en-US" w:eastAsia="zh-CN"/>
              </w:rPr>
            </w:pPr>
            <w:r>
              <w:rPr>
                <w:rFonts w:hint="eastAsia" w:ascii="仿宋_GB2312" w:hAnsi="仿宋_GB2312" w:eastAsia="仿宋_GB2312" w:cs="仿宋_GB2312"/>
                <w:color w:val="000000" w:themeColor="text1"/>
                <w:sz w:val="20"/>
              </w:rPr>
              <w:t>1. △单颗64位多核高性能处理器，≥6U机箱，1+1冗余电源，48盘位，单盘最大支持20TB硬盘，支持硬盘热插拔</w:t>
            </w:r>
            <w:r>
              <w:rPr>
                <w:rFonts w:hint="eastAsia" w:ascii="仿宋_GB2312" w:hAnsi="仿宋_GB2312" w:eastAsia="仿宋_GB2312" w:cs="仿宋_GB2312"/>
                <w:color w:val="000000" w:themeColor="text1"/>
                <w:sz w:val="20"/>
                <w:lang w:val="en-US" w:eastAsia="zh-CN"/>
              </w:rPr>
              <w:t>;</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2.不少于4个千兆数据网口，1个百兆管理网口，支持扩展4个千兆数据网口，可选配万兆光口PCIE网卡，可选配千兆电口PCIE网卡；</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3.1个HDMI，4个USB，1个eSATA，1个RS232；</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4.支持RAID0/1/5/6/10/50/60，SRAID，支持全局热备和局部热备盘；</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5.支持320路H.264/H.265混合接入，网络带宽800Mbps接入，800Mbps存储，800Mbps转发；</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6.可通过ONVIF、GB28181、RTSP、视图库、主动注册等协议管理不同厂家前端摄像头，实现视频存储；</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7.支持通过IPSAN、NAS（Samba、FTP、NFS）、视频直存模式访问存储资源；</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8.支持iSCSI客户端模式，访问第三方存储资源，增加存储空间，延长存储周期；</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9.支持硬盘健康状态监测，定期巡检，针对异常硬盘风险预警，支持系统盘、风扇、电源等异常告警；</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10.可结合硬盘状态、RAID配置、存储模式、网络状态、录像状态等信息，智能诊断用户配置合规性，保障整机可靠运行；</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11.可配合智能前端摄像头，实现结构化告警、周界告警、入户电梯告警等多种报警事件、图片透传平台；</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12.支持关键录像加锁，确保不被循环覆盖；</w:t>
            </w:r>
          </w:p>
          <w:p>
            <w:pPr>
              <w:widowControl/>
              <w:jc w:val="left"/>
              <w:textAlignment w:val="center"/>
              <w:rPr>
                <w:rFonts w:hint="eastAsia"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13.☆支持纠删码技术，可以支持多个盘掉线或者损坏，数据仍然有效。</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14.支持N+M集群模式，可实现单台或多台设备故障时，故障设备业务自动迁移到其它健康设备上，保障业务不中断；</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15.☆国产文件系统，存储密度高，读写性能好，掉电保护；</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16.☆采用国产操作系统，性能高、稳定、可控，安全性高；</w:t>
            </w:r>
          </w:p>
          <w:p>
            <w:pPr>
              <w:widowControl/>
              <w:jc w:val="left"/>
              <w:textAlignment w:val="center"/>
              <w:rPr>
                <w:rFonts w:hint="eastAsia"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17.支持通过电口SAS线或光SAS线进行互联，确保能够通过SAS线进行上行和下行的数据通信。</w:t>
            </w:r>
          </w:p>
          <w:p>
            <w:pPr>
              <w:widowControl/>
              <w:jc w:val="left"/>
              <w:textAlignment w:val="center"/>
              <w:rPr>
                <w:rFonts w:hint="eastAsia" w:ascii="仿宋_GB2312" w:hAnsi="仿宋_GB2312" w:eastAsia="仿宋_GB2312" w:cs="仿宋_GB2312"/>
                <w:color w:val="000000" w:themeColor="text1"/>
                <w:sz w:val="20"/>
                <w:lang w:val="en-US" w:eastAsia="zh-CN"/>
              </w:rPr>
            </w:pPr>
            <w:r>
              <w:rPr>
                <w:rFonts w:hint="eastAsia" w:ascii="仿宋_GB2312" w:hAnsi="仿宋_GB2312" w:eastAsia="仿宋_GB2312" w:cs="仿宋_GB2312"/>
                <w:color w:val="000000" w:themeColor="text1"/>
                <w:sz w:val="20"/>
              </w:rPr>
              <w:t>18.支持多台设备组成SAS数据环集群，确保业务不中断、录像不丢失</w:t>
            </w:r>
            <w:r>
              <w:rPr>
                <w:rFonts w:hint="eastAsia" w:ascii="仿宋_GB2312" w:hAnsi="仿宋_GB2312" w:eastAsia="仿宋_GB2312" w:cs="仿宋_GB2312"/>
                <w:color w:val="000000" w:themeColor="text1"/>
                <w:sz w:val="20"/>
                <w:lang w:eastAsia="zh-CN"/>
              </w:rPr>
              <w:t>。</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3</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r>
      <w:tr>
        <w:tblPrEx>
          <w:tblCellMar>
            <w:top w:w="0" w:type="dxa"/>
            <w:left w:w="108" w:type="dxa"/>
            <w:bottom w:w="0" w:type="dxa"/>
            <w:right w:w="108" w:type="dxa"/>
          </w:tblCellMar>
        </w:tblPrEx>
        <w:trPr>
          <w:trHeight w:val="702"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3</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硬盘</w:t>
            </w:r>
          </w:p>
        </w:tc>
        <w:tc>
          <w:tcPr>
            <w:tcW w:w="7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单盘容量：8TB；</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2.硬盘接口：SATA；</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3.转速：7200RPM；</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4.缓存：256MB。</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120</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块</w:t>
            </w:r>
          </w:p>
        </w:tc>
      </w:tr>
      <w:tr>
        <w:tblPrEx>
          <w:tblCellMar>
            <w:top w:w="0" w:type="dxa"/>
            <w:left w:w="108" w:type="dxa"/>
            <w:bottom w:w="0" w:type="dxa"/>
            <w:right w:w="108" w:type="dxa"/>
          </w:tblCellMar>
        </w:tblPrEx>
        <w:trPr>
          <w:trHeight w:val="9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4</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视频智能分析仪</w:t>
            </w:r>
          </w:p>
        </w:tc>
        <w:tc>
          <w:tcPr>
            <w:tcW w:w="7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主处理器：2颗国产化CPU，24核，2.6GHz；</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w:t>
            </w:r>
            <w:r>
              <w:rPr>
                <w:rFonts w:hint="eastAsia" w:ascii="仿宋_GB2312" w:hAnsi="仿宋_GB2312" w:eastAsia="仿宋_GB2312" w:cs="仿宋_GB2312"/>
                <w:color w:val="000000" w:themeColor="text1"/>
                <w:kern w:val="0"/>
                <w:sz w:val="24"/>
                <w:szCs w:val="24"/>
              </w:rPr>
              <w:t>▲</w:t>
            </w:r>
            <w:r>
              <w:rPr>
                <w:rFonts w:hint="eastAsia" w:ascii="仿宋_GB2312" w:hAnsi="仿宋_GB2312" w:eastAsia="仿宋_GB2312" w:cs="仿宋_GB2312"/>
                <w:color w:val="000000" w:themeColor="text1"/>
                <w:kern w:val="0"/>
                <w:sz w:val="20"/>
              </w:rPr>
              <w:t>操作系统：国产操作系统；</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3.智能卡数量：可以支持8张分析卡(A/N/E/T卡)；</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4.内存：4根32GB DDR4内存条，最大槽位数16个槽位；</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5.硬盘：≥2块2.5寸480GB SSD硬盘，≥2块3.5寸8TB 机械硬盘，最大硬盘槽位数12槽位；</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6.接口：不少于4个千兆自适应网口；前置2个USB3.0接口，后置2个USB3.0接口；2个VGA接口；1个RJ45管理网口，1个RJ45调试串口。</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r>
      <w:tr>
        <w:tblPrEx>
          <w:tblCellMar>
            <w:top w:w="0" w:type="dxa"/>
            <w:left w:w="108" w:type="dxa"/>
            <w:bottom w:w="0" w:type="dxa"/>
            <w:right w:w="108" w:type="dxa"/>
          </w:tblCellMar>
        </w:tblPrEx>
        <w:trPr>
          <w:trHeight w:val="9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分析卡</w:t>
            </w:r>
          </w:p>
        </w:tc>
        <w:tc>
          <w:tcPr>
            <w:tcW w:w="7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内存规格：LPDDR4X 24GB；</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AI算力：单卡纯硬件算力，半精度（FP16）：50 TFLOPS（峰值算力）；整数精度（INT8）：100 TOPS（峰值算力）；</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3.PCIe接口：x16 Lanes，兼容x8，PCIe Gen4.0；</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4.人脸：单卡支持不少于300张/秒人脸小图目标分析；</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5.结构化：单卡支持不少于80路200万或40路400万或20路800万分辨率的实时视频活动目标分析，单卡支持不少于150张/秒200万或75张/秒400万~800万分辨率的结构化图片目标分析；</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6.车辆：单卡支持日处理不少于600万张车辆图片目标分析(图片分辨率200万-900万)。</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8</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张</w:t>
            </w:r>
          </w:p>
        </w:tc>
      </w:tr>
      <w:tr>
        <w:tblPrEx>
          <w:tblCellMar>
            <w:top w:w="0" w:type="dxa"/>
            <w:left w:w="108" w:type="dxa"/>
            <w:bottom w:w="0" w:type="dxa"/>
            <w:right w:w="108" w:type="dxa"/>
          </w:tblCellMar>
        </w:tblPrEx>
        <w:trPr>
          <w:trHeight w:val="1233"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6</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管理型以太网交换机</w:t>
            </w:r>
          </w:p>
        </w:tc>
        <w:tc>
          <w:tcPr>
            <w:tcW w:w="7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w:t>
            </w:r>
            <w:r>
              <w:rPr>
                <w:rFonts w:hint="eastAsia" w:ascii="仿宋_GB2312" w:hAnsi="仿宋_GB2312" w:eastAsia="仿宋_GB2312" w:cs="仿宋_GB2312"/>
                <w:color w:val="000000" w:themeColor="text1"/>
                <w:kern w:val="0"/>
                <w:szCs w:val="21"/>
              </w:rPr>
              <w:t>△不少于</w:t>
            </w:r>
            <w:r>
              <w:rPr>
                <w:rFonts w:hint="eastAsia" w:ascii="仿宋_GB2312" w:hAnsi="仿宋_GB2312" w:eastAsia="仿宋_GB2312" w:cs="仿宋_GB2312"/>
                <w:color w:val="000000" w:themeColor="text1"/>
                <w:kern w:val="0"/>
                <w:sz w:val="20"/>
              </w:rPr>
              <w:t>24个10/100/1000 BASE-T电口，4个1G/10G Base-X光口；</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2.交换容量：</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336Gbps/3.36Tbps，包转发率：</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108Mpps；</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3.支持STP/RSTP/MSTP；</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支持EAPS以太网链路自动保护协议，环网切换＜50ms</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提供第三方具备CNAS或CMA认证资质的机构出具的检测报告。）</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5.支持GVRP；支持QinQ功能；支持Private VLAN；支持Voice vlan；</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6.支持静态、动态链路聚合；</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7.支持IGMP v1/v2/v3；支持IGMP Snooping；支持IGMP Fast Leave；支持组播组策略及组播组数量限制；支持组播流量跨VLAN复制；</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8.支持虚拟化堆叠技术；支持VRRP；</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9.支持DHCP Client、DHCP Snooping、DHCP Relay、DHCP Server；</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10.支持ARP、RARP、免费ARP；支持Dynamic ARP Inspection；支持ARP anti-attack；支持ARP源抑制；</w:t>
            </w:r>
          </w:p>
          <w:p>
            <w:pPr>
              <w:widowControl/>
              <w:jc w:val="left"/>
              <w:textAlignment w:val="center"/>
              <w:rPr>
                <w:rFonts w:ascii="仿宋_GB2312" w:hAnsi="仿宋_GB2312" w:eastAsia="仿宋_GB2312" w:cs="仿宋_GB2312"/>
                <w:color w:val="000000" w:themeColor="text1"/>
                <w:kern w:val="0"/>
                <w:sz w:val="20"/>
                <w:highlight w:val="yellow"/>
              </w:rPr>
            </w:pPr>
            <w:r>
              <w:rPr>
                <w:rFonts w:hint="eastAsia" w:ascii="仿宋_GB2312" w:hAnsi="仿宋_GB2312" w:eastAsia="仿宋_GB2312" w:cs="仿宋_GB2312"/>
                <w:color w:val="000000" w:themeColor="text1"/>
                <w:kern w:val="0"/>
                <w:sz w:val="20"/>
              </w:rPr>
              <w:t>11.</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支持基于L2/L3/L4协议头各字段的流量分类；支持流量监管、流量整形和限速；支持802.1P/DSCP优先级重新标记</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提供第三方具备CNAS或CMA认证资质的机构出具的检测报告。）</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12.</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支持二层、三层、四层ACL，支持IPv4、IPv6 ACL，支持VLAN ACL；支持标准和扩展ACL，支持IP ACL、支持基于源/目的IP、三层IP协议号、TCP/UDP四层端口号、IP优先级、ToS、时间范围对数据进行过滤。</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提供第三方具备CNAS或CMA认证资质的机构出具的检测报告。）</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13.支持ICMPv6、DHCPv6、ACLv6、IPv6 Telnet；支持IPv6邻居发现；支持Path MTU发现；支持MLD v1/v2；支持MLD Snooping；</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14.支持FTP/TFTP加载升级；支持命令行接口(CLI)、Telnet、Console口进行配置；支持SNMP v1/v2c/v3；支持系统日志、分级告警、调试信息输出；支持NTP；支持Ping、Tracert；支持LLDP；支持Loopback-detection 端口环回检测。</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r>
      <w:tr>
        <w:tblPrEx>
          <w:tblCellMar>
            <w:top w:w="0" w:type="dxa"/>
            <w:left w:w="108" w:type="dxa"/>
            <w:bottom w:w="0" w:type="dxa"/>
            <w:right w:w="108" w:type="dxa"/>
          </w:tblCellMar>
        </w:tblPrEx>
        <w:trPr>
          <w:trHeight w:val="416"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7</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万兆光模块</w:t>
            </w:r>
          </w:p>
        </w:tc>
        <w:tc>
          <w:tcPr>
            <w:tcW w:w="7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w:t>
            </w:r>
            <w:r>
              <w:rPr>
                <w:rFonts w:hint="eastAsia" w:ascii="仿宋_GB2312" w:hAnsi="仿宋_GB2312" w:eastAsia="仿宋_GB2312" w:cs="仿宋_GB2312"/>
                <w:color w:val="000000" w:themeColor="text1"/>
                <w:sz w:val="20"/>
              </w:rPr>
              <w:t xml:space="preserve"> △</w:t>
            </w:r>
            <w:r>
              <w:rPr>
                <w:rFonts w:hint="eastAsia" w:ascii="仿宋_GB2312" w:hAnsi="仿宋_GB2312" w:eastAsia="仿宋_GB2312" w:cs="仿宋_GB2312"/>
                <w:color w:val="000000" w:themeColor="text1"/>
                <w:kern w:val="0"/>
                <w:sz w:val="20"/>
              </w:rPr>
              <w:t>工业级万兆SFP+光模块（收发一体）；</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2.光纤类型：多模双纤；</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3.接口类型：LC；</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4.波长：</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850nm发送，</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850nm接收；</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5.传输距离：</w:t>
            </w:r>
            <w:r>
              <w:rPr>
                <w:rFonts w:hint="eastAsia" w:ascii="仿宋_GB2312" w:hAnsi="仿宋_GB2312" w:eastAsia="仿宋_GB2312" w:cs="仿宋_GB2312"/>
                <w:color w:val="000000" w:themeColor="text1"/>
                <w:sz w:val="20"/>
              </w:rPr>
              <w:t>≥</w:t>
            </w:r>
            <w:r>
              <w:rPr>
                <w:rFonts w:hint="eastAsia" w:ascii="仿宋_GB2312" w:hAnsi="仿宋_GB2312" w:eastAsia="仿宋_GB2312" w:cs="仿宋_GB2312"/>
                <w:color w:val="000000" w:themeColor="text1"/>
                <w:kern w:val="0"/>
                <w:sz w:val="20"/>
              </w:rPr>
              <w:t>300m。</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4</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块</w:t>
            </w:r>
          </w:p>
        </w:tc>
      </w:tr>
      <w:tr>
        <w:tblPrEx>
          <w:tblCellMar>
            <w:top w:w="0" w:type="dxa"/>
            <w:left w:w="108" w:type="dxa"/>
            <w:bottom w:w="0" w:type="dxa"/>
            <w:right w:w="108" w:type="dxa"/>
          </w:tblCellMar>
        </w:tblPrEx>
        <w:trPr>
          <w:trHeight w:val="1348"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热成像中载云台</w:t>
            </w:r>
          </w:p>
          <w:p>
            <w:pPr>
              <w:widowControl/>
              <w:jc w:val="center"/>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（核心设备）</w:t>
            </w:r>
          </w:p>
        </w:tc>
        <w:tc>
          <w:tcPr>
            <w:tcW w:w="7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1.△热成像分辨率：不小于384 × 288，热成像焦距：不小于100 mm，热成像视场角：3.74° (H)× 2.80°(V)</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2.☆传感器类型：1/1.8英寸CMOS；最大分辨率：不小于2688×1520；可见光像素：400万；</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3.☆可见光透雾功能：支持光学透雾和算法透雾；</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4.☆可见光防抖功能：陀螺仪电子防抖，水平范围：360°连续旋转，垂直范围：+40°~-90°</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5.☆可见光视场角：48.26°(H)28.43°(V)-0.92°(H)0.56°(V)；</w:t>
            </w:r>
          </w:p>
          <w:p>
            <w:pPr>
              <w:widowControl/>
              <w:jc w:val="left"/>
              <w:textAlignment w:val="center"/>
              <w:rPr>
                <w:rFonts w:hint="eastAsia" w:ascii="仿宋_GB2312" w:hAnsi="仿宋_GB2312" w:eastAsia="仿宋_GB2312" w:cs="仿宋_GB2312"/>
                <w:color w:val="000000" w:themeColor="text1"/>
                <w:sz w:val="20"/>
                <w:lang w:eastAsia="zh-CN"/>
              </w:rPr>
            </w:pPr>
            <w:r>
              <w:rPr>
                <w:rFonts w:hint="eastAsia" w:ascii="仿宋_GB2312" w:hAnsi="仿宋_GB2312" w:eastAsia="仿宋_GB2312" w:cs="仿宋_GB2312"/>
                <w:color w:val="000000" w:themeColor="text1"/>
                <w:sz w:val="20"/>
              </w:rPr>
              <w:t>6.☆雨刷功能：支持手动/自动启动，支持单次/多次可设，雨刷频率、持续时间可设</w:t>
            </w:r>
            <w:r>
              <w:rPr>
                <w:rFonts w:hint="eastAsia" w:ascii="仿宋_GB2312" w:hAnsi="仿宋_GB2312" w:eastAsia="仿宋_GB2312" w:cs="仿宋_GB2312"/>
                <w:color w:val="000000" w:themeColor="text1"/>
                <w:sz w:val="20"/>
                <w:lang w:eastAsia="zh-CN"/>
              </w:rPr>
              <w:t>；</w:t>
            </w:r>
          </w:p>
          <w:p>
            <w:pPr>
              <w:widowControl/>
              <w:jc w:val="left"/>
              <w:textAlignment w:val="center"/>
              <w:rPr>
                <w:rFonts w:hint="eastAsia" w:ascii="仿宋_GB2312" w:hAnsi="仿宋_GB2312" w:eastAsia="仿宋_GB2312" w:cs="仿宋_GB2312"/>
                <w:color w:val="000000" w:themeColor="text1"/>
                <w:sz w:val="20"/>
                <w:lang w:eastAsia="zh-CN"/>
              </w:rPr>
            </w:pPr>
            <w:r>
              <w:rPr>
                <w:rFonts w:hint="eastAsia" w:ascii="仿宋_GB2312" w:hAnsi="仿宋_GB2312" w:eastAsia="仿宋_GB2312" w:cs="仿宋_GB2312"/>
                <w:color w:val="000000" w:themeColor="text1"/>
                <w:sz w:val="20"/>
              </w:rPr>
              <w:t>7.补光类型：激光；可见光参照物大小：5m*5m，可见光补光功能：激光补光有效距离：≥800m</w:t>
            </w:r>
            <w:r>
              <w:rPr>
                <w:rFonts w:hint="eastAsia" w:ascii="仿宋_GB2312" w:hAnsi="仿宋_GB2312" w:eastAsia="仿宋_GB2312" w:cs="仿宋_GB2312"/>
                <w:color w:val="000000" w:themeColor="text1"/>
                <w:sz w:val="20"/>
                <w:lang w:eastAsia="zh-CN"/>
              </w:rPr>
              <w:t>；</w:t>
            </w:r>
          </w:p>
          <w:p>
            <w:pPr>
              <w:widowControl/>
              <w:jc w:val="left"/>
              <w:textAlignment w:val="center"/>
              <w:rPr>
                <w:rFonts w:hint="eastAsia" w:ascii="仿宋_GB2312" w:hAnsi="仿宋_GB2312" w:eastAsia="仿宋_GB2312" w:cs="仿宋_GB2312"/>
                <w:color w:val="000000" w:themeColor="text1"/>
                <w:sz w:val="20"/>
                <w:lang w:eastAsia="zh-CN"/>
              </w:rPr>
            </w:pPr>
            <w:r>
              <w:rPr>
                <w:rFonts w:hint="eastAsia" w:ascii="仿宋_GB2312" w:hAnsi="仿宋_GB2312" w:eastAsia="仿宋_GB2312" w:cs="仿宋_GB2312"/>
                <w:color w:val="000000" w:themeColor="text1"/>
                <w:sz w:val="20"/>
              </w:rPr>
              <w:t>8.支持激光测距，激光测距距离：≥1000m；支持激光补光模块和激光测距模块可同时正常工作</w:t>
            </w:r>
            <w:r>
              <w:rPr>
                <w:rFonts w:hint="eastAsia" w:ascii="仿宋_GB2312" w:hAnsi="仿宋_GB2312" w:eastAsia="仿宋_GB2312" w:cs="仿宋_GB2312"/>
                <w:color w:val="000000" w:themeColor="text1"/>
                <w:sz w:val="20"/>
                <w:lang w:eastAsia="zh-CN"/>
              </w:rPr>
              <w:t>；</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9.☆火点侦测距离（最远）：≥6000m（目标大小2m×2m）；</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10.周界防范距离（人）：≥1000m（目标大小1.8m×0.5m）；</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11.周界防范距离（车）：≥3000m（目标大小4m×1.4m）；</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12.☆烟雾检测距离：≥6000m（目标大小5m×5m）；</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13.船只检测距离：≥3000m（目标大小10m×5m）；</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14.网络接口：不少于1个，10M/100M以太网口（RJ-45）；</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15.报警输入：不少于7 路开关量输入(0-5vDC)；报警输出：不少于2 路，支持报警联动；</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16.音频输入：不少于1路（LINE IN；裸线）；音频输出：不少于1路（LINE OUT；裸线）；</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17.☆具有集成智能火点算法和可见光深度学习火点误报过滤算法设置选项，实现烟火检测、行为分析、测温应用、废气检测、车辆检测、雷达联动等智能应用；</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18.支持热成像镜头磁编反馈系统，含有姿态感知模块，支持3个MCU独立控制系统；</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19.☆支持CGCS2000大地坐标系；</w:t>
            </w:r>
          </w:p>
          <w:p>
            <w:pPr>
              <w:widowControl/>
              <w:jc w:val="left"/>
              <w:rPr>
                <w:rStyle w:val="75"/>
                <w:rFonts w:hint="default" w:ascii="仿宋_GB2312" w:hAnsi="仿宋_GB2312" w:eastAsia="仿宋_GB2312" w:cs="仿宋_GB2312"/>
                <w:color w:val="000000" w:themeColor="text1"/>
              </w:rPr>
            </w:pPr>
            <w:r>
              <w:rPr>
                <w:rStyle w:val="75"/>
                <w:rFonts w:hint="default" w:ascii="仿宋_GB2312" w:hAnsi="仿宋_GB2312" w:eastAsia="仿宋_GB2312" w:cs="仿宋_GB2312"/>
                <w:color w:val="000000" w:themeColor="text1"/>
              </w:rPr>
              <w:t>注：部署及运维要求：</w:t>
            </w:r>
          </w:p>
          <w:p>
            <w:pPr>
              <w:widowControl/>
              <w:jc w:val="left"/>
              <w:rPr>
                <w:rStyle w:val="75"/>
                <w:rFonts w:hint="default" w:ascii="仿宋_GB2312" w:hAnsi="仿宋_GB2312" w:eastAsia="仿宋_GB2312" w:cs="仿宋_GB2312"/>
                <w:color w:val="000000" w:themeColor="text1"/>
              </w:rPr>
            </w:pPr>
            <w:r>
              <w:rPr>
                <w:rStyle w:val="75"/>
                <w:rFonts w:hint="default" w:ascii="仿宋_GB2312" w:hAnsi="仿宋_GB2312" w:eastAsia="仿宋_GB2312" w:cs="仿宋_GB2312"/>
                <w:color w:val="000000" w:themeColor="text1"/>
              </w:rPr>
              <w:t>1）云台挂载在离地20m以上高位挂载体上，挂载平台位置必须在采购方提供的点位周边100米以内，视野无大面积遮挡；</w:t>
            </w:r>
          </w:p>
          <w:p>
            <w:pPr>
              <w:widowControl/>
              <w:jc w:val="left"/>
              <w:rPr>
                <w:rStyle w:val="75"/>
                <w:rFonts w:hint="default" w:ascii="仿宋_GB2312" w:hAnsi="仿宋_GB2312" w:eastAsia="仿宋_GB2312" w:cs="仿宋_GB2312"/>
                <w:color w:val="000000" w:themeColor="text1"/>
              </w:rPr>
            </w:pPr>
            <w:r>
              <w:rPr>
                <w:rStyle w:val="75"/>
                <w:rFonts w:hint="default" w:ascii="仿宋_GB2312" w:hAnsi="仿宋_GB2312" w:eastAsia="仿宋_GB2312" w:cs="仿宋_GB2312"/>
                <w:color w:val="000000" w:themeColor="text1"/>
              </w:rPr>
              <w:t>2）需包含安装云台所需的各类杆件、高位底座等各类配套辅材；</w:t>
            </w:r>
          </w:p>
          <w:p>
            <w:pPr>
              <w:widowControl/>
              <w:jc w:val="left"/>
              <w:rPr>
                <w:rStyle w:val="75"/>
                <w:rFonts w:hint="default" w:ascii="仿宋_GB2312" w:hAnsi="仿宋_GB2312" w:eastAsia="仿宋_GB2312" w:cs="仿宋_GB2312"/>
                <w:color w:val="000000" w:themeColor="text1"/>
              </w:rPr>
            </w:pPr>
            <w:r>
              <w:rPr>
                <w:rStyle w:val="75"/>
                <w:rFonts w:hint="default" w:ascii="仿宋_GB2312" w:hAnsi="仿宋_GB2312" w:eastAsia="仿宋_GB2312" w:cs="仿宋_GB2312"/>
                <w:color w:val="000000" w:themeColor="text1"/>
              </w:rPr>
              <w:t>3）选址点应确保提供UPS或其他后备电源作为保障；</w:t>
            </w:r>
          </w:p>
          <w:p>
            <w:pPr>
              <w:widowControl/>
              <w:jc w:val="left"/>
              <w:rPr>
                <w:rStyle w:val="75"/>
                <w:rFonts w:hint="default" w:ascii="仿宋_GB2312" w:hAnsi="仿宋_GB2312" w:eastAsia="仿宋_GB2312" w:cs="仿宋_GB2312"/>
                <w:color w:val="000000" w:themeColor="text1"/>
              </w:rPr>
            </w:pPr>
            <w:r>
              <w:rPr>
                <w:rStyle w:val="75"/>
                <w:rFonts w:hint="default" w:ascii="仿宋_GB2312" w:hAnsi="仿宋_GB2312" w:eastAsia="仿宋_GB2312" w:cs="仿宋_GB2312"/>
                <w:color w:val="000000" w:themeColor="text1"/>
              </w:rPr>
              <w:t>4）视频监控设备接入需使用数据专线进行接入，带宽需大于</w:t>
            </w:r>
            <w:r>
              <w:rPr>
                <w:rStyle w:val="75"/>
                <w:rFonts w:ascii="仿宋_GB2312" w:hAnsi="仿宋_GB2312" w:eastAsia="仿宋_GB2312" w:cs="仿宋_GB2312"/>
                <w:color w:val="000000" w:themeColor="text1"/>
              </w:rPr>
              <w:t>等于</w:t>
            </w:r>
            <w:r>
              <w:rPr>
                <w:rStyle w:val="75"/>
                <w:rFonts w:hint="default" w:ascii="仿宋_GB2312" w:hAnsi="仿宋_GB2312" w:eastAsia="仿宋_GB2312" w:cs="仿宋_GB2312"/>
                <w:color w:val="000000" w:themeColor="text1"/>
              </w:rPr>
              <w:t>10M；</w:t>
            </w:r>
          </w:p>
          <w:p>
            <w:pPr>
              <w:widowControl/>
              <w:jc w:val="left"/>
              <w:rPr>
                <w:rFonts w:ascii="仿宋_GB2312" w:hAnsi="仿宋_GB2312" w:eastAsia="仿宋" w:cs="仿宋_GB2312"/>
                <w:color w:val="000000" w:themeColor="text1"/>
              </w:rPr>
            </w:pPr>
            <w:r>
              <w:rPr>
                <w:rStyle w:val="75"/>
                <w:rFonts w:hint="default" w:ascii="仿宋" w:hAnsi="仿宋" w:eastAsia="仿宋" w:cs="仿宋"/>
                <w:color w:val="000000" w:themeColor="text1"/>
              </w:rPr>
              <w:t>5）视频数据接入市级视频汇聚平台，预警数据接入预警信息汇聚管理平台</w:t>
            </w:r>
            <w:r>
              <w:rPr>
                <w:rFonts w:hint="eastAsia" w:ascii="仿宋" w:hAnsi="仿宋" w:eastAsia="仿宋" w:cs="仿宋"/>
                <w:color w:val="000000" w:themeColor="text1"/>
                <w:kern w:val="0"/>
                <w:sz w:val="20"/>
              </w:rPr>
              <w:t>。</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96</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r>
      <w:tr>
        <w:tblPrEx>
          <w:tblCellMar>
            <w:top w:w="0" w:type="dxa"/>
            <w:left w:w="108" w:type="dxa"/>
            <w:bottom w:w="0" w:type="dxa"/>
            <w:right w:w="108" w:type="dxa"/>
          </w:tblCellMar>
        </w:tblPrEx>
        <w:trPr>
          <w:trHeight w:val="124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9</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天通卫星电话</w:t>
            </w:r>
          </w:p>
        </w:tc>
        <w:tc>
          <w:tcPr>
            <w:tcW w:w="70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1.△支持国产自主可控卫星资源，支持 2.4kbps 等多种话音速率；</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2.最大卫星数据速率不低于 9.6kbps；</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3.</w:t>
            </w:r>
            <w:r>
              <w:rPr>
                <w:rFonts w:hint="eastAsia" w:ascii="仿宋_GB2312" w:hAnsi="仿宋_GB2312" w:eastAsia="仿宋_GB2312" w:cs="仿宋_GB2312"/>
                <w:color w:val="000000" w:themeColor="text1"/>
                <w:kern w:val="0"/>
                <w:szCs w:val="21"/>
              </w:rPr>
              <w:t>△</w:t>
            </w:r>
            <w:r>
              <w:rPr>
                <w:rFonts w:hint="eastAsia" w:ascii="仿宋_GB2312" w:hAnsi="仿宋_GB2312" w:eastAsia="仿宋_GB2312" w:cs="仿宋_GB2312"/>
                <w:color w:val="000000" w:themeColor="text1"/>
                <w:sz w:val="20"/>
              </w:rPr>
              <w:t>支持北斗定位（单北斗），防护等≥IP67。</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注：含一部话机+一年卫星通信费。</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highlight w:val="yellow"/>
              </w:rPr>
            </w:pPr>
            <w:r>
              <w:rPr>
                <w:rFonts w:hint="eastAsia" w:ascii="仿宋_GB2312" w:hAnsi="仿宋_GB2312" w:eastAsia="仿宋_GB2312" w:cs="仿宋_GB2312"/>
                <w:color w:val="000000" w:themeColor="text1"/>
                <w:sz w:val="20"/>
              </w:rPr>
              <w:t>224</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台</w:t>
            </w:r>
          </w:p>
        </w:tc>
      </w:tr>
    </w:tbl>
    <w:p>
      <w:pPr>
        <w:rPr>
          <w:rFonts w:ascii="仿宋_GB2312" w:hAnsi="仿宋_GB2312" w:eastAsia="仿宋_GB2312" w:cs="仿宋_GB2312"/>
          <w:color w:val="000000" w:themeColor="text1"/>
        </w:rPr>
      </w:pPr>
    </w:p>
    <w:p>
      <w:pPr>
        <w:rPr>
          <w:rFonts w:ascii="仿宋_GB2312" w:hAnsi="仿宋_GB2312" w:eastAsia="仿宋_GB2312" w:cs="仿宋_GB2312"/>
          <w:color w:val="000000" w:themeColor="text1"/>
        </w:rPr>
      </w:pPr>
    </w:p>
    <w:p>
      <w:pPr>
        <w:spacing w:line="288" w:lineRule="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【说明】</w:t>
      </w:r>
    </w:p>
    <w:p>
      <w:pPr>
        <w:spacing w:line="360" w:lineRule="auto"/>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▲1.本次项目采购的市级视频监控资源汇聚须</w:t>
      </w:r>
      <w:r>
        <w:rPr>
          <w:rFonts w:hint="eastAsia" w:ascii="仿宋_GB2312" w:hAnsi="仿宋_GB2312" w:eastAsia="仿宋_GB2312" w:cs="仿宋_GB2312"/>
          <w:color w:val="000000" w:themeColor="text1"/>
          <w:sz w:val="24"/>
          <w:szCs w:val="24"/>
        </w:rPr>
        <w:t>实现与省级视频监控平台的互联互通</w:t>
      </w:r>
      <w:r>
        <w:rPr>
          <w:rFonts w:hint="eastAsia" w:ascii="仿宋_GB2312" w:hAnsi="仿宋_GB2312" w:eastAsia="仿宋_GB2312" w:cs="仿宋_GB2312"/>
          <w:color w:val="000000" w:themeColor="text1"/>
          <w:kern w:val="0"/>
          <w:sz w:val="24"/>
          <w:szCs w:val="24"/>
        </w:rPr>
        <w:t>。投标人需提供盖有投标人公章的相关承诺函（格式自拟），如中标人实际不能做到的，采购人</w:t>
      </w:r>
      <w:r>
        <w:rPr>
          <w:rFonts w:hint="eastAsia" w:ascii="仿宋_GB2312" w:hAnsi="仿宋_GB2312" w:eastAsia="仿宋_GB2312" w:cs="仿宋_GB2312"/>
          <w:color w:val="000000" w:themeColor="text1"/>
          <w:sz w:val="24"/>
          <w:szCs w:val="24"/>
        </w:rPr>
        <w:t>有权单</w:t>
      </w:r>
      <w:bookmarkStart w:id="410" w:name="_GoBack"/>
      <w:bookmarkEnd w:id="410"/>
      <w:r>
        <w:rPr>
          <w:rFonts w:hint="eastAsia" w:ascii="仿宋_GB2312" w:hAnsi="仿宋_GB2312" w:eastAsia="仿宋_GB2312" w:cs="仿宋_GB2312"/>
          <w:color w:val="000000" w:themeColor="text1"/>
          <w:sz w:val="24"/>
          <w:szCs w:val="24"/>
        </w:rPr>
        <w:t>方面解除合同，并依法追究相关责任</w:t>
      </w:r>
      <w:r>
        <w:rPr>
          <w:rFonts w:hint="eastAsia" w:ascii="仿宋_GB2312" w:hAnsi="仿宋_GB2312" w:eastAsia="仿宋_GB2312" w:cs="仿宋_GB2312"/>
          <w:color w:val="000000" w:themeColor="text1"/>
          <w:kern w:val="0"/>
          <w:sz w:val="24"/>
          <w:szCs w:val="24"/>
        </w:rPr>
        <w:t>。</w:t>
      </w:r>
    </w:p>
    <w:p>
      <w:pPr>
        <w:spacing w:line="360" w:lineRule="auto"/>
        <w:ind w:firstLine="480" w:firstLineChars="200"/>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▲2.投标人需在本项目限定的时间工期内完成所有点位的建设并符合采购需求。如投标人在中标以后实际不能做到的，采购人</w:t>
      </w:r>
      <w:r>
        <w:rPr>
          <w:rFonts w:hint="eastAsia" w:ascii="仿宋_GB2312" w:hAnsi="仿宋_GB2312" w:eastAsia="仿宋_GB2312" w:cs="仿宋_GB2312"/>
          <w:color w:val="000000" w:themeColor="text1"/>
          <w:sz w:val="24"/>
          <w:szCs w:val="24"/>
        </w:rPr>
        <w:t>有权单方面解除合同，并依法追究相关责任</w:t>
      </w:r>
      <w:r>
        <w:rPr>
          <w:rFonts w:hint="eastAsia" w:ascii="仿宋_GB2312" w:hAnsi="仿宋_GB2312" w:eastAsia="仿宋_GB2312" w:cs="仿宋_GB2312"/>
          <w:color w:val="000000" w:themeColor="text1"/>
          <w:kern w:val="0"/>
          <w:sz w:val="24"/>
          <w:szCs w:val="24"/>
        </w:rPr>
        <w:t>。</w:t>
      </w:r>
    </w:p>
    <w:p>
      <w:pPr>
        <w:pStyle w:val="2"/>
        <w:spacing w:line="360" w:lineRule="auto"/>
        <w:ind w:firstLine="480"/>
        <w:rPr>
          <w:rFonts w:ascii="仿宋_GB2312" w:hAnsi="仿宋_GB2312" w:eastAsia="仿宋_GB2312" w:cs="仿宋_GB2312"/>
          <w:color w:val="000000" w:themeColor="text1"/>
          <w:szCs w:val="24"/>
        </w:rPr>
      </w:pPr>
      <w:r>
        <w:rPr>
          <w:rFonts w:hint="eastAsia" w:ascii="仿宋_GB2312" w:hAnsi="仿宋_GB2312" w:eastAsia="仿宋_GB2312" w:cs="仿宋_GB2312"/>
          <w:color w:val="000000" w:themeColor="text1"/>
          <w:spacing w:val="0"/>
          <w:szCs w:val="24"/>
        </w:rPr>
        <w:t>3.中标人提供的视频汇聚平台在终验后一年内需达到三级等保，相关费用由中标人承担。</w:t>
      </w:r>
    </w:p>
    <w:p>
      <w:pPr>
        <w:spacing w:line="360" w:lineRule="auto"/>
        <w:ind w:firstLine="482" w:firstLineChars="20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四、工期、供货地点、质保期（运维期）</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1.工期：合同签订之日起至9月底前完成系统功能测试并实现与省级视频监控平台的互联互通，且通过初步验收；10月份进入试运行，11月底完成终验并交付使用。</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2.供货地点：根据采购人安排送至指定地点。</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▲3.质保期及运维期要求：</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质保期：本项目所采购的各项设备及系统（上述清单1-9项）质保期从项目终验合格开始计算，投标人应提供不少于3年的质保服务，在质保期内投标人应免费上门对损坏的部件或设备或系统进行维修、安装、更换、调试等；质保期</w:t>
      </w:r>
      <w:r>
        <w:rPr>
          <w:rFonts w:hint="eastAsia" w:ascii="仿宋_GB2312" w:hAnsi="仿宋_GB2312" w:eastAsia="仿宋_GB2312" w:cs="仿宋_GB2312"/>
          <w:bCs/>
          <w:color w:val="000000" w:themeColor="text1"/>
          <w:sz w:val="24"/>
          <w:szCs w:val="24"/>
        </w:rPr>
        <w:t>内免费更换的设备零部质保期应自更换之日起计不少于3年。</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（2）运维期：本项目所采购的各项设备、系统及相关服务的运维期</w:t>
      </w:r>
      <w:r>
        <w:rPr>
          <w:rFonts w:hint="eastAsia" w:ascii="仿宋_GB2312" w:hAnsi="仿宋_GB2312" w:eastAsia="仿宋_GB2312" w:cs="仿宋_GB2312"/>
          <w:color w:val="000000" w:themeColor="text1"/>
          <w:sz w:val="24"/>
          <w:szCs w:val="24"/>
        </w:rPr>
        <w:t>从项目终验合格开始计算，投标人应提供不少于5年的运维服务，包括中载云台的链路租赁费、挂载费、电费及数据服务费等；其中天通卫星电话需提供一年的卫星通信费。</w:t>
      </w:r>
      <w:r>
        <w:rPr>
          <w:rFonts w:hint="eastAsia" w:ascii="仿宋_GB2312" w:hAnsi="仿宋_GB2312" w:eastAsia="仿宋_GB2312" w:cs="仿宋_GB2312"/>
          <w:color w:val="000000" w:themeColor="text1"/>
          <w:sz w:val="24"/>
          <w:szCs w:val="24"/>
          <w:shd w:val="clear" w:color="auto" w:fill="FFFFFF"/>
        </w:rPr>
        <w:t>期间7*24小时监测系统运行情况，48小时内完成故障处理。</w:t>
      </w:r>
    </w:p>
    <w:p>
      <w:pPr>
        <w:spacing w:line="360" w:lineRule="auto"/>
        <w:ind w:firstLine="482" w:firstLineChars="20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五、供货、安装及验收要求</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1.所有产品必须是厂家原装生产,原厂、原包装送货到采购人指定地点。</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2.根据96个监控点位的安装条件，做好热成像中载云台的安装、挂载、系统安装调试等工作，并承担运维期内的日常电费。</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3.中标人应做好安全防护措施，落实安全生产制度，并与采购人签订安全生产协议，在项目实施工程中的一切安全责任均由中标人自行承担。</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4.中标人须派遣技术熟练的专业技术人员按照国家有关标准进行设备安装、调试直至设备验收合格通过。</w:t>
      </w:r>
    </w:p>
    <w:p>
      <w:pPr>
        <w:spacing w:line="360" w:lineRule="auto"/>
        <w:ind w:firstLine="480" w:firstLineChars="200"/>
        <w:rPr>
          <w:rFonts w:ascii="仿宋_GB2312" w:hAnsi="仿宋_GB2312" w:eastAsia="仿宋_GB2312" w:cs="仿宋_GB2312"/>
          <w:b/>
          <w:color w:val="000000" w:themeColor="text1"/>
          <w:sz w:val="24"/>
          <w:szCs w:val="24"/>
        </w:rPr>
      </w:pPr>
      <w:r>
        <w:rPr>
          <w:rFonts w:hint="eastAsia" w:ascii="仿宋_GB2312" w:hAnsi="仿宋_GB2312" w:eastAsia="仿宋_GB2312" w:cs="仿宋_GB2312"/>
          <w:bCs/>
          <w:color w:val="000000" w:themeColor="text1"/>
          <w:sz w:val="24"/>
          <w:szCs w:val="24"/>
        </w:rPr>
        <w:t>5.本项目设备安装完成后，由采购人组织相关人员进行验收，验收合格条件为相关对接或数据要求均已完成，使用效果符合国家及省级相关标准、采购文件技术规格要求、中标人投标文件中的承诺，并得到采购人的认可。</w:t>
      </w:r>
    </w:p>
    <w:p>
      <w:pPr>
        <w:spacing w:line="360" w:lineRule="auto"/>
        <w:ind w:firstLine="482" w:firstLineChars="20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六、售后服务及运维服务要求</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1.中标人应提供上门售后服务，并提供7×24小时热线电话服务。</w:t>
      </w:r>
    </w:p>
    <w:p>
      <w:pPr>
        <w:spacing w:line="360" w:lineRule="auto"/>
        <w:ind w:firstLine="480" w:firstLineChars="200"/>
        <w:rPr>
          <w:rFonts w:ascii="仿宋_GB2312" w:hAnsi="仿宋_GB2312" w:eastAsia="仿宋_GB2312" w:cs="仿宋_GB2312"/>
          <w:b/>
          <w:color w:val="000000" w:themeColor="text1"/>
          <w:sz w:val="24"/>
          <w:szCs w:val="24"/>
        </w:rPr>
      </w:pPr>
      <w:r>
        <w:rPr>
          <w:rFonts w:hint="eastAsia" w:ascii="仿宋_GB2312" w:hAnsi="仿宋_GB2312" w:eastAsia="仿宋_GB2312" w:cs="仿宋_GB2312"/>
          <w:color w:val="000000" w:themeColor="text1"/>
          <w:sz w:val="24"/>
          <w:szCs w:val="24"/>
        </w:rPr>
        <w:t>2.响应时间：中标人应在接到采购人通报故障的电话或传真后应立即响应，对于无法通过电话或传真指导排除故障的，中标人在接到通知后2小时内响应，6小时内到达故障现场，无特殊情况在当天负责将系统恢复正常使用。修理费用由中标人承担，</w:t>
      </w:r>
      <w:r>
        <w:rPr>
          <w:rFonts w:hint="eastAsia" w:ascii="仿宋_GB2312" w:hAnsi="仿宋_GB2312" w:eastAsia="仿宋_GB2312" w:cs="仿宋_GB2312"/>
          <w:bCs/>
          <w:color w:val="000000" w:themeColor="text1"/>
          <w:sz w:val="24"/>
          <w:szCs w:val="24"/>
        </w:rPr>
        <w:t>因自然灾害影响无法在规定时间赶到现场及时排除故障的，待自然灾害结束后，应立即赶到现场排除故障。</w:t>
      </w:r>
      <w:r>
        <w:rPr>
          <w:rFonts w:hint="eastAsia" w:ascii="仿宋_GB2312" w:hAnsi="仿宋_GB2312" w:eastAsia="仿宋_GB2312" w:cs="仿宋_GB2312"/>
          <w:color w:val="000000" w:themeColor="text1"/>
          <w:sz w:val="24"/>
          <w:szCs w:val="24"/>
        </w:rPr>
        <w:t>货到现场后由于采购人保管不当造成的问题，中标人亦应负责修复，但费用由采购人负担。</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3.质保期内因产品质量问题而引起的维修费用（包括材料和人工费以及措施费等一切费用）均由中标人承担。</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4.在质保期内设备出现2次维修不合格时，应及时更换新设备，以满足设备正常运行。</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5.运维期内，提供维保服务，包括免费更换损坏的设备，维护人员对维护的视频监控设备进行全面检测一年两次，每半年维护保养一次。根据系统检测情况对系统实行维护，参数调整，保洁，故障维修等。</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6.维护监控设备：对现有的96个监控点位的所有设备进行维护保养；</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7.设备维护要求：</w:t>
      </w:r>
    </w:p>
    <w:p>
      <w:pPr>
        <w:spacing w:line="360" w:lineRule="auto"/>
        <w:ind w:firstLine="480" w:firstLineChars="200"/>
        <w:rPr>
          <w:rFonts w:ascii="仿宋_GB2312" w:hAnsi="仿宋_GB2312" w:eastAsia="仿宋_GB2312" w:cs="仿宋_GB2312"/>
          <w:bCs/>
          <w:color w:val="000000" w:themeColor="text1"/>
          <w:sz w:val="24"/>
          <w:szCs w:val="24"/>
          <w:highlight w:val="yellow"/>
        </w:rPr>
      </w:pPr>
      <w:r>
        <w:rPr>
          <w:rFonts w:hint="eastAsia" w:ascii="仿宋_GB2312" w:hAnsi="仿宋_GB2312" w:eastAsia="仿宋_GB2312" w:cs="仿宋_GB2312"/>
          <w:bCs/>
          <w:color w:val="000000" w:themeColor="text1"/>
          <w:sz w:val="24"/>
          <w:szCs w:val="24"/>
        </w:rPr>
        <w:t>每周基于视频管理平台至少一次对设备进行全面巡查，发现问题通过即时通信工具通知主管，如系线路故障的立即通知线路运营商修复，如设备损坏的立即带备品备件更换，2小时内响应，6小时内到达故障现场，无特殊情况在当天负责将系统恢复正常使用。</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8.维护单位需在舟山市有本岛常驻维护人员不少于1名,驻点维护车辆不少于1辆，必要的时候，根据用户需要，可以直接前往监控点位，进行维保工作。</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9.维护人员应有足够的备件在公司或用户单位，从而以最快的速度解决系统的故障。</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10.若用户对现有监控点位需要进行调整时，中标人需协调设备厂商必须免费进行配合选址和架设等工作，并在最短时间内完成监控恢复运行。</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11.在用户承担重大活动保卫任务期间，根据用户要求，需派技术人员提前到场，保证任务期间系统正常运行。</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12.任何部件出现故障（除人为和自然不可抗力以外），中标人需协调原生产厂商进行免费维修，元器件免费更换，直至修复系统。</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bCs/>
          <w:color w:val="000000" w:themeColor="text1"/>
          <w:sz w:val="24"/>
          <w:szCs w:val="24"/>
        </w:rPr>
        <w:t>13、各系统中的高功率损耗部件，如出现老化损耗现象，中标人可向用户建议整机更新，视情况收取相应成本费。</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14、</w:t>
      </w:r>
      <w:r>
        <w:rPr>
          <w:rFonts w:hint="eastAsia" w:ascii="仿宋_GB2312" w:hAnsi="仿宋_GB2312" w:eastAsia="仿宋_GB2312" w:cs="仿宋_GB2312"/>
          <w:bCs/>
          <w:color w:val="000000" w:themeColor="text1"/>
          <w:sz w:val="24"/>
          <w:szCs w:val="24"/>
        </w:rPr>
        <w:t>质保期（运维期）</w:t>
      </w:r>
      <w:r>
        <w:rPr>
          <w:rFonts w:hint="eastAsia" w:ascii="仿宋_GB2312" w:hAnsi="仿宋_GB2312" w:eastAsia="仿宋_GB2312" w:cs="仿宋_GB2312"/>
          <w:color w:val="000000" w:themeColor="text1"/>
          <w:sz w:val="24"/>
          <w:szCs w:val="24"/>
        </w:rPr>
        <w:t>结束前，须由中标人和采购人进行一次全面检查，任何缺陷必须由中标人负责修理，在修理之后，中标人应将缺陷原因、修理内容、完成修理及恢复正常的时间和日期等报告给采购人，报告一式两份。</w:t>
      </w:r>
    </w:p>
    <w:p>
      <w:pPr>
        <w:spacing w:line="360" w:lineRule="auto"/>
        <w:ind w:firstLine="482" w:firstLineChars="20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七、培训要求</w:t>
      </w:r>
    </w:p>
    <w:p>
      <w:pPr>
        <w:adjustRightInd w:val="0"/>
        <w:snapToGrid w:val="0"/>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1.为使采购人能正确使用产品，应对采购人相关人员进行操作、维修、维护的培训，使产品能正确的为采购人使用并达到使用效果。</w:t>
      </w:r>
    </w:p>
    <w:p>
      <w:pPr>
        <w:adjustRightInd w:val="0"/>
        <w:snapToGrid w:val="0"/>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（1）需要培训的人数：按照实际情况需求，由采购人确定。</w:t>
      </w:r>
    </w:p>
    <w:p>
      <w:pPr>
        <w:adjustRightInd w:val="0"/>
        <w:snapToGrid w:val="0"/>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（2）培训方式：用户现场培训。</w:t>
      </w:r>
    </w:p>
    <w:p>
      <w:pPr>
        <w:adjustRightInd w:val="0"/>
        <w:snapToGrid w:val="0"/>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（3）培训费用：由中标人承担。</w:t>
      </w:r>
    </w:p>
    <w:p>
      <w:pPr>
        <w:adjustRightInd w:val="0"/>
        <w:snapToGrid w:val="0"/>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（4）培训完成时间：培训工作直至用户人员能独立并正确使用该产品为止。</w:t>
      </w:r>
    </w:p>
    <w:p>
      <w:pPr>
        <w:pStyle w:val="11"/>
        <w:ind w:firstLine="482"/>
        <w:rPr>
          <w:rFonts w:ascii="仿宋_GB2312" w:hAnsi="仿宋_GB2312" w:eastAsia="仿宋_GB2312" w:cs="仿宋_GB2312"/>
          <w:b/>
          <w:bCs/>
        </w:rPr>
      </w:pPr>
    </w:p>
    <w:p>
      <w:pPr>
        <w:pStyle w:val="11"/>
        <w:ind w:firstLine="482"/>
        <w:rPr>
          <w:rFonts w:ascii="仿宋_GB2312" w:hAnsi="仿宋_GB2312" w:eastAsia="仿宋_GB2312" w:cs="仿宋_GB2312"/>
          <w:b/>
          <w:bCs/>
        </w:rPr>
      </w:pPr>
    </w:p>
    <w:p>
      <w:pPr>
        <w:pStyle w:val="6"/>
        <w:snapToGrid w:val="0"/>
        <w:spacing w:before="0" w:after="0"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标项二：</w:t>
      </w:r>
    </w:p>
    <w:p>
      <w:pPr>
        <w:pStyle w:val="6"/>
        <w:snapToGrid w:val="0"/>
        <w:spacing w:before="0" w:after="0" w:line="360" w:lineRule="auto"/>
        <w:ind w:firstLine="482"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一、项目背景</w:t>
      </w:r>
    </w:p>
    <w:p>
      <w:pPr>
        <w:spacing w:line="360" w:lineRule="auto"/>
        <w:ind w:firstLine="48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 w:val="24"/>
          <w:szCs w:val="24"/>
        </w:rPr>
        <w:t>防灾减灾救灾事关人民群众生命财产安全，事关社会和谐稳定。2023年以来，党中央、国务院对提升防灾减灾救灾能力、有效防范化解自然灾害重大风险做出了系列部署,2023年8月17日，中共中央政治局常务委员会召开会议，研究部署防汛抗洪救灾和灾后恢复重建工作，指出要进一步加强气象预警与灾害预报的联动，突出临灾预警，做好点对点精准预报和滚动更新，强化预警指向性，落实直达基层防汛责任人的临灾预警“叫应”机制，加强预警和应急响应联动，落实应急预案行动措施，把握工作主动权；要认真排查总结，抓紧补短板、强弱项，进一步提升我国防灾减灾救灾能力。要进一步建强各级应急指挥部体系，完善调度指挥、会商研判、业务保障等设施设备和系统，确保上下贯通、一体应对。10月份，国家计划增发1万亿元人民币国债，将推动实施自然灾害应急能力提升工程作为其中一项重要内容。</w:t>
      </w:r>
    </w:p>
    <w:p>
      <w:pPr>
        <w:pStyle w:val="6"/>
        <w:snapToGrid w:val="0"/>
        <w:spacing w:before="0" w:after="0" w:line="360" w:lineRule="auto"/>
        <w:ind w:firstLine="482"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二、建设目标</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应急管理部和省应急管理厅统一部署，2024年底前，推动各地建成跨地域、跨层级的自然灾害防治预警指挥体系，实现自然灾害防治数据横向互联、纵向贯通；加强自然灾害综合风险感知能力，提高灾害风险研判、预警提醒和应急叫应能力; 进一步建强各级应急指挥中心，形成“上下贯通、左右联通”的应急指挥调度通信网络，增强应急通信保底手段，提升指挥系统抗灾能力、网络安全感知能力和科技支撑保障能力。</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本项目按照浙江省应急管理厅下发的《浙江省自然灾害应急提升工程预警指挥项目可行性研究报告》，在舟山市应</w:t>
      </w:r>
      <w:r>
        <w:rPr>
          <w:rFonts w:hint="eastAsia" w:ascii="仿宋_GB2312" w:hAnsi="仿宋_GB2312" w:eastAsia="仿宋_GB2312" w:cs="仿宋_GB2312"/>
          <w:color w:val="000000"/>
          <w:sz w:val="24"/>
          <w:szCs w:val="24"/>
        </w:rPr>
        <w:t>急管理局现有的应急指挥体系和网络安全防护体系基础上，重点加强市县的应急指挥指挥中心功能，提升应急指挥信息网的网络安全态势感知能力，充分实现网络安全监测预警与应急处置协同联动。</w:t>
      </w:r>
    </w:p>
    <w:p>
      <w:pPr>
        <w:pStyle w:val="6"/>
        <w:snapToGrid w:val="0"/>
        <w:spacing w:before="0" w:after="0" w:line="360" w:lineRule="auto"/>
        <w:ind w:firstLine="482"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三、建设内容及要求</w:t>
      </w:r>
    </w:p>
    <w:p>
      <w:pPr>
        <w:tabs>
          <w:tab w:val="left" w:pos="840"/>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1.强化全市各级应急指挥部功能，升级市、县两级屏幕、扩音、指挥调度音视频等信息化基础设施，建设内容参见采购清单。</w:t>
      </w:r>
    </w:p>
    <w:p>
      <w:pPr>
        <w:tabs>
          <w:tab w:val="left" w:pos="840"/>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2.提升支撑保障能力。</w:t>
      </w:r>
    </w:p>
    <w:p>
      <w:pPr>
        <w:spacing w:line="360" w:lineRule="auto"/>
        <w:ind w:firstLine="410" w:firstLineChars="171"/>
        <w:rPr>
          <w:rFonts w:ascii="仿宋_GB2312" w:hAnsi="仿宋_GB2312" w:eastAsia="仿宋_GB2312" w:cs="仿宋_GB2312"/>
          <w:sz w:val="24"/>
          <w:szCs w:val="24"/>
        </w:rPr>
      </w:pPr>
      <w:r>
        <w:rPr>
          <w:rFonts w:hint="eastAsia" w:ascii="仿宋_GB2312" w:hAnsi="仿宋_GB2312" w:eastAsia="仿宋_GB2312" w:cs="仿宋_GB2312"/>
          <w:sz w:val="24"/>
          <w:szCs w:val="24"/>
        </w:rPr>
        <w:t>通过本次建设任务提升应急指挥信息网的网络安全态势感知能力，充分实现网络安全监测预警与应急处置协同联动。满足省级应急管理部门统一感知监测全省网络安全态势要求，监控指挥信息网违规外联情况，管控入网终端安全，汇聚全省各类安全威胁监测数据并向部级平台实时共享。</w:t>
      </w:r>
    </w:p>
    <w:p>
      <w:pPr>
        <w:spacing w:line="360" w:lineRule="auto"/>
        <w:ind w:firstLine="410" w:firstLineChars="171"/>
        <w:rPr>
          <w:rFonts w:ascii="仿宋_GB2312" w:hAnsi="仿宋_GB2312" w:eastAsia="仿宋_GB2312" w:cs="仿宋_GB2312"/>
          <w:color w:val="FF0000"/>
        </w:rPr>
      </w:pPr>
      <w:r>
        <w:rPr>
          <w:rFonts w:hint="eastAsia" w:ascii="仿宋_GB2312" w:hAnsi="仿宋_GB2312" w:eastAsia="仿宋_GB2312" w:cs="仿宋_GB2312"/>
          <w:sz w:val="24"/>
          <w:szCs w:val="24"/>
        </w:rPr>
        <w:t>本项目为市县两级应急部门配置1台流量检测探针、7台SDWAN网关（边界侧）、1台违规外联检测探针、1台终端准入网关。</w:t>
      </w:r>
    </w:p>
    <w:p>
      <w:pPr>
        <w:pStyle w:val="6"/>
        <w:numPr>
          <w:ilvl w:val="0"/>
          <w:numId w:val="5"/>
        </w:numPr>
        <w:snapToGrid w:val="0"/>
        <w:spacing w:before="0" w:after="0" w:line="360" w:lineRule="auto"/>
        <w:ind w:firstLine="482"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采购清单及性能要求 </w:t>
      </w:r>
    </w:p>
    <w:p>
      <w:pPr>
        <w:pStyle w:val="2"/>
        <w:ind w:firstLine="46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szCs w:val="24"/>
        </w:rPr>
        <w:t>项目采购预算金额：2182000元</w:t>
      </w:r>
      <w:r>
        <w:rPr>
          <w:rFonts w:hint="eastAsia" w:ascii="仿宋_GB2312" w:hAnsi="仿宋_GB2312" w:eastAsia="仿宋_GB2312" w:cs="仿宋_GB2312"/>
          <w:color w:val="000000"/>
          <w:szCs w:val="24"/>
          <w:highlight w:val="none"/>
        </w:rPr>
        <w:t>，含</w:t>
      </w:r>
      <w:r>
        <w:rPr>
          <w:rFonts w:hint="eastAsia" w:ascii="仿宋_GB2312" w:hAnsi="仿宋_GB2312" w:eastAsia="仿宋_GB2312" w:cs="仿宋_GB2312"/>
          <w:color w:val="000000"/>
          <w:szCs w:val="24"/>
          <w:highlight w:val="none"/>
          <w:lang w:val="en-US" w:eastAsia="zh-CN"/>
        </w:rPr>
        <w:t>7</w:t>
      </w:r>
      <w:r>
        <w:rPr>
          <w:rFonts w:hint="eastAsia" w:ascii="仿宋_GB2312" w:hAnsi="仿宋_GB2312" w:eastAsia="仿宋_GB2312" w:cs="仿宋_GB2312"/>
          <w:color w:val="000000"/>
          <w:szCs w:val="24"/>
          <w:highlight w:val="none"/>
        </w:rPr>
        <w:t>个品目，如</w:t>
      </w:r>
      <w:r>
        <w:rPr>
          <w:rFonts w:hint="eastAsia" w:ascii="仿宋_GB2312" w:hAnsi="仿宋_GB2312" w:eastAsia="仿宋_GB2312" w:cs="仿宋_GB2312"/>
          <w:color w:val="000000" w:themeColor="text1"/>
          <w:szCs w:val="24"/>
        </w:rPr>
        <w:t>下表：</w:t>
      </w:r>
    </w:p>
    <w:p>
      <w:pPr>
        <w:spacing w:line="360" w:lineRule="auto"/>
        <w:ind w:firstLine="480" w:firstLineChars="200"/>
        <w:rPr>
          <w:rFonts w:ascii="仿宋_GB2312" w:hAnsi="仿宋_GB2312" w:eastAsia="仿宋_GB2312" w:cs="仿宋_GB2312"/>
          <w:color w:val="FF0000"/>
          <w:sz w:val="24"/>
          <w:szCs w:val="24"/>
          <w:shd w:val="clear" w:color="auto" w:fill="FFFFFF"/>
        </w:rPr>
      </w:pPr>
      <w:r>
        <w:rPr>
          <w:rFonts w:hint="eastAsia" w:ascii="仿宋_GB2312" w:hAnsi="仿宋_GB2312" w:eastAsia="仿宋_GB2312" w:cs="仿宋_GB2312"/>
          <w:color w:val="171A1D"/>
          <w:sz w:val="24"/>
          <w:szCs w:val="24"/>
          <w:shd w:val="clear" w:color="auto" w:fill="FFFFFF"/>
        </w:rPr>
        <w:t>4.1采购清单</w:t>
      </w:r>
      <w:r>
        <w:rPr>
          <w:rFonts w:hint="eastAsia" w:ascii="仿宋_GB2312" w:hAnsi="仿宋_GB2312" w:eastAsia="仿宋_GB2312" w:cs="仿宋_GB2312"/>
          <w:color w:val="FF0000"/>
          <w:sz w:val="24"/>
          <w:szCs w:val="24"/>
          <w:shd w:val="clear" w:color="auto" w:fill="FFFFFF"/>
        </w:rPr>
        <w:t xml:space="preserve"> </w:t>
      </w:r>
    </w:p>
    <w:tbl>
      <w:tblPr>
        <w:tblStyle w:val="24"/>
        <w:tblW w:w="9111" w:type="dxa"/>
        <w:tblInd w:w="-553" w:type="dxa"/>
        <w:tblLayout w:type="fixed"/>
        <w:tblCellMar>
          <w:top w:w="0" w:type="dxa"/>
          <w:left w:w="108" w:type="dxa"/>
          <w:bottom w:w="0" w:type="dxa"/>
          <w:right w:w="108" w:type="dxa"/>
        </w:tblCellMar>
      </w:tblPr>
      <w:tblGrid>
        <w:gridCol w:w="806"/>
        <w:gridCol w:w="2290"/>
        <w:gridCol w:w="977"/>
        <w:gridCol w:w="924"/>
        <w:gridCol w:w="2702"/>
        <w:gridCol w:w="1412"/>
      </w:tblGrid>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序号</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设备名称</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数量</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单位</w:t>
            </w:r>
          </w:p>
        </w:tc>
        <w:tc>
          <w:tcPr>
            <w:tcW w:w="2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备注</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kern w:val="0"/>
                <w:sz w:val="20"/>
              </w:rPr>
            </w:pPr>
            <w:r>
              <w:rPr>
                <w:rFonts w:hint="eastAsia" w:ascii="仿宋_GB2312" w:hAnsi="仿宋_GB2312" w:eastAsia="仿宋_GB2312" w:cs="仿宋_GB2312"/>
                <w:b/>
                <w:bCs/>
                <w:kern w:val="0"/>
                <w:sz w:val="20"/>
                <w:szCs w:val="20"/>
              </w:rPr>
              <w:t>中小企业划分标准所属行业</w:t>
            </w:r>
          </w:p>
        </w:tc>
      </w:tr>
      <w:tr>
        <w:tblPrEx>
          <w:tblCellMar>
            <w:top w:w="0" w:type="dxa"/>
            <w:left w:w="108" w:type="dxa"/>
            <w:bottom w:w="0" w:type="dxa"/>
            <w:right w:w="108" w:type="dxa"/>
          </w:tblCellMar>
        </w:tblPrEx>
        <w:trPr>
          <w:trHeight w:val="421" w:hRule="atLeast"/>
        </w:trPr>
        <w:tc>
          <w:tcPr>
            <w:tcW w:w="7699"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（一）品目一：舟山市应急管理局     预算一：970000元</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kern w:val="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FF0000"/>
                <w:kern w:val="0"/>
                <w:sz w:val="20"/>
              </w:rPr>
            </w:pPr>
            <w:r>
              <w:rPr>
                <w:rFonts w:hint="eastAsia" w:ascii="仿宋_GB2312" w:hAnsi="仿宋_GB2312" w:eastAsia="仿宋_GB2312" w:cs="仿宋_GB2312"/>
                <w:b/>
                <w:bCs/>
                <w:color w:val="000000"/>
                <w:kern w:val="0"/>
                <w:sz w:val="20"/>
              </w:rPr>
              <w:t>一、指挥调度音视频等信息化基础设施</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kern w:val="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数字调音台接口箱</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分布式输入输出节点</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34</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曲面屏</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服务器机柜</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机房配套</w:t>
            </w:r>
          </w:p>
        </w:tc>
        <w:tc>
          <w:tcPr>
            <w:tcW w:w="141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机柜承重支架</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6</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机柜专用PDU</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6</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7</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管线配套</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8</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信创防火墙带路由功能</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项</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9</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直放站</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370MHz无线通信系统</w:t>
            </w:r>
          </w:p>
        </w:tc>
        <w:tc>
          <w:tcPr>
            <w:tcW w:w="141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10</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吸顶天线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根</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13</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1/2接头</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14</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1/2馈线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150</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米</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抬头屏</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项</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9111"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仿宋_GB2312" w:hAnsi="仿宋_GB2312" w:eastAsia="仿宋_GB2312" w:cs="仿宋_GB2312"/>
                <w:color w:val="000000"/>
                <w:sz w:val="20"/>
              </w:rPr>
            </w:pPr>
            <w:r>
              <w:rPr>
                <w:rFonts w:hint="eastAsia" w:ascii="仿宋_GB2312" w:hAnsi="仿宋_GB2312" w:eastAsia="仿宋_GB2312" w:cs="仿宋_GB2312"/>
                <w:b/>
                <w:bCs/>
                <w:color w:val="000000"/>
                <w:kern w:val="0"/>
                <w:sz w:val="20"/>
              </w:rPr>
              <w:t>二、安全设备</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流量检测探针</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市本级</w:t>
            </w:r>
          </w:p>
        </w:tc>
        <w:tc>
          <w:tcPr>
            <w:tcW w:w="1412" w:type="dxa"/>
            <w:vMerge w:val="restart"/>
            <w:tcBorders>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SDWAN网关（边界侧）</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 xml:space="preserve">市本级 </w:t>
            </w:r>
          </w:p>
        </w:tc>
        <w:tc>
          <w:tcPr>
            <w:tcW w:w="1412"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违规外联检测探针</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市本级</w:t>
            </w:r>
          </w:p>
        </w:tc>
        <w:tc>
          <w:tcPr>
            <w:tcW w:w="1412"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终端准入网关</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市本级</w:t>
            </w:r>
          </w:p>
        </w:tc>
        <w:tc>
          <w:tcPr>
            <w:tcW w:w="1412" w:type="dxa"/>
            <w:vMerge w:val="continue"/>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仿宋_GB2312" w:hAnsi="仿宋_GB2312" w:eastAsia="仿宋_GB2312" w:cs="仿宋_GB2312"/>
                <w:color w:val="000000" w:themeColor="text1"/>
                <w:sz w:val="20"/>
              </w:rPr>
            </w:pPr>
            <w:r>
              <w:rPr>
                <w:rFonts w:hint="eastAsia" w:ascii="仿宋_GB2312" w:hAnsi="仿宋_GB2312" w:eastAsia="仿宋_GB2312" w:cs="仿宋_GB2312"/>
                <w:b/>
                <w:bCs/>
                <w:color w:val="000000" w:themeColor="text1"/>
                <w:kern w:val="0"/>
                <w:sz w:val="20"/>
              </w:rPr>
              <w:t>（</w:t>
            </w:r>
            <w:r>
              <w:rPr>
                <w:rFonts w:ascii="仿宋_GB2312" w:hAnsi="仿宋_GB2312" w:eastAsia="仿宋_GB2312" w:cs="仿宋_GB2312"/>
                <w:b/>
                <w:bCs/>
                <w:color w:val="000000" w:themeColor="text1"/>
                <w:kern w:val="0"/>
                <w:sz w:val="20"/>
              </w:rPr>
              <w:t>二</w:t>
            </w:r>
            <w:r>
              <w:rPr>
                <w:rFonts w:hint="eastAsia" w:ascii="仿宋_GB2312" w:hAnsi="仿宋_GB2312" w:eastAsia="仿宋_GB2312" w:cs="仿宋_GB2312"/>
                <w:b/>
                <w:bCs/>
                <w:color w:val="000000" w:themeColor="text1"/>
                <w:kern w:val="0"/>
                <w:sz w:val="20"/>
              </w:rPr>
              <w:t>）品目</w:t>
            </w:r>
            <w:r>
              <w:rPr>
                <w:rFonts w:ascii="仿宋_GB2312" w:hAnsi="仿宋_GB2312" w:eastAsia="仿宋_GB2312" w:cs="仿宋_GB2312"/>
                <w:b/>
                <w:bCs/>
                <w:color w:val="000000" w:themeColor="text1"/>
                <w:kern w:val="0"/>
                <w:sz w:val="20"/>
              </w:rPr>
              <w:t>二</w:t>
            </w:r>
            <w:r>
              <w:rPr>
                <w:rFonts w:hint="eastAsia" w:ascii="仿宋_GB2312" w:hAnsi="仿宋_GB2312" w:eastAsia="仿宋_GB2312" w:cs="仿宋_GB2312"/>
                <w:b/>
                <w:bCs/>
                <w:color w:val="000000" w:themeColor="text1"/>
                <w:kern w:val="0"/>
                <w:sz w:val="20"/>
              </w:rPr>
              <w:t>：普朱管委会   预算</w:t>
            </w:r>
            <w:r>
              <w:rPr>
                <w:rFonts w:ascii="仿宋_GB2312" w:hAnsi="仿宋_GB2312" w:eastAsia="仿宋_GB2312" w:cs="仿宋_GB2312"/>
                <w:b/>
                <w:bCs/>
                <w:color w:val="000000" w:themeColor="text1"/>
                <w:kern w:val="0"/>
                <w:sz w:val="20"/>
              </w:rPr>
              <w:t>二</w:t>
            </w:r>
            <w:r>
              <w:rPr>
                <w:rFonts w:hint="eastAsia" w:ascii="仿宋_GB2312" w:hAnsi="仿宋_GB2312" w:eastAsia="仿宋_GB2312" w:cs="仿宋_GB2312"/>
                <w:b/>
                <w:bCs/>
                <w:color w:val="000000" w:themeColor="text1"/>
                <w:kern w:val="0"/>
                <w:sz w:val="20"/>
              </w:rPr>
              <w:t>：5000元</w:t>
            </w:r>
          </w:p>
        </w:tc>
        <w:tc>
          <w:tcPr>
            <w:tcW w:w="1412" w:type="dxa"/>
            <w:tcBorders>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仿宋_GB2312" w:hAnsi="仿宋_GB2312" w:eastAsia="仿宋_GB2312" w:cs="仿宋_GB2312"/>
                <w:color w:val="000000" w:themeColor="text1"/>
                <w:sz w:val="20"/>
              </w:rPr>
            </w:pPr>
            <w:r>
              <w:rPr>
                <w:rFonts w:hint="eastAsia" w:ascii="仿宋_GB2312" w:hAnsi="仿宋_GB2312" w:eastAsia="仿宋_GB2312" w:cs="仿宋_GB2312"/>
                <w:b/>
                <w:bCs/>
                <w:color w:val="000000" w:themeColor="text1"/>
                <w:kern w:val="0"/>
                <w:sz w:val="20"/>
              </w:rPr>
              <w:t>一、安全设备</w:t>
            </w:r>
          </w:p>
        </w:tc>
        <w:tc>
          <w:tcPr>
            <w:tcW w:w="1412" w:type="dxa"/>
            <w:tcBorders>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SDWAN网关（边界侧）</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普朱</w:t>
            </w:r>
          </w:p>
        </w:tc>
        <w:tc>
          <w:tcPr>
            <w:tcW w:w="1412" w:type="dxa"/>
            <w:tcBorders>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7699" w:type="dxa"/>
            <w:gridSpan w:val="5"/>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w:t>
            </w:r>
            <w:r>
              <w:rPr>
                <w:rFonts w:ascii="仿宋_GB2312" w:hAnsi="仿宋_GB2312" w:eastAsia="仿宋_GB2312" w:cs="仿宋_GB2312"/>
                <w:b/>
                <w:bCs/>
                <w:color w:val="000000" w:themeColor="text1"/>
                <w:kern w:val="0"/>
                <w:sz w:val="20"/>
              </w:rPr>
              <w:t>三</w:t>
            </w:r>
            <w:r>
              <w:rPr>
                <w:rFonts w:hint="eastAsia" w:ascii="仿宋_GB2312" w:hAnsi="仿宋_GB2312" w:eastAsia="仿宋_GB2312" w:cs="仿宋_GB2312"/>
                <w:b/>
                <w:bCs/>
                <w:color w:val="000000" w:themeColor="text1"/>
                <w:kern w:val="0"/>
                <w:sz w:val="20"/>
              </w:rPr>
              <w:t>）品目</w:t>
            </w:r>
            <w:r>
              <w:rPr>
                <w:rFonts w:ascii="仿宋_GB2312" w:hAnsi="仿宋_GB2312" w:eastAsia="仿宋_GB2312" w:cs="仿宋_GB2312"/>
                <w:b/>
                <w:bCs/>
                <w:color w:val="000000" w:themeColor="text1"/>
                <w:kern w:val="0"/>
                <w:sz w:val="20"/>
              </w:rPr>
              <w:t>三</w:t>
            </w:r>
            <w:r>
              <w:rPr>
                <w:rFonts w:hint="eastAsia" w:ascii="仿宋_GB2312" w:hAnsi="仿宋_GB2312" w:eastAsia="仿宋_GB2312" w:cs="仿宋_GB2312"/>
                <w:b/>
                <w:bCs/>
                <w:color w:val="000000" w:themeColor="text1"/>
                <w:kern w:val="0"/>
                <w:sz w:val="20"/>
              </w:rPr>
              <w:t>：普陀区应急管理局      预算</w:t>
            </w:r>
            <w:r>
              <w:rPr>
                <w:rFonts w:ascii="仿宋_GB2312" w:hAnsi="仿宋_GB2312" w:eastAsia="仿宋_GB2312" w:cs="仿宋_GB2312"/>
                <w:b/>
                <w:bCs/>
                <w:color w:val="000000" w:themeColor="text1"/>
                <w:kern w:val="0"/>
                <w:sz w:val="20"/>
              </w:rPr>
              <w:t>三</w:t>
            </w:r>
            <w:r>
              <w:rPr>
                <w:rFonts w:hint="eastAsia" w:ascii="仿宋_GB2312" w:hAnsi="仿宋_GB2312" w:eastAsia="仿宋_GB2312" w:cs="仿宋_GB2312"/>
                <w:b/>
                <w:bCs/>
                <w:color w:val="000000" w:themeColor="text1"/>
                <w:kern w:val="0"/>
                <w:sz w:val="20"/>
              </w:rPr>
              <w:t>：602000元</w:t>
            </w:r>
          </w:p>
        </w:tc>
        <w:tc>
          <w:tcPr>
            <w:tcW w:w="1412" w:type="dxa"/>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color w:val="000000"/>
                <w:kern w:val="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000000" w:sz="4" w:space="0"/>
            </w:tcBorders>
            <w:noWrap/>
            <w:vAlign w:val="center"/>
          </w:tcPr>
          <w:p>
            <w:pPr>
              <w:jc w:val="left"/>
              <w:rPr>
                <w:rFonts w:ascii="仿宋_GB2312" w:hAnsi="仿宋_GB2312" w:eastAsia="仿宋_GB2312" w:cs="仿宋_GB2312"/>
                <w:color w:val="000000"/>
                <w:sz w:val="20"/>
              </w:rPr>
            </w:pPr>
            <w:r>
              <w:rPr>
                <w:rFonts w:hint="eastAsia" w:ascii="仿宋_GB2312" w:hAnsi="仿宋_GB2312" w:eastAsia="仿宋_GB2312" w:cs="仿宋_GB2312"/>
                <w:b/>
                <w:bCs/>
                <w:color w:val="000000"/>
                <w:kern w:val="0"/>
                <w:sz w:val="20"/>
              </w:rPr>
              <w:t>一、指挥调度音视频等信息化基础设施</w:t>
            </w:r>
          </w:p>
        </w:tc>
        <w:tc>
          <w:tcPr>
            <w:tcW w:w="1412" w:type="dxa"/>
            <w:tcBorders>
              <w:top w:val="single" w:color="000000" w:sz="4" w:space="0"/>
              <w:left w:val="single" w:color="000000" w:sz="4" w:space="0"/>
              <w:right w:val="single" w:color="000000" w:sz="4" w:space="0"/>
            </w:tcBorders>
            <w:vAlign w:val="center"/>
          </w:tcPr>
          <w:p>
            <w:pPr>
              <w:ind w:firstLine="513"/>
              <w:jc w:val="left"/>
              <w:rPr>
                <w:rFonts w:ascii="仿宋_GB2312" w:hAnsi="仿宋_GB2312" w:eastAsia="仿宋_GB2312" w:cs="仿宋_GB2312"/>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P1.2全彩屏</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20.3</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平方</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c>
          <w:tcPr>
            <w:tcW w:w="1412" w:type="dxa"/>
            <w:vMerge w:val="restart"/>
            <w:tcBorders>
              <w:top w:val="single" w:color="000000" w:sz="4" w:space="0"/>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ind w:firstLine="513"/>
              <w:jc w:val="left"/>
              <w:rPr>
                <w:rFonts w:ascii="仿宋_GB2312" w:hAnsi="仿宋_GB2312" w:eastAsia="仿宋_GB2312" w:cs="仿宋_GB2312"/>
              </w:rPr>
            </w:pPr>
            <w:r>
              <w:rPr>
                <w:rFonts w:hint="eastAsia" w:ascii="仿宋_GB2312" w:hAnsi="仿宋_GB2312" w:eastAsia="仿宋_GB2312" w:cs="仿宋_GB2312"/>
              </w:rPr>
              <w:t>工业</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独立主控</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9</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拼接处理器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安装钢结构及包边</w:t>
            </w:r>
          </w:p>
        </w:tc>
        <w:tc>
          <w:tcPr>
            <w:tcW w:w="977" w:type="dxa"/>
            <w:tcBorders>
              <w:top w:val="nil"/>
              <w:left w:val="nil"/>
              <w:bottom w:val="nil"/>
              <w:right w:val="nil"/>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20.3</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配电箱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6</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机柜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7</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主音箱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8</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主音箱功放</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9</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音频处理器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调音台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11</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一拖二手持话筒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一拖四会议话筒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13</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天线分配器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14</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话筒天线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抑制器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16</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电源管理器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17</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多媒体插座</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18</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机柜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19</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配套辅材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批</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20</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高清混合矩阵</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★网络型可编程中央控制主机</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中控系统</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p>
            <w:pPr>
              <w:ind w:firstLine="496"/>
              <w:jc w:val="left"/>
              <w:rPr>
                <w:rFonts w:ascii="仿宋_GB2312" w:hAnsi="仿宋_GB2312" w:eastAsia="仿宋_GB2312" w:cs="仿宋_GB2312"/>
              </w:rPr>
            </w:pPr>
            <w:r>
              <w:rPr>
                <w:rFonts w:hint="eastAsia" w:ascii="仿宋_GB2312" w:hAnsi="仿宋_GB2312" w:eastAsia="仿宋_GB2312" w:cs="仿宋_GB2312"/>
              </w:rPr>
              <w:t>工业</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电源控制器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23</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控制平板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24</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中控软件</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kern w:val="0"/>
                <w:sz w:val="20"/>
                <w:szCs w:val="20"/>
              </w:rPr>
              <w:t>软件和信息技术服务</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25</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会议摄像机</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c>
          <w:tcPr>
            <w:tcW w:w="14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000000" w:sz="4" w:space="0"/>
            </w:tcBorders>
            <w:noWrap/>
            <w:vAlign w:val="center"/>
          </w:tcPr>
          <w:p>
            <w:pPr>
              <w:jc w:val="left"/>
              <w:rPr>
                <w:rFonts w:ascii="仿宋_GB2312" w:hAnsi="仿宋_GB2312" w:eastAsia="仿宋_GB2312" w:cs="仿宋_GB2312"/>
                <w:color w:val="000000"/>
                <w:sz w:val="20"/>
              </w:rPr>
            </w:pPr>
            <w:r>
              <w:rPr>
                <w:rFonts w:hint="eastAsia" w:ascii="仿宋_GB2312" w:hAnsi="仿宋_GB2312" w:eastAsia="仿宋_GB2312" w:cs="仿宋_GB2312"/>
                <w:b/>
                <w:bCs/>
                <w:color w:val="000000"/>
                <w:kern w:val="0"/>
                <w:sz w:val="20"/>
              </w:rPr>
              <w:t>二、安全设备</w:t>
            </w:r>
          </w:p>
        </w:tc>
        <w:tc>
          <w:tcPr>
            <w:tcW w:w="14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SDWAN网关（边界侧）</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普陀</w:t>
            </w:r>
          </w:p>
        </w:tc>
        <w:tc>
          <w:tcPr>
            <w:tcW w:w="14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7699" w:type="dxa"/>
            <w:gridSpan w:val="5"/>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w:t>
            </w:r>
            <w:r>
              <w:rPr>
                <w:rFonts w:ascii="仿宋_GB2312" w:hAnsi="仿宋_GB2312" w:eastAsia="仿宋_GB2312" w:cs="仿宋_GB2312"/>
                <w:b/>
                <w:bCs/>
                <w:color w:val="000000" w:themeColor="text1"/>
                <w:kern w:val="0"/>
                <w:sz w:val="20"/>
              </w:rPr>
              <w:t>四</w:t>
            </w:r>
            <w:r>
              <w:rPr>
                <w:rFonts w:hint="eastAsia" w:ascii="仿宋_GB2312" w:hAnsi="仿宋_GB2312" w:eastAsia="仿宋_GB2312" w:cs="仿宋_GB2312"/>
                <w:b/>
                <w:bCs/>
                <w:color w:val="000000" w:themeColor="text1"/>
                <w:kern w:val="0"/>
                <w:sz w:val="20"/>
              </w:rPr>
              <w:t>）品目</w:t>
            </w:r>
            <w:r>
              <w:rPr>
                <w:rFonts w:ascii="仿宋_GB2312" w:hAnsi="仿宋_GB2312" w:eastAsia="仿宋_GB2312" w:cs="仿宋_GB2312"/>
                <w:b/>
                <w:bCs/>
                <w:color w:val="000000" w:themeColor="text1"/>
                <w:kern w:val="0"/>
                <w:sz w:val="20"/>
              </w:rPr>
              <w:t>四</w:t>
            </w:r>
            <w:r>
              <w:rPr>
                <w:rFonts w:hint="eastAsia" w:ascii="仿宋_GB2312" w:hAnsi="仿宋_GB2312" w:eastAsia="仿宋_GB2312" w:cs="仿宋_GB2312"/>
                <w:b/>
                <w:bCs/>
                <w:color w:val="000000" w:themeColor="text1"/>
                <w:kern w:val="0"/>
                <w:sz w:val="20"/>
              </w:rPr>
              <w:t>：岱山县应急管理局       预算</w:t>
            </w:r>
            <w:r>
              <w:rPr>
                <w:rFonts w:ascii="仿宋_GB2312" w:hAnsi="仿宋_GB2312" w:eastAsia="仿宋_GB2312" w:cs="仿宋_GB2312"/>
                <w:b/>
                <w:bCs/>
                <w:color w:val="000000" w:themeColor="text1"/>
                <w:kern w:val="0"/>
                <w:sz w:val="20"/>
              </w:rPr>
              <w:t>四</w:t>
            </w:r>
            <w:r>
              <w:rPr>
                <w:rFonts w:hint="eastAsia" w:ascii="仿宋_GB2312" w:hAnsi="仿宋_GB2312" w:eastAsia="仿宋_GB2312" w:cs="仿宋_GB2312"/>
                <w:b/>
                <w:bCs/>
                <w:color w:val="000000" w:themeColor="text1"/>
                <w:kern w:val="0"/>
                <w:sz w:val="20"/>
              </w:rPr>
              <w:t>：105000元</w:t>
            </w:r>
          </w:p>
        </w:tc>
        <w:tc>
          <w:tcPr>
            <w:tcW w:w="1412" w:type="dxa"/>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color w:val="000000"/>
                <w:kern w:val="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auto" w:sz="4" w:space="0"/>
            </w:tcBorders>
            <w:shd w:val="clear" w:color="auto" w:fill="FFFFFF"/>
            <w:noWrap/>
            <w:vAlign w:val="center"/>
          </w:tcPr>
          <w:p>
            <w:pPr>
              <w:jc w:val="left"/>
              <w:rPr>
                <w:rFonts w:ascii="仿宋_GB2312" w:hAnsi="仿宋_GB2312" w:eastAsia="仿宋_GB2312" w:cs="仿宋_GB2312"/>
                <w:color w:val="000000"/>
                <w:sz w:val="20"/>
              </w:rPr>
            </w:pPr>
            <w:r>
              <w:rPr>
                <w:rFonts w:hint="eastAsia" w:ascii="仿宋_GB2312" w:hAnsi="仿宋_GB2312" w:eastAsia="仿宋_GB2312" w:cs="仿宋_GB2312"/>
                <w:b/>
                <w:bCs/>
                <w:color w:val="000000"/>
                <w:kern w:val="0"/>
                <w:sz w:val="20"/>
              </w:rPr>
              <w:t>一、指挥调度音视频等信息化基础设施</w:t>
            </w:r>
          </w:p>
        </w:tc>
        <w:tc>
          <w:tcPr>
            <w:tcW w:w="1412" w:type="dxa"/>
            <w:tcBorders>
              <w:top w:val="single" w:color="000000" w:sz="4" w:space="0"/>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20KVA UPS主机</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restart"/>
            <w:tcBorders>
              <w:top w:val="single" w:color="000000" w:sz="4" w:space="0"/>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蓄电池</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32</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节</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电池柜</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配电箱</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5</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直放站</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370MHz无线通信系统</w:t>
            </w:r>
          </w:p>
        </w:tc>
        <w:tc>
          <w:tcPr>
            <w:tcW w:w="1412" w:type="dxa"/>
            <w:vMerge w:val="continue"/>
            <w:tcBorders>
              <w:left w:val="single" w:color="000000" w:sz="4" w:space="0"/>
              <w:right w:val="single" w:color="auto"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6</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吸顶天线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根</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7</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8</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9</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1/2接头</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10</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1/2馈线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150</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米</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仿宋_GB2312" w:hAnsi="仿宋_GB2312" w:eastAsia="仿宋_GB2312" w:cs="仿宋_GB2312"/>
                <w:color w:val="000000"/>
                <w:sz w:val="20"/>
              </w:rPr>
            </w:pPr>
            <w:r>
              <w:rPr>
                <w:rFonts w:hint="eastAsia" w:ascii="仿宋_GB2312" w:hAnsi="仿宋_GB2312" w:eastAsia="仿宋_GB2312" w:cs="仿宋_GB2312"/>
                <w:b/>
                <w:bCs/>
                <w:color w:val="000000"/>
                <w:kern w:val="0"/>
                <w:sz w:val="20"/>
              </w:rPr>
              <w:t>二、安全设备</w:t>
            </w:r>
          </w:p>
        </w:tc>
        <w:tc>
          <w:tcPr>
            <w:tcW w:w="1412" w:type="dxa"/>
            <w:tcBorders>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SDWAN网关（边界侧）</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岱山</w:t>
            </w:r>
          </w:p>
        </w:tc>
        <w:tc>
          <w:tcPr>
            <w:tcW w:w="1412" w:type="dxa"/>
            <w:tcBorders>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7699" w:type="dxa"/>
            <w:gridSpan w:val="5"/>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w:t>
            </w:r>
            <w:r>
              <w:rPr>
                <w:rFonts w:ascii="仿宋_GB2312" w:hAnsi="仿宋_GB2312" w:eastAsia="仿宋_GB2312" w:cs="仿宋_GB2312"/>
                <w:b/>
                <w:bCs/>
                <w:color w:val="000000" w:themeColor="text1"/>
                <w:kern w:val="0"/>
                <w:sz w:val="20"/>
              </w:rPr>
              <w:t>五</w:t>
            </w:r>
            <w:r>
              <w:rPr>
                <w:rFonts w:hint="eastAsia" w:ascii="仿宋_GB2312" w:hAnsi="仿宋_GB2312" w:eastAsia="仿宋_GB2312" w:cs="仿宋_GB2312"/>
                <w:b/>
                <w:bCs/>
                <w:color w:val="000000" w:themeColor="text1"/>
                <w:kern w:val="0"/>
                <w:sz w:val="20"/>
              </w:rPr>
              <w:t>）品目</w:t>
            </w:r>
            <w:r>
              <w:rPr>
                <w:rFonts w:ascii="仿宋_GB2312" w:hAnsi="仿宋_GB2312" w:eastAsia="仿宋_GB2312" w:cs="仿宋_GB2312"/>
                <w:b/>
                <w:bCs/>
                <w:color w:val="000000" w:themeColor="text1"/>
                <w:kern w:val="0"/>
                <w:sz w:val="20"/>
              </w:rPr>
              <w:t>五</w:t>
            </w:r>
            <w:r>
              <w:rPr>
                <w:rFonts w:hint="eastAsia" w:ascii="仿宋_GB2312" w:hAnsi="仿宋_GB2312" w:eastAsia="仿宋_GB2312" w:cs="仿宋_GB2312"/>
                <w:b/>
                <w:bCs/>
                <w:color w:val="000000" w:themeColor="text1"/>
                <w:kern w:val="0"/>
                <w:sz w:val="20"/>
              </w:rPr>
              <w:t>：嵊泗县应急管理局    预算</w:t>
            </w:r>
            <w:r>
              <w:rPr>
                <w:rFonts w:ascii="仿宋_GB2312" w:hAnsi="仿宋_GB2312" w:eastAsia="仿宋_GB2312" w:cs="仿宋_GB2312"/>
                <w:b/>
                <w:bCs/>
                <w:color w:val="000000" w:themeColor="text1"/>
                <w:kern w:val="0"/>
                <w:sz w:val="20"/>
              </w:rPr>
              <w:t>五</w:t>
            </w:r>
            <w:r>
              <w:rPr>
                <w:rFonts w:hint="eastAsia" w:ascii="仿宋_GB2312" w:hAnsi="仿宋_GB2312" w:eastAsia="仿宋_GB2312" w:cs="仿宋_GB2312"/>
                <w:b/>
                <w:bCs/>
                <w:color w:val="000000" w:themeColor="text1"/>
                <w:kern w:val="0"/>
                <w:sz w:val="20"/>
              </w:rPr>
              <w:t>：375000元</w:t>
            </w:r>
          </w:p>
        </w:tc>
        <w:tc>
          <w:tcPr>
            <w:tcW w:w="1412" w:type="dxa"/>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color w:val="000000"/>
                <w:kern w:val="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auto" w:sz="4" w:space="0"/>
              <w:bottom w:val="single" w:color="000000" w:sz="4" w:space="0"/>
              <w:right w:val="single" w:color="auto" w:sz="4" w:space="0"/>
            </w:tcBorders>
            <w:shd w:val="clear" w:color="auto" w:fill="FFFFFF"/>
            <w:noWrap/>
            <w:vAlign w:val="center"/>
          </w:tcPr>
          <w:p>
            <w:pPr>
              <w:jc w:val="left"/>
              <w:rPr>
                <w:rFonts w:ascii="仿宋_GB2312" w:hAnsi="仿宋_GB2312" w:eastAsia="仿宋_GB2312" w:cs="仿宋_GB2312"/>
                <w:color w:val="000000"/>
                <w:sz w:val="20"/>
              </w:rPr>
            </w:pPr>
            <w:r>
              <w:rPr>
                <w:rFonts w:hint="eastAsia" w:ascii="仿宋_GB2312" w:hAnsi="仿宋_GB2312" w:eastAsia="仿宋_GB2312" w:cs="仿宋_GB2312"/>
                <w:b/>
                <w:bCs/>
                <w:color w:val="000000"/>
                <w:kern w:val="0"/>
                <w:sz w:val="20"/>
              </w:rPr>
              <w:t>一、指挥调度音视频等信息化基础设施</w:t>
            </w:r>
          </w:p>
        </w:tc>
        <w:tc>
          <w:tcPr>
            <w:tcW w:w="1412" w:type="dxa"/>
            <w:tcBorders>
              <w:top w:val="single" w:color="000000" w:sz="4" w:space="0"/>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主扩声专业音箱</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restart"/>
            <w:tcBorders>
              <w:top w:val="single" w:color="000000" w:sz="4" w:space="0"/>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主扩声专业功放</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3</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辅助专业音箱</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4</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辅助专业功放</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5</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音频处理器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6</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调音台</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7</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一拖二手持话筒</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8</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一拖四会议话筒</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9</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智能混音器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10</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电源管理器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音频隔离器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天线分配器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13</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话筒天线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14</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多媒体插座</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机柜</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16</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配套辅材</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批</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17</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一键式会议协作系统</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c>
          <w:tcPr>
            <w:tcW w:w="1412" w:type="dxa"/>
            <w:vMerge w:val="restart"/>
            <w:tcBorders>
              <w:top w:val="single" w:color="000000" w:sz="4" w:space="0"/>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18</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电子桌牌</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19</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eastAsia="仿宋_GB2312"/>
                <w:color w:val="000000" w:themeColor="text1"/>
                <w:sz w:val="24"/>
                <w:szCs w:val="24"/>
              </w:rPr>
              <w:t>▲</w:t>
            </w:r>
            <w:r>
              <w:rPr>
                <w:rFonts w:hint="eastAsia" w:ascii="仿宋_GB2312" w:hAnsi="仿宋_GB2312" w:eastAsia="仿宋_GB2312" w:cs="仿宋_GB2312"/>
                <w:color w:val="000000" w:themeColor="text1"/>
                <w:kern w:val="0"/>
                <w:sz w:val="20"/>
              </w:rPr>
              <w:t>信创操作电脑</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5</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20</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会议抬头屏</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项</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移动会议系统</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高清混合矩阵</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23</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网络型可编程中央控制主机</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中控系统</w:t>
            </w:r>
          </w:p>
        </w:tc>
        <w:tc>
          <w:tcPr>
            <w:tcW w:w="1412" w:type="dxa"/>
            <w:vMerge w:val="restart"/>
            <w:tcBorders>
              <w:top w:val="single" w:color="000000" w:sz="4" w:space="0"/>
              <w:left w:val="single" w:color="000000" w:sz="4" w:space="0"/>
              <w:right w:val="single" w:color="000000" w:sz="4" w:space="0"/>
            </w:tcBorders>
            <w:shd w:val="clear" w:color="auto" w:fill="FFFFFF"/>
            <w:vAlign w:val="center"/>
          </w:tcPr>
          <w:p>
            <w:pPr>
              <w:tabs>
                <w:tab w:val="left" w:pos="521"/>
              </w:tabs>
              <w:jc w:val="left"/>
              <w:rPr>
                <w:rFonts w:ascii="仿宋_GB2312" w:hAnsi="仿宋_GB2312" w:eastAsia="仿宋_GB2312" w:cs="仿宋_GB2312"/>
                <w:color w:val="000000"/>
                <w:sz w:val="20"/>
              </w:rPr>
            </w:pPr>
            <w:r>
              <w:rPr>
                <w:rFonts w:hint="eastAsia" w:ascii="仿宋_GB2312" w:hAnsi="仿宋_GB2312" w:eastAsia="仿宋_GB2312" w:cs="仿宋_GB2312"/>
                <w:color w:val="000000"/>
                <w:sz w:val="20"/>
              </w:rPr>
              <w:tab/>
            </w: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2"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24</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电源控制器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25</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控制平板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26</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中控软件</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kern w:val="0"/>
                <w:sz w:val="20"/>
                <w:szCs w:val="20"/>
              </w:rPr>
              <w:t>软件和信息技术服务</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27</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信创安全网关</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restart"/>
            <w:tcBorders>
              <w:top w:val="single" w:color="000000" w:sz="4" w:space="0"/>
              <w:left w:val="single" w:color="000000" w:sz="4" w:space="0"/>
              <w:right w:val="single" w:color="000000" w:sz="4" w:space="0"/>
            </w:tcBorders>
            <w:shd w:val="clear" w:color="auto" w:fill="FFFFFF"/>
            <w:vAlign w:val="center"/>
          </w:tcPr>
          <w:p>
            <w:pPr>
              <w:tabs>
                <w:tab w:val="left" w:pos="513"/>
              </w:tabs>
              <w:jc w:val="left"/>
              <w:rPr>
                <w:rFonts w:ascii="仿宋_GB2312" w:hAnsi="仿宋_GB2312" w:eastAsia="仿宋_GB2312" w:cs="仿宋_GB2312"/>
                <w:color w:val="000000"/>
                <w:sz w:val="20"/>
              </w:rPr>
            </w:pPr>
            <w:r>
              <w:rPr>
                <w:rFonts w:hint="eastAsia" w:ascii="仿宋_GB2312" w:hAnsi="仿宋_GB2312" w:eastAsia="仿宋_GB2312" w:cs="仿宋_GB2312"/>
                <w:color w:val="000000"/>
                <w:sz w:val="20"/>
              </w:rPr>
              <w:tab/>
            </w: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28</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直放站</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370MHz无线通信系统</w:t>
            </w:r>
          </w:p>
        </w:tc>
        <w:tc>
          <w:tcPr>
            <w:tcW w:w="141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29</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吸顶天线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根</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30</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32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1/2接头</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33</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1/2馈线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150</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米</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二、安全设备</w:t>
            </w:r>
          </w:p>
        </w:tc>
        <w:tc>
          <w:tcPr>
            <w:tcW w:w="1412" w:type="dxa"/>
            <w:tcBorders>
              <w:top w:val="single" w:color="000000" w:sz="4" w:space="0"/>
              <w:left w:val="single" w:color="000000" w:sz="4" w:space="0"/>
              <w:bottom w:val="single" w:color="auto" w:sz="4" w:space="0"/>
              <w:right w:val="single" w:color="000000" w:sz="4" w:space="0"/>
            </w:tcBorders>
            <w:noWrap/>
            <w:vAlign w:val="center"/>
          </w:tcPr>
          <w:p>
            <w:pPr>
              <w:widowControl/>
              <w:jc w:val="left"/>
              <w:textAlignment w:val="center"/>
              <w:rPr>
                <w:rFonts w:ascii="仿宋_GB2312" w:hAnsi="仿宋_GB2312" w:eastAsia="仿宋_GB2312" w:cs="仿宋_GB2312"/>
                <w:b/>
                <w:bCs/>
                <w:color w:val="000000"/>
                <w:kern w:val="0"/>
                <w:sz w:val="20"/>
              </w:rPr>
            </w:pPr>
          </w:p>
        </w:tc>
      </w:tr>
      <w:tr>
        <w:tblPrEx>
          <w:tblCellMar>
            <w:top w:w="0" w:type="dxa"/>
            <w:left w:w="108" w:type="dxa"/>
            <w:bottom w:w="0" w:type="dxa"/>
            <w:right w:w="108" w:type="dxa"/>
          </w:tblCellMar>
        </w:tblPrEx>
        <w:trPr>
          <w:trHeight w:val="936"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SDWAN网关（边界侧）</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 xml:space="preserve"> 嵊泗县 </w:t>
            </w:r>
          </w:p>
        </w:tc>
        <w:tc>
          <w:tcPr>
            <w:tcW w:w="14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1" w:hRule="atLeast"/>
        </w:trPr>
        <w:tc>
          <w:tcPr>
            <w:tcW w:w="7699" w:type="dxa"/>
            <w:gridSpan w:val="5"/>
            <w:tcBorders>
              <w:top w:val="single" w:color="000000" w:sz="4" w:space="0"/>
              <w:left w:val="single" w:color="000000" w:sz="4" w:space="0"/>
              <w:bottom w:val="single" w:color="000000" w:sz="4" w:space="0"/>
              <w:right w:val="single" w:color="auto" w:sz="4" w:space="0"/>
            </w:tcBorders>
            <w:noWrap/>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b/>
                <w:bCs/>
                <w:color w:val="000000" w:themeColor="text1"/>
                <w:kern w:val="0"/>
                <w:sz w:val="20"/>
              </w:rPr>
              <w:t>（</w:t>
            </w:r>
            <w:r>
              <w:rPr>
                <w:rFonts w:ascii="仿宋_GB2312" w:hAnsi="仿宋_GB2312" w:eastAsia="仿宋_GB2312" w:cs="仿宋_GB2312"/>
                <w:b/>
                <w:bCs/>
                <w:color w:val="000000" w:themeColor="text1"/>
                <w:kern w:val="0"/>
                <w:sz w:val="20"/>
              </w:rPr>
              <w:t>六</w:t>
            </w:r>
            <w:r>
              <w:rPr>
                <w:rFonts w:hint="eastAsia" w:ascii="仿宋_GB2312" w:hAnsi="仿宋_GB2312" w:eastAsia="仿宋_GB2312" w:cs="仿宋_GB2312"/>
                <w:b/>
                <w:bCs/>
                <w:color w:val="000000" w:themeColor="text1"/>
                <w:kern w:val="0"/>
                <w:sz w:val="20"/>
              </w:rPr>
              <w:t>）品目</w:t>
            </w:r>
            <w:r>
              <w:rPr>
                <w:rFonts w:ascii="仿宋_GB2312" w:hAnsi="仿宋_GB2312" w:eastAsia="仿宋_GB2312" w:cs="仿宋_GB2312"/>
                <w:b/>
                <w:bCs/>
                <w:color w:val="000000" w:themeColor="text1"/>
                <w:kern w:val="0"/>
                <w:sz w:val="20"/>
              </w:rPr>
              <w:t>六</w:t>
            </w:r>
            <w:r>
              <w:rPr>
                <w:rFonts w:hint="eastAsia" w:ascii="仿宋_GB2312" w:hAnsi="仿宋_GB2312" w:eastAsia="仿宋_GB2312" w:cs="仿宋_GB2312"/>
                <w:b/>
                <w:bCs/>
                <w:color w:val="000000" w:themeColor="text1"/>
                <w:kern w:val="0"/>
                <w:sz w:val="20"/>
              </w:rPr>
              <w:t>：普陀山镇人民政府   预算二：120000元</w:t>
            </w:r>
          </w:p>
        </w:tc>
        <w:tc>
          <w:tcPr>
            <w:tcW w:w="14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000000" w:sz="4" w:space="0"/>
            </w:tcBorders>
            <w:noWrap/>
            <w:vAlign w:val="center"/>
          </w:tcPr>
          <w:p>
            <w:pPr>
              <w:jc w:val="left"/>
              <w:rPr>
                <w:rFonts w:ascii="仿宋_GB2312" w:hAnsi="仿宋_GB2312" w:eastAsia="仿宋_GB2312" w:cs="仿宋_GB2312"/>
                <w:color w:val="000000"/>
                <w:sz w:val="20"/>
              </w:rPr>
            </w:pPr>
            <w:r>
              <w:rPr>
                <w:rFonts w:hint="eastAsia" w:ascii="仿宋_GB2312" w:hAnsi="仿宋_GB2312" w:eastAsia="仿宋_GB2312" w:cs="仿宋_GB2312"/>
                <w:b/>
                <w:bCs/>
                <w:color w:val="000000"/>
                <w:kern w:val="0"/>
                <w:sz w:val="20"/>
              </w:rPr>
              <w:t>一、指挥调度音视频等信息化基础设施</w:t>
            </w:r>
          </w:p>
        </w:tc>
        <w:tc>
          <w:tcPr>
            <w:tcW w:w="141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P1.2全彩屏</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6.144</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平方</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kern w:val="0"/>
                <w:sz w:val="20"/>
              </w:rPr>
            </w:pPr>
          </w:p>
        </w:tc>
        <w:tc>
          <w:tcPr>
            <w:tcW w:w="1412" w:type="dxa"/>
            <w:vMerge w:val="restart"/>
            <w:tcBorders>
              <w:top w:val="single" w:color="auto" w:sz="4" w:space="0"/>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2</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LED屏拼控处理器</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kern w:val="0"/>
                <w:sz w:val="20"/>
              </w:rPr>
            </w:pPr>
          </w:p>
        </w:tc>
        <w:tc>
          <w:tcPr>
            <w:tcW w:w="1412"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3</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安装钢结构及包边</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6.2</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kern w:val="0"/>
                <w:sz w:val="20"/>
              </w:rPr>
            </w:pPr>
          </w:p>
        </w:tc>
        <w:tc>
          <w:tcPr>
            <w:tcW w:w="1412"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4</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机柜</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kern w:val="0"/>
                <w:sz w:val="20"/>
              </w:rPr>
            </w:pPr>
          </w:p>
        </w:tc>
        <w:tc>
          <w:tcPr>
            <w:tcW w:w="1412"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sz w:val="20"/>
              </w:rPr>
              <w:t>5</w:t>
            </w:r>
          </w:p>
        </w:tc>
        <w:tc>
          <w:tcPr>
            <w:tcW w:w="229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配套辅材</w:t>
            </w:r>
          </w:p>
        </w:tc>
        <w:tc>
          <w:tcPr>
            <w:tcW w:w="977"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项</w:t>
            </w:r>
          </w:p>
        </w:tc>
        <w:tc>
          <w:tcPr>
            <w:tcW w:w="2702"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kern w:val="0"/>
                <w:sz w:val="20"/>
              </w:rPr>
            </w:pPr>
          </w:p>
        </w:tc>
        <w:tc>
          <w:tcPr>
            <w:tcW w:w="1412" w:type="dxa"/>
            <w:vMerge w:val="continue"/>
            <w:tcBorders>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 xml:space="preserve"> </w:t>
            </w:r>
            <w:r>
              <w:rPr>
                <w:rFonts w:hint="eastAsia" w:ascii="仿宋_GB2312" w:hAnsi="仿宋_GB2312" w:eastAsia="仿宋_GB2312" w:cs="仿宋_GB2312"/>
                <w:b/>
                <w:bCs/>
                <w:color w:val="auto"/>
                <w:kern w:val="0"/>
                <w:sz w:val="20"/>
              </w:rPr>
              <w:t>（七）品目七：定海区应急管理局    预算七： 5000元</w:t>
            </w:r>
          </w:p>
        </w:tc>
        <w:tc>
          <w:tcPr>
            <w:tcW w:w="14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kern w:val="0"/>
                <w:sz w:val="20"/>
              </w:rPr>
            </w:pPr>
          </w:p>
        </w:tc>
      </w:tr>
      <w:tr>
        <w:tblPrEx>
          <w:tblCellMar>
            <w:top w:w="0" w:type="dxa"/>
            <w:left w:w="108" w:type="dxa"/>
            <w:bottom w:w="0" w:type="dxa"/>
            <w:right w:w="108" w:type="dxa"/>
          </w:tblCellMar>
        </w:tblPrEx>
        <w:trPr>
          <w:trHeight w:val="440" w:hRule="atLeast"/>
        </w:trPr>
        <w:tc>
          <w:tcPr>
            <w:tcW w:w="80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1</w:t>
            </w:r>
          </w:p>
        </w:tc>
        <w:tc>
          <w:tcPr>
            <w:tcW w:w="22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SDWAN网关（边界侧）</w:t>
            </w: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1</w:t>
            </w:r>
          </w:p>
        </w:tc>
        <w:tc>
          <w:tcPr>
            <w:tcW w:w="92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台</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 xml:space="preserve"> 定海区</w:t>
            </w:r>
          </w:p>
        </w:tc>
        <w:tc>
          <w:tcPr>
            <w:tcW w:w="14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kern w:val="0"/>
                <w:sz w:val="20"/>
              </w:rPr>
            </w:pPr>
            <w:r>
              <w:rPr>
                <w:rFonts w:hint="eastAsia" w:ascii="仿宋_GB2312" w:hAnsi="仿宋_GB2312" w:eastAsia="仿宋_GB2312" w:cs="仿宋_GB2312"/>
                <w:color w:val="auto"/>
                <w:sz w:val="20"/>
              </w:rPr>
              <w:t>工业</w:t>
            </w:r>
          </w:p>
        </w:tc>
      </w:tr>
    </w:tbl>
    <w:p>
      <w:pPr>
        <w:spacing w:line="360" w:lineRule="auto"/>
        <w:ind w:firstLine="480" w:firstLineChars="200"/>
        <w:rPr>
          <w:rFonts w:ascii="仿宋_GB2312" w:hAnsi="仿宋_GB2312" w:eastAsia="仿宋_GB2312" w:cs="仿宋_GB2312"/>
          <w:color w:val="171A1D"/>
          <w:sz w:val="24"/>
          <w:szCs w:val="24"/>
          <w:shd w:val="clear" w:color="auto" w:fill="FFFFFF"/>
        </w:rPr>
      </w:pPr>
    </w:p>
    <w:p>
      <w:pPr>
        <w:spacing w:line="360" w:lineRule="auto"/>
        <w:ind w:firstLine="480" w:firstLineChars="200"/>
        <w:rPr>
          <w:rFonts w:ascii="仿宋_GB2312" w:hAnsi="仿宋_GB2312" w:eastAsia="仿宋_GB2312" w:cs="仿宋_GB2312"/>
          <w:color w:val="171A1D"/>
          <w:sz w:val="24"/>
          <w:szCs w:val="24"/>
          <w:shd w:val="clear" w:color="auto" w:fill="FFFFFF"/>
        </w:rPr>
      </w:pPr>
      <w:r>
        <w:rPr>
          <w:rFonts w:hint="eastAsia" w:ascii="仿宋_GB2312" w:hAnsi="仿宋_GB2312" w:eastAsia="仿宋_GB2312" w:cs="仿宋_GB2312"/>
          <w:color w:val="171A1D"/>
          <w:sz w:val="24"/>
          <w:szCs w:val="24"/>
          <w:shd w:val="clear" w:color="auto" w:fill="FFFFFF"/>
        </w:rPr>
        <w:t>4.2 技术性能要求</w:t>
      </w:r>
    </w:p>
    <w:tbl>
      <w:tblPr>
        <w:tblStyle w:val="24"/>
        <w:tblW w:w="8964" w:type="dxa"/>
        <w:tblInd w:w="-559" w:type="dxa"/>
        <w:tblLayout w:type="fixed"/>
        <w:tblCellMar>
          <w:top w:w="0" w:type="dxa"/>
          <w:left w:w="108" w:type="dxa"/>
          <w:bottom w:w="0" w:type="dxa"/>
          <w:right w:w="108" w:type="dxa"/>
        </w:tblCellMar>
      </w:tblPr>
      <w:tblGrid>
        <w:gridCol w:w="884"/>
        <w:gridCol w:w="1979"/>
        <w:gridCol w:w="6101"/>
      </w:tblGrid>
      <w:tr>
        <w:tblPrEx>
          <w:tblCellMar>
            <w:top w:w="0" w:type="dxa"/>
            <w:left w:w="108" w:type="dxa"/>
            <w:bottom w:w="0" w:type="dxa"/>
            <w:right w:w="108" w:type="dxa"/>
          </w:tblCellMar>
        </w:tblPrEx>
        <w:trPr>
          <w:trHeight w:val="555"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序号</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设备名称</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技术参数</w:t>
            </w:r>
          </w:p>
        </w:tc>
      </w:tr>
      <w:tr>
        <w:tblPrEx>
          <w:tblCellMar>
            <w:top w:w="0" w:type="dxa"/>
            <w:left w:w="108" w:type="dxa"/>
            <w:bottom w:w="0" w:type="dxa"/>
            <w:right w:w="108" w:type="dxa"/>
          </w:tblCellMar>
        </w:tblPrEx>
        <w:trPr>
          <w:trHeight w:val="555" w:hRule="atLeast"/>
        </w:trPr>
        <w:tc>
          <w:tcPr>
            <w:tcW w:w="896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一、指挥调度音视频等信息化基础设施</w:t>
            </w:r>
          </w:p>
        </w:tc>
      </w:tr>
      <w:tr>
        <w:tblPrEx>
          <w:tblCellMar>
            <w:top w:w="0" w:type="dxa"/>
            <w:left w:w="108" w:type="dxa"/>
            <w:bottom w:w="0" w:type="dxa"/>
            <w:right w:w="108" w:type="dxa"/>
          </w:tblCellMar>
        </w:tblPrEx>
        <w:trPr>
          <w:trHeight w:val="555" w:hRule="atLeast"/>
        </w:trPr>
        <w:tc>
          <w:tcPr>
            <w:tcW w:w="896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（一）市本级</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数字调音台接口箱</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kern w:val="0"/>
                <w:sz w:val="20"/>
              </w:rPr>
              <w:t>▲一、总体要求：</w:t>
            </w:r>
            <w:r>
              <w:rPr>
                <w:rFonts w:hint="eastAsia" w:ascii="仿宋_GB2312" w:hAnsi="仿宋_GB2312" w:eastAsia="仿宋_GB2312" w:cs="仿宋_GB2312"/>
                <w:color w:val="000000" w:themeColor="text1"/>
              </w:rPr>
              <w:t>本次采购需兼容原有设备（</w:t>
            </w:r>
            <w:r>
              <w:rPr>
                <w:rFonts w:hint="eastAsia" w:ascii="宋体" w:hAnsi="宋体" w:cs="宋体"/>
                <w:color w:val="000000" w:themeColor="text1"/>
                <w:kern w:val="0"/>
                <w:sz w:val="20"/>
              </w:rPr>
              <w:t>原</w:t>
            </w:r>
            <w:r>
              <w:rPr>
                <w:rFonts w:hint="eastAsia"/>
                <w:color w:val="000000" w:themeColor="text1"/>
              </w:rPr>
              <w:t>调音台品牌型号为YAMAHA TF3</w:t>
            </w:r>
            <w:r>
              <w:rPr>
                <w:rFonts w:hint="eastAsia" w:ascii="仿宋_GB2312" w:hAnsi="仿宋_GB2312" w:eastAsia="仿宋_GB2312" w:cs="仿宋_GB2312"/>
                <w:color w:val="000000" w:themeColor="text1"/>
              </w:rPr>
              <w:t>）：</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1、接口箱：</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≥16个模拟输入，采用经典模拟话放带+48 V 幻象电源；</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≥8 路线路输出；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2、接口卡：</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调音台的Dante网络扩展卡。通过和接口箱连接，可以组成一个多达40路输入和24路输出的多功能接口箱系统。</w:t>
            </w:r>
          </w:p>
        </w:tc>
      </w:tr>
      <w:tr>
        <w:tblPrEx>
          <w:tblCellMar>
            <w:top w:w="0" w:type="dxa"/>
            <w:left w:w="108" w:type="dxa"/>
            <w:bottom w:w="0" w:type="dxa"/>
            <w:right w:w="108" w:type="dxa"/>
          </w:tblCellMar>
        </w:tblPrEx>
        <w:trPr>
          <w:trHeight w:val="9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分布式输入输出节点</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_GB2312" w:hAnsi="仿宋_GB2312" w:eastAsia="仿宋_GB2312" w:cs="仿宋_GB2312"/>
                <w:b/>
                <w:bCs/>
                <w:color w:val="000000" w:themeColor="text1"/>
                <w:szCs w:val="21"/>
              </w:rPr>
            </w:pPr>
            <w:r>
              <w:rPr>
                <w:rFonts w:hint="eastAsia" w:ascii="仿宋_GB2312" w:hAnsi="仿宋_GB2312" w:eastAsia="仿宋_GB2312" w:cs="仿宋_GB2312"/>
                <w:color w:val="000000"/>
                <w:szCs w:val="21"/>
              </w:rPr>
              <w:t>▲</w:t>
            </w:r>
            <w:r>
              <w:rPr>
                <w:rFonts w:hint="eastAsia" w:ascii="仿宋_GB2312" w:hAnsi="仿宋_GB2312" w:eastAsia="仿宋_GB2312" w:cs="仿宋_GB2312"/>
                <w:b/>
                <w:bCs/>
                <w:color w:val="000000"/>
              </w:rPr>
              <w:t>1、整体要求</w:t>
            </w:r>
            <w:r>
              <w:rPr>
                <w:rFonts w:hint="eastAsia" w:ascii="仿宋_GB2312" w:hAnsi="仿宋_GB2312" w:eastAsia="仿宋_GB2312" w:cs="仿宋_GB2312"/>
                <w:color w:val="000000"/>
              </w:rPr>
              <w:t>：</w:t>
            </w:r>
            <w:r>
              <w:rPr>
                <w:rFonts w:hint="eastAsia" w:ascii="仿宋_GB2312" w:hAnsi="仿宋_GB2312" w:eastAsia="仿宋_GB2312" w:cs="仿宋_GB2312"/>
                <w:color w:val="000000"/>
                <w:szCs w:val="21"/>
              </w:rPr>
              <w:t>必须无缝接入原分布式系统，可获取原分布式输入</w:t>
            </w:r>
            <w:r>
              <w:rPr>
                <w:rFonts w:hint="eastAsia" w:ascii="仿宋_GB2312" w:hAnsi="仿宋_GB2312" w:eastAsia="仿宋_GB2312" w:cs="仿宋_GB2312"/>
                <w:color w:val="000000" w:themeColor="text1"/>
                <w:szCs w:val="21"/>
              </w:rPr>
              <w:t>输出出节点和本次新配备分布式输入输出节点的音视频信号。</w:t>
            </w:r>
            <w:r>
              <w:rPr>
                <w:rFonts w:hint="eastAsia" w:ascii="仿宋_GB2312" w:hAnsi="仿宋_GB2312" w:eastAsia="仿宋_GB2312" w:cs="仿宋_GB2312"/>
                <w:color w:val="000000" w:themeColor="text1"/>
                <w:kern w:val="0"/>
                <w:sz w:val="20"/>
              </w:rPr>
              <w:t>分布式输入输出节点各17台。</w:t>
            </w:r>
          </w:p>
          <w:p>
            <w:pP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szCs w:val="21"/>
              </w:rPr>
              <w:t>2、</w:t>
            </w:r>
            <w:r>
              <w:rPr>
                <w:rFonts w:hint="eastAsia" w:ascii="仿宋_GB2312" w:hAnsi="仿宋_GB2312" w:eastAsia="仿宋_GB2312" w:cs="仿宋_GB2312"/>
                <w:b/>
                <w:bCs/>
                <w:color w:val="000000" w:themeColor="text1"/>
              </w:rPr>
              <w:t>原分布式输入节点设备参数如下：</w:t>
            </w:r>
          </w:p>
          <w:p>
            <w:pP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①采用无风扇静音设计，嵌入式硬件，具备1路HDMI输入接口、1路HDMI环出接口、1路模拟音频输入接口、1路模拟音频输出接口、1路MIC接口、1路RJ45接口、1路232接口、1路485接口、3路IO/IR 接口、3路RELAY接口、2路USB接口、1路KVM HID接口、1路 SEARCH 复位按键；</w:t>
            </w:r>
          </w:p>
          <w:p>
            <w:pPr>
              <w:rPr>
                <w:rFonts w:ascii="仿宋_GB2312" w:hAnsi="仿宋_GB2312" w:eastAsia="仿宋_GB2312" w:cs="仿宋_GB2312"/>
                <w:szCs w:val="21"/>
              </w:rPr>
            </w:pPr>
            <w:r>
              <w:rPr>
                <w:rFonts w:hint="eastAsia" w:ascii="仿宋_GB2312" w:hAnsi="仿宋_GB2312" w:eastAsia="仿宋_GB2312" w:cs="仿宋_GB2312"/>
                <w:color w:val="000000" w:themeColor="text1"/>
                <w:szCs w:val="21"/>
              </w:rPr>
              <w:t>②支持 4K 分辨率输入，且分</w:t>
            </w:r>
            <w:r>
              <w:rPr>
                <w:rFonts w:hint="eastAsia" w:ascii="仿宋_GB2312" w:hAnsi="仿宋_GB2312" w:eastAsia="仿宋_GB2312" w:cs="仿宋_GB2312"/>
                <w:szCs w:val="21"/>
              </w:rPr>
              <w:t>辨率和帧率自适应向下兼容，确保图像动态细节和流畅性；</w:t>
            </w:r>
          </w:p>
          <w:p>
            <w:pPr>
              <w:rPr>
                <w:rFonts w:ascii="仿宋_GB2312" w:hAnsi="仿宋_GB2312" w:eastAsia="仿宋_GB2312" w:cs="仿宋_GB2312"/>
                <w:szCs w:val="21"/>
              </w:rPr>
            </w:pPr>
            <w:r>
              <w:rPr>
                <w:rFonts w:hint="eastAsia" w:ascii="仿宋_GB2312" w:hAnsi="仿宋_GB2312" w:eastAsia="仿宋_GB2312" w:cs="仿宋_GB2312"/>
                <w:szCs w:val="21"/>
              </w:rPr>
              <w:t>③节点 HDMI 视频接口具备 1 至 7 级可调节伸缩保护卡扣装置；</w:t>
            </w:r>
          </w:p>
          <w:p>
            <w:pPr>
              <w:rPr>
                <w:rFonts w:ascii="仿宋_GB2312" w:hAnsi="仿宋_GB2312" w:eastAsia="仿宋_GB2312" w:cs="仿宋_GB2312"/>
                <w:szCs w:val="21"/>
              </w:rPr>
            </w:pPr>
            <w:r>
              <w:rPr>
                <w:rFonts w:hint="eastAsia" w:ascii="仿宋_GB2312" w:hAnsi="仿宋_GB2312" w:eastAsia="仿宋_GB2312" w:cs="仿宋_GB2312"/>
                <w:szCs w:val="21"/>
              </w:rPr>
              <w:t>④具备 HID 安全认证接口和模块；</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⑤支持帧内编辑，对不重要、不需要的内容进行屏蔽、裁剪，以便重点突出，展示重点内容、图表等；</w:t>
            </w:r>
          </w:p>
          <w:p>
            <w:pP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3、本次新配备的分布式输入节点设备功能要求：</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①≥2路HDMI输入接口，其余接口等于或高于原参数；</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②需采用完全分布式架构，无需配置服务器即可构建无服务器的去中心化分布式音视频综合管控网络，运行中可断开任意分布式节点，系统运行不受影响；</w:t>
            </w:r>
          </w:p>
          <w:p>
            <w:pPr>
              <w:rPr>
                <w:rFonts w:ascii="仿宋_GB2312" w:hAnsi="仿宋_GB2312" w:eastAsia="仿宋_GB2312" w:cs="仿宋_GB2312"/>
                <w:color w:val="000000"/>
                <w:kern w:val="0"/>
                <w:szCs w:val="21"/>
                <w:highlight w:val="lightGray"/>
              </w:rPr>
            </w:pPr>
            <w:r>
              <w:rPr>
                <w:rFonts w:hint="eastAsia" w:ascii="仿宋_GB2312" w:hAnsi="仿宋_GB2312" w:eastAsia="仿宋_GB2312" w:cs="仿宋_GB2312"/>
                <w:color w:val="000000"/>
                <w:kern w:val="0"/>
                <w:sz w:val="20"/>
              </w:rPr>
              <w:t>△</w:t>
            </w:r>
            <w:r>
              <w:rPr>
                <w:rFonts w:hint="eastAsia" w:ascii="仿宋_GB2312" w:hAnsi="仿宋_GB2312" w:eastAsia="仿宋_GB2312" w:cs="仿宋_GB2312"/>
                <w:color w:val="000000"/>
                <w:szCs w:val="21"/>
              </w:rPr>
              <w:t>③需确保系统业务数据安全，接入内网的电脑与接入外部互联网的电脑，在通过 HDMI 连接线及USB连接线都接入节点的情况下，节点只支持键盘鼠标信号传输和视频信号传输，两台电脑之间不会发生数据互通，避免出现内网通过节点连入外部互联网，避免“一机两用”违规；</w:t>
            </w:r>
            <w:r>
              <w:rPr>
                <w:rFonts w:hint="eastAsia" w:ascii="仿宋_GB2312" w:hAnsi="仿宋_GB2312" w:eastAsia="仿宋_GB2312" w:cs="仿宋_GB2312"/>
                <w:color w:val="000000"/>
                <w:kern w:val="0"/>
                <w:szCs w:val="21"/>
              </w:rPr>
              <w:t>(提供权威检测机构检测报告)</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④需支持本地环出，环出信号与输入信号一致；具备接口备份功能的节点，环出自动跟随主备信号切换；</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⑤需具备输入信号丢失检测的功能，便于对输入进行排查、处理；信号恢复正常后有信号正常指示；</w:t>
            </w:r>
          </w:p>
          <w:p>
            <w:pPr>
              <w:rPr>
                <w:rFonts w:ascii="仿宋_GB2312" w:hAnsi="仿宋_GB2312" w:eastAsia="仿宋_GB2312" w:cs="仿宋_GB2312"/>
              </w:rPr>
            </w:pPr>
            <w:r>
              <w:rPr>
                <w:rFonts w:hint="eastAsia" w:ascii="仿宋_GB2312" w:hAnsi="仿宋_GB2312" w:eastAsia="仿宋_GB2312" w:cs="仿宋_GB2312"/>
                <w:color w:val="000000"/>
                <w:szCs w:val="21"/>
              </w:rPr>
              <w:t>⑥支持用户自定义组网密码加密关键信息，以便未经用户授权设备不可并网使用，实现信息安全可靠，加密可支持 AES128，AES256，DES，3DES 等；</w:t>
            </w:r>
          </w:p>
          <w:p>
            <w:pPr>
              <w:widowControl/>
              <w:numPr>
                <w:ilvl w:val="0"/>
                <w:numId w:val="6"/>
              </w:numPr>
              <w:jc w:val="left"/>
              <w:textAlignment w:val="center"/>
              <w:rPr>
                <w:rFonts w:ascii="仿宋_GB2312" w:hAnsi="仿宋_GB2312" w:eastAsia="仿宋_GB2312" w:cs="仿宋_GB2312"/>
                <w:b/>
                <w:bCs/>
                <w:color w:val="000000"/>
              </w:rPr>
            </w:pPr>
            <w:r>
              <w:rPr>
                <w:rFonts w:hint="eastAsia" w:ascii="仿宋_GB2312" w:hAnsi="仿宋_GB2312" w:eastAsia="仿宋_GB2312" w:cs="仿宋_GB2312"/>
                <w:b/>
                <w:bCs/>
                <w:color w:val="000000"/>
              </w:rPr>
              <w:t>原分布式输出节点设备参数如下：</w:t>
            </w:r>
          </w:p>
          <w:p>
            <w:pP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①需采用无风扇静音设计，嵌入式硬件，具备≥1路HDMI输出接口、≥1路RJ45接口、≥1路232接口、≥1路IO/IR接口、≥1路SEARCH复位按键；</w:t>
            </w:r>
          </w:p>
          <w:p>
            <w:pPr>
              <w:rPr>
                <w:rFonts w:ascii="仿宋_GB2312" w:hAnsi="仿宋_GB2312" w:eastAsia="仿宋_GB2312" w:cs="仿宋_GB2312"/>
                <w:szCs w:val="21"/>
              </w:rPr>
            </w:pPr>
            <w:r>
              <w:rPr>
                <w:rFonts w:hint="eastAsia" w:ascii="仿宋_GB2312" w:hAnsi="仿宋_GB2312" w:eastAsia="仿宋_GB2312" w:cs="仿宋_GB2312"/>
                <w:color w:val="000000"/>
                <w:szCs w:val="21"/>
              </w:rPr>
              <w:t>②</w:t>
            </w:r>
            <w:r>
              <w:rPr>
                <w:rFonts w:hint="eastAsia" w:ascii="仿宋_GB2312" w:hAnsi="仿宋_GB2312" w:eastAsia="仿宋_GB2312" w:cs="仿宋_GB2312"/>
                <w:color w:val="000000" w:themeColor="text1"/>
                <w:szCs w:val="21"/>
              </w:rPr>
              <w:t>分辨率最高支持4K分辨率输出，</w:t>
            </w:r>
            <w:r>
              <w:rPr>
                <w:rFonts w:hint="eastAsia" w:ascii="仿宋_GB2312" w:hAnsi="仿宋_GB2312" w:eastAsia="仿宋_GB2312" w:cs="仿宋_GB2312"/>
                <w:szCs w:val="21"/>
              </w:rPr>
              <w:t>且兼容以下分辨率图像输出；</w:t>
            </w:r>
          </w:p>
          <w:p>
            <w:pPr>
              <w:rPr>
                <w:rFonts w:ascii="仿宋_GB2312" w:hAnsi="仿宋_GB2312" w:eastAsia="仿宋_GB2312" w:cs="仿宋_GB2312"/>
                <w:color w:val="000000"/>
                <w:szCs w:val="21"/>
              </w:rPr>
            </w:pPr>
            <w:r>
              <w:rPr>
                <w:rFonts w:hint="eastAsia" w:ascii="仿宋_GB2312" w:hAnsi="仿宋_GB2312" w:eastAsia="仿宋_GB2312" w:cs="仿宋_GB2312"/>
                <w:szCs w:val="21"/>
              </w:rPr>
              <w:t>③节点HDMI视频接口具备1至7级可调节伸缩</w:t>
            </w:r>
            <w:r>
              <w:rPr>
                <w:rFonts w:hint="eastAsia" w:ascii="仿宋_GB2312" w:hAnsi="仿宋_GB2312" w:eastAsia="仿宋_GB2312" w:cs="仿宋_GB2312"/>
                <w:color w:val="000000"/>
                <w:szCs w:val="21"/>
              </w:rPr>
              <w:t>保护卡扣装置；</w:t>
            </w:r>
          </w:p>
          <w:p>
            <w:pP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④支持操作终端虚拟大屏直接信号切换场景：支持大屏幕上多个小视频开窗和一个主画面之间直接交替切换，而无需删除信号重新拖动信号，提高大屏信号切换速度。用户大屏幕自定义块功能：用户可按照需求自定义屏幕上的屏幕分割块位置和大小，如4-1-4模式，而不是按照预设的2*2,3*3等，实现信号拖放并快速填充块的功能；</w:t>
            </w:r>
          </w:p>
          <w:p>
            <w:pPr>
              <w:widowControl/>
              <w:jc w:val="left"/>
              <w:textAlignment w:val="center"/>
              <w:rPr>
                <w:rFonts w:ascii="仿宋_GB2312" w:hAnsi="仿宋_GB2312" w:eastAsia="仿宋_GB2312" w:cs="仿宋_GB2312"/>
                <w:b/>
                <w:bCs/>
                <w:color w:val="000000"/>
                <w:kern w:val="0"/>
                <w:sz w:val="20"/>
              </w:rPr>
            </w:pPr>
            <w:r>
              <w:rPr>
                <w:rFonts w:hint="eastAsia" w:ascii="仿宋_GB2312" w:hAnsi="仿宋_GB2312" w:eastAsia="仿宋_GB2312" w:cs="仿宋_GB2312"/>
                <w:b/>
                <w:bCs/>
                <w:color w:val="000000"/>
                <w:kern w:val="0"/>
                <w:sz w:val="20"/>
              </w:rPr>
              <w:t>5、本次新配备的分布式输出节点设备功能要求：</w:t>
            </w:r>
          </w:p>
          <w:p>
            <w:pPr>
              <w:rPr>
                <w:rFonts w:ascii="仿宋_GB2312" w:hAnsi="仿宋_GB2312" w:eastAsia="仿宋_GB2312" w:cs="仿宋_GB2312"/>
                <w:b/>
                <w:bCs/>
                <w:color w:val="000000"/>
                <w:szCs w:val="21"/>
              </w:rPr>
            </w:pPr>
            <w:r>
              <w:rPr>
                <w:rFonts w:hint="eastAsia" w:ascii="仿宋_GB2312" w:hAnsi="仿宋_GB2312" w:eastAsia="仿宋_GB2312" w:cs="仿宋_GB2312"/>
                <w:color w:val="000000"/>
                <w:kern w:val="0"/>
                <w:sz w:val="20"/>
              </w:rPr>
              <w:t>△</w:t>
            </w:r>
            <w:r>
              <w:rPr>
                <w:rFonts w:hint="eastAsia" w:ascii="仿宋_GB2312" w:hAnsi="仿宋_GB2312" w:eastAsia="仿宋_GB2312" w:cs="仿宋_GB2312"/>
                <w:color w:val="000000"/>
                <w:szCs w:val="21"/>
              </w:rPr>
              <w:t>①接口部分调整如下：≥1路SFP接口，≥2路IO/IR接口、≥7路USB接口，其余接口等于或高于原参数。（需提供产品高清实物图片）</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②悬浮菜单包含但不限于推送、大屏控制、视频对讲、分屏、U 盘传输、AI 图文识别控制功能；</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kern w:val="0"/>
                <w:sz w:val="20"/>
              </w:rPr>
              <w:t>△</w:t>
            </w:r>
            <w:r>
              <w:rPr>
                <w:rFonts w:hint="eastAsia" w:ascii="仿宋_GB2312" w:hAnsi="仿宋_GB2312" w:eastAsia="仿宋_GB2312" w:cs="仿宋_GB2312"/>
                <w:color w:val="000000"/>
                <w:szCs w:val="21"/>
              </w:rPr>
              <w:t>③支持智能 OCR 离线识图功能，可对指定画面进行框选后进行文字识别与提取（识别精度≥99%），识别后可自动排列显示，提取/修改文字并实现在物理隔离状态下的主机之间跨屏复制；支持按预定格式填充于文档或表格；</w:t>
            </w:r>
            <w:r>
              <w:rPr>
                <w:rFonts w:hint="eastAsia" w:ascii="仿宋_GB2312" w:hAnsi="仿宋_GB2312" w:eastAsia="仿宋_GB2312" w:cs="仿宋_GB2312"/>
                <w:color w:val="000000"/>
                <w:kern w:val="0"/>
                <w:szCs w:val="21"/>
              </w:rPr>
              <w:t>(提供权威检测机构检测报告)</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④完全分布式架构，无需配置服务器即可构建无服 务器的去中心化分布式音视频综合管控网络，运行中可断开任意分布式节点，系统运行不受影响；</w:t>
            </w:r>
          </w:p>
          <w:p>
            <w:pP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w:t>
            </w:r>
            <w:r>
              <w:rPr>
                <w:rFonts w:hint="eastAsia" w:ascii="仿宋_GB2312" w:hAnsi="仿宋_GB2312" w:eastAsia="仿宋_GB2312" w:cs="仿宋_GB2312"/>
                <w:color w:val="000000"/>
                <w:szCs w:val="21"/>
              </w:rPr>
              <w:t>⑤其他：具有IP6X认证，提供相关证书；为确保分布式系统的安全，制造商具有二级或以上的信息系统安全等级保护备案证明</w:t>
            </w:r>
          </w:p>
        </w:tc>
      </w:tr>
      <w:tr>
        <w:tblPrEx>
          <w:tblCellMar>
            <w:top w:w="0" w:type="dxa"/>
            <w:left w:w="108" w:type="dxa"/>
            <w:bottom w:w="0" w:type="dxa"/>
            <w:right w:w="108" w:type="dxa"/>
          </w:tblCellMar>
        </w:tblPrEx>
        <w:trPr>
          <w:trHeight w:val="9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曲面屏</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1.屏幕尺寸：≧49英寸</w:t>
            </w:r>
          </w:p>
          <w:p>
            <w:pP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2.面板类型 ：VA</w:t>
            </w:r>
          </w:p>
          <w:p>
            <w:pP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3.屏幕曲率：≧1000R</w:t>
            </w:r>
          </w:p>
          <w:p>
            <w:pP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4.屏幕比例：32:9</w:t>
            </w:r>
          </w:p>
          <w:p>
            <w:pP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5.静态对比度（典型值）：≧2500：1(典型值）</w:t>
            </w:r>
          </w:p>
          <w:p>
            <w:pP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6.分辨率：≧5,120 x 1,440</w:t>
            </w:r>
          </w:p>
          <w:p>
            <w:pP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7.刷新率：≧240Hz</w:t>
            </w:r>
          </w:p>
          <w:p>
            <w:pP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8.亮度（典型值）：≧450 cd/㎡</w:t>
            </w:r>
          </w:p>
          <w:p>
            <w:pP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9.响应时间：≦1ms(GTG)</w:t>
            </w:r>
          </w:p>
          <w:p>
            <w:pP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10.可视角度（水平/垂直）：≧178°（H）/178°（V）</w:t>
            </w:r>
          </w:p>
          <w:p>
            <w:pPr>
              <w:rPr>
                <w:rFonts w:ascii="仿宋_GB2312" w:hAnsi="仿宋_GB2312" w:eastAsia="仿宋_GB2312" w:cs="仿宋_GB2312"/>
              </w:rPr>
            </w:pPr>
            <w:r>
              <w:rPr>
                <w:rFonts w:hint="eastAsia" w:ascii="仿宋_GB2312" w:hAnsi="仿宋_GB2312" w:eastAsia="仿宋_GB2312" w:cs="仿宋_GB2312"/>
                <w:color w:val="000000"/>
                <w:kern w:val="0"/>
                <w:sz w:val="20"/>
              </w:rPr>
              <w:t>11.接口：至少1个DP接口，1个HDMI接口，1个USB3.0接口</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服务器机柜</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1.形象：前后网孔门</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2.材质：冷轧钢板</w:t>
            </w:r>
          </w:p>
          <w:p>
            <w:pPr>
              <w:pStyle w:val="2"/>
              <w:ind w:firstLine="0" w:firstLineChars="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sz w:val="20"/>
              </w:rPr>
              <w:t>3.用料：方孔条</w:t>
            </w:r>
            <w:r>
              <w:rPr>
                <w:rStyle w:val="76"/>
                <w:rFonts w:hint="default" w:ascii="仿宋_GB2312" w:hAnsi="仿宋_GB2312" w:eastAsia="仿宋_GB2312" w:cs="仿宋_GB2312"/>
                <w:color w:val="000000" w:themeColor="text1"/>
              </w:rPr>
              <w:t>≧2MM；安装梁及连接块≧1.5MM</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4.规格：600*1000*2000MM</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5.颜色：黑色</w:t>
            </w:r>
          </w:p>
          <w:p>
            <w:pPr>
              <w:widowControl/>
              <w:jc w:val="left"/>
              <w:textAlignment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kern w:val="0"/>
                <w:sz w:val="20"/>
              </w:rPr>
              <w:t>6.其他：符合国标</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机柜承重支架</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根据机柜尺寸，按需L40*40*4角钢定制</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6</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机柜专用PDU</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8位16A输入10A新国标输出，带开关，带2米2.5平方线，总功率4000W  水平安装</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7</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管线配套</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机房机柜增加后，柜内配套电力电缆、光缆、网线，配电箱内增加机柜回路空气开关</w:t>
            </w:r>
          </w:p>
        </w:tc>
      </w:tr>
      <w:tr>
        <w:tblPrEx>
          <w:tblCellMar>
            <w:top w:w="0" w:type="dxa"/>
            <w:left w:w="108" w:type="dxa"/>
            <w:bottom w:w="0" w:type="dxa"/>
            <w:right w:w="108" w:type="dxa"/>
          </w:tblCellMar>
        </w:tblPrEx>
        <w:trPr>
          <w:trHeight w:val="135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8</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信创防火墙带路由功能</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1.▲设备最大吞吐量≥63969.691Mbps，HTTP吞吐量≥25 Gbps，IPS吞吐量≥8 Gbps，AV吞吐量≥7 Gbps,最大并发连接数≥2000万，每秒新建连接数≥26.3万</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2.△标准1U机架式专用硬件平台，内置冗余双电源，管理口≥1个，千兆电口≥6个，千兆光口≥4个（含2个千光多模光模块），万兆光口≥8个（含2个万兆多模光模块），内存≥16GB，硬盘≥HDD 1TB，需采用国产化CPU和国产化操作系统;三年防病毒、防攻击、上网行为管理、Web安全防护授权、威胁情报升级服务。</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3.支持路由、网桥、旁路、混合、虚拟线工作模式；部署模式切换无需重启设备支持端口镜像功能，支持入流量、出流量和双向流量等维度镜像。</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4.接口支持配置从属IP地址，每个接口要求支持至少200个second IP。</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5.△支持4G USB插卡接入，实现4G连接，与有线链路之间互为备份；并支持在4G接口上运行IPSec VPN。（需提供功能截图证明）</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支持DDNS功能，支持服务商的域名，将动态获取的IP地址映射为固定的域名。支持静态路由、动态路由、ISP路由；支持基于入接口、源地址、目标地址、用户、服务、应用、时间、域名的策略路由；ISP路由支持地址列表，并支持地址自定义。</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7.支持DNS透明代理，支持指定DNS或继承链路DNS配置，针对多链路支持基于优先级、权重、流量算法进行DNS负载。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8.支持IPv6/v4双栈，支持IPv6安全策略、包括审计策略、NAT策略、流量控制策略、会话控制策略、黑名单、白名单、认证策略等</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9.支持路由模式、透明模式的HA高可靠性部署，可工作于主备、主主模式，会话、用户、配置可实时同步；HA高可靠性部署支持接口联动，链路探测。</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提供智能策略分析功能，支持策略命中分析、隐藏策略分析、冗余策略分析、冲突策略分析、可合并策略分析、过期策略发现、空策略发现、策略宽松度分析，并在Web页面显示分析结果。（需提供功能截图证明）</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11.系统定义超过8000+条主流攻击规则，包含用户提权、任意代码执行、木马、后门、挖矿、Web序列化、Webshell等主流防护类型。并支持在线升级和手动升级</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12.支持HTTP，FTP，POP3，SMTP，IMAP协议的病毒查杀，支持查杀邮件正文/附件、网页及下载文件中包含的病毒，支持400万余种病毒的查杀，并支持在线升级和手动升级病毒库</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13.△支持对最多20级的压缩文件进行解压查杀。（需提供功能截图证明）</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14.支持独立的Web防护模块，提供SQL注入攻击、XSS攻击、恶意扫描与爬虫、服务器防护、CMS漏洞防护等不少于10种的防护类型。</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15.应用特征不少于5000个，移动应用不少于450个。</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16.支持根据标签选择应用，预置标签分类至少包含安全风险、高带宽消耗、降低工作效率等10大类；支持给每个应用自定义标签；支持根据标签选择一类应用做控制。</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17.支持防网络共享行为，针对私接路由器和非法无线热点行为进行识别和阻断。</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18.本地认证、Portal认证、Radius认证、LDAP认证、POP3认证、AD域单点登录、短信认证、微信公众号认证、APP认证、二维码认证、互联网钉钉认证、混合认证和免认证，其中微信公众号认证支持通过小程序获取手机号。</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19.支持通过解析Radius、http流量，获取用户名、IP和MAC信息，实现无认证实名上线。</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20.支持Portal逃生，支持选择不逃生、全部用户逃生和已认证用户逃生等方式；可基于PING、TCP、DNS等方式探测认证服务器。</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21.支持IPSec VPN、SSL VPN、Gre VPN，支持手机、平板电脑等移动终端VPN接入，功能标配，无需增加功能授权即可使用</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22.支持双机热备，支持主主模式、主备模式，支持同步配置、会话、运行状态、VPN状态、特征库，支持配置抢占模式和抢占延时，支持配置HA监控接口</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23.△支持一种基于概率加权路径的防火墙规则引擎时间复杂度评估方法。(提供发明专利或权威检测机构检测报告)</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24.△支持一种低延迟的TCP跨报文防火墙检测方法。(提供发明专利或权威检测机构检测报告)</w:t>
            </w:r>
          </w:p>
          <w:p>
            <w:pPr>
              <w:widowControl/>
              <w:jc w:val="left"/>
              <w:textAlignment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kern w:val="0"/>
                <w:sz w:val="20"/>
              </w:rPr>
              <w:t>25.本设备为软硬一体产品</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bookmarkStart w:id="31" w:name="OLE_LINK1" w:colFirst="2" w:colLast="2"/>
            <w:r>
              <w:rPr>
                <w:rFonts w:hint="eastAsia" w:ascii="仿宋_GB2312" w:hAnsi="仿宋_GB2312" w:eastAsia="仿宋_GB2312" w:cs="仿宋_GB2312"/>
                <w:color w:val="000000"/>
                <w:kern w:val="0"/>
                <w:sz w:val="20"/>
              </w:rPr>
              <w:t>9</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直放站</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b/>
                <w:bCs/>
                <w:color w:val="000000" w:themeColor="text1"/>
                <w:kern w:val="0"/>
                <w:sz w:val="20"/>
              </w:rPr>
            </w:pPr>
            <w:r>
              <w:rPr>
                <w:rFonts w:hint="eastAsia" w:ascii="仿宋_GB2312" w:hAnsi="仿宋_GB2312" w:eastAsia="仿宋_GB2312" w:cs="仿宋_GB2312"/>
                <w:color w:val="000000" w:themeColor="text1"/>
                <w:kern w:val="0"/>
                <w:sz w:val="20"/>
                <w:szCs w:val="20"/>
              </w:rPr>
              <w:t>在现有370</w:t>
            </w:r>
            <w:r>
              <w:rPr>
                <w:rFonts w:hint="eastAsia" w:ascii="仿宋_GB2312" w:hAnsi="仿宋_GB2312" w:eastAsia="仿宋_GB2312" w:cs="仿宋_GB2312"/>
                <w:color w:val="000000" w:themeColor="text1"/>
                <w:sz w:val="20"/>
              </w:rPr>
              <w:t>MHz</w:t>
            </w:r>
            <w:r>
              <w:rPr>
                <w:rFonts w:hint="eastAsia" w:ascii="仿宋_GB2312" w:hAnsi="仿宋_GB2312" w:eastAsia="仿宋_GB2312" w:cs="仿宋_GB2312"/>
                <w:color w:val="000000" w:themeColor="text1"/>
                <w:kern w:val="0"/>
                <w:sz w:val="20"/>
                <w:szCs w:val="20"/>
              </w:rPr>
              <w:t>数字集群一体化基站的基础上，通过天线室内分布，实现信号覆盖，该基站能够通过有线IP方式或 E1方式直接接入舟山市应急管理局现有核心网，现有网管能够查询、配置及修改基站信息。</w:t>
            </w:r>
          </w:p>
          <w:p>
            <w:pPr>
              <w:widowControl/>
              <w:jc w:val="left"/>
              <w:textAlignment w:val="center"/>
              <w:rPr>
                <w:rFonts w:ascii="仿宋_GB2312" w:hAnsi="仿宋_GB2312" w:eastAsia="仿宋_GB2312" w:cs="仿宋_GB2312"/>
                <w:b/>
                <w:bCs/>
                <w:sz w:val="20"/>
              </w:rPr>
            </w:pPr>
            <w:r>
              <w:rPr>
                <w:rFonts w:hint="eastAsia" w:ascii="仿宋_GB2312" w:hAnsi="仿宋_GB2312" w:eastAsia="仿宋_GB2312" w:cs="仿宋_GB2312"/>
                <w:b/>
                <w:bCs/>
                <w:color w:val="000000"/>
                <w:kern w:val="0"/>
                <w:sz w:val="20"/>
              </w:rPr>
              <w:t>技术参数：</w:t>
            </w:r>
          </w:p>
          <w:p>
            <w:pPr>
              <w:widowControl/>
              <w:jc w:val="left"/>
              <w:textAlignment w:val="center"/>
              <w:rPr>
                <w:rFonts w:ascii="仿宋_GB2312" w:hAnsi="仿宋_GB2312" w:eastAsia="仿宋_GB2312" w:cs="仿宋_GB2312"/>
                <w:b/>
                <w:bCs/>
                <w:sz w:val="20"/>
              </w:rPr>
            </w:pPr>
            <w:r>
              <w:rPr>
                <w:rFonts w:hint="eastAsia" w:ascii="仿宋_GB2312" w:hAnsi="仿宋_GB2312" w:eastAsia="仿宋_GB2312" w:cs="仿宋_GB2312"/>
                <w:b/>
                <w:bCs/>
                <w:sz w:val="20"/>
              </w:rPr>
              <w:t>下行链路：</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 xml:space="preserve">频率范围 360 ～ 366MHz </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输入强度-95 ～ -45dBm</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增益 ≥70dB</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输出功率 30（±3）dBm</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噪声系数 ≤3dB</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b/>
                <w:bCs/>
                <w:sz w:val="20"/>
              </w:rPr>
              <w:t>上行链路：</w:t>
            </w:r>
            <w:r>
              <w:rPr>
                <w:rFonts w:hint="eastAsia" w:ascii="仿宋_GB2312" w:hAnsi="仿宋_GB2312" w:eastAsia="仿宋_GB2312" w:cs="仿宋_GB2312"/>
                <w:sz w:val="20"/>
              </w:rPr>
              <w:t xml:space="preserve">  </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 xml:space="preserve">频率范围350 ～ 356MHz </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 xml:space="preserve">输入强度-100 ～ -65dBm    </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增益 ≥70dB</w:t>
            </w:r>
          </w:p>
          <w:p>
            <w:pPr>
              <w:pStyle w:val="2"/>
              <w:ind w:firstLine="380"/>
              <w:rPr>
                <w:rFonts w:ascii="仿宋_GB2312" w:hAnsi="仿宋_GB2312" w:eastAsia="仿宋_GB2312" w:cs="仿宋_GB2312"/>
                <w:sz w:val="20"/>
              </w:rPr>
            </w:pPr>
            <w:r>
              <w:rPr>
                <w:rFonts w:hint="eastAsia" w:ascii="仿宋_GB2312" w:hAnsi="仿宋_GB2312" w:eastAsia="仿宋_GB2312" w:cs="仿宋_GB2312"/>
                <w:sz w:val="20"/>
              </w:rPr>
              <w:t xml:space="preserve">输出功率20（±3）dBm </w:t>
            </w:r>
          </w:p>
          <w:p>
            <w:pPr>
              <w:rPr>
                <w:rFonts w:ascii="仿宋_GB2312" w:hAnsi="仿宋_GB2312" w:eastAsia="仿宋_GB2312" w:cs="仿宋_GB2312"/>
                <w:sz w:val="20"/>
              </w:rPr>
            </w:pPr>
            <w:r>
              <w:rPr>
                <w:rFonts w:hint="eastAsia" w:ascii="仿宋_GB2312" w:hAnsi="仿宋_GB2312" w:eastAsia="仿宋_GB2312" w:cs="仿宋_GB2312"/>
                <w:sz w:val="20"/>
              </w:rPr>
              <w:t>噪声系数 ≤5dB</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b/>
                <w:bCs/>
                <w:sz w:val="20"/>
              </w:rPr>
              <w:t>衰减范围</w:t>
            </w:r>
            <w:r>
              <w:rPr>
                <w:rFonts w:hint="eastAsia" w:ascii="仿宋_GB2312" w:hAnsi="仿宋_GB2312" w:eastAsia="仿宋_GB2312" w:cs="仿宋_GB2312"/>
                <w:sz w:val="20"/>
              </w:rPr>
              <w:t xml:space="preserve"> ≥30dB（增益调节步长1dB） </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b/>
                <w:bCs/>
                <w:sz w:val="20"/>
              </w:rPr>
              <w:t>带内波动</w:t>
            </w:r>
            <w:r>
              <w:rPr>
                <w:rFonts w:hint="eastAsia" w:ascii="仿宋_GB2312" w:hAnsi="仿宋_GB2312" w:eastAsia="仿宋_GB2312" w:cs="仿宋_GB2312"/>
                <w:sz w:val="20"/>
              </w:rPr>
              <w:t xml:space="preserve"> ≤3dB</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b/>
                <w:bCs/>
                <w:sz w:val="20"/>
              </w:rPr>
              <w:t>互调衰减</w:t>
            </w:r>
            <w:r>
              <w:rPr>
                <w:rFonts w:hint="eastAsia" w:ascii="仿宋_GB2312" w:hAnsi="仿宋_GB2312" w:eastAsia="仿宋_GB2312" w:cs="仿宋_GB2312"/>
                <w:sz w:val="20"/>
              </w:rPr>
              <w:t>≤-50dBc @30kHz</w:t>
            </w:r>
          </w:p>
          <w:p>
            <w:pPr>
              <w:pStyle w:val="2"/>
              <w:ind w:firstLine="382"/>
              <w:rPr>
                <w:rFonts w:ascii="仿宋_GB2312" w:hAnsi="仿宋_GB2312" w:eastAsia="仿宋_GB2312" w:cs="仿宋_GB2312"/>
                <w:sz w:val="20"/>
              </w:rPr>
            </w:pPr>
            <w:r>
              <w:rPr>
                <w:rFonts w:hint="eastAsia" w:ascii="仿宋_GB2312" w:hAnsi="仿宋_GB2312" w:eastAsia="仿宋_GB2312" w:cs="仿宋_GB2312"/>
                <w:b/>
                <w:bCs/>
                <w:sz w:val="20"/>
              </w:rPr>
              <w:t>输入输出阻抗</w:t>
            </w:r>
            <w:r>
              <w:rPr>
                <w:rFonts w:hint="eastAsia" w:ascii="仿宋_GB2312" w:hAnsi="仿宋_GB2312" w:eastAsia="仿宋_GB2312" w:cs="仿宋_GB2312"/>
                <w:sz w:val="20"/>
              </w:rPr>
              <w:t>50Ω</w:t>
            </w:r>
          </w:p>
          <w:p>
            <w:pPr>
              <w:pStyle w:val="3"/>
              <w:rPr>
                <w:rFonts w:ascii="仿宋_GB2312" w:hAnsi="仿宋_GB2312" w:eastAsia="仿宋_GB2312" w:cs="仿宋_GB2312"/>
                <w:sz w:val="20"/>
                <w:szCs w:val="20"/>
              </w:rPr>
            </w:pPr>
            <w:r>
              <w:rPr>
                <w:rFonts w:hint="eastAsia" w:ascii="仿宋_GB2312" w:hAnsi="仿宋_GB2312" w:eastAsia="仿宋_GB2312" w:cs="仿宋_GB2312"/>
                <w:b/>
                <w:bCs/>
                <w:sz w:val="20"/>
                <w:szCs w:val="20"/>
              </w:rPr>
              <w:t>波比VSWR</w:t>
            </w:r>
            <w:r>
              <w:rPr>
                <w:rFonts w:hint="eastAsia" w:ascii="仿宋_GB2312" w:hAnsi="仿宋_GB2312" w:eastAsia="仿宋_GB2312" w:cs="仿宋_GB2312"/>
                <w:sz w:val="20"/>
                <w:szCs w:val="20"/>
              </w:rPr>
              <w:t>≤1.4(V.S.W.R)</w:t>
            </w:r>
          </w:p>
          <w:p>
            <w:pPr>
              <w:pStyle w:val="4"/>
              <w:ind w:firstLine="241"/>
              <w:rPr>
                <w:color w:val="000000"/>
              </w:rPr>
            </w:pPr>
            <w:r>
              <w:rPr>
                <w:rFonts w:hint="eastAsia"/>
                <w:b/>
                <w:bCs/>
              </w:rPr>
              <w:t>防护等级</w:t>
            </w:r>
            <w:r>
              <w:rPr>
                <w:rFonts w:hint="eastAsia"/>
              </w:rPr>
              <w:t xml:space="preserve"> IP55</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技术指标</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 信号覆盖电平：95%覆盖区域信号强度不低于-85dBm，覆盖区边沿信号强度不低于-90dBm。</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2）外泄电平：在室外10米处应满足信号强度≤－95dBm或室内分布外泄的信号强度比室外宏站最强信号强度低10dB。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3）无线可通率：手持台在无线覆盖区内98%的位置，99%的时间可接入网络。</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4）覆盖区与周围各小区之间有良好的切换。</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5）呼叫建立成功率：通常情况下，要求大于95%。</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6）掉话率：通常情况下，要求小于1%。</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7）拥塞率：通常情况下，要求小于2%。</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10</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吸顶天线</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频率范围-MHz：370Mhz：</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增    益-dBi：3.0：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驻 波 比：≤1.5</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垂直面波瓣宽度-°：55</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水平半功率角-°（定向吸顶天线）：120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输入阻抗-Ω：50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极化方式：垂直</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最大功率-W：100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接头位置：底部引出电缆</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接头型号：N-K</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尺    寸-mm：φ170×90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辐射振子材料：铜镀银</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反射体材料：不锈钢</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天线罩材料：防紫外线ABS</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类型：-10dB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 xml:space="preserve">插入损耗：≤0.15dB  </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分配损耗：0.45dB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端口隔离度：≥20dB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耦合度：10±0.5dB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工作频段：370MHz</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特征阻抗：50Ω</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驻波比：≤1.3</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功率容量：200W</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接头形式：N-K（镀银）</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工作温度：-30～+65℃</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尺寸：58×29×21mm(不含接头部分)</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外观：表面拉丝，外观整洁，无明显的划伤和划痕，连接处无明显的裂缝</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类型：-6dB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 xml:space="preserve">插入损耗：≤0.15dB  </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分配损耗：1.25dB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端口隔离度：≥20dB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耦合度：6±0.5dB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工作频段：370MHz</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特征阻抗：50Ω</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驻波比：≤1.3</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功率容量：200W</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接头形式：N-K（镀银）</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工作温度：-30～+65℃</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尺寸：58×29×21mm(不含接头部分)</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外观：表面拉丝，外观整洁，无明显的划伤和划痕，连接处无明显的裂缝</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13</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1/2接头</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 N型Male</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14</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1/2馈线</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内导体半径：4.83</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外导体半径：13.80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绝缘套半径：12.30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特性阻抗 (欧姆)：50+1</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工作频率上限 (GHz)：8.0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一次最小弯曲半径 (mm)：70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损耗(dB/100m)350MHz：4</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工作温度：&lt;400C</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是否有阻燃功能：是</w:t>
            </w:r>
          </w:p>
        </w:tc>
      </w:tr>
      <w:bookmarkEnd w:id="31"/>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抬头屏</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1.规格为P3.75,像素点间距≤4.75mm</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2.单元板分辨率≥2048Dots</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3.刷新率≥960Hz</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4.像素构成：1R、1G</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5.驱动方式：恒流驱动</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6.控制方式：同步控制系统、异步控制系统</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7.维护方式：前后双向维护</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8.白平衡亮度≥550Cd/m²；亮度调节：0-100%亮度可调，屏幕亮度具有随环境照度的变化任意调整功能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9.亮度均匀性≥98%</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10.水平视角≥160°，垂直视角≥160°</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11.对比度≥6500：1</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12.灰度等级≥8bit</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13.含边框，支架及发送卡等，尺寸3.648*0.304米</w:t>
            </w:r>
          </w:p>
        </w:tc>
      </w:tr>
      <w:tr>
        <w:tblPrEx>
          <w:tblCellMar>
            <w:top w:w="0" w:type="dxa"/>
            <w:left w:w="108" w:type="dxa"/>
            <w:bottom w:w="0" w:type="dxa"/>
            <w:right w:w="108" w:type="dxa"/>
          </w:tblCellMar>
        </w:tblPrEx>
        <w:trPr>
          <w:trHeight w:val="480" w:hRule="atLeast"/>
        </w:trPr>
        <w:tc>
          <w:tcPr>
            <w:tcW w:w="8964" w:type="dxa"/>
            <w:gridSpan w:val="3"/>
            <w:tcBorders>
              <w:top w:val="nil"/>
              <w:left w:val="single" w:color="auto" w:sz="4" w:space="0"/>
              <w:bottom w:val="nil"/>
              <w:right w:val="single" w:color="auto" w:sz="4" w:space="0"/>
            </w:tcBorders>
            <w:shd w:val="clear" w:color="auto" w:fill="FFFFFF"/>
            <w:vAlign w:val="center"/>
          </w:tcPr>
          <w:p>
            <w:pPr>
              <w:widowControl/>
              <w:jc w:val="left"/>
              <w:textAlignment w:val="center"/>
              <w:rPr>
                <w:rFonts w:ascii="仿宋_GB2312" w:hAnsi="仿宋_GB2312" w:eastAsia="仿宋_GB2312" w:cs="仿宋_GB2312"/>
                <w:b/>
                <w:bCs/>
                <w:color w:val="000000" w:themeColor="text1"/>
                <w:sz w:val="20"/>
              </w:rPr>
            </w:pPr>
            <w:r>
              <w:rPr>
                <w:rFonts w:hint="eastAsia" w:ascii="仿宋_GB2312" w:hAnsi="仿宋_GB2312" w:eastAsia="仿宋_GB2312" w:cs="仿宋_GB2312"/>
                <w:b/>
                <w:bCs/>
                <w:color w:val="000000" w:themeColor="text1"/>
                <w:kern w:val="0"/>
                <w:sz w:val="20"/>
              </w:rPr>
              <w:t>（二）普朱管委会</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themeColor="text1"/>
                <w:sz w:val="20"/>
              </w:rPr>
            </w:pPr>
            <w:r>
              <w:rPr>
                <w:rStyle w:val="78"/>
                <w:rFonts w:hint="default" w:ascii="仿宋_GB2312" w:hAnsi="仿宋_GB2312" w:eastAsia="仿宋_GB2312" w:cs="仿宋_GB2312"/>
              </w:rPr>
              <w:t>SDWAN网关（边界侧）</w:t>
            </w:r>
          </w:p>
        </w:tc>
        <w:tc>
          <w:tcPr>
            <w:tcW w:w="6101"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参见安全设备中</w:t>
            </w:r>
            <w:r>
              <w:rPr>
                <w:rStyle w:val="78"/>
                <w:rFonts w:hint="default" w:ascii="仿宋_GB2312" w:hAnsi="仿宋_GB2312" w:eastAsia="仿宋_GB2312" w:cs="仿宋_GB2312"/>
                <w:color w:val="000000" w:themeColor="text1"/>
              </w:rPr>
              <w:t>SDWAN网关（边界侧）</w:t>
            </w:r>
            <w:r>
              <w:rPr>
                <w:rStyle w:val="78"/>
                <w:rFonts w:ascii="仿宋_GB2312" w:hAnsi="仿宋_GB2312" w:eastAsia="仿宋_GB2312" w:cs="仿宋_GB2312"/>
                <w:color w:val="000000" w:themeColor="text1"/>
              </w:rPr>
              <w:t>相关参数要求</w:t>
            </w:r>
          </w:p>
        </w:tc>
      </w:tr>
      <w:tr>
        <w:tblPrEx>
          <w:tblCellMar>
            <w:top w:w="0" w:type="dxa"/>
            <w:left w:w="108" w:type="dxa"/>
            <w:bottom w:w="0" w:type="dxa"/>
            <w:right w:w="108" w:type="dxa"/>
          </w:tblCellMar>
        </w:tblPrEx>
        <w:trPr>
          <w:trHeight w:val="480" w:hRule="atLeast"/>
        </w:trPr>
        <w:tc>
          <w:tcPr>
            <w:tcW w:w="8964" w:type="dxa"/>
            <w:gridSpan w:val="3"/>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（三）普陀区</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P1.2全彩屏</w:t>
            </w:r>
          </w:p>
        </w:tc>
        <w:tc>
          <w:tcPr>
            <w:tcW w:w="6101"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1.▲显示屏类型：LED类型采用全倒装COB，晶圆倒置封装，无引线焊接工艺，像素构成1R1G1B，点间距≤1.25mm</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2.</w:t>
            </w:r>
            <w:r>
              <w:rPr>
                <w:rFonts w:hint="eastAsia" w:ascii="仿宋_GB2312" w:hAnsi="仿宋_GB2312" w:eastAsia="仿宋_GB2312" w:cs="仿宋_GB2312"/>
                <w:color w:val="000000" w:themeColor="text1"/>
                <w:kern w:val="0"/>
                <w:sz w:val="20"/>
              </w:rPr>
              <w:t>△</w:t>
            </w:r>
            <w:r>
              <w:rPr>
                <w:rFonts w:hint="eastAsia" w:ascii="仿宋_GB2312" w:hAnsi="仿宋_GB2312" w:eastAsia="仿宋_GB2312" w:cs="仿宋_GB2312"/>
                <w:color w:val="000000" w:themeColor="text1"/>
                <w:sz w:val="20"/>
              </w:rPr>
              <w:t>整屏尺寸：宽≥6米，高≥3.375 米，面积≥20.25平方米，分辨率≥4800x2700；</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3.</w:t>
            </w:r>
            <w:r>
              <w:rPr>
                <w:rFonts w:hint="eastAsia" w:ascii="仿宋_GB2312" w:hAnsi="仿宋_GB2312" w:eastAsia="仿宋_GB2312" w:cs="仿宋_GB2312"/>
                <w:color w:val="000000" w:themeColor="text1"/>
                <w:kern w:val="0"/>
                <w:sz w:val="20"/>
              </w:rPr>
              <w:t>△</w:t>
            </w:r>
            <w:r>
              <w:rPr>
                <w:rFonts w:hint="eastAsia" w:ascii="仿宋_GB2312" w:hAnsi="仿宋_GB2312" w:eastAsia="仿宋_GB2312" w:cs="仿宋_GB2312"/>
                <w:color w:val="000000" w:themeColor="text1"/>
                <w:sz w:val="20"/>
              </w:rPr>
              <w:t>显示单元标准27吋，16:9显示满足FHD、4K、8K点对点播放；显示单元厚度≤40mm，显示单元重量≤4kg；产品设计采用封闭式压铸铝箱，箱体和电源无风扇，密封防尘、静音设计；电源、HUB、接收卡三合一集成，减少线材，故障率低，方便维护；电源线支持快速拔插，拼接后整体美观，高度一体化(提供权威检测机构检测报告)。</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4.</w:t>
            </w:r>
            <w:r>
              <w:rPr>
                <w:rFonts w:hint="eastAsia" w:ascii="仿宋_GB2312" w:hAnsi="仿宋_GB2312" w:eastAsia="仿宋_GB2312" w:cs="仿宋_GB2312"/>
                <w:color w:val="000000" w:themeColor="text1"/>
                <w:kern w:val="0"/>
                <w:sz w:val="20"/>
              </w:rPr>
              <w:t>△</w:t>
            </w:r>
            <w:r>
              <w:rPr>
                <w:rFonts w:hint="eastAsia" w:ascii="仿宋_GB2312" w:hAnsi="仿宋_GB2312" w:eastAsia="仿宋_GB2312" w:cs="仿宋_GB2312"/>
                <w:color w:val="000000" w:themeColor="text1"/>
                <w:sz w:val="20"/>
              </w:rPr>
              <w:t>箱体内部采用双重辅助连接片设计，可正面调节平整度，可实现快速定位安装；支持模组、电源三合一板均前维护方式；支持热插拔、支持不关屏热拔抢修维护功能；模块支持X/Y/Z方向调节，模组和箱体间采用浮动式连接件设计，可精准调节平整度(提供权威检测机构检测报告)。</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5.</w:t>
            </w:r>
            <w:r>
              <w:rPr>
                <w:rFonts w:hint="eastAsia" w:ascii="仿宋_GB2312" w:hAnsi="仿宋_GB2312" w:eastAsia="仿宋_GB2312" w:cs="仿宋_GB2312"/>
                <w:color w:val="000000"/>
                <w:kern w:val="0"/>
                <w:sz w:val="20"/>
              </w:rPr>
              <w:t>△</w:t>
            </w:r>
            <w:r>
              <w:rPr>
                <w:rFonts w:hint="eastAsia" w:ascii="仿宋_GB2312" w:hAnsi="仿宋_GB2312" w:eastAsia="仿宋_GB2312" w:cs="仿宋_GB2312"/>
                <w:color w:val="000000"/>
                <w:sz w:val="20"/>
              </w:rPr>
              <w:t>采用微米级四层集成式封装面板，屏体表面采用高分子材料超黑涂层，全哑光设计，一致性好，拼装无模块化现象，反光率≤1%，屏体表面黑度≥40%，屏体正面反射比≤6.5%；为防止刮蹭伤害屏幕，LED表面具备的硬度等级≥HRC8级(提供权威检测机构检测报告)。</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6.</w:t>
            </w:r>
            <w:r>
              <w:rPr>
                <w:rFonts w:hint="eastAsia" w:ascii="仿宋_GB2312" w:hAnsi="仿宋_GB2312" w:eastAsia="仿宋_GB2312" w:cs="仿宋_GB2312"/>
                <w:color w:val="000000"/>
                <w:kern w:val="0"/>
                <w:sz w:val="20"/>
              </w:rPr>
              <w:t>△</w:t>
            </w:r>
            <w:r>
              <w:rPr>
                <w:rFonts w:hint="eastAsia" w:ascii="仿宋_GB2312" w:hAnsi="仿宋_GB2312" w:eastAsia="仿宋_GB2312" w:cs="仿宋_GB2312"/>
                <w:color w:val="000000"/>
                <w:sz w:val="20"/>
              </w:rPr>
              <w:t>最高对比度≥15000:1；白平衡亮度≥600nit；可视角度：水平≥175°，垂直≥175°；刷新率≥3840Hz；采用PWM高清高阶驱动芯片，倍频刷新率提升2/4/8倍，具有黑屏节能、动态节能、低转折电压节能(提供权威检测机构检测报告)。</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7.亮度均匀性≥99%；色度均匀性：在±0.001 Cx,Cy之内；色准：ΔE≤0.5；色域覆盖率：≥110% NTSC；色域重合度＞95%（BT.709）；像素中心距偏差≤1%，相对错位偏差≤1%，LED像素失控率≤1/1500000；灰度等级：16bit，且100%亮度时，16bit 灰度；70%亮度，16bit 灰度；50%亮度，16bit灰度；20%亮度，15bit 灰度，显示画面无单列或单行像素失控现象。</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8.</w:t>
            </w:r>
            <w:r>
              <w:rPr>
                <w:rFonts w:hint="eastAsia" w:ascii="仿宋_GB2312" w:hAnsi="仿宋_GB2312" w:eastAsia="仿宋_GB2312" w:cs="仿宋_GB2312"/>
                <w:color w:val="000000"/>
                <w:kern w:val="0"/>
                <w:sz w:val="20"/>
              </w:rPr>
              <w:t>△</w:t>
            </w:r>
            <w:r>
              <w:rPr>
                <w:rFonts w:hint="eastAsia" w:ascii="仿宋_GB2312" w:hAnsi="仿宋_GB2312" w:eastAsia="仿宋_GB2312" w:cs="仿宋_GB2312"/>
                <w:color w:val="000000"/>
                <w:sz w:val="20"/>
              </w:rPr>
              <w:t>电源带PFC高功率因数：采用AC100-240V宽电压，功率因数≥0.95，转换效率≥84%；峰值功耗：≤350W/㎡，具有三重节能技术（IC节能、倒装节能、低电压供电节能），600nit全白条件下单箱功耗≤56W/箱(提供权威检测机构检测报告)。</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9.箱体平整度和间隙≤0.1mm；模组平整度和间隙≤0.05mm；</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10.基色主波长误差为C级ΔλD≤5，亮度误差值在3%，灯芯的波长误差值在±1nm之内；白场色坐标符合SJ/T11141-2017 5.10.5规定范围；</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11.PCB采用FR-4材质，厚度＞2.0mm，灯驱合一，焊盘采用沉金工艺处理。</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12.单元模组全部采用高分子电容做滤波设计，模组采用磁吸固定方式，模组无底壳；支持单个模组设置衰减系数，维修更换后模组间无色差；</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13.软件具有调节亮暗线功能：暗线修复、隐亮消除；支持低灰偏色补偿、亮度缓慢变亮；具备坏点、失控点侦测功能；采用消隐电路设计，无“毛毛虫”、“鬼影”现象；支持抑制摩尔纹功能，减轻摩尔纹视觉主观效果90%，支持高清拍摄</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14.自动Gamma校正技术，1024级γ自动校正，画面延迟≤2ms；</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15.防护等级：IP54；</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16.显示屏具有多点测温系统；可实时监控显示屏、接收卡、发送卡、模组、工作电压、温度，具有过温或故障报警功能，发生故障立即发消息到指定邮箱，及时处理。</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17.100%亮度时，环境温度26℃，产品运行2小时候后，灯板表面温度不超过45℃；100%亮度时，环境温度41℃，产品运行2小时候后，灯板表面温度不超过60℃，产品在运行过程中整个屏体表面温度在合格范围内；</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仿宋_GB2312" w:hAnsi="仿宋_GB2312" w:eastAsia="仿宋_GB2312" w:cs="仿宋_GB2312"/>
                <w:color w:val="000000"/>
                <w:kern w:val="0"/>
                <w:sz w:val="20"/>
              </w:rPr>
            </w:pPr>
          </w:p>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独立主控</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1.一路DVI视频输入；</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2.一路音频输入；</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3.四个网口输出或四路光纤输出；</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4.RS232接口控制，可级联多台进行统一控制；</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5.最大带载分辨率2048×1152或1920×1200;</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kern w:val="0"/>
                <w:sz w:val="20"/>
              </w:rPr>
              <w:t>6.△为保证系统兼容性，与LED显示屏同一品牌，提供CCC证书加盖投标人公章。</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拼接处理器</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kern w:val="0"/>
                <w:sz w:val="20"/>
              </w:rPr>
              <w:t>1.△主动立体信号</w:t>
            </w:r>
            <w:r>
              <w:rPr>
                <w:rFonts w:hint="eastAsia" w:ascii="仿宋_GB2312" w:hAnsi="仿宋_GB2312" w:eastAsia="仿宋_GB2312" w:cs="仿宋_GB2312"/>
                <w:kern w:val="0"/>
                <w:sz w:val="20"/>
              </w:rPr>
              <w:t>：</w:t>
            </w:r>
            <w:r>
              <w:rPr>
                <w:rFonts w:hint="eastAsia" w:ascii="仿宋_GB2312" w:hAnsi="仿宋_GB2312" w:eastAsia="仿宋_GB2312" w:cs="仿宋_GB2312"/>
                <w:color w:val="000000" w:themeColor="text1"/>
                <w:kern w:val="0"/>
                <w:sz w:val="20"/>
              </w:rPr>
              <w:t>支持左右眼3D拼接模式，120HZ输入输出3D拼接模式，支持裸眼3D，内部锁定帧同步，3D分割融合完全无缝。通过软件实现2D模式与3D模式一键切换场景；(提供权威检测机构检测报告)</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color w:val="000000" w:themeColor="text1"/>
                <w:kern w:val="0"/>
                <w:sz w:val="20"/>
              </w:rPr>
              <w:t>2.立体声道Dante音频：采用专业级AES67&amp;Dante音频技术，单网口就可实现32路共64通道音量的实时监测，当HDMI和SDI输入内嵌音频时，音频的音量、频率和幅度将同步</w:t>
            </w:r>
            <w:r>
              <w:rPr>
                <w:rFonts w:hint="eastAsia" w:ascii="仿宋_GB2312" w:hAnsi="仿宋_GB2312" w:eastAsia="仿宋_GB2312" w:cs="仿宋_GB2312"/>
                <w:kern w:val="0"/>
                <w:sz w:val="20"/>
              </w:rPr>
              <w:t>呈现至音柱上；</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3.同步锁定Genlock：同步锁定Genlock，通过遍布内部显示系统的全局时钟，保证不论是输入，还是信号矩阵和传输，乃至输出的各个信号始终保持每一帧的一致性和同步处理，实现所有显示系统跟随同步信号的完全同步，Genlock可选Y/Z/HS/VS同步锁定；</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kern w:val="0"/>
                <w:sz w:val="20"/>
              </w:rPr>
              <w:t>4.高传输速率</w:t>
            </w:r>
            <w:r>
              <w:rPr>
                <w:rFonts w:hint="eastAsia" w:ascii="仿宋_GB2312" w:hAnsi="仿宋_GB2312" w:eastAsia="仿宋_GB2312" w:cs="仿宋_GB2312"/>
                <w:color w:val="000000" w:themeColor="text1"/>
                <w:kern w:val="0"/>
                <w:sz w:val="20"/>
              </w:rPr>
              <w:t>：单通道最大传输速率为6.5Gbps的FPGA进行输入与输出板卡间信号无损传输，输入输出接口支持12bit，RGB 4:4:4传输；</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5.设备性能测试依据：设备整机性能测试符合GY/T 253-2011 《数字切换矩阵技术要求和测量方法》；</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备份安全：整体解决方案配套独立主备切换设备，构成视频信号备份以及传输系统，无需运维人员干预，备用链路自动接管，系统链路瞬时切换。独立主备切换设备采用信号快速自动识别技术、高速物理切换技术，实现断电直通的功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7.隔行信号输出：设备支持I制的输入去隔行运动补偿处理，以及所有输出接口支持I制的隔行信号输出；</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color w:val="000000" w:themeColor="text1"/>
                <w:kern w:val="0"/>
                <w:sz w:val="20"/>
              </w:rPr>
              <w:t>8.超高清输入输出：支持HDMI 2.0及Displayport 1.2 4K@60Hz超高清输入输出，单接口实现对4</w:t>
            </w:r>
            <w:r>
              <w:rPr>
                <w:rFonts w:hint="eastAsia" w:ascii="仿宋_GB2312" w:hAnsi="仿宋_GB2312" w:eastAsia="仿宋_GB2312" w:cs="仿宋_GB2312"/>
                <w:kern w:val="0"/>
                <w:sz w:val="20"/>
              </w:rPr>
              <w:t>096x2160@60Hz或7680x1080@60Hz信号的支持，且支持HDCP 2.2标准，HDMI 2.0和Displayport 1.2输入输出接口均支持输入分辨率自定义点对点输入能力，单板卡支持50Gbps带宽可支持2路4096x2160@60Hz同时输入或输出使用，实现一卡2路处理。</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9.设备跨口：设备跨口不消耗额外图层，单口最大可支持8或16画面任意漫游显示；</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10.△双字幕功能：单口可实现两组不同的滚动字幕，可以实现对联字幕效果，更符合客户的字幕灵活应用；(提供权威检测机构检测报告)</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11.△双网段隔离技术：为实现远端能够监看到现场的画面，并保障输入信号不论隔行还是逐行信号，画面清晰、顺畅不撕裂，采用FPGA的多画面预监技术，利用H.265编码实现软件远端可视化控制功能。此外，针对本地控制网段会有安全限制的问题，采用双网口设计，双网口隔离技术可以实现远端网络与本地网络的隔离，采用两组不同的网段对设备进行控制，以确保本地网络安全，两个网口可支持互相备份，实现双通讯备份；(提供权威检测机构检测报告)</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12.设备响应时间：设备内部采用FPGA架构，设备画面切换时间≤20MS，设备从上电至完全启动10S以内；</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13.△独创输出槽位双兼容设计：设备采用独创输出槽位双兼容设计，所有输入卡可混插到输入和输出槽位，增加用户选择灵活度；(提供权威检测机构检测报告)</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14.本次项目要求不少于4路HDMI 1.3输入,12路HDMI1.3输出；</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15.所投产品须通过CCC强制认证，提供CCC证书。</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安装钢结构及包边</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同（二）普朱管委会序号3参数一致</w:t>
            </w:r>
          </w:p>
        </w:tc>
      </w:tr>
      <w:tr>
        <w:tblPrEx>
          <w:tblCellMar>
            <w:top w:w="0" w:type="dxa"/>
            <w:left w:w="108" w:type="dxa"/>
            <w:bottom w:w="0" w:type="dxa"/>
            <w:right w:w="108" w:type="dxa"/>
          </w:tblCellMar>
        </w:tblPrEx>
        <w:trPr>
          <w:trHeight w:val="309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配电箱</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1.功率≥20kw；</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2.具备防雷、过压、过流、欠压、短路、断路以及漏电保护措施；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3.具有漏电保护开关、空气开关、熔断器、延时启动接触器、电源防雷器等；</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4.配电柜门上具有配备各支路手动开关和状态指示灯等；</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5.配电系统具有电源监视，温度，烟雾监控报警功能；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6.支持网络及串口控制，可通过PLC实现远程开关控制。</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7.采用分步顺序启动；</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8.支持定时控制功能；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w:t>
            </w:r>
            <w:r>
              <w:rPr>
                <w:rFonts w:hint="eastAsia" w:ascii="仿宋_GB2312" w:hAnsi="仿宋_GB2312" w:eastAsia="仿宋_GB2312" w:cs="仿宋_GB2312"/>
                <w:kern w:val="0"/>
                <w:sz w:val="20"/>
              </w:rPr>
              <w:t>△</w:t>
            </w:r>
            <w:r>
              <w:rPr>
                <w:rFonts w:hint="eastAsia" w:ascii="仿宋_GB2312" w:hAnsi="仿宋_GB2312" w:eastAsia="仿宋_GB2312" w:cs="仿宋_GB2312"/>
                <w:color w:val="000000" w:themeColor="text1"/>
                <w:kern w:val="0"/>
                <w:sz w:val="20"/>
              </w:rPr>
              <w:t>提供智能配电箱控制软件证书</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10.提供PLC控制软件证书</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kern w:val="0"/>
                <w:sz w:val="20"/>
              </w:rPr>
              <w:t>11.为保证产品稳定性，需与LED显示屏为同一品牌，提供CQC认证证书。</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6</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机柜</w:t>
            </w:r>
          </w:p>
        </w:tc>
        <w:tc>
          <w:tcPr>
            <w:tcW w:w="61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1.材质：冷轧钢板</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2.规格：600*600*2000MM</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3.颜色：黑色</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4.其他：符合国标</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7</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主音箱</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1．阻抗≤8Ω</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2．频响等同或优于45Hz-20KHz</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3．额定功率≥400W</w:t>
            </w:r>
          </w:p>
          <w:p>
            <w:pPr>
              <w:pStyle w:val="1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4. 峰值功率：</w:t>
            </w:r>
            <w:r>
              <w:rPr>
                <w:rFonts w:hint="eastAsia" w:ascii="仿宋_GB2312" w:hAnsi="仿宋_GB2312" w:eastAsia="仿宋_GB2312" w:cs="仿宋_GB2312"/>
                <w:color w:val="000000" w:themeColor="text1"/>
                <w:kern w:val="0"/>
                <w:sz w:val="20"/>
              </w:rPr>
              <w:t>≥</w:t>
            </w:r>
            <w:r>
              <w:rPr>
                <w:rFonts w:hint="eastAsia" w:ascii="仿宋_GB2312" w:hAnsi="仿宋_GB2312" w:eastAsia="仿宋_GB2312" w:cs="仿宋_GB2312"/>
                <w:color w:val="000000" w:themeColor="text1"/>
              </w:rPr>
              <w:t>1600W；</w:t>
            </w:r>
          </w:p>
          <w:p>
            <w:pPr>
              <w:pStyle w:val="1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5. 最大声压级（额定/峰值）：125dB/131dB；</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6．灵敏度≥99dB/W/M</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7．水平覆盖角≥90°，垂直覆盖角≥80°</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8．高音≥1.7"压缩高音单元×1；低音：12"低音×1</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9、含音箱支架</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8</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主音箱功放</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1.1U机箱设计，采用D类数字功放设计。</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2.标准XLR输入接口，和LINK输出口。</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3.电源采用开关电源技术。</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4.内置智能削峰限幅器，支持开机软启动。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5.具有：过压保护，欠压保护，过流保护，直流保护，输出短路保护，温控风扇等功能。</w:t>
            </w:r>
          </w:p>
          <w:p>
            <w:pPr>
              <w:widowControl/>
              <w:jc w:val="left"/>
              <w:textAlignment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kern w:val="0"/>
                <w:sz w:val="20"/>
              </w:rPr>
              <w:t>6.输出功率：立体声@8Ω：≥700W×2；立体声@4Ω：≥1000W×2；桥接@16Ω：≥1400W；桥接@8Ω：≥2000W</w:t>
            </w:r>
          </w:p>
          <w:p>
            <w:pPr>
              <w:pStyle w:val="1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7.输入灵敏度：2.2dBu(1V)/8.2dBu(2V)；</w:t>
            </w:r>
          </w:p>
          <w:p>
            <w:pPr>
              <w:pStyle w:val="1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8.输入阻抗：10KΩ ；</w:t>
            </w:r>
          </w:p>
          <w:p>
            <w:pPr>
              <w:pStyle w:val="1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9.频率响应(@1W功率下)：20Hz-20KHz/±1dB @8Ω；</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9</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音频处理器</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themeColor="text1"/>
                <w:kern w:val="0"/>
                <w:sz w:val="20"/>
              </w:rPr>
            </w:pPr>
            <w:r>
              <w:rPr>
                <w:rFonts w:hint="eastAsia" w:ascii="仿宋_GB2312" w:hAnsi="仿宋_GB2312" w:eastAsia="仿宋_GB2312" w:cs="仿宋_GB2312"/>
                <w:b/>
                <w:bCs/>
                <w:color w:val="000000" w:themeColor="text1"/>
                <w:kern w:val="0"/>
                <w:sz w:val="20"/>
              </w:rPr>
              <w:t>一、硬件参数：</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1.数字音频处理器支持≥8路平衡式话筒/线路输入通道，采用裸线接口端子，平衡接法；支持≥8路平衡式线路输出，采用裸线接口端子，平衡接法。</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2.△输入通道支持前级放大、信号发生器、扩展器、压缩器、≥12段参量均衡、</w:t>
            </w:r>
            <w:r>
              <w:rPr>
                <w:rFonts w:hint="eastAsia" w:ascii="仿宋_GB2312" w:hAnsi="仿宋_GB2312" w:eastAsia="仿宋_GB2312" w:cs="仿宋_GB2312"/>
                <w:color w:val="000000" w:themeColor="text1"/>
              </w:rPr>
              <w:t>输入模块、输入均衡器等等</w:t>
            </w:r>
            <w:r>
              <w:rPr>
                <w:rStyle w:val="76"/>
                <w:rFonts w:hint="default" w:ascii="仿宋_GB2312" w:hAnsi="仿宋_GB2312" w:eastAsia="仿宋_GB2312" w:cs="仿宋_GB2312"/>
                <w:color w:val="000000" w:themeColor="text1"/>
              </w:rPr>
              <w:t>，≥31段图示均衡、闪避器、AGC自动增益、AM自动混音功能（门限式、增益共享式）、AFC自适应反馈消除、AEC回声消除、ANC噪声消除、音频矩阵。（提供设备界面截图佐证）</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3.输出通道支持≥12段参量均衡，≥31段图示均衡、延时器、分频器、高低通滤波器、限幅器、</w:t>
            </w:r>
            <w:r>
              <w:rPr>
                <w:rFonts w:hint="eastAsia" w:ascii="仿宋_GB2312" w:hAnsi="仿宋_GB2312" w:eastAsia="仿宋_GB2312" w:cs="仿宋_GB2312"/>
                <w:color w:val="000000" w:themeColor="text1"/>
              </w:rPr>
              <w:t>输出均衡器、输出模块</w:t>
            </w:r>
            <w:r>
              <w:rPr>
                <w:rStyle w:val="76"/>
                <w:rFonts w:hint="default" w:ascii="仿宋_GB2312" w:hAnsi="仿宋_GB2312" w:eastAsia="仿宋_GB2312" w:cs="仿宋_GB2312"/>
                <w:color w:val="000000" w:themeColor="text1"/>
              </w:rPr>
              <w:t>。</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4.高性能专业DSP处理器，48kHz采样频率，64-bit DSP处理器；32-bit A/D及D/A转换，支持输入通道48V幻象供电。</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5.具有≥2英寸IPS真彩显示屏，支持显示设备网络信息、实时电平、通道静音状态。</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6.△支持通过APP软件进行操作控制，面板具备USB接口，支持多媒体存储，可进行播放或存储录播。（提供功能界面截图及接口截图佐证）</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7.配置双向RS-232接口，可用于控制外部设备；配置RS-485接口，可实现自动摄像跟踪功能。配置≥8通道可编程GPIO控制接口（可自定义输入输出）。</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8.支持断电自动保护记忆功能。支持通道拷贝、粘贴、联控功能。</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9.≥8个场景预设，支持场景信息导入、场景信息导出。</w:t>
            </w:r>
          </w:p>
          <w:p>
            <w:pPr>
              <w:widowControl/>
              <w:jc w:val="left"/>
              <w:textAlignment w:val="center"/>
              <w:rPr>
                <w:rStyle w:val="77"/>
                <w:rFonts w:hint="default" w:ascii="仿宋_GB2312" w:hAnsi="仿宋_GB2312" w:eastAsia="仿宋_GB2312" w:cs="仿宋_GB2312"/>
                <w:color w:val="000000" w:themeColor="text1"/>
              </w:rPr>
            </w:pPr>
            <w:r>
              <w:rPr>
                <w:rStyle w:val="77"/>
                <w:rFonts w:hint="default" w:ascii="仿宋_GB2312" w:hAnsi="仿宋_GB2312" w:eastAsia="仿宋_GB2312" w:cs="仿宋_GB2312"/>
                <w:color w:val="000000" w:themeColor="text1"/>
              </w:rPr>
              <w:t>二、软件参数：</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1.支持通过设备管理切换八进八出、四进四出通道设备，其中每路输入都带有≥48V幻象供电，具备单独配置开关。</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2.支持预设八种场景音效，根据不同场景设置数值，通过切换场景实现针对不同环境的最佳音频处理效果。</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3.支持调节输入通道前级放大、信号发生器、扩展器、压缩器、≥12段参量均衡，≥31段图示均衡、自动增益（AGC）、AM自动混音功能（门限式、增益共享式）、AFC自适应反馈消除、AEC回声消除、ANC噪声消除、音频矩阵。（提供设备界面截图佐证）</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4.支持调节输出通道≥12段参量均衡、≥31段图示均衡、延时器、分频器、高低通滤波器、限幅器。</w:t>
            </w:r>
          </w:p>
          <w:p>
            <w:pPr>
              <w:widowControl/>
              <w:jc w:val="left"/>
              <w:textAlignment w:val="center"/>
              <w:rPr>
                <w:rFonts w:ascii="仿宋_GB2312" w:hAnsi="仿宋_GB2312" w:eastAsia="仿宋_GB2312" w:cs="仿宋_GB2312"/>
                <w:b/>
                <w:bCs/>
                <w:color w:val="000000" w:themeColor="text1"/>
                <w:sz w:val="20"/>
              </w:rPr>
            </w:pPr>
            <w:r>
              <w:rPr>
                <w:rStyle w:val="76"/>
                <w:rFonts w:hint="default" w:ascii="仿宋_GB2312" w:hAnsi="仿宋_GB2312" w:eastAsia="仿宋_GB2312" w:cs="仿宋_GB2312"/>
                <w:color w:val="000000" w:themeColor="text1"/>
              </w:rPr>
              <w:t>5.支持调节摄像机跟踪功能，设置每路通道的预设点，通过监测输入通道的音量自动追踪目标，实现自动化控制和跟踪，提供更加智能和便捷的视频处理和监控功能。</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10</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调音台</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1.支持≥8路麦克风输入兼容6路线路输入接口，支持≥2路立体声输入接口，≥4路RCA输入，话筒接口幻象电源：+48V。</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2.△具有≥2组立体主输出、≥4路编组输出、≥4路辅助输出、≥1组立体声监听输出、≥1个耳机监听输出、≥2个效果输出、≥1组主混音断点插入、≥6个断点插入。（提供接口图佐证）</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3.内置≥24位DSP效果器，提供≥100种预设效果。</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4.具备≥13个60mm行程的高精密碳膜推子。</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5.△内置USB声卡模块，支持连接电脑进行音乐播放和声音录音；内置MP3播放器，支持≥1个USB接口接U盘播放音乐。（提供接口图佐证）</w:t>
            </w:r>
          </w:p>
          <w:p>
            <w:pPr>
              <w:widowControl/>
              <w:jc w:val="left"/>
              <w:textAlignment w:val="center"/>
              <w:rPr>
                <w:rFonts w:ascii="仿宋_GB2312" w:hAnsi="仿宋_GB2312" w:eastAsia="仿宋_GB2312" w:cs="仿宋_GB2312"/>
                <w:color w:val="000000" w:themeColor="text1"/>
              </w:rPr>
            </w:pPr>
            <w:r>
              <w:rPr>
                <w:rFonts w:hint="eastAsia" w:ascii="仿宋_GB2312" w:hAnsi="仿宋_GB2312" w:eastAsia="仿宋_GB2312" w:cs="仿宋_GB2312"/>
                <w:bCs/>
                <w:color w:val="000000" w:themeColor="text1"/>
                <w:kern w:val="0"/>
                <w:sz w:val="20"/>
              </w:rPr>
              <w:t>6.无线连接：内置蓝牙无线收发器，可连接手机进行播放音乐。</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11</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一拖二手持话筒</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7"/>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具有≥1台接收主机、≥双手持发射机；频率范围等同或优于540MHz-590MHz、640MHz-690MHz。</w:t>
            </w:r>
          </w:p>
          <w:p>
            <w:pPr>
              <w:widowControl/>
              <w:numPr>
                <w:ilvl w:val="0"/>
                <w:numId w:val="7"/>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调制方式：pi/4-DQPSK</w:t>
            </w:r>
          </w:p>
          <w:p>
            <w:pPr>
              <w:widowControl/>
              <w:numPr>
                <w:ilvl w:val="0"/>
                <w:numId w:val="7"/>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频率响应：20Hz~20kHz （±3dB）</w:t>
            </w:r>
          </w:p>
          <w:p>
            <w:pPr>
              <w:widowControl/>
              <w:numPr>
                <w:ilvl w:val="0"/>
                <w:numId w:val="7"/>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信噪比：≥105dB（XLR）</w:t>
            </w:r>
          </w:p>
          <w:p>
            <w:pPr>
              <w:widowControl/>
              <w:numPr>
                <w:ilvl w:val="0"/>
                <w:numId w:val="7"/>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THD+N：＜0.1%</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6.接收机具有≥2路平衡输出、≥1路非平衡混音输出。</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7.具有自动频率扫描功能，可快速地给麦克风找到清晰的频率。</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8.支持混响调节功能，比例调节、延时调节、电平调节≥25个档位。</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w:t>
            </w:r>
            <w:r>
              <w:rPr>
                <w:rFonts w:hint="eastAsia" w:ascii="仿宋_GB2312" w:hAnsi="仿宋_GB2312" w:eastAsia="仿宋_GB2312" w:cs="仿宋_GB2312"/>
                <w:kern w:val="0"/>
                <w:sz w:val="20"/>
              </w:rPr>
              <w:t>△</w:t>
            </w:r>
            <w:r>
              <w:rPr>
                <w:rFonts w:hint="eastAsia" w:ascii="仿宋_GB2312" w:hAnsi="仿宋_GB2312" w:eastAsia="仿宋_GB2312" w:cs="仿宋_GB2312"/>
                <w:color w:val="000000" w:themeColor="text1"/>
                <w:kern w:val="0"/>
                <w:sz w:val="20"/>
              </w:rPr>
              <w:t>支持麦克风均衡器调节功能，≥高、中、低音三种调节档位。（提供软件界面截图证明）</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10.接收机具有显示屏，用户可通过显示屏查看设备发射功率强度、音频加密状态、电池电量、频率数值、智能静音状态、静音标志。</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11.△具有自动静音功能，麦克风跌落、抛掷时，毫秒级响应自动静音，避免冲击声；产品静置5秒自动静音。（提供第三方权威机构检测报告）</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12.麦克风具有长时间静置自动关机功能，设备自动检测工作状态（使用状态、静置状态），静置时间≥8分钟后，设备自动关机。</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一拖四会议话筒</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1.采用真分集接收方式，采用先进PLL频率合成锁相环技术，具有V/A显示屏显示信道号与工作频率；带射频电平显示，音频电平显示，频道菜单显示，静音显示。</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2.≥2X2个真分集模组组成一体，每个通道由金屏蔽壳体屏蔽LO本振辐射，≥4个通道分享≥4条天线接收。</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3.支持≥4路电子音量独立调节，支持≥4路平衡输出、≥1路非平衡输出。</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4.频率共≥四段可选，范围等同或优于470-510MHz，540-590MHz，640-690MHz，803-830MHz，共≥700个频率；频道间隔：≥250KHz，采用宽带FM调制方式，频率稳定度在±0.005%以内</w:t>
            </w:r>
          </w:p>
          <w:p>
            <w:pPr>
              <w:widowControl/>
              <w:jc w:val="left"/>
              <w:textAlignment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kern w:val="0"/>
                <w:sz w:val="20"/>
              </w:rPr>
              <w:t>5.动态范围：100dB</w:t>
            </w:r>
          </w:p>
          <w:p>
            <w:pPr>
              <w:widowControl/>
              <w:jc w:val="left"/>
              <w:textAlignment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kern w:val="0"/>
                <w:sz w:val="20"/>
              </w:rPr>
              <w:t>6.最大频偏：±45KHz</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7.频率响应等同或优于80Hz-18KHz，综合信噪比＞105dB、综合失真≤0.5%。</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8.配套有≥1台接收主机，采用二次变频超外差接收机方式，≥4个桌面式话筒，灵敏度调节范围：≥12-32dB μV。</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13</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天线分配器</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8"/>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提供≥2进≥8出的天线信号分配器设备。</w:t>
            </w:r>
          </w:p>
          <w:p>
            <w:pPr>
              <w:widowControl/>
              <w:numPr>
                <w:ilvl w:val="0"/>
                <w:numId w:val="8"/>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简化天线装配工程，提升接收距离及效能。</w:t>
            </w:r>
          </w:p>
          <w:p>
            <w:pPr>
              <w:widowControl/>
              <w:numPr>
                <w:ilvl w:val="0"/>
                <w:numId w:val="8"/>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两路天线信号接收到分配器的天线输入端。</w:t>
            </w:r>
          </w:p>
          <w:p>
            <w:pPr>
              <w:widowControl/>
              <w:numPr>
                <w:ilvl w:val="0"/>
                <w:numId w:val="8"/>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两路信号输出到下一台分配器的天线输入端进行级联。</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14</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话筒天线</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1.射频频率范围等同或优于450-950MHz</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2.供电方式：BNC，8-12V DC；</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3.电流：0.04A；</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4.驻波比：≤2.0</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5.输入阻抗：≤50Ω</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5.放大器底噪：＜3.6dB</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6.增益：≥18db(典型)</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7.极化方式：垂直</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8.前后比：≥25dB</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9.指向性：≥180度指向</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抑制器</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1.高性能DSP处理，≥40-bit DPS处理器（400兆主频），提供≥32-bit/48kHz的声音。</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2.△采用“陷波”+“移频”双方式进行反馈抑制。陷波器提供12固定点+12动态点。高精度移频，范围等同或优于-10Hz到10Hz。（提供功能界面截图佐证）</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3.△均衡器支持≥31段图示均衡器和8段参量均衡器。（提供功能界面截图佐证）</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4.具有自动增益功能，声音达到一定峰值自动衰减变小，声音较小则自动增益放大。</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5.具有一个IPS真彩显示屏。支持中英文切换显示。</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6.具有≥48个陷波器状态LED指示灯实时显示，每通道≥12个静态+≥12个动态陷波器。</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7.具有≥双通道直通，一键重置陷波点配置功能。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8.支持≥4个场景切换。</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9.支持设备定位功能、断电自动保护记忆功能。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10.输入通道及插座≥2路XLR与TRS多功能座模拟输入；输出通道及插座≥2路XLR公座+≥2路TRS公座模拟输出。</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11.输入阻抗：平衡：20KΩ</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12.输出阻抗：平衡：100Ω</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13.输入范围：≤+20dBu</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14.频率响应：20Hz-20kHz（±0.5dB）</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15.支持通过后台管理软件对多台设备进行批量升级。</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16</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电源管理器</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1.支持≥8通道电源时序打开/关闭，支持远程控制（上电+24V直流信号）≥8通道电源时序打开/关闭—当电源开关锁处于off位置时有效。支持配置CH1和CH2通道为受控或不受控状态。</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kern w:val="0"/>
                <w:sz w:val="20"/>
              </w:rPr>
              <w:t>2.当远程控制有效时同时控制后板ALARM（报警）端口导通以起到级联控制ALAR</w:t>
            </w:r>
            <w:r>
              <w:rPr>
                <w:rFonts w:hint="eastAsia" w:ascii="仿宋_GB2312" w:hAnsi="仿宋_GB2312" w:eastAsia="仿宋_GB2312" w:cs="仿宋_GB2312"/>
                <w:color w:val="000000" w:themeColor="text1"/>
                <w:kern w:val="0"/>
                <w:sz w:val="20"/>
              </w:rPr>
              <w:t>M（报警）功能。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3.单个通道最大负载功率≥3500W，所有通道负载总功率达≥6000W，输入连接器：大功率线码式电源连接器。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4.输出连接器：≥2个16A，≥2个16A接线端子和≥4个10A电源插座。</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5.额定输出电压：AC~220V 50Hz；</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6.额定输出电流：30A；</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7.每路动作延时时间：1秒；</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8.供电电源：VAC，220V 50/60Hz，30A；</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5.具有≥1路USB接口。</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17</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多媒体插座</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多媒体桌插或地插，根据需求可定制各类接口</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18</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机柜</w:t>
            </w:r>
          </w:p>
        </w:tc>
        <w:tc>
          <w:tcPr>
            <w:tcW w:w="61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1.材质：冷轧钢板</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2.规格：600*600*2000MM</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3.颜色：黑色</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4.其他：符合国标</w:t>
            </w:r>
          </w:p>
        </w:tc>
      </w:tr>
      <w:tr>
        <w:tblPrEx>
          <w:tblCellMar>
            <w:top w:w="0" w:type="dxa"/>
            <w:left w:w="108" w:type="dxa"/>
            <w:bottom w:w="0" w:type="dxa"/>
            <w:right w:w="108" w:type="dxa"/>
          </w:tblCellMar>
        </w:tblPrEx>
        <w:trPr>
          <w:trHeight w:val="9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19</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配套辅材</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大屏专用线材、电力电缆、电源线、网线、管材、空开、扩声系统配套管线及现场拆除装饰结构零星修补等。</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20</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高清混合矩阵</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▲插卡式模块化设计，设备36路输入、36路输出和接口类型可根据实际需要灵活配置；本次配置32进24出。</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1.设备为集成集中控制、视频信号切换、画面分割、IP编解码为一体的信号处理设备</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2.采用数字总线路由架构；</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3.模块化设计，设备采用一卡四路设计，支持CVBS/VGA/YPBPR/DVI/HDMI/HDSDI/3GSDI/HDBaseT/Fiber信号的混合输入和混合输出；</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4.支持EDID、HDCP是自动适应调节和解析，支持无缝快速切换功能，切换过程无黑屏，蓝屏，碎屏；</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6.△采用业界独创的两键式快速切换，先按输入端口再按输出端口即可，专业带蓝灯按键设计，具备实时切换亮灯反馈，可设置不少于40个场景预案调用；(提供权威检测机构检测报告)</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7.△具备LCD显示屏，显示当前的操作状态，具备VIEW（查看当）、SWITCH（切换）、SCENE（场景）、SETUP（设置）四大功能设置(提供权威检测机构检测报告)</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8.支持各种视频信号的立体声音频的解析，分配，切换；</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9.△支持最大4K60数字高清视频信号的传输切换,且支持4k以下非标分辨率处理；(提供权威检测机构检测报告)</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10.具备双网络，双控制备份功能，实现大规模集成化网络管理功能；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11.支持HDBaseT高清视频信号的网络转换和传输功能，传输距离为70/100米</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12.输出传输带宽速率高达10 Gbps；</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13.△内置强大WEB服务器，实时信号切换界面为直观一一对应界面，关闭所有、场景等操作，且支持信号源命名，具备集中控制管理界面，实现多台矩阵的控制(提供权威检测机构检测报告)</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color w:val="000000" w:themeColor="text1"/>
                <w:kern w:val="0"/>
                <w:sz w:val="20"/>
              </w:rPr>
              <w:t>网络型可编程中央控制主机</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1.主频≥2.0 GHz的64位内嵌式处理器，ARM Cortex-A55四核CPU，内存≥2GB，Flash闪存≥16G。</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2.独立可编程串口≥11路，继电器接口≥8路，I/O 接口≥8路，红外接口≥8路。网络接口≥7路。</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3.中控主机支持对外输出DC24V、DC12V、DC5V电源独立接口。</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前面板支持≥11路串口指示灯、≥8路红外指示灯、≥6路网络指示灯、≥8路IO指示灯、≥8路继电器指示灯，在控制过程中指示灯闪烁，方便编程和排除故障过程中判断中控主机是否有发送代码，发送代码是否成功执行等作用。(提供权威检测机构检测报告)</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5.具有3个扩展插槽，支持扩展com串口，IR红外接口，RELAY弱继电器，I/O控制接口等扩展卡。</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6.支持电源冗余备份，支持中控双机热备份功能，一台中控主机发生故障系统自动切换至备份中控主机接替工作。</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7.设备核心主处理芯片采用国产芯片，整机产品为100%全国产可控。</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8.支持前面板含 5.5寸 LCD 液晶屏，显示主机IP 地址、端口、自检状态、电源、中控控制等信息。支持自定义中控模式调用功能，与现场控制环境进行功能定制开发。5.5 寸屏可以查看自检结果，主机支持手动自检或上电自检；面板支持中控预案控制，预案可编程自定义。</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电源控制器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1.前面板具备电源状态指示灯，8路通道开关状态指示灯和8路开关控制按键；</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2.8路独立节点控制接口，每路都有常开，常闭两种接口支持做双联开关</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3.支持NET和RS-232接口和主机通讯；</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23</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控制平板</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9"/>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屏幕尺寸 11英寸 </w:t>
            </w:r>
          </w:p>
          <w:p>
            <w:pPr>
              <w:widowControl/>
              <w:numPr>
                <w:ilvl w:val="0"/>
                <w:numId w:val="9"/>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屏幕类型 OLED </w:t>
            </w:r>
          </w:p>
          <w:p>
            <w:pPr>
              <w:widowControl/>
              <w:numPr>
                <w:ilvl w:val="0"/>
                <w:numId w:val="9"/>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分辨率 2560 x1600 </w:t>
            </w:r>
          </w:p>
          <w:p>
            <w:pPr>
              <w:widowControl/>
              <w:numPr>
                <w:ilvl w:val="0"/>
                <w:numId w:val="9"/>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屏幕比例 16:10 </w:t>
            </w:r>
          </w:p>
          <w:p>
            <w:pPr>
              <w:widowControl/>
              <w:numPr>
                <w:ilvl w:val="0"/>
                <w:numId w:val="9"/>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存储 12GB+256GB</w:t>
            </w:r>
          </w:p>
          <w:p>
            <w:pPr>
              <w:widowControl/>
              <w:numPr>
                <w:ilvl w:val="0"/>
                <w:numId w:val="9"/>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Wi-Fi工作频段2.4GHz&amp;5GHz</w:t>
            </w:r>
          </w:p>
          <w:p>
            <w:pPr>
              <w:widowControl/>
              <w:numPr>
                <w:ilvl w:val="0"/>
                <w:numId w:val="9"/>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GPS 支持 </w:t>
            </w:r>
          </w:p>
          <w:p>
            <w:pPr>
              <w:widowControl/>
              <w:numPr>
                <w:ilvl w:val="0"/>
                <w:numId w:val="9"/>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蓝牙 Bluetooth 5.2，支持BLE，支持SBC、AAC、L </w:t>
            </w:r>
          </w:p>
          <w:p>
            <w:pPr>
              <w:widowControl/>
              <w:numPr>
                <w:ilvl w:val="0"/>
                <w:numId w:val="9"/>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前置摄像头 1600万像系;后置摄像头 1300万像系高清摄像头+800万像素广角摄像头</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10.闪光灯 支持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11.照片分辨率 后置主摄像头:4160x3120像素;后置广角摄 </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像头:3264x2448;前置摄像头:4608x3456像素</w:t>
            </w:r>
          </w:p>
        </w:tc>
      </w:tr>
      <w:tr>
        <w:tblPrEx>
          <w:tblCellMar>
            <w:top w:w="0" w:type="dxa"/>
            <w:left w:w="108" w:type="dxa"/>
            <w:bottom w:w="0" w:type="dxa"/>
            <w:right w:w="108" w:type="dxa"/>
          </w:tblCellMar>
        </w:tblPrEx>
        <w:trPr>
          <w:trHeight w:val="631"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24</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中控软件</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采用语言式编程,类C语言的代码规则,根据现场环境、需求等，现场编写。</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25</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ind w:firstLine="200" w:firstLineChars="100"/>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会议摄像机</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1.光学变倍： 12倍光学变焦 ；光圈</w:t>
            </w:r>
            <w:r>
              <w:rPr>
                <w:rStyle w:val="76"/>
                <w:rFonts w:hint="default" w:ascii="仿宋_GB2312" w:hAnsi="仿宋_GB2312" w:eastAsia="仿宋_GB2312" w:cs="仿宋_GB2312"/>
                <w:color w:val="000000" w:themeColor="text1"/>
              </w:rPr>
              <w:tab/>
            </w:r>
            <w:r>
              <w:rPr>
                <w:rStyle w:val="76"/>
                <w:rFonts w:hint="default" w:ascii="仿宋_GB2312" w:hAnsi="仿宋_GB2312" w:eastAsia="仿宋_GB2312" w:cs="仿宋_GB2312"/>
                <w:color w:val="000000" w:themeColor="text1"/>
              </w:rPr>
              <w:t>F1.8～F3.56 ± 5%；</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2.视场角： 水平：7.59˚（窄角）～ 80.4˚（广角）垂直：4.6˚（窄角）～ 50.0˚（广角）</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3.图像传感器：1/2.5英寸SONY 851万像素CMOS图像传感器</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 xml:space="preserve">4.有效像素 ：8.29M </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5.视频格式：3840*2160P60/50/25/59.94/29.97;1080P60/50/ 30/25/59.94/29.97;1080I60/50/59.94; 720P60/50/59.94；</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6.接口: HDMI、SDI、LAN(支持POE)、USB、A-IN、RS232-IN、</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RS232-OUT、RS422（兼容RS 485）、旋转拨码、DC12V电源、电源开关</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7.视频压缩格式： LAN接口支持：H.264、H.265</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USB接口支持：MJPG、H264、H.265、YUY2、NV12</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8.音频输入接口 双声道3.5mm线性输入，音频输出接口 HDMI、LAN、SDI、USB，音频压缩格式 AAC、G.711A</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9.网络接口： 10M/100M/1000M自适应以太网口，支持POE供电，支持音视频输出，网络协议 RTSP、RTMP、ONVIF、GB/T28181；支持网络VISCA控制协议；</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10.控制接口： RS232-IN、RS232-OUT、RS422兼容RS485；</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串口通讯协议 VISCA/Pelco-D/Pelco-P；支持波特率115200/38400/9600/4800/2400；</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11.预设位数量：≧255个；</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 xml:space="preserve">12.AI功能性能参数 </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实时跟踪: 最远跟踪距离可达6～7米，可支持讲者以每秒1.3-1.7米速度行走</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区域跟踪: 支持设置4个跟踪区域 ，支持水平 -110°～+110°，垂直 -27°～+27° 内设置区域；</w:t>
            </w:r>
          </w:p>
          <w:p>
            <w:pPr>
              <w:widowControl/>
              <w:jc w:val="left"/>
              <w:textAlignment w:val="center"/>
              <w:rPr>
                <w:rStyle w:val="76"/>
                <w:rFonts w:hint="default" w:ascii="仿宋_GB2312" w:hAnsi="仿宋_GB2312" w:eastAsia="仿宋_GB2312" w:cs="仿宋_GB2312"/>
                <w:color w:val="000000" w:themeColor="text1"/>
              </w:rPr>
            </w:pPr>
            <w:r>
              <w:rPr>
                <w:rStyle w:val="76"/>
                <w:rFonts w:hint="default" w:ascii="仿宋_GB2312" w:hAnsi="仿宋_GB2312" w:eastAsia="仿宋_GB2312" w:cs="仿宋_GB2312"/>
                <w:color w:val="000000" w:themeColor="text1"/>
              </w:rPr>
              <w:t xml:space="preserve">13.水平转动 -110°～+110°  俯仰转动 -30°～+30° </w:t>
            </w:r>
          </w:p>
        </w:tc>
      </w:tr>
      <w:tr>
        <w:tblPrEx>
          <w:tblCellMar>
            <w:top w:w="0" w:type="dxa"/>
            <w:left w:w="108" w:type="dxa"/>
            <w:bottom w:w="0" w:type="dxa"/>
            <w:right w:w="108" w:type="dxa"/>
          </w:tblCellMar>
        </w:tblPrEx>
        <w:trPr>
          <w:trHeight w:val="480" w:hRule="atLeast"/>
        </w:trPr>
        <w:tc>
          <w:tcPr>
            <w:tcW w:w="8964" w:type="dxa"/>
            <w:gridSpan w:val="3"/>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sz w:val="20"/>
              </w:rPr>
            </w:pPr>
            <w:r>
              <w:rPr>
                <w:rFonts w:hint="eastAsia" w:ascii="仿宋_GB2312" w:hAnsi="仿宋_GB2312" w:eastAsia="仿宋_GB2312" w:cs="仿宋_GB2312"/>
                <w:b/>
                <w:bCs/>
                <w:kern w:val="0"/>
                <w:sz w:val="20"/>
              </w:rPr>
              <w:t>（四）岱山县</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20KVA UPS主机</w:t>
            </w:r>
          </w:p>
        </w:tc>
        <w:tc>
          <w:tcPr>
            <w:tcW w:w="6101"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1.三进单出20KVAUPS主机；20KVA/18KW，采用拓扑设计</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 xml:space="preserve">2.▲输入电压 ：100VAC-288Vac（相电压），输入功率因数 ≥0.99 3.输入频率范围:40Hz~70Hz  </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 xml:space="preserve">4.输出电压：220Vac±1％，230/240Vac±3％，    </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 xml:space="preserve">5.△输出功率因数：≥0.9，需提供公开资料截图证明。                                                                                                                                            </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 xml:space="preserve">6.输出频率45-55Hz    </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 xml:space="preserve">7.整机效率：≥95％                                                                                                                                                                 </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9.过载能力( %额定负载 )：UPS在正常工作方式情况下，过载125%的工作时间，应不少于10分钟，提供公开资料证明。</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10.设备维护：设备应具有液晶面板，显示UPS运行状态和相关数据。便于日常维护，且屏幕尺寸不小于2.8寸。</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蓄电池</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阀控密封式铅酸胶体蓄电池。</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1.△产品容量：单体电池电压容量：10Hr 100Ah ，单体电池额定电压：12V。设计浮充寿命：25℃时，蓄电池浮充寿命≥8年，重量≥28.8Kg（提供产品彩页）。</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color w:val="000000" w:themeColor="text1"/>
                <w:kern w:val="0"/>
                <w:sz w:val="20"/>
              </w:rPr>
              <w:t>2. 产品的一致性：单体电池电压均衡性应满足一组</w:t>
            </w:r>
            <w:r>
              <w:rPr>
                <w:rFonts w:hint="eastAsia" w:ascii="仿宋_GB2312" w:hAnsi="仿宋_GB2312" w:eastAsia="仿宋_GB2312" w:cs="仿宋_GB2312"/>
                <w:kern w:val="0"/>
                <w:sz w:val="20"/>
              </w:rPr>
              <w:t>蓄电池中任意两个电池的开路电压差不超过90mV。如发现与采购结果和投标承诺内容不一致的，中标方对由此造成的一切损失负全责。</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3. 蓄电池容量：电池容量系数：40°C / 104°F ≥ 106%；25°C / 77°F≥ 100%；0°C / 32°F ≥86%；-10°C / 14°F  ≥65%。</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4. 三层密封设计：采用三层密封技术工艺，全密封防泄漏结构，确保整个寿命期间无漏液，三层极柱防漏液工艺。</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5.△极柱防漏液设计：蓄电池需要具有极柱密封防漏液的专利技术，从根本上防止漏液问题。提供厂家具备《具有密封结构的蓄电池极柱》专利的证书并盖投标人公章。</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6.外壳：蓄电池必须全部采用高强度的ABS外壳，符合UL标准，外壳无变形、裂纹及污迹，上盖及端子无损伤，正常工作时无酸雾逸出。</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7 .极板：采用多元复合稀土合金，从而减少气体产生，达到自放电率低抗腐蚀能力强。</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8.自放电率：@ 25℃ (77℉) ≤3%/月。</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9.内阻(完全充电态)：≈5mΩ@ 25℃ (77℉)。</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10.阻燃性与防腐性：蓄电池间接线板、终端接头应选择导电性能优良的材料，并具有防腐措施。蓄电池槽、盖、安全阀，极柱封口剂等材料应具有阻燃性，提供第三方权威认证机构颁发的证书。</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11.△其他：投标产品的制造商须电池原厂家（拒绝OEM贴牌产品）提供相关证明。</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电池柜</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放置32节单体12V100AH蓄电池</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配电箱</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UPS配电箱，额定功率不小于15KW，PZ30箱体，明装20位</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直放站</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同（一）市本级“9”参数一致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6</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吸顶天线</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同（一）市本级“10”参数一致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7</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同（一）市本级“11”参数一致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8</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同（一）市本级“12”参数一致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9</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1/2接头</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同（一）市本级“13”参数一致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10</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1/2馈线</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同（一）市本级“14”参数一致</w:t>
            </w:r>
          </w:p>
        </w:tc>
      </w:tr>
      <w:tr>
        <w:tblPrEx>
          <w:tblCellMar>
            <w:top w:w="0" w:type="dxa"/>
            <w:left w:w="108" w:type="dxa"/>
            <w:bottom w:w="0" w:type="dxa"/>
            <w:right w:w="108" w:type="dxa"/>
          </w:tblCellMar>
        </w:tblPrEx>
        <w:trPr>
          <w:trHeight w:val="480" w:hRule="atLeast"/>
        </w:trPr>
        <w:tc>
          <w:tcPr>
            <w:tcW w:w="8964" w:type="dxa"/>
            <w:gridSpan w:val="3"/>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（五）嵊泗县</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主扩声专业音箱</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同（三）普陀区序号7参数一致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主扩声专业功放</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同（三）普陀区序号8参数一致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辅助专业音箱</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1．阻抗≤8Ω</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2．频响等同或优于45Hz-20KHz</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3．额定功率≥300W</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4．灵敏度≥98dB/W/M</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5．水平覆盖角≥90°，垂直覆盖角≥80°</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6．高音：≥1.7"压缩高音单元×1；低音：10"低音×1</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7、含音箱支架</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辅助专业功放</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1.1U机箱设计，采用D类数字功放设计方案。</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2.标准XLR输入接口，和LINK输出口。</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3.电源采用开关电源技术，效率高，有效的抑制电源谐波。</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4.内置智能削峰限幅器，支持开机软启动，防止开机时向电网吸收大电流，干扰其它用电设备。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5.具有：过压保护，欠压保护，过流保护，直流保护，输出短路保护，温控风扇等功能。</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6.输出功率：立体声@8Ω：≥500W×2；立体声@4Ω：≥850W×2；桥接@8Ω：≥1700W。</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音频处理器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同（三）普陀区序号9参数一致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6</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调音台</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1.具有≥8路数字增益话放通道、≥2路高阻单声通道、≥2组立体声输入通道，话筒输入接口带48V幻象电源。</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2.具有≥1组立体主输出通道、≥4路AUX辅助输出通道、≥1路TRS监听输出通道。</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3.△具有≥8路DCA编组、≥8路静音编组，输入输出、效果器通道均可编入。（需提供得到CMA或CNAS认可的检测机构出具的检测报告作为该技术参数证明材料）</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具有≥2路USB播放通道，支持USB录音、播放功能，支持APE\MP3\FLAC\WAV无损音频格式。内置4G的媒体空间，可导入音乐文件或导出录音文件。（需提供得到CMA或CNAS认可的检测机构出具的检测报告作为该技术参数证明材料）</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5.具有≥1个7英寸高清触摸屏，支持≥1024×600分辨率。</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6.具有≥4个内置效果器，设备自带有经典混响、大房间混响等效果。</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7.内置自适应陷波反馈抑制算法。</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8.具有≥30组场景预设，可导入USB存储，便于备份调用。</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9.具有Link连接功能，可进行相邻通道绑定设置。</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10.具有≥1路网络接口，支持主流操作系统进行远程控制。</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11.具有防误触碰、误操作面板锁。</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7</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一拖二手持话筒</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同（三）普陀区序号11参数一致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8</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一拖四会议话筒</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同（三）普陀区序号12参数一致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9</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智能混音器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1.△输入通道：≥16路平衡式话筒/线路输入，采用裸线接口端子，平衡接法。支持麦克风输入和线路输入切换。每路输入带≥48V幻象电源，可通过PC软件单独配置。（提供设备接口图及功能界面截图佐证）</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2.输出通道：≥4路平衡式线路输出，采用裸线接口端子，平衡接法。</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3.输入灵敏度：MIC IN：120mV；LINE IN:775mV</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4.最大输入电平：15dBu</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5.最大输出电平：18dBu</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6.频响：20Hz—20kHz（±1dB）</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7.△具有丰富的音频处理功能：闪避器、自动增益、均衡器、分频器、扩展器。（提供功能界面截图佐证）</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8.具有自动混音功能，包括增益共享混音以及门限自动混音。</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9.输入具有≥10段图示均衡调节，输出具有≥31段图示均衡调节，参量全频段拖动可调。</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10.高、低通分频器全频段可调，具有贝塞尔、林克威治-瑞利、巴特沃斯三种滤波器可供选择。</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11.具有恢复出厂设置、设备定位、断电自动保护记忆。</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12.设备级联最大可扩展≥256个输入。</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13.极低系统延时，延时≤3ms。</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14.多场景切换：≥4个场景切换；支持通过后台管理软件导入、导出场景数据。</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10</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电源管理器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10"/>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支持≥8通道电源时序打开/关闭，每路动作延时时间：≤1秒，支持远程控制（上电+24V直流信号）8通道电源时序打开/关闭—当电源开关处于off位置时有效。</w:t>
            </w:r>
          </w:p>
          <w:p>
            <w:pPr>
              <w:widowControl/>
              <w:numPr>
                <w:ilvl w:val="0"/>
                <w:numId w:val="10"/>
              </w:numPr>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当远程控制有效时同时控制后板ALARM（报警）端口导通以起到级联控制ALARM（报警）功能。</w:t>
            </w:r>
          </w:p>
          <w:p>
            <w:pPr>
              <w:widowControl/>
              <w:numPr>
                <w:ilvl w:val="0"/>
                <w:numId w:val="10"/>
              </w:numPr>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单个通道最大负载功率≥2200W，所有通道负载总功率≥6000W。输出连接器：多用途电源插座。</w:t>
            </w:r>
          </w:p>
          <w:p>
            <w:pPr>
              <w:widowControl/>
              <w:numPr>
                <w:ilvl w:val="0"/>
                <w:numId w:val="10"/>
              </w:numPr>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具有一路及以上USB输出接口。</w:t>
            </w:r>
          </w:p>
          <w:p>
            <w:pPr>
              <w:widowControl/>
              <w:numPr>
                <w:ilvl w:val="0"/>
                <w:numId w:val="10"/>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额定输出电压：AC~220V50Hz</w:t>
            </w:r>
          </w:p>
          <w:p>
            <w:pPr>
              <w:widowControl/>
              <w:numPr>
                <w:ilvl w:val="0"/>
                <w:numId w:val="10"/>
              </w:numPr>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额定输出电流：30A</w:t>
            </w:r>
          </w:p>
          <w:p>
            <w:pPr>
              <w:widowControl/>
              <w:numPr>
                <w:ilvl w:val="0"/>
                <w:numId w:val="10"/>
              </w:numPr>
              <w:jc w:val="left"/>
              <w:textAlignment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kern w:val="0"/>
                <w:sz w:val="20"/>
              </w:rPr>
              <w:t>单路额定输出电源：10A</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音频隔离器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1.一款双通道音频隔离器。</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2.低底噪、无50Hz交流“嗡”声、无高频“嗞啦”干扰。</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3.点对点平衡传输音频，可以选择前面板2个接口中的任意一个COMBO接口输入，从后面板对应COMBO接口输出。</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4.即插即用，支持热插拨。</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5.隔离滤波音频传输最远传输信号等同或优于450－600米。</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6.内置瞬态、浪涌抑制、抗静电保护电路。</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7.具有≥2路XLR输入；具有≥2路XLR输出</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8.输入输出隔离绝缘耐压：300Vp-p以上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9.多通道隔离静噪器特性：备插损&lt;0.5dB 回损：＞18dB</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10.Max(输入－输出、输入电平：0.5Vp-p(Min)-1Vp-p - 3Vp-p (Max)</w:t>
            </w:r>
          </w:p>
          <w:p>
            <w:pPr>
              <w:widowControl/>
              <w:jc w:val="left"/>
              <w:textAlignment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kern w:val="0"/>
                <w:sz w:val="20"/>
              </w:rPr>
              <w:t>11.频率响应：20Hz—20kHz（±＜0.2db ref 1khz）</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12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天线分配器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同（三）普陀区序号13参数一致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13</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话筒天线</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sz w:val="20"/>
              </w:rPr>
              <w:t>同（三）普陀区序号14参数一致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14</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多媒体插座</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同（三）普陀区序号17参数一致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机柜</w:t>
            </w:r>
          </w:p>
        </w:tc>
        <w:tc>
          <w:tcPr>
            <w:tcW w:w="61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同（三）普陀区序号18参数一致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16</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配套辅材</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音视频扩声系统配套管线</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17</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一键式会议协作系统</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1.可以通过笔记本电脑、平板电脑或智能手机实现实现无线传输及不同用户之间的切换。无需管理员权限安装，自动升级。</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2.在有线和无线分享源之间流畅切换；增强的安全功能。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3.无线会议系统物理按钮包含分享按钮以及快速按钮</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4.支持基于程序窗口分享，或者基于整个屏幕分享</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5.无线会议系统同时输出信号源不少于2路。</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6.网络集成下物理按钮连接主机自身的SSID、移动设备连接至外部网络的SSID可实现画面分享，此时电脑和移动设备在分享的同时都可上网。</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7.主机连接触摸屏支持触摸反向控制，且无须安装驱动。</w:t>
            </w:r>
          </w:p>
          <w:p>
            <w:pPr>
              <w:widowControl/>
              <w:jc w:val="left"/>
              <w:textAlignment w:val="center"/>
              <w:rPr>
                <w:rFonts w:ascii="仿宋_GB2312" w:hAnsi="仿宋_GB2312" w:eastAsia="仿宋_GB2312" w:cs="仿宋_GB2312"/>
                <w:color w:val="000000" w:themeColor="text1"/>
                <w:kern w:val="0"/>
                <w:sz w:val="20"/>
                <w:highlight w:val="cyan"/>
              </w:rPr>
            </w:pPr>
            <w:r>
              <w:rPr>
                <w:rFonts w:hint="eastAsia" w:ascii="仿宋_GB2312" w:hAnsi="仿宋_GB2312" w:eastAsia="仿宋_GB2312" w:cs="仿宋_GB2312"/>
                <w:color w:val="000000" w:themeColor="text1"/>
                <w:kern w:val="0"/>
                <w:sz w:val="20"/>
              </w:rPr>
              <w:t>8.演示系统在连接触控屏后具备虚拟白板和批注功能，虚拟白板和批注内容即可以直接保存至参会者的电脑或智能移动设备，也可以保存至U盘。具有画布注解、黑板化和触控集中管理。</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9.系统音频输出包括 USB和HDMI两种方式</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10.无线会议系统配备不少于2个USB接口，其中不少于1个USB Type-C接口</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11. 无线会议系统支持的HDMI输出分辨率为  4K UHD (3840x2160)</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12. 系统可选择在 2.4GHz 或 5GHz 的频段内工作。</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 xml:space="preserve">13.系统采用IEEE 802.11 a/b/g/n/ac 和 IEEE 802.15.1 标准进行无线传输。  </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18</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电子桌牌</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1.主屏幕分辨率：≥800*480</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2.支持字体色彩：黑白红。</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3.双屏幕：不支持触摸</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4.主屏幕尺寸：7.5英寸</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5.DPI：127</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6.视角：85/85/85/85</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7.支持安卓系统手机连接蓝牙操作、支持NFC方式投图。</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8.采用低功耗设计，画面静止状态无刷新频率，拍录视频时，摄像不会出现闪屏现象。</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9.采用全铝结构，显示屏框架厚度≤7.7毫米。</w:t>
            </w:r>
          </w:p>
        </w:tc>
      </w:tr>
      <w:tr>
        <w:tblPrEx>
          <w:tblCellMar>
            <w:top w:w="0" w:type="dxa"/>
            <w:left w:w="108" w:type="dxa"/>
            <w:bottom w:w="0" w:type="dxa"/>
            <w:right w:w="108" w:type="dxa"/>
          </w:tblCellMar>
        </w:tblPrEx>
        <w:trPr>
          <w:trHeight w:val="556"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19</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kern w:val="0"/>
                <w:sz w:val="20"/>
              </w:rPr>
            </w:pPr>
          </w:p>
          <w:p>
            <w:pPr>
              <w:widowControl/>
              <w:jc w:val="center"/>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信创操作电脑</w:t>
            </w:r>
          </w:p>
          <w:p>
            <w:pPr>
              <w:widowControl/>
              <w:jc w:val="center"/>
              <w:textAlignment w:val="center"/>
              <w:rPr>
                <w:rFonts w:ascii="仿宋_GB2312" w:hAnsi="仿宋_GB2312" w:eastAsia="仿宋_GB2312" w:cs="仿宋_GB2312"/>
                <w:color w:val="000000" w:themeColor="text1"/>
                <w:sz w:val="20"/>
              </w:rPr>
            </w:pP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ind w:firstLine="0" w:firstLineChars="0"/>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技术要求参见4.3信创操作电脑技术要求</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20</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双色屏</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1.规格为P3.75，像素点间距≤4.75mm</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2.单元板分辨率≥2048Dots</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3.刷新率≥960Hz</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4.像素构成：1R、1G</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5.驱动方式：恒流驱动</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6.控制方式：同步控制系统、异步控制系统</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7.白平衡亮度≥550Cd/m²；亮度调节：0-100%亮度可调，屏幕亮度具有随环境照度的变化任意调整功能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8.亮度均匀性≥98%</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9.水平视角≥160°，垂直视角≥160°</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10.对比度≥6500：1</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11.灰度等级≥8bit</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12.含边框，支架及发送卡等，显示尺寸4.256*0.304米</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移动会议系统</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1.屏幕尺寸 11英寸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2.屏幕类型 OLED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3.分辨率 2560 x1600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4.屏幕比例 16:10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5.存储 12GB+256GB</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6.Wi-Fi工作频段2.4GHz&amp;5GHz</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7.GPS 支持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8.蓝牙 Bluetooth 5.2，支持BLE，支持SBC、AAC、L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9.前置摄像头 1600万像系;后置摄像头 1300万像系高清摄像头+800万像素广角摄像头</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10.闪光灯 支持 </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 xml:space="preserve">11.照片分辨率 后置主摄像头:4160x3120像素;后置广角摄 </w:t>
            </w:r>
          </w:p>
          <w:p>
            <w:pPr>
              <w:widowControl/>
              <w:jc w:val="left"/>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像头:3264x2448;前置摄像头:4608x3456像素</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高清混合矩阵</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同（三）普陀区序号20参数一致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23</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网络型可编程中央控制主机</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同（三）普陀区序号21参数一致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24</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电源控制器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同（三）普陀区序号22参数一致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25</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控制平板</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同（三）普陀区序号23参数一致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26</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中控软件</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同（三）普陀区序号24参数一致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27</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信创安全网关</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1.▲设备最大吞吐量≥6841.114 Mbps，HTTP吞吐量≥3.5 Gbps，IPS吞吐量≥800 Mbit/s，AV吞吐量≥700 Mbit/s，最大并发连接数≥995.745万，每秒新建连接数≥9.987万</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2.△标准1U专用硬件平台，内置冗余双电源，千光电口管理口≥2个（至少1个管理口，1个HA口），千兆电口≥10个，千兆光口≥4个（含2个千兆多模光模块），内存≥8GB，硬盘≥500GB SSD，需采用国产化CPU和国产化操作系统;含三年防病毒、防攻击、上网行为管理、Web安全防护授权。</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3.支持路由、网桥、旁路、混合、虚拟线工作模式；部署模式切换无需重启设备</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4.支持4G USB插卡接入，实现4G连接，与有线链路之间互为备份；并支持在4G接口上运行IPSec VPN。（需提供功能截图证明）</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5.支持基于7元组、域名的链路负载均衡策略；负载算法支持优先级和权重；支持过载保护、会话保持和健康检查，会话保持可实现用的访问请求均分配至同一出口。</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6.支持IPv6/v4双栈，支持IPv6安全策略、包括审计策略、NAT策略、流量控制策略、会话控制策略、黑名单、白名单、认证策略等。</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7.支持一体化安全策略：可基于设备接口/安全域、地址、服务、应用、用、时间等属性，配置入侵防御、病毒防护、URL过滤、应用过滤、日志记录、会话老化时间、终端过滤等高级访问控制功能。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提供智能策略分析功能，支持策略命中分析、隐藏策略分析、冗余策略分析、冲突策略分析、可合并策略分析、过期策略发现、空策略发现、策略宽松度分析，并在Web页面显示分析结果。（需提供功能截图证明）</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9.支持对最多20级的压缩文件进行解压查杀。</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10.支持独立的Web防护模块，提供SQL注入攻击、XSS攻击、恶意扫描与爬虫、服务器防护、CMS漏洞防护等不少于10种的防护类型。</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11.△本地认证、Portal认证、Radius认证、LDAP认证、POP3认证、AD域单点登录、短信认证、微信公众号认证、APP认证、二维码认证、互联网钉钉认证、混合认证和免认证，其中微信公众号认证支持通过小程序获取手机号。（需提供功能截图证明）</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12.△支持一种基于概率加权路径的防火墙规则引擎时间复杂度评估方法。(提供发明专利或权威检测机构检测报告)</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13.△支持一种低延迟的TCP跨报文防火墙检测方法。(提供发明专利或权威检测机构检测报告)</w:t>
            </w:r>
          </w:p>
          <w:p>
            <w:pPr>
              <w:widowControl/>
              <w:jc w:val="left"/>
              <w:textAlignment w:val="cente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kern w:val="0"/>
                <w:sz w:val="20"/>
              </w:rPr>
              <w:t>14、本设备为软硬一体产品</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28</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直放站</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highlight w:val="yellow"/>
              </w:rPr>
            </w:pPr>
            <w:r>
              <w:rPr>
                <w:rFonts w:hint="eastAsia" w:ascii="仿宋_GB2312" w:hAnsi="仿宋_GB2312" w:eastAsia="仿宋_GB2312" w:cs="仿宋_GB2312"/>
                <w:color w:val="000000"/>
                <w:sz w:val="20"/>
              </w:rPr>
              <w:t>同（一）市本级序号9参数一致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29</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吸顶天线</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highlight w:val="yellow"/>
              </w:rPr>
            </w:pPr>
            <w:r>
              <w:rPr>
                <w:rFonts w:hint="eastAsia" w:ascii="仿宋_GB2312" w:hAnsi="仿宋_GB2312" w:eastAsia="仿宋_GB2312" w:cs="仿宋_GB2312"/>
                <w:color w:val="000000"/>
                <w:sz w:val="20"/>
              </w:rPr>
              <w:t>同（一）市本级序号10参数一致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30</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highlight w:val="yellow"/>
              </w:rPr>
            </w:pPr>
            <w:r>
              <w:rPr>
                <w:rFonts w:hint="eastAsia" w:ascii="仿宋_GB2312" w:hAnsi="仿宋_GB2312" w:eastAsia="仿宋_GB2312" w:cs="仿宋_GB2312"/>
                <w:color w:val="000000"/>
                <w:sz w:val="20"/>
              </w:rPr>
              <w:t>同（一）市本级序号11参数一致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highlight w:val="yellow"/>
              </w:rPr>
            </w:pPr>
            <w:r>
              <w:rPr>
                <w:rFonts w:hint="eastAsia" w:ascii="仿宋_GB2312" w:hAnsi="仿宋_GB2312" w:eastAsia="仿宋_GB2312" w:cs="仿宋_GB2312"/>
                <w:color w:val="000000"/>
                <w:sz w:val="20"/>
              </w:rPr>
              <w:t>同（一）市本级序号12参数一致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1/2接头</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highlight w:val="yellow"/>
              </w:rPr>
            </w:pPr>
            <w:r>
              <w:rPr>
                <w:rFonts w:hint="eastAsia" w:ascii="仿宋_GB2312" w:hAnsi="仿宋_GB2312" w:eastAsia="仿宋_GB2312" w:cs="仿宋_GB2312"/>
                <w:color w:val="000000"/>
                <w:sz w:val="20"/>
              </w:rPr>
              <w:t>同（一）市本级序号13参数一致</w:t>
            </w:r>
          </w:p>
        </w:tc>
      </w:tr>
      <w:tr>
        <w:tblPrEx>
          <w:tblCellMar>
            <w:top w:w="0" w:type="dxa"/>
            <w:left w:w="108" w:type="dxa"/>
            <w:bottom w:w="0" w:type="dxa"/>
            <w:right w:w="108" w:type="dxa"/>
          </w:tblCellMar>
        </w:tblPrEx>
        <w:trPr>
          <w:trHeight w:val="379" w:hRule="atLeast"/>
        </w:trPr>
        <w:tc>
          <w:tcPr>
            <w:tcW w:w="884"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33</w:t>
            </w:r>
          </w:p>
        </w:tc>
        <w:tc>
          <w:tcPr>
            <w:tcW w:w="1979"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1/2馈线</w:t>
            </w:r>
          </w:p>
        </w:tc>
        <w:tc>
          <w:tcPr>
            <w:tcW w:w="6101"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highlight w:val="yellow"/>
              </w:rPr>
            </w:pPr>
            <w:r>
              <w:rPr>
                <w:rFonts w:hint="eastAsia" w:ascii="仿宋_GB2312" w:hAnsi="仿宋_GB2312" w:eastAsia="仿宋_GB2312" w:cs="仿宋_GB2312"/>
                <w:color w:val="000000"/>
                <w:sz w:val="20"/>
              </w:rPr>
              <w:t>同（一）市本级序号14参数一致</w:t>
            </w:r>
          </w:p>
        </w:tc>
      </w:tr>
      <w:tr>
        <w:tblPrEx>
          <w:tblCellMar>
            <w:top w:w="0" w:type="dxa"/>
            <w:left w:w="108" w:type="dxa"/>
            <w:bottom w:w="0" w:type="dxa"/>
            <w:right w:w="108" w:type="dxa"/>
          </w:tblCellMar>
        </w:tblPrEx>
        <w:trPr>
          <w:trHeight w:val="528" w:hRule="atLeast"/>
        </w:trPr>
        <w:tc>
          <w:tcPr>
            <w:tcW w:w="8964" w:type="dxa"/>
            <w:gridSpan w:val="3"/>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b/>
                <w:bCs/>
                <w:color w:val="000000"/>
                <w:kern w:val="0"/>
                <w:sz w:val="20"/>
              </w:rPr>
              <w:t>（六）普陀山镇人民政府</w:t>
            </w:r>
          </w:p>
        </w:tc>
      </w:tr>
      <w:tr>
        <w:tblPrEx>
          <w:tblCellMar>
            <w:top w:w="0" w:type="dxa"/>
            <w:left w:w="108" w:type="dxa"/>
            <w:bottom w:w="0" w:type="dxa"/>
            <w:right w:w="108" w:type="dxa"/>
          </w:tblCellMar>
        </w:tblPrEx>
        <w:trPr>
          <w:trHeight w:val="140" w:hRule="atLeast"/>
        </w:trPr>
        <w:tc>
          <w:tcPr>
            <w:tcW w:w="884"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w:t>
            </w:r>
          </w:p>
        </w:tc>
        <w:tc>
          <w:tcPr>
            <w:tcW w:w="1979"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themeColor="text1"/>
                <w:kern w:val="0"/>
                <w:sz w:val="20"/>
              </w:rPr>
              <w:t>P1.2全彩屏</w:t>
            </w:r>
          </w:p>
        </w:tc>
        <w:tc>
          <w:tcPr>
            <w:tcW w:w="6101"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1．▲像素间距≤1.25mm，像素密度≥ 640000点/㎡；SMD；</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2．△整屏尺寸：宽≥3.2m，高≥1.92m，显示面积≥6.144㎡，分辨率≥2560×1536；</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3．整机采用压铸铝箱体；箱体强度：拉伸强度≥300Mpa,硬度≥80HB；</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4．支持模组、电源、接收卡完全前维护/后维护；</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5．显示单元平整度（mm）≤0.05；模组平整度（mm）≤0.05；相对错位偏差（水平/垂直）≤1.0%；</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6．校正后亮度≥500nit，（0-100%无级可调）；最高对比度≥10000:1；刷新率≥3840Hz，支持通过配套控制软件调节刷新率设置，支持420Hz-4880Hz调节；</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7．灰度等级16bit；支持低亮高灰，采用PMW灰阶控制技术提升低灰视觉效果；支持0-100%亮度时，8-16bits灰度自定义设置；</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8．屏体正面为黑色亚光处理,反光率≤1.5%；样品在10Lux/5600K照度下,对屏幕表面进行光反射率试验,屏幕表面光反射率(单位面积反射亮度)＜3cd/m²；</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9．水平视角≥160°；垂直视角≥160°；像素中心距偏差≤1%；色域≥120% NTSC；色准△E≤0.9；</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10．基色主波长误差C级 △λD≤5，亮度误差值在3%，灯芯的波长误差值在±1nm之内；白场色坐标符合SJ/T 11141-2017 5.10.5规定范围；亮度鉴别等级C级 Bj≥20；</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11.△模组支持双电压DC2.8V/DC3.8V或单电压DC4.2V~DC5V供电方式 ；免工具维护，同时有防呆设计，预防接错电源线短路而导致的烧毁模组行为；(提供权威检测机构检测报告)</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12．△峰值功耗≤390W/㎡，平均功耗≤130W/㎡；电源采用110-240V宽电压，适应电网电压更广，采用带PFC电源，电源功率因素≥0.95，转换效率88%；(提供权威检测机构检测报告)</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13．采用低转折节能技术，具有4档可调节恒流拐点电压；</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14．支持任意非标准分辨率信号输入自适应,输出范围内进行缩放,实现最佳分辨率自动匹配,避免屏幕比例和黑边问题的复杂调试;LED 显示屏系统级联板卡自适应功能</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15．支持多 bin 色度校正,校正数据存储在模组里,采用色彩管理系统,在 LED 控制系统对视频解码后,添加二次过滤显示算法,对显示屏每一个发光二极管进行逐点14 位颜色校正:支持色彩及亮度自动调整,保持色彩亮度一致性。</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16．支持休眠功能：支持无信号输入自动熄屏待机,有信号输入自动唤醒功能(提供权威检测机构检测报告)</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17．△带有智能（黑屏）节电功能，开启智能节电功能比没有开启节能50%以上，能源效率值≥3cd/W，睡眠模式功率密度值≤125W/m2；(提供权威检测机构检测报告)</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themeColor="text1"/>
                <w:kern w:val="0"/>
                <w:sz w:val="20"/>
              </w:rPr>
              <w:t>18．△产品防火及安全标准:满足BS476-7表面燃烧测试1级；燃烧烟气毒性指数满足BS6853测试R值≤1；(提供权威检测机构检测报告)</w:t>
            </w:r>
          </w:p>
        </w:tc>
      </w:tr>
      <w:tr>
        <w:tblPrEx>
          <w:tblCellMar>
            <w:top w:w="0" w:type="dxa"/>
            <w:left w:w="108" w:type="dxa"/>
            <w:bottom w:w="0" w:type="dxa"/>
            <w:right w:w="108" w:type="dxa"/>
          </w:tblCellMar>
        </w:tblPrEx>
        <w:trPr>
          <w:trHeight w:val="115" w:hRule="atLeast"/>
        </w:trPr>
        <w:tc>
          <w:tcPr>
            <w:tcW w:w="884"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2</w:t>
            </w:r>
          </w:p>
        </w:tc>
        <w:tc>
          <w:tcPr>
            <w:tcW w:w="1979"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LED屏拼控处理器</w:t>
            </w:r>
          </w:p>
        </w:tc>
        <w:tc>
          <w:tcPr>
            <w:tcW w:w="6101"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1.视频输入接口：2路 HDMI 1.4 ，1 路 DVI。</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2.支持逐点亮色度校正。</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3.支持 10路网口输出，带载高达 650万像素。</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4.支持3.5mm独立音频输出。</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5.具有强大的视频处理能力，支持输出画面无极缩放，支持一键全屏缩放，支出输入源任意截取。</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6.支持三输入画质管理，包括亮度、对比度、饱和度和色度调整</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7.支持 3个图层，图层大小和位置可单独调节，图层优先级可调整。</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8.支持预监输出画面，将预监内容通过 HDMI 发送到显示器显示。</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kern w:val="0"/>
                <w:sz w:val="20"/>
              </w:rPr>
              <w:t>9.△为保证系统兼容性，与LED显示屏同一品牌，提供CCC证书加盖投标人公章。</w:t>
            </w:r>
          </w:p>
        </w:tc>
      </w:tr>
      <w:tr>
        <w:tblPrEx>
          <w:tblCellMar>
            <w:top w:w="0" w:type="dxa"/>
            <w:left w:w="108" w:type="dxa"/>
            <w:bottom w:w="0" w:type="dxa"/>
            <w:right w:w="108" w:type="dxa"/>
          </w:tblCellMar>
        </w:tblPrEx>
        <w:trPr>
          <w:trHeight w:val="154" w:hRule="atLeast"/>
        </w:trPr>
        <w:tc>
          <w:tcPr>
            <w:tcW w:w="884"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3</w:t>
            </w:r>
          </w:p>
        </w:tc>
        <w:tc>
          <w:tcPr>
            <w:tcW w:w="1979"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安装钢结构及包边</w:t>
            </w:r>
          </w:p>
        </w:tc>
        <w:tc>
          <w:tcPr>
            <w:tcW w:w="6101"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kern w:val="0"/>
                <w:sz w:val="20"/>
              </w:rPr>
              <w:t>大屏安装钢结构、安装连接件等，现场焊接；要求抗绣，抗腐蚀，稳定牢固，不允许存在安全隐患。</w:t>
            </w:r>
          </w:p>
        </w:tc>
      </w:tr>
      <w:tr>
        <w:tblPrEx>
          <w:tblCellMar>
            <w:top w:w="0" w:type="dxa"/>
            <w:left w:w="108" w:type="dxa"/>
            <w:bottom w:w="0" w:type="dxa"/>
            <w:right w:w="108" w:type="dxa"/>
          </w:tblCellMar>
        </w:tblPrEx>
        <w:trPr>
          <w:trHeight w:val="69" w:hRule="atLeast"/>
        </w:trPr>
        <w:tc>
          <w:tcPr>
            <w:tcW w:w="884"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4</w:t>
            </w:r>
          </w:p>
        </w:tc>
        <w:tc>
          <w:tcPr>
            <w:tcW w:w="1979"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服务器机柜</w:t>
            </w:r>
          </w:p>
        </w:tc>
        <w:tc>
          <w:tcPr>
            <w:tcW w:w="6101"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1.材质：冷轧钢板</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2.</w:t>
            </w:r>
            <w:r>
              <w:rPr>
                <w:rFonts w:hint="eastAsia" w:ascii="仿宋_GB2312" w:hAnsi="仿宋_GB2312" w:eastAsia="仿宋_GB2312" w:cs="仿宋_GB2312"/>
                <w:color w:val="000000" w:themeColor="text1"/>
                <w:kern w:val="0"/>
                <w:sz w:val="20"/>
              </w:rPr>
              <w:t>规格：600*600*1600MM</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3.颜色：黑色</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kern w:val="0"/>
                <w:sz w:val="20"/>
              </w:rPr>
              <w:t>4.其他：符合国标</w:t>
            </w:r>
          </w:p>
        </w:tc>
      </w:tr>
      <w:tr>
        <w:tblPrEx>
          <w:tblCellMar>
            <w:top w:w="0" w:type="dxa"/>
            <w:left w:w="108" w:type="dxa"/>
            <w:bottom w:w="0" w:type="dxa"/>
            <w:right w:w="108" w:type="dxa"/>
          </w:tblCellMar>
        </w:tblPrEx>
        <w:trPr>
          <w:trHeight w:val="200" w:hRule="atLeast"/>
        </w:trPr>
        <w:tc>
          <w:tcPr>
            <w:tcW w:w="884"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5</w:t>
            </w:r>
          </w:p>
        </w:tc>
        <w:tc>
          <w:tcPr>
            <w:tcW w:w="1979"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配套辅材</w:t>
            </w:r>
          </w:p>
        </w:tc>
        <w:tc>
          <w:tcPr>
            <w:tcW w:w="6101"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kern w:val="0"/>
                <w:sz w:val="20"/>
              </w:rPr>
              <w:t>电力电缆、电源线、网线、管材、屏专用线及空开等各种配套辅材</w:t>
            </w:r>
          </w:p>
        </w:tc>
      </w:tr>
      <w:tr>
        <w:tblPrEx>
          <w:tblCellMar>
            <w:top w:w="0" w:type="dxa"/>
            <w:left w:w="108" w:type="dxa"/>
            <w:bottom w:w="0" w:type="dxa"/>
            <w:right w:w="108" w:type="dxa"/>
          </w:tblCellMar>
        </w:tblPrEx>
        <w:trPr>
          <w:trHeight w:val="555" w:hRule="atLeast"/>
        </w:trPr>
        <w:tc>
          <w:tcPr>
            <w:tcW w:w="896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二、安全设备</w:t>
            </w:r>
          </w:p>
        </w:tc>
      </w:tr>
      <w:tr>
        <w:tblPrEx>
          <w:tblCellMar>
            <w:top w:w="0" w:type="dxa"/>
            <w:left w:w="108" w:type="dxa"/>
            <w:bottom w:w="0" w:type="dxa"/>
            <w:right w:w="108" w:type="dxa"/>
          </w:tblCellMar>
        </w:tblPrEx>
        <w:trPr>
          <w:trHeight w:val="27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Style w:val="78"/>
                <w:rFonts w:hint="default" w:ascii="仿宋_GB2312" w:hAnsi="仿宋_GB2312" w:eastAsia="仿宋_GB2312" w:cs="仿宋_GB2312"/>
              </w:rPr>
              <w:t>流量检测探针</w:t>
            </w:r>
          </w:p>
        </w:tc>
        <w:tc>
          <w:tcPr>
            <w:tcW w:w="61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1.功能综述。部署流量检测探针，实现攻击检测、僵木蠕检测、DDoS 检测、恶意程序检测、APT检测、WEB 安全检测、虚拟沙箱、元数据提取、流量分析等安全监测功能，内置AI模型，可以针对各类隐蔽隧道和变形指令进行监控。</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2.流量采集。流量检测探针支持流量采集，能够解析常见的网络协议和工控物联网协议，具备IPv4及IPv6的双栈流量解析能力，可通过页面上传、FTP 协议传输等方式导入离线流量数据，并进行威胁分析。</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3.流量回溯。流量检测探针支持流量回溯，能够对深度解析的协议进行存储，存储数据类型至少包括：会话日志、流量日志、告警日志、原始 pcap 流量包、恶意样本等，并提供文件查询接口，满足网络安全态势感知平台溯源取证要求。</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4.威胁检测。流量检测探针支持威胁检测，覆盖多种攻击检测，至少包括 WEB 应用检测、恶意文件检测、动态文件检测、APT 攻击检测、5G 安全检测、异常行为检测、抗逃逸攻击检测、应用服务爆破检测、数据库安全检测等。</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5.渗透工具识别。流量检测探针支持渗透工具识别，能够识别常用的渗透工具攻击，包括但不限于 CobaltStrike、冰蝎 4.0、哥斯拉、蚁剑等加密 webshell 攻击工具。</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6.敏感信息检测。流量检测探针支持敏感信息检测，可以识别http 报文、数据库报文、文件、图片中的敏感信息，包括但不限于：身份证号、手机号、姓名、邮箱、地址等信息，并支持自定义敏感数据识别规则。</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7.▲功能性指标。内存不低于128G，存储硬盘不低于 20T，万兆光口不少于 2 个，网络层吞吐量不低于 10Gbps，具备协议还原、文件检测和请求指令检测能力，支持 PCAP 包的留存，兼容常见的网络层和应用层协议。</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themeColor="text1"/>
                <w:kern w:val="0"/>
                <w:sz w:val="20"/>
              </w:rPr>
              <w:t>注：▲能够与省应急厅态势感知汇聚平台无缝对接，支持安全日志上传，能够接收态势感知平台的集中管理。提供相应承诺。</w:t>
            </w:r>
          </w:p>
        </w:tc>
      </w:tr>
      <w:tr>
        <w:tblPrEx>
          <w:tblCellMar>
            <w:top w:w="0" w:type="dxa"/>
            <w:left w:w="108" w:type="dxa"/>
            <w:bottom w:w="0" w:type="dxa"/>
            <w:right w:w="108" w:type="dxa"/>
          </w:tblCellMar>
        </w:tblPrEx>
        <w:trPr>
          <w:trHeight w:val="555"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Style w:val="78"/>
                <w:rFonts w:hint="default" w:ascii="仿宋_GB2312" w:hAnsi="仿宋_GB2312" w:eastAsia="仿宋_GB2312" w:cs="仿宋_GB2312"/>
              </w:rPr>
              <w:t>SDWAN网关（边界侧）</w:t>
            </w:r>
          </w:p>
        </w:tc>
        <w:tc>
          <w:tcPr>
            <w:tcW w:w="61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1.功能综述。SD-WAN 网关以软件定义广域网技术和真随机Bit编码技术为核心，建立安全可靠、容灾抗毁的逻辑通信网络，帮助不同区域、不同网络的人和设备进行互联互通。SD-WAN 网关分为边缘节点和中心节点，边缘节点用于在应急救援现场、移动办公驻所、执法检查场地等边缘区域建设临时性的安全局域网，连通各类终端和通信基站；中心节点部署在后方指挥部、总部基地等区域，与边缘节点配合建立广域网安全传输隧道，实现流量汇聚和无障碍通信。</w:t>
            </w:r>
          </w:p>
          <w:p>
            <w:pPr>
              <w:widowControl/>
              <w:jc w:val="left"/>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2.极简组网。SD-WAN 网关支持极简组网，能够根据使用场景进 行二层、大二层和三层组网，三层组网协议包括静态路由协议、OSPF协议和BGP协议等，可以通过一键部署快速建立 Full-Mesh和Spoke-Hub，内置DNS代理模块，基于不同的虚拟隧道分配不同的DNS服务。SD-WAN 网关能够适应复杂物理链路环境，边缘节点支持在物理网络上切分不同的虚拟隧道，与中心节点进行配合，实现一对多、多对一和多对多的复杂访问，具备多层网络嵌套组网的能力。</w:t>
            </w:r>
          </w:p>
          <w:p>
            <w:pPr>
              <w:widowControl/>
              <w:jc w:val="left"/>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3.智能选路。SD-WAN 网关支持智能选路，边缘节点可以对当前链路的传输质量进行实时监测，基于带宽、时延、丢包率等因素设置单一规则或综合规则，对访问路径进行自动切换。当处于重大保障场景时，SD-WAN网关可以进入广域网传输路径保护模式，在边缘节点和中心节点上预先设置多条不同的传输路径，进行主备传输和均衡传输，当任一链路发生故障时，流量自动分担到其他正常链路中。</w:t>
            </w:r>
          </w:p>
          <w:p>
            <w:pPr>
              <w:widowControl/>
              <w:jc w:val="left"/>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4.多路共用。SD-WAN 网关支持多路共用，边缘节点能够将数据包按照使用物理线路的数量进行等比例复制，通过不同的物理线路发送相同的数据包，中心节点接收后进行去重处理，增强复杂环境下的传输可靠性，保障视频会议、语音通信、图像回传等时延敏感业务的可用性，物理链路类型涵盖 4G/5G、以太网、卫星链路等。</w:t>
            </w:r>
          </w:p>
          <w:p>
            <w:pPr>
              <w:widowControl/>
              <w:jc w:val="left"/>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5.信源编码。SD-WAN 网关支持信源编码，内置专用的随机数交换板卡和随机数存储介质，用于向 SD-WAN 控制台申请和存储真随机数，边缘节点通过真随机数对传输比特进行XOR编码运算，采用端到端传输模式，全程不进行任何解码操作，只在中心节点进行反向解码，还原传输数据，能够效对抗信道侦听、密钥劫持和量子攻击等新型入侵手段。SD-WAN 网关的信源编码范围包括业务链路和控制链路，可根据应急救援场景的中实际物理带宽自定义配置编码强度、编码范围和编码模式，实现业务与安全的灵活平衡。</w:t>
            </w:r>
          </w:p>
          <w:p>
            <w:pPr>
              <w:widowControl/>
              <w:jc w:val="left"/>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6.传输优化。SD-WAN 网关支持传输优化，针对TCP协议的重传机制、滑动窗口、流量控制、拥堵控制等机制进行优化修正，降低等待和重传时间，通过 UDP+TCP 的双重封装模式，增强链路穿透性，避免巨型帧的切割拆分，大幅度增强视频、音频、图像类业务的稳定性。同时，SD-WAN 网关能够对接第三方提供的链路优化服务，边缘节点和中心节点接入云端 POP 网络加速节点，以专线方式在骨干网汇聚节点进行传输，规避跨省访问、跨运营商访问时的链路阻塞问题。</w:t>
            </w:r>
          </w:p>
          <w:p>
            <w:pPr>
              <w:widowControl/>
              <w:jc w:val="left"/>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7.访问控制。SD-WAN 网关支持访问控制，可以提供丰富的五元 组控制策略，根据源IP、目的IP、源端口、目的端口和协议进行自由 组合，能够根据业务需要划分安全域，隔离不同区域内部的访问流量，并且记录详细的会话访问日志。</w:t>
            </w:r>
          </w:p>
          <w:p>
            <w:pPr>
              <w:widowControl/>
              <w:jc w:val="left"/>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8.身份认证。SD-WAN 网关支持身份认证，能够基于账户密码+短信验证码的双因子认证，可以与用户自建 LDAP 服务器和RADIUS服务 器进行联动认证，同时支持 MAC 识别，通过绑定设备 MAC 地址进行认证管控，并且记录详细的认证登录日志。</w:t>
            </w:r>
          </w:p>
          <w:p>
            <w:pPr>
              <w:widowControl/>
              <w:jc w:val="left"/>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9.环境适应。SD-WAN 网关支持环境适应，可以根据实际场景更 换外壳，适应高温、结冰、风沙、暴雨、潮湿等不同救援环境，保护内部系统稳定运行，具备多模组自由更换能力，针对不同的场景选用4G/5G 模组、Wifi 模组、卫星模组和以太网模组等。</w:t>
            </w:r>
          </w:p>
          <w:p>
            <w:pPr>
              <w:widowControl/>
              <w:jc w:val="left"/>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10.功能性指标。边缘侧SD-WAN网关：网口数量不少于4个，具备4G/5G和Wifi能力。使用SD-WAN技术与中心侧SD-WAN 网关进行通信，支持传输加密，具有视音频业务优化能力，支持IPv4/IPv6 双栈工作模式。</w:t>
            </w:r>
          </w:p>
          <w:p>
            <w:pPr>
              <w:widowControl/>
              <w:jc w:val="left"/>
              <w:textAlignment w:val="center"/>
              <w:rPr>
                <w:rFonts w:ascii="仿宋_GB2312" w:hAnsi="仿宋_GB2312" w:eastAsia="仿宋_GB2312" w:cs="仿宋_GB2312"/>
                <w:color w:val="000000" w:themeColor="text1"/>
                <w:sz w:val="20"/>
              </w:rPr>
            </w:pPr>
            <w:r>
              <w:rPr>
                <w:rFonts w:hint="eastAsia" w:ascii="宋体" w:hAnsi="宋体" w:cs="宋体"/>
                <w:kern w:val="0"/>
                <w:sz w:val="18"/>
                <w:szCs w:val="18"/>
              </w:rPr>
              <w:t>▲能够被上级部门SD-WAN网关控制台管理。</w:t>
            </w:r>
            <w:r>
              <w:rPr>
                <w:rFonts w:hint="eastAsia"/>
                <w:sz w:val="20"/>
              </w:rPr>
              <w:t>提供相应承诺。</w:t>
            </w:r>
          </w:p>
        </w:tc>
      </w:tr>
      <w:tr>
        <w:tblPrEx>
          <w:tblCellMar>
            <w:top w:w="0" w:type="dxa"/>
            <w:left w:w="108" w:type="dxa"/>
            <w:bottom w:w="0" w:type="dxa"/>
            <w:right w:w="108" w:type="dxa"/>
          </w:tblCellMar>
        </w:tblPrEx>
        <w:trPr>
          <w:trHeight w:val="555"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Style w:val="78"/>
                <w:rFonts w:hint="default" w:ascii="仿宋_GB2312" w:hAnsi="仿宋_GB2312" w:eastAsia="仿宋_GB2312" w:cs="仿宋_GB2312"/>
              </w:rPr>
              <w:t>违规外联检测探针</w:t>
            </w:r>
          </w:p>
        </w:tc>
        <w:tc>
          <w:tcPr>
            <w:tcW w:w="61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1.功能综述。违规外联检测器用于为各个网络核心节点检测流 量合规情况，能够检测与其他网络的非法链接，阻断终端通过多网卡、WIFI、手机等多种方式网络非法外联访问。</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2.网络外联检测。违规外联检测器支持网络外联检测，能够检  测终端是否同时连接多个网络，可以自定义检测规则，匹配适应场景，并对违规信息进行展示，支持对于网络状态的判定，判断是否同时存在多网联通。</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3.网中网探测。违规外联检测器支持网中网检测，能够检测现  有网络中的 USB 网卡、笔记本热点、代理服务器等网络隔离手段，对多人共用 IP 的场景进行重点监控，并展示详情信息。</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4.网络串线发现。规外联检测探针支持网络串线发现，通过被  动流量审计的方式，对 IP 和 VLAN 信息进行深度分析，侦测非正常区域 可疑流量，发现私搭乱建交换机等行为，可以通过主动探测报文进行二次确认。</w:t>
            </w:r>
          </w:p>
          <w:p>
            <w:pPr>
              <w:widowControl/>
              <w:jc w:val="left"/>
              <w:textAlignment w:val="center"/>
              <w:rPr>
                <w:rFonts w:ascii="仿宋_GB2312" w:hAnsi="仿宋_GB2312" w:eastAsia="仿宋_GB2312" w:cs="仿宋_GB2312"/>
                <w:color w:val="000000" w:themeColor="text1"/>
                <w:kern w:val="0"/>
                <w:sz w:val="20"/>
              </w:rPr>
            </w:pPr>
            <w:r>
              <w:rPr>
                <w:rFonts w:hint="eastAsia" w:ascii="仿宋_GB2312" w:hAnsi="仿宋_GB2312" w:eastAsia="仿宋_GB2312" w:cs="仿宋_GB2312"/>
                <w:color w:val="000000" w:themeColor="text1"/>
                <w:kern w:val="0"/>
                <w:sz w:val="20"/>
              </w:rPr>
              <w:t>5.功能性指标。万兆光口数量不少于 2 个，能够检测与其他网络的违规外联情况，支持 IPv4/IPv6 双栈工作模式,支持配置自定义检测规则。</w:t>
            </w:r>
          </w:p>
          <w:p>
            <w:pPr>
              <w:widowControl/>
              <w:jc w:val="left"/>
              <w:textAlignment w:val="center"/>
              <w:rPr>
                <w:rFonts w:ascii="仿宋_GB2312" w:hAnsi="仿宋_GB2312" w:eastAsia="仿宋_GB2312" w:cs="仿宋_GB2312"/>
                <w:color w:val="000000" w:themeColor="text1"/>
                <w:sz w:val="20"/>
              </w:rPr>
            </w:pPr>
            <w:r>
              <w:rPr>
                <w:rFonts w:hint="eastAsia" w:ascii="宋体" w:hAnsi="宋体" w:cs="宋体"/>
                <w:kern w:val="0"/>
                <w:sz w:val="18"/>
                <w:szCs w:val="18"/>
              </w:rPr>
              <w:t>▲</w:t>
            </w:r>
            <w:r>
              <w:rPr>
                <w:rFonts w:hint="eastAsia" w:ascii="宋体" w:hAnsi="宋体" w:cs="宋体"/>
                <w:kern w:val="0"/>
                <w:sz w:val="20"/>
              </w:rPr>
              <w:t>能够被上级部门违规外联检测控制台统一管理。</w:t>
            </w:r>
            <w:r>
              <w:rPr>
                <w:rFonts w:hint="eastAsia"/>
                <w:sz w:val="20"/>
              </w:rPr>
              <w:t>提供相应承诺。</w:t>
            </w:r>
          </w:p>
        </w:tc>
      </w:tr>
      <w:tr>
        <w:tblPrEx>
          <w:tblCellMar>
            <w:top w:w="0" w:type="dxa"/>
            <w:left w:w="108" w:type="dxa"/>
            <w:bottom w:w="0" w:type="dxa"/>
            <w:right w:w="108" w:type="dxa"/>
          </w:tblCellMar>
        </w:tblPrEx>
        <w:trPr>
          <w:trHeight w:val="555"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kern w:val="0"/>
                <w:sz w:val="20"/>
              </w:rPr>
              <w:t>4</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rPr>
            </w:pPr>
            <w:r>
              <w:rPr>
                <w:rStyle w:val="78"/>
                <w:rFonts w:hint="default" w:ascii="仿宋_GB2312" w:hAnsi="仿宋_GB2312" w:eastAsia="仿宋_GB2312" w:cs="仿宋_GB2312"/>
                <w:color w:val="000000" w:themeColor="text1"/>
              </w:rPr>
              <w:t>终端准入网关</w:t>
            </w:r>
          </w:p>
        </w:tc>
        <w:tc>
          <w:tcPr>
            <w:tcW w:w="6101"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1.功能综述。终端准入网关用于为桌面 PC、打印机、视频会议 终端等设备提供指纹识别、设备准入、访问控制的能力，对入网终端设 备进行控制管理，解决了终端设备类型不清，数量不准确，人员身份不明，终端安全风险未知、终端故障排查困难等问题。</w:t>
            </w:r>
          </w:p>
          <w:p>
            <w:pP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2.设备控制。终端准入网关支持设备控制，内置设备指纹特征  库，能够对网络中的各种智能设备、物联设备进行识别，形成设备登记注册表，放行在册合法设备，可以适应 IPv6 和 IPv4 双栈环境。</w:t>
            </w:r>
          </w:p>
          <w:p>
            <w:pP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3.规则自定义。终端准入网关支持规则自定义，可以设置不同  的终端准入规范满足不同场景的设备接入需求，具备流程化规则设计能力。</w:t>
            </w:r>
          </w:p>
          <w:p>
            <w:pP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4.攻击定位。终端准入网关支持攻击定位，内置攻击特征库， 可以实时检测 2-7 层的各种攻击行为，发现入侵流量时联动进行封禁，能够形成相应的攻击检测日志，进行二次确认。</w:t>
            </w:r>
          </w:p>
          <w:p>
            <w:pPr>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0"/>
              </w:rPr>
              <w:t>5.</w:t>
            </w:r>
            <w:r>
              <w:rPr>
                <w:rFonts w:hint="eastAsia" w:ascii="仿宋_GB2312" w:hAnsi="仿宋_GB2312" w:eastAsia="仿宋_GB2312" w:cs="仿宋_GB2312"/>
                <w:color w:val="000000" w:themeColor="text1"/>
                <w:kern w:val="0"/>
                <w:sz w:val="20"/>
              </w:rPr>
              <w:t>▲</w:t>
            </w:r>
            <w:r>
              <w:rPr>
                <w:rFonts w:hint="eastAsia" w:ascii="仿宋_GB2312" w:hAnsi="仿宋_GB2312" w:eastAsia="仿宋_GB2312" w:cs="仿宋_GB2312"/>
                <w:color w:val="000000" w:themeColor="text1"/>
                <w:sz w:val="20"/>
              </w:rPr>
              <w:t xml:space="preserve">功能性指标。硬件规格：交流冗余电源，内存≧16G，万兆光口≥2 个，网络层吞吐量≧3Gbps，可交互终端≧500。对入网终端进行管控，支持 IPv4/IPv6 双栈工作模式，支持bypass 功能。 </w:t>
            </w:r>
          </w:p>
          <w:p>
            <w:pPr>
              <w:rPr>
                <w:rFonts w:ascii="仿宋_GB2312" w:hAnsi="仿宋_GB2312" w:eastAsia="仿宋_GB2312" w:cs="仿宋_GB2312"/>
                <w:color w:val="000000" w:themeColor="text1"/>
                <w:sz w:val="20"/>
              </w:rPr>
            </w:pPr>
            <w:r>
              <w:rPr>
                <w:rFonts w:hint="eastAsia" w:ascii="仿宋_GB2312" w:hAnsi="仿宋_GB2312" w:eastAsia="仿宋_GB2312" w:cs="仿宋_GB2312"/>
                <w:sz w:val="20"/>
              </w:rPr>
              <w:t xml:space="preserve"> </w:t>
            </w:r>
            <w:r>
              <w:rPr>
                <w:rFonts w:hint="eastAsia"/>
                <w:sz w:val="20"/>
              </w:rPr>
              <w:t>注：</w:t>
            </w:r>
            <w:r>
              <w:rPr>
                <w:rFonts w:hint="eastAsia" w:ascii="宋体" w:hAnsi="宋体" w:cs="宋体"/>
                <w:sz w:val="20"/>
              </w:rPr>
              <w:t>▲</w:t>
            </w:r>
            <w:r>
              <w:rPr>
                <w:rFonts w:hint="eastAsia"/>
                <w:sz w:val="20"/>
              </w:rPr>
              <w:t>能够与省应急厅态势感知汇聚平台无缝对接，支持安全日志上传。提供相应承诺。</w:t>
            </w:r>
          </w:p>
        </w:tc>
      </w:tr>
    </w:tbl>
    <w:p>
      <w:pPr>
        <w:rPr>
          <w:rFonts w:ascii="仿宋_GB2312" w:hAnsi="仿宋_GB2312" w:eastAsia="仿宋_GB2312" w:cs="仿宋_GB2312"/>
          <w:b/>
          <w:bCs/>
          <w:color w:val="000000" w:themeColor="text1"/>
        </w:rPr>
      </w:pPr>
      <w:r>
        <w:rPr>
          <w:rFonts w:hint="eastAsia" w:ascii="仿宋_GB2312" w:hAnsi="仿宋_GB2312" w:eastAsia="仿宋_GB2312" w:cs="仿宋_GB2312"/>
          <w:b/>
          <w:bCs/>
          <w:color w:val="000000" w:themeColor="text1"/>
        </w:rPr>
        <w:t>注：</w:t>
      </w:r>
    </w:p>
    <w:p>
      <w:pPr>
        <w:ind w:firstLine="211" w:firstLineChars="100"/>
        <w:rPr>
          <w:rFonts w:ascii="仿宋_GB2312" w:hAnsi="仿宋_GB2312" w:eastAsia="仿宋_GB2312" w:cs="仿宋_GB2312"/>
          <w:b/>
          <w:bCs/>
        </w:rPr>
      </w:pPr>
      <w:r>
        <w:rPr>
          <w:rFonts w:hint="eastAsia" w:ascii="仿宋_GB2312" w:hAnsi="仿宋_GB2312" w:eastAsia="仿宋_GB2312" w:cs="仿宋_GB2312"/>
          <w:b/>
          <w:bCs/>
        </w:rPr>
        <w:t>1、权威检测机构是指具有CNAS、CMA、ILAC-MRA其中之一及以上认证标志的专业检测机构。</w:t>
      </w:r>
    </w:p>
    <w:p>
      <w:pPr>
        <w:ind w:firstLine="211" w:firstLineChars="100"/>
        <w:rPr>
          <w:rFonts w:ascii="仿宋_GB2312" w:hAnsi="仿宋_GB2312" w:eastAsia="仿宋_GB2312" w:cs="仿宋_GB2312"/>
          <w:b/>
          <w:bCs/>
        </w:rPr>
      </w:pPr>
      <w:r>
        <w:rPr>
          <w:rFonts w:hint="eastAsia" w:ascii="仿宋_GB2312" w:hAnsi="仿宋_GB2312" w:eastAsia="仿宋_GB2312" w:cs="仿宋_GB2312"/>
          <w:b/>
          <w:bCs/>
        </w:rPr>
        <w:t>2、上述投标人提供的盖有投标人公章的相关承诺，如中标人实际实施中不能做到，采购人有权单方面解除合同，并依法追究相关责任。</w:t>
      </w:r>
    </w:p>
    <w:p>
      <w:pPr>
        <w:pStyle w:val="2"/>
        <w:ind w:firstLine="0" w:firstLineChars="0"/>
      </w:pPr>
    </w:p>
    <w:p>
      <w:pPr>
        <w:pStyle w:val="2"/>
        <w:ind w:firstLine="460"/>
        <w:rPr>
          <w:rFonts w:ascii="仿宋_GB2312" w:hAnsi="仿宋_GB2312" w:eastAsia="仿宋_GB2312" w:cs="仿宋_GB2312"/>
          <w:color w:val="FF0000"/>
        </w:rPr>
      </w:pPr>
      <w:r>
        <w:rPr>
          <w:rFonts w:hint="eastAsia" w:ascii="仿宋_GB2312" w:hAnsi="仿宋_GB2312" w:eastAsia="仿宋_GB2312" w:cs="仿宋_GB2312"/>
          <w:color w:val="000000" w:themeColor="text1"/>
        </w:rPr>
        <w:t>4.3信创操作电脑技术要求：</w:t>
      </w:r>
    </w:p>
    <w:p>
      <w:pPr>
        <w:spacing w:line="288" w:lineRule="auto"/>
        <w:rPr>
          <w:rFonts w:ascii="仿宋_GB2312" w:hAnsi="仿宋_GB2312" w:eastAsia="仿宋_GB2312" w:cs="仿宋_GB2312"/>
          <w:color w:val="000000"/>
          <w:sz w:val="24"/>
          <w:szCs w:val="24"/>
        </w:rPr>
      </w:pPr>
    </w:p>
    <w:tbl>
      <w:tblPr>
        <w:tblStyle w:val="24"/>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25"/>
        <w:gridCol w:w="1700"/>
        <w:gridCol w:w="5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17" w:type="dxa"/>
          </w:tcPr>
          <w:p>
            <w:pPr>
              <w:jc w:val="center"/>
              <w:rPr>
                <w:rFonts w:ascii="仿宋_GB2312" w:hAnsi="宋体" w:eastAsia="仿宋_GB2312" w:cs="Times New Roman"/>
                <w:b/>
                <w:szCs w:val="21"/>
              </w:rPr>
            </w:pPr>
            <w:r>
              <w:rPr>
                <w:rFonts w:hint="eastAsia" w:ascii="仿宋_GB2312" w:hAnsi="宋体" w:eastAsia="仿宋_GB2312" w:cs="Times New Roman"/>
                <w:b/>
                <w:szCs w:val="21"/>
              </w:rPr>
              <w:t>序号</w:t>
            </w:r>
          </w:p>
        </w:tc>
        <w:tc>
          <w:tcPr>
            <w:tcW w:w="1025" w:type="dxa"/>
          </w:tcPr>
          <w:p>
            <w:pPr>
              <w:rPr>
                <w:rFonts w:ascii="仿宋_GB2312" w:hAnsi="宋体" w:eastAsia="仿宋_GB2312" w:cs="Times New Roman"/>
                <w:b/>
                <w:szCs w:val="21"/>
              </w:rPr>
            </w:pPr>
            <w:r>
              <w:rPr>
                <w:rFonts w:hint="eastAsia" w:ascii="仿宋_GB2312" w:hAnsi="宋体" w:eastAsia="仿宋_GB2312" w:cs="Times New Roman"/>
                <w:b/>
                <w:szCs w:val="21"/>
              </w:rPr>
              <w:t>一级指标</w:t>
            </w:r>
          </w:p>
        </w:tc>
        <w:tc>
          <w:tcPr>
            <w:tcW w:w="1700" w:type="dxa"/>
          </w:tcPr>
          <w:p>
            <w:pPr>
              <w:rPr>
                <w:rFonts w:ascii="仿宋_GB2312" w:hAnsi="宋体" w:eastAsia="仿宋_GB2312" w:cs="Times New Roman"/>
                <w:b/>
                <w:bCs/>
                <w:szCs w:val="21"/>
              </w:rPr>
            </w:pPr>
            <w:r>
              <w:rPr>
                <w:rFonts w:hint="eastAsia" w:ascii="仿宋_GB2312" w:hAnsi="宋体" w:eastAsia="仿宋_GB2312" w:cs="Times New Roman"/>
                <w:b/>
                <w:bCs/>
                <w:szCs w:val="21"/>
              </w:rPr>
              <w:t>二级指标</w:t>
            </w:r>
          </w:p>
        </w:tc>
        <w:tc>
          <w:tcPr>
            <w:tcW w:w="5225" w:type="dxa"/>
          </w:tcPr>
          <w:p>
            <w:pPr>
              <w:rPr>
                <w:rFonts w:ascii="仿宋_GB2312" w:hAnsi="宋体" w:eastAsia="仿宋_GB2312" w:cs="Times New Roman"/>
                <w:szCs w:val="21"/>
              </w:rPr>
            </w:pPr>
            <w:r>
              <w:rPr>
                <w:rFonts w:hint="eastAsia" w:ascii="仿宋_GB2312" w:hAnsi="宋体" w:eastAsia="仿宋_GB2312" w:cs="Times New Roman"/>
                <w:b/>
                <w:szCs w:val="21"/>
              </w:rPr>
              <w:t>详细技术参数（“</w:t>
            </w:r>
            <w:r>
              <w:rPr>
                <w:rFonts w:hint="eastAsia" w:ascii="仿宋_GB2312" w:hAnsi="宋体" w:eastAsia="仿宋_GB2312" w:cs="Times New Roman"/>
                <w:szCs w:val="21"/>
              </w:rPr>
              <w:t>▲</w:t>
            </w:r>
            <w:r>
              <w:rPr>
                <w:rFonts w:hint="eastAsia" w:ascii="仿宋_GB2312" w:hAnsi="宋体" w:eastAsia="仿宋_GB2312" w:cs="Times New Roman"/>
                <w:b/>
                <w:szCs w:val="21"/>
              </w:rPr>
              <w:t>”项为实质性响应要求，不允许负偏离）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CPU规格</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▲CPU信息</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型号≥麒麟</w:t>
            </w:r>
            <w:r>
              <w:rPr>
                <w:rFonts w:ascii="仿宋_GB2312" w:hAnsi="宋体" w:eastAsia="仿宋_GB2312" w:cs="Times New Roman"/>
                <w:szCs w:val="21"/>
              </w:rPr>
              <w:t>990，CPU核数≥8核、最高主频≥2.86GHz，热设计功耗≤10W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内存规格</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▲内存配置容量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w:t>
            </w:r>
            <w:r>
              <w:rPr>
                <w:rFonts w:ascii="仿宋_GB2312" w:hAnsi="宋体" w:eastAsia="仿宋_GB2312" w:cs="Times New Roman"/>
                <w:szCs w:val="21"/>
              </w:rPr>
              <w:t>8</w:t>
            </w:r>
            <w:r>
              <w:rPr>
                <w:rFonts w:hint="eastAsia" w:ascii="仿宋_GB2312" w:hAnsi="宋体" w:eastAsia="仿宋_GB2312" w:cs="Times New Roman"/>
                <w:szCs w:val="21"/>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▲内存类型</w:t>
            </w:r>
          </w:p>
        </w:tc>
        <w:tc>
          <w:tcPr>
            <w:tcW w:w="5225" w:type="dxa"/>
          </w:tcPr>
          <w:p>
            <w:pPr>
              <w:rPr>
                <w:rFonts w:ascii="仿宋_GB2312" w:hAnsi="宋体" w:eastAsia="仿宋_GB2312" w:cs="Times New Roman"/>
                <w:szCs w:val="21"/>
              </w:rPr>
            </w:pPr>
            <w:r>
              <w:rPr>
                <w:rFonts w:ascii="仿宋_GB2312" w:hAnsi="宋体" w:eastAsia="仿宋_GB2312" w:cs="Times New Roman"/>
                <w:szCs w:val="21"/>
              </w:rPr>
              <w:t>LPDDR4X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▲内存条配置数量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主板规格</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▲主板集成模块</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集成资源扩展模块、计算处理模块、音频扩展模块等，主板的互联拓扑可通过处理器或交换电路实现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▲主板支持的CPU和内存情况</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≥麒麟</w:t>
            </w:r>
            <w:r>
              <w:rPr>
                <w:rFonts w:ascii="仿宋_GB2312" w:hAnsi="宋体" w:eastAsia="仿宋_GB2312" w:cs="Times New Roman"/>
                <w:szCs w:val="21"/>
              </w:rPr>
              <w:t>990</w:t>
            </w:r>
            <w:r>
              <w:rPr>
                <w:rFonts w:hint="eastAsia" w:ascii="仿宋_GB2312" w:hAnsi="宋体" w:eastAsia="仿宋_GB2312" w:cs="Times New Roman"/>
                <w:szCs w:val="21"/>
              </w:rPr>
              <w:t xml:space="preserve">，≥8G </w:t>
            </w:r>
            <w:r>
              <w:rPr>
                <w:rFonts w:ascii="仿宋_GB2312" w:hAnsi="宋体" w:eastAsia="仿宋_GB2312" w:cs="Times New Roman"/>
                <w:szCs w:val="21"/>
              </w:rPr>
              <w:t>LPDDR4X</w:t>
            </w:r>
            <w:r>
              <w:rPr>
                <w:rFonts w:hint="eastAsia" w:ascii="仿宋_GB2312" w:hAnsi="宋体" w:eastAsia="仿宋_GB2312" w:cs="Times New Roman"/>
                <w:szCs w:val="21"/>
              </w:rPr>
              <w:t>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▲主板其他内置接口</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SATA3.0接口</w:t>
            </w:r>
            <w:r>
              <w:rPr>
                <w:rFonts w:hint="eastAsia" w:ascii="仿宋_GB2312" w:hAnsi="Times New Roman" w:eastAsia="仿宋_GB2312" w:cs="Times New Roman"/>
                <w:szCs w:val="21"/>
              </w:rPr>
              <w:t>≥</w:t>
            </w:r>
            <w:r>
              <w:rPr>
                <w:rFonts w:ascii="仿宋_GB2312" w:hAnsi="宋体" w:eastAsia="仿宋_GB2312" w:cs="Times New Roman"/>
                <w:szCs w:val="21"/>
              </w:rPr>
              <w:t>2</w:t>
            </w:r>
            <w:r>
              <w:rPr>
                <w:rFonts w:hint="eastAsia" w:ascii="仿宋_GB2312" w:hAnsi="宋体" w:eastAsia="仿宋_GB2312" w:cs="Times New Roman"/>
                <w:szCs w:val="21"/>
              </w:rPr>
              <w:t>、M.2接口</w:t>
            </w:r>
            <w:r>
              <w:rPr>
                <w:rFonts w:hint="eastAsia" w:ascii="仿宋_GB2312" w:hAnsi="Times New Roman" w:eastAsia="仿宋_GB2312" w:cs="Times New Roman"/>
                <w:szCs w:val="21"/>
              </w:rPr>
              <w:t>≥</w:t>
            </w:r>
            <w:r>
              <w:rPr>
                <w:rFonts w:hint="eastAsia" w:ascii="仿宋_GB2312" w:hAnsi="宋体" w:eastAsia="仿宋_GB2312" w:cs="Times New Roman"/>
                <w:szCs w:val="21"/>
              </w:rPr>
              <w:t>1、USB 接口</w:t>
            </w:r>
            <w:r>
              <w:rPr>
                <w:rFonts w:hint="eastAsia" w:ascii="仿宋_GB2312" w:hAnsi="Times New Roman" w:eastAsia="仿宋_GB2312" w:cs="Times New Roman"/>
                <w:szCs w:val="21"/>
              </w:rPr>
              <w:t>≥</w:t>
            </w:r>
            <w:r>
              <w:rPr>
                <w:rFonts w:ascii="仿宋_GB2312" w:hAnsi="宋体" w:eastAsia="仿宋_GB2312" w:cs="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▲内存插槽满配时提供的最高内存总容量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存储设备规格</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▲固态盘数量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≥1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▲固态存储容量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≥256GB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▲固态存储形态</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采用插卡或板载等形态，可选用符合M.2 或 2.5 寸 SATA 或 UFS 等标准的插卡形态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▲存储设备其他参数要求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a)固态盘应符合 SJ/T 11654 相关规定；</w:t>
            </w:r>
          </w:p>
          <w:p>
            <w:pPr>
              <w:rPr>
                <w:rFonts w:ascii="仿宋_GB2312" w:hAnsi="宋体" w:eastAsia="仿宋_GB2312" w:cs="Times New Roman"/>
                <w:szCs w:val="21"/>
              </w:rPr>
            </w:pPr>
            <w:r>
              <w:rPr>
                <w:rFonts w:hint="eastAsia" w:ascii="仿宋_GB2312" w:hAnsi="宋体" w:eastAsia="仿宋_GB2312" w:cs="Times New Roman"/>
                <w:szCs w:val="21"/>
              </w:rPr>
              <w:t>b)机械硬盘准备时间应不大于 30s；侧面固定螺丝孔数量可为 4 孔或 6 孔；工作状态环境温度应满足 5℃~55℃ ;其它参数应符合 GB/T 12628 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显卡规格</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▲显卡类型</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集成显卡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显示设备规格</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▲显示屏屏占比</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w:t>
            </w:r>
            <w:r>
              <w:rPr>
                <w:rFonts w:ascii="仿宋_GB2312" w:hAnsi="宋体" w:eastAsia="仿宋_GB2312" w:cs="Times New Roman"/>
                <w:szCs w:val="21"/>
              </w:rPr>
              <w:t>92</w:t>
            </w:r>
            <w:r>
              <w:rPr>
                <w:rFonts w:hint="eastAsia" w:ascii="仿宋_GB2312" w:hAnsi="宋体" w:eastAsia="仿宋_GB2312"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▲显示屏分辨率</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≥1920x1080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显示屏可视角度</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水平≥178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▲显示屏尺寸</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≥23.8 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▲显示屏屏幕比例</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▲显示器外观颜色</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widowControl/>
              <w:rPr>
                <w:rFonts w:ascii="仿宋_GB2312" w:hAnsi="宋体" w:eastAsia="仿宋_GB2312" w:cs="Arial"/>
                <w:szCs w:val="21"/>
              </w:rPr>
            </w:pPr>
            <w:r>
              <w:rPr>
                <w:rFonts w:hint="eastAsia" w:ascii="仿宋_GB2312" w:hAnsi="宋体" w:eastAsia="仿宋_GB2312" w:cs="Arial"/>
                <w:szCs w:val="21"/>
              </w:rPr>
              <w:t>▲显示屏防蓝光</w:t>
            </w:r>
          </w:p>
        </w:tc>
        <w:tc>
          <w:tcPr>
            <w:tcW w:w="5225" w:type="dxa"/>
            <w:vAlign w:val="center"/>
          </w:tcPr>
          <w:p>
            <w:pPr>
              <w:widowControl/>
              <w:rPr>
                <w:rFonts w:ascii="仿宋_GB2312" w:hAnsi="宋体" w:eastAsia="仿宋_GB2312" w:cs="Arial"/>
                <w:szCs w:val="21"/>
              </w:rPr>
            </w:pPr>
            <w:r>
              <w:rPr>
                <w:rFonts w:ascii="仿宋_GB2312" w:hAnsi="宋体" w:eastAsia="仿宋_GB2312" w:cs="Arial"/>
                <w:szCs w:val="21"/>
              </w:rPr>
              <w:t>支持防蓝光模式，蓝光加权辐射亮度 比应≤0.0012W/(·cd·sr)（瓦每坎 特拉每球面度）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▲显示屏低频闪</w:t>
            </w:r>
          </w:p>
        </w:tc>
        <w:tc>
          <w:tcPr>
            <w:tcW w:w="5225" w:type="dxa"/>
            <w:vAlign w:val="center"/>
          </w:tcPr>
          <w:p>
            <w:pPr>
              <w:rPr>
                <w:rFonts w:ascii="仿宋_GB2312" w:hAnsi="宋体" w:eastAsia="仿宋_GB2312" w:cs="Arial"/>
                <w:szCs w:val="21"/>
              </w:rPr>
            </w:pPr>
            <w:r>
              <w:rPr>
                <w:rFonts w:hint="eastAsia" w:ascii="仿宋_GB2312" w:hAnsi="宋体" w:eastAsia="仿宋_GB2312" w:cs="Arial"/>
                <w:szCs w:val="21"/>
              </w:rPr>
              <w:t>显示屏应支持低频闪≤-35dB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▲显示屏防炫目</w:t>
            </w:r>
          </w:p>
        </w:tc>
        <w:tc>
          <w:tcPr>
            <w:tcW w:w="5225" w:type="dxa"/>
            <w:vAlign w:val="center"/>
          </w:tcPr>
          <w:p>
            <w:pPr>
              <w:rPr>
                <w:rFonts w:ascii="仿宋_GB2312" w:hAnsi="宋体" w:eastAsia="仿宋_GB2312" w:cs="Arial"/>
                <w:szCs w:val="21"/>
              </w:rPr>
            </w:pPr>
            <w:r>
              <w:rPr>
                <w:rFonts w:hint="eastAsia" w:ascii="仿宋_GB2312" w:hAnsi="宋体" w:eastAsia="仿宋_GB2312" w:cs="Arial"/>
                <w:szCs w:val="21"/>
              </w:rPr>
              <w:t>显示屏镜面反射率≤10%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网络设备规格</w:t>
            </w: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有线网卡数量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外部接口规格</w:t>
            </w: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USB 接口数量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机箱前面板应提供不少于 3 个 USB3.0 接口，后面板不少于4个USB3.0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视频接口数量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音频接口数量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整机基础规格</w:t>
            </w: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整机外观</w:t>
            </w:r>
          </w:p>
        </w:tc>
        <w:tc>
          <w:tcPr>
            <w:tcW w:w="5225" w:type="dxa"/>
          </w:tcPr>
          <w:p>
            <w:pPr>
              <w:rPr>
                <w:rFonts w:hint="eastAsia" w:ascii="仿宋_GB2312" w:hAnsi="宋体" w:eastAsia="仿宋_GB2312" w:cs="Times New Roman"/>
                <w:szCs w:val="21"/>
                <w:lang w:eastAsia="zh-CN"/>
              </w:rPr>
            </w:pPr>
            <w:r>
              <w:rPr>
                <w:rFonts w:hint="eastAsia" w:ascii="仿宋_GB2312" w:hAnsi="宋体" w:eastAsia="仿宋_GB2312" w:cs="Times New Roman"/>
                <w:szCs w:val="21"/>
              </w:rPr>
              <w:t>a) 产品表面不应有凹痕、划伤、裂缝、变形和污染等。表面涂层均匀，不应起泡、龟裂、脱落和磨损，金属零部件无锈蚀及其它机械损伤；</w:t>
            </w:r>
          </w:p>
          <w:p>
            <w:pPr>
              <w:rPr>
                <w:rFonts w:ascii="仿宋_GB2312" w:hAnsi="宋体" w:eastAsia="仿宋_GB2312" w:cs="Times New Roman"/>
                <w:szCs w:val="21"/>
              </w:rPr>
            </w:pPr>
            <w:r>
              <w:rPr>
                <w:rFonts w:hint="eastAsia" w:ascii="仿宋_GB2312" w:hAnsi="宋体" w:eastAsia="仿宋_GB2312" w:cs="Times New Roman"/>
                <w:szCs w:val="21"/>
              </w:rPr>
              <w:t>b) 产品表面说明功能的文字、符号、标志，应清晰、端正、牢固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状态指示灯</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在产品显著位置提供状态指示功能，如运行状态，并由供应商提供详细参数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整机结构</w:t>
            </w:r>
          </w:p>
        </w:tc>
        <w:tc>
          <w:tcPr>
            <w:tcW w:w="5225" w:type="dxa"/>
          </w:tcPr>
          <w:p>
            <w:pPr>
              <w:rPr>
                <w:rFonts w:hint="eastAsia" w:ascii="仿宋_GB2312" w:hAnsi="宋体" w:eastAsia="仿宋_GB2312" w:cs="Times New Roman"/>
                <w:szCs w:val="21"/>
                <w:lang w:eastAsia="zh-CN"/>
              </w:rPr>
            </w:pPr>
            <w:r>
              <w:rPr>
                <w:rFonts w:hint="eastAsia" w:ascii="仿宋_GB2312" w:hAnsi="宋体" w:eastAsia="仿宋_GB2312" w:cs="Times New Roman"/>
                <w:szCs w:val="21"/>
              </w:rPr>
              <w:t>a) 机箱应符合 GB/T 4208、GB/T 26246的相关规定；</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b) 产品内部结构应符合通用部件的安装需求；</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c) 所有输入输出接口应符合相关国家或行业标准；</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d) 产品零部件应紧固无松动，可插拔部件应可靠连接，开关、按钮和其它控制部件应灵活可靠，布局应方便使用；</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e) 所有 I/O 连接器及需插接线缆的部位应预留采购人操作空间，方便插拔解锁与插拔线缆；</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f) 可插拔板卡插槽部位应预留安装、拆卸或更换板卡空间；</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g) 拆装可能接触到的金属剪口或金属尖角部位应做防划伤处理，以保证安全；</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h) 整机内部走线应规整，固线结构和位置要合理可靠并做防割线处理，需便于理线和插拔操作，走线应不影响系统各主要部件组装和拆卸；</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i) 如需通过孔走线，过线孔应做防割线处理；</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j) 各插头位置和插拔方向应合理，应做到插拔无障碍设计，具备防呆设计，有效避免误操作；</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k) 各主要部件拆装无障碍，使用常规工具拆装，无特殊拆装工具需求；</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l) 各主要部件拆装步骤要少，各自拆装需避免相互干扰；</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m) 对于整机或零部件外表面为高亮面的，应粘贴保护膜，保护膜需粘贴牢固，运输、组装等过程不易脱落，撕下无残留；</w:t>
            </w:r>
          </w:p>
          <w:p>
            <w:pPr>
              <w:rPr>
                <w:rFonts w:ascii="仿宋_GB2312" w:hAnsi="宋体" w:eastAsia="仿宋_GB2312" w:cs="Times New Roman"/>
                <w:szCs w:val="21"/>
              </w:rPr>
            </w:pPr>
            <w:r>
              <w:rPr>
                <w:rFonts w:hint="eastAsia" w:ascii="仿宋_GB2312" w:hAnsi="宋体" w:eastAsia="仿宋_GB2312" w:cs="Times New Roman"/>
                <w:szCs w:val="21"/>
              </w:rPr>
              <w:t>n) 其它要求应符合 GB/T 9813.1 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机箱防护要求</w:t>
            </w:r>
          </w:p>
        </w:tc>
        <w:tc>
          <w:tcPr>
            <w:tcW w:w="5225" w:type="dxa"/>
          </w:tcPr>
          <w:p>
            <w:pPr>
              <w:rPr>
                <w:rFonts w:ascii="仿宋_GB2312" w:hAnsi="宋体" w:eastAsia="仿宋_GB2312" w:cs="Times New Roman"/>
                <w:szCs w:val="21"/>
                <w:highlight w:val="yellow"/>
              </w:rPr>
            </w:pPr>
            <w:r>
              <w:rPr>
                <w:rFonts w:hint="eastAsia" w:ascii="仿宋_GB2312" w:hAnsi="宋体" w:eastAsia="仿宋_GB2312" w:cs="Times New Roman"/>
                <w:szCs w:val="21"/>
              </w:rPr>
              <w:t>机箱应符合 GB/T 4208 中 IP20 防护要求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整机噪音</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产品工作在空闲状态下，产品的声功率级应不超过 4.5 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整机散热</w:t>
            </w:r>
          </w:p>
        </w:tc>
        <w:tc>
          <w:tcPr>
            <w:tcW w:w="5225" w:type="dxa"/>
          </w:tcPr>
          <w:p>
            <w:pPr>
              <w:rPr>
                <w:rFonts w:hint="eastAsia" w:ascii="仿宋_GB2312" w:hAnsi="宋体" w:eastAsia="仿宋_GB2312" w:cs="Times New Roman"/>
                <w:szCs w:val="21"/>
                <w:lang w:eastAsia="zh-CN"/>
              </w:rPr>
            </w:pPr>
            <w:r>
              <w:rPr>
                <w:rFonts w:hint="eastAsia" w:ascii="仿宋_GB2312" w:hAnsi="宋体" w:eastAsia="仿宋_GB2312" w:cs="Times New Roman"/>
                <w:szCs w:val="21"/>
              </w:rPr>
              <w:t>在环境温度 25℃及处理器满载情况下，产品表面温度应符合如下要求：</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a) 出风口在机箱后面板情况下，出风口温度不高于 55℃ ;</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b) 可触及面温度不高于 45℃ ;</w:t>
            </w:r>
          </w:p>
          <w:p>
            <w:pPr>
              <w:rPr>
                <w:rFonts w:ascii="仿宋_GB2312" w:hAnsi="宋体" w:eastAsia="仿宋_GB2312" w:cs="Times New Roman"/>
                <w:szCs w:val="21"/>
              </w:rPr>
            </w:pPr>
            <w:r>
              <w:rPr>
                <w:rFonts w:hint="eastAsia" w:ascii="仿宋_GB2312" w:hAnsi="宋体" w:eastAsia="仿宋_GB2312" w:cs="Times New Roman"/>
                <w:szCs w:val="21"/>
              </w:rPr>
              <w:t>c) 显示器表面温度：显示屏不高于38℃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整机能效限定值</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产品能效限定值应达到 GB 28380-2012标准中能效等级 1 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▲机身材质</w:t>
            </w:r>
          </w:p>
        </w:tc>
        <w:tc>
          <w:tcPr>
            <w:tcW w:w="5225" w:type="dxa"/>
          </w:tcPr>
          <w:p>
            <w:pPr>
              <w:rPr>
                <w:rFonts w:ascii="仿宋_GB2312" w:hAnsi="宋体" w:eastAsia="仿宋_GB2312" w:cs="Times New Roman"/>
                <w:szCs w:val="21"/>
                <w:highlight w:val="yellow"/>
              </w:rPr>
            </w:pPr>
            <w:r>
              <w:rPr>
                <w:rFonts w:hint="eastAsia" w:ascii="仿宋_GB2312" w:hAnsi="宋体" w:eastAsia="仿宋_GB2312" w:cs="Times New Roman"/>
                <w:szCs w:val="21"/>
              </w:rPr>
              <w:t>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机身颜色</w:t>
            </w:r>
          </w:p>
        </w:tc>
        <w:tc>
          <w:tcPr>
            <w:tcW w:w="5225" w:type="dxa"/>
          </w:tcPr>
          <w:p>
            <w:pPr>
              <w:rPr>
                <w:rFonts w:ascii="仿宋_GB2312" w:hAnsi="宋体" w:eastAsia="仿宋_GB2312" w:cs="Times New Roman"/>
                <w:szCs w:val="21"/>
                <w:highlight w:val="yellow"/>
              </w:rPr>
            </w:pPr>
            <w:r>
              <w:rPr>
                <w:rFonts w:hint="eastAsia" w:ascii="仿宋_GB2312" w:hAnsi="宋体" w:eastAsia="仿宋_GB2312" w:cs="Times New Roman"/>
                <w:szCs w:val="21"/>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机箱尺寸容量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 xml:space="preserve">机箱体积应不大于 </w:t>
            </w:r>
            <w:r>
              <w:rPr>
                <w:rFonts w:ascii="仿宋_GB2312" w:hAnsi="宋体" w:eastAsia="仿宋_GB2312" w:cs="Times New Roman"/>
                <w:szCs w:val="21"/>
              </w:rPr>
              <w:t>10</w:t>
            </w:r>
            <w:r>
              <w:rPr>
                <w:rFonts w:hint="eastAsia" w:ascii="仿宋_GB2312" w:hAnsi="宋体" w:eastAsia="仿宋_GB2312" w:cs="Times New Roman"/>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CPU性能</w:t>
            </w: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CPU 物理核数</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≥8核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CPU 主频</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≥2.8GHz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Arial"/>
                <w:szCs w:val="21"/>
              </w:rPr>
            </w:pPr>
            <w:r>
              <w:rPr>
                <w:rFonts w:hint="eastAsia" w:ascii="仿宋_GB2312" w:hAnsi="宋体" w:eastAsia="仿宋_GB2312" w:cs="Arial"/>
                <w:szCs w:val="21"/>
              </w:rPr>
              <w:t>▲CPU 末级缓存容量</w:t>
            </w:r>
          </w:p>
        </w:tc>
        <w:tc>
          <w:tcPr>
            <w:tcW w:w="5225" w:type="dxa"/>
          </w:tcPr>
          <w:p>
            <w:pPr>
              <w:rPr>
                <w:rFonts w:ascii="仿宋_GB2312" w:hAnsi="宋体" w:eastAsia="仿宋_GB2312" w:cs="Arial"/>
                <w:szCs w:val="21"/>
              </w:rPr>
            </w:pPr>
            <w:r>
              <w:rPr>
                <w:rFonts w:hint="eastAsia" w:ascii="仿宋_GB2312" w:hAnsi="宋体" w:eastAsia="仿宋_GB2312" w:cs="Arial"/>
                <w:szCs w:val="21"/>
              </w:rPr>
              <w:t>≥2MB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Arial"/>
                <w:szCs w:val="21"/>
              </w:rPr>
            </w:pPr>
            <w:r>
              <w:rPr>
                <w:rFonts w:hint="eastAsia" w:ascii="仿宋_GB2312" w:hAnsi="宋体" w:eastAsia="仿宋_GB2312" w:cs="Arial"/>
                <w:szCs w:val="21"/>
              </w:rPr>
              <w:t>▲CPU 支持的内存最高速率</w:t>
            </w:r>
          </w:p>
        </w:tc>
        <w:tc>
          <w:tcPr>
            <w:tcW w:w="5225" w:type="dxa"/>
          </w:tcPr>
          <w:p>
            <w:pPr>
              <w:rPr>
                <w:rFonts w:ascii="仿宋_GB2312" w:hAnsi="宋体" w:eastAsia="仿宋_GB2312" w:cs="Arial"/>
                <w:szCs w:val="21"/>
              </w:rPr>
            </w:pPr>
            <w:r>
              <w:rPr>
                <w:rFonts w:hint="eastAsia" w:ascii="仿宋_GB2312" w:hAnsi="宋体" w:eastAsia="仿宋_GB2312" w:cs="Arial"/>
                <w:szCs w:val="21"/>
              </w:rPr>
              <w:t>≥</w:t>
            </w:r>
            <w:r>
              <w:rPr>
                <w:rFonts w:ascii="仿宋_GB2312" w:hAnsi="宋体" w:eastAsia="仿宋_GB2312" w:cs="Arial"/>
                <w:szCs w:val="21"/>
              </w:rPr>
              <w:t>3</w:t>
            </w:r>
            <w:r>
              <w:rPr>
                <w:rFonts w:hint="eastAsia" w:ascii="仿宋_GB2312" w:hAnsi="宋体" w:eastAsia="仿宋_GB2312" w:cs="Arial"/>
                <w:szCs w:val="21"/>
              </w:rPr>
              <w:t>6</w:t>
            </w:r>
            <w:r>
              <w:rPr>
                <w:rFonts w:ascii="仿宋_GB2312" w:hAnsi="宋体" w:eastAsia="仿宋_GB2312" w:cs="Arial"/>
                <w:szCs w:val="21"/>
              </w:rPr>
              <w:t>00</w:t>
            </w:r>
            <w:r>
              <w:rPr>
                <w:rFonts w:hint="eastAsia" w:ascii="仿宋_GB2312" w:hAnsi="宋体" w:eastAsia="仿宋_GB2312" w:cs="Arial"/>
                <w:szCs w:val="21"/>
              </w:rPr>
              <w:t>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内存性能</w:t>
            </w:r>
          </w:p>
        </w:tc>
        <w:tc>
          <w:tcPr>
            <w:tcW w:w="1700" w:type="dxa"/>
          </w:tcPr>
          <w:p>
            <w:pPr>
              <w:rPr>
                <w:rFonts w:ascii="仿宋_GB2312" w:hAnsi="宋体" w:eastAsia="仿宋_GB2312" w:cs="Arial"/>
                <w:szCs w:val="21"/>
              </w:rPr>
            </w:pPr>
            <w:r>
              <w:rPr>
                <w:rFonts w:hint="eastAsia" w:ascii="仿宋_GB2312" w:hAnsi="宋体" w:eastAsia="仿宋_GB2312" w:cs="Arial"/>
                <w:szCs w:val="21"/>
              </w:rPr>
              <w:t>▲内存读写速率</w:t>
            </w:r>
          </w:p>
        </w:tc>
        <w:tc>
          <w:tcPr>
            <w:tcW w:w="5225" w:type="dxa"/>
          </w:tcPr>
          <w:p>
            <w:pPr>
              <w:rPr>
                <w:rFonts w:ascii="仿宋_GB2312" w:hAnsi="宋体" w:eastAsia="仿宋_GB2312" w:cs="Arial"/>
                <w:szCs w:val="21"/>
              </w:rPr>
            </w:pPr>
            <w:r>
              <w:rPr>
                <w:rFonts w:hint="eastAsia" w:ascii="仿宋_GB2312" w:hAnsi="宋体" w:eastAsia="仿宋_GB2312" w:cs="Arial"/>
                <w:szCs w:val="21"/>
              </w:rPr>
              <w:t>≥</w:t>
            </w:r>
            <w:r>
              <w:rPr>
                <w:rFonts w:ascii="仿宋_GB2312" w:hAnsi="宋体" w:eastAsia="仿宋_GB2312" w:cs="Arial"/>
                <w:szCs w:val="21"/>
              </w:rPr>
              <w:t>3</w:t>
            </w:r>
            <w:r>
              <w:rPr>
                <w:rFonts w:hint="eastAsia" w:ascii="仿宋_GB2312" w:hAnsi="宋体" w:eastAsia="仿宋_GB2312" w:cs="Arial"/>
                <w:szCs w:val="21"/>
              </w:rPr>
              <w:t>6</w:t>
            </w:r>
            <w:r>
              <w:rPr>
                <w:rFonts w:ascii="仿宋_GB2312" w:hAnsi="宋体" w:eastAsia="仿宋_GB2312" w:cs="Arial"/>
                <w:szCs w:val="21"/>
              </w:rPr>
              <w:t>00</w:t>
            </w:r>
            <w:r>
              <w:rPr>
                <w:rFonts w:hint="eastAsia" w:ascii="仿宋_GB2312" w:hAnsi="宋体" w:eastAsia="仿宋_GB2312" w:cs="Arial"/>
                <w:szCs w:val="21"/>
              </w:rPr>
              <w:t>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显卡性能</w:t>
            </w:r>
          </w:p>
        </w:tc>
        <w:tc>
          <w:tcPr>
            <w:tcW w:w="1700" w:type="dxa"/>
          </w:tcPr>
          <w:p>
            <w:pPr>
              <w:rPr>
                <w:rFonts w:ascii="仿宋_GB2312" w:hAnsi="宋体" w:eastAsia="仿宋_GB2312" w:cs="Arial"/>
                <w:szCs w:val="21"/>
              </w:rPr>
            </w:pPr>
            <w:r>
              <w:rPr>
                <w:rFonts w:hint="eastAsia" w:ascii="仿宋_GB2312" w:hAnsi="宋体" w:eastAsia="仿宋_GB2312" w:cs="Arial"/>
                <w:szCs w:val="21"/>
              </w:rPr>
              <w:t>▲显示分辨率</w:t>
            </w:r>
          </w:p>
        </w:tc>
        <w:tc>
          <w:tcPr>
            <w:tcW w:w="5225" w:type="dxa"/>
          </w:tcPr>
          <w:p>
            <w:pPr>
              <w:rPr>
                <w:rFonts w:ascii="仿宋_GB2312" w:hAnsi="宋体" w:eastAsia="仿宋_GB2312" w:cs="Arial"/>
                <w:szCs w:val="21"/>
              </w:rPr>
            </w:pPr>
            <w:r>
              <w:rPr>
                <w:rFonts w:hint="eastAsia" w:ascii="仿宋_GB2312" w:hAnsi="宋体" w:eastAsia="仿宋_GB2312" w:cs="Arial"/>
                <w:szCs w:val="21"/>
              </w:rPr>
              <w:t>≥1920x1080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Arial"/>
                <w:szCs w:val="21"/>
              </w:rPr>
            </w:pPr>
            <w:r>
              <w:rPr>
                <w:rFonts w:hint="eastAsia" w:ascii="仿宋_GB2312" w:hAnsi="宋体" w:eastAsia="仿宋_GB2312" w:cs="Arial"/>
                <w:szCs w:val="21"/>
              </w:rPr>
              <w:t>▲显卡显示芯片核心频率</w:t>
            </w:r>
          </w:p>
        </w:tc>
        <w:tc>
          <w:tcPr>
            <w:tcW w:w="5225" w:type="dxa"/>
          </w:tcPr>
          <w:p>
            <w:pPr>
              <w:rPr>
                <w:rFonts w:ascii="仿宋_GB2312" w:hAnsi="宋体" w:eastAsia="仿宋_GB2312" w:cs="Arial"/>
                <w:szCs w:val="21"/>
              </w:rPr>
            </w:pPr>
            <w:r>
              <w:rPr>
                <w:rFonts w:hint="eastAsia" w:ascii="仿宋_GB2312" w:hAnsi="宋体" w:eastAsia="仿宋_GB2312" w:cs="Arial"/>
                <w:szCs w:val="21"/>
              </w:rPr>
              <w:t>≥300MHz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显存等效频率</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≥1000MT/s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Arial"/>
                <w:szCs w:val="21"/>
              </w:rPr>
            </w:pPr>
            <w:r>
              <w:rPr>
                <w:rFonts w:hint="eastAsia" w:ascii="仿宋_GB2312" w:hAnsi="宋体" w:eastAsia="仿宋_GB2312" w:cs="Arial"/>
                <w:szCs w:val="21"/>
              </w:rPr>
              <w:t>▲显卡可支持多屏同时显示数量</w:t>
            </w:r>
          </w:p>
        </w:tc>
        <w:tc>
          <w:tcPr>
            <w:tcW w:w="5225" w:type="dxa"/>
          </w:tcPr>
          <w:p>
            <w:pPr>
              <w:rPr>
                <w:rFonts w:ascii="仿宋_GB2312" w:hAnsi="宋体" w:eastAsia="仿宋_GB2312" w:cs="Arial"/>
                <w:szCs w:val="21"/>
              </w:rPr>
            </w:pPr>
            <w:r>
              <w:rPr>
                <w:rFonts w:hint="eastAsia" w:ascii="仿宋_GB2312" w:hAnsi="宋体" w:eastAsia="仿宋_GB2312" w:cs="Arial"/>
                <w:szCs w:val="21"/>
              </w:rPr>
              <w:t>显卡应支持 2 块屏幕同时显示，分辨率应不低于 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显示设备性能</w:t>
            </w: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▲显示屏刷新率</w:t>
            </w:r>
          </w:p>
        </w:tc>
        <w:tc>
          <w:tcPr>
            <w:tcW w:w="5225" w:type="dxa"/>
          </w:tcPr>
          <w:p>
            <w:pPr>
              <w:rPr>
                <w:rFonts w:ascii="仿宋_GB2312" w:hAnsi="宋体" w:eastAsia="仿宋_GB2312" w:cs="Arial"/>
                <w:szCs w:val="21"/>
              </w:rPr>
            </w:pPr>
            <w:r>
              <w:rPr>
                <w:rFonts w:hint="eastAsia" w:ascii="仿宋_GB2312" w:hAnsi="宋体" w:eastAsia="仿宋_GB2312" w:cs="Arial"/>
                <w:szCs w:val="21"/>
              </w:rPr>
              <w:t>≥75Hz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▲显示屏位深</w:t>
            </w:r>
          </w:p>
        </w:tc>
        <w:tc>
          <w:tcPr>
            <w:tcW w:w="5225" w:type="dxa"/>
          </w:tcPr>
          <w:p>
            <w:pPr>
              <w:rPr>
                <w:rFonts w:ascii="仿宋_GB2312" w:hAnsi="宋体" w:eastAsia="仿宋_GB2312" w:cs="Arial"/>
                <w:szCs w:val="21"/>
              </w:rPr>
            </w:pPr>
            <w:r>
              <w:rPr>
                <w:rFonts w:hint="eastAsia" w:ascii="仿宋_GB2312" w:hAnsi="宋体" w:eastAsia="仿宋_GB2312" w:cs="Arial"/>
                <w:szCs w:val="21"/>
              </w:rPr>
              <w:t>≥8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▲显示屏色域</w:t>
            </w:r>
          </w:p>
        </w:tc>
        <w:tc>
          <w:tcPr>
            <w:tcW w:w="5225" w:type="dxa"/>
          </w:tcPr>
          <w:p>
            <w:pPr>
              <w:rPr>
                <w:rFonts w:ascii="仿宋_GB2312" w:hAnsi="宋体" w:eastAsia="仿宋_GB2312" w:cs="Arial"/>
                <w:szCs w:val="21"/>
              </w:rPr>
            </w:pPr>
            <w:r>
              <w:rPr>
                <w:rFonts w:hint="eastAsia" w:ascii="仿宋_GB2312" w:hAnsi="宋体" w:eastAsia="仿宋_GB2312" w:cs="Arial"/>
                <w:szCs w:val="21"/>
              </w:rPr>
              <w:t>≥99% sRGB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▲显示屏色准</w:t>
            </w:r>
          </w:p>
        </w:tc>
        <w:tc>
          <w:tcPr>
            <w:tcW w:w="5225" w:type="dxa"/>
          </w:tcPr>
          <w:p>
            <w:pPr>
              <w:rPr>
                <w:rFonts w:ascii="仿宋_GB2312" w:hAnsi="宋体" w:eastAsia="仿宋_GB2312" w:cs="Arial"/>
                <w:szCs w:val="21"/>
              </w:rPr>
            </w:pPr>
            <w:r>
              <w:rPr>
                <w:rFonts w:hint="eastAsia" w:ascii="仿宋_GB2312" w:hAnsi="宋体" w:eastAsia="仿宋_GB2312" w:cs="Arial"/>
                <w:szCs w:val="21"/>
              </w:rPr>
              <w:t>△E ≤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▲显示屏响应时间</w:t>
            </w:r>
          </w:p>
        </w:tc>
        <w:tc>
          <w:tcPr>
            <w:tcW w:w="5225" w:type="dxa"/>
          </w:tcPr>
          <w:p>
            <w:pPr>
              <w:rPr>
                <w:rFonts w:ascii="仿宋_GB2312" w:hAnsi="宋体" w:eastAsia="仿宋_GB2312" w:cs="Arial"/>
                <w:szCs w:val="21"/>
              </w:rPr>
            </w:pPr>
            <w:r>
              <w:rPr>
                <w:rFonts w:hint="eastAsia" w:ascii="仿宋_GB2312" w:hAnsi="宋体" w:eastAsia="仿宋_GB2312" w:cs="Arial"/>
                <w:szCs w:val="21"/>
              </w:rPr>
              <w:t>≤5ms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▲显示屏亮度</w:t>
            </w:r>
          </w:p>
        </w:tc>
        <w:tc>
          <w:tcPr>
            <w:tcW w:w="5225" w:type="dxa"/>
          </w:tcPr>
          <w:p>
            <w:pPr>
              <w:rPr>
                <w:rFonts w:ascii="仿宋_GB2312" w:hAnsi="宋体" w:eastAsia="仿宋_GB2312" w:cs="Arial"/>
                <w:szCs w:val="21"/>
              </w:rPr>
            </w:pPr>
            <w:r>
              <w:rPr>
                <w:rFonts w:hint="eastAsia" w:ascii="仿宋_GB2312" w:hAnsi="宋体" w:eastAsia="仿宋_GB2312" w:cs="Arial"/>
                <w:szCs w:val="21"/>
              </w:rPr>
              <w:t>≥250 尼特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▲显示屏亮度一致性</w:t>
            </w:r>
          </w:p>
        </w:tc>
        <w:tc>
          <w:tcPr>
            <w:tcW w:w="5225" w:type="dxa"/>
          </w:tcPr>
          <w:p>
            <w:pPr>
              <w:rPr>
                <w:rFonts w:ascii="仿宋_GB2312" w:hAnsi="宋体" w:eastAsia="仿宋_GB2312" w:cs="Arial"/>
                <w:szCs w:val="21"/>
              </w:rPr>
            </w:pPr>
            <w:r>
              <w:rPr>
                <w:rFonts w:hint="eastAsia" w:ascii="仿宋_GB2312" w:hAnsi="宋体" w:eastAsia="仿宋_GB2312" w:cs="Arial"/>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▲显示屏对比度</w:t>
            </w:r>
          </w:p>
        </w:tc>
        <w:tc>
          <w:tcPr>
            <w:tcW w:w="5225" w:type="dxa"/>
          </w:tcPr>
          <w:p>
            <w:pPr>
              <w:rPr>
                <w:rFonts w:ascii="仿宋_GB2312" w:hAnsi="宋体" w:eastAsia="仿宋_GB2312" w:cs="Arial"/>
                <w:szCs w:val="21"/>
              </w:rPr>
            </w:pPr>
            <w:r>
              <w:rPr>
                <w:rFonts w:hint="eastAsia" w:ascii="仿宋_GB2312" w:hAnsi="宋体" w:eastAsia="仿宋_GB2312" w:cs="Arial"/>
                <w:szCs w:val="21"/>
              </w:rPr>
              <w:t>≥1000：1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▲显示屏其他参数</w:t>
            </w:r>
          </w:p>
        </w:tc>
        <w:tc>
          <w:tcPr>
            <w:tcW w:w="5225" w:type="dxa"/>
          </w:tcPr>
          <w:p>
            <w:pPr>
              <w:rPr>
                <w:rFonts w:ascii="仿宋_GB2312" w:hAnsi="宋体" w:eastAsia="仿宋_GB2312" w:cs="Arial"/>
                <w:szCs w:val="21"/>
              </w:rPr>
            </w:pPr>
            <w:r>
              <w:rPr>
                <w:rFonts w:hint="eastAsia" w:ascii="仿宋_GB2312" w:hAnsi="宋体" w:eastAsia="仿宋_GB2312" w:cs="Arial"/>
                <w:szCs w:val="21"/>
              </w:rPr>
              <w:t>"其它参数应符合 SJ/T 11292 的相关规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网络设备性能</w:t>
            </w: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有线网卡速率</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最高速率≥1000Mbps，支持10Mbps、100Mbps、1000Mbps 速率自适应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主板功能</w:t>
            </w: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内存扩展接口(板载内存不涉及)</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≥2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▲主板 USB瞬间过流保护</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支持有瞬间过流保护功能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▲主板防静电保护</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支持防静电保护功能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▲I/O 接口功能</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提供基于标准 USB 接口外设连接功能、基于音频输入输出接口的音频扩展功能、基于 PCIe 接口板卡扩展功能、基于 HDMI 或 VGA 或 Type-C 或 DVI 或 DP等接口外接显示器扩展功能、基于存储接口对产品进行增容功能等。产品I/O 接口，应具备外接标准 USB 设备、显示器、音频设备等内外部设备能力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显卡功能</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▲显卡外接显示接口</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显卡至少支持 VGA、HDMI、DVI、DP、Type-C 中 1 种显示接口，并与显示器接口相匹配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显示设备功能</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▲显示器接口</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显示器应与显卡外接显示接口匹配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▲显示器支架</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显示器应提供显示器支架，根据采购人需求支持屏幕旋转、升降等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▲显示器参数调节</w:t>
            </w:r>
          </w:p>
        </w:tc>
        <w:tc>
          <w:tcPr>
            <w:tcW w:w="5225" w:type="dxa"/>
          </w:tcPr>
          <w:p>
            <w:pPr>
              <w:rPr>
                <w:rFonts w:hint="eastAsia" w:ascii="仿宋_GB2312" w:hAnsi="宋体" w:eastAsia="仿宋_GB2312" w:cs="Times New Roman"/>
                <w:szCs w:val="21"/>
                <w:lang w:eastAsia="zh-CN"/>
              </w:rPr>
            </w:pPr>
            <w:r>
              <w:rPr>
                <w:rFonts w:hint="eastAsia" w:ascii="仿宋_GB2312" w:hAnsi="宋体" w:eastAsia="仿宋_GB2312" w:cs="Times New Roman"/>
                <w:szCs w:val="21"/>
              </w:rPr>
              <w:t>a)提供 OSD 选单按钮用于调节色彩、模式等；</w:t>
            </w:r>
          </w:p>
          <w:p>
            <w:pPr>
              <w:rPr>
                <w:rFonts w:ascii="仿宋_GB2312" w:hAnsi="宋体" w:eastAsia="仿宋_GB2312" w:cs="Times New Roman"/>
                <w:szCs w:val="21"/>
              </w:rPr>
            </w:pPr>
            <w:r>
              <w:rPr>
                <w:rFonts w:hint="eastAsia" w:ascii="仿宋_GB2312" w:hAnsi="宋体" w:eastAsia="仿宋_GB2312" w:cs="Times New Roman"/>
                <w:szCs w:val="21"/>
              </w:rPr>
              <w:t>b)支持色温、亮度、对比度调节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存储功能</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▲存储功能</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通过 SATA 固态存储/PCIe 固态存储/UFS 固态存储/SATA 硬磁盘等存储部件提供存储功能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网络设备功能</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▲网络功能</w:t>
            </w:r>
          </w:p>
        </w:tc>
        <w:tc>
          <w:tcPr>
            <w:tcW w:w="5225" w:type="dxa"/>
          </w:tcPr>
          <w:p>
            <w:pPr>
              <w:rPr>
                <w:rFonts w:hint="eastAsia" w:ascii="仿宋_GB2312" w:hAnsi="宋体" w:eastAsia="仿宋_GB2312" w:cs="Times New Roman"/>
                <w:szCs w:val="21"/>
                <w:lang w:eastAsia="zh-CN"/>
              </w:rPr>
            </w:pPr>
            <w:r>
              <w:rPr>
                <w:rFonts w:hint="eastAsia" w:ascii="仿宋_GB2312" w:hAnsi="宋体" w:eastAsia="仿宋_GB2312" w:cs="Times New Roman"/>
                <w:szCs w:val="21"/>
              </w:rPr>
              <w:t>a)支持网络连接、网络开启/关闭功能；</w:t>
            </w:r>
          </w:p>
          <w:p>
            <w:pPr>
              <w:rPr>
                <w:rFonts w:ascii="仿宋_GB2312" w:hAnsi="宋体" w:eastAsia="仿宋_GB2312" w:cs="Times New Roman"/>
                <w:szCs w:val="21"/>
              </w:rPr>
            </w:pPr>
            <w:r>
              <w:rPr>
                <w:rFonts w:hint="eastAsia" w:ascii="仿宋_GB2312" w:hAnsi="宋体" w:eastAsia="仿宋_GB2312" w:cs="Times New Roman"/>
                <w:szCs w:val="21"/>
              </w:rPr>
              <w:t>b)支持访问网络和数据交换功能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▲数据传输</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支持数据传输能力，并提供数据流量和异常日志记录功能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▲有线网卡接口类型</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支持 RJ45 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▲网络设备拆装</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网络设备支持物理拆装，包括无线网卡和蓝牙模块等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外部接口功能</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▲音频接口类型</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支持 3.5mm 孔径 3 段式或 4 段式接口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▲视频接口类型</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至少支持 VGA、HDMI、DVI、DP、Type-C中 2 种显示接口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▲HDMI、DP、Type-C 显示接口要求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若提供 HDMI 或 DP 或 Type-C 作为显示接口，应支持音频和视频同步输出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电源功能</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▲电源线适配能力</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电源适配器电线组件应符合 GB/T15934 的要求，可拆线的插头和连接器可以不做要求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存储设备可靠性</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▲固态存储寿命</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TBW≥80TB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▲机械硬盘寿命</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通电时间≥5万小时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显示设备可靠性</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▲显示屏屏幕失效点</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符合GB/T 9813.2 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整机可靠性要求</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▲电磁兼容性要求的抗扰度</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 GB/T 9254.2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▲环境条件要求的气候环境适应性</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 GB/T 9813.1 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▲环境条件要求的振动适应性</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 GB/T 9813.1 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▲环境条件要求的冲击适应性</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 GB/T 9813.1 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▲环境条件要求的碰撞适应性</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 GB/T 9813.1 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▲环境条件要求的运输包装件跌落适应性</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 GB/T 9813.1 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▲MTBF 测试</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MTBF(m1)≥3 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兼容要求</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▲常用软件兼容</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支持流式软件、版式软件、浏览器、邮件采购人端、解压软件、多媒体、图形图像处理等常用软件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▲数据库兼容</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兼容 3 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▲中间件兼容</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兼容 3 个及以上厂商中间件产品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▲平台软件兼容</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兼容 3 个及以上厂商云计算及大数据平台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包装及运输要求</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▲标志、包装、运输和贮存</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 GB/T 9813.1 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服务要求</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▲配置检查工具</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供应商提供自检测试工具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▲服务响应</w:t>
            </w:r>
          </w:p>
        </w:tc>
        <w:tc>
          <w:tcPr>
            <w:tcW w:w="5225" w:type="dxa"/>
          </w:tcPr>
          <w:p>
            <w:pPr>
              <w:rPr>
                <w:rFonts w:hint="eastAsia" w:ascii="仿宋_GB2312" w:hAnsi="宋体" w:eastAsia="仿宋_GB2312" w:cs="Times New Roman"/>
                <w:szCs w:val="21"/>
                <w:lang w:eastAsia="zh-CN"/>
              </w:rPr>
            </w:pPr>
            <w:r>
              <w:rPr>
                <w:rFonts w:hint="eastAsia" w:ascii="仿宋_GB2312" w:hAnsi="宋体" w:eastAsia="仿宋_GB2312" w:cs="Times New Roman"/>
                <w:szCs w:val="21"/>
              </w:rPr>
              <w:t>a)供应商提供电话、电子邮件、远程连接等多种形式服务；</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b)供应商提供同城 4h、异地 12h 技术响应服务，2 个工作日解决问题，对于未能解决的问题和故障应提供可行的升级方案，并提供周转设备或更换设备；</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c)建立全国技术服务体系和服务团体，符合专业服务体系标准要求，提供原厂中文服务；</w:t>
            </w:r>
          </w:p>
          <w:p>
            <w:pPr>
              <w:rPr>
                <w:rFonts w:ascii="仿宋_GB2312" w:hAnsi="宋体" w:eastAsia="仿宋_GB2312" w:cs="Times New Roman"/>
                <w:szCs w:val="21"/>
              </w:rPr>
            </w:pPr>
            <w:r>
              <w:rPr>
                <w:rFonts w:hint="eastAsia" w:ascii="仿宋_GB2312" w:hAnsi="宋体" w:eastAsia="仿宋_GB2312" w:cs="Times New Roman"/>
                <w:szCs w:val="21"/>
              </w:rPr>
              <w:t>d)服务周期内提供产品的维修、换件和升级服务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▲服务周期</w:t>
            </w:r>
          </w:p>
        </w:tc>
        <w:tc>
          <w:tcPr>
            <w:tcW w:w="5225" w:type="dxa"/>
          </w:tcPr>
          <w:p>
            <w:pPr>
              <w:rPr>
                <w:rFonts w:hint="eastAsia" w:ascii="仿宋_GB2312" w:hAnsi="宋体" w:eastAsia="仿宋_GB2312" w:cs="Times New Roman"/>
                <w:szCs w:val="21"/>
                <w:lang w:eastAsia="zh-CN"/>
              </w:rPr>
            </w:pPr>
            <w:r>
              <w:rPr>
                <w:rFonts w:hint="eastAsia" w:ascii="仿宋_GB2312" w:hAnsi="宋体" w:eastAsia="仿宋_GB2312" w:cs="Times New Roman"/>
                <w:szCs w:val="21"/>
              </w:rPr>
              <w:t>a) 设备停产后应继续提供质量保障服务（含备品备件），服务终止时间与最后一批设备交付时间间隔不低于</w:t>
            </w:r>
            <w:r>
              <w:rPr>
                <w:rFonts w:ascii="仿宋_GB2312" w:hAnsi="宋体" w:eastAsia="仿宋_GB2312" w:cs="Times New Roman"/>
                <w:szCs w:val="21"/>
              </w:rPr>
              <w:t>3</w:t>
            </w:r>
            <w:r>
              <w:rPr>
                <w:rFonts w:hint="eastAsia" w:ascii="仿宋_GB2312" w:hAnsi="宋体" w:eastAsia="仿宋_GB2312" w:cs="Times New Roman"/>
                <w:szCs w:val="21"/>
              </w:rPr>
              <w:t>年；</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b) 产品停止服务时间应提前 1 年告知；</w:t>
            </w:r>
          </w:p>
          <w:p>
            <w:pPr>
              <w:rPr>
                <w:rFonts w:ascii="仿宋_GB2312" w:hAnsi="宋体" w:eastAsia="仿宋_GB2312" w:cs="Times New Roman"/>
                <w:szCs w:val="21"/>
              </w:rPr>
            </w:pPr>
            <w:r>
              <w:rPr>
                <w:rFonts w:hint="eastAsia" w:ascii="仿宋_GB2312" w:hAnsi="宋体" w:eastAsia="仿宋_GB2312" w:cs="Times New Roman"/>
                <w:szCs w:val="21"/>
              </w:rPr>
              <w:t>c) 应明确产品发布日期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▲预装操作系统</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预装符合桌面操作系统政府采购需求标准的正版操作系统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▲培训服务</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▲典型问题解决手册</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供应商提供典型问题解决说明文档或视频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▲厂家升级软件与扩容服务</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供应商提供上门升级部件/软件与扩容的增值服务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▲整机质量服务要求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免费服务周期（含换件和维修）应不小于 3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▲合格证书要求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▲开箱组装/使用指导要求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供应商提供开箱组装/使用指导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▲驱动下载服务要求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供应商提供驱动光盘或下载方式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▲兼容适配软件下载服务要求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供应商提供兼容适配软件下载渠道（光盘、网站）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供应链合规性</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▲产品部件保障</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 xml:space="preserve">供应商保障产品主要部件，提供 </w:t>
            </w:r>
            <w:r>
              <w:rPr>
                <w:rFonts w:ascii="仿宋_GB2312" w:hAnsi="宋体" w:eastAsia="仿宋_GB2312" w:cs="Times New Roman"/>
                <w:szCs w:val="21"/>
              </w:rPr>
              <w:t>3</w:t>
            </w:r>
            <w:r>
              <w:rPr>
                <w:rFonts w:hint="eastAsia" w:ascii="仿宋_GB2312" w:hAnsi="宋体" w:eastAsia="仿宋_GB2312" w:cs="Times New Roman"/>
                <w:szCs w:val="21"/>
              </w:rPr>
              <w:t xml:space="preserve"> 年的备件服务能力（自购买之日起），或提供可兼容原设备的升级换代产品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供应链质量</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▲抗干扰性</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当产品部件出现供应风险时，供应商应通知采购人并提供风险应对方案确保产品的服务保障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▲供应能力证明</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供应商提供供应链稳定承诺书，确保产品的部件在产品服务周期内稳定供货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bCs/>
                <w:szCs w:val="21"/>
              </w:rPr>
            </w:pPr>
          </w:p>
        </w:tc>
        <w:tc>
          <w:tcPr>
            <w:tcW w:w="1025" w:type="dxa"/>
          </w:tcPr>
          <w:p>
            <w:pPr>
              <w:rPr>
                <w:rFonts w:ascii="仿宋_GB2312" w:hAnsi="宋体" w:eastAsia="仿宋_GB2312" w:cs="Times New Roman"/>
                <w:bCs/>
                <w:szCs w:val="21"/>
              </w:rPr>
            </w:pPr>
            <w:r>
              <w:rPr>
                <w:rFonts w:hint="eastAsia" w:ascii="仿宋_GB2312" w:hAnsi="宋体" w:eastAsia="仿宋_GB2312" w:cs="Times New Roman"/>
                <w:bCs/>
                <w:szCs w:val="21"/>
              </w:rPr>
              <w:t>关键部件安全要求</w:t>
            </w:r>
          </w:p>
        </w:tc>
        <w:tc>
          <w:tcPr>
            <w:tcW w:w="1700" w:type="dxa"/>
          </w:tcPr>
          <w:p>
            <w:pPr>
              <w:rPr>
                <w:rFonts w:ascii="仿宋_GB2312" w:hAnsi="宋体" w:eastAsia="仿宋_GB2312" w:cs="Times New Roman"/>
                <w:bCs/>
                <w:szCs w:val="21"/>
              </w:rPr>
            </w:pPr>
            <w:r>
              <w:rPr>
                <w:rFonts w:hint="eastAsia" w:ascii="仿宋_GB2312" w:hAnsi="宋体" w:eastAsia="仿宋_GB2312" w:cs="Times New Roman"/>
                <w:szCs w:val="21"/>
              </w:rPr>
              <w:t>▲</w:t>
            </w:r>
            <w:r>
              <w:rPr>
                <w:rFonts w:hint="eastAsia" w:ascii="仿宋_GB2312" w:hAnsi="宋体" w:eastAsia="仿宋_GB2312" w:cs="Times New Roman"/>
                <w:bCs/>
                <w:szCs w:val="21"/>
              </w:rPr>
              <w:t>关键部件安全要求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CPU 和操作系统等关键部件应当符合安全可靠测评要求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整机安全性要求</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▲密码算法实现</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CPU 芯片应符合 GM/T 0008 的相关规定，或芯片密码模块应符合 GB/T 37092或 GM/T 0028 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▲信息安全基本要求</w:t>
            </w:r>
          </w:p>
        </w:tc>
        <w:tc>
          <w:tcPr>
            <w:tcW w:w="5225" w:type="dxa"/>
          </w:tcPr>
          <w:p>
            <w:pPr>
              <w:rPr>
                <w:rFonts w:hint="eastAsia" w:ascii="仿宋_GB2312" w:hAnsi="宋体" w:eastAsia="仿宋_GB2312" w:cs="Times New Roman"/>
                <w:szCs w:val="21"/>
                <w:lang w:eastAsia="zh-CN"/>
              </w:rPr>
            </w:pPr>
            <w:r>
              <w:rPr>
                <w:rFonts w:hint="eastAsia" w:ascii="仿宋_GB2312" w:hAnsi="宋体" w:eastAsia="仿宋_GB2312" w:cs="Times New Roman"/>
                <w:szCs w:val="21"/>
              </w:rPr>
              <w:t>a) 产品应符合 GB/T 39276 的 5.2 的规定；</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b) 生产厂商应建立漏洞跟踪表，保证产品版本涉及到的漏洞(如驱动程序等)可查看；</w:t>
            </w:r>
          </w:p>
          <w:p>
            <w:pPr>
              <w:rPr>
                <w:rFonts w:ascii="仿宋_GB2312" w:hAnsi="宋体" w:eastAsia="仿宋_GB2312" w:cs="Times New Roman"/>
                <w:szCs w:val="21"/>
              </w:rPr>
            </w:pPr>
            <w:r>
              <w:rPr>
                <w:rFonts w:hint="eastAsia" w:ascii="仿宋_GB2312" w:hAnsi="宋体" w:eastAsia="仿宋_GB2312" w:cs="Times New Roman"/>
                <w:szCs w:val="21"/>
              </w:rPr>
              <w:t>c) 产品不得包含已知的恶意代码或漏洞，不存在未声明的指令、功能、接口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▲固件安全启动</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支持固件安全启动功能，固件启动过程中只有通过启动校验才能正常启动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▲限用物质的限量要求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 GB/T 26572 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1"/>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节能要求</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▲节能证书</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提供国家确定的认证机构出具的、处于有效期之内的节能产品认证证书</w:t>
            </w:r>
          </w:p>
        </w:tc>
      </w:tr>
    </w:tbl>
    <w:p>
      <w:pPr>
        <w:spacing w:line="360" w:lineRule="auto"/>
        <w:ind w:firstLine="480" w:firstLineChars="200"/>
        <w:rPr>
          <w:rFonts w:ascii="仿宋_GB2312" w:hAnsi="仿宋_GB2312" w:eastAsia="仿宋_GB2312" w:cs="仿宋_GB2312"/>
          <w:color w:val="000000"/>
          <w:kern w:val="0"/>
          <w:sz w:val="24"/>
          <w:szCs w:val="24"/>
        </w:rPr>
      </w:pPr>
    </w:p>
    <w:p>
      <w:pPr>
        <w:spacing w:line="360" w:lineRule="auto"/>
        <w:rPr>
          <w:rFonts w:ascii="仿宋_GB2312" w:hAnsi="仿宋_GB2312" w:eastAsia="仿宋_GB2312" w:cs="仿宋_GB2312"/>
          <w:b/>
          <w:color w:val="000000"/>
          <w:sz w:val="24"/>
          <w:szCs w:val="24"/>
        </w:rPr>
      </w:pP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b/>
          <w:color w:val="000000"/>
          <w:sz w:val="24"/>
          <w:szCs w:val="24"/>
        </w:rPr>
        <w:t>四、工期、供货地点、质保期（运维期）</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▲1.工期：合同签订之日起至9月底前完成系统功能测试并实现与省应急厅态势感知汇聚平台无缝对接，且通过初步验收；</w:t>
      </w:r>
      <w:r>
        <w:rPr>
          <w:rFonts w:hint="eastAsia" w:ascii="仿宋_GB2312" w:hAnsi="仿宋_GB2312" w:eastAsia="仿宋_GB2312" w:cs="仿宋_GB2312"/>
          <w:sz w:val="24"/>
          <w:szCs w:val="24"/>
        </w:rPr>
        <w:t>10月份进入试运行，11月底完成终验并交付使用。</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2.供货地点：根据采购人安排送至指定地点。</w:t>
      </w:r>
    </w:p>
    <w:p>
      <w:pPr>
        <w:spacing w:line="360" w:lineRule="auto"/>
        <w:ind w:firstLine="240" w:firstLineChars="1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▲3.质保期及运维期要求：</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（1）质保期：本项目所采购的所有设备质保期从项目终验合格开始计算，投标人应提供不少于3年的质保服务，在质保期内投标人应免费上门对损坏的部件或设备或系统进行维修、安装、更换、调试等；质保期</w:t>
      </w:r>
      <w:r>
        <w:rPr>
          <w:rFonts w:hint="eastAsia" w:ascii="仿宋_GB2312" w:hAnsi="仿宋_GB2312" w:eastAsia="仿宋_GB2312" w:cs="仿宋_GB2312"/>
          <w:bCs/>
          <w:color w:val="000000" w:themeColor="text1"/>
          <w:sz w:val="24"/>
          <w:szCs w:val="24"/>
        </w:rPr>
        <w:t>内免费更换的设备零部件质保期应自更换之日起计不少于3年。</w:t>
      </w:r>
    </w:p>
    <w:p>
      <w:pPr>
        <w:spacing w:line="360" w:lineRule="auto"/>
        <w:ind w:firstLine="480" w:firstLineChars="200"/>
        <w:rPr>
          <w:rFonts w:ascii="仿宋_GB2312" w:hAnsi="仿宋_GB2312" w:eastAsia="仿宋_GB2312" w:cs="仿宋_GB2312"/>
          <w:bCs/>
          <w:color w:val="000000" w:themeColor="text1"/>
          <w:sz w:val="24"/>
          <w:szCs w:val="24"/>
          <w:highlight w:val="yellow"/>
        </w:rPr>
      </w:pPr>
      <w:r>
        <w:rPr>
          <w:rFonts w:hint="eastAsia" w:ascii="仿宋_GB2312" w:hAnsi="仿宋_GB2312" w:eastAsia="仿宋_GB2312" w:cs="仿宋_GB2312"/>
          <w:bCs/>
          <w:color w:val="000000" w:themeColor="text1"/>
          <w:sz w:val="24"/>
          <w:szCs w:val="24"/>
        </w:rPr>
        <w:t>（2）运维期：本项目所采购的各项设备及相关服务的运维期</w:t>
      </w:r>
      <w:r>
        <w:rPr>
          <w:rFonts w:hint="eastAsia" w:ascii="仿宋_GB2312" w:hAnsi="仿宋_GB2312" w:eastAsia="仿宋_GB2312" w:cs="仿宋_GB2312"/>
          <w:color w:val="000000" w:themeColor="text1"/>
          <w:sz w:val="24"/>
          <w:szCs w:val="24"/>
        </w:rPr>
        <w:t>从项目终验合格开始计算，投标人应提供不少于3年的运维服务。</w:t>
      </w:r>
    </w:p>
    <w:p>
      <w:pPr>
        <w:spacing w:line="360" w:lineRule="auto"/>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五、供货、安装及验收要求</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1.所有产品必须是厂家原装生产,原厂、原包装送货到采购人指定地点。</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2.中标人应做好安全防护措施，在项目实施工程中的一切安全责任均由中标人自行承担。</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3.中标人须派遣技术熟练的专业技术人员按照国家有关标准进行设备安装、调试直至设备验收合格通过。</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本项目设备安装完成后，由采购人组织相关人员进行验收，验收合格条件为相关对接或数据要求均已完成，使用效果符合国家相关标准、采购文件技术规格要求、中标人投标文件中的承诺，并得到采购人的认可。</w:t>
      </w:r>
    </w:p>
    <w:p>
      <w:pPr>
        <w:spacing w:line="360" w:lineRule="auto"/>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六、售后服务及运维服务要求</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1.中标人应提供上门售后服务，并提供7×24小时热线电话服务。</w:t>
      </w:r>
    </w:p>
    <w:p>
      <w:pPr>
        <w:spacing w:line="360" w:lineRule="auto"/>
        <w:ind w:firstLine="480" w:firstLineChars="200"/>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2.响应时间：中标人应在接到采购人通报故障的电话或传真后应立即响应，对于无法通过电话或传真指导排除故障的，中标人在接到通知后2小时内响应，6小时内到达故障现场，无特殊情况在当天负责将系统恢复正常使用。修理费用由中标人承担，</w:t>
      </w:r>
      <w:r>
        <w:rPr>
          <w:rFonts w:hint="eastAsia" w:ascii="仿宋_GB2312" w:hAnsi="仿宋_GB2312" w:eastAsia="仿宋_GB2312" w:cs="仿宋_GB2312"/>
          <w:bCs/>
          <w:color w:val="000000"/>
          <w:sz w:val="24"/>
          <w:szCs w:val="24"/>
        </w:rPr>
        <w:t>因自然灾害影响无法在规定时间赶到现场及时排除故障的，待自然灾害结束后，应立即赶到现场排除故障。</w:t>
      </w:r>
      <w:r>
        <w:rPr>
          <w:rFonts w:hint="eastAsia" w:ascii="仿宋_GB2312" w:hAnsi="仿宋_GB2312" w:eastAsia="仿宋_GB2312" w:cs="仿宋_GB2312"/>
          <w:color w:val="000000"/>
          <w:sz w:val="24"/>
          <w:szCs w:val="24"/>
        </w:rPr>
        <w:t>货到现场后由于采购人保管不当造成的问题，中标人亦应负责修复，但费用由采购人负担。</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3.质保期（运维期）内因产品质量问题而引起的维修费用（包括材料和人工费以及措施费等一切费用）均由中标人承担。</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4.在质保期（运维期）内设备出现2次维修不合格时，应及时更换新设备，以满足设备正常运行。</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5.维护单位需在舟山市有本岛常驻维护人员不少于1名,驻点维护车辆不少于1辆，必要的时候，根据用户需要，可以直接前往用户场所，进行维保工作。</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6.维护人员应有足够的备件在公司或用户单位，从而以最快的速度解决系统的故障。</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7.在用户承担重大活动保卫任务期间，根据用户要求，需派技术人员提前到场，保证任务期间系统正常运行。</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8、任何部件出现故障（除人为和自然不可抗力以外），中标人需协调原生产厂商进行免费维修，元器件免费更换，直至修复系统。</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9.各系统中的高功率损耗部件，如出现老化损耗现象，中标人可向用户建议整机更新，视情况收取相应成本费。</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r>
        <w:rPr>
          <w:rFonts w:hint="eastAsia" w:ascii="仿宋_GB2312" w:hAnsi="仿宋_GB2312" w:eastAsia="仿宋_GB2312" w:cs="仿宋_GB2312"/>
          <w:bCs/>
          <w:color w:val="000000"/>
          <w:sz w:val="24"/>
          <w:szCs w:val="24"/>
        </w:rPr>
        <w:t>质保期（运维期）</w:t>
      </w:r>
      <w:r>
        <w:rPr>
          <w:rFonts w:hint="eastAsia" w:ascii="仿宋_GB2312" w:hAnsi="仿宋_GB2312" w:eastAsia="仿宋_GB2312" w:cs="仿宋_GB2312"/>
          <w:color w:val="000000"/>
          <w:sz w:val="24"/>
          <w:szCs w:val="24"/>
        </w:rPr>
        <w:t>结束前，须由中标人和采购人进行一次全面检查，任何缺陷必须由中标人负责修理，在修理之后，中标人应将缺陷原因、修理内容、完成修理及恢复正常的时间和日期等报告给采购人，报告一式两份。</w:t>
      </w:r>
    </w:p>
    <w:p>
      <w:pPr>
        <w:spacing w:line="360" w:lineRule="auto"/>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七、培训要求</w:t>
      </w:r>
    </w:p>
    <w:p>
      <w:pPr>
        <w:adjustRightInd w:val="0"/>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为使采购人能正确使用产品，应对采购人相关人员进行操作、维修、维护的培训，使产品能正确的为采购人使用并达到使用效果。</w:t>
      </w:r>
    </w:p>
    <w:p>
      <w:pPr>
        <w:adjustRightInd w:val="0"/>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（1）需要培训的人数：按照实际情况需求，由采购人确定。</w:t>
      </w:r>
    </w:p>
    <w:p>
      <w:pPr>
        <w:adjustRightInd w:val="0"/>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（2）培训方式：用户现场培训。</w:t>
      </w:r>
    </w:p>
    <w:p>
      <w:pPr>
        <w:adjustRightInd w:val="0"/>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（3）培训费用：由中标人承担。</w:t>
      </w:r>
    </w:p>
    <w:p>
      <w:pPr>
        <w:adjustRightInd w:val="0"/>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（4）培训完成时间：培训工作直至用户人员能独立并正确使用该产品为止。</w:t>
      </w:r>
    </w:p>
    <w:p>
      <w:pPr>
        <w:spacing w:line="360" w:lineRule="auto"/>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八、报价要求</w:t>
      </w:r>
    </w:p>
    <w:p>
      <w:pPr>
        <w:adjustRightInd w:val="0"/>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1、采购人有权对产品数量作适当增加或减少，中标单价不变。</w:t>
      </w:r>
    </w:p>
    <w:p>
      <w:pPr>
        <w:adjustRightInd w:val="0"/>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2、不论投标结果如何，投标人均应自行承担所有与投标有关的全部费用。</w:t>
      </w:r>
    </w:p>
    <w:p>
      <w:pPr>
        <w:pStyle w:val="12"/>
        <w:ind w:left="0" w:leftChars="0" w:right="-21" w:rightChars="-10" w:firstLine="480"/>
        <w:jc w:val="left"/>
        <w:rPr>
          <w:rFonts w:hAnsi="仿宋_GB2312" w:cs="仿宋_GB2312"/>
          <w:color w:val="000000"/>
          <w:sz w:val="24"/>
          <w:szCs w:val="24"/>
        </w:rPr>
      </w:pPr>
      <w:r>
        <w:rPr>
          <w:rFonts w:hint="eastAsia" w:hAnsi="仿宋_GB2312" w:cs="仿宋_GB2312"/>
          <w:color w:val="000000"/>
          <w:sz w:val="24"/>
          <w:szCs w:val="24"/>
        </w:rPr>
        <w:t>3、投标人免费提供的部件必须注明“免费”或数字“0”。</w:t>
      </w:r>
    </w:p>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br w:type="page"/>
      </w:r>
    </w:p>
    <w:bookmarkEnd w:id="28"/>
    <w:bookmarkEnd w:id="29"/>
    <w:bookmarkEnd w:id="30"/>
    <w:p>
      <w:pPr>
        <w:spacing w:line="288" w:lineRule="auto"/>
        <w:ind w:firstLine="480" w:firstLineChars="200"/>
        <w:rPr>
          <w:rFonts w:ascii="仿宋_GB2312" w:hAnsi="仿宋_GB2312" w:eastAsia="仿宋_GB2312" w:cs="仿宋_GB2312"/>
          <w:color w:val="000000"/>
          <w:sz w:val="24"/>
          <w:szCs w:val="24"/>
        </w:rPr>
      </w:pPr>
    </w:p>
    <w:p>
      <w:pPr>
        <w:pStyle w:val="11"/>
        <w:rPr>
          <w:rFonts w:ascii="仿宋_GB2312" w:hAnsi="仿宋_GB2312" w:eastAsia="仿宋_GB2312" w:cs="仿宋_GB2312"/>
          <w:b/>
          <w:bCs/>
        </w:rPr>
      </w:pPr>
      <w:r>
        <w:rPr>
          <w:rFonts w:hint="eastAsia" w:ascii="仿宋_GB2312" w:hAnsi="仿宋_GB2312" w:eastAsia="仿宋_GB2312" w:cs="仿宋_GB2312"/>
          <w:color w:val="000000"/>
          <w:szCs w:val="24"/>
        </w:rPr>
        <w:t xml:space="preserve"> </w:t>
      </w:r>
    </w:p>
    <w:p>
      <w:pPr>
        <w:ind w:firstLine="2731" w:firstLineChars="850"/>
        <w:jc w:val="left"/>
        <w:outlineLvl w:val="0"/>
        <w:rPr>
          <w:b/>
          <w:sz w:val="32"/>
          <w:szCs w:val="32"/>
        </w:rPr>
      </w:pPr>
      <w:r>
        <w:rPr>
          <w:rFonts w:hint="eastAsia"/>
          <w:b/>
          <w:sz w:val="32"/>
          <w:szCs w:val="32"/>
        </w:rPr>
        <w:t xml:space="preserve">第四部分   </w:t>
      </w:r>
      <w:bookmarkStart w:id="32" w:name="_Toc184312138"/>
      <w:bookmarkEnd w:id="32"/>
      <w:bookmarkStart w:id="33" w:name="_Toc184312076"/>
      <w:bookmarkEnd w:id="33"/>
      <w:bookmarkStart w:id="34" w:name="_Toc184308036"/>
      <w:bookmarkEnd w:id="34"/>
      <w:bookmarkStart w:id="35" w:name="_Toc184310341"/>
      <w:bookmarkEnd w:id="35"/>
      <w:bookmarkStart w:id="36" w:name="_Toc184312121"/>
      <w:bookmarkEnd w:id="36"/>
      <w:bookmarkStart w:id="37" w:name="_Toc184313303"/>
      <w:bookmarkEnd w:id="37"/>
      <w:bookmarkStart w:id="38" w:name="_Toc184312115"/>
      <w:bookmarkEnd w:id="38"/>
      <w:bookmarkStart w:id="39" w:name="_Toc184312135"/>
      <w:bookmarkEnd w:id="39"/>
      <w:bookmarkStart w:id="40" w:name="_Toc184314454"/>
      <w:bookmarkEnd w:id="40"/>
      <w:bookmarkStart w:id="41" w:name="_Toc184312094"/>
      <w:bookmarkEnd w:id="41"/>
      <w:bookmarkStart w:id="42" w:name="_Toc184308095"/>
      <w:bookmarkEnd w:id="42"/>
      <w:bookmarkStart w:id="43" w:name="_Toc184312109"/>
      <w:bookmarkEnd w:id="43"/>
      <w:bookmarkStart w:id="44" w:name="_Toc184310311"/>
      <w:bookmarkEnd w:id="44"/>
      <w:bookmarkStart w:id="45" w:name="_Toc184310326"/>
      <w:bookmarkEnd w:id="45"/>
      <w:bookmarkStart w:id="46" w:name="_Toc184314415"/>
      <w:bookmarkEnd w:id="46"/>
      <w:bookmarkStart w:id="47" w:name="_Toc184310322"/>
      <w:bookmarkEnd w:id="47"/>
      <w:bookmarkStart w:id="48" w:name="_Toc184308091"/>
      <w:bookmarkEnd w:id="48"/>
      <w:bookmarkStart w:id="49" w:name="_Toc184314460"/>
      <w:bookmarkEnd w:id="49"/>
      <w:bookmarkStart w:id="50" w:name="_Toc184308056"/>
      <w:bookmarkEnd w:id="50"/>
      <w:bookmarkStart w:id="51" w:name="_Toc184310343"/>
      <w:bookmarkEnd w:id="51"/>
      <w:bookmarkStart w:id="52" w:name="_Toc184314462"/>
      <w:bookmarkEnd w:id="52"/>
      <w:bookmarkStart w:id="53" w:name="_Toc184313262"/>
      <w:bookmarkEnd w:id="53"/>
      <w:bookmarkStart w:id="54" w:name="_Toc184312128"/>
      <w:bookmarkEnd w:id="54"/>
      <w:bookmarkStart w:id="55" w:name="_Toc184314433"/>
      <w:bookmarkEnd w:id="55"/>
      <w:bookmarkStart w:id="56" w:name="_Toc184313266"/>
      <w:bookmarkEnd w:id="56"/>
      <w:bookmarkStart w:id="57" w:name="_Toc184312120"/>
      <w:bookmarkEnd w:id="57"/>
      <w:bookmarkStart w:id="58" w:name="_Toc184312088"/>
      <w:bookmarkEnd w:id="58"/>
      <w:bookmarkStart w:id="59" w:name="_Toc184312095"/>
      <w:bookmarkEnd w:id="59"/>
      <w:bookmarkStart w:id="60" w:name="_Toc184310286"/>
      <w:bookmarkEnd w:id="60"/>
      <w:bookmarkStart w:id="61" w:name="_Toc184313278"/>
      <w:bookmarkEnd w:id="61"/>
      <w:bookmarkStart w:id="62" w:name="_Toc184314437"/>
      <w:bookmarkEnd w:id="62"/>
      <w:bookmarkStart w:id="63" w:name="_Toc184308064"/>
      <w:bookmarkEnd w:id="63"/>
      <w:bookmarkStart w:id="64" w:name="_Toc184312067"/>
      <w:bookmarkEnd w:id="64"/>
      <w:bookmarkStart w:id="65" w:name="_Toc184313252"/>
      <w:bookmarkEnd w:id="65"/>
      <w:bookmarkStart w:id="66" w:name="_Toc184312130"/>
      <w:bookmarkEnd w:id="66"/>
      <w:bookmarkStart w:id="67" w:name="_Toc184308080"/>
      <w:bookmarkEnd w:id="67"/>
      <w:bookmarkStart w:id="68" w:name="_Toc184310291"/>
      <w:bookmarkEnd w:id="68"/>
      <w:bookmarkStart w:id="69" w:name="_Toc184312077"/>
      <w:bookmarkEnd w:id="69"/>
      <w:bookmarkStart w:id="70" w:name="_Toc184314479"/>
      <w:bookmarkEnd w:id="70"/>
      <w:bookmarkStart w:id="71" w:name="_Toc184308052"/>
      <w:bookmarkEnd w:id="71"/>
      <w:bookmarkStart w:id="72" w:name="_Toc184314445"/>
      <w:bookmarkEnd w:id="72"/>
      <w:bookmarkStart w:id="73" w:name="_Toc184313242"/>
      <w:bookmarkEnd w:id="73"/>
      <w:bookmarkStart w:id="74" w:name="_Toc184310318"/>
      <w:bookmarkEnd w:id="74"/>
      <w:bookmarkStart w:id="75" w:name="_Toc184314411"/>
      <w:bookmarkEnd w:id="75"/>
      <w:bookmarkStart w:id="76" w:name="_Toc184314465"/>
      <w:bookmarkEnd w:id="76"/>
      <w:bookmarkStart w:id="77" w:name="_Toc184314449"/>
      <w:bookmarkEnd w:id="77"/>
      <w:bookmarkStart w:id="78" w:name="_Toc184312108"/>
      <w:bookmarkEnd w:id="78"/>
      <w:bookmarkStart w:id="79" w:name="_Toc184314443"/>
      <w:bookmarkEnd w:id="79"/>
      <w:bookmarkStart w:id="80" w:name="_Toc184314446"/>
      <w:bookmarkEnd w:id="80"/>
      <w:bookmarkStart w:id="81" w:name="_Toc184308042"/>
      <w:bookmarkEnd w:id="81"/>
      <w:bookmarkStart w:id="82" w:name="_Toc184312090"/>
      <w:bookmarkEnd w:id="82"/>
      <w:bookmarkStart w:id="83" w:name="_Toc184312073"/>
      <w:bookmarkEnd w:id="83"/>
      <w:bookmarkStart w:id="84" w:name="_Toc184310295"/>
      <w:bookmarkEnd w:id="84"/>
      <w:bookmarkStart w:id="85" w:name="_Toc184313264"/>
      <w:bookmarkEnd w:id="85"/>
      <w:bookmarkStart w:id="86" w:name="_Toc184314418"/>
      <w:bookmarkEnd w:id="86"/>
      <w:bookmarkStart w:id="87" w:name="_Toc184312107"/>
      <w:bookmarkEnd w:id="87"/>
      <w:bookmarkStart w:id="88" w:name="_Toc184312100"/>
      <w:bookmarkEnd w:id="88"/>
      <w:bookmarkStart w:id="89" w:name="_Toc184312078"/>
      <w:bookmarkEnd w:id="89"/>
      <w:bookmarkStart w:id="90" w:name="_Toc184312132"/>
      <w:bookmarkEnd w:id="90"/>
      <w:bookmarkStart w:id="91" w:name="_Toc184312083"/>
      <w:bookmarkEnd w:id="91"/>
      <w:bookmarkStart w:id="92" w:name="_Toc184310301"/>
      <w:bookmarkEnd w:id="92"/>
      <w:bookmarkStart w:id="93" w:name="_Toc184310321"/>
      <w:bookmarkEnd w:id="93"/>
      <w:bookmarkStart w:id="94" w:name="_Toc184310294"/>
      <w:bookmarkEnd w:id="94"/>
      <w:bookmarkStart w:id="95" w:name="_Toc184310340"/>
      <w:bookmarkEnd w:id="95"/>
      <w:bookmarkStart w:id="96" w:name="_Toc184314431"/>
      <w:bookmarkEnd w:id="96"/>
      <w:bookmarkStart w:id="97" w:name="_Toc184313263"/>
      <w:bookmarkEnd w:id="97"/>
      <w:bookmarkStart w:id="98" w:name="_Toc184313251"/>
      <w:bookmarkEnd w:id="98"/>
      <w:bookmarkStart w:id="99" w:name="_Toc184308049"/>
      <w:bookmarkEnd w:id="99"/>
      <w:bookmarkStart w:id="100" w:name="_Toc184308047"/>
      <w:bookmarkEnd w:id="100"/>
      <w:bookmarkStart w:id="101" w:name="_Toc184310330"/>
      <w:bookmarkEnd w:id="101"/>
      <w:bookmarkStart w:id="102" w:name="_Toc184310304"/>
      <w:bookmarkEnd w:id="102"/>
      <w:bookmarkStart w:id="103" w:name="_Toc184312098"/>
      <w:bookmarkEnd w:id="103"/>
      <w:bookmarkStart w:id="104" w:name="_Toc184310284"/>
      <w:bookmarkEnd w:id="104"/>
      <w:bookmarkStart w:id="105" w:name="_Toc184310277"/>
      <w:bookmarkEnd w:id="105"/>
      <w:bookmarkStart w:id="106" w:name="_Toc184314472"/>
      <w:bookmarkEnd w:id="106"/>
      <w:bookmarkStart w:id="107" w:name="_Toc184313292"/>
      <w:bookmarkEnd w:id="107"/>
      <w:bookmarkStart w:id="108" w:name="_Toc184308088"/>
      <w:bookmarkEnd w:id="108"/>
      <w:bookmarkStart w:id="109" w:name="_Toc184314482"/>
      <w:bookmarkEnd w:id="109"/>
      <w:bookmarkStart w:id="110" w:name="_Toc184310297"/>
      <w:bookmarkEnd w:id="110"/>
      <w:bookmarkStart w:id="111" w:name="_Toc184314463"/>
      <w:bookmarkEnd w:id="111"/>
      <w:bookmarkStart w:id="112" w:name="_Toc184314430"/>
      <w:bookmarkEnd w:id="112"/>
      <w:bookmarkStart w:id="113" w:name="_Toc184308077"/>
      <w:bookmarkEnd w:id="113"/>
      <w:bookmarkStart w:id="114" w:name="_Toc184308104"/>
      <w:bookmarkEnd w:id="114"/>
      <w:bookmarkStart w:id="115" w:name="_Toc184314476"/>
      <w:bookmarkEnd w:id="115"/>
      <w:bookmarkStart w:id="116" w:name="_Toc184313265"/>
      <w:bookmarkEnd w:id="116"/>
      <w:bookmarkStart w:id="117" w:name="_Toc184313245"/>
      <w:bookmarkEnd w:id="117"/>
      <w:bookmarkStart w:id="118" w:name="_Toc184314420"/>
      <w:bookmarkEnd w:id="118"/>
      <w:bookmarkStart w:id="119" w:name="_Toc184310275"/>
      <w:bookmarkEnd w:id="119"/>
      <w:bookmarkStart w:id="120" w:name="_Toc184314436"/>
      <w:bookmarkEnd w:id="120"/>
      <w:bookmarkStart w:id="121" w:name="_Toc184308076"/>
      <w:bookmarkEnd w:id="121"/>
      <w:bookmarkStart w:id="122" w:name="_Toc184314434"/>
      <w:bookmarkEnd w:id="122"/>
      <w:bookmarkStart w:id="123" w:name="_Toc184310329"/>
      <w:bookmarkEnd w:id="123"/>
      <w:bookmarkStart w:id="124" w:name="_Toc184308079"/>
      <w:bookmarkEnd w:id="124"/>
      <w:bookmarkStart w:id="125" w:name="_Toc184314410"/>
      <w:bookmarkEnd w:id="125"/>
      <w:bookmarkStart w:id="126" w:name="_Toc184314421"/>
      <w:bookmarkEnd w:id="126"/>
      <w:bookmarkStart w:id="127" w:name="_Toc184308065"/>
      <w:bookmarkEnd w:id="127"/>
      <w:bookmarkStart w:id="128" w:name="_Toc184313308"/>
      <w:bookmarkEnd w:id="128"/>
      <w:bookmarkStart w:id="129" w:name="_Toc184308106"/>
      <w:bookmarkEnd w:id="129"/>
      <w:bookmarkStart w:id="130" w:name="_Toc184314441"/>
      <w:bookmarkEnd w:id="130"/>
      <w:bookmarkStart w:id="131" w:name="_Toc184308102"/>
      <w:bookmarkEnd w:id="131"/>
      <w:bookmarkStart w:id="132" w:name="_Toc184310331"/>
      <w:bookmarkEnd w:id="132"/>
      <w:bookmarkStart w:id="133" w:name="_Toc184312103"/>
      <w:bookmarkEnd w:id="133"/>
      <w:bookmarkStart w:id="134" w:name="_Toc184312124"/>
      <w:bookmarkEnd w:id="134"/>
      <w:bookmarkStart w:id="135" w:name="_Toc184308084"/>
      <w:bookmarkEnd w:id="135"/>
      <w:bookmarkStart w:id="136" w:name="_Toc184313274"/>
      <w:bookmarkEnd w:id="136"/>
      <w:bookmarkStart w:id="137" w:name="_Toc184312117"/>
      <w:bookmarkEnd w:id="137"/>
      <w:bookmarkStart w:id="138" w:name="_Toc184313247"/>
      <w:bookmarkEnd w:id="138"/>
      <w:bookmarkStart w:id="139" w:name="_Toc184314473"/>
      <w:bookmarkEnd w:id="139"/>
      <w:bookmarkStart w:id="140" w:name="_Toc184312105"/>
      <w:bookmarkEnd w:id="140"/>
      <w:bookmarkStart w:id="141" w:name="_Toc184312114"/>
      <w:bookmarkEnd w:id="141"/>
      <w:bookmarkStart w:id="142" w:name="_Toc184308072"/>
      <w:bookmarkEnd w:id="142"/>
      <w:bookmarkStart w:id="143" w:name="_Toc184308107"/>
      <w:bookmarkEnd w:id="143"/>
      <w:bookmarkStart w:id="144" w:name="_Toc184313243"/>
      <w:bookmarkEnd w:id="144"/>
      <w:bookmarkStart w:id="145" w:name="_Toc184312091"/>
      <w:bookmarkEnd w:id="145"/>
      <w:bookmarkStart w:id="146" w:name="_Toc184313273"/>
      <w:bookmarkEnd w:id="146"/>
      <w:bookmarkStart w:id="147" w:name="_Toc184313272"/>
      <w:bookmarkEnd w:id="147"/>
      <w:bookmarkStart w:id="148" w:name="_Toc184310290"/>
      <w:bookmarkEnd w:id="148"/>
      <w:bookmarkStart w:id="149" w:name="_Toc184314440"/>
      <w:bookmarkEnd w:id="149"/>
      <w:bookmarkStart w:id="150" w:name="_Toc184313280"/>
      <w:bookmarkEnd w:id="150"/>
      <w:bookmarkStart w:id="151" w:name="_Toc184312075"/>
      <w:bookmarkEnd w:id="151"/>
      <w:bookmarkStart w:id="152" w:name="_Toc184310288"/>
      <w:bookmarkEnd w:id="152"/>
      <w:bookmarkStart w:id="153" w:name="_Toc184313296"/>
      <w:bookmarkEnd w:id="153"/>
      <w:bookmarkStart w:id="154" w:name="_Toc184313291"/>
      <w:bookmarkEnd w:id="154"/>
      <w:bookmarkStart w:id="155" w:name="_Toc184308073"/>
      <w:bookmarkEnd w:id="155"/>
      <w:bookmarkStart w:id="156" w:name="_Toc184312126"/>
      <w:bookmarkEnd w:id="156"/>
      <w:bookmarkStart w:id="157" w:name="_Toc184312122"/>
      <w:bookmarkEnd w:id="157"/>
      <w:bookmarkStart w:id="158" w:name="_Toc184310313"/>
      <w:bookmarkEnd w:id="158"/>
      <w:bookmarkStart w:id="159" w:name="_Toc184312071"/>
      <w:bookmarkEnd w:id="159"/>
      <w:bookmarkStart w:id="160" w:name="_Toc184310314"/>
      <w:bookmarkEnd w:id="160"/>
      <w:bookmarkStart w:id="161" w:name="_Toc184310278"/>
      <w:bookmarkEnd w:id="161"/>
      <w:bookmarkStart w:id="162" w:name="_Toc184314447"/>
      <w:bookmarkEnd w:id="162"/>
      <w:bookmarkStart w:id="163" w:name="_Toc184310334"/>
      <w:bookmarkEnd w:id="163"/>
      <w:bookmarkStart w:id="164" w:name="_Toc184308071"/>
      <w:bookmarkEnd w:id="164"/>
      <w:bookmarkStart w:id="165" w:name="_Toc184314466"/>
      <w:bookmarkEnd w:id="165"/>
      <w:bookmarkStart w:id="166" w:name="_Toc184314424"/>
      <w:bookmarkEnd w:id="166"/>
      <w:bookmarkStart w:id="167" w:name="_Toc184310317"/>
      <w:bookmarkEnd w:id="167"/>
      <w:bookmarkStart w:id="168" w:name="_Toc184312070"/>
      <w:bookmarkEnd w:id="168"/>
      <w:bookmarkStart w:id="169" w:name="_Toc184308046"/>
      <w:bookmarkEnd w:id="169"/>
      <w:bookmarkStart w:id="170" w:name="_Toc184313271"/>
      <w:bookmarkEnd w:id="170"/>
      <w:bookmarkStart w:id="171" w:name="_Toc184310335"/>
      <w:bookmarkEnd w:id="171"/>
      <w:bookmarkStart w:id="172" w:name="_Toc184313306"/>
      <w:bookmarkEnd w:id="172"/>
      <w:bookmarkStart w:id="173" w:name="_Toc184310281"/>
      <w:bookmarkEnd w:id="173"/>
      <w:bookmarkStart w:id="174" w:name="_Toc184308038"/>
      <w:bookmarkEnd w:id="174"/>
      <w:bookmarkStart w:id="175" w:name="_Toc184312102"/>
      <w:bookmarkEnd w:id="175"/>
      <w:bookmarkStart w:id="176" w:name="_Toc184308075"/>
      <w:bookmarkEnd w:id="176"/>
      <w:bookmarkStart w:id="177" w:name="_Toc184310312"/>
      <w:bookmarkEnd w:id="177"/>
      <w:bookmarkStart w:id="178" w:name="_Toc184310289"/>
      <w:bookmarkEnd w:id="178"/>
      <w:bookmarkStart w:id="179" w:name="_Toc184312085"/>
      <w:bookmarkEnd w:id="179"/>
      <w:bookmarkStart w:id="180" w:name="_Toc184314423"/>
      <w:bookmarkEnd w:id="180"/>
      <w:bookmarkStart w:id="181" w:name="_Toc184310332"/>
      <w:bookmarkEnd w:id="181"/>
      <w:bookmarkStart w:id="182" w:name="_Toc184313307"/>
      <w:bookmarkEnd w:id="182"/>
      <w:bookmarkStart w:id="183" w:name="_Toc184308108"/>
      <w:bookmarkEnd w:id="183"/>
      <w:bookmarkStart w:id="184" w:name="_Toc184312104"/>
      <w:bookmarkEnd w:id="184"/>
      <w:bookmarkStart w:id="185" w:name="_Toc184308090"/>
      <w:bookmarkEnd w:id="185"/>
      <w:bookmarkStart w:id="186" w:name="_Toc184312081"/>
      <w:bookmarkEnd w:id="186"/>
      <w:bookmarkStart w:id="187" w:name="_Toc184310323"/>
      <w:bookmarkEnd w:id="187"/>
      <w:bookmarkStart w:id="188" w:name="_Toc184314444"/>
      <w:bookmarkEnd w:id="188"/>
      <w:bookmarkStart w:id="189" w:name="_Toc184312072"/>
      <w:bookmarkEnd w:id="189"/>
      <w:bookmarkStart w:id="190" w:name="_Toc184313269"/>
      <w:bookmarkEnd w:id="190"/>
      <w:bookmarkStart w:id="191" w:name="_Toc184314429"/>
      <w:bookmarkEnd w:id="191"/>
      <w:bookmarkStart w:id="192" w:name="_Toc184310325"/>
      <w:bookmarkEnd w:id="192"/>
      <w:bookmarkStart w:id="193" w:name="_Toc184308055"/>
      <w:bookmarkEnd w:id="193"/>
      <w:bookmarkStart w:id="194" w:name="_Toc184314453"/>
      <w:bookmarkEnd w:id="194"/>
      <w:bookmarkStart w:id="195" w:name="_Toc184313240"/>
      <w:bookmarkEnd w:id="195"/>
      <w:bookmarkStart w:id="196" w:name="_Toc184312118"/>
      <w:bookmarkEnd w:id="196"/>
      <w:bookmarkStart w:id="197" w:name="_Toc184314455"/>
      <w:bookmarkEnd w:id="197"/>
      <w:bookmarkStart w:id="198" w:name="_Toc184310306"/>
      <w:bookmarkEnd w:id="198"/>
      <w:bookmarkStart w:id="199" w:name="_Toc184310316"/>
      <w:bookmarkEnd w:id="199"/>
      <w:bookmarkStart w:id="200" w:name="_Toc184314469"/>
      <w:bookmarkEnd w:id="200"/>
      <w:bookmarkStart w:id="201" w:name="_Toc184312096"/>
      <w:bookmarkEnd w:id="201"/>
      <w:bookmarkStart w:id="202" w:name="_Toc184313258"/>
      <w:bookmarkEnd w:id="202"/>
      <w:bookmarkStart w:id="203" w:name="_Toc184308062"/>
      <w:bookmarkEnd w:id="203"/>
      <w:bookmarkStart w:id="204" w:name="_Toc184314471"/>
      <w:bookmarkEnd w:id="204"/>
      <w:bookmarkStart w:id="205" w:name="_Toc184308061"/>
      <w:bookmarkEnd w:id="205"/>
      <w:bookmarkStart w:id="206" w:name="_Toc184313259"/>
      <w:bookmarkEnd w:id="206"/>
      <w:bookmarkStart w:id="207" w:name="_Toc184312125"/>
      <w:bookmarkEnd w:id="207"/>
      <w:bookmarkStart w:id="208" w:name="_Toc184308063"/>
      <w:bookmarkEnd w:id="208"/>
      <w:bookmarkStart w:id="209" w:name="_Toc184308045"/>
      <w:bookmarkEnd w:id="209"/>
      <w:bookmarkStart w:id="210" w:name="_Toc184313300"/>
      <w:bookmarkEnd w:id="210"/>
      <w:bookmarkStart w:id="211" w:name="_Toc184313304"/>
      <w:bookmarkEnd w:id="211"/>
      <w:bookmarkStart w:id="212" w:name="_Toc184308082"/>
      <w:bookmarkEnd w:id="212"/>
      <w:bookmarkStart w:id="213" w:name="_Toc184308083"/>
      <w:bookmarkEnd w:id="213"/>
      <w:bookmarkStart w:id="214" w:name="_Toc184314461"/>
      <w:bookmarkEnd w:id="214"/>
      <w:bookmarkStart w:id="215" w:name="_Toc184313298"/>
      <w:bookmarkEnd w:id="215"/>
      <w:bookmarkStart w:id="216" w:name="_Toc184312080"/>
      <w:bookmarkEnd w:id="216"/>
      <w:bookmarkStart w:id="217" w:name="_Toc184313257"/>
      <w:bookmarkEnd w:id="217"/>
      <w:bookmarkStart w:id="218" w:name="_Toc184312086"/>
      <w:bookmarkEnd w:id="218"/>
      <w:bookmarkStart w:id="219" w:name="_Toc184312111"/>
      <w:bookmarkEnd w:id="219"/>
      <w:bookmarkStart w:id="220" w:name="_Toc184314422"/>
      <w:bookmarkEnd w:id="220"/>
      <w:bookmarkStart w:id="221" w:name="_Toc184308059"/>
      <w:bookmarkEnd w:id="221"/>
      <w:bookmarkStart w:id="222" w:name="_Toc184313310"/>
      <w:bookmarkEnd w:id="222"/>
      <w:bookmarkStart w:id="223" w:name="_Toc184313270"/>
      <w:bookmarkEnd w:id="223"/>
      <w:bookmarkStart w:id="224" w:name="_Toc184314448"/>
      <w:bookmarkEnd w:id="224"/>
      <w:bookmarkStart w:id="225" w:name="_Toc184308078"/>
      <w:bookmarkEnd w:id="225"/>
      <w:bookmarkStart w:id="226" w:name="_Toc184310305"/>
      <w:bookmarkEnd w:id="226"/>
      <w:bookmarkStart w:id="227" w:name="_Toc184308067"/>
      <w:bookmarkEnd w:id="227"/>
      <w:bookmarkStart w:id="228" w:name="_Toc184308041"/>
      <w:bookmarkEnd w:id="228"/>
      <w:bookmarkStart w:id="229" w:name="_Toc184313253"/>
      <w:bookmarkEnd w:id="229"/>
      <w:bookmarkStart w:id="230" w:name="_Toc184308070"/>
      <w:bookmarkEnd w:id="230"/>
      <w:bookmarkStart w:id="231" w:name="_Toc184308048"/>
      <w:bookmarkEnd w:id="231"/>
      <w:bookmarkStart w:id="232" w:name="_Toc184314428"/>
      <w:bookmarkEnd w:id="232"/>
      <w:bookmarkStart w:id="233" w:name="_Toc184314450"/>
      <w:bookmarkEnd w:id="233"/>
      <w:bookmarkStart w:id="234" w:name="_Toc184310333"/>
      <w:bookmarkEnd w:id="234"/>
      <w:bookmarkStart w:id="235" w:name="_Toc184314413"/>
      <w:bookmarkEnd w:id="235"/>
      <w:bookmarkStart w:id="236" w:name="_Toc184310319"/>
      <w:bookmarkEnd w:id="236"/>
      <w:bookmarkStart w:id="237" w:name="_Toc184314442"/>
      <w:bookmarkEnd w:id="237"/>
      <w:bookmarkStart w:id="238" w:name="_Toc184310272"/>
      <w:bookmarkEnd w:id="238"/>
      <w:bookmarkStart w:id="239" w:name="_Toc184313275"/>
      <w:bookmarkEnd w:id="239"/>
      <w:bookmarkStart w:id="240" w:name="_Toc184314480"/>
      <w:bookmarkEnd w:id="240"/>
      <w:bookmarkStart w:id="241" w:name="_Toc184312084"/>
      <w:bookmarkEnd w:id="241"/>
      <w:bookmarkStart w:id="242" w:name="_Toc184310309"/>
      <w:bookmarkEnd w:id="242"/>
      <w:bookmarkStart w:id="243" w:name="_Toc184313284"/>
      <w:bookmarkEnd w:id="243"/>
      <w:bookmarkStart w:id="244" w:name="_Toc184310285"/>
      <w:bookmarkEnd w:id="244"/>
      <w:bookmarkStart w:id="245" w:name="_Toc184312113"/>
      <w:bookmarkEnd w:id="245"/>
      <w:bookmarkStart w:id="246" w:name="_Toc184308069"/>
      <w:bookmarkEnd w:id="246"/>
      <w:bookmarkStart w:id="247" w:name="_Toc184308093"/>
      <w:bookmarkEnd w:id="247"/>
      <w:bookmarkStart w:id="248" w:name="_Toc184314459"/>
      <w:bookmarkEnd w:id="248"/>
      <w:bookmarkStart w:id="249" w:name="_Toc184308096"/>
      <w:bookmarkEnd w:id="249"/>
      <w:bookmarkStart w:id="250" w:name="_Toc184312079"/>
      <w:bookmarkEnd w:id="250"/>
      <w:bookmarkStart w:id="251" w:name="_Toc184313246"/>
      <w:bookmarkEnd w:id="251"/>
      <w:bookmarkStart w:id="252" w:name="_Toc184312137"/>
      <w:bookmarkEnd w:id="252"/>
      <w:bookmarkStart w:id="253" w:name="_Toc184310280"/>
      <w:bookmarkEnd w:id="253"/>
      <w:bookmarkStart w:id="254" w:name="_Toc184308100"/>
      <w:bookmarkEnd w:id="254"/>
      <w:bookmarkStart w:id="255" w:name="_Toc184310299"/>
      <w:bookmarkEnd w:id="255"/>
      <w:bookmarkStart w:id="256" w:name="_Toc184308044"/>
      <w:bookmarkEnd w:id="256"/>
      <w:bookmarkStart w:id="257" w:name="_Toc184308051"/>
      <w:bookmarkEnd w:id="257"/>
      <w:bookmarkStart w:id="258" w:name="_Toc184308057"/>
      <w:bookmarkEnd w:id="258"/>
      <w:bookmarkStart w:id="259" w:name="_Toc184313256"/>
      <w:bookmarkEnd w:id="259"/>
      <w:bookmarkStart w:id="260" w:name="_Toc184308054"/>
      <w:bookmarkEnd w:id="260"/>
      <w:bookmarkStart w:id="261" w:name="_Toc184312134"/>
      <w:bookmarkEnd w:id="261"/>
      <w:bookmarkStart w:id="262" w:name="_Toc184310292"/>
      <w:bookmarkEnd w:id="262"/>
      <w:bookmarkStart w:id="263" w:name="_Toc184312129"/>
      <w:bookmarkEnd w:id="263"/>
      <w:bookmarkStart w:id="264" w:name="_Toc184313238"/>
      <w:bookmarkEnd w:id="264"/>
      <w:bookmarkStart w:id="265" w:name="_Toc184313290"/>
      <w:bookmarkEnd w:id="265"/>
      <w:bookmarkStart w:id="266" w:name="_Toc184308097"/>
      <w:bookmarkEnd w:id="266"/>
      <w:bookmarkStart w:id="267" w:name="_Toc184314464"/>
      <w:bookmarkEnd w:id="267"/>
      <w:bookmarkStart w:id="268" w:name="_Toc184313302"/>
      <w:bookmarkEnd w:id="268"/>
      <w:bookmarkStart w:id="269" w:name="_Toc184312093"/>
      <w:bookmarkEnd w:id="269"/>
      <w:bookmarkStart w:id="270" w:name="_Toc184313299"/>
      <w:bookmarkEnd w:id="270"/>
      <w:bookmarkStart w:id="271" w:name="_Toc184310276"/>
      <w:bookmarkEnd w:id="271"/>
      <w:bookmarkStart w:id="272" w:name="_Toc184312116"/>
      <w:bookmarkEnd w:id="272"/>
      <w:bookmarkStart w:id="273" w:name="_Toc184314439"/>
      <w:bookmarkEnd w:id="273"/>
      <w:bookmarkStart w:id="274" w:name="_Toc184308053"/>
      <w:bookmarkEnd w:id="274"/>
      <w:bookmarkStart w:id="275" w:name="_Toc184313287"/>
      <w:bookmarkEnd w:id="275"/>
      <w:bookmarkStart w:id="276" w:name="_Toc184310328"/>
      <w:bookmarkEnd w:id="276"/>
      <w:bookmarkStart w:id="277" w:name="_Toc184314468"/>
      <w:bookmarkEnd w:id="277"/>
      <w:bookmarkStart w:id="278" w:name="_Toc184310327"/>
      <w:bookmarkEnd w:id="278"/>
      <w:bookmarkStart w:id="279" w:name="_Toc184314467"/>
      <w:bookmarkEnd w:id="279"/>
      <w:bookmarkStart w:id="280" w:name="_Toc184313268"/>
      <w:bookmarkEnd w:id="280"/>
      <w:bookmarkStart w:id="281" w:name="_Toc184313261"/>
      <w:bookmarkEnd w:id="281"/>
      <w:bookmarkStart w:id="282" w:name="_Toc184313267"/>
      <w:bookmarkEnd w:id="282"/>
      <w:bookmarkStart w:id="283" w:name="_Toc184312082"/>
      <w:bookmarkEnd w:id="283"/>
      <w:bookmarkStart w:id="284" w:name="_Toc184308066"/>
      <w:bookmarkEnd w:id="284"/>
      <w:bookmarkStart w:id="285" w:name="_Toc184313309"/>
      <w:bookmarkEnd w:id="285"/>
      <w:bookmarkStart w:id="286" w:name="_Toc184313239"/>
      <w:bookmarkEnd w:id="286"/>
      <w:bookmarkStart w:id="287" w:name="_Toc184308094"/>
      <w:bookmarkEnd w:id="287"/>
      <w:bookmarkStart w:id="288" w:name="_Toc184314481"/>
      <w:bookmarkEnd w:id="288"/>
      <w:bookmarkStart w:id="289" w:name="_Toc184314432"/>
      <w:bookmarkEnd w:id="289"/>
      <w:bookmarkStart w:id="290" w:name="_Toc184308039"/>
      <w:bookmarkEnd w:id="290"/>
      <w:bookmarkStart w:id="291" w:name="_Toc184313277"/>
      <w:bookmarkEnd w:id="291"/>
      <w:bookmarkStart w:id="292" w:name="_Toc184308037"/>
      <w:bookmarkEnd w:id="292"/>
      <w:bookmarkStart w:id="293" w:name="_Toc184310293"/>
      <w:bookmarkEnd w:id="293"/>
      <w:bookmarkStart w:id="294" w:name="_Toc184314456"/>
      <w:bookmarkEnd w:id="294"/>
      <w:bookmarkStart w:id="295" w:name="_Toc184308081"/>
      <w:bookmarkEnd w:id="295"/>
      <w:bookmarkStart w:id="296" w:name="_Toc184313276"/>
      <w:bookmarkEnd w:id="296"/>
      <w:bookmarkStart w:id="297" w:name="_Toc184308074"/>
      <w:bookmarkEnd w:id="297"/>
      <w:bookmarkStart w:id="298" w:name="_Toc184308092"/>
      <w:bookmarkEnd w:id="298"/>
      <w:bookmarkStart w:id="299" w:name="_Toc184312131"/>
      <w:bookmarkEnd w:id="299"/>
      <w:bookmarkStart w:id="300" w:name="_Toc184314477"/>
      <w:bookmarkEnd w:id="300"/>
      <w:bookmarkStart w:id="301" w:name="_Toc184314417"/>
      <w:bookmarkEnd w:id="301"/>
      <w:bookmarkStart w:id="302" w:name="_Toc184308050"/>
      <w:bookmarkEnd w:id="302"/>
      <w:bookmarkStart w:id="303" w:name="_Toc184312110"/>
      <w:bookmarkEnd w:id="303"/>
      <w:bookmarkStart w:id="304" w:name="_Toc184313241"/>
      <w:bookmarkEnd w:id="304"/>
      <w:bookmarkStart w:id="305" w:name="_Toc184314475"/>
      <w:bookmarkEnd w:id="305"/>
      <w:bookmarkStart w:id="306" w:name="_Toc184312127"/>
      <w:bookmarkEnd w:id="306"/>
      <w:bookmarkStart w:id="307" w:name="_Toc184312136"/>
      <w:bookmarkEnd w:id="307"/>
      <w:bookmarkStart w:id="308" w:name="_Toc184314416"/>
      <w:bookmarkEnd w:id="308"/>
      <w:bookmarkStart w:id="309" w:name="_Toc184313295"/>
      <w:bookmarkEnd w:id="309"/>
      <w:bookmarkStart w:id="310" w:name="_Toc184314452"/>
      <w:bookmarkEnd w:id="310"/>
      <w:bookmarkStart w:id="311" w:name="_Toc184308101"/>
      <w:bookmarkEnd w:id="311"/>
      <w:bookmarkStart w:id="312" w:name="_Toc184310344"/>
      <w:bookmarkEnd w:id="312"/>
      <w:bookmarkStart w:id="313" w:name="_Toc184310308"/>
      <w:bookmarkEnd w:id="313"/>
      <w:bookmarkStart w:id="314" w:name="_Toc184312068"/>
      <w:bookmarkEnd w:id="314"/>
      <w:bookmarkStart w:id="315" w:name="_Toc184312097"/>
      <w:bookmarkEnd w:id="315"/>
      <w:bookmarkStart w:id="316" w:name="_Toc184312099"/>
      <w:bookmarkEnd w:id="316"/>
      <w:bookmarkStart w:id="317" w:name="_Toc184313285"/>
      <w:bookmarkEnd w:id="317"/>
      <w:bookmarkStart w:id="318" w:name="_Toc184313250"/>
      <w:bookmarkEnd w:id="318"/>
      <w:bookmarkStart w:id="319" w:name="_Toc184310282"/>
      <w:bookmarkEnd w:id="319"/>
      <w:bookmarkStart w:id="320" w:name="_Toc184314451"/>
      <w:bookmarkEnd w:id="320"/>
      <w:bookmarkStart w:id="321" w:name="_Toc184310337"/>
      <w:bookmarkEnd w:id="321"/>
      <w:bookmarkStart w:id="322" w:name="_Toc184314425"/>
      <w:bookmarkEnd w:id="322"/>
      <w:bookmarkStart w:id="323" w:name="_Toc184314414"/>
      <w:bookmarkEnd w:id="323"/>
      <w:bookmarkStart w:id="324" w:name="_Toc184313255"/>
      <w:bookmarkEnd w:id="324"/>
      <w:bookmarkStart w:id="325" w:name="_Toc184312089"/>
      <w:bookmarkEnd w:id="325"/>
      <w:bookmarkStart w:id="326" w:name="_Toc184314438"/>
      <w:bookmarkEnd w:id="326"/>
      <w:bookmarkStart w:id="327" w:name="_Toc184310302"/>
      <w:bookmarkEnd w:id="327"/>
      <w:bookmarkStart w:id="328" w:name="_Toc184310283"/>
      <w:bookmarkEnd w:id="328"/>
      <w:bookmarkStart w:id="329" w:name="_Toc184312139"/>
      <w:bookmarkEnd w:id="329"/>
      <w:bookmarkStart w:id="330" w:name="_Toc184310320"/>
      <w:bookmarkEnd w:id="330"/>
      <w:bookmarkStart w:id="331" w:name="_Toc184312106"/>
      <w:bookmarkEnd w:id="331"/>
      <w:bookmarkStart w:id="332" w:name="_Toc184314419"/>
      <w:bookmarkEnd w:id="332"/>
      <w:bookmarkStart w:id="333" w:name="_Toc184313294"/>
      <w:bookmarkEnd w:id="333"/>
      <w:bookmarkStart w:id="334" w:name="_Toc184310273"/>
      <w:bookmarkEnd w:id="334"/>
      <w:bookmarkStart w:id="335" w:name="_Toc184310310"/>
      <w:bookmarkEnd w:id="335"/>
      <w:bookmarkStart w:id="336" w:name="_Toc184310342"/>
      <w:bookmarkEnd w:id="336"/>
      <w:bookmarkStart w:id="337" w:name="_Toc184313260"/>
      <w:bookmarkEnd w:id="337"/>
      <w:bookmarkStart w:id="338" w:name="_Toc184313244"/>
      <w:bookmarkEnd w:id="338"/>
      <w:bookmarkStart w:id="339" w:name="_Toc184310324"/>
      <w:bookmarkEnd w:id="339"/>
      <w:bookmarkStart w:id="340" w:name="_Toc184308098"/>
      <w:bookmarkEnd w:id="340"/>
      <w:bookmarkStart w:id="341" w:name="_Toc184314457"/>
      <w:bookmarkEnd w:id="341"/>
      <w:bookmarkStart w:id="342" w:name="_Toc184314435"/>
      <w:bookmarkEnd w:id="342"/>
      <w:bookmarkStart w:id="343" w:name="_Toc184310307"/>
      <w:bookmarkEnd w:id="343"/>
      <w:bookmarkStart w:id="344" w:name="_Toc184308105"/>
      <w:bookmarkEnd w:id="344"/>
      <w:bookmarkStart w:id="345" w:name="_Toc184308085"/>
      <w:bookmarkEnd w:id="345"/>
      <w:bookmarkStart w:id="346" w:name="_Toc184313305"/>
      <w:bookmarkEnd w:id="346"/>
      <w:bookmarkStart w:id="347" w:name="_Toc184313289"/>
      <w:bookmarkEnd w:id="347"/>
      <w:bookmarkStart w:id="348" w:name="_Toc184313297"/>
      <w:bookmarkEnd w:id="348"/>
      <w:bookmarkStart w:id="349" w:name="_Toc184313293"/>
      <w:bookmarkEnd w:id="349"/>
      <w:bookmarkStart w:id="350" w:name="_Toc184314470"/>
      <w:bookmarkEnd w:id="350"/>
      <w:bookmarkStart w:id="351" w:name="_Toc184308040"/>
      <w:bookmarkEnd w:id="351"/>
      <w:bookmarkStart w:id="352" w:name="_Toc184310298"/>
      <w:bookmarkEnd w:id="352"/>
      <w:bookmarkStart w:id="353" w:name="_Toc184310336"/>
      <w:bookmarkEnd w:id="353"/>
      <w:bookmarkStart w:id="354" w:name="_Toc184310338"/>
      <w:bookmarkEnd w:id="354"/>
      <w:bookmarkStart w:id="355" w:name="_Toc184313286"/>
      <w:bookmarkEnd w:id="355"/>
      <w:bookmarkStart w:id="356" w:name="_Toc184310300"/>
      <w:bookmarkEnd w:id="356"/>
      <w:bookmarkStart w:id="357" w:name="_Toc184312092"/>
      <w:bookmarkEnd w:id="357"/>
      <w:bookmarkStart w:id="358" w:name="_Toc184312119"/>
      <w:bookmarkEnd w:id="358"/>
      <w:bookmarkStart w:id="359" w:name="_Toc184308089"/>
      <w:bookmarkEnd w:id="359"/>
      <w:bookmarkStart w:id="360" w:name="_Toc184310315"/>
      <w:bookmarkEnd w:id="360"/>
      <w:bookmarkStart w:id="361" w:name="_Toc184313254"/>
      <w:bookmarkEnd w:id="361"/>
      <w:bookmarkStart w:id="362" w:name="_Toc184314458"/>
      <w:bookmarkEnd w:id="362"/>
      <w:bookmarkStart w:id="363" w:name="_Toc184314412"/>
      <w:bookmarkEnd w:id="363"/>
      <w:bookmarkStart w:id="364" w:name="_Toc184308058"/>
      <w:bookmarkEnd w:id="364"/>
      <w:bookmarkStart w:id="365" w:name="_Toc184312112"/>
      <w:bookmarkEnd w:id="365"/>
      <w:bookmarkStart w:id="366" w:name="_Toc184312123"/>
      <w:bookmarkEnd w:id="366"/>
      <w:bookmarkStart w:id="367" w:name="_Toc184312087"/>
      <w:bookmarkEnd w:id="367"/>
      <w:bookmarkStart w:id="368" w:name="_Toc184312101"/>
      <w:bookmarkEnd w:id="368"/>
      <w:bookmarkStart w:id="369" w:name="_Toc184308060"/>
      <w:bookmarkEnd w:id="369"/>
      <w:bookmarkStart w:id="370" w:name="_Toc184313249"/>
      <w:bookmarkEnd w:id="370"/>
      <w:bookmarkStart w:id="371" w:name="_Toc184314427"/>
      <w:bookmarkEnd w:id="371"/>
      <w:bookmarkStart w:id="372" w:name="_Toc184312133"/>
      <w:bookmarkEnd w:id="372"/>
      <w:bookmarkStart w:id="373" w:name="_Toc184308068"/>
      <w:bookmarkEnd w:id="373"/>
      <w:bookmarkStart w:id="374" w:name="_Toc184308099"/>
      <w:bookmarkEnd w:id="374"/>
      <w:bookmarkStart w:id="375" w:name="_Toc184310339"/>
      <w:bookmarkEnd w:id="375"/>
      <w:bookmarkStart w:id="376" w:name="_Toc184308103"/>
      <w:bookmarkEnd w:id="376"/>
      <w:bookmarkStart w:id="377" w:name="_Toc184313281"/>
      <w:bookmarkEnd w:id="377"/>
      <w:bookmarkStart w:id="378" w:name="_Toc184308086"/>
      <w:bookmarkEnd w:id="378"/>
      <w:bookmarkStart w:id="379" w:name="_Toc184313283"/>
      <w:bookmarkEnd w:id="379"/>
      <w:bookmarkStart w:id="380" w:name="_Toc184308087"/>
      <w:bookmarkEnd w:id="380"/>
      <w:bookmarkStart w:id="381" w:name="_Toc184310296"/>
      <w:bookmarkEnd w:id="381"/>
      <w:bookmarkStart w:id="382" w:name="_Toc184314426"/>
      <w:bookmarkEnd w:id="382"/>
      <w:bookmarkStart w:id="383" w:name="_Toc184312074"/>
      <w:bookmarkEnd w:id="383"/>
      <w:bookmarkStart w:id="384" w:name="_Toc184313279"/>
      <w:bookmarkEnd w:id="384"/>
      <w:bookmarkStart w:id="385" w:name="_Toc184310287"/>
      <w:bookmarkEnd w:id="385"/>
      <w:bookmarkStart w:id="386" w:name="_Toc184314474"/>
      <w:bookmarkEnd w:id="386"/>
      <w:bookmarkStart w:id="387" w:name="_Toc184314478"/>
      <w:bookmarkEnd w:id="387"/>
      <w:bookmarkStart w:id="388" w:name="_Toc184313282"/>
      <w:bookmarkEnd w:id="388"/>
      <w:bookmarkStart w:id="389" w:name="_Toc184310303"/>
      <w:bookmarkEnd w:id="389"/>
      <w:bookmarkStart w:id="390" w:name="_Toc184313288"/>
      <w:bookmarkEnd w:id="390"/>
      <w:bookmarkStart w:id="391" w:name="_Toc184312069"/>
      <w:bookmarkEnd w:id="391"/>
      <w:bookmarkStart w:id="392" w:name="_Toc184313248"/>
      <w:bookmarkEnd w:id="392"/>
      <w:bookmarkStart w:id="393" w:name="_Toc184310279"/>
      <w:bookmarkEnd w:id="393"/>
      <w:bookmarkStart w:id="394" w:name="_Toc184308043"/>
      <w:bookmarkEnd w:id="394"/>
      <w:bookmarkStart w:id="395" w:name="_Toc184313301"/>
      <w:bookmarkEnd w:id="395"/>
      <w:bookmarkStart w:id="396" w:name="_Toc184310274"/>
      <w:bookmarkEnd w:id="396"/>
      <w:r>
        <w:rPr>
          <w:rFonts w:hint="eastAsia"/>
          <w:b/>
          <w:sz w:val="32"/>
          <w:szCs w:val="32"/>
        </w:rPr>
        <w:t>评标办法</w:t>
      </w:r>
    </w:p>
    <w:p>
      <w:pPr>
        <w:spacing w:line="540" w:lineRule="exact"/>
        <w:ind w:firstLine="560"/>
        <w:contextualSpacing/>
        <w:jc w:val="center"/>
        <w:rPr>
          <w:rFonts w:ascii="仿宋_GB2312" w:eastAsia="仿宋_GB2312"/>
          <w:sz w:val="28"/>
          <w:szCs w:val="28"/>
        </w:rPr>
      </w:pPr>
      <w:r>
        <w:rPr>
          <w:rFonts w:hint="eastAsia" w:ascii="仿宋_GB2312" w:eastAsia="仿宋_GB2312"/>
          <w:sz w:val="28"/>
          <w:szCs w:val="28"/>
        </w:rPr>
        <w:t>评标办法前附表</w:t>
      </w:r>
    </w:p>
    <w:p>
      <w:pPr>
        <w:pStyle w:val="2"/>
        <w:ind w:firstLine="460"/>
        <w:rPr>
          <w:rFonts w:eastAsia="仿宋_GB2312"/>
        </w:rPr>
      </w:pPr>
      <w:r>
        <w:rPr>
          <w:rFonts w:hint="eastAsia" w:eastAsia="仿宋_GB2312"/>
        </w:rPr>
        <w:t>标项一：</w:t>
      </w:r>
    </w:p>
    <w:tbl>
      <w:tblPr>
        <w:tblStyle w:val="24"/>
        <w:tblW w:w="9797" w:type="dxa"/>
        <w:tblInd w:w="98" w:type="dxa"/>
        <w:tblLayout w:type="fixed"/>
        <w:tblCellMar>
          <w:top w:w="0" w:type="dxa"/>
          <w:left w:w="108" w:type="dxa"/>
          <w:bottom w:w="0" w:type="dxa"/>
          <w:right w:w="108" w:type="dxa"/>
        </w:tblCellMar>
      </w:tblPr>
      <w:tblGrid>
        <w:gridCol w:w="784"/>
        <w:gridCol w:w="678"/>
        <w:gridCol w:w="5475"/>
        <w:gridCol w:w="728"/>
        <w:gridCol w:w="1004"/>
        <w:gridCol w:w="1128"/>
      </w:tblGrid>
      <w:tr>
        <w:tblPrEx>
          <w:tblCellMar>
            <w:top w:w="0" w:type="dxa"/>
            <w:left w:w="108" w:type="dxa"/>
            <w:bottom w:w="0" w:type="dxa"/>
            <w:right w:w="108" w:type="dxa"/>
          </w:tblCellMar>
        </w:tblPrEx>
        <w:trPr>
          <w:trHeight w:val="1919"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类别</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序号</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评分标准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权重</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主观分/客观分属性</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投标文件中评标标准相应的商务技术资料目录*</w:t>
            </w:r>
          </w:p>
        </w:tc>
      </w:tr>
      <w:tr>
        <w:tblPrEx>
          <w:tblCellMar>
            <w:top w:w="0" w:type="dxa"/>
            <w:left w:w="108" w:type="dxa"/>
            <w:bottom w:w="0" w:type="dxa"/>
            <w:right w:w="108" w:type="dxa"/>
          </w:tblCellMar>
        </w:tblPrEx>
        <w:trPr>
          <w:trHeight w:val="2116"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商务部分(1</w:t>
            </w:r>
            <w:r>
              <w:rPr>
                <w:rFonts w:hint="eastAsia" w:ascii="仿宋_GB2312" w:hAnsi="宋体" w:eastAsia="仿宋_GB2312" w:cs="仿宋_GB2312"/>
                <w:b/>
                <w:bCs/>
                <w:color w:val="000000"/>
                <w:kern w:val="0"/>
                <w:sz w:val="24"/>
                <w:szCs w:val="24"/>
              </w:rPr>
              <w:t>3</w:t>
            </w:r>
            <w:r>
              <w:rPr>
                <w:rFonts w:ascii="仿宋_GB2312" w:hAnsi="宋体" w:eastAsia="仿宋_GB2312" w:cs="仿宋_GB2312"/>
                <w:b/>
                <w:bCs/>
                <w:color w:val="000000"/>
                <w:kern w:val="0"/>
                <w:sz w:val="24"/>
                <w:szCs w:val="24"/>
              </w:rPr>
              <w:t>分）</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投标人具有类似森林防火视频智能分析类业绩（每提供一份合同，得1分，最多得3分。）</w:t>
            </w:r>
          </w:p>
          <w:p>
            <w:pPr>
              <w:widowControl/>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注：1.合同签订时间为 2019年1月1日（含）至开标截止时间的时间段内，合同由投标人签订，否则不得分。</w:t>
            </w:r>
          </w:p>
          <w:p>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2.类似案例业绩是指合同内容必须包含森林防火视频火点智能分析，否则不得分。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客观分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color w:val="000000"/>
                <w:sz w:val="24"/>
                <w:szCs w:val="24"/>
              </w:rPr>
            </w:pPr>
          </w:p>
        </w:tc>
      </w:tr>
      <w:tr>
        <w:tblPrEx>
          <w:tblCellMar>
            <w:top w:w="0" w:type="dxa"/>
            <w:left w:w="108" w:type="dxa"/>
            <w:bottom w:w="0" w:type="dxa"/>
            <w:right w:w="108" w:type="dxa"/>
          </w:tblCellMar>
        </w:tblPrEx>
        <w:trPr>
          <w:trHeight w:val="3221"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4"/>
                <w:szCs w:val="24"/>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2</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宋体" w:eastAsia="仿宋_GB2312" w:cs="仿宋_GB2312"/>
                <w:color w:val="000000" w:themeColor="text1"/>
                <w:kern w:val="0"/>
                <w:sz w:val="24"/>
                <w:szCs w:val="24"/>
                <w:lang w:eastAsia="zh-CN"/>
              </w:rPr>
            </w:pPr>
            <w:r>
              <w:rPr>
                <w:rFonts w:ascii="仿宋_GB2312" w:hAnsi="宋体" w:eastAsia="仿宋_GB2312" w:cs="仿宋_GB2312"/>
                <w:color w:val="000000" w:themeColor="text1"/>
                <w:kern w:val="0"/>
                <w:sz w:val="24"/>
                <w:szCs w:val="24"/>
              </w:rPr>
              <w:t>要求中载云台高位挂载平台高度满足20米以上，挂载平台位置必须在采购方提供的点位周边100米以内。投标人可以自有方式、租赁方式或新建方式提供相应挂载资源，其中：</w:t>
            </w:r>
          </w:p>
          <w:p>
            <w:pPr>
              <w:widowControl/>
              <w:textAlignment w:val="center"/>
              <w:rPr>
                <w:rFonts w:hint="eastAsia" w:ascii="仿宋_GB2312" w:hAnsi="宋体" w:eastAsia="仿宋_GB2312" w:cs="仿宋_GB2312"/>
                <w:color w:val="000000" w:themeColor="text1"/>
                <w:kern w:val="0"/>
                <w:sz w:val="24"/>
                <w:szCs w:val="24"/>
                <w:lang w:eastAsia="zh-CN"/>
              </w:rPr>
            </w:pPr>
            <w:r>
              <w:rPr>
                <w:rFonts w:ascii="仿宋_GB2312" w:hAnsi="宋体" w:eastAsia="仿宋_GB2312" w:cs="仿宋_GB2312"/>
                <w:color w:val="000000" w:themeColor="text1"/>
                <w:kern w:val="0"/>
                <w:sz w:val="24"/>
                <w:szCs w:val="24"/>
              </w:rPr>
              <w:t>投标人以自有方式提供挂载资源的须提供相关证明；</w:t>
            </w:r>
          </w:p>
          <w:p>
            <w:pPr>
              <w:widowControl/>
              <w:textAlignment w:val="center"/>
              <w:rPr>
                <w:rFonts w:hint="eastAsia" w:ascii="仿宋_GB2312" w:hAnsi="宋体" w:eastAsia="仿宋_GB2312" w:cs="仿宋_GB2312"/>
                <w:color w:val="000000" w:themeColor="text1"/>
                <w:kern w:val="0"/>
                <w:sz w:val="24"/>
                <w:szCs w:val="24"/>
                <w:lang w:eastAsia="zh-CN"/>
              </w:rPr>
            </w:pPr>
            <w:r>
              <w:rPr>
                <w:rFonts w:ascii="仿宋_GB2312" w:hAnsi="宋体" w:eastAsia="仿宋_GB2312" w:cs="仿宋_GB2312"/>
                <w:color w:val="000000" w:themeColor="text1"/>
                <w:kern w:val="0"/>
                <w:sz w:val="24"/>
                <w:szCs w:val="24"/>
              </w:rPr>
              <w:t>投标人以租赁方式提供挂载资源的须提供挂载资源所有者的书面授权或租赁协议复印件；</w:t>
            </w:r>
          </w:p>
          <w:p>
            <w:pPr>
              <w:widowControl/>
              <w:textAlignment w:val="center"/>
              <w:rPr>
                <w:rFonts w:hint="eastAsia" w:ascii="仿宋_GB2312" w:hAnsi="宋体" w:eastAsia="仿宋_GB2312" w:cs="仿宋_GB2312"/>
                <w:color w:val="000000" w:themeColor="text1"/>
                <w:kern w:val="0"/>
                <w:sz w:val="24"/>
                <w:szCs w:val="24"/>
                <w:lang w:eastAsia="zh-CN"/>
              </w:rPr>
            </w:pPr>
            <w:r>
              <w:rPr>
                <w:rFonts w:ascii="仿宋_GB2312" w:hAnsi="宋体" w:eastAsia="仿宋_GB2312" w:cs="仿宋_GB2312"/>
                <w:color w:val="000000" w:themeColor="text1"/>
                <w:kern w:val="0"/>
                <w:sz w:val="24"/>
                <w:szCs w:val="24"/>
              </w:rPr>
              <w:t>投标人以新建形式提供挂载资源的须提供详细建设方案并提供承诺函（格式自拟）并加盖投标人公章。</w:t>
            </w:r>
          </w:p>
          <w:p>
            <w:pPr>
              <w:widowControl/>
              <w:textAlignment w:val="center"/>
              <w:rPr>
                <w:rFonts w:ascii="仿宋_GB2312" w:hAnsi="宋体" w:eastAsia="仿宋_GB2312" w:cs="仿宋_GB2312"/>
                <w:color w:val="000000" w:themeColor="text1"/>
                <w:sz w:val="24"/>
                <w:szCs w:val="24"/>
              </w:rPr>
            </w:pPr>
            <w:r>
              <w:rPr>
                <w:rFonts w:hint="eastAsia" w:ascii="仿宋_GB2312" w:hAnsi="宋体" w:eastAsia="仿宋_GB2312" w:cs="仿宋_GB2312"/>
                <w:color w:val="000000" w:themeColor="text1"/>
                <w:kern w:val="0"/>
                <w:sz w:val="24"/>
                <w:szCs w:val="24"/>
              </w:rPr>
              <w:t>提供以上其中一种证明材料的</w:t>
            </w:r>
            <w:r>
              <w:rPr>
                <w:rFonts w:ascii="仿宋_GB2312" w:hAnsi="宋体" w:eastAsia="仿宋_GB2312" w:cs="仿宋_GB2312"/>
                <w:color w:val="000000" w:themeColor="text1"/>
                <w:kern w:val="0"/>
                <w:sz w:val="24"/>
                <w:szCs w:val="24"/>
              </w:rPr>
              <w:t>的，得6分；</w:t>
            </w:r>
            <w:r>
              <w:rPr>
                <w:rFonts w:hint="eastAsia" w:ascii="仿宋_GB2312" w:hAnsi="宋体" w:eastAsia="仿宋_GB2312" w:cs="仿宋_GB2312"/>
                <w:color w:val="000000" w:themeColor="text1"/>
                <w:kern w:val="0"/>
                <w:sz w:val="24"/>
                <w:szCs w:val="24"/>
              </w:rPr>
              <w:t>未提供的或者提供的证明材料不符合要求的不得分</w:t>
            </w:r>
            <w:r>
              <w:rPr>
                <w:rFonts w:ascii="仿宋_GB2312" w:hAnsi="宋体" w:eastAsia="仿宋_GB2312" w:cs="仿宋_GB2312"/>
                <w:color w:val="000000" w:themeColor="text1"/>
                <w:kern w:val="0"/>
                <w:sz w:val="24"/>
                <w:szCs w:val="24"/>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24"/>
                <w:szCs w:val="24"/>
              </w:rPr>
            </w:pPr>
            <w:r>
              <w:rPr>
                <w:rFonts w:ascii="仿宋_GB2312" w:hAnsi="宋体" w:eastAsia="仿宋_GB2312" w:cs="仿宋_GB2312"/>
                <w:color w:val="000000" w:themeColor="text1"/>
                <w:kern w:val="0"/>
                <w:sz w:val="24"/>
                <w:szCs w:val="24"/>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客观分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FF0000"/>
                <w:sz w:val="24"/>
                <w:szCs w:val="24"/>
              </w:rPr>
            </w:pPr>
            <w:r>
              <w:rPr>
                <w:rFonts w:ascii="仿宋_GB2312" w:hAnsi="宋体" w:eastAsia="仿宋_GB2312" w:cs="仿宋_GB2312"/>
                <w:color w:val="FF0000"/>
                <w:kern w:val="0"/>
                <w:sz w:val="24"/>
                <w:szCs w:val="24"/>
              </w:rPr>
              <w:t xml:space="preserve"> </w:t>
            </w:r>
          </w:p>
        </w:tc>
      </w:tr>
      <w:tr>
        <w:tblPrEx>
          <w:tblCellMar>
            <w:top w:w="0" w:type="dxa"/>
            <w:left w:w="108" w:type="dxa"/>
            <w:bottom w:w="0" w:type="dxa"/>
            <w:right w:w="108" w:type="dxa"/>
          </w:tblCellMar>
        </w:tblPrEx>
        <w:trPr>
          <w:trHeight w:val="2556"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4"/>
                <w:szCs w:val="24"/>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3</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宋体" w:eastAsia="仿宋_GB2312" w:cs="仿宋_GB2312"/>
                <w:color w:val="000000" w:themeColor="text1"/>
                <w:kern w:val="0"/>
                <w:sz w:val="24"/>
                <w:szCs w:val="24"/>
                <w:lang w:eastAsia="zh-CN"/>
              </w:rPr>
            </w:pPr>
            <w:r>
              <w:rPr>
                <w:rFonts w:ascii="仿宋_GB2312" w:hAnsi="宋体" w:eastAsia="仿宋_GB2312" w:cs="仿宋_GB2312"/>
                <w:color w:val="000000" w:themeColor="text1"/>
                <w:kern w:val="0"/>
                <w:sz w:val="24"/>
                <w:szCs w:val="24"/>
              </w:rPr>
              <w:t>根据投标人提供的售后服务</w:t>
            </w:r>
            <w:r>
              <w:rPr>
                <w:rFonts w:hint="eastAsia" w:ascii="仿宋_GB2312" w:hAnsi="宋体" w:eastAsia="仿宋_GB2312" w:cs="仿宋_GB2312"/>
                <w:color w:val="000000" w:themeColor="text1"/>
                <w:kern w:val="0"/>
                <w:sz w:val="24"/>
                <w:szCs w:val="24"/>
              </w:rPr>
              <w:t>方案，包括服务</w:t>
            </w:r>
            <w:r>
              <w:rPr>
                <w:rFonts w:ascii="仿宋_GB2312" w:hAnsi="宋体" w:eastAsia="仿宋_GB2312" w:cs="仿宋_GB2312"/>
                <w:color w:val="000000" w:themeColor="text1"/>
                <w:kern w:val="0"/>
                <w:sz w:val="24"/>
                <w:szCs w:val="24"/>
              </w:rPr>
              <w:t>内容与标准、定期巡检频率及备品备件、应急响应能力、响应时间完备性打分：</w:t>
            </w:r>
          </w:p>
          <w:p>
            <w:pPr>
              <w:widowControl/>
              <w:textAlignment w:val="center"/>
              <w:rPr>
                <w:rFonts w:hint="eastAsia" w:ascii="仿宋_GB2312" w:hAnsi="宋体" w:eastAsia="仿宋_GB2312" w:cs="仿宋_GB2312"/>
                <w:color w:val="000000" w:themeColor="text1"/>
                <w:kern w:val="0"/>
                <w:sz w:val="24"/>
                <w:szCs w:val="24"/>
                <w:lang w:eastAsia="zh-CN"/>
              </w:rPr>
            </w:pPr>
            <w:r>
              <w:rPr>
                <w:rFonts w:ascii="仿宋_GB2312" w:hAnsi="宋体" w:eastAsia="仿宋_GB2312" w:cs="仿宋_GB2312"/>
                <w:color w:val="000000" w:themeColor="text1"/>
                <w:kern w:val="0"/>
                <w:sz w:val="24"/>
                <w:szCs w:val="24"/>
              </w:rPr>
              <w:t>以上每点，描述完整详细且与采购人实际需求完全契合的得1分；</w:t>
            </w:r>
          </w:p>
          <w:p>
            <w:pPr>
              <w:widowControl/>
              <w:textAlignment w:val="center"/>
              <w:rPr>
                <w:rFonts w:hint="eastAsia" w:ascii="仿宋_GB2312" w:hAnsi="宋体" w:eastAsia="仿宋_GB2312" w:cs="仿宋_GB2312"/>
                <w:color w:val="000000" w:themeColor="text1"/>
                <w:kern w:val="0"/>
                <w:sz w:val="24"/>
                <w:szCs w:val="24"/>
                <w:lang w:eastAsia="zh-CN"/>
              </w:rPr>
            </w:pPr>
            <w:r>
              <w:rPr>
                <w:rFonts w:ascii="仿宋_GB2312" w:hAnsi="宋体" w:eastAsia="仿宋_GB2312" w:cs="仿宋_GB2312"/>
                <w:color w:val="000000" w:themeColor="text1"/>
                <w:kern w:val="0"/>
                <w:sz w:val="24"/>
                <w:szCs w:val="24"/>
              </w:rPr>
              <w:t>描述较详细完整或与采购人实际需求部分符合的得0.5分；</w:t>
            </w:r>
          </w:p>
          <w:p>
            <w:pPr>
              <w:widowControl/>
              <w:textAlignment w:val="center"/>
              <w:rPr>
                <w:rFonts w:hint="eastAsia" w:ascii="仿宋_GB2312" w:hAnsi="宋体" w:eastAsia="仿宋_GB2312" w:cs="仿宋_GB2312"/>
                <w:color w:val="000000" w:themeColor="text1"/>
                <w:kern w:val="0"/>
                <w:sz w:val="24"/>
                <w:szCs w:val="24"/>
                <w:lang w:eastAsia="zh-CN"/>
              </w:rPr>
            </w:pPr>
            <w:r>
              <w:rPr>
                <w:rFonts w:ascii="仿宋_GB2312" w:hAnsi="宋体" w:eastAsia="仿宋_GB2312" w:cs="仿宋_GB2312"/>
                <w:color w:val="000000" w:themeColor="text1"/>
                <w:kern w:val="0"/>
                <w:sz w:val="24"/>
                <w:szCs w:val="24"/>
              </w:rPr>
              <w:t>未提供或完全不符合采购人需求的得0分。</w:t>
            </w:r>
          </w:p>
          <w:p>
            <w:pPr>
              <w:widowControl/>
              <w:textAlignment w:val="center"/>
              <w:rPr>
                <w:rFonts w:ascii="仿宋_GB2312" w:hAnsi="宋体" w:eastAsia="仿宋_GB2312" w:cs="仿宋_GB2312"/>
                <w:color w:val="000000" w:themeColor="text1"/>
                <w:sz w:val="24"/>
                <w:szCs w:val="24"/>
              </w:rPr>
            </w:pPr>
            <w:r>
              <w:rPr>
                <w:rFonts w:ascii="仿宋_GB2312" w:hAnsi="宋体" w:eastAsia="仿宋_GB2312" w:cs="仿宋_GB2312"/>
                <w:color w:val="000000" w:themeColor="text1"/>
                <w:kern w:val="0"/>
                <w:sz w:val="24"/>
                <w:szCs w:val="24"/>
              </w:rPr>
              <w:t>本项最多得</w:t>
            </w:r>
            <w:r>
              <w:rPr>
                <w:rFonts w:hint="eastAsia" w:ascii="仿宋_GB2312" w:hAnsi="宋体" w:eastAsia="仿宋_GB2312" w:cs="仿宋_GB2312"/>
                <w:color w:val="000000" w:themeColor="text1"/>
                <w:kern w:val="0"/>
                <w:sz w:val="24"/>
                <w:szCs w:val="24"/>
              </w:rPr>
              <w:t>4</w:t>
            </w:r>
            <w:r>
              <w:rPr>
                <w:rFonts w:ascii="仿宋_GB2312" w:hAnsi="宋体" w:eastAsia="仿宋_GB2312" w:cs="仿宋_GB2312"/>
                <w:color w:val="000000" w:themeColor="text1"/>
                <w:kern w:val="0"/>
                <w:sz w:val="24"/>
                <w:szCs w:val="24"/>
              </w:rPr>
              <w:t>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 w:val="24"/>
                <w:szCs w:val="24"/>
              </w:rPr>
            </w:pPr>
            <w:r>
              <w:rPr>
                <w:rFonts w:ascii="仿宋_GB2312" w:hAnsi="宋体" w:eastAsia="仿宋_GB2312" w:cs="仿宋_GB2312"/>
                <w:color w:val="000000" w:themeColor="text1"/>
                <w:kern w:val="0"/>
                <w:sz w:val="24"/>
                <w:szCs w:val="24"/>
              </w:rPr>
              <w:t>4</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主观分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FF0000"/>
                <w:sz w:val="24"/>
                <w:szCs w:val="24"/>
              </w:rPr>
            </w:pPr>
            <w:r>
              <w:rPr>
                <w:rFonts w:ascii="仿宋_GB2312" w:hAnsi="宋体" w:eastAsia="仿宋_GB2312" w:cs="仿宋_GB2312"/>
                <w:color w:val="FF0000"/>
                <w:kern w:val="0"/>
                <w:sz w:val="24"/>
                <w:szCs w:val="24"/>
              </w:rPr>
              <w:t xml:space="preserve"> </w:t>
            </w:r>
          </w:p>
        </w:tc>
      </w:tr>
      <w:tr>
        <w:tblPrEx>
          <w:tblCellMar>
            <w:top w:w="0" w:type="dxa"/>
            <w:left w:w="108" w:type="dxa"/>
            <w:bottom w:w="0" w:type="dxa"/>
            <w:right w:w="108" w:type="dxa"/>
          </w:tblCellMar>
        </w:tblPrEx>
        <w:trPr>
          <w:trHeight w:val="1666" w:hRule="atLeast"/>
        </w:trPr>
        <w:tc>
          <w:tcPr>
            <w:tcW w:w="784"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技术部分(59分）</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4</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投标人投标文件中的投标产品标注“△”的技术指标全部满足招标文件规定的技术参数要求得10分。一项指标不满足扣1分，最多扣10分。</w:t>
            </w:r>
          </w:p>
          <w:p>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注：要求提供相关证明材料的，以证明材料为准，不提供或提供的证明材料不符合要求的视作负偏离。</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客观分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color w:val="000000"/>
                <w:sz w:val="24"/>
                <w:szCs w:val="24"/>
              </w:rPr>
            </w:pPr>
          </w:p>
        </w:tc>
      </w:tr>
      <w:tr>
        <w:tblPrEx>
          <w:tblCellMar>
            <w:top w:w="0" w:type="dxa"/>
            <w:left w:w="108" w:type="dxa"/>
            <w:bottom w:w="0" w:type="dxa"/>
            <w:right w:w="108" w:type="dxa"/>
          </w:tblCellMar>
        </w:tblPrEx>
        <w:trPr>
          <w:trHeight w:val="1707" w:hRule="atLeast"/>
        </w:trPr>
        <w:tc>
          <w:tcPr>
            <w:tcW w:w="784"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b/>
                <w:bCs/>
                <w:color w:val="000000"/>
                <w:sz w:val="24"/>
                <w:szCs w:val="24"/>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5</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投标人投标文件中的投标产品标注“</w:t>
            </w:r>
            <w:r>
              <w:rPr>
                <w:rStyle w:val="80"/>
                <w:rFonts w:hint="default"/>
              </w:rPr>
              <w:t>☆</w:t>
            </w:r>
            <w:r>
              <w:rPr>
                <w:rFonts w:ascii="仿宋_GB2312" w:hAnsi="宋体" w:eastAsia="仿宋_GB2312" w:cs="仿宋_GB2312"/>
                <w:color w:val="000000"/>
                <w:kern w:val="0"/>
                <w:sz w:val="24"/>
                <w:szCs w:val="24"/>
              </w:rPr>
              <w:t>”的技术指标全部满足招标文件规定的技术参数要求得10分。一项指标不满足扣0.5分，最多扣10分 。</w:t>
            </w:r>
          </w:p>
          <w:p>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注：要求提供相关证明材料的，以证明材料为准，不提供或提供的证明材料不符合要求的视作负偏离。</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客观分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color w:val="000000"/>
                <w:sz w:val="24"/>
                <w:szCs w:val="24"/>
              </w:rPr>
            </w:pPr>
          </w:p>
        </w:tc>
      </w:tr>
      <w:tr>
        <w:tblPrEx>
          <w:tblCellMar>
            <w:top w:w="0" w:type="dxa"/>
            <w:left w:w="108" w:type="dxa"/>
            <w:bottom w:w="0" w:type="dxa"/>
            <w:right w:w="108" w:type="dxa"/>
          </w:tblCellMar>
        </w:tblPrEx>
        <w:trPr>
          <w:trHeight w:val="2669" w:hRule="atLeast"/>
        </w:trPr>
        <w:tc>
          <w:tcPr>
            <w:tcW w:w="784" w:type="dxa"/>
            <w:vMerge w:val="continue"/>
            <w:tcBorders>
              <w:left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6</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根据投标人提供的项目分析方案，包括对项目的理解程度、整体系统架构的熟悉程度、设备选型与项目实际需求的吻合度等情况打分：</w:t>
            </w:r>
          </w:p>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以上每点，描述完整详细且与采购人实际需求完全契合的得2分；</w:t>
            </w:r>
          </w:p>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描述较详细完整或与采购人实际需求部分符合的得1分；</w:t>
            </w:r>
          </w:p>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未提供或完全不符合采购人需求的得0分。</w:t>
            </w:r>
          </w:p>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本项最多得6分。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主观分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color w:val="000000"/>
                <w:sz w:val="24"/>
                <w:szCs w:val="24"/>
              </w:rPr>
            </w:pPr>
          </w:p>
        </w:tc>
      </w:tr>
      <w:tr>
        <w:tblPrEx>
          <w:tblCellMar>
            <w:top w:w="0" w:type="dxa"/>
            <w:left w:w="108" w:type="dxa"/>
            <w:bottom w:w="0" w:type="dxa"/>
            <w:right w:w="108" w:type="dxa"/>
          </w:tblCellMar>
        </w:tblPrEx>
        <w:trPr>
          <w:trHeight w:val="2689" w:hRule="atLeast"/>
        </w:trPr>
        <w:tc>
          <w:tcPr>
            <w:tcW w:w="784" w:type="dxa"/>
            <w:vMerge w:val="continue"/>
            <w:tcBorders>
              <w:left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7</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根据投标人提供的每个点位的选点依据、每个点位的挂载高度、网络等资源配置情况</w:t>
            </w:r>
            <w:r>
              <w:rPr>
                <w:rFonts w:hint="eastAsia" w:ascii="仿宋_GB2312" w:hAnsi="宋体" w:eastAsia="仿宋_GB2312" w:cs="仿宋_GB2312"/>
                <w:color w:val="000000"/>
                <w:kern w:val="0"/>
                <w:sz w:val="24"/>
                <w:szCs w:val="24"/>
              </w:rPr>
              <w:t>打分</w:t>
            </w:r>
            <w:r>
              <w:rPr>
                <w:rFonts w:ascii="仿宋_GB2312" w:hAnsi="宋体" w:eastAsia="仿宋_GB2312" w:cs="仿宋_GB2312"/>
                <w:color w:val="000000"/>
                <w:kern w:val="0"/>
                <w:sz w:val="24"/>
                <w:szCs w:val="24"/>
              </w:rPr>
              <w:t>:</w:t>
            </w:r>
          </w:p>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以上每点，描述完整详细且与采购人实际需求完全契合的得3分；</w:t>
            </w:r>
          </w:p>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描述较详细完整或与采购人实际需求基本符合的得2分；</w:t>
            </w:r>
          </w:p>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描述较详细完整或与采购人实际需求部分符合的得1分；</w:t>
            </w:r>
          </w:p>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未提供或完全不符合采购人需求的得0分。</w:t>
            </w:r>
          </w:p>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本项最多得6分。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主观分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color w:val="000000"/>
                <w:sz w:val="24"/>
                <w:szCs w:val="24"/>
              </w:rPr>
            </w:pPr>
          </w:p>
        </w:tc>
      </w:tr>
      <w:tr>
        <w:tblPrEx>
          <w:tblCellMar>
            <w:top w:w="0" w:type="dxa"/>
            <w:left w:w="108" w:type="dxa"/>
            <w:bottom w:w="0" w:type="dxa"/>
            <w:right w:w="108" w:type="dxa"/>
          </w:tblCellMar>
        </w:tblPrEx>
        <w:trPr>
          <w:trHeight w:val="3241" w:hRule="atLeast"/>
        </w:trPr>
        <w:tc>
          <w:tcPr>
            <w:tcW w:w="784" w:type="dxa"/>
            <w:vMerge w:val="continue"/>
            <w:tcBorders>
              <w:left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8</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根据选址点应具备持续稳定电力保障能力，并提供后备电源作为电力应急保障情况</w:t>
            </w:r>
            <w:r>
              <w:rPr>
                <w:rFonts w:hint="eastAsia" w:ascii="仿宋_GB2312" w:hAnsi="宋体" w:eastAsia="仿宋_GB2312" w:cs="仿宋_GB2312"/>
                <w:color w:val="000000"/>
                <w:kern w:val="0"/>
                <w:sz w:val="24"/>
                <w:szCs w:val="24"/>
              </w:rPr>
              <w:t>打分</w:t>
            </w:r>
            <w:r>
              <w:rPr>
                <w:rFonts w:ascii="仿宋_GB2312" w:hAnsi="宋体" w:eastAsia="仿宋_GB2312" w:cs="仿宋_GB2312"/>
                <w:color w:val="000000"/>
                <w:kern w:val="0"/>
                <w:sz w:val="24"/>
                <w:szCs w:val="24"/>
              </w:rPr>
              <w:t>：</w:t>
            </w:r>
          </w:p>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1.所有后备电源续航能力6小时及以上，得6分；</w:t>
            </w:r>
          </w:p>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2.所有后备电源续航能力4小时及以上，得4分；</w:t>
            </w:r>
          </w:p>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3.所有后备电源续航能力2小时及以上，得2分；</w:t>
            </w:r>
          </w:p>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4.所有后备电源续航能力2小时以下，得0分。</w:t>
            </w:r>
          </w:p>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注：1.以上4项不重复得分；</w:t>
            </w:r>
          </w:p>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2.投标人需提供后备电源容量或续航能力等证明材料，新建后备电源的需结合每个点位情况提供相关建设方案并满足采购需求。</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客观分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color w:val="000000"/>
                <w:sz w:val="24"/>
                <w:szCs w:val="24"/>
              </w:rPr>
            </w:pPr>
          </w:p>
        </w:tc>
      </w:tr>
      <w:tr>
        <w:tblPrEx>
          <w:tblCellMar>
            <w:top w:w="0" w:type="dxa"/>
            <w:left w:w="108" w:type="dxa"/>
            <w:bottom w:w="0" w:type="dxa"/>
            <w:right w:w="108" w:type="dxa"/>
          </w:tblCellMar>
        </w:tblPrEx>
        <w:trPr>
          <w:trHeight w:val="2935" w:hRule="atLeast"/>
        </w:trPr>
        <w:tc>
          <w:tcPr>
            <w:tcW w:w="784" w:type="dxa"/>
            <w:vMerge w:val="continue"/>
            <w:tcBorders>
              <w:left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9</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根据投标人提供的项目进度计划安排、质量保证措施、履约验收方案打分：</w:t>
            </w:r>
          </w:p>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以上每点，描述完整详细且与采购人实际需求完全契合的得2分；</w:t>
            </w:r>
          </w:p>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描述较详细完整或与采购人实际需求部分符合的得1分；</w:t>
            </w:r>
          </w:p>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描述不详细完整或与采购人实际需求较大偏差的得0.5分；</w:t>
            </w:r>
          </w:p>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未提供或完全不符合采购人需求的得0分。</w:t>
            </w:r>
          </w:p>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本项最多得6分。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主观分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color w:val="000000"/>
                <w:sz w:val="24"/>
                <w:szCs w:val="24"/>
              </w:rPr>
            </w:pPr>
          </w:p>
        </w:tc>
      </w:tr>
      <w:tr>
        <w:tblPrEx>
          <w:tblCellMar>
            <w:top w:w="0" w:type="dxa"/>
            <w:left w:w="108" w:type="dxa"/>
            <w:bottom w:w="0" w:type="dxa"/>
            <w:right w:w="108" w:type="dxa"/>
          </w:tblCellMar>
        </w:tblPrEx>
        <w:trPr>
          <w:trHeight w:val="2935" w:hRule="atLeast"/>
        </w:trPr>
        <w:tc>
          <w:tcPr>
            <w:tcW w:w="784" w:type="dxa"/>
            <w:vMerge w:val="continue"/>
            <w:tcBorders>
              <w:left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10</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根据投标人对本项目施工时的安全管理方案，包括安全管理制度、安全保证措施打分：</w:t>
            </w:r>
          </w:p>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以上每点，描述完整详细且与采购人实际需求完全契合的得2分；</w:t>
            </w:r>
          </w:p>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描述较详细完整或与采购人实际需求基本符合的得1分；</w:t>
            </w:r>
          </w:p>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描述较详细完整或与采购人实际需求部分符合的得0.5分；</w:t>
            </w:r>
          </w:p>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未提供或完全不符合采购人需求的得0分。</w:t>
            </w:r>
          </w:p>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本项最</w:t>
            </w:r>
            <w:r>
              <w:rPr>
                <w:rFonts w:ascii="仿宋_GB2312" w:hAnsi="宋体" w:eastAsia="仿宋_GB2312" w:cs="仿宋_GB2312"/>
                <w:color w:val="auto"/>
                <w:kern w:val="0"/>
                <w:sz w:val="24"/>
                <w:szCs w:val="24"/>
              </w:rPr>
              <w:t>多得</w:t>
            </w:r>
            <w:r>
              <w:rPr>
                <w:rFonts w:hint="eastAsia" w:ascii="仿宋_GB2312" w:hAnsi="宋体" w:eastAsia="仿宋_GB2312" w:cs="仿宋_GB2312"/>
                <w:color w:val="auto"/>
                <w:kern w:val="0"/>
                <w:sz w:val="24"/>
                <w:szCs w:val="24"/>
              </w:rPr>
              <w:t>4</w:t>
            </w:r>
            <w:r>
              <w:rPr>
                <w:rFonts w:ascii="仿宋_GB2312" w:hAnsi="宋体" w:eastAsia="仿宋_GB2312" w:cs="仿宋_GB2312"/>
                <w:color w:val="auto"/>
                <w:kern w:val="0"/>
                <w:sz w:val="24"/>
                <w:szCs w:val="24"/>
              </w:rPr>
              <w:t>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FF0000"/>
                <w:sz w:val="24"/>
                <w:szCs w:val="24"/>
              </w:rPr>
            </w:pPr>
            <w:r>
              <w:rPr>
                <w:rFonts w:ascii="仿宋_GB2312" w:hAnsi="宋体" w:eastAsia="仿宋_GB2312" w:cs="仿宋_GB2312"/>
                <w:color w:val="auto"/>
                <w:kern w:val="0"/>
                <w:sz w:val="24"/>
                <w:szCs w:val="24"/>
              </w:rPr>
              <w:t>4</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主观分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FF0000"/>
                <w:sz w:val="24"/>
                <w:szCs w:val="24"/>
              </w:rPr>
            </w:pPr>
            <w:r>
              <w:rPr>
                <w:rFonts w:ascii="仿宋_GB2312" w:hAnsi="宋体" w:eastAsia="仿宋_GB2312" w:cs="仿宋_GB2312"/>
                <w:color w:val="FF0000"/>
                <w:kern w:val="0"/>
                <w:sz w:val="24"/>
                <w:szCs w:val="24"/>
              </w:rPr>
              <w:t xml:space="preserve"> </w:t>
            </w:r>
          </w:p>
        </w:tc>
      </w:tr>
      <w:tr>
        <w:tblPrEx>
          <w:tblCellMar>
            <w:top w:w="0" w:type="dxa"/>
            <w:left w:w="108" w:type="dxa"/>
            <w:bottom w:w="0" w:type="dxa"/>
            <w:right w:w="108" w:type="dxa"/>
          </w:tblCellMar>
        </w:tblPrEx>
        <w:trPr>
          <w:trHeight w:val="2556" w:hRule="atLeast"/>
        </w:trPr>
        <w:tc>
          <w:tcPr>
            <w:tcW w:w="784" w:type="dxa"/>
            <w:vMerge w:val="continue"/>
            <w:tcBorders>
              <w:left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11</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根据投标人提供的培训频率及师资力量配备、软硬件资料等完整性</w:t>
            </w:r>
            <w:r>
              <w:rPr>
                <w:rFonts w:hint="eastAsia" w:ascii="仿宋_GB2312" w:hAnsi="宋体" w:eastAsia="仿宋_GB2312" w:cs="仿宋_GB2312"/>
                <w:color w:val="000000"/>
                <w:kern w:val="0"/>
                <w:sz w:val="24"/>
                <w:szCs w:val="24"/>
              </w:rPr>
              <w:t>打分</w:t>
            </w:r>
            <w:r>
              <w:rPr>
                <w:rFonts w:ascii="仿宋_GB2312" w:hAnsi="宋体" w:eastAsia="仿宋_GB2312" w:cs="仿宋_GB2312"/>
                <w:color w:val="000000"/>
                <w:kern w:val="0"/>
                <w:sz w:val="24"/>
                <w:szCs w:val="24"/>
              </w:rPr>
              <w:t>：</w:t>
            </w:r>
          </w:p>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以上每点，描述完整详细且与采购人实际需求完全契合的得1分；</w:t>
            </w:r>
          </w:p>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描述较详细完整或与采购人实际需求部分符合的得0.5分；</w:t>
            </w:r>
          </w:p>
          <w:p>
            <w:pPr>
              <w:widowControl/>
              <w:jc w:val="left"/>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未提供或完全不符合采购人需求的得0分。</w:t>
            </w:r>
          </w:p>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本项最多得2分。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主观分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color w:val="000000"/>
                <w:sz w:val="24"/>
                <w:szCs w:val="24"/>
              </w:rPr>
            </w:pPr>
          </w:p>
        </w:tc>
      </w:tr>
      <w:tr>
        <w:tblPrEx>
          <w:tblCellMar>
            <w:top w:w="0" w:type="dxa"/>
            <w:left w:w="108" w:type="dxa"/>
            <w:bottom w:w="0" w:type="dxa"/>
            <w:right w:w="108" w:type="dxa"/>
          </w:tblCellMar>
        </w:tblPrEx>
        <w:trPr>
          <w:trHeight w:val="375" w:hRule="atLeast"/>
        </w:trPr>
        <w:tc>
          <w:tcPr>
            <w:tcW w:w="784"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12</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宋体" w:eastAsia="仿宋_GB2312" w:cs="仿宋_GB2312"/>
                <w:color w:val="000000" w:themeColor="text1"/>
                <w:kern w:val="0"/>
                <w:sz w:val="24"/>
                <w:szCs w:val="24"/>
                <w:lang w:eastAsia="zh-CN"/>
              </w:rPr>
            </w:pPr>
            <w:r>
              <w:rPr>
                <w:rFonts w:ascii="仿宋_GB2312" w:hAnsi="宋体" w:eastAsia="仿宋_GB2312" w:cs="仿宋_GB2312"/>
                <w:color w:val="000000"/>
                <w:kern w:val="0"/>
                <w:sz w:val="24"/>
                <w:szCs w:val="24"/>
              </w:rPr>
              <w:t>本项目演示采用政采云平台在线讲解的方式，通过“政采云视频讲标系统”进行，供应商登录政采云系统-----进入开标大厅---进入本项目进行操作。政采云视频讲标系统在线上视频协商时需要供应商电脑配置有摄像头、音箱和必要的网络带宽（浏览器建议用谷歌浏览器，网络带宽不少于50兆，请勿用无线，以免出现卡顿现象。摄像头建议用中档及以上摄像头，以利于演示时的画面质量；音箱请提前予以调试，以避免演示时出现没有声音现象）。“政采云视频讲标系统”评审小组可以看见和听见供应商的画面和声音，供应商只能听见评审小组声音，看不见评审小组的画面。政采云视频讲标系统目前不支持</w:t>
            </w:r>
            <w:r>
              <w:rPr>
                <w:rFonts w:ascii="仿宋_GB2312" w:hAnsi="宋体" w:eastAsia="仿宋_GB2312" w:cs="仿宋_GB2312"/>
                <w:color w:val="000000" w:themeColor="text1"/>
                <w:kern w:val="0"/>
                <w:sz w:val="24"/>
                <w:szCs w:val="24"/>
              </w:rPr>
              <w:t>手机端。演示顺序按政采云平台系统自动生成的顺序进行演示，演示时长不超过20分钟，因系统调试或网络问题造成演示无法正常进行的，可适当延长演示时长：</w:t>
            </w:r>
          </w:p>
          <w:p>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themeColor="text1"/>
                <w:kern w:val="0"/>
                <w:sz w:val="24"/>
                <w:szCs w:val="24"/>
              </w:rPr>
              <w:t>根据投标人提供的预警信息汇聚管理平台</w:t>
            </w:r>
            <w:r>
              <w:rPr>
                <w:rFonts w:hint="eastAsia" w:ascii="仿宋_GB2312" w:hAnsi="宋体" w:eastAsia="仿宋_GB2312" w:cs="仿宋_GB2312"/>
                <w:color w:val="000000" w:themeColor="text1"/>
                <w:kern w:val="0"/>
                <w:sz w:val="24"/>
                <w:szCs w:val="24"/>
              </w:rPr>
              <w:t>打分</w:t>
            </w:r>
            <w:r>
              <w:rPr>
                <w:rFonts w:ascii="仿宋_GB2312" w:hAnsi="宋体" w:eastAsia="仿宋_GB2312" w:cs="仿宋_GB2312"/>
                <w:color w:val="000000"/>
                <w:kern w:val="0"/>
                <w:sz w:val="24"/>
                <w:szCs w:val="24"/>
              </w:rPr>
              <w:t>：</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themeColor="text1"/>
                <w:kern w:val="0"/>
                <w:sz w:val="24"/>
                <w:szCs w:val="24"/>
              </w:rPr>
              <w:t>7</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客观分</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color w:val="000000"/>
                <w:sz w:val="24"/>
                <w:szCs w:val="24"/>
              </w:rPr>
            </w:pPr>
          </w:p>
        </w:tc>
      </w:tr>
      <w:tr>
        <w:tblPrEx>
          <w:tblCellMar>
            <w:top w:w="0" w:type="dxa"/>
            <w:left w:w="108" w:type="dxa"/>
            <w:bottom w:w="0" w:type="dxa"/>
            <w:right w:w="108" w:type="dxa"/>
          </w:tblCellMar>
        </w:tblPrEx>
        <w:trPr>
          <w:trHeight w:val="7614" w:hRule="atLeast"/>
        </w:trPr>
        <w:tc>
          <w:tcPr>
            <w:tcW w:w="784"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宋体" w:eastAsia="仿宋_GB2312" w:cs="仿宋_GB2312"/>
                <w:color w:val="000000" w:themeColor="text1"/>
                <w:kern w:val="0"/>
                <w:sz w:val="24"/>
                <w:szCs w:val="24"/>
                <w:lang w:eastAsia="zh-CN"/>
              </w:rPr>
            </w:pPr>
            <w:r>
              <w:rPr>
                <w:rFonts w:ascii="仿宋_GB2312" w:hAnsi="宋体" w:eastAsia="仿宋_GB2312" w:cs="仿宋_GB2312"/>
                <w:color w:val="000000" w:themeColor="text1"/>
                <w:kern w:val="0"/>
                <w:sz w:val="24"/>
                <w:szCs w:val="24"/>
              </w:rPr>
              <w:t>1.预警信息汇聚管理平台基础功能（0-4分）：</w:t>
            </w:r>
          </w:p>
          <w:p>
            <w:pPr>
              <w:widowControl/>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themeColor="text1"/>
                <w:kern w:val="0"/>
                <w:sz w:val="24"/>
                <w:szCs w:val="24"/>
              </w:rPr>
              <w:t>①具备总览功能（含一张</w:t>
            </w:r>
            <w:r>
              <w:rPr>
                <w:rFonts w:ascii="仿宋_GB2312" w:hAnsi="宋体" w:eastAsia="仿宋_GB2312" w:cs="仿宋_GB2312"/>
                <w:color w:val="000000"/>
                <w:kern w:val="0"/>
                <w:sz w:val="24"/>
                <w:szCs w:val="24"/>
              </w:rPr>
              <w:t>图管理点位展示、设备数量展示、周期事件类型统计、最新事件轮动轮播等）；</w:t>
            </w:r>
          </w:p>
          <w:p>
            <w:pPr>
              <w:widowControl/>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②统计功能（对报警数据的区域报表统计、月份报表统计、报警类型统计、报警趋势图表等功能）；</w:t>
            </w:r>
          </w:p>
          <w:p>
            <w:pPr>
              <w:widowControl/>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③设备信息（视频设备区域、编号、名称、状态等）；</w:t>
            </w:r>
          </w:p>
          <w:p>
            <w:pPr>
              <w:widowControl/>
              <w:textAlignment w:val="center"/>
              <w:rPr>
                <w:rFonts w:ascii="仿宋_GB2312" w:hAnsi="宋体" w:eastAsia="仿宋_GB2312" w:cs="仿宋_GB2312"/>
                <w:color w:val="FF0000"/>
                <w:kern w:val="0"/>
                <w:sz w:val="24"/>
                <w:szCs w:val="24"/>
              </w:rPr>
            </w:pPr>
            <w:r>
              <w:rPr>
                <w:rFonts w:ascii="仿宋_GB2312" w:hAnsi="宋体" w:eastAsia="仿宋_GB2312" w:cs="仿宋_GB2312"/>
                <w:color w:val="000000"/>
                <w:kern w:val="0"/>
                <w:sz w:val="24"/>
                <w:szCs w:val="24"/>
              </w:rPr>
              <w:t>④可实时查看预警点位当前视频。</w:t>
            </w:r>
          </w:p>
          <w:p>
            <w:pPr>
              <w:widowControl/>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2.预警事件中心模块：</w:t>
            </w:r>
            <w:r>
              <w:rPr>
                <w:rFonts w:hint="eastAsia" w:ascii="仿宋_GB2312" w:hAnsi="宋体" w:eastAsia="仿宋_GB2312" w:cs="仿宋_GB2312"/>
                <w:color w:val="000000"/>
                <w:kern w:val="0"/>
                <w:sz w:val="24"/>
                <w:szCs w:val="24"/>
                <w:lang w:eastAsia="zh-CN"/>
              </w:rPr>
              <w:t>（</w:t>
            </w:r>
            <w:r>
              <w:rPr>
                <w:rFonts w:hint="eastAsia" w:ascii="仿宋_GB2312" w:hAnsi="宋体" w:eastAsia="仿宋_GB2312" w:cs="仿宋_GB2312"/>
                <w:color w:val="000000"/>
                <w:kern w:val="0"/>
                <w:sz w:val="24"/>
                <w:szCs w:val="24"/>
                <w:lang w:val="en-US" w:eastAsia="zh-CN"/>
              </w:rPr>
              <w:t>0-3分</w:t>
            </w:r>
            <w:r>
              <w:rPr>
                <w:rFonts w:hint="eastAsia" w:ascii="仿宋_GB2312" w:hAnsi="宋体" w:eastAsia="仿宋_GB2312" w:cs="仿宋_GB2312"/>
                <w:color w:val="000000"/>
                <w:kern w:val="0"/>
                <w:sz w:val="24"/>
                <w:szCs w:val="24"/>
                <w:lang w:eastAsia="zh-CN"/>
              </w:rPr>
              <w:t>）</w:t>
            </w:r>
          </w:p>
          <w:p>
            <w:pPr>
              <w:widowControl/>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①实时预警（包含预警设备列表、高频预警设备展示、战时模式）；</w:t>
            </w:r>
          </w:p>
          <w:p>
            <w:pPr>
              <w:widowControl/>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②地区统计（含预警统计、预警处置排名、高频预警预测）</w:t>
            </w:r>
          </w:p>
          <w:p>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③数据统计（含处置效率统计、同比环比分析、预警分布统计）。</w:t>
            </w:r>
          </w:p>
          <w:p>
            <w:pPr>
              <w:widowControl/>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注：1.以上所需要的软件和演示工具等均由投标人自行解决。</w:t>
            </w:r>
          </w:p>
          <w:p>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2.以上每点功能演示全部实现的得1分（包括测试系统、系统原型、具有实际操作功能的动态DEMO），使用PPT或文本、系统视频录制、仅具备静态页面DEMO演示功能全部实现的得0.5分，未提供或提供的演示功能不全的不得分。</w:t>
            </w: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4"/>
                <w:szCs w:val="24"/>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color w:val="000000"/>
                <w:sz w:val="24"/>
                <w:szCs w:val="24"/>
              </w:rPr>
            </w:pPr>
          </w:p>
        </w:tc>
      </w:tr>
      <w:tr>
        <w:tblPrEx>
          <w:tblCellMar>
            <w:top w:w="0" w:type="dxa"/>
            <w:left w:w="108" w:type="dxa"/>
            <w:bottom w:w="0" w:type="dxa"/>
            <w:right w:w="108" w:type="dxa"/>
          </w:tblCellMar>
        </w:tblPrEx>
        <w:trPr>
          <w:trHeight w:val="1943"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报价</w:t>
            </w:r>
          </w:p>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（30分）</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13</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宋体" w:eastAsia="仿宋_GB2312" w:cs="仿宋_GB2312"/>
                <w:color w:val="000000"/>
                <w:kern w:val="0"/>
                <w:sz w:val="24"/>
                <w:szCs w:val="24"/>
                <w:lang w:eastAsia="zh-CN"/>
              </w:rPr>
            </w:pPr>
            <w:r>
              <w:rPr>
                <w:rFonts w:ascii="仿宋_GB2312" w:hAnsi="宋体" w:eastAsia="仿宋_GB2312" w:cs="仿宋_GB2312"/>
                <w:color w:val="000000"/>
                <w:kern w:val="0"/>
                <w:sz w:val="24"/>
                <w:szCs w:val="24"/>
              </w:rPr>
              <w:t>有效投标报价的最低价作为评标基准价，其最低报价为满分；按［投标报价得分=（评标基准价/投标报价）*30］的计算公式计算。</w:t>
            </w:r>
          </w:p>
          <w:p>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评标过程中，不得去掉报价中的最高报价和最低报价。因落实政府采购政策需要进行价格调整的，以调整后的价格计算评标基准价和投标报价。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30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rPr>
              <w:t>价格分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bl>
    <w:p>
      <w:pPr>
        <w:pStyle w:val="2"/>
        <w:ind w:firstLine="460"/>
        <w:rPr>
          <w:rFonts w:eastAsia="仿宋_GB2312"/>
        </w:rPr>
      </w:pPr>
    </w:p>
    <w:p>
      <w:pPr>
        <w:pStyle w:val="2"/>
        <w:ind w:firstLine="460"/>
        <w:rPr>
          <w:rFonts w:eastAsia="仿宋_GB2312"/>
        </w:rPr>
      </w:pPr>
    </w:p>
    <w:p>
      <w:pPr>
        <w:pStyle w:val="2"/>
        <w:ind w:firstLine="460"/>
        <w:rPr>
          <w:rFonts w:eastAsia="仿宋_GB2312"/>
        </w:rPr>
      </w:pPr>
    </w:p>
    <w:p>
      <w:pPr>
        <w:pStyle w:val="2"/>
        <w:ind w:firstLine="462"/>
        <w:rPr>
          <w:rFonts w:ascii="仿宋_GB2312" w:eastAsia="仿宋_GB2312"/>
          <w:b/>
          <w:bCs/>
          <w:szCs w:val="24"/>
        </w:rPr>
      </w:pPr>
      <w:r>
        <w:rPr>
          <w:rFonts w:hint="eastAsia" w:eastAsia="仿宋_GB2312"/>
          <w:b/>
          <w:bCs/>
        </w:rPr>
        <w:t>标项二：</w:t>
      </w:r>
    </w:p>
    <w:p>
      <w:pPr>
        <w:spacing w:line="420" w:lineRule="exact"/>
        <w:ind w:firstLine="472" w:firstLineChars="196"/>
        <w:contextualSpacing/>
        <w:rPr>
          <w:rFonts w:ascii="仿宋_GB2312" w:eastAsia="仿宋_GB2312"/>
          <w:b/>
          <w:sz w:val="24"/>
          <w:szCs w:val="24"/>
        </w:rPr>
      </w:pPr>
      <w:r>
        <w:rPr>
          <w:rFonts w:hint="eastAsia" w:eastAsia="仿宋_GB2312"/>
          <w:b/>
          <w:sz w:val="24"/>
          <w:szCs w:val="24"/>
        </w:rPr>
        <w:t> </w:t>
      </w:r>
    </w:p>
    <w:tbl>
      <w:tblPr>
        <w:tblStyle w:val="24"/>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75"/>
        <w:gridCol w:w="5309"/>
        <w:gridCol w:w="891"/>
        <w:gridCol w:w="100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类别</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序号</w:t>
            </w:r>
          </w:p>
        </w:tc>
        <w:tc>
          <w:tcPr>
            <w:tcW w:w="53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b/>
                <w:spacing w:val="4"/>
                <w:sz w:val="24"/>
                <w:szCs w:val="24"/>
              </w:rPr>
              <w:t>评分标准</w:t>
            </w: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权重</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主观分/客观分属性</w:t>
            </w:r>
          </w:p>
        </w:tc>
        <w:tc>
          <w:tcPr>
            <w:tcW w:w="11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646" w:type="dxa"/>
            <w:vMerge w:val="restart"/>
            <w:tcBorders>
              <w:left w:val="single" w:color="auto" w:sz="4" w:space="0"/>
              <w:right w:val="single" w:color="auto" w:sz="4" w:space="0"/>
            </w:tcBorders>
            <w:vAlign w:val="center"/>
          </w:tcPr>
          <w:p>
            <w:pPr>
              <w:topLinePunct/>
              <w:spacing w:line="360" w:lineRule="auto"/>
              <w:contextualSpacing/>
              <w:rPr>
                <w:rFonts w:ascii="仿宋_GB2312" w:eastAsia="仿宋_GB2312"/>
                <w:b/>
                <w:sz w:val="24"/>
                <w:szCs w:val="24"/>
              </w:rPr>
            </w:pPr>
            <w:r>
              <w:rPr>
                <w:rFonts w:hint="eastAsia" w:ascii="仿宋_GB2312" w:eastAsia="仿宋_GB2312"/>
                <w:b/>
                <w:sz w:val="24"/>
                <w:szCs w:val="24"/>
              </w:rPr>
              <w:t>商务</w:t>
            </w:r>
          </w:p>
          <w:p>
            <w:pPr>
              <w:topLinePunct/>
              <w:spacing w:line="360" w:lineRule="auto"/>
              <w:contextualSpacing/>
              <w:rPr>
                <w:rFonts w:ascii="仿宋_GB2312" w:eastAsia="仿宋_GB2312"/>
                <w:b/>
                <w:sz w:val="24"/>
                <w:szCs w:val="24"/>
              </w:rPr>
            </w:pPr>
            <w:r>
              <w:rPr>
                <w:rFonts w:hint="eastAsia" w:ascii="仿宋_GB2312" w:eastAsia="仿宋_GB2312"/>
                <w:b/>
                <w:sz w:val="24"/>
                <w:szCs w:val="24"/>
              </w:rPr>
              <w:t>部分</w:t>
            </w:r>
          </w:p>
          <w:p>
            <w:pPr>
              <w:jc w:val="center"/>
              <w:rPr>
                <w:rFonts w:ascii="仿宋_GB2312" w:hAnsi="仿宋" w:eastAsia="仿宋_GB2312" w:cs="仿宋"/>
                <w:sz w:val="24"/>
                <w:szCs w:val="24"/>
              </w:rPr>
            </w:pPr>
            <w:r>
              <w:rPr>
                <w:rFonts w:hint="eastAsia" w:ascii="仿宋_GB2312" w:eastAsia="仿宋_GB2312"/>
                <w:b/>
                <w:sz w:val="24"/>
                <w:szCs w:val="24"/>
              </w:rPr>
              <w:t>(18分）</w:t>
            </w:r>
          </w:p>
        </w:tc>
        <w:tc>
          <w:tcPr>
            <w:tcW w:w="675" w:type="dxa"/>
            <w:tcBorders>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1</w:t>
            </w:r>
          </w:p>
        </w:tc>
        <w:tc>
          <w:tcPr>
            <w:tcW w:w="5309" w:type="dxa"/>
            <w:tcBorders>
              <w:top w:val="single" w:color="auto" w:sz="4" w:space="0"/>
              <w:left w:val="single" w:color="auto" w:sz="4" w:space="0"/>
              <w:right w:val="single" w:color="auto" w:sz="4" w:space="0"/>
            </w:tcBorders>
            <w:vAlign w:val="center"/>
          </w:tcPr>
          <w:p>
            <w:pPr>
              <w:rPr>
                <w:rFonts w:ascii="仿宋_GB2312" w:hAnsi="仿宋" w:eastAsia="仿宋_GB2312" w:cs="仿宋"/>
                <w:sz w:val="24"/>
                <w:szCs w:val="24"/>
              </w:rPr>
            </w:pPr>
            <w:r>
              <w:rPr>
                <w:rFonts w:hint="eastAsia" w:ascii="仿宋_GB2312" w:hAnsi="仿宋" w:eastAsia="仿宋_GB2312" w:cs="仿宋"/>
                <w:sz w:val="24"/>
                <w:szCs w:val="24"/>
              </w:rPr>
              <w:t>投标人具有类似信息化（软硬件集成类）业绩（每提供一份合同，得1分，最多得3分。）</w:t>
            </w:r>
          </w:p>
          <w:p>
            <w:pPr>
              <w:topLinePunct/>
              <w:rPr>
                <w:rFonts w:ascii="仿宋_GB2312" w:hAnsi="仿宋" w:eastAsia="仿宋_GB2312" w:cs="仿宋"/>
                <w:color w:val="000000" w:themeColor="text1"/>
                <w:sz w:val="24"/>
                <w:szCs w:val="24"/>
              </w:rPr>
            </w:pPr>
            <w:r>
              <w:rPr>
                <w:rFonts w:hint="eastAsia" w:ascii="仿宋_GB2312" w:hAnsi="仿宋" w:eastAsia="仿宋_GB2312" w:cs="仿宋"/>
                <w:sz w:val="24"/>
                <w:szCs w:val="24"/>
              </w:rPr>
              <w:t>注：1.合同签订时间为 2021年1月1日（含）至开标截止时间的时间段内，合同由投标人签订，否则不得分。</w:t>
            </w:r>
          </w:p>
          <w:p>
            <w:pPr>
              <w:topLinePunct/>
              <w:rPr>
                <w:rFonts w:ascii="仿宋_GB2312" w:hAnsi="仿宋" w:eastAsia="仿宋_GB2312" w:cs="仿宋"/>
                <w:sz w:val="24"/>
                <w:szCs w:val="24"/>
              </w:rPr>
            </w:pPr>
            <w:r>
              <w:rPr>
                <w:rFonts w:hint="eastAsia" w:ascii="仿宋_GB2312" w:hAnsi="仿宋" w:eastAsia="仿宋_GB2312" w:cs="仿宋"/>
                <w:color w:val="000000" w:themeColor="text1"/>
                <w:sz w:val="24"/>
                <w:szCs w:val="24"/>
              </w:rPr>
              <w:t>2.类似案例业绩是指合同内容必须包含（软硬件集成类）内容，否则不得分。</w:t>
            </w:r>
          </w:p>
        </w:tc>
        <w:tc>
          <w:tcPr>
            <w:tcW w:w="891" w:type="dxa"/>
            <w:tcBorders>
              <w:top w:val="single" w:color="auto" w:sz="4" w:space="0"/>
              <w:left w:val="single" w:color="auto" w:sz="4" w:space="0"/>
              <w:right w:val="single" w:color="auto" w:sz="4" w:space="0"/>
            </w:tcBorders>
            <w:vAlign w:val="center"/>
          </w:tcPr>
          <w:p>
            <w:pPr>
              <w:jc w:val="center"/>
              <w:rPr>
                <w:rFonts w:ascii="仿宋_GB2312" w:hAnsi="宋体" w:eastAsia="仿宋_GB2312" w:cs="宋体"/>
                <w:sz w:val="24"/>
                <w:szCs w:val="24"/>
              </w:rPr>
            </w:pPr>
          </w:p>
          <w:p>
            <w:pPr>
              <w:jc w:val="center"/>
              <w:rPr>
                <w:rFonts w:ascii="仿宋_GB2312" w:hAnsi="宋体" w:eastAsia="仿宋_GB2312" w:cs="宋体"/>
                <w:sz w:val="24"/>
                <w:szCs w:val="24"/>
              </w:rPr>
            </w:pPr>
            <w:r>
              <w:rPr>
                <w:rFonts w:hint="eastAsia" w:ascii="仿宋_GB2312" w:hAnsi="宋体" w:eastAsia="仿宋_GB2312" w:cs="宋体"/>
                <w:sz w:val="24"/>
                <w:szCs w:val="24"/>
              </w:rPr>
              <w:t>3</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客观分</w:t>
            </w:r>
          </w:p>
        </w:tc>
        <w:tc>
          <w:tcPr>
            <w:tcW w:w="115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2" w:hRule="atLeast"/>
          <w:jc w:val="center"/>
        </w:trPr>
        <w:tc>
          <w:tcPr>
            <w:tcW w:w="646" w:type="dxa"/>
            <w:vMerge w:val="continue"/>
            <w:tcBorders>
              <w:left w:val="single" w:color="auto" w:sz="4" w:space="0"/>
              <w:right w:val="single" w:color="auto" w:sz="4" w:space="0"/>
            </w:tcBorders>
            <w:vAlign w:val="center"/>
          </w:tcPr>
          <w:p>
            <w:pPr>
              <w:jc w:val="left"/>
              <w:rPr>
                <w:rFonts w:ascii="仿宋_GB2312" w:hAnsi="仿宋" w:eastAsia="仿宋_GB2312" w:cs="仿宋"/>
                <w:sz w:val="24"/>
                <w:szCs w:val="24"/>
              </w:rPr>
            </w:pPr>
          </w:p>
        </w:tc>
        <w:tc>
          <w:tcPr>
            <w:tcW w:w="675" w:type="dxa"/>
            <w:tcBorders>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2</w:t>
            </w:r>
          </w:p>
        </w:tc>
        <w:tc>
          <w:tcPr>
            <w:tcW w:w="5309" w:type="dxa"/>
            <w:tcBorders>
              <w:top w:val="single" w:color="auto" w:sz="4" w:space="0"/>
              <w:left w:val="single" w:color="auto" w:sz="4" w:space="0"/>
              <w:right w:val="single" w:color="auto" w:sz="4" w:space="0"/>
            </w:tcBorders>
            <w:vAlign w:val="center"/>
          </w:tcPr>
          <w:p>
            <w:pPr>
              <w:pStyle w:val="3"/>
              <w:rPr>
                <w:rFonts w:ascii="仿宋_GB2312" w:eastAsia="仿宋_GB2312"/>
                <w:sz w:val="24"/>
                <w:szCs w:val="24"/>
              </w:rPr>
            </w:pPr>
            <w:r>
              <w:rPr>
                <w:rFonts w:ascii="仿宋_GB2312" w:eastAsia="仿宋_GB2312"/>
                <w:sz w:val="24"/>
                <w:szCs w:val="24"/>
              </w:rPr>
              <w:t>1.投标人具有有效期内的ISO9001质量管理体系认证证书的，得1分；</w:t>
            </w:r>
          </w:p>
          <w:p>
            <w:pPr>
              <w:pStyle w:val="3"/>
              <w:rPr>
                <w:rFonts w:ascii="仿宋_GB2312" w:eastAsia="仿宋_GB2312"/>
                <w:sz w:val="24"/>
                <w:szCs w:val="24"/>
              </w:rPr>
            </w:pPr>
            <w:r>
              <w:rPr>
                <w:rFonts w:ascii="仿宋_GB2312" w:eastAsia="仿宋_GB2312"/>
                <w:sz w:val="24"/>
                <w:szCs w:val="24"/>
              </w:rPr>
              <w:t>2.投标人具有有效期内的ISO14001环境管理体系认证的，得1分；</w:t>
            </w:r>
          </w:p>
          <w:p>
            <w:pPr>
              <w:pStyle w:val="3"/>
              <w:rPr>
                <w:rFonts w:ascii="仿宋_GB2312" w:eastAsia="仿宋_GB2312"/>
                <w:sz w:val="24"/>
                <w:szCs w:val="24"/>
              </w:rPr>
            </w:pPr>
            <w:r>
              <w:rPr>
                <w:rFonts w:ascii="仿宋_GB2312" w:eastAsia="仿宋_GB2312"/>
                <w:sz w:val="24"/>
                <w:szCs w:val="24"/>
              </w:rPr>
              <w:t>3.投标人具有有效期内的ISO20000信息技术服务管理体系认证证书的，得1分；</w:t>
            </w:r>
          </w:p>
          <w:p>
            <w:pPr>
              <w:pStyle w:val="3"/>
              <w:rPr>
                <w:rFonts w:ascii="仿宋_GB2312" w:eastAsia="仿宋_GB2312"/>
                <w:sz w:val="24"/>
                <w:szCs w:val="24"/>
              </w:rPr>
            </w:pPr>
            <w:r>
              <w:rPr>
                <w:rFonts w:ascii="仿宋_GB2312" w:eastAsia="仿宋_GB2312"/>
                <w:sz w:val="24"/>
                <w:szCs w:val="24"/>
              </w:rPr>
              <w:t>4.投标人具有有效期内的ISO27001信息安全控制管理体系认证证书的，得1分。</w:t>
            </w:r>
          </w:p>
          <w:p>
            <w:pPr>
              <w:pStyle w:val="3"/>
            </w:pPr>
            <w:r>
              <w:rPr>
                <w:rFonts w:ascii="仿宋_GB2312" w:eastAsia="仿宋_GB2312"/>
                <w:sz w:val="24"/>
                <w:szCs w:val="24"/>
              </w:rPr>
              <w:t>注：上述证书由投标人在投标文件中自行提供，不提供不得分。</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4</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b/>
                <w:spacing w:val="4"/>
                <w:sz w:val="24"/>
                <w:szCs w:val="24"/>
              </w:rPr>
              <w:t>客观分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46" w:type="dxa"/>
            <w:vMerge w:val="continue"/>
            <w:tcBorders>
              <w:left w:val="single" w:color="auto" w:sz="4" w:space="0"/>
              <w:right w:val="single" w:color="auto" w:sz="4" w:space="0"/>
            </w:tcBorders>
            <w:vAlign w:val="center"/>
          </w:tcPr>
          <w:p>
            <w:pPr>
              <w:jc w:val="left"/>
              <w:rPr>
                <w:rFonts w:ascii="仿宋_GB2312" w:hAnsi="仿宋" w:eastAsia="仿宋_GB2312" w:cs="仿宋"/>
                <w:sz w:val="24"/>
                <w:szCs w:val="24"/>
              </w:rPr>
            </w:pPr>
          </w:p>
        </w:tc>
        <w:tc>
          <w:tcPr>
            <w:tcW w:w="675" w:type="dxa"/>
            <w:tcBorders>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3</w:t>
            </w:r>
          </w:p>
        </w:tc>
        <w:tc>
          <w:tcPr>
            <w:tcW w:w="5309" w:type="dxa"/>
            <w:tcBorders>
              <w:top w:val="single" w:color="auto" w:sz="4" w:space="0"/>
              <w:left w:val="single" w:color="auto" w:sz="4" w:space="0"/>
              <w:right w:val="single" w:color="auto" w:sz="4" w:space="0"/>
            </w:tcBorders>
            <w:vAlign w:val="center"/>
          </w:tcPr>
          <w:p>
            <w:pPr>
              <w:topLinePunct/>
              <w:contextualSpacing/>
              <w:rPr>
                <w:rFonts w:ascii="仿宋_GB2312" w:hAnsi="仿宋_GB2312" w:eastAsia="仿宋_GB2312" w:cs="仿宋_GB2312"/>
                <w:color w:val="000000" w:themeColor="text1"/>
                <w:sz w:val="24"/>
              </w:rPr>
            </w:pPr>
            <w:r>
              <w:rPr>
                <w:rFonts w:hint="eastAsia" w:ascii="仿宋_GB2312" w:hAnsi="仿宋_GB2312" w:eastAsia="仿宋_GB2312" w:cs="仿宋_GB2312"/>
                <w:sz w:val="24"/>
              </w:rPr>
              <w:t>投标人拟派的项目经理（1人）具有信息系统项目管理师</w:t>
            </w:r>
            <w:r>
              <w:rPr>
                <w:rFonts w:hint="eastAsia" w:ascii="仿宋_GB2312" w:hAnsi="仿宋_GB2312" w:eastAsia="仿宋_GB2312" w:cs="仿宋_GB2312"/>
                <w:color w:val="000000" w:themeColor="text1"/>
                <w:sz w:val="24"/>
              </w:rPr>
              <w:t>、中级及以上网络工程师、中级及以上互联网技术，每具备1类证书得1分，本项最高3分。</w:t>
            </w:r>
          </w:p>
          <w:p>
            <w:pPr>
              <w:topLinePunct/>
              <w:rPr>
                <w:rFonts w:ascii="仿宋_GB2312" w:hAnsi="仿宋" w:eastAsia="仿宋_GB2312" w:cs="仿宋"/>
                <w:b/>
                <w:color w:val="000000"/>
                <w:sz w:val="24"/>
                <w:szCs w:val="24"/>
              </w:rPr>
            </w:pPr>
            <w:r>
              <w:rPr>
                <w:rFonts w:hint="eastAsia" w:ascii="仿宋_GB2312" w:hAnsi="仿宋" w:eastAsia="仿宋_GB2312" w:cs="仿宋"/>
                <w:b/>
                <w:color w:val="000000" w:themeColor="text1"/>
                <w:sz w:val="24"/>
                <w:szCs w:val="24"/>
              </w:rPr>
              <w:t>注:1.须提供上述证书及上述</w:t>
            </w:r>
            <w:r>
              <w:rPr>
                <w:rFonts w:hint="eastAsia" w:ascii="仿宋_GB2312" w:hAnsi="仿宋" w:eastAsia="仿宋_GB2312" w:cs="仿宋"/>
                <w:b/>
                <w:color w:val="000000"/>
                <w:sz w:val="24"/>
                <w:szCs w:val="24"/>
              </w:rPr>
              <w:t>人员社保证明（2024年2月、3月、4月、5月中的任意一个月），否则不得分。</w:t>
            </w:r>
          </w:p>
          <w:p>
            <w:pPr>
              <w:pStyle w:val="3"/>
              <w:rPr>
                <w:rFonts w:ascii="仿宋_GB2312" w:eastAsia="仿宋_GB2312"/>
                <w:sz w:val="24"/>
                <w:szCs w:val="24"/>
              </w:rPr>
            </w:pPr>
            <w:r>
              <w:rPr>
                <w:rFonts w:hint="eastAsia" w:ascii="仿宋_GB2312" w:hAnsi="仿宋" w:eastAsia="仿宋_GB2312" w:cs="仿宋"/>
                <w:b/>
                <w:color w:val="000000"/>
                <w:sz w:val="24"/>
                <w:szCs w:val="24"/>
              </w:rPr>
              <w:t>2.投标人提供的同类证书等级高于上述证书的，视作满足要求。</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3</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客观分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46" w:type="dxa"/>
            <w:vMerge w:val="continue"/>
            <w:tcBorders>
              <w:left w:val="single" w:color="auto" w:sz="4" w:space="0"/>
              <w:right w:val="single" w:color="auto" w:sz="4" w:space="0"/>
            </w:tcBorders>
            <w:vAlign w:val="center"/>
          </w:tcPr>
          <w:p>
            <w:pPr>
              <w:jc w:val="left"/>
              <w:rPr>
                <w:rFonts w:ascii="仿宋_GB2312" w:hAnsi="仿宋" w:eastAsia="仿宋_GB2312" w:cs="仿宋"/>
                <w:sz w:val="24"/>
                <w:szCs w:val="24"/>
              </w:rPr>
            </w:pPr>
          </w:p>
        </w:tc>
        <w:tc>
          <w:tcPr>
            <w:tcW w:w="675" w:type="dxa"/>
            <w:tcBorders>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4</w:t>
            </w:r>
          </w:p>
        </w:tc>
        <w:tc>
          <w:tcPr>
            <w:tcW w:w="5309" w:type="dxa"/>
            <w:tcBorders>
              <w:top w:val="single" w:color="auto" w:sz="4" w:space="0"/>
              <w:left w:val="single" w:color="auto" w:sz="4" w:space="0"/>
              <w:right w:val="single" w:color="auto" w:sz="4" w:space="0"/>
            </w:tcBorders>
            <w:vAlign w:val="center"/>
          </w:tcPr>
          <w:p>
            <w:pPr>
              <w:topLinePunct/>
              <w:contextualSpacing/>
              <w:rPr>
                <w:rFonts w:ascii="仿宋_GB2312" w:hAnsi="仿宋_GB2312" w:eastAsia="仿宋_GB2312" w:cs="仿宋_GB2312"/>
                <w:sz w:val="24"/>
              </w:rPr>
            </w:pPr>
            <w:r>
              <w:rPr>
                <w:rFonts w:hint="eastAsia" w:ascii="仿宋_GB2312" w:hAnsi="仿宋_GB2312" w:eastAsia="仿宋_GB2312" w:cs="仿宋_GB2312"/>
                <w:sz w:val="24"/>
              </w:rPr>
              <w:t>项目团队（除项目经理外）具有网络安全管理员、</w:t>
            </w:r>
            <w:r>
              <w:rPr>
                <w:rFonts w:hint="eastAsia" w:ascii="仿宋_GB2312" w:hAnsi="仿宋_GB2312" w:eastAsia="仿宋_GB2312" w:cs="仿宋_GB2312"/>
                <w:color w:val="000000" w:themeColor="text1"/>
                <w:sz w:val="24"/>
              </w:rPr>
              <w:t>中级及以上设备环境工</w:t>
            </w:r>
            <w:r>
              <w:rPr>
                <w:rFonts w:hint="eastAsia" w:ascii="仿宋_GB2312" w:hAnsi="仿宋_GB2312" w:eastAsia="仿宋_GB2312" w:cs="仿宋_GB2312"/>
                <w:sz w:val="24"/>
              </w:rPr>
              <w:t>程师、</w:t>
            </w:r>
            <w:r>
              <w:rPr>
                <w:rFonts w:hint="eastAsia" w:ascii="仿宋_GB2312" w:hAnsi="仿宋_GB2312" w:eastAsia="仿宋_GB2312" w:cs="仿宋_GB2312"/>
                <w:color w:val="000000" w:themeColor="text1"/>
                <w:sz w:val="24"/>
              </w:rPr>
              <w:t>中级及以上</w:t>
            </w:r>
            <w:r>
              <w:rPr>
                <w:rFonts w:hint="eastAsia" w:ascii="仿宋_GB2312" w:hAnsi="仿宋_GB2312" w:eastAsia="仿宋_GB2312" w:cs="仿宋_GB2312"/>
                <w:sz w:val="24"/>
              </w:rPr>
              <w:t>通信工程师、</w:t>
            </w:r>
            <w:r>
              <w:rPr>
                <w:rFonts w:hint="eastAsia" w:ascii="仿宋_GB2312" w:hAnsi="仿宋_GB2312" w:eastAsia="仿宋_GB2312" w:cs="仿宋_GB2312"/>
                <w:color w:val="000000" w:themeColor="text1"/>
                <w:sz w:val="24"/>
              </w:rPr>
              <w:t>中级及以上</w:t>
            </w:r>
            <w:r>
              <w:rPr>
                <w:rFonts w:hint="eastAsia" w:ascii="仿宋_GB2312" w:hAnsi="仿宋_GB2312" w:eastAsia="仿宋_GB2312" w:cs="仿宋_GB2312"/>
                <w:sz w:val="24"/>
              </w:rPr>
              <w:t>网络工程师证书的，每具备1类证书得1分，本项最高4分。</w:t>
            </w:r>
          </w:p>
          <w:p>
            <w:pPr>
              <w:topLinePunct/>
              <w:contextualSpacing/>
              <w:rPr>
                <w:rFonts w:ascii="仿宋_GB2312" w:hAnsi="仿宋_GB2312" w:eastAsia="仿宋_GB2312" w:cs="仿宋_GB2312"/>
                <w:sz w:val="24"/>
              </w:rPr>
            </w:pPr>
            <w:r>
              <w:rPr>
                <w:rFonts w:hint="eastAsia" w:ascii="仿宋_GB2312" w:hAnsi="仿宋_GB2312" w:eastAsia="仿宋_GB2312" w:cs="仿宋_GB2312"/>
                <w:sz w:val="24"/>
              </w:rPr>
              <w:t>项目团队中一人多证不重复计分，同类证书不重复计分，按最高得分计取。</w:t>
            </w:r>
          </w:p>
          <w:p>
            <w:pPr>
              <w:rPr>
                <w:rFonts w:ascii="仿宋_GB2312" w:eastAsia="仿宋_GB2312"/>
                <w:b/>
                <w:bCs/>
                <w:sz w:val="24"/>
                <w:szCs w:val="24"/>
              </w:rPr>
            </w:pPr>
            <w:r>
              <w:rPr>
                <w:rFonts w:hint="eastAsia" w:ascii="仿宋_GB2312" w:hAnsi="仿宋" w:eastAsia="仿宋_GB2312" w:cs="仿宋"/>
                <w:b/>
                <w:color w:val="000000"/>
                <w:sz w:val="24"/>
                <w:szCs w:val="24"/>
              </w:rPr>
              <w:t>注:</w:t>
            </w:r>
            <w:r>
              <w:rPr>
                <w:rFonts w:hint="eastAsia" w:ascii="仿宋_GB2312" w:eastAsia="仿宋_GB2312"/>
                <w:b/>
                <w:bCs/>
                <w:sz w:val="24"/>
                <w:szCs w:val="24"/>
                <w:lang w:eastAsia="zh-TW"/>
              </w:rPr>
              <w:t>1.投标人须提供由人社部门（或人社部门授权的相关部门）颁发的上述职业资格（职业技能）证书，否则不得分。</w:t>
            </w:r>
          </w:p>
          <w:p>
            <w:pPr>
              <w:rPr>
                <w:rFonts w:ascii="仿宋_GB2312" w:eastAsia="仿宋_GB2312"/>
                <w:b/>
                <w:bCs/>
                <w:sz w:val="24"/>
                <w:szCs w:val="24"/>
              </w:rPr>
            </w:pPr>
            <w:r>
              <w:rPr>
                <w:rFonts w:hint="eastAsia" w:ascii="仿宋_GB2312" w:eastAsia="仿宋_GB2312"/>
                <w:b/>
                <w:bCs/>
                <w:sz w:val="24"/>
                <w:szCs w:val="24"/>
              </w:rPr>
              <w:t>2.投标人须提供</w:t>
            </w:r>
            <w:r>
              <w:rPr>
                <w:rFonts w:hint="eastAsia" w:ascii="仿宋_GB2312" w:eastAsia="仿宋_GB2312"/>
                <w:b/>
                <w:bCs/>
                <w:sz w:val="24"/>
                <w:szCs w:val="24"/>
                <w:lang w:eastAsia="zh-TW"/>
              </w:rPr>
              <w:t>上述人员在本单位的社保证明（</w:t>
            </w:r>
            <w:r>
              <w:rPr>
                <w:rFonts w:hint="eastAsia" w:ascii="仿宋_GB2312" w:hAnsi="仿宋" w:eastAsia="仿宋_GB2312" w:cs="仿宋"/>
                <w:b/>
                <w:color w:val="000000"/>
                <w:sz w:val="24"/>
                <w:szCs w:val="24"/>
              </w:rPr>
              <w:t>2024年2月、3月、4月、5月</w:t>
            </w:r>
            <w:r>
              <w:rPr>
                <w:rFonts w:hint="eastAsia" w:ascii="仿宋_GB2312" w:hAnsi="仿宋_GB2312" w:eastAsia="仿宋_GB2312" w:cs="仿宋_GB2312"/>
                <w:b/>
                <w:bCs/>
                <w:sz w:val="24"/>
                <w:szCs w:val="24"/>
                <w:lang w:val="zh-TW" w:eastAsia="zh-TW"/>
              </w:rPr>
              <w:t>中的任意一个月</w:t>
            </w:r>
            <w:r>
              <w:rPr>
                <w:rFonts w:hint="eastAsia" w:ascii="仿宋_GB2312" w:eastAsia="仿宋_GB2312"/>
                <w:b/>
                <w:bCs/>
                <w:sz w:val="24"/>
                <w:szCs w:val="24"/>
                <w:lang w:eastAsia="zh-TW"/>
              </w:rPr>
              <w:t>），否则不得分。</w:t>
            </w:r>
          </w:p>
          <w:p>
            <w:pPr>
              <w:pStyle w:val="3"/>
              <w:rPr>
                <w:rFonts w:ascii="仿宋_GB2312" w:hAnsi="仿宋" w:eastAsia="仿宋_GB2312" w:cs="仿宋"/>
                <w:b/>
                <w:color w:val="000000"/>
                <w:sz w:val="24"/>
                <w:szCs w:val="24"/>
              </w:rPr>
            </w:pPr>
            <w:r>
              <w:rPr>
                <w:rFonts w:hint="eastAsia" w:ascii="仿宋_GB2312" w:hAnsi="仿宋" w:eastAsia="仿宋_GB2312" w:cs="仿宋"/>
                <w:b/>
                <w:color w:val="000000"/>
                <w:sz w:val="24"/>
                <w:szCs w:val="24"/>
              </w:rPr>
              <w:t>2.投标人提供的同类证书等级高于上述证书的，视作满足要求。</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4</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客观分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46" w:type="dxa"/>
            <w:vMerge w:val="continue"/>
            <w:tcBorders>
              <w:left w:val="single" w:color="auto" w:sz="4" w:space="0"/>
              <w:right w:val="single" w:color="auto" w:sz="4" w:space="0"/>
            </w:tcBorders>
            <w:vAlign w:val="center"/>
          </w:tcPr>
          <w:p>
            <w:pPr>
              <w:jc w:val="left"/>
              <w:rPr>
                <w:rFonts w:ascii="仿宋_GB2312" w:hAnsi="仿宋" w:eastAsia="仿宋_GB2312" w:cs="仿宋"/>
                <w:sz w:val="24"/>
                <w:szCs w:val="24"/>
              </w:rPr>
            </w:pPr>
          </w:p>
        </w:tc>
        <w:tc>
          <w:tcPr>
            <w:tcW w:w="675" w:type="dxa"/>
            <w:tcBorders>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5</w:t>
            </w:r>
          </w:p>
        </w:tc>
        <w:tc>
          <w:tcPr>
            <w:tcW w:w="5309" w:type="dxa"/>
            <w:tcBorders>
              <w:top w:val="single" w:color="auto" w:sz="4" w:space="0"/>
              <w:left w:val="single" w:color="auto" w:sz="4" w:space="0"/>
              <w:right w:val="single" w:color="auto" w:sz="4" w:space="0"/>
            </w:tcBorders>
            <w:vAlign w:val="center"/>
          </w:tcPr>
          <w:p>
            <w:pPr>
              <w:rPr>
                <w:rFonts w:hint="eastAsia" w:ascii="仿宋_GB2312" w:eastAsia="仿宋_GB2312"/>
                <w:sz w:val="24"/>
                <w:szCs w:val="24"/>
                <w:lang w:eastAsia="zh-CN"/>
              </w:rPr>
            </w:pPr>
            <w:r>
              <w:rPr>
                <w:rFonts w:hint="eastAsia" w:ascii="仿宋_GB2312" w:eastAsia="仿宋_GB2312"/>
                <w:sz w:val="24"/>
                <w:szCs w:val="24"/>
              </w:rPr>
              <w:t>根据投标人提供的售后服务方案，包括应急方案、服务承诺、服务响应和故障排除时间承诺打分：</w:t>
            </w:r>
          </w:p>
          <w:p>
            <w:pPr>
              <w:rPr>
                <w:rFonts w:hint="eastAsia" w:ascii="仿宋_GB2312" w:eastAsia="仿宋_GB2312"/>
                <w:sz w:val="24"/>
                <w:szCs w:val="24"/>
                <w:lang w:eastAsia="zh-CN"/>
              </w:rPr>
            </w:pPr>
            <w:r>
              <w:rPr>
                <w:rFonts w:hint="eastAsia" w:ascii="仿宋_GB2312" w:eastAsia="仿宋_GB2312"/>
                <w:sz w:val="24"/>
                <w:szCs w:val="24"/>
              </w:rPr>
              <w:t>以上每点，描述完整详细且与采购人实际需求完全契合的得1分；</w:t>
            </w:r>
          </w:p>
          <w:p>
            <w:pPr>
              <w:rPr>
                <w:rFonts w:hint="eastAsia" w:ascii="仿宋_GB2312" w:eastAsia="仿宋_GB2312"/>
                <w:sz w:val="24"/>
                <w:szCs w:val="24"/>
                <w:lang w:eastAsia="zh-CN"/>
              </w:rPr>
            </w:pPr>
            <w:r>
              <w:rPr>
                <w:rFonts w:hint="eastAsia" w:ascii="仿宋_GB2312" w:eastAsia="仿宋_GB2312"/>
                <w:sz w:val="24"/>
                <w:szCs w:val="24"/>
              </w:rPr>
              <w:t>描述较详细完整或与采购人实际需求部分符合的得0.5分；</w:t>
            </w:r>
          </w:p>
          <w:p>
            <w:pPr>
              <w:rPr>
                <w:rFonts w:hint="eastAsia" w:ascii="仿宋_GB2312" w:eastAsia="仿宋_GB2312"/>
                <w:sz w:val="24"/>
                <w:szCs w:val="24"/>
                <w:lang w:eastAsia="zh-CN"/>
              </w:rPr>
            </w:pPr>
            <w:r>
              <w:rPr>
                <w:rFonts w:hint="eastAsia" w:ascii="仿宋_GB2312" w:eastAsia="仿宋_GB2312"/>
                <w:sz w:val="24"/>
                <w:szCs w:val="24"/>
              </w:rPr>
              <w:t>未提供或完全不符合采购人需求的得0分。</w:t>
            </w:r>
          </w:p>
          <w:p>
            <w:pPr>
              <w:rPr>
                <w:rFonts w:ascii="仿宋_GB2312" w:eastAsia="仿宋_GB2312"/>
                <w:sz w:val="24"/>
                <w:szCs w:val="24"/>
              </w:rPr>
            </w:pPr>
            <w:r>
              <w:rPr>
                <w:rFonts w:hint="eastAsia" w:ascii="仿宋_GB2312" w:eastAsia="仿宋_GB2312"/>
                <w:sz w:val="24"/>
                <w:szCs w:val="24"/>
              </w:rPr>
              <w:t>本项最多得4分。</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4</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主观分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646" w:type="dxa"/>
            <w:vMerge w:val="restart"/>
            <w:tcBorders>
              <w:left w:val="single" w:color="auto" w:sz="4" w:space="0"/>
              <w:right w:val="single" w:color="auto" w:sz="4" w:space="0"/>
            </w:tcBorders>
            <w:vAlign w:val="center"/>
          </w:tcPr>
          <w:p>
            <w:pPr>
              <w:topLinePunct/>
              <w:spacing w:line="360" w:lineRule="auto"/>
              <w:contextualSpacing/>
              <w:rPr>
                <w:rFonts w:ascii="仿宋_GB2312" w:eastAsia="仿宋_GB2312"/>
                <w:b/>
                <w:sz w:val="24"/>
                <w:szCs w:val="24"/>
              </w:rPr>
            </w:pPr>
            <w:r>
              <w:rPr>
                <w:rFonts w:hint="eastAsia" w:ascii="仿宋_GB2312" w:eastAsia="仿宋_GB2312"/>
                <w:b/>
                <w:sz w:val="24"/>
                <w:szCs w:val="24"/>
              </w:rPr>
              <w:t>技术</w:t>
            </w:r>
          </w:p>
          <w:p>
            <w:pPr>
              <w:topLinePunct/>
              <w:spacing w:line="360" w:lineRule="auto"/>
              <w:contextualSpacing/>
              <w:rPr>
                <w:rFonts w:ascii="仿宋_GB2312" w:eastAsia="仿宋_GB2312"/>
                <w:b/>
                <w:sz w:val="24"/>
                <w:szCs w:val="24"/>
              </w:rPr>
            </w:pPr>
            <w:r>
              <w:rPr>
                <w:rFonts w:hint="eastAsia" w:ascii="仿宋_GB2312" w:eastAsia="仿宋_GB2312"/>
                <w:b/>
                <w:sz w:val="24"/>
                <w:szCs w:val="24"/>
              </w:rPr>
              <w:t>部分</w:t>
            </w:r>
          </w:p>
          <w:p>
            <w:pPr>
              <w:rPr>
                <w:rFonts w:ascii="仿宋_GB2312" w:hAnsi="仿宋" w:eastAsia="仿宋_GB2312" w:cs="仿宋"/>
                <w:spacing w:val="4"/>
                <w:sz w:val="24"/>
                <w:szCs w:val="24"/>
              </w:rPr>
            </w:pPr>
            <w:r>
              <w:rPr>
                <w:rFonts w:hint="eastAsia" w:ascii="仿宋_GB2312" w:eastAsia="仿宋_GB2312"/>
                <w:b/>
                <w:sz w:val="24"/>
                <w:szCs w:val="24"/>
              </w:rPr>
              <w:t>(52分）</w:t>
            </w:r>
          </w:p>
        </w:tc>
        <w:tc>
          <w:tcPr>
            <w:tcW w:w="675" w:type="dxa"/>
            <w:tcBorders>
              <w:left w:val="single" w:color="auto" w:sz="4" w:space="0"/>
              <w:right w:val="single" w:color="auto" w:sz="4" w:space="0"/>
            </w:tcBorders>
            <w:vAlign w:val="center"/>
          </w:tcPr>
          <w:p>
            <w:pPr>
              <w:widowControl/>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6</w:t>
            </w:r>
          </w:p>
        </w:tc>
        <w:tc>
          <w:tcPr>
            <w:tcW w:w="5309" w:type="dxa"/>
            <w:tcBorders>
              <w:top w:val="single" w:color="auto" w:sz="4" w:space="0"/>
              <w:left w:val="single" w:color="auto" w:sz="4" w:space="0"/>
              <w:right w:val="single" w:color="auto" w:sz="4" w:space="0"/>
            </w:tcBorders>
            <w:vAlign w:val="center"/>
          </w:tcPr>
          <w:p>
            <w:pPr>
              <w:topLinePunct/>
              <w:contextualSpacing/>
              <w:rPr>
                <w:rFonts w:ascii="仿宋_GB2312" w:hAnsi="仿宋" w:eastAsia="仿宋_GB2312" w:cs="黑体"/>
                <w:sz w:val="24"/>
                <w:szCs w:val="24"/>
              </w:rPr>
            </w:pPr>
            <w:r>
              <w:rPr>
                <w:rFonts w:hint="eastAsia" w:ascii="仿宋_GB2312" w:hAnsi="仿宋" w:eastAsia="仿宋_GB2312" w:cs="黑体"/>
                <w:sz w:val="24"/>
                <w:szCs w:val="24"/>
              </w:rPr>
              <w:t>投标人投标文件中的投标产品标注“△”的技术指标全部满足招标文件规定的技术参数要求得27分。一项指标不满足扣0.5分，最多扣27分 。</w:t>
            </w:r>
          </w:p>
          <w:p>
            <w:pPr>
              <w:topLinePunct/>
              <w:contextualSpacing/>
              <w:rPr>
                <w:rFonts w:ascii="仿宋_GB2312" w:hAnsi="仿宋" w:eastAsia="仿宋_GB2312" w:cs="黑体"/>
                <w:sz w:val="24"/>
                <w:szCs w:val="24"/>
              </w:rPr>
            </w:pPr>
            <w:r>
              <w:rPr>
                <w:rFonts w:hint="eastAsia" w:ascii="仿宋_GB2312" w:hAnsi="仿宋" w:eastAsia="仿宋_GB2312" w:cs="黑体"/>
                <w:sz w:val="24"/>
                <w:szCs w:val="24"/>
              </w:rPr>
              <w:t>注：要求提供相关证明材料的，以证明材料为准，不提供或提供的证明材料不符合要求的视作负偏离。</w:t>
            </w:r>
          </w:p>
        </w:tc>
        <w:tc>
          <w:tcPr>
            <w:tcW w:w="891" w:type="dxa"/>
            <w:tcBorders>
              <w:top w:val="single" w:color="auto" w:sz="4" w:space="0"/>
              <w:left w:val="single" w:color="auto" w:sz="4" w:space="0"/>
              <w:right w:val="single" w:color="auto" w:sz="4" w:space="0"/>
            </w:tcBorders>
            <w:vAlign w:val="center"/>
          </w:tcPr>
          <w:p>
            <w:pPr>
              <w:jc w:val="center"/>
              <w:rPr>
                <w:rFonts w:ascii="仿宋_GB2312" w:hAnsi="黑体" w:eastAsia="仿宋_GB2312" w:cs="黑体"/>
                <w:sz w:val="24"/>
                <w:szCs w:val="24"/>
              </w:rPr>
            </w:pPr>
            <w:r>
              <w:rPr>
                <w:rFonts w:hint="eastAsia" w:ascii="仿宋_GB2312" w:hAnsi="黑体" w:eastAsia="仿宋_GB2312" w:cs="黑体"/>
                <w:sz w:val="24"/>
                <w:szCs w:val="24"/>
              </w:rPr>
              <w:t>27</w:t>
            </w:r>
          </w:p>
        </w:tc>
        <w:tc>
          <w:tcPr>
            <w:tcW w:w="1000"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仿宋" w:eastAsia="仿宋_GB2312" w:cs="仿宋"/>
                <w:sz w:val="24"/>
                <w:szCs w:val="24"/>
              </w:rPr>
            </w:pPr>
            <w:r>
              <w:rPr>
                <w:rFonts w:hint="eastAsia" w:ascii="仿宋_GB2312" w:hAnsi="仿宋" w:eastAsia="仿宋_GB2312" w:cs="仿宋"/>
                <w:b/>
                <w:spacing w:val="4"/>
                <w:sz w:val="24"/>
                <w:szCs w:val="24"/>
              </w:rPr>
              <w:t>客观分</w:t>
            </w:r>
          </w:p>
        </w:tc>
        <w:tc>
          <w:tcPr>
            <w:tcW w:w="1150" w:type="dxa"/>
            <w:tcBorders>
              <w:top w:val="single" w:color="auto" w:sz="4" w:space="0"/>
              <w:left w:val="single" w:color="auto" w:sz="4" w:space="0"/>
              <w:right w:val="single" w:color="auto" w:sz="4" w:space="0"/>
            </w:tcBorders>
          </w:tcPr>
          <w:p>
            <w:pPr>
              <w:adjustRightInd w:val="0"/>
              <w:snapToGrid w:val="0"/>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46" w:type="dxa"/>
            <w:vMerge w:val="continue"/>
            <w:tcBorders>
              <w:left w:val="single" w:color="auto" w:sz="4" w:space="0"/>
              <w:right w:val="single" w:color="auto" w:sz="4" w:space="0"/>
            </w:tcBorders>
            <w:vAlign w:val="center"/>
          </w:tcPr>
          <w:p>
            <w:pPr>
              <w:rPr>
                <w:rFonts w:ascii="仿宋_GB2312" w:eastAsia="仿宋_GB2312"/>
                <w:b/>
                <w:sz w:val="24"/>
                <w:szCs w:val="24"/>
              </w:rPr>
            </w:pPr>
          </w:p>
        </w:tc>
        <w:tc>
          <w:tcPr>
            <w:tcW w:w="675" w:type="dxa"/>
            <w:tcBorders>
              <w:left w:val="single" w:color="auto" w:sz="4" w:space="0"/>
              <w:right w:val="single" w:color="auto" w:sz="4" w:space="0"/>
            </w:tcBorders>
            <w:vAlign w:val="center"/>
          </w:tcPr>
          <w:p>
            <w:pPr>
              <w:widowControl/>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7</w:t>
            </w:r>
          </w:p>
        </w:tc>
        <w:tc>
          <w:tcPr>
            <w:tcW w:w="5309" w:type="dxa"/>
            <w:tcBorders>
              <w:top w:val="single" w:color="auto" w:sz="4" w:space="0"/>
              <w:left w:val="single" w:color="auto" w:sz="4" w:space="0"/>
              <w:right w:val="single" w:color="auto" w:sz="4" w:space="0"/>
            </w:tcBorders>
            <w:vAlign w:val="center"/>
          </w:tcPr>
          <w:p>
            <w:pPr>
              <w:topLinePunct/>
              <w:contextualSpacing/>
              <w:rPr>
                <w:rFonts w:ascii="仿宋_GB2312" w:hAnsi="仿宋" w:eastAsia="仿宋_GB2312" w:cs="黑体"/>
                <w:color w:val="000000" w:themeColor="text1"/>
                <w:sz w:val="24"/>
                <w:szCs w:val="24"/>
              </w:rPr>
            </w:pPr>
            <w:r>
              <w:rPr>
                <w:rFonts w:hint="eastAsia" w:ascii="仿宋_GB2312" w:hAnsi="仿宋" w:eastAsia="仿宋_GB2312" w:cs="黑体"/>
                <w:color w:val="000000" w:themeColor="text1"/>
                <w:sz w:val="24"/>
                <w:szCs w:val="24"/>
              </w:rPr>
              <w:t>根据投标人对本项目剖析方案，包括项目实施前，市级、县级指挥中心的现状情况、存在问题、需求理解。</w:t>
            </w:r>
          </w:p>
          <w:p>
            <w:pPr>
              <w:topLinePunct/>
              <w:contextualSpacing/>
              <w:rPr>
                <w:rFonts w:ascii="仿宋_GB2312" w:hAnsi="仿宋" w:eastAsia="仿宋_GB2312" w:cs="黑体"/>
                <w:color w:val="000000" w:themeColor="text1"/>
                <w:sz w:val="24"/>
                <w:szCs w:val="24"/>
              </w:rPr>
            </w:pPr>
            <w:r>
              <w:rPr>
                <w:rFonts w:hint="eastAsia" w:ascii="仿宋_GB2312" w:hAnsi="仿宋" w:eastAsia="仿宋_GB2312" w:cs="黑体"/>
                <w:color w:val="000000" w:themeColor="text1"/>
                <w:sz w:val="24"/>
                <w:szCs w:val="24"/>
              </w:rPr>
              <w:t>以上每点，事项分析完整详细，解决方案切实可行的，得2分；</w:t>
            </w:r>
          </w:p>
          <w:p>
            <w:pPr>
              <w:topLinePunct/>
              <w:contextualSpacing/>
              <w:rPr>
                <w:rFonts w:ascii="仿宋_GB2312" w:hAnsi="仿宋" w:eastAsia="仿宋_GB2312" w:cs="黑体"/>
                <w:color w:val="000000" w:themeColor="text1"/>
                <w:sz w:val="24"/>
                <w:szCs w:val="24"/>
              </w:rPr>
            </w:pPr>
            <w:r>
              <w:rPr>
                <w:rFonts w:hint="eastAsia" w:ascii="仿宋_GB2312" w:hAnsi="仿宋" w:eastAsia="仿宋_GB2312" w:cs="黑体"/>
                <w:color w:val="000000" w:themeColor="text1"/>
                <w:sz w:val="24"/>
                <w:szCs w:val="24"/>
              </w:rPr>
              <w:t>事项分析较详细，解决方案可行的，得1.5分；</w:t>
            </w:r>
          </w:p>
          <w:p>
            <w:pPr>
              <w:topLinePunct/>
              <w:contextualSpacing/>
              <w:rPr>
                <w:rFonts w:ascii="仿宋_GB2312" w:hAnsi="仿宋" w:eastAsia="仿宋_GB2312" w:cs="黑体"/>
                <w:color w:val="000000" w:themeColor="text1"/>
                <w:sz w:val="24"/>
                <w:szCs w:val="24"/>
              </w:rPr>
            </w:pPr>
            <w:r>
              <w:rPr>
                <w:rFonts w:hint="eastAsia" w:ascii="仿宋_GB2312" w:hAnsi="仿宋" w:eastAsia="仿宋_GB2312" w:cs="黑体"/>
                <w:color w:val="000000" w:themeColor="text1"/>
                <w:sz w:val="24"/>
                <w:szCs w:val="24"/>
              </w:rPr>
              <w:t>事项分析简单，解决方案一般的，得1分；</w:t>
            </w:r>
          </w:p>
          <w:p>
            <w:pPr>
              <w:topLinePunct/>
              <w:contextualSpacing/>
              <w:rPr>
                <w:rFonts w:ascii="仿宋_GB2312" w:hAnsi="仿宋" w:eastAsia="仿宋_GB2312" w:cs="黑体"/>
                <w:color w:val="000000" w:themeColor="text1"/>
                <w:sz w:val="24"/>
                <w:szCs w:val="24"/>
              </w:rPr>
            </w:pPr>
            <w:r>
              <w:rPr>
                <w:rFonts w:hint="eastAsia" w:ascii="仿宋_GB2312" w:hAnsi="仿宋" w:eastAsia="仿宋_GB2312" w:cs="黑体"/>
                <w:color w:val="000000" w:themeColor="text1"/>
                <w:sz w:val="24"/>
                <w:szCs w:val="24"/>
              </w:rPr>
              <w:t>事项分析及解决方案较差的，得0.5分；</w:t>
            </w:r>
          </w:p>
          <w:p>
            <w:pPr>
              <w:topLinePunct/>
              <w:contextualSpacing/>
              <w:rPr>
                <w:rFonts w:ascii="仿宋_GB2312" w:eastAsia="仿宋_GB2312"/>
                <w:b/>
                <w:bCs/>
                <w:color w:val="000000" w:themeColor="text1"/>
                <w:szCs w:val="24"/>
              </w:rPr>
            </w:pPr>
            <w:r>
              <w:rPr>
                <w:rFonts w:hint="eastAsia" w:ascii="仿宋_GB2312" w:hAnsi="仿宋" w:eastAsia="仿宋_GB2312" w:cs="黑体"/>
                <w:color w:val="000000" w:themeColor="text1"/>
                <w:sz w:val="24"/>
                <w:szCs w:val="24"/>
              </w:rPr>
              <w:t>未提供的，得0分。</w:t>
            </w:r>
          </w:p>
        </w:tc>
        <w:tc>
          <w:tcPr>
            <w:tcW w:w="891" w:type="dxa"/>
            <w:tcBorders>
              <w:top w:val="single" w:color="auto" w:sz="4" w:space="0"/>
              <w:left w:val="single" w:color="auto" w:sz="4" w:space="0"/>
              <w:right w:val="single" w:color="auto" w:sz="4" w:space="0"/>
            </w:tcBorders>
            <w:vAlign w:val="center"/>
          </w:tcPr>
          <w:p>
            <w:pPr>
              <w:jc w:val="center"/>
              <w:rPr>
                <w:rFonts w:ascii="仿宋_GB2312" w:hAnsi="黑体" w:eastAsia="仿宋_GB2312" w:cs="黑体"/>
                <w:color w:val="FF0000"/>
                <w:sz w:val="24"/>
                <w:szCs w:val="24"/>
              </w:rPr>
            </w:pPr>
            <w:r>
              <w:rPr>
                <w:rFonts w:hint="eastAsia" w:ascii="仿宋_GB2312" w:hAnsi="黑体" w:eastAsia="仿宋_GB2312" w:cs="黑体"/>
                <w:sz w:val="24"/>
                <w:szCs w:val="24"/>
              </w:rPr>
              <w:t>6</w:t>
            </w:r>
          </w:p>
        </w:tc>
        <w:tc>
          <w:tcPr>
            <w:tcW w:w="1000"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主观分</w:t>
            </w:r>
          </w:p>
        </w:tc>
        <w:tc>
          <w:tcPr>
            <w:tcW w:w="1150" w:type="dxa"/>
            <w:tcBorders>
              <w:top w:val="single" w:color="auto" w:sz="4" w:space="0"/>
              <w:left w:val="single" w:color="auto" w:sz="4" w:space="0"/>
              <w:right w:val="single" w:color="auto" w:sz="4" w:space="0"/>
            </w:tcBorders>
          </w:tcPr>
          <w:p>
            <w:pPr>
              <w:adjustRightInd w:val="0"/>
              <w:snapToGrid w:val="0"/>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46" w:type="dxa"/>
            <w:vMerge w:val="continue"/>
            <w:tcBorders>
              <w:left w:val="single" w:color="auto" w:sz="4" w:space="0"/>
              <w:right w:val="single" w:color="auto" w:sz="4" w:space="0"/>
            </w:tcBorders>
            <w:vAlign w:val="center"/>
          </w:tcPr>
          <w:p>
            <w:pPr>
              <w:ind w:firstLine="124" w:firstLineChars="50"/>
              <w:rPr>
                <w:rFonts w:ascii="仿宋_GB2312" w:hAnsi="仿宋" w:eastAsia="仿宋_GB2312" w:cs="仿宋"/>
                <w:spacing w:val="4"/>
                <w:sz w:val="24"/>
                <w:szCs w:val="24"/>
              </w:rPr>
            </w:pPr>
          </w:p>
        </w:tc>
        <w:tc>
          <w:tcPr>
            <w:tcW w:w="675"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8</w:t>
            </w:r>
          </w:p>
        </w:tc>
        <w:tc>
          <w:tcPr>
            <w:tcW w:w="5309" w:type="dxa"/>
            <w:tcBorders>
              <w:top w:val="single" w:color="auto" w:sz="4" w:space="0"/>
              <w:left w:val="single" w:color="auto" w:sz="4" w:space="0"/>
              <w:right w:val="single" w:color="auto" w:sz="4" w:space="0"/>
            </w:tcBorders>
            <w:vAlign w:val="center"/>
          </w:tcPr>
          <w:p>
            <w:pPr>
              <w:pStyle w:val="11"/>
              <w:spacing w:line="240" w:lineRule="auto"/>
              <w:ind w:firstLine="0" w:firstLineChars="0"/>
              <w:jc w:val="left"/>
              <w:rPr>
                <w:rFonts w:ascii="仿宋_GB2312" w:eastAsia="仿宋_GB2312"/>
                <w:color w:val="000000" w:themeColor="text1"/>
                <w:szCs w:val="24"/>
              </w:rPr>
            </w:pPr>
            <w:r>
              <w:rPr>
                <w:rFonts w:hint="eastAsia" w:ascii="仿宋_GB2312" w:eastAsia="仿宋_GB2312"/>
                <w:color w:val="000000" w:themeColor="text1"/>
                <w:szCs w:val="24"/>
              </w:rPr>
              <w:t>根据响应人提供的项目实施总体方案，包含进度计划安排、设备采购供货方案、安装调试方案、试运行及项目验收方案情况打分。</w:t>
            </w:r>
          </w:p>
          <w:p>
            <w:pPr>
              <w:pStyle w:val="11"/>
              <w:spacing w:line="240" w:lineRule="auto"/>
              <w:ind w:firstLine="0" w:firstLineChars="0"/>
              <w:jc w:val="left"/>
              <w:rPr>
                <w:rFonts w:ascii="仿宋_GB2312" w:eastAsia="仿宋_GB2312"/>
                <w:color w:val="000000" w:themeColor="text1"/>
                <w:szCs w:val="24"/>
              </w:rPr>
            </w:pPr>
            <w:r>
              <w:rPr>
                <w:rFonts w:hint="eastAsia" w:ascii="仿宋_GB2312" w:eastAsia="仿宋_GB2312"/>
                <w:color w:val="000000" w:themeColor="text1"/>
                <w:szCs w:val="24"/>
              </w:rPr>
              <w:t>以上每点，描述完整详细且与采购人实际需求完全契合的得1.5分；</w:t>
            </w:r>
          </w:p>
          <w:p>
            <w:pPr>
              <w:widowControl/>
              <w:rPr>
                <w:rFonts w:ascii="仿宋_GB2312" w:eastAsia="仿宋_GB2312"/>
                <w:color w:val="000000" w:themeColor="text1"/>
                <w:szCs w:val="24"/>
              </w:rPr>
            </w:pPr>
            <w:r>
              <w:rPr>
                <w:rFonts w:hint="eastAsia" w:ascii="仿宋_GB2312" w:eastAsia="仿宋_GB2312"/>
                <w:color w:val="000000" w:themeColor="text1"/>
                <w:sz w:val="24"/>
                <w:szCs w:val="24"/>
              </w:rPr>
              <w:t>描述较详细完整或与采购人实际需求基本符合的得1分；</w:t>
            </w:r>
          </w:p>
          <w:p>
            <w:pPr>
              <w:pStyle w:val="11"/>
              <w:spacing w:line="240" w:lineRule="auto"/>
              <w:ind w:firstLine="0" w:firstLineChars="0"/>
              <w:jc w:val="left"/>
              <w:rPr>
                <w:rFonts w:ascii="仿宋_GB2312" w:eastAsia="仿宋_GB2312"/>
                <w:color w:val="000000" w:themeColor="text1"/>
                <w:szCs w:val="24"/>
              </w:rPr>
            </w:pPr>
            <w:r>
              <w:rPr>
                <w:rFonts w:hint="eastAsia" w:ascii="仿宋_GB2312" w:eastAsia="仿宋_GB2312"/>
                <w:color w:val="000000" w:themeColor="text1"/>
                <w:szCs w:val="24"/>
              </w:rPr>
              <w:t>描述较完整或与采购人实际需求部分符合的得0.5分；</w:t>
            </w:r>
          </w:p>
          <w:p>
            <w:pPr>
              <w:pStyle w:val="11"/>
              <w:spacing w:line="240" w:lineRule="auto"/>
              <w:ind w:firstLine="0" w:firstLineChars="0"/>
              <w:jc w:val="left"/>
              <w:rPr>
                <w:rFonts w:ascii="仿宋_GB2312" w:eastAsia="仿宋_GB2312"/>
                <w:color w:val="000000" w:themeColor="text1"/>
                <w:szCs w:val="24"/>
              </w:rPr>
            </w:pPr>
            <w:r>
              <w:rPr>
                <w:rFonts w:hint="eastAsia" w:ascii="仿宋_GB2312" w:eastAsia="仿宋_GB2312"/>
                <w:color w:val="000000" w:themeColor="text1"/>
                <w:szCs w:val="24"/>
              </w:rPr>
              <w:t>未提供或完全不符合采购人需求的得0分，本项最多得6分。</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6</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b/>
                <w:spacing w:val="4"/>
                <w:sz w:val="24"/>
                <w:szCs w:val="24"/>
              </w:rPr>
              <w:t>主观分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46" w:type="dxa"/>
            <w:vMerge w:val="continue"/>
            <w:tcBorders>
              <w:left w:val="single" w:color="auto" w:sz="4" w:space="0"/>
              <w:right w:val="single" w:color="auto" w:sz="4" w:space="0"/>
            </w:tcBorders>
            <w:vAlign w:val="center"/>
          </w:tcPr>
          <w:p>
            <w:pPr>
              <w:ind w:firstLine="124" w:firstLineChars="50"/>
              <w:rPr>
                <w:rFonts w:ascii="仿宋_GB2312" w:hAnsi="仿宋" w:eastAsia="仿宋_GB2312" w:cs="仿宋"/>
                <w:spacing w:val="4"/>
                <w:sz w:val="24"/>
                <w:szCs w:val="24"/>
              </w:rPr>
            </w:pPr>
          </w:p>
        </w:tc>
        <w:tc>
          <w:tcPr>
            <w:tcW w:w="675"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9</w:t>
            </w:r>
          </w:p>
        </w:tc>
        <w:tc>
          <w:tcPr>
            <w:tcW w:w="5309" w:type="dxa"/>
            <w:tcBorders>
              <w:top w:val="single" w:color="auto" w:sz="4" w:space="0"/>
              <w:left w:val="single" w:color="auto" w:sz="4" w:space="0"/>
              <w:right w:val="single" w:color="auto" w:sz="4" w:space="0"/>
            </w:tcBorders>
            <w:vAlign w:val="center"/>
          </w:tcPr>
          <w:p>
            <w:pPr>
              <w:spacing w:line="400" w:lineRule="exact"/>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根据投标人项目实施中的质量保证目标、质量保证体系和措施、确保按时交付及正常运行的措施等情况进行综合评分：</w:t>
            </w:r>
          </w:p>
          <w:p>
            <w:pPr>
              <w:widowControl/>
              <w:textAlignment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根据以上每项</w:t>
            </w:r>
            <w:r>
              <w:rPr>
                <w:rFonts w:hint="eastAsia" w:ascii="仿宋_GB2312" w:hAnsi="宋体" w:eastAsia="仿宋_GB2312"/>
                <w:color w:val="000000" w:themeColor="text1"/>
                <w:sz w:val="24"/>
                <w:szCs w:val="24"/>
                <w:lang w:val="en-US" w:eastAsia="zh-CN"/>
              </w:rPr>
              <w:t>管控</w:t>
            </w:r>
            <w:r>
              <w:rPr>
                <w:rFonts w:hint="eastAsia" w:ascii="仿宋_GB2312" w:hAnsi="宋体" w:eastAsia="仿宋_GB2312"/>
                <w:color w:val="000000" w:themeColor="text1"/>
                <w:sz w:val="24"/>
                <w:szCs w:val="24"/>
              </w:rPr>
              <w:t>措施描述完整详细，能充分保证项目质量的每项得1分，</w:t>
            </w:r>
          </w:p>
          <w:p>
            <w:pPr>
              <w:widowControl/>
              <w:textAlignment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以上每项</w:t>
            </w:r>
            <w:r>
              <w:rPr>
                <w:rFonts w:hint="eastAsia" w:ascii="仿宋_GB2312" w:hAnsi="宋体" w:eastAsia="仿宋_GB2312"/>
                <w:color w:val="000000" w:themeColor="text1"/>
                <w:sz w:val="24"/>
                <w:szCs w:val="24"/>
                <w:lang w:val="en-US" w:eastAsia="zh-CN"/>
              </w:rPr>
              <w:t>管控</w:t>
            </w:r>
            <w:r>
              <w:rPr>
                <w:rFonts w:hint="eastAsia" w:ascii="仿宋_GB2312" w:hAnsi="宋体" w:eastAsia="仿宋_GB2312"/>
                <w:color w:val="000000" w:themeColor="text1"/>
                <w:sz w:val="24"/>
                <w:szCs w:val="24"/>
              </w:rPr>
              <w:t>措施描述不详细，能基本保证项目质量的得0.5分，</w:t>
            </w:r>
          </w:p>
          <w:p>
            <w:pPr>
              <w:widowControl/>
              <w:textAlignment w:val="center"/>
              <w:rPr>
                <w:rFonts w:ascii="仿宋_GB2312" w:eastAsia="仿宋_GB2312"/>
                <w:color w:val="000000" w:themeColor="text1"/>
                <w:sz w:val="24"/>
                <w:szCs w:val="24"/>
              </w:rPr>
            </w:pPr>
            <w:r>
              <w:rPr>
                <w:rFonts w:hint="eastAsia" w:ascii="仿宋_GB2312" w:hAnsi="宋体" w:eastAsia="仿宋_GB2312"/>
                <w:color w:val="000000" w:themeColor="text1"/>
                <w:sz w:val="24"/>
                <w:szCs w:val="24"/>
              </w:rPr>
              <w:t>未提供或完全不符合采购人需求的得0分，本项最多得3分。</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3</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b/>
                <w:spacing w:val="4"/>
                <w:sz w:val="24"/>
                <w:szCs w:val="24"/>
              </w:rPr>
              <w:t>主观分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646" w:type="dxa"/>
            <w:vMerge w:val="continue"/>
            <w:tcBorders>
              <w:left w:val="single" w:color="auto" w:sz="4" w:space="0"/>
              <w:right w:val="single" w:color="auto" w:sz="4" w:space="0"/>
            </w:tcBorders>
            <w:vAlign w:val="center"/>
          </w:tcPr>
          <w:p>
            <w:pPr>
              <w:ind w:firstLine="124" w:firstLineChars="50"/>
              <w:rPr>
                <w:rFonts w:ascii="仿宋_GB2312" w:hAnsi="仿宋" w:eastAsia="仿宋_GB2312" w:cs="仿宋"/>
                <w:spacing w:val="4"/>
                <w:sz w:val="24"/>
                <w:szCs w:val="24"/>
              </w:rPr>
            </w:pPr>
          </w:p>
        </w:tc>
        <w:tc>
          <w:tcPr>
            <w:tcW w:w="675"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10</w:t>
            </w:r>
          </w:p>
        </w:tc>
        <w:tc>
          <w:tcPr>
            <w:tcW w:w="5309" w:type="dxa"/>
            <w:tcBorders>
              <w:top w:val="single" w:color="auto" w:sz="4" w:space="0"/>
              <w:left w:val="single" w:color="auto" w:sz="4" w:space="0"/>
              <w:right w:val="single" w:color="auto" w:sz="4" w:space="0"/>
            </w:tcBorders>
            <w:vAlign w:val="center"/>
          </w:tcPr>
          <w:p>
            <w:pPr>
              <w:pStyle w:val="64"/>
              <w:adjustRightInd w:val="0"/>
              <w:snapToGrid w:val="0"/>
              <w:jc w:val="left"/>
              <w:rPr>
                <w:rFonts w:hint="eastAsia" w:ascii="仿宋_GB2312" w:eastAsia="仿宋_GB2312"/>
                <w:sz w:val="24"/>
                <w:szCs w:val="24"/>
                <w:lang w:eastAsia="zh-CN"/>
              </w:rPr>
            </w:pPr>
            <w:r>
              <w:rPr>
                <w:rFonts w:hint="eastAsia" w:ascii="仿宋_GB2312" w:eastAsia="仿宋_GB2312"/>
                <w:sz w:val="24"/>
                <w:szCs w:val="24"/>
              </w:rPr>
              <w:t>根据投标人对本项目施工时的安全管理方案，包括安全管理制度、安全保证措施打分：</w:t>
            </w:r>
          </w:p>
          <w:p>
            <w:pPr>
              <w:pStyle w:val="64"/>
              <w:adjustRightInd w:val="0"/>
              <w:snapToGrid w:val="0"/>
              <w:jc w:val="left"/>
              <w:rPr>
                <w:rFonts w:ascii="仿宋_GB2312" w:eastAsia="仿宋_GB2312"/>
                <w:color w:val="000000" w:themeColor="text1"/>
                <w:sz w:val="24"/>
                <w:szCs w:val="24"/>
              </w:rPr>
            </w:pPr>
            <w:r>
              <w:rPr>
                <w:rFonts w:hint="eastAsia" w:ascii="仿宋_GB2312" w:eastAsia="仿宋_GB2312"/>
                <w:sz w:val="24"/>
                <w:szCs w:val="24"/>
              </w:rPr>
              <w:t>以上每点，描述完整详细且与采购人实际需求完全契合的</w:t>
            </w:r>
            <w:r>
              <w:rPr>
                <w:rFonts w:hint="eastAsia" w:ascii="仿宋_GB2312" w:eastAsia="仿宋_GB2312"/>
                <w:color w:val="000000" w:themeColor="text1"/>
                <w:sz w:val="24"/>
                <w:szCs w:val="24"/>
              </w:rPr>
              <w:t>得1.5分；</w:t>
            </w:r>
          </w:p>
          <w:p>
            <w:pPr>
              <w:pStyle w:val="64"/>
              <w:adjustRightInd w:val="0"/>
              <w:snapToGrid w:val="0"/>
              <w:jc w:val="left"/>
              <w:rPr>
                <w:rFonts w:ascii="仿宋_GB2312" w:eastAsia="仿宋_GB2312"/>
                <w:color w:val="000000" w:themeColor="text1"/>
                <w:sz w:val="24"/>
                <w:szCs w:val="24"/>
              </w:rPr>
            </w:pPr>
            <w:r>
              <w:rPr>
                <w:rFonts w:hint="eastAsia" w:ascii="仿宋_GB2312" w:eastAsia="仿宋_GB2312"/>
                <w:color w:val="000000" w:themeColor="text1"/>
                <w:sz w:val="24"/>
                <w:szCs w:val="24"/>
              </w:rPr>
              <w:t>描述较详细完整或与采购人实际需求基本符合的得1分；</w:t>
            </w:r>
          </w:p>
          <w:p>
            <w:pPr>
              <w:pStyle w:val="64"/>
              <w:adjustRightInd w:val="0"/>
              <w:snapToGrid w:val="0"/>
              <w:jc w:val="left"/>
              <w:rPr>
                <w:rFonts w:ascii="仿宋_GB2312" w:eastAsia="仿宋_GB2312"/>
                <w:color w:val="000000" w:themeColor="text1"/>
                <w:sz w:val="24"/>
                <w:szCs w:val="24"/>
              </w:rPr>
            </w:pPr>
            <w:r>
              <w:rPr>
                <w:rFonts w:hint="eastAsia" w:ascii="仿宋_GB2312" w:eastAsia="仿宋_GB2312"/>
                <w:color w:val="000000" w:themeColor="text1"/>
                <w:sz w:val="24"/>
                <w:szCs w:val="24"/>
              </w:rPr>
              <w:t>描述较详细完整或与采购人实际需求部分符合的得0.5分；</w:t>
            </w:r>
          </w:p>
          <w:p>
            <w:pPr>
              <w:pStyle w:val="64"/>
              <w:adjustRightInd w:val="0"/>
              <w:snapToGrid w:val="0"/>
              <w:jc w:val="left"/>
              <w:rPr>
                <w:rFonts w:ascii="仿宋_GB2312" w:eastAsia="仿宋_GB2312"/>
                <w:sz w:val="24"/>
                <w:szCs w:val="24"/>
              </w:rPr>
            </w:pPr>
            <w:r>
              <w:rPr>
                <w:rFonts w:hint="eastAsia" w:ascii="仿宋_GB2312" w:eastAsia="仿宋_GB2312"/>
                <w:color w:val="000000" w:themeColor="text1"/>
                <w:sz w:val="24"/>
                <w:szCs w:val="24"/>
              </w:rPr>
              <w:t>未提供或完全不符</w:t>
            </w:r>
            <w:r>
              <w:rPr>
                <w:rFonts w:hint="eastAsia" w:ascii="仿宋_GB2312" w:eastAsia="仿宋_GB2312"/>
                <w:sz w:val="24"/>
                <w:szCs w:val="24"/>
              </w:rPr>
              <w:t>合采购人需求的得0分。</w:t>
            </w:r>
          </w:p>
          <w:p>
            <w:pPr>
              <w:widowControl/>
              <w:rPr>
                <w:rFonts w:ascii="宋体" w:hAnsi="宋体" w:cs="宋体"/>
                <w:kern w:val="0"/>
                <w:sz w:val="20"/>
              </w:rPr>
            </w:pPr>
            <w:r>
              <w:rPr>
                <w:rFonts w:hint="eastAsia" w:ascii="仿宋_GB2312" w:eastAsia="仿宋_GB2312"/>
                <w:sz w:val="24"/>
                <w:szCs w:val="24"/>
              </w:rPr>
              <w:t>本项最多得3分。</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3</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主观分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jc w:val="center"/>
        </w:trPr>
        <w:tc>
          <w:tcPr>
            <w:tcW w:w="646" w:type="dxa"/>
            <w:vMerge w:val="continue"/>
            <w:tcBorders>
              <w:left w:val="single" w:color="auto" w:sz="4" w:space="0"/>
              <w:right w:val="single" w:color="auto" w:sz="4" w:space="0"/>
            </w:tcBorders>
            <w:vAlign w:val="center"/>
          </w:tcPr>
          <w:p>
            <w:pPr>
              <w:ind w:firstLine="124" w:firstLineChars="50"/>
              <w:rPr>
                <w:rFonts w:ascii="仿宋_GB2312" w:hAnsi="仿宋" w:eastAsia="仿宋_GB2312" w:cs="仿宋"/>
                <w:spacing w:val="4"/>
                <w:sz w:val="24"/>
                <w:szCs w:val="24"/>
              </w:rPr>
            </w:pPr>
          </w:p>
        </w:tc>
        <w:tc>
          <w:tcPr>
            <w:tcW w:w="675"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pacing w:val="4"/>
                <w:sz w:val="24"/>
                <w:szCs w:val="24"/>
              </w:rPr>
            </w:pPr>
          </w:p>
          <w:p>
            <w:pPr>
              <w:jc w:val="center"/>
              <w:rPr>
                <w:rFonts w:ascii="仿宋_GB2312" w:hAnsi="仿宋" w:eastAsia="仿宋_GB2312" w:cs="仿宋"/>
                <w:spacing w:val="4"/>
                <w:sz w:val="24"/>
                <w:szCs w:val="24"/>
              </w:rPr>
            </w:pPr>
          </w:p>
          <w:p>
            <w:pPr>
              <w:jc w:val="center"/>
              <w:rPr>
                <w:rFonts w:ascii="仿宋_GB2312" w:hAnsi="仿宋" w:eastAsia="仿宋_GB2312" w:cs="仿宋"/>
                <w:spacing w:val="4"/>
                <w:sz w:val="24"/>
                <w:szCs w:val="24"/>
              </w:rPr>
            </w:pPr>
          </w:p>
          <w:p>
            <w:pPr>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11</w:t>
            </w:r>
          </w:p>
        </w:tc>
        <w:tc>
          <w:tcPr>
            <w:tcW w:w="5309" w:type="dxa"/>
            <w:tcBorders>
              <w:top w:val="single" w:color="auto" w:sz="4" w:space="0"/>
              <w:left w:val="single" w:color="auto" w:sz="4" w:space="0"/>
              <w:right w:val="single" w:color="auto" w:sz="4" w:space="0"/>
            </w:tcBorders>
            <w:vAlign w:val="center"/>
          </w:tcPr>
          <w:p>
            <w:pPr>
              <w:widowControl/>
              <w:rPr>
                <w:rFonts w:ascii="仿宋_GB2312" w:eastAsia="仿宋_GB2312"/>
                <w:color w:val="000000" w:themeColor="text1"/>
                <w:sz w:val="24"/>
                <w:szCs w:val="24"/>
              </w:rPr>
            </w:pPr>
            <w:r>
              <w:rPr>
                <w:rFonts w:hint="eastAsia" w:ascii="仿宋_GB2312" w:eastAsia="仿宋_GB2312" w:cs="Arial"/>
                <w:bCs/>
                <w:color w:val="000000" w:themeColor="text1"/>
                <w:sz w:val="24"/>
                <w:szCs w:val="24"/>
              </w:rPr>
              <w:t>根据投标人</w:t>
            </w:r>
            <w:r>
              <w:rPr>
                <w:rFonts w:hint="eastAsia" w:ascii="仿宋_GB2312" w:eastAsia="仿宋_GB2312"/>
                <w:color w:val="000000" w:themeColor="text1"/>
                <w:sz w:val="24"/>
                <w:szCs w:val="24"/>
              </w:rPr>
              <w:t>针对应急指挥中心提供的网络及安全、汛期应急保障等的合理化建议打分：</w:t>
            </w:r>
          </w:p>
          <w:p>
            <w:pPr>
              <w:widowControl/>
              <w:rPr>
                <w:rFonts w:ascii="仿宋_GB2312" w:eastAsia="仿宋_GB2312"/>
                <w:color w:val="000000" w:themeColor="text1"/>
                <w:sz w:val="24"/>
                <w:szCs w:val="24"/>
              </w:rPr>
            </w:pPr>
            <w:r>
              <w:rPr>
                <w:rFonts w:hint="eastAsia" w:ascii="仿宋_GB2312" w:eastAsia="仿宋_GB2312"/>
                <w:color w:val="000000" w:themeColor="text1"/>
                <w:sz w:val="24"/>
                <w:szCs w:val="24"/>
              </w:rPr>
              <w:t>以上每个方面的建议详细完整且能有效推进应急指挥中心建设的，得2分，</w:t>
            </w:r>
          </w:p>
          <w:p>
            <w:pPr>
              <w:widowControl/>
              <w:rPr>
                <w:rFonts w:ascii="仿宋_GB2312" w:eastAsia="仿宋_GB2312"/>
                <w:color w:val="000000" w:themeColor="text1"/>
                <w:sz w:val="24"/>
                <w:szCs w:val="24"/>
              </w:rPr>
            </w:pPr>
            <w:r>
              <w:rPr>
                <w:rFonts w:ascii="仿宋_GB2312" w:eastAsia="仿宋_GB2312"/>
                <w:color w:val="000000" w:themeColor="text1"/>
                <w:sz w:val="24"/>
                <w:szCs w:val="24"/>
              </w:rPr>
              <w:t>描述较详细完整或与</w:t>
            </w:r>
            <w:r>
              <w:rPr>
                <w:rFonts w:hint="eastAsia" w:ascii="仿宋_GB2312" w:eastAsia="仿宋_GB2312"/>
                <w:color w:val="000000" w:themeColor="text1"/>
                <w:sz w:val="24"/>
                <w:szCs w:val="24"/>
              </w:rPr>
              <w:t>应急指挥中心建设</w:t>
            </w:r>
            <w:r>
              <w:rPr>
                <w:rFonts w:ascii="仿宋_GB2312" w:eastAsia="仿宋_GB2312"/>
                <w:color w:val="000000" w:themeColor="text1"/>
                <w:sz w:val="24"/>
                <w:szCs w:val="24"/>
              </w:rPr>
              <w:t>需求基本符合的得</w:t>
            </w:r>
            <w:r>
              <w:rPr>
                <w:rFonts w:hint="eastAsia" w:ascii="仿宋_GB2312" w:eastAsia="仿宋_GB2312"/>
                <w:color w:val="000000" w:themeColor="text1"/>
                <w:sz w:val="24"/>
                <w:szCs w:val="24"/>
              </w:rPr>
              <w:t>1</w:t>
            </w:r>
            <w:r>
              <w:rPr>
                <w:rFonts w:ascii="仿宋_GB2312" w:eastAsia="仿宋_GB2312"/>
                <w:color w:val="000000" w:themeColor="text1"/>
                <w:sz w:val="24"/>
                <w:szCs w:val="24"/>
              </w:rPr>
              <w:t>分；</w:t>
            </w:r>
          </w:p>
          <w:p>
            <w:pPr>
              <w:widowControl/>
              <w:rPr>
                <w:rFonts w:ascii="仿宋_GB2312" w:eastAsia="仿宋_GB2312"/>
                <w:color w:val="000000" w:themeColor="text1"/>
                <w:sz w:val="24"/>
                <w:szCs w:val="24"/>
              </w:rPr>
            </w:pPr>
            <w:r>
              <w:rPr>
                <w:rFonts w:hint="eastAsia" w:ascii="仿宋_GB2312" w:eastAsia="仿宋_GB2312"/>
                <w:color w:val="000000" w:themeColor="text1"/>
                <w:sz w:val="24"/>
                <w:szCs w:val="24"/>
              </w:rPr>
              <w:t>描述较详细完整或与应急指挥中心建设实际需求部分符合的得0.5分；</w:t>
            </w:r>
          </w:p>
          <w:p>
            <w:pPr>
              <w:pStyle w:val="64"/>
              <w:adjustRightInd w:val="0"/>
              <w:snapToGrid w:val="0"/>
              <w:jc w:val="left"/>
              <w:rPr>
                <w:rFonts w:ascii="仿宋_GB2312" w:eastAsia="仿宋_GB2312"/>
                <w:color w:val="000000" w:themeColor="text1"/>
                <w:sz w:val="24"/>
                <w:szCs w:val="24"/>
              </w:rPr>
            </w:pPr>
            <w:r>
              <w:rPr>
                <w:rFonts w:hint="eastAsia" w:ascii="仿宋_GB2312" w:eastAsia="仿宋_GB2312"/>
                <w:color w:val="000000" w:themeColor="text1"/>
                <w:sz w:val="24"/>
                <w:szCs w:val="24"/>
              </w:rPr>
              <w:t>未提供或完全不符合</w:t>
            </w:r>
            <w:r>
              <w:rPr>
                <w:rFonts w:ascii="仿宋_GB2312" w:eastAsia="仿宋_GB2312"/>
                <w:color w:val="000000" w:themeColor="text1"/>
                <w:sz w:val="24"/>
                <w:szCs w:val="24"/>
              </w:rPr>
              <w:t>与</w:t>
            </w:r>
            <w:r>
              <w:rPr>
                <w:rFonts w:hint="eastAsia" w:ascii="仿宋_GB2312" w:eastAsia="仿宋_GB2312"/>
                <w:color w:val="000000" w:themeColor="text1"/>
                <w:sz w:val="24"/>
                <w:szCs w:val="24"/>
              </w:rPr>
              <w:t>应急指挥中心建设需求的得0分。</w:t>
            </w:r>
          </w:p>
          <w:p>
            <w:pPr>
              <w:pStyle w:val="4"/>
              <w:ind w:firstLine="0" w:firstLineChars="0"/>
            </w:pPr>
            <w:r>
              <w:rPr>
                <w:rFonts w:hint="eastAsia"/>
              </w:rPr>
              <w:t>本项最多得4分。</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color w:val="000000" w:themeColor="text1"/>
                <w:sz w:val="24"/>
                <w:szCs w:val="24"/>
              </w:rPr>
            </w:pPr>
          </w:p>
          <w:p>
            <w:pPr>
              <w:jc w:val="center"/>
              <w:rPr>
                <w:rFonts w:ascii="仿宋_GB2312" w:hAnsi="仿宋" w:eastAsia="仿宋_GB2312" w:cs="仿宋"/>
                <w:color w:val="000000" w:themeColor="text1"/>
                <w:sz w:val="24"/>
                <w:szCs w:val="24"/>
              </w:rPr>
            </w:pPr>
            <w:r>
              <w:rPr>
                <w:rFonts w:hint="eastAsia" w:ascii="仿宋_GB2312" w:hAnsi="仿宋" w:eastAsia="仿宋_GB2312" w:cs="仿宋"/>
                <w:color w:val="000000" w:themeColor="text1"/>
                <w:sz w:val="24"/>
                <w:szCs w:val="24"/>
              </w:rPr>
              <w:t>4</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b/>
                <w:spacing w:val="4"/>
                <w:sz w:val="24"/>
                <w:szCs w:val="24"/>
              </w:rPr>
            </w:pPr>
          </w:p>
          <w:p>
            <w:pPr>
              <w:jc w:val="center"/>
              <w:rPr>
                <w:rFonts w:ascii="仿宋_GB2312" w:hAnsi="仿宋" w:eastAsia="仿宋_GB2312" w:cs="仿宋"/>
                <w:b/>
                <w:spacing w:val="4"/>
                <w:sz w:val="24"/>
                <w:szCs w:val="24"/>
              </w:rPr>
            </w:pPr>
          </w:p>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主观分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46" w:type="dxa"/>
            <w:vMerge w:val="continue"/>
            <w:tcBorders>
              <w:left w:val="single" w:color="auto" w:sz="4" w:space="0"/>
              <w:right w:val="single" w:color="auto" w:sz="4" w:space="0"/>
            </w:tcBorders>
            <w:vAlign w:val="center"/>
          </w:tcPr>
          <w:p>
            <w:pPr>
              <w:ind w:firstLine="124" w:firstLineChars="50"/>
              <w:rPr>
                <w:rFonts w:ascii="仿宋_GB2312" w:hAnsi="仿宋" w:eastAsia="仿宋_GB2312" w:cs="仿宋"/>
                <w:spacing w:val="4"/>
                <w:sz w:val="24"/>
                <w:szCs w:val="24"/>
              </w:rPr>
            </w:pPr>
          </w:p>
        </w:tc>
        <w:tc>
          <w:tcPr>
            <w:tcW w:w="675"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12</w:t>
            </w:r>
          </w:p>
        </w:tc>
        <w:tc>
          <w:tcPr>
            <w:tcW w:w="5309" w:type="dxa"/>
            <w:tcBorders>
              <w:top w:val="single" w:color="auto" w:sz="4" w:space="0"/>
              <w:left w:val="single" w:color="auto" w:sz="4" w:space="0"/>
              <w:right w:val="single" w:color="auto" w:sz="4" w:space="0"/>
            </w:tcBorders>
            <w:vAlign w:val="center"/>
          </w:tcPr>
          <w:p>
            <w:pPr>
              <w:widowControl/>
              <w:rPr>
                <w:rFonts w:ascii="仿宋_GB2312" w:eastAsia="仿宋_GB2312"/>
                <w:color w:val="000000" w:themeColor="text1"/>
                <w:sz w:val="24"/>
                <w:szCs w:val="24"/>
              </w:rPr>
            </w:pPr>
            <w:r>
              <w:rPr>
                <w:rFonts w:hint="eastAsia" w:ascii="仿宋_GB2312" w:eastAsia="仿宋_GB2312"/>
                <w:color w:val="000000" w:themeColor="text1"/>
                <w:sz w:val="24"/>
                <w:szCs w:val="24"/>
              </w:rPr>
              <w:t>根据投标人提供的培训方案，包括培训课程安排、师资力量配备等情况打分：</w:t>
            </w:r>
          </w:p>
          <w:p>
            <w:pPr>
              <w:widowControl/>
              <w:rPr>
                <w:rFonts w:ascii="仿宋_GB2312" w:eastAsia="仿宋_GB2312"/>
                <w:color w:val="000000" w:themeColor="text1"/>
                <w:sz w:val="24"/>
                <w:szCs w:val="24"/>
              </w:rPr>
            </w:pPr>
            <w:r>
              <w:rPr>
                <w:rFonts w:hint="eastAsia" w:ascii="仿宋_GB2312" w:eastAsia="仿宋_GB2312"/>
                <w:color w:val="000000" w:themeColor="text1"/>
                <w:sz w:val="24"/>
                <w:szCs w:val="24"/>
              </w:rPr>
              <w:t>以上每点，描述完整详细且与采购人实际需求完全契合的得1分；</w:t>
            </w:r>
          </w:p>
          <w:p>
            <w:pPr>
              <w:widowControl/>
              <w:rPr>
                <w:color w:val="000000" w:themeColor="text1"/>
              </w:rPr>
            </w:pPr>
            <w:r>
              <w:rPr>
                <w:rFonts w:hint="eastAsia" w:ascii="仿宋_GB2312" w:eastAsia="仿宋_GB2312"/>
                <w:color w:val="000000" w:themeColor="text1"/>
                <w:sz w:val="24"/>
                <w:szCs w:val="24"/>
              </w:rPr>
              <w:t>描述较详细完整或与采购人实际需求基本符合的得0.5分；</w:t>
            </w:r>
          </w:p>
          <w:p>
            <w:pPr>
              <w:widowControl/>
              <w:rPr>
                <w:rFonts w:ascii="仿宋_GB2312" w:eastAsia="仿宋_GB2312"/>
                <w:color w:val="000000" w:themeColor="text1"/>
                <w:sz w:val="24"/>
                <w:szCs w:val="24"/>
              </w:rPr>
            </w:pPr>
            <w:r>
              <w:rPr>
                <w:rFonts w:hint="eastAsia" w:ascii="仿宋_GB2312" w:eastAsia="仿宋_GB2312"/>
                <w:color w:val="000000" w:themeColor="text1"/>
                <w:sz w:val="24"/>
                <w:szCs w:val="24"/>
              </w:rPr>
              <w:t>未提供或完全不符合采购人需求的得0分。</w:t>
            </w:r>
          </w:p>
          <w:p>
            <w:pPr>
              <w:widowControl/>
              <w:rPr>
                <w:rFonts w:ascii="仿宋_GB2312" w:eastAsia="仿宋_GB2312"/>
                <w:color w:val="000000" w:themeColor="text1"/>
                <w:sz w:val="24"/>
                <w:szCs w:val="24"/>
              </w:rPr>
            </w:pPr>
            <w:r>
              <w:rPr>
                <w:rFonts w:hint="eastAsia" w:ascii="仿宋_GB2312" w:eastAsia="仿宋_GB2312"/>
                <w:color w:val="000000" w:themeColor="text1"/>
                <w:sz w:val="24"/>
                <w:szCs w:val="24"/>
              </w:rPr>
              <w:t>本项最多得2分。</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color w:val="000000" w:themeColor="text1"/>
                <w:sz w:val="24"/>
                <w:szCs w:val="24"/>
              </w:rPr>
            </w:pPr>
            <w:r>
              <w:rPr>
                <w:rFonts w:hint="eastAsia" w:ascii="仿宋_GB2312" w:hAnsi="仿宋" w:eastAsia="仿宋_GB2312" w:cs="仿宋"/>
                <w:color w:val="000000" w:themeColor="text1"/>
                <w:sz w:val="24"/>
                <w:szCs w:val="24"/>
              </w:rPr>
              <w:t>2</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b/>
                <w:color w:val="000000" w:themeColor="text1"/>
                <w:spacing w:val="4"/>
                <w:sz w:val="24"/>
                <w:szCs w:val="24"/>
              </w:rPr>
            </w:pPr>
            <w:r>
              <w:rPr>
                <w:rFonts w:hint="eastAsia" w:ascii="仿宋_GB2312" w:hAnsi="仿宋" w:eastAsia="仿宋_GB2312" w:cs="仿宋"/>
                <w:b/>
                <w:color w:val="000000" w:themeColor="text1"/>
                <w:spacing w:val="4"/>
                <w:sz w:val="24"/>
                <w:szCs w:val="24"/>
              </w:rPr>
              <w:t>主观分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46" w:type="dxa"/>
            <w:vMerge w:val="continue"/>
            <w:tcBorders>
              <w:left w:val="single" w:color="auto" w:sz="4" w:space="0"/>
              <w:right w:val="single" w:color="auto" w:sz="4" w:space="0"/>
            </w:tcBorders>
            <w:vAlign w:val="center"/>
          </w:tcPr>
          <w:p>
            <w:pPr>
              <w:ind w:firstLine="124" w:firstLineChars="50"/>
              <w:rPr>
                <w:rFonts w:ascii="仿宋_GB2312" w:hAnsi="仿宋" w:eastAsia="仿宋_GB2312" w:cs="仿宋"/>
                <w:spacing w:val="4"/>
                <w:sz w:val="24"/>
                <w:szCs w:val="24"/>
              </w:rPr>
            </w:pPr>
          </w:p>
        </w:tc>
        <w:tc>
          <w:tcPr>
            <w:tcW w:w="675"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13</w:t>
            </w:r>
          </w:p>
        </w:tc>
        <w:tc>
          <w:tcPr>
            <w:tcW w:w="5309" w:type="dxa"/>
            <w:tcBorders>
              <w:top w:val="single" w:color="auto" w:sz="4" w:space="0"/>
              <w:left w:val="single" w:color="auto" w:sz="4" w:space="0"/>
              <w:right w:val="single" w:color="auto" w:sz="4" w:space="0"/>
            </w:tcBorders>
            <w:vAlign w:val="center"/>
          </w:tcPr>
          <w:p>
            <w:pPr>
              <w:widowControl/>
              <w:rPr>
                <w:rFonts w:ascii="仿宋_GB2312" w:eastAsia="仿宋_GB2312"/>
                <w:color w:val="000000" w:themeColor="text1"/>
                <w:sz w:val="24"/>
                <w:szCs w:val="24"/>
              </w:rPr>
            </w:pPr>
            <w:r>
              <w:rPr>
                <w:rFonts w:hint="eastAsia" w:ascii="仿宋_GB2312" w:eastAsia="仿宋_GB2312"/>
                <w:color w:val="000000" w:themeColor="text1"/>
                <w:sz w:val="24"/>
                <w:szCs w:val="24"/>
              </w:rPr>
              <w:t>信创操作电脑列入财政部、生态环境部发布的环境标志产品品目清单的，提供国家市场监督管理总局公布的《参与实施政府采购环境标志产品认证机构名录》内的认证机构出具的、处于有效期之内的环境标志产品认证证书，得1分。</w:t>
            </w:r>
          </w:p>
          <w:p>
            <w:pPr>
              <w:pStyle w:val="2"/>
              <w:ind w:firstLine="0" w:firstLineChars="0"/>
              <w:rPr>
                <w:color w:val="000000" w:themeColor="text1"/>
              </w:rPr>
            </w:pPr>
            <w:r>
              <w:rPr>
                <w:rFonts w:hint="eastAsia" w:ascii="仿宋_GB2312" w:eastAsia="仿宋_GB2312"/>
                <w:color w:val="000000" w:themeColor="text1"/>
                <w:szCs w:val="24"/>
              </w:rPr>
              <w:t>本项最多得1分。</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color w:val="000000" w:themeColor="text1"/>
                <w:sz w:val="24"/>
                <w:szCs w:val="24"/>
              </w:rPr>
            </w:pPr>
            <w:r>
              <w:rPr>
                <w:rFonts w:hint="eastAsia" w:ascii="仿宋_GB2312" w:hAnsi="仿宋" w:eastAsia="仿宋_GB2312" w:cs="仿宋"/>
                <w:color w:val="000000" w:themeColor="text1"/>
                <w:sz w:val="24"/>
                <w:szCs w:val="24"/>
              </w:rPr>
              <w:t>1</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b/>
                <w:color w:val="000000" w:themeColor="text1"/>
                <w:spacing w:val="4"/>
                <w:sz w:val="24"/>
                <w:szCs w:val="24"/>
              </w:rPr>
            </w:pPr>
            <w:r>
              <w:rPr>
                <w:rFonts w:hint="eastAsia" w:ascii="仿宋_GB2312" w:hAnsi="仿宋" w:eastAsia="仿宋_GB2312" w:cs="仿宋"/>
                <w:b/>
                <w:color w:val="000000" w:themeColor="text1"/>
                <w:spacing w:val="4"/>
                <w:sz w:val="24"/>
                <w:szCs w:val="24"/>
              </w:rPr>
              <w:t>客观分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46" w:type="dxa"/>
            <w:tcBorders>
              <w:left w:val="single" w:color="auto" w:sz="4" w:space="0"/>
              <w:right w:val="single" w:color="auto" w:sz="4" w:space="0"/>
            </w:tcBorders>
            <w:vAlign w:val="center"/>
          </w:tcPr>
          <w:p>
            <w:pPr>
              <w:topLinePunct/>
              <w:spacing w:line="360" w:lineRule="auto"/>
              <w:contextualSpacing/>
              <w:jc w:val="center"/>
              <w:rPr>
                <w:rFonts w:ascii="仿宋_GB2312" w:eastAsia="仿宋_GB2312"/>
                <w:sz w:val="24"/>
                <w:szCs w:val="24"/>
              </w:rPr>
            </w:pPr>
            <w:r>
              <w:rPr>
                <w:rFonts w:hint="eastAsia" w:ascii="仿宋_GB2312" w:eastAsia="仿宋_GB2312"/>
                <w:sz w:val="24"/>
                <w:szCs w:val="24"/>
              </w:rPr>
              <w:t>报价</w:t>
            </w:r>
          </w:p>
          <w:p>
            <w:pPr>
              <w:rPr>
                <w:rFonts w:ascii="仿宋_GB2312" w:hAnsi="仿宋" w:eastAsia="仿宋_GB2312" w:cs="仿宋"/>
                <w:spacing w:val="4"/>
                <w:sz w:val="24"/>
                <w:szCs w:val="24"/>
              </w:rPr>
            </w:pPr>
            <w:r>
              <w:rPr>
                <w:rFonts w:hint="eastAsia" w:ascii="仿宋_GB2312" w:eastAsia="仿宋_GB2312"/>
                <w:sz w:val="24"/>
                <w:szCs w:val="24"/>
              </w:rPr>
              <w:t>（30分）</w:t>
            </w:r>
          </w:p>
        </w:tc>
        <w:tc>
          <w:tcPr>
            <w:tcW w:w="675" w:type="dxa"/>
            <w:tcBorders>
              <w:left w:val="single" w:color="auto" w:sz="4" w:space="0"/>
              <w:right w:val="single" w:color="auto" w:sz="4" w:space="0"/>
            </w:tcBorders>
            <w:vAlign w:val="center"/>
          </w:tcPr>
          <w:p>
            <w:pPr>
              <w:jc w:val="center"/>
              <w:rPr>
                <w:rFonts w:ascii="仿宋_GB2312" w:hAnsi="仿宋" w:eastAsia="仿宋_GB2312" w:cs="仿宋"/>
                <w:spacing w:val="4"/>
                <w:sz w:val="24"/>
                <w:szCs w:val="24"/>
                <w:lang w:bidi="en-US"/>
              </w:rPr>
            </w:pPr>
            <w:r>
              <w:rPr>
                <w:rFonts w:hint="eastAsia" w:ascii="仿宋_GB2312" w:hAnsi="仿宋" w:eastAsia="仿宋_GB2312" w:cs="仿宋"/>
                <w:spacing w:val="4"/>
                <w:sz w:val="24"/>
                <w:szCs w:val="24"/>
              </w:rPr>
              <w:t>14</w:t>
            </w:r>
          </w:p>
        </w:tc>
        <w:tc>
          <w:tcPr>
            <w:tcW w:w="5309" w:type="dxa"/>
            <w:tcBorders>
              <w:top w:val="single" w:color="auto" w:sz="4" w:space="0"/>
              <w:left w:val="single" w:color="auto" w:sz="4" w:space="0"/>
              <w:bottom w:val="single" w:color="auto" w:sz="4" w:space="0"/>
              <w:right w:val="single" w:color="auto" w:sz="4" w:space="0"/>
            </w:tcBorders>
            <w:vAlign w:val="center"/>
          </w:tcPr>
          <w:p>
            <w:pPr>
              <w:topLinePunct/>
              <w:contextualSpacing/>
              <w:rPr>
                <w:rFonts w:ascii="仿宋_GB2312" w:eastAsia="仿宋_GB2312"/>
                <w:sz w:val="24"/>
                <w:szCs w:val="24"/>
              </w:rPr>
            </w:pPr>
            <w:r>
              <w:rPr>
                <w:rFonts w:hint="eastAsia" w:ascii="仿宋_GB2312" w:eastAsia="仿宋_GB2312"/>
                <w:sz w:val="24"/>
                <w:szCs w:val="24"/>
              </w:rPr>
              <w:t>有效投标报价的最低价作为评标基准价，其最低报价为满分；按［投标报价得分=（评标基准价/投标报价）*30］的计算公式计算。</w:t>
            </w:r>
          </w:p>
          <w:p>
            <w:pPr>
              <w:adjustRightInd w:val="0"/>
              <w:snapToGrid w:val="0"/>
              <w:rPr>
                <w:rFonts w:ascii="仿宋_GB2312" w:hAnsi="仿宋" w:eastAsia="仿宋_GB2312" w:cs="仿宋"/>
                <w:sz w:val="24"/>
                <w:szCs w:val="24"/>
                <w:lang w:bidi="en-US"/>
              </w:rPr>
            </w:pPr>
            <w:r>
              <w:rPr>
                <w:rFonts w:hint="eastAsia" w:ascii="仿宋_GB2312" w:eastAsia="仿宋_GB2312"/>
                <w:sz w:val="24"/>
                <w:szCs w:val="24"/>
              </w:rPr>
              <w:t>评标过程中，不得去掉报价中的最高报价和最低报价。因落实政府采购政策需要进行价格调整的，以调整后的价格计算评标基准价和投标报价。</w:t>
            </w:r>
          </w:p>
        </w:tc>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cs="仿宋"/>
                <w:sz w:val="24"/>
                <w:szCs w:val="24"/>
              </w:rPr>
            </w:pPr>
            <w:r>
              <w:rPr>
                <w:rFonts w:hint="eastAsia" w:ascii="仿宋_GB2312" w:eastAsia="仿宋_GB2312"/>
                <w:sz w:val="24"/>
                <w:szCs w:val="24"/>
              </w:rPr>
              <w:t>30</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sz w:val="24"/>
                <w:szCs w:val="24"/>
              </w:rPr>
            </w:pPr>
            <w:r>
              <w:rPr>
                <w:rFonts w:hint="eastAsia" w:ascii="仿宋_GB2312" w:hAnsi="仿宋" w:eastAsia="仿宋_GB2312" w:cs="仿宋"/>
                <w:b/>
                <w:sz w:val="24"/>
                <w:szCs w:val="24"/>
              </w:rPr>
              <w:t>价格分</w:t>
            </w:r>
          </w:p>
        </w:tc>
        <w:tc>
          <w:tcPr>
            <w:tcW w:w="115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cs="仿宋"/>
                <w:sz w:val="24"/>
                <w:szCs w:val="24"/>
              </w:rPr>
            </w:pPr>
          </w:p>
        </w:tc>
      </w:tr>
    </w:tbl>
    <w:p>
      <w:pPr>
        <w:spacing w:line="420" w:lineRule="exact"/>
        <w:contextualSpacing/>
        <w:rPr>
          <w:rFonts w:ascii="仿宋_GB2312" w:eastAsia="仿宋_GB2312"/>
          <w:b/>
          <w:sz w:val="24"/>
          <w:szCs w:val="24"/>
        </w:rPr>
      </w:pPr>
    </w:p>
    <w:p>
      <w:pPr>
        <w:spacing w:line="420" w:lineRule="exact"/>
        <w:ind w:firstLine="472" w:firstLineChars="196"/>
        <w:contextualSpacing/>
        <w:rPr>
          <w:rFonts w:ascii="仿宋_GB2312" w:eastAsia="仿宋_GB2312"/>
          <w:b/>
          <w:sz w:val="24"/>
          <w:szCs w:val="24"/>
        </w:rPr>
      </w:pPr>
      <w:r>
        <w:rPr>
          <w:rFonts w:hint="eastAsia" w:ascii="仿宋_GB2312" w:eastAsia="仿宋_GB2312"/>
          <w:b/>
          <w:sz w:val="24"/>
          <w:szCs w:val="24"/>
        </w:rPr>
        <w:t>*备注：投标人编制投标文件（商务技术文件部分）时，建议按此目录（序号和内容）提供评标标准相应的商务技术资料。</w:t>
      </w:r>
      <w:r>
        <w:rPr>
          <w:rFonts w:hint="eastAsia" w:eastAsia="仿宋_GB2312"/>
          <w:b/>
          <w:sz w:val="24"/>
          <w:szCs w:val="24"/>
        </w:rPr>
        <w:t> </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一、评标方法</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1.本项目采用综合评分法。综合评分法，是指投标文件满足招标文件全部实质性要求，且按照评审因素的量化指标评审得分最高的投标人为中标候选人的评标方法。</w:t>
      </w:r>
      <w:r>
        <w:rPr>
          <w:rFonts w:hint="eastAsia" w:ascii="仿宋_GB2312" w:hAnsi="Calibri" w:eastAsia="仿宋_GB2312" w:cs="Times New Roman"/>
          <w:sz w:val="24"/>
          <w:szCs w:val="24"/>
        </w:rPr>
        <w:t>评分过程中采用四舍五入法，并保留小数2位。</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二、评标标准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 评标标准：见评标办法前附表。</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三、评标程序</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3.1符合性审查。评标委员会应当对符合资格的投标人的投标文件进行符合性审查，以确定其是否满足招标文件的实质性要求。不满足招标文件的实质性要求的，投标无效。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 比较与评价。评标委员会应当按照招标文件中规定的评标方法和标准，对符合性审查合格的投标文件进行商务和技术评估，综合比较与评价。</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3.3汇总商务技术得分。评标委员会各成员应当独立对每个投标人的商务和技术文件进行评价，并汇总商务技术得分情况。</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3.4报价评审。</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3.4.1投标文件报价出现前后不一致的，按照下列规定修正：</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3.4.1.1投标文件中开标一览表(报价表)内容与投标文件中相应内容不一致的，以开标一览表(报价表)为准;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3.4.1.2大写金额和小写金额不一致的，以大写金额为准;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3.4.1.3单价金额小数点或者百分比有明显错位的，以开标一览表的总价为准，并修改单价;</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3.4.1.4总价金额与按单价汇总金额不一致的，以单价金额计算结果为准。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3.4.1.5同时出现两种以上不一致的，按照3.4.1规定的顺序修正。修正后的报价按照财政部第87号令 《政府采购货物和服务招标投标管理办法》第五十一条第二款的规定经投标人确认后产生约束力。</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3.4.2投标文件出现不是唯一的、有选择性投标报价的，投标无效。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3.4.3投标报价超过招标文件中规定的预算金额或者最高限价的，投标无效。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3.5排序与推荐。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3.6编写评标报告。评标委员会根据全体评标成员签字的原始评标记录和评标结果编写评标报告，由采购人委托评标委员会在评标报告确定的中标候选人名单中按顺序确定中标人。评标委员会成员对需要共同认定的事项存在争议的，应当按照少数服从多数的原则作出结论。持不同意见的评标委员会成员应当在评标报告上签署不同意见及理由，否则视为同意评标报告。</w:t>
      </w:r>
    </w:p>
    <w:p>
      <w:pPr>
        <w:spacing w:line="420" w:lineRule="exact"/>
        <w:ind w:firstLine="602" w:firstLineChars="250"/>
        <w:contextualSpacing/>
        <w:rPr>
          <w:rFonts w:ascii="仿宋_GB2312" w:eastAsia="仿宋_GB2312"/>
          <w:b/>
          <w:sz w:val="24"/>
          <w:szCs w:val="24"/>
        </w:rPr>
      </w:pPr>
      <w:r>
        <w:rPr>
          <w:rFonts w:hint="eastAsia" w:ascii="仿宋_GB2312" w:eastAsia="仿宋_GB2312"/>
          <w:b/>
          <w:sz w:val="24"/>
          <w:szCs w:val="24"/>
        </w:rPr>
        <w:t>四、评标中的其他事项</w:t>
      </w:r>
    </w:p>
    <w:p>
      <w:pPr>
        <w:spacing w:line="420" w:lineRule="exact"/>
        <w:ind w:firstLine="600" w:firstLineChars="250"/>
        <w:contextualSpacing/>
        <w:rPr>
          <w:rFonts w:ascii="仿宋_GB2312" w:eastAsia="仿宋_GB2312"/>
          <w:sz w:val="24"/>
          <w:szCs w:val="24"/>
        </w:rPr>
      </w:pPr>
      <w:r>
        <w:rPr>
          <w:rFonts w:hint="eastAsia" w:ascii="仿宋_GB2312" w:eastAsia="仿宋_GB2312"/>
          <w:sz w:val="24"/>
          <w:szCs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line="420" w:lineRule="exact"/>
        <w:ind w:firstLine="600" w:firstLineChars="250"/>
        <w:contextualSpacing/>
        <w:rPr>
          <w:rFonts w:ascii="仿宋_GB2312" w:eastAsia="仿宋_GB2312"/>
          <w:sz w:val="24"/>
          <w:szCs w:val="24"/>
        </w:rPr>
      </w:pPr>
      <w:r>
        <w:rPr>
          <w:rFonts w:hint="eastAsia" w:ascii="仿宋_GB2312" w:eastAsia="仿宋_GB2312"/>
          <w:sz w:val="24"/>
          <w:szCs w:val="24"/>
        </w:rPr>
        <w:t>4.2投标无效。有下列情况之一的，投标无效：</w:t>
      </w:r>
    </w:p>
    <w:p>
      <w:pPr>
        <w:spacing w:line="420" w:lineRule="exact"/>
        <w:ind w:firstLine="600" w:firstLineChars="250"/>
        <w:contextualSpacing/>
        <w:rPr>
          <w:rFonts w:ascii="仿宋_GB2312" w:eastAsia="仿宋_GB2312"/>
          <w:sz w:val="24"/>
          <w:szCs w:val="24"/>
        </w:rPr>
      </w:pPr>
      <w:r>
        <w:rPr>
          <w:rFonts w:hint="eastAsia" w:ascii="仿宋_GB2312" w:eastAsia="仿宋_GB2312"/>
          <w:sz w:val="24"/>
          <w:szCs w:val="24"/>
        </w:rPr>
        <w:t>4.2.1单位负责人为同一人或者存在直接控股、管理关系的不同供应商参加同一合同项下的政府采购活动的（均无效）；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4.2.2为采购项目提供整体设计、规范编制或者项目管理、监理、检测等服务的供应商再参加该采购项目的其他采购活动的；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4.2.3投标人不具备招标文件中规定的资格要求的（投标人未提供有效的资格证明文件的，视为投标人不具备招标文件中规定的资格要求）；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4.2.4如以联合体形式参加政府采购活动的，联合体协议不符合招标文件规定的联合体协议要求的；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4.2.5投标文件未按招标文件的澄清、修改的内容编制，又不符合实质性要求的；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4.2.6投标文件组成不全或内容字迹模糊辨认不清的而导致评标无法正常进行（经评标委员会认定并允许其当场更正的笔误除外的）；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4.2.7投标文件中法人授权书所载内容与本项目内容有异的；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4.2.8投标文件未按照招标文件要求签署、盖章的；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4.2.9采购人拟采购的产品属于政府强制采购的节能产品品目清单范围的，投标人未按招标文件要求提供国家确定的认证机构出具的、处于有效期之内的节能产品认证证书的；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4.2.10投标文件含有采购人不能接受的附加条件的；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4.2.11投标文件中承诺的投标有效期少于招标文件中载明的投标有效期的；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4.2.12投标人所投内容不符合招标文件中实质性要求的；</w:t>
      </w:r>
    </w:p>
    <w:p>
      <w:pPr>
        <w:spacing w:line="420" w:lineRule="exact"/>
        <w:contextualSpacing/>
        <w:rPr>
          <w:rFonts w:ascii="仿宋_GB2312" w:eastAsia="仿宋_GB2312"/>
          <w:sz w:val="24"/>
          <w:szCs w:val="24"/>
        </w:rPr>
      </w:pPr>
      <w:r>
        <w:rPr>
          <w:rFonts w:hint="eastAsia" w:ascii="仿宋_GB2312" w:eastAsia="仿宋_GB2312"/>
          <w:sz w:val="24"/>
          <w:szCs w:val="24"/>
        </w:rPr>
        <w:t xml:space="preserve">    4.2.13投标文件出现不是唯一的、有选择性投标报价的;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4.2.14投标报价高于本项目采购预算或者最高限价的;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4.2.15报价明显低于其他通过符合性审查投标人的报价，有可能影响产品质量或者不能诚信履约的，未能按要求提供书面说明或者提交相关证明材料，不能证明其报价合理性的;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4.2.16《投标（开标）一览表》填写不完整或字迹不能辨认或有漏项的；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4.2.17投标人对根据修正原则修正后的报价不确认的；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4.2.18投标人提供虚假材料投标的（包括但不限于以下情节）；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4.2.18.1使用伪造、变造的许可证件；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4.2.18.2提供虚假的财务状况或者业绩；</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4.2.18.3提供虚假的项目负责人或者主要技术人员简历、劳动关系证明；</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4.2.18.4提供虚假的信用状况；</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4.2.18.5其他弄虚作假的行为。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4.2.19投标人有恶意串通、妨碍其他投标人的竞争行为、损害采购人或者其他投标人的合法权益情形的；有下列情形之一的，属于或视为恶意串通，其投标无效：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4.2.19.1供应商直接或者间接从采购人或者采购代理机构处获得其他供应商的相关情况并修改其投标文件或者响应文件；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4.2.19.2供应商按照采购人或者采购代理机构的授意撤换、修改投标文件或者响应文件；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4.2.19.3供应商之间协商报价、技术方案等投标文件或者响应文件的实质性内容；</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4.2.19.4属于同一集团、协会、商会等组织成员的供应商按照该组织要求协同参加政府采购活动；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4.2.19.5供应商之间事先约定由某一特定供应商中标、成交；</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4.2.19.6供应商之间商定部分供应商放弃参加政府采购活动或者放弃中标、成交；</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4.2.19.7供应商与采购人或者采购代理机构之间、供应商相互之间，为谋求特定供应商中标、成交或者排斥其他供应商的其他串通行为。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4.2.19.8不同投标人的投标文件由同一单位或者个人编制；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4.2.19.9不同投标人委托同一单位或者个人办理投标事宜；</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4.2.19.10不同投标人的投标文件载明的项目管理成员或者联系人员为同一人；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4.2.19.11不同投标人的投标文件异常一致或者投标报价呈规律性差异；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4.2.19.12不同投标人的投标文件相互混装；</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4.2.20投标人仅提交备份投标文件，没有在电子交易平台传输递交投标文件的，投标无效；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4.2.21以联合体形式投标的，在资格文件和商务技术文件中均未提供联合协议的，投标无效；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4.2.22以分包方式履行合同的，在资格文件和商务技术文件中均未提供分包意向协议的，投标无效；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4.2.23专门面向中小企业采购的，在资格文件和商务技术文件中均未提供中小企业声明函的，投标无效；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4.2.24法律、法规、规章（适用本市的）及省级以上规范性文件（适用本市的）规定的其他无效情形；</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4.2.25投标文件不满足招标文件的其它实质性要求的。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5.废标。根据《中华人民共和国政府采购法》第三十六条之规定，在采购中，出现下列情形之一的，应予废标：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5.1符合专业条件的供应商或者对招标文件作实质响应的供应商不足3家的；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5.2出现影响采购公正的违法、违规行为的；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5.3投标人的报价均超过了采购预算，采购人不能支付的；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5.4因重大变故，采购任务取消的。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废标后，采购代理机构应当将废标理由通知所有投标人。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7.重新开展采购。有政府采购法第七十一条、第七十二条规定的违法行为之一，影响或者可能影响中标、成交结果的，依照下列规定处理：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7.1未确定中标或者中标人的，终止本次政府采购活动，重新开展政府采购活动。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7.3政府采购合同已签订但尚未履行的，撤销合同，从合格的中标或者成交候选人中另行确定中标或者中标人；没有合格的中标或者成交候选人的，重新开展政府采购活动。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7.4政府采购合同已经履行，给采购人、供应商造成损失的，由责任人承担赔偿责任。</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7.5政府采购当事人有其他违反政府采购法或者政府采购法实施条例等法律法规规定的行为，经改正后仍然影响或者可能影响中标、成交结果或者依法被认定为中标、成交无效的，依照7.1-7.4规定处理。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8.评审过程的保密与录像</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9.录音录像。采购代理机构对评审工作现场进行全过程录音录像，录音录像资料作为采购项目文件随其他文件一并存档。</w:t>
      </w:r>
    </w:p>
    <w:bookmarkEnd w:id="27"/>
    <w:p>
      <w:pPr>
        <w:spacing w:line="560" w:lineRule="exact"/>
        <w:ind w:firstLine="562"/>
        <w:jc w:val="center"/>
        <w:outlineLvl w:val="0"/>
        <w:rPr>
          <w:rFonts w:ascii="仿宋_GB2312" w:hAnsi="宋体" w:eastAsia="仿宋_GB2312" w:cs="宋体"/>
          <w:b/>
          <w:sz w:val="28"/>
          <w:szCs w:val="28"/>
        </w:rPr>
      </w:pPr>
      <w:bookmarkStart w:id="397" w:name="_Toc86217003"/>
      <w:bookmarkStart w:id="398" w:name="第五部分"/>
    </w:p>
    <w:p>
      <w:pPr>
        <w:spacing w:line="560" w:lineRule="exact"/>
        <w:ind w:firstLine="562"/>
        <w:jc w:val="center"/>
        <w:outlineLvl w:val="0"/>
        <w:rPr>
          <w:rFonts w:ascii="仿宋_GB2312" w:hAnsi="宋体" w:eastAsia="仿宋_GB2312" w:cs="宋体"/>
          <w:b/>
          <w:sz w:val="28"/>
          <w:szCs w:val="28"/>
        </w:rPr>
      </w:pPr>
    </w:p>
    <w:p>
      <w:pPr>
        <w:spacing w:line="560" w:lineRule="exact"/>
        <w:ind w:firstLine="562"/>
        <w:jc w:val="center"/>
        <w:outlineLvl w:val="0"/>
        <w:rPr>
          <w:rFonts w:ascii="仿宋_GB2312" w:hAnsi="宋体" w:eastAsia="仿宋_GB2312" w:cs="宋体"/>
          <w:b/>
          <w:sz w:val="28"/>
          <w:szCs w:val="28"/>
        </w:rPr>
      </w:pPr>
    </w:p>
    <w:p>
      <w:pPr>
        <w:spacing w:line="560" w:lineRule="exact"/>
        <w:ind w:firstLine="562"/>
        <w:jc w:val="center"/>
        <w:outlineLvl w:val="0"/>
        <w:rPr>
          <w:rFonts w:ascii="仿宋_GB2312" w:hAnsi="宋体" w:eastAsia="仿宋_GB2312" w:cs="宋体"/>
          <w:b/>
          <w:sz w:val="28"/>
          <w:szCs w:val="28"/>
        </w:rPr>
      </w:pPr>
    </w:p>
    <w:p>
      <w:pPr>
        <w:spacing w:line="560" w:lineRule="exact"/>
        <w:ind w:firstLine="562"/>
        <w:jc w:val="center"/>
        <w:outlineLvl w:val="0"/>
        <w:rPr>
          <w:rFonts w:ascii="仿宋_GB2312" w:hAnsi="宋体" w:eastAsia="仿宋_GB2312" w:cs="宋体"/>
          <w:b/>
          <w:sz w:val="28"/>
          <w:szCs w:val="28"/>
        </w:rPr>
      </w:pPr>
    </w:p>
    <w:p>
      <w:pPr>
        <w:spacing w:line="560" w:lineRule="exact"/>
        <w:ind w:firstLine="562"/>
        <w:jc w:val="center"/>
        <w:outlineLvl w:val="0"/>
        <w:rPr>
          <w:rFonts w:ascii="仿宋_GB2312" w:hAnsi="宋体" w:eastAsia="仿宋_GB2312" w:cs="宋体"/>
          <w:b/>
          <w:sz w:val="28"/>
          <w:szCs w:val="28"/>
        </w:rPr>
      </w:pPr>
    </w:p>
    <w:p>
      <w:pPr>
        <w:spacing w:line="560" w:lineRule="exact"/>
        <w:ind w:firstLine="562"/>
        <w:jc w:val="center"/>
        <w:outlineLvl w:val="0"/>
        <w:rPr>
          <w:rFonts w:ascii="仿宋_GB2312" w:hAnsi="宋体" w:eastAsia="仿宋_GB2312" w:cs="宋体"/>
          <w:b/>
          <w:sz w:val="28"/>
          <w:szCs w:val="28"/>
        </w:rPr>
      </w:pPr>
    </w:p>
    <w:p>
      <w:pPr>
        <w:spacing w:line="560" w:lineRule="exact"/>
        <w:ind w:firstLine="562"/>
        <w:jc w:val="center"/>
        <w:outlineLvl w:val="0"/>
        <w:rPr>
          <w:rFonts w:ascii="仿宋_GB2312" w:hAnsi="宋体" w:eastAsia="仿宋_GB2312" w:cs="宋体"/>
          <w:b/>
          <w:sz w:val="28"/>
          <w:szCs w:val="28"/>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autoSpaceDE w:val="0"/>
        <w:autoSpaceDN w:val="0"/>
        <w:adjustRightInd w:val="0"/>
        <w:spacing w:line="360" w:lineRule="auto"/>
        <w:jc w:val="center"/>
        <w:rPr>
          <w:rFonts w:ascii="仿宋_GB2312" w:hAnsi="仿宋_GB2312" w:eastAsia="仿宋_GB2312" w:cs="仿宋_GB2312"/>
          <w:b/>
          <w:color w:val="000000"/>
          <w:sz w:val="32"/>
          <w:szCs w:val="32"/>
        </w:rPr>
      </w:pPr>
    </w:p>
    <w:p>
      <w:pPr>
        <w:autoSpaceDE w:val="0"/>
        <w:autoSpaceDN w:val="0"/>
        <w:adjustRightInd w:val="0"/>
        <w:spacing w:line="360" w:lineRule="auto"/>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第五部分拟签订的合同文本</w:t>
      </w:r>
    </w:p>
    <w:p>
      <w:pPr>
        <w:autoSpaceDE w:val="0"/>
        <w:autoSpaceDN w:val="0"/>
        <w:adjustRightInd w:val="0"/>
        <w:spacing w:line="360" w:lineRule="auto"/>
        <w:jc w:val="center"/>
        <w:rPr>
          <w:rFonts w:ascii="仿宋_GB2312" w:hAnsi="仿宋_GB2312" w:eastAsia="仿宋_GB2312" w:cs="仿宋_GB2312"/>
          <w:b/>
          <w:color w:val="000000"/>
          <w:sz w:val="32"/>
          <w:szCs w:val="32"/>
        </w:rPr>
      </w:pPr>
    </w:p>
    <w:p>
      <w:pPr>
        <w:spacing w:before="120" w:line="560" w:lineRule="exact"/>
        <w:ind w:left="479"/>
        <w:rPr>
          <w:rFonts w:ascii="仿宋_GB2312" w:hAnsi="仿宋_GB2312" w:eastAsia="仿宋_GB2312" w:cs="仿宋_GB2312"/>
          <w:sz w:val="24"/>
          <w:szCs w:val="24"/>
        </w:rPr>
      </w:pPr>
    </w:p>
    <w:p>
      <w:pPr>
        <w:spacing w:before="120" w:line="560" w:lineRule="exact"/>
        <w:ind w:left="479"/>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p>
      <w:pPr>
        <w:spacing w:before="120" w:line="560" w:lineRule="exact"/>
        <w:ind w:left="479"/>
        <w:rPr>
          <w:rFonts w:ascii="仿宋_GB2312" w:hAnsi="仿宋_GB2312" w:eastAsia="仿宋_GB2312" w:cs="仿宋_GB2312"/>
          <w:sz w:val="24"/>
          <w:szCs w:val="24"/>
        </w:rPr>
      </w:pPr>
      <w:r>
        <w:rPr>
          <w:rFonts w:hint="eastAsia" w:ascii="仿宋_GB2312" w:hAnsi="仿宋_GB2312" w:eastAsia="仿宋_GB2312" w:cs="仿宋_GB2312"/>
          <w:sz w:val="24"/>
          <w:szCs w:val="24"/>
        </w:rPr>
        <w:t>项目编号：</w:t>
      </w:r>
    </w:p>
    <w:p>
      <w:pPr>
        <w:spacing w:before="120" w:line="560" w:lineRule="exact"/>
        <w:ind w:left="479"/>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甲    方：</w:t>
      </w:r>
    </w:p>
    <w:p>
      <w:pPr>
        <w:spacing w:before="120" w:line="560" w:lineRule="exact"/>
        <w:ind w:left="479"/>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乙    方：</w:t>
      </w:r>
    </w:p>
    <w:p>
      <w:pPr>
        <w:spacing w:before="120" w:line="560" w:lineRule="exact"/>
        <w:rPr>
          <w:rFonts w:ascii="仿宋_GB2312" w:hAnsi="仿宋_GB2312" w:eastAsia="仿宋_GB2312" w:cs="仿宋_GB2312"/>
          <w:sz w:val="24"/>
          <w:szCs w:val="24"/>
        </w:rPr>
      </w:pPr>
    </w:p>
    <w:p>
      <w:pPr>
        <w:pStyle w:val="2"/>
        <w:ind w:firstLine="460"/>
        <w:rPr>
          <w:rFonts w:ascii="仿宋_GB2312" w:hAnsi="仿宋_GB2312" w:eastAsia="仿宋_GB2312" w:cs="仿宋_GB2312"/>
          <w:szCs w:val="24"/>
        </w:rPr>
      </w:pPr>
    </w:p>
    <w:p>
      <w:pPr>
        <w:pStyle w:val="4"/>
        <w:ind w:firstLine="0" w:firstLineChars="0"/>
      </w:pPr>
    </w:p>
    <w:p>
      <w:pPr>
        <w:pStyle w:val="4"/>
      </w:pPr>
    </w:p>
    <w:p>
      <w:pPr>
        <w:pStyle w:val="4"/>
      </w:pPr>
    </w:p>
    <w:p>
      <w:pPr>
        <w:spacing w:before="120" w:line="560" w:lineRule="exact"/>
        <w:ind w:firstLine="1680" w:firstLineChars="7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签订地：</w:t>
      </w:r>
    </w:p>
    <w:p>
      <w:pPr>
        <w:spacing w:before="120"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签订日期：    年    月    日</w:t>
      </w:r>
    </w:p>
    <w:p>
      <w:pPr>
        <w:pStyle w:val="4"/>
        <w:ind w:firstLine="0" w:firstLineChars="0"/>
      </w:pPr>
    </w:p>
    <w:p>
      <w:pPr>
        <w:pStyle w:val="4"/>
      </w:pPr>
    </w:p>
    <w:p>
      <w:pPr>
        <w:pStyle w:val="4"/>
      </w:pPr>
    </w:p>
    <w:p>
      <w:pPr>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根据《中华人民共和国民法典》《中华人民共和国政府采购法》等相关法律法规规定，按照</w:t>
      </w:r>
      <w:r>
        <w:rPr>
          <w:rFonts w:hint="eastAsia" w:ascii="仿宋_GB2312" w:hAnsi="仿宋_GB2312" w:eastAsia="仿宋_GB2312" w:cs="仿宋_GB2312"/>
          <w:sz w:val="24"/>
          <w:szCs w:val="24"/>
          <w:u w:val="single"/>
          <w:lang w:val="zh-CN"/>
        </w:rPr>
        <w:t>浙江省舟山市自然灾害应急能力提升工程预警指挥项目提升综合风险监测预警和指挥支撑保障能力分项采购项目（</w:t>
      </w:r>
      <w:r>
        <w:rPr>
          <w:rFonts w:hint="eastAsia" w:ascii="仿宋_GB2312" w:hAnsi="仿宋_GB2312" w:eastAsia="仿宋_GB2312" w:cs="仿宋_GB2312"/>
          <w:sz w:val="24"/>
          <w:szCs w:val="24"/>
          <w:lang w:val="zh-CN"/>
        </w:rPr>
        <w:t>项</w:t>
      </w:r>
      <w:r>
        <w:rPr>
          <w:rFonts w:hint="eastAsia" w:ascii="仿宋_GB2312" w:hAnsi="仿宋_GB2312" w:eastAsia="仿宋_GB2312" w:cs="仿宋_GB2312"/>
          <w:sz w:val="24"/>
          <w:szCs w:val="24"/>
        </w:rPr>
        <w:t>目编号：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）的公开招标结果，在</w:t>
      </w:r>
      <w:r>
        <w:rPr>
          <w:rFonts w:hint="eastAsia" w:ascii="仿宋_GB2312" w:hAnsi="仿宋_GB2312" w:eastAsia="仿宋_GB2312" w:cs="仿宋_GB2312"/>
          <w:sz w:val="24"/>
          <w:szCs w:val="24"/>
          <w:lang w:val="zh-CN"/>
        </w:rPr>
        <w:t>平等、自愿、公平和诚实信用的原则</w:t>
      </w:r>
      <w:r>
        <w:rPr>
          <w:rFonts w:hint="eastAsia" w:ascii="仿宋_GB2312" w:hAnsi="仿宋_GB2312" w:eastAsia="仿宋_GB2312" w:cs="仿宋_GB2312"/>
          <w:sz w:val="24"/>
          <w:szCs w:val="24"/>
        </w:rPr>
        <w:t>为前提下</w:t>
      </w:r>
      <w:r>
        <w:rPr>
          <w:rFonts w:hint="eastAsia" w:ascii="仿宋_GB2312" w:hAnsi="仿宋_GB2312" w:eastAsia="仿宋_GB2312" w:cs="仿宋_GB2312"/>
          <w:sz w:val="24"/>
          <w:szCs w:val="24"/>
          <w:lang w:val="zh-CN"/>
        </w:rPr>
        <w:t>，经</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zh-CN"/>
        </w:rPr>
        <w:t xml:space="preserve">   </w:t>
      </w:r>
      <w:r>
        <w:rPr>
          <w:rFonts w:hint="eastAsia" w:ascii="仿宋_GB2312" w:hAnsi="仿宋_GB2312" w:eastAsia="仿宋_GB2312" w:cs="仿宋_GB2312"/>
          <w:sz w:val="24"/>
          <w:szCs w:val="24"/>
          <w:lang w:val="zh-CN"/>
        </w:rPr>
        <w:t>(以下简称：甲方)和</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zh-CN"/>
        </w:rPr>
        <w:t>(以下简称：乙方)协商一致，约定以下合同条款，以兹共同遵守、全面履行。</w:t>
      </w:r>
    </w:p>
    <w:p>
      <w:pPr>
        <w:adjustRightInd w:val="0"/>
        <w:snapToGrid w:val="0"/>
        <w:spacing w:line="560" w:lineRule="exact"/>
        <w:ind w:firstLine="480" w:firstLineChars="200"/>
        <w:rPr>
          <w:rFonts w:ascii="仿宋_GB2312" w:hAnsi="仿宋_GB2312" w:eastAsia="仿宋_GB2312" w:cs="仿宋_GB2312"/>
          <w:sz w:val="24"/>
          <w:szCs w:val="24"/>
          <w:lang w:val="zh-CN"/>
        </w:rPr>
      </w:pPr>
      <w:bookmarkStart w:id="399" w:name="_Toc28855"/>
      <w:bookmarkStart w:id="400" w:name="_Toc20421"/>
      <w:bookmarkStart w:id="401" w:name="_Toc19273"/>
      <w:bookmarkStart w:id="402" w:name="_Toc22967"/>
      <w:bookmarkStart w:id="403" w:name="_Toc15367"/>
      <w:r>
        <w:rPr>
          <w:rFonts w:hint="eastAsia" w:ascii="仿宋_GB2312" w:hAnsi="仿宋_GB2312" w:eastAsia="仿宋_GB2312" w:cs="仿宋_GB2312"/>
          <w:sz w:val="24"/>
          <w:szCs w:val="24"/>
        </w:rPr>
        <w:t>一、</w:t>
      </w:r>
      <w:r>
        <w:rPr>
          <w:rFonts w:hint="eastAsia" w:ascii="仿宋_GB2312" w:hAnsi="仿宋_GB2312" w:eastAsia="仿宋_GB2312" w:cs="仿宋_GB2312"/>
          <w:sz w:val="24"/>
          <w:szCs w:val="24"/>
          <w:lang w:val="zh-CN"/>
        </w:rPr>
        <w:t>合同组成部分</w:t>
      </w:r>
      <w:bookmarkEnd w:id="399"/>
      <w:bookmarkEnd w:id="400"/>
      <w:bookmarkEnd w:id="401"/>
      <w:bookmarkEnd w:id="402"/>
      <w:bookmarkEnd w:id="403"/>
    </w:p>
    <w:p>
      <w:pPr>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下列文件为本合同的组成部分，并构成一个整体，需综合解释、相互补充。</w:t>
      </w:r>
    </w:p>
    <w:p>
      <w:pPr>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本合同及其补充合同、变更协议；</w:t>
      </w:r>
    </w:p>
    <w:p>
      <w:pPr>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zh-CN"/>
        </w:rPr>
        <w:t>中标或者成交通知书；</w:t>
      </w:r>
    </w:p>
    <w:p>
      <w:pPr>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zh-CN"/>
        </w:rPr>
        <w:t>投标或者响应文件（含澄清或者说明文件）；</w:t>
      </w:r>
    </w:p>
    <w:p>
      <w:pPr>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w:t>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zh-CN"/>
        </w:rPr>
        <w:t>采购文件（含澄清或者修改文件）；</w:t>
      </w:r>
    </w:p>
    <w:p>
      <w:pPr>
        <w:adjustRightIn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w:t>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zh-CN"/>
        </w:rPr>
        <w:t>其他相关采购文件。</w:t>
      </w:r>
    </w:p>
    <w:p>
      <w:pPr>
        <w:adjustRightIn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二、采购内容：（以附件形式附后并盖章）</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三、合同金额</w:t>
      </w:r>
    </w:p>
    <w:p>
      <w:pPr>
        <w:adjustRightIn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本合同金额为（大写）：</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zh-CN"/>
        </w:rPr>
        <w:t>元（￥</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zh-CN"/>
        </w:rPr>
        <w:t>元）人民币。</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四、技术资料</w:t>
      </w:r>
    </w:p>
    <w:p>
      <w:pPr>
        <w:adjustRightIn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4.1</w:t>
      </w:r>
      <w:r>
        <w:rPr>
          <w:rFonts w:hint="eastAsia" w:ascii="仿宋_GB2312" w:hAnsi="仿宋_GB2312" w:eastAsia="仿宋_GB2312" w:cs="仿宋_GB2312"/>
          <w:sz w:val="24"/>
          <w:szCs w:val="24"/>
          <w:lang w:val="zh-CN"/>
        </w:rPr>
        <w:t>乙方应按招标文件规定的时间向甲方提供使用货物的有关技术资料。</w:t>
      </w:r>
    </w:p>
    <w:p>
      <w:pPr>
        <w:adjustRightIn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4.2</w:t>
      </w:r>
      <w:r>
        <w:rPr>
          <w:rFonts w:hint="eastAsia" w:ascii="仿宋_GB2312" w:hAnsi="仿宋_GB2312" w:eastAsia="仿宋_GB2312" w:cs="仿宋_GB2312"/>
          <w:sz w:val="24"/>
          <w:szCs w:val="24"/>
          <w:lang w:val="zh-CN"/>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五、知识产权</w:t>
      </w:r>
    </w:p>
    <w:p>
      <w:pPr>
        <w:adjustRightIn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乙方承诺对所提供的产品、技术和服务等拥有完整、合法的占有、使用、收益和处分权，并对本项目的所有内容可能涉及侵权行为的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六、履约保证金</w:t>
      </w:r>
    </w:p>
    <w:p>
      <w:pPr>
        <w:pStyle w:val="13"/>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6.1</w:t>
      </w:r>
      <w:r>
        <w:rPr>
          <w:rFonts w:hint="eastAsia" w:ascii="仿宋_GB2312" w:hAnsi="仿宋_GB2312" w:eastAsia="仿宋_GB2312" w:cs="仿宋_GB2312"/>
          <w:sz w:val="24"/>
          <w:szCs w:val="24"/>
          <w:lang w:val="zh-CN"/>
        </w:rPr>
        <w:t>履约保证金金额为合同额的1%，即</w:t>
      </w:r>
      <w:r>
        <w:rPr>
          <w:rFonts w:hint="eastAsia" w:ascii="仿宋_GB2312" w:hAnsi="仿宋_GB2312" w:eastAsia="仿宋_GB2312" w:cs="仿宋_GB2312"/>
          <w:sz w:val="24"/>
          <w:szCs w:val="24"/>
          <w:u w:val="single"/>
          <w:lang w:val="zh-CN"/>
        </w:rPr>
        <w:t xml:space="preserve">      </w:t>
      </w:r>
      <w:r>
        <w:rPr>
          <w:rFonts w:hint="eastAsia" w:ascii="仿宋_GB2312" w:hAnsi="仿宋_GB2312" w:eastAsia="仿宋_GB2312" w:cs="仿宋_GB2312"/>
          <w:sz w:val="24"/>
          <w:szCs w:val="24"/>
          <w:lang w:val="zh-CN"/>
        </w:rPr>
        <w:t>元人民币。履约保证金形式：       。</w:t>
      </w:r>
    </w:p>
    <w:p>
      <w:pPr>
        <w:pStyle w:val="13"/>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6.2</w:t>
      </w:r>
      <w:r>
        <w:rPr>
          <w:rFonts w:hint="eastAsia" w:ascii="仿宋_GB2312" w:hAnsi="仿宋_GB2312" w:eastAsia="仿宋_GB2312" w:cs="仿宋_GB2312"/>
          <w:sz w:val="24"/>
          <w:szCs w:val="24"/>
          <w:lang w:val="zh-CN"/>
        </w:rPr>
        <w:t>履约保证金可以采用支票、汇票、本票或者金融机构、担保机构出具的保函等非现金形式。</w:t>
      </w:r>
    </w:p>
    <w:p>
      <w:pPr>
        <w:pStyle w:val="13"/>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6.3</w:t>
      </w:r>
      <w:r>
        <w:rPr>
          <w:rFonts w:hint="eastAsia" w:ascii="仿宋_GB2312" w:hAnsi="仿宋_GB2312" w:eastAsia="仿宋_GB2312" w:cs="仿宋_GB2312"/>
          <w:sz w:val="24"/>
          <w:szCs w:val="24"/>
          <w:lang w:val="zh-CN"/>
        </w:rPr>
        <w:t>乙方应于合同签订后</w:t>
      </w: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lang w:val="zh-CN"/>
        </w:rPr>
        <w:t>日内将履约保证金交至甲方指定账户。合同履行期间，乙方不得将履约保证金取回或作任何抵押。</w:t>
      </w:r>
    </w:p>
    <w:p>
      <w:pPr>
        <w:pStyle w:val="19"/>
        <w:widowControl w:val="0"/>
        <w:adjustRightInd w:val="0"/>
        <w:snapToGrid w:val="0"/>
        <w:spacing w:before="0" w:line="560" w:lineRule="exact"/>
        <w:ind w:left="0" w:firstLine="482"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6.4甲方应于本项目终验合格后20日内原额无息退还履约保证金。</w:t>
      </w:r>
    </w:p>
    <w:p>
      <w:pPr>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6.5签订合同后，如乙方不按合同履行约定的，则其全部履约保证金不予退还。履约保证金不足以赔偿损失的，按实际损失赔偿。</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七、转包或分包</w:t>
      </w:r>
    </w:p>
    <w:p>
      <w:pPr>
        <w:pStyle w:val="13"/>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7.1</w:t>
      </w:r>
      <w:r>
        <w:rPr>
          <w:rFonts w:hint="eastAsia" w:ascii="仿宋_GB2312" w:hAnsi="仿宋_GB2312" w:eastAsia="仿宋_GB2312" w:cs="仿宋_GB2312"/>
          <w:sz w:val="24"/>
          <w:szCs w:val="24"/>
          <w:lang w:val="zh-CN"/>
        </w:rPr>
        <w:t>本合同范围的货物，应由乙方直接供应，不得转让他人供应；</w:t>
      </w:r>
    </w:p>
    <w:p>
      <w:pPr>
        <w:pStyle w:val="13"/>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7.2</w:t>
      </w:r>
      <w:r>
        <w:rPr>
          <w:rFonts w:hint="eastAsia" w:ascii="仿宋_GB2312" w:hAnsi="仿宋_GB2312" w:eastAsia="仿宋_GB2312" w:cs="仿宋_GB2312"/>
          <w:sz w:val="24"/>
          <w:szCs w:val="24"/>
          <w:lang w:val="zh-CN"/>
        </w:rPr>
        <w:t>乙方</w:t>
      </w:r>
      <w:r>
        <w:rPr>
          <w:rFonts w:hint="eastAsia" w:ascii="仿宋_GB2312" w:hAnsi="仿宋_GB2312" w:eastAsia="仿宋_GB2312" w:cs="仿宋_GB2312"/>
          <w:sz w:val="24"/>
          <w:szCs w:val="24"/>
        </w:rPr>
        <w:t>可以按有关规定将部分</w:t>
      </w:r>
      <w:r>
        <w:rPr>
          <w:rFonts w:hint="eastAsia" w:ascii="仿宋_GB2312" w:hAnsi="仿宋_GB2312" w:eastAsia="仿宋_GB2312" w:cs="仿宋_GB2312"/>
          <w:sz w:val="24"/>
          <w:szCs w:val="24"/>
          <w:lang w:val="zh-CN"/>
        </w:rPr>
        <w:t>货物</w:t>
      </w:r>
      <w:r>
        <w:rPr>
          <w:rFonts w:hint="eastAsia" w:ascii="仿宋_GB2312" w:hAnsi="仿宋_GB2312" w:eastAsia="仿宋_GB2312" w:cs="仿宋_GB2312"/>
          <w:sz w:val="24"/>
          <w:szCs w:val="24"/>
        </w:rPr>
        <w:t>或服务</w:t>
      </w:r>
      <w:r>
        <w:rPr>
          <w:rFonts w:hint="eastAsia" w:ascii="仿宋_GB2312" w:hAnsi="仿宋_GB2312" w:eastAsia="仿宋_GB2312" w:cs="仿宋_GB2312"/>
          <w:sz w:val="24"/>
          <w:szCs w:val="24"/>
          <w:lang w:val="zh-CN"/>
        </w:rPr>
        <w:t>分包给</w:t>
      </w:r>
      <w:r>
        <w:rPr>
          <w:rFonts w:hint="eastAsia" w:ascii="仿宋_GB2312" w:hAnsi="仿宋_GB2312" w:eastAsia="仿宋_GB2312" w:cs="仿宋_GB2312"/>
          <w:sz w:val="24"/>
          <w:szCs w:val="24"/>
        </w:rPr>
        <w:t>中小微企业实施</w:t>
      </w:r>
      <w:r>
        <w:rPr>
          <w:rFonts w:hint="eastAsia" w:ascii="仿宋_GB2312" w:hAnsi="仿宋_GB2312" w:eastAsia="仿宋_GB2312" w:cs="仿宋_GB2312"/>
          <w:sz w:val="24"/>
          <w:szCs w:val="24"/>
          <w:lang w:val="zh-CN"/>
        </w:rPr>
        <w:t>；</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八、质保期</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质保期3年，本项目所采购的各项设备及系统质保期从项目终验合格开始计算，在质保期内乙方应免费上门对损坏的部件或设备或系统进行维修、安装、更换、调试等；质保期内免费更换的设备零部质保期应自更换之日起计不少于3年。</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九、工期及交货地点</w:t>
      </w:r>
    </w:p>
    <w:p>
      <w:pPr>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9.1</w:t>
      </w:r>
      <w:r>
        <w:rPr>
          <w:rFonts w:hint="eastAsia" w:ascii="仿宋_GB2312" w:hAnsi="仿宋_GB2312" w:eastAsia="仿宋_GB2312" w:cs="仿宋_GB2312"/>
          <w:sz w:val="24"/>
          <w:szCs w:val="24"/>
          <w:lang w:val="zh-CN"/>
        </w:rPr>
        <w:t>工期：</w:t>
      </w: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zh-CN"/>
        </w:rPr>
        <w:t>9 月底前，完成设备到货、安装调试</w:t>
      </w:r>
      <w:r>
        <w:rPr>
          <w:rFonts w:hint="eastAsia" w:ascii="仿宋_GB2312" w:hAnsi="仿宋_GB2312" w:eastAsia="仿宋_GB2312" w:cs="仿宋_GB2312"/>
          <w:sz w:val="24"/>
          <w:szCs w:val="24"/>
        </w:rPr>
        <w:t>及</w:t>
      </w:r>
      <w:r>
        <w:rPr>
          <w:rFonts w:hint="eastAsia" w:ascii="仿宋_GB2312" w:hAnsi="仿宋_GB2312" w:eastAsia="仿宋_GB2312" w:cs="仿宋_GB2312"/>
          <w:sz w:val="24"/>
          <w:szCs w:val="24"/>
          <w:lang w:val="zh-CN"/>
        </w:rPr>
        <w:t>项目初验；</w:t>
      </w: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zh-CN"/>
        </w:rPr>
        <w:t>10 月份开始进入试运行阶段。</w:t>
      </w: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zh-CN"/>
        </w:rPr>
        <w:t>11 月底前，完成项目终验。</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9.2</w:t>
      </w:r>
      <w:r>
        <w:rPr>
          <w:rFonts w:hint="eastAsia" w:ascii="仿宋_GB2312" w:hAnsi="仿宋_GB2312" w:eastAsia="仿宋_GB2312" w:cs="仿宋_GB2312"/>
          <w:sz w:val="24"/>
          <w:szCs w:val="24"/>
          <w:lang w:val="zh-CN"/>
        </w:rPr>
        <w:t>交货地点：</w:t>
      </w:r>
      <w:r>
        <w:rPr>
          <w:rFonts w:hint="eastAsia" w:ascii="仿宋_GB2312" w:hAnsi="仿宋_GB2312" w:eastAsia="仿宋_GB2312" w:cs="仿宋_GB2312"/>
          <w:sz w:val="24"/>
          <w:szCs w:val="24"/>
        </w:rPr>
        <w:t>舟山市</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十、货款支付</w:t>
      </w:r>
    </w:p>
    <w:p>
      <w:pPr>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10.1</w:t>
      </w:r>
      <w:r>
        <w:rPr>
          <w:rFonts w:hint="eastAsia" w:ascii="仿宋_GB2312" w:hAnsi="仿宋_GB2312" w:eastAsia="仿宋_GB2312" w:cs="仿宋_GB2312"/>
          <w:sz w:val="24"/>
          <w:szCs w:val="24"/>
          <w:lang w:val="zh-CN"/>
        </w:rPr>
        <w:t>付款方式：</w:t>
      </w:r>
    </w:p>
    <w:p>
      <w:pPr>
        <w:pStyle w:val="65"/>
        <w:spacing w:line="440" w:lineRule="exact"/>
        <w:ind w:firstLine="480"/>
        <w:rPr>
          <w:rFonts w:ascii="仿宋_GB2312" w:hAnsi="宋体" w:eastAsia="仿宋_GB2312" w:cs="宋体"/>
          <w:sz w:val="24"/>
          <w:szCs w:val="24"/>
        </w:rPr>
      </w:pPr>
      <w:r>
        <w:rPr>
          <w:rFonts w:hint="eastAsia" w:ascii="仿宋_GB2312" w:hAnsi="宋体" w:eastAsia="仿宋_GB2312" w:cs="仿宋"/>
          <w:sz w:val="24"/>
          <w:szCs w:val="24"/>
        </w:rPr>
        <w:t>预付款：</w:t>
      </w:r>
      <w:r>
        <w:rPr>
          <w:rFonts w:hint="eastAsia" w:ascii="仿宋_GB2312" w:hAnsi="宋体" w:eastAsia="仿宋_GB2312" w:cs="宋体"/>
          <w:sz w:val="24"/>
          <w:szCs w:val="24"/>
        </w:rPr>
        <w:t>在合同生效后以及具备实施条件后的7个工作日内，采购人根据供应商提供的正规发票，按财政部门规定的支付方式支付合同金额的60%给供应商。</w:t>
      </w:r>
    </w:p>
    <w:p>
      <w:pPr>
        <w:pStyle w:val="65"/>
        <w:spacing w:line="440" w:lineRule="exact"/>
        <w:ind w:firstLine="720" w:firstLineChars="300"/>
        <w:rPr>
          <w:rFonts w:ascii="仿宋_GB2312" w:hAnsi="宋体" w:eastAsia="仿宋_GB2312"/>
          <w:sz w:val="24"/>
          <w:szCs w:val="24"/>
        </w:rPr>
      </w:pPr>
      <w:r>
        <w:rPr>
          <w:rFonts w:hint="eastAsia" w:ascii="仿宋_GB2312" w:hAnsi="等线" w:eastAsia="仿宋_GB2312"/>
          <w:sz w:val="24"/>
          <w:szCs w:val="24"/>
        </w:rPr>
        <w:t>本项目终验合格</w:t>
      </w:r>
      <w:r>
        <w:rPr>
          <w:rFonts w:hint="eastAsia" w:ascii="仿宋_GB2312" w:eastAsia="仿宋_GB2312"/>
          <w:bCs/>
          <w:sz w:val="24"/>
          <w:szCs w:val="24"/>
        </w:rPr>
        <w:t>后</w:t>
      </w:r>
      <w:r>
        <w:rPr>
          <w:rFonts w:hint="eastAsia" w:ascii="仿宋_GB2312" w:hAnsi="等线" w:eastAsia="仿宋_GB2312"/>
          <w:sz w:val="24"/>
          <w:szCs w:val="24"/>
        </w:rPr>
        <w:t>7个工作日内，</w:t>
      </w:r>
      <w:r>
        <w:rPr>
          <w:rFonts w:hint="eastAsia" w:ascii="仿宋_GB2312" w:hAnsi="宋体" w:eastAsia="仿宋_GB2312"/>
          <w:sz w:val="24"/>
          <w:szCs w:val="24"/>
        </w:rPr>
        <w:t>采购人根据供应商提供的正规发票，按财政部门规定的支付方式支付合同金额的40%给供应商。</w:t>
      </w:r>
    </w:p>
    <w:p>
      <w:pPr>
        <w:pStyle w:val="65"/>
        <w:spacing w:line="440" w:lineRule="exact"/>
        <w:ind w:firstLine="720" w:firstLineChars="3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10.2</w:t>
      </w:r>
      <w:r>
        <w:rPr>
          <w:rFonts w:hint="eastAsia" w:ascii="仿宋_GB2312" w:hAnsi="仿宋_GB2312" w:eastAsia="仿宋_GB2312" w:cs="仿宋_GB2312"/>
          <w:sz w:val="24"/>
          <w:szCs w:val="24"/>
          <w:lang w:val="zh-CN"/>
        </w:rPr>
        <w:t>当采购数量与实际使用数量不一致时，乙方应根据实际使用量供货，合同的最终结算金额按实际使用量乘以成交单价进行计算。</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十一、税费</w:t>
      </w:r>
    </w:p>
    <w:p>
      <w:pPr>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本合同执行中相关的一切税费均由乙方负担。</w:t>
      </w:r>
    </w:p>
    <w:p>
      <w:pPr>
        <w:pStyle w:val="2"/>
        <w:numPr>
          <w:ilvl w:val="0"/>
          <w:numId w:val="12"/>
        </w:numPr>
        <w:spacing w:line="560" w:lineRule="exact"/>
        <w:ind w:firstLine="480"/>
        <w:rPr>
          <w:rFonts w:ascii="仿宋_GB2312" w:hAnsi="仿宋_GB2312" w:eastAsia="仿宋_GB2312" w:cs="仿宋_GB2312"/>
          <w:szCs w:val="24"/>
        </w:rPr>
      </w:pPr>
      <w:r>
        <w:rPr>
          <w:rFonts w:hint="eastAsia" w:ascii="仿宋_GB2312" w:hAnsi="仿宋_GB2312" w:eastAsia="仿宋_GB2312" w:cs="仿宋_GB2312"/>
          <w:spacing w:val="0"/>
          <w:kern w:val="2"/>
          <w:szCs w:val="24"/>
        </w:rPr>
        <w:t>售后服务及运维服务要求</w:t>
      </w:r>
      <w:r>
        <w:rPr>
          <w:rFonts w:hint="eastAsia" w:ascii="仿宋_GB2312" w:hAnsi="仿宋_GB2312" w:eastAsia="仿宋_GB2312" w:cs="仿宋_GB2312"/>
          <w:szCs w:val="24"/>
        </w:rPr>
        <w:t xml:space="preserve"> </w:t>
      </w:r>
    </w:p>
    <w:p>
      <w:pPr>
        <w:pStyle w:val="3"/>
        <w:ind w:firstLine="482" w:firstLineChars="200"/>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标项一：</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售后服务及运维期要求：</w:t>
      </w:r>
    </w:p>
    <w:p>
      <w:pPr>
        <w:numPr>
          <w:ilvl w:val="0"/>
          <w:numId w:val="13"/>
        </w:numPr>
        <w:spacing w:line="360" w:lineRule="auto"/>
        <w:ind w:firstLine="482" w:firstLineChars="20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运维期：</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本项目所采购的各项设备、系统及相关服务的运维期</w:t>
      </w:r>
      <w:r>
        <w:rPr>
          <w:rFonts w:hint="eastAsia" w:ascii="仿宋_GB2312" w:hAnsi="仿宋_GB2312" w:eastAsia="仿宋_GB2312" w:cs="仿宋_GB2312"/>
          <w:color w:val="000000" w:themeColor="text1"/>
          <w:sz w:val="24"/>
          <w:szCs w:val="24"/>
        </w:rPr>
        <w:t>从项目终验合格开始计算，乙方应提供不少于5年的运维服务，包括中载云台的链路租赁费、挂载费、电费及数据服务费等；其中天通卫星电话需提供一年的卫星通信费。</w:t>
      </w:r>
      <w:r>
        <w:rPr>
          <w:rFonts w:hint="eastAsia" w:ascii="仿宋_GB2312" w:hAnsi="仿宋_GB2312" w:eastAsia="仿宋_GB2312" w:cs="仿宋_GB2312"/>
          <w:color w:val="000000" w:themeColor="text1"/>
          <w:sz w:val="24"/>
          <w:szCs w:val="24"/>
          <w:shd w:val="clear" w:color="auto" w:fill="FFFFFF"/>
        </w:rPr>
        <w:t>期间7*24小时监测系统运行情况，48小时内完成故障处理。</w:t>
      </w:r>
    </w:p>
    <w:p>
      <w:pPr>
        <w:spacing w:line="360" w:lineRule="auto"/>
        <w:ind w:firstLine="482" w:firstLineChars="20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 xml:space="preserve"> 二、售后服务及运维服务要求</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1.乙方应提供上门售后服务，并提供7×24小时热线电话服务。</w:t>
      </w:r>
    </w:p>
    <w:p>
      <w:pPr>
        <w:spacing w:line="360" w:lineRule="auto"/>
        <w:ind w:firstLine="480" w:firstLineChars="200"/>
        <w:rPr>
          <w:rFonts w:ascii="仿宋_GB2312" w:hAnsi="仿宋_GB2312" w:eastAsia="仿宋_GB2312" w:cs="仿宋_GB2312"/>
          <w:b/>
          <w:color w:val="000000" w:themeColor="text1"/>
          <w:sz w:val="24"/>
          <w:szCs w:val="24"/>
        </w:rPr>
      </w:pPr>
      <w:r>
        <w:rPr>
          <w:rFonts w:hint="eastAsia" w:ascii="仿宋_GB2312" w:hAnsi="仿宋_GB2312" w:eastAsia="仿宋_GB2312" w:cs="仿宋_GB2312"/>
          <w:color w:val="000000" w:themeColor="text1"/>
          <w:sz w:val="24"/>
          <w:szCs w:val="24"/>
        </w:rPr>
        <w:t>2.响应时间：乙方应在接到甲方通报故障的电话或传真后应立即响应，对于无法通过电话或传真指导排除故障的，乙方在接到通知后2小时内响应，6小时内到达故障现场，无特殊情况在当天负责将系统恢复正常使用。修理费用由乙方承担，</w:t>
      </w:r>
      <w:r>
        <w:rPr>
          <w:rFonts w:hint="eastAsia" w:ascii="仿宋_GB2312" w:hAnsi="仿宋_GB2312" w:eastAsia="仿宋_GB2312" w:cs="仿宋_GB2312"/>
          <w:bCs/>
          <w:color w:val="000000" w:themeColor="text1"/>
          <w:sz w:val="24"/>
          <w:szCs w:val="24"/>
        </w:rPr>
        <w:t>因自然灾害影响无法在规定时间赶到现场及时排除故障的，待自然灾害结束后，应立即赶到现场排除故障。</w:t>
      </w:r>
      <w:r>
        <w:rPr>
          <w:rFonts w:hint="eastAsia" w:ascii="仿宋_GB2312" w:hAnsi="仿宋_GB2312" w:eastAsia="仿宋_GB2312" w:cs="仿宋_GB2312"/>
          <w:color w:val="000000" w:themeColor="text1"/>
          <w:sz w:val="24"/>
          <w:szCs w:val="24"/>
        </w:rPr>
        <w:t>货到现场后由于甲方保管不当造成的问题，乙方亦应负责修复，但费用由甲方负担。</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3.质保期内因产品质量问题而引起的维修费用（包括材料和人工费以及措施费等一切费用）均由乙方承担。</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4.在质保期内设备出现2次维修不合格时，应及时更换新设备，以满足设备正常运行。</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5.运维期内，提供维保服务，包括免费更换损坏的设备，维护人员对维护的视频监控设备进行全面检测一年两次，每半年维护保养一次。根据系统检测情况对系统实行维护，参数调整，保洁，故障维修等。</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6.维护监控设备：对现有的96个监控点位的所有设备进行维护保养；</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7.设备维护要求：</w:t>
      </w:r>
    </w:p>
    <w:p>
      <w:pPr>
        <w:spacing w:line="360" w:lineRule="auto"/>
        <w:ind w:firstLine="480" w:firstLineChars="200"/>
        <w:rPr>
          <w:rFonts w:ascii="仿宋_GB2312" w:hAnsi="仿宋_GB2312" w:eastAsia="仿宋_GB2312" w:cs="仿宋_GB2312"/>
          <w:bCs/>
          <w:color w:val="000000" w:themeColor="text1"/>
          <w:sz w:val="24"/>
          <w:szCs w:val="24"/>
          <w:highlight w:val="yellow"/>
        </w:rPr>
      </w:pPr>
      <w:r>
        <w:rPr>
          <w:rFonts w:hint="eastAsia" w:ascii="仿宋_GB2312" w:hAnsi="仿宋_GB2312" w:eastAsia="仿宋_GB2312" w:cs="仿宋_GB2312"/>
          <w:bCs/>
          <w:color w:val="000000" w:themeColor="text1"/>
          <w:sz w:val="24"/>
          <w:szCs w:val="24"/>
        </w:rPr>
        <w:t>每周基于视频管理平台至少一次对设备进行全面巡查，发现问题通过即时通信工具通知主管，如系线路故障的立即通知线路运营商修复，如设备损坏的立即带备品备件更换，2小时内响应，6小时内到达故障现场，无特殊情况在当天负责将系统恢复正常使用。</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8.维护单位需在舟山市有本岛常驻维护人员不少于1名,驻点维护车辆不少于1辆，必要的时候，根据用户需要，可以直接前往监控点位，进行维保工作。</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9.维护人员应有足够的备件在公司或用户单位，从而以最快的速度解决系统的故障。</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10.若用户对现有监控点位需要进行调整时，乙方需协调设备厂商必须免费进行配合选址和架设等工作，并在最短时间内完成监控恢复运行。</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11.在用户承担重大活动保卫任务期间，根据用户要求，需派技术人员提前到场，保证任务期间系统正常运行。</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12.任何部件出现故障（除人为和自然不可抗力以外），乙方需协调原生产厂商进行免费维修，元器件免费更换，直至修复系统。</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bCs/>
          <w:color w:val="000000" w:themeColor="text1"/>
          <w:sz w:val="24"/>
          <w:szCs w:val="24"/>
        </w:rPr>
        <w:t>13、各系统中的高功率损耗部件，如出现老化损耗现象，乙方可向用户建议整机更新，视情况收取相应成本费。</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14、</w:t>
      </w:r>
      <w:r>
        <w:rPr>
          <w:rFonts w:hint="eastAsia" w:ascii="仿宋_GB2312" w:hAnsi="仿宋_GB2312" w:eastAsia="仿宋_GB2312" w:cs="仿宋_GB2312"/>
          <w:bCs/>
          <w:color w:val="000000" w:themeColor="text1"/>
          <w:sz w:val="24"/>
          <w:szCs w:val="24"/>
        </w:rPr>
        <w:t>质保期（运维期）</w:t>
      </w:r>
      <w:r>
        <w:rPr>
          <w:rFonts w:hint="eastAsia" w:ascii="仿宋_GB2312" w:hAnsi="仿宋_GB2312" w:eastAsia="仿宋_GB2312" w:cs="仿宋_GB2312"/>
          <w:color w:val="000000" w:themeColor="text1"/>
          <w:sz w:val="24"/>
          <w:szCs w:val="24"/>
        </w:rPr>
        <w:t>结束前，须由乙方和甲方进行一次全面检查，任何缺陷必须由乙方负责修理，在修理之后，乙方应将缺陷原因、修理内容、完成修理及恢复正常的时间和日期等报告给甲方，报告一式两份。</w:t>
      </w:r>
    </w:p>
    <w:p>
      <w:pPr>
        <w:pStyle w:val="2"/>
        <w:ind w:firstLine="460"/>
        <w:rPr>
          <w:color w:val="000000" w:themeColor="text1"/>
        </w:rPr>
      </w:pPr>
    </w:p>
    <w:p>
      <w:pPr>
        <w:pStyle w:val="4"/>
        <w:ind w:firstLine="241"/>
        <w:rPr>
          <w:b/>
          <w:bCs/>
        </w:rPr>
      </w:pPr>
      <w:r>
        <w:rPr>
          <w:rFonts w:hint="eastAsia"/>
          <w:b/>
          <w:bCs/>
        </w:rPr>
        <w:t>标项二：</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售后服务及运维期要求：</w:t>
      </w:r>
    </w:p>
    <w:p>
      <w:pPr>
        <w:spacing w:line="360" w:lineRule="auto"/>
        <w:ind w:firstLine="482" w:firstLineChars="200"/>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一、运维期：</w:t>
      </w:r>
    </w:p>
    <w:p>
      <w:pPr>
        <w:spacing w:line="360" w:lineRule="auto"/>
        <w:ind w:firstLine="480" w:firstLineChars="200"/>
        <w:rPr>
          <w:rFonts w:ascii="仿宋_GB2312" w:hAnsi="仿宋_GB2312" w:eastAsia="仿宋_GB2312" w:cs="仿宋_GB2312"/>
          <w:bCs/>
          <w:color w:val="000000" w:themeColor="text1"/>
          <w:sz w:val="24"/>
          <w:szCs w:val="24"/>
          <w:highlight w:val="yellow"/>
        </w:rPr>
      </w:pPr>
      <w:r>
        <w:rPr>
          <w:rFonts w:hint="eastAsia" w:ascii="仿宋_GB2312" w:hAnsi="仿宋_GB2312" w:eastAsia="仿宋_GB2312" w:cs="仿宋_GB2312"/>
          <w:bCs/>
          <w:color w:val="000000" w:themeColor="text1"/>
          <w:sz w:val="24"/>
          <w:szCs w:val="24"/>
        </w:rPr>
        <w:t>本项目所采购的各项设备及相关服务的运维期</w:t>
      </w:r>
      <w:r>
        <w:rPr>
          <w:rFonts w:hint="eastAsia" w:ascii="仿宋_GB2312" w:hAnsi="仿宋_GB2312" w:eastAsia="仿宋_GB2312" w:cs="仿宋_GB2312"/>
          <w:color w:val="000000" w:themeColor="text1"/>
          <w:sz w:val="24"/>
          <w:szCs w:val="24"/>
        </w:rPr>
        <w:t>从项目终验合格开始计算，乙方应提供不少于3年的运维服务。</w:t>
      </w:r>
    </w:p>
    <w:p>
      <w:pPr>
        <w:spacing w:line="360" w:lineRule="auto"/>
        <w:ind w:firstLine="482" w:firstLineChars="20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二、售后服务及运维服务要求</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1.乙方应提供上门售后服务，并提供7×24小时热线电话服务。</w:t>
      </w:r>
    </w:p>
    <w:p>
      <w:pPr>
        <w:spacing w:line="360" w:lineRule="auto"/>
        <w:ind w:firstLine="480" w:firstLineChars="200"/>
        <w:rPr>
          <w:rFonts w:ascii="仿宋_GB2312" w:hAnsi="仿宋_GB2312" w:eastAsia="仿宋_GB2312" w:cs="仿宋_GB2312"/>
          <w:b/>
          <w:color w:val="000000" w:themeColor="text1"/>
          <w:sz w:val="24"/>
          <w:szCs w:val="24"/>
        </w:rPr>
      </w:pPr>
      <w:r>
        <w:rPr>
          <w:rFonts w:hint="eastAsia" w:ascii="仿宋_GB2312" w:hAnsi="仿宋_GB2312" w:eastAsia="仿宋_GB2312" w:cs="仿宋_GB2312"/>
          <w:color w:val="000000" w:themeColor="text1"/>
          <w:sz w:val="24"/>
          <w:szCs w:val="24"/>
        </w:rPr>
        <w:t>2.响应时间：乙方应在接到甲方通报故障的电话或传真后应立即响应，对于无法通过电话或传真指导排除故障的，乙方在接到通知后2小时内响应，6小时内到达故障现场，无特殊情况在当天负责将系统恢复正常使用。修理费用由乙方承担，</w:t>
      </w:r>
      <w:r>
        <w:rPr>
          <w:rFonts w:hint="eastAsia" w:ascii="仿宋_GB2312" w:hAnsi="仿宋_GB2312" w:eastAsia="仿宋_GB2312" w:cs="仿宋_GB2312"/>
          <w:bCs/>
          <w:color w:val="000000" w:themeColor="text1"/>
          <w:sz w:val="24"/>
          <w:szCs w:val="24"/>
        </w:rPr>
        <w:t>因自然灾害影响无法在规定时间赶到现场及时排除故障的，待自然灾害结束后，应立即赶到现场排除故障。</w:t>
      </w:r>
      <w:r>
        <w:rPr>
          <w:rFonts w:hint="eastAsia" w:ascii="仿宋_GB2312" w:hAnsi="仿宋_GB2312" w:eastAsia="仿宋_GB2312" w:cs="仿宋_GB2312"/>
          <w:color w:val="000000" w:themeColor="text1"/>
          <w:sz w:val="24"/>
          <w:szCs w:val="24"/>
        </w:rPr>
        <w:t>货到现场后由于甲方保管不当造成的问题，乙方亦应负责修复，但费用由甲方负担。</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3.质保期（运维期）内因产品质量问题而引起的维修费用（包括材料和人工费以及措施费等一切费用）均由乙方承担。</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4、在质保期（运维期）内设备出现2次维修不合格时，应及时更换新设备，以满足设备正常运行。</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5、维护单位需在舟山市有本岛常驻维护人员不少于1名,驻点维护车辆不少于1辆，必要的时候，根据用户需要，可以直接前往用户场所，进行维保工作。</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6、维护人员应有足够的备件在公司或用户单位，从而以最快的速度解决系统的故障。</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7、在用户承担重大活动保卫任务期间，根据用户要求，需派技术人员提前到场，保证任务期间系统正常运行。</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8、任何部件出现故障（除人为和自然不可抗力以外），乙方需协调原生产厂商进行免费维修，元器件免费更换，直至修复系统。</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bCs/>
          <w:color w:val="000000" w:themeColor="text1"/>
          <w:sz w:val="24"/>
          <w:szCs w:val="24"/>
        </w:rPr>
        <w:t>9、各系统中的高功率损耗部件，如出现老化损耗现象，乙方可向用户建议整机更新，视情况收取相应成本费。</w:t>
      </w:r>
    </w:p>
    <w:p>
      <w:pPr>
        <w:spacing w:line="360" w:lineRule="auto"/>
        <w:ind w:firstLine="480" w:firstLineChars="200"/>
        <w:rPr>
          <w:rFonts w:eastAsia="仿宋_GB2312"/>
          <w:color w:val="000000" w:themeColor="text1"/>
        </w:rPr>
      </w:pPr>
      <w:r>
        <w:rPr>
          <w:rFonts w:hint="eastAsia" w:ascii="仿宋_GB2312" w:hAnsi="仿宋_GB2312" w:eastAsia="仿宋_GB2312" w:cs="仿宋_GB2312"/>
          <w:color w:val="000000" w:themeColor="text1"/>
          <w:sz w:val="24"/>
          <w:szCs w:val="24"/>
        </w:rPr>
        <w:t>10、</w:t>
      </w:r>
      <w:r>
        <w:rPr>
          <w:rFonts w:hint="eastAsia" w:ascii="仿宋_GB2312" w:hAnsi="仿宋_GB2312" w:eastAsia="仿宋_GB2312" w:cs="仿宋_GB2312"/>
          <w:bCs/>
          <w:color w:val="000000" w:themeColor="text1"/>
          <w:sz w:val="24"/>
          <w:szCs w:val="24"/>
        </w:rPr>
        <w:t>质保期（运维期）</w:t>
      </w:r>
      <w:r>
        <w:rPr>
          <w:rFonts w:hint="eastAsia" w:ascii="仿宋_GB2312" w:hAnsi="仿宋_GB2312" w:eastAsia="仿宋_GB2312" w:cs="仿宋_GB2312"/>
          <w:color w:val="000000" w:themeColor="text1"/>
          <w:sz w:val="24"/>
          <w:szCs w:val="24"/>
        </w:rPr>
        <w:t>结束前，须由乙方和甲方进行一次全面检查，任何缺陷必须由乙方负责修理，在修理之后，乙方应将缺陷原因、修理内容、完成修理及恢复正常的时间和日期等报告给甲方，报告一式两份。</w:t>
      </w:r>
    </w:p>
    <w:p>
      <w:pPr>
        <w:pStyle w:val="2"/>
        <w:adjustRightInd w:val="0"/>
        <w:snapToGrid w:val="0"/>
        <w:spacing w:line="560" w:lineRule="exact"/>
        <w:ind w:firstLine="480"/>
        <w:rPr>
          <w:rFonts w:ascii="仿宋_GB2312" w:hAnsi="仿宋_GB2312" w:eastAsia="仿宋_GB2312" w:cs="仿宋_GB2312"/>
          <w:color w:val="000000" w:themeColor="text1"/>
          <w:spacing w:val="0"/>
          <w:kern w:val="2"/>
          <w:szCs w:val="24"/>
        </w:rPr>
      </w:pPr>
      <w:r>
        <w:rPr>
          <w:rFonts w:hint="eastAsia" w:ascii="仿宋_GB2312" w:hAnsi="仿宋_GB2312" w:eastAsia="仿宋_GB2312" w:cs="仿宋_GB2312"/>
          <w:color w:val="000000" w:themeColor="text1"/>
          <w:spacing w:val="0"/>
          <w:kern w:val="2"/>
          <w:szCs w:val="24"/>
        </w:rPr>
        <w:t>十三、货物包装、发货、运输</w:t>
      </w:r>
    </w:p>
    <w:p>
      <w:pPr>
        <w:pStyle w:val="13"/>
        <w:adjustRightInd w:val="0"/>
        <w:snapToGrid w:val="0"/>
        <w:spacing w:line="560" w:lineRule="exact"/>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13.1货物包装应符合财库办[2020]123号相关要求。</w:t>
      </w:r>
    </w:p>
    <w:p>
      <w:pPr>
        <w:pStyle w:val="13"/>
        <w:adjustRightInd w:val="0"/>
        <w:snapToGrid w:val="0"/>
        <w:spacing w:line="560" w:lineRule="exact"/>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13.2乙方应在货物发运前对其进行满足运输距离、防潮、防震、防锈和防破损装卸等要求包装，以保证货物安全运达甲方指定地点。</w:t>
      </w:r>
    </w:p>
    <w:p>
      <w:pPr>
        <w:pStyle w:val="13"/>
        <w:adjustRightInd w:val="0"/>
        <w:snapToGrid w:val="0"/>
        <w:spacing w:line="560" w:lineRule="exact"/>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13.3乙方在货物发运手续办理完毕后24小时内或货到甲方48小时前通知甲方。</w:t>
      </w:r>
    </w:p>
    <w:p>
      <w:pPr>
        <w:pStyle w:val="13"/>
        <w:adjustRightInd w:val="0"/>
        <w:snapToGrid w:val="0"/>
        <w:spacing w:line="560" w:lineRule="exact"/>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13.4货物在交付甲方使用前发生的风险均由乙方负责。</w:t>
      </w:r>
    </w:p>
    <w:p>
      <w:pPr>
        <w:pStyle w:val="13"/>
        <w:adjustRightInd w:val="0"/>
        <w:snapToGrid w:val="0"/>
        <w:spacing w:line="56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5、货物在规定的交付期限内由乙方送达甲方指定的地点视为交付，乙方同时需通知甲方货物已送达。</w:t>
      </w:r>
    </w:p>
    <w:p>
      <w:pPr>
        <w:pStyle w:val="2"/>
        <w:adjustRightInd w:val="0"/>
        <w:snapToGrid w:val="0"/>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十四、安装、调试和验收</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14.1乙方须派遣技术熟练的专业技术人员按照国家有关标准进行设备安装、调试直至设备验收合格通过。</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14.2乙方应做好安全防护措施，在项目实施工程中的一切安全责任均由乙方自行承担。</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14.3交货时乙方须附上货物货物的说明书、合格证、质量保证书、测试合格证等。</w:t>
      </w:r>
    </w:p>
    <w:p>
      <w:pPr>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14.4由甲方对乙方提交的货物依据国家有关质量标准、采购文件技术规格要求、乙方投标文件中的承诺进行现场初步验收，产品数量、技术参数、外观、说明书、合格证等符合要求的，给予签收，初步验收不合格的不予签收，初步验收合格进入1个月试运行期，试运行期结束进行终验。验收中发现产品不符合验收标准或合同规定的性能指标或缺少或损坏的，乙方必须及时调整、更换该产品，直至符合要求为止，并承担相关费用。</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14.5乙方交货前应对产品作出全面检查和对验收文件进行整理，并列出清单，作为甲方及货物使用单位收货验收和使用的技术条件依据，检验的结果应随货物交甲方及货物使用单位。</w:t>
      </w:r>
    </w:p>
    <w:p>
      <w:pPr>
        <w:pStyle w:val="13"/>
        <w:adjustRightInd w:val="0"/>
        <w:snapToGrid w:val="0"/>
        <w:spacing w:line="560" w:lineRule="exact"/>
        <w:ind w:firstLine="480" w:firstLineChars="200"/>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14.6甲方及货物使用单位对乙方提供的货物及系统在使用前进行调试时，乙方需负责培训使用单位的使用操作人员，并协助使用单位一起调试，直到符合技术要求，甲方才做最终验收。</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14.7对技术复杂的货物，甲方应请国家认可的专业检测机构参与初步验收及最终验收，并由其出具质量检测报告。</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14.8本项目验收时，由甲方组织相关人员进行验收，终验通过之日起计算质保期（运维期）。若验收不通过，应根据要求在甲方规定时间内整改完毕并通过复验，并从复验通过之次日起计算质保期（运维期）。 </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14.9验收时乙方必须在现场，验收完毕后作出验收结果报告；验收费用由乙方负责。</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14.10验收时甲方有权随机抽取部分货物移送专业检测机构检测，检测结果不满足采购文件上的技术规格要求、国家有关质量标准及乙方投标文件中承诺的，甲方有权要求乙方无条件更换，由此产生的费用由乙方承担，并承担相应的法律责任。</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14.11货物调试完成后，乙方需提供产品质保书、产品供货清单、产品供货凭证、使用操作说明、常见问题及故障修复、紧急情况应急处置措施等书面资料。</w:t>
      </w:r>
    </w:p>
    <w:p>
      <w:pPr>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十五、培训要求</w:t>
      </w:r>
    </w:p>
    <w:p>
      <w:pPr>
        <w:adjustRightInd w:val="0"/>
        <w:snapToGrid w:val="0"/>
        <w:spacing w:line="560" w:lineRule="exact"/>
        <w:ind w:firstLine="480" w:firstLineChars="20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15.1乙方提供的培训指导人员应具有相同或相近应用和维护设备的经验，能够正确地进行培训服务。</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15.2与本项目有关的使用单位技术人员和操作人员都将根据本项目的要求进行充分的培训。乙方应根据这一基本要求，完成整个设备使用所有必需的培训内容，满足使用单位的需要。</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15.3乙方应向使用单位技术人员和操作人员对本项目系统的使用操作和维护进行培训，所有培训应以中文进行（或配备中文翻译）。</w:t>
      </w:r>
    </w:p>
    <w:p>
      <w:pPr>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十六、违约责任</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16.1甲方无正当理由拒收货物的，甲方向乙方偿付拒收货款总额的百分之五违约金。</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16.2甲方无故逾期验收和办理货款支付手续的,甲方应按逾期付款总额每日万分之五向乙方支付违约金。</w:t>
      </w:r>
    </w:p>
    <w:p>
      <w:pPr>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16.3乙方所交的产品品牌、型号、规格、质量不符合合同规定及采购文件规定标准、投标文件承诺的，甲方有权拒收，乙方明确无法履行承诺的，甲方有权单方面解除合同，乙方应支付甲方合同价款的10%作为违约金；乙方愿意更换但逾期交付的，按乙方逾期交货处理，乙方应按合同价每日千分之六向甲方支付违约金；乙方逾期超过30天，甲方有权单方面解除合同并追究乙方相关法律责任。</w:t>
      </w:r>
    </w:p>
    <w:p>
      <w:pPr>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16.4乙方承诺的系统功能或设备参数，每缺少一项扣1000元，并由乙方补足缺少的相应功能或设备参数，缺少功能或设备参数超过3项时，甲方有权单方面解除合同、没收履约保证金，并向第三方采购缺少的相应功能，由此给甲方造成的一切损失均由乙方承担。</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16.5在质保期（运维期）内，产品（系统）出现问题，乙方未按合同约定的服务响应时间提供服务的，每次偿付2000元违约金，并赔偿甲方损失；同时，乙方应继续履行质保（运维）义务。</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16.6在质保期（运维期）内，乙方拒绝履行保修（运维）义务的，甲方可以向第三方采购服务，由此发生的费用由乙方承担，除此之外乙方还须支付甲方10000元违约金。</w:t>
      </w:r>
    </w:p>
    <w:p>
      <w:pPr>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16.7本合同签订后需严格遵守（不可抗力除外），如因甲乙双方单方面原因无法履行合同时，应提前一个月通知对方，在取得对方同意后方可终止合同，并赔偿给对方造成的损失。</w:t>
      </w:r>
    </w:p>
    <w:p>
      <w:pPr>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16.8乙方因逾期交付或因其他违约行为导致甲方解除合同的，乙方应向甲方支付</w:t>
      </w:r>
      <w:r>
        <w:rPr>
          <w:rFonts w:hint="eastAsia" w:ascii="仿宋_GB2312" w:hAnsi="仿宋_GB2312" w:eastAsia="仿宋_GB2312" w:cs="仿宋_GB2312"/>
          <w:bCs/>
          <w:color w:val="000000"/>
          <w:sz w:val="24"/>
          <w:szCs w:val="24"/>
        </w:rPr>
        <w:t>合同金额10</w:t>
      </w:r>
      <w:r>
        <w:rPr>
          <w:rFonts w:hint="eastAsia" w:ascii="仿宋_GB2312" w:hAnsi="仿宋_GB2312" w:eastAsia="仿宋_GB2312" w:cs="仿宋_GB2312"/>
          <w:color w:val="000000"/>
          <w:sz w:val="24"/>
          <w:szCs w:val="24"/>
        </w:rPr>
        <w:t>%的违约金，如造成甲方损失超过违约金的，超出部分由乙方继续承担赔偿责任。因甲方原因终止合同执行的，本项目项目款按乙方已完成量（满足采购要求部分）进行结算（乙方不得以此为由向甲方提出索赔），该费用待乙方向甲方偿付应支付的违约费用后支付。</w:t>
      </w:r>
    </w:p>
    <w:p>
      <w:pPr>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16.9如果出现政府采购监督管理部门在处理投诉事项期间，书面通知甲方暂停采购活动的情形，或者询问或质疑事项可能影响中标或者成交结果的，导致甲方中止履行合同的情形，均不视为甲方违约。</w:t>
      </w:r>
    </w:p>
    <w:p>
      <w:pPr>
        <w:pStyle w:val="13"/>
        <w:adjustRightInd w:val="0"/>
        <w:snapToGrid w:val="0"/>
        <w:spacing w:line="560" w:lineRule="exact"/>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十七、不可抗力事件处理</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17.1在合同有效期内，任何一方因不可抗力事件导致不能履行合同，则合同履行期可延长，其延长期与不可抗力影响期相同。</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17.2不可抗力事件发生后，应立即通知对方，并寄送有关权威机构出具的证明。</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17.3不可抗力事件延续120天以上，双方应通过友好协商，确定是否继续履行合同。</w:t>
      </w:r>
    </w:p>
    <w:p>
      <w:pPr>
        <w:pStyle w:val="13"/>
        <w:adjustRightInd w:val="0"/>
        <w:snapToGrid w:val="0"/>
        <w:spacing w:line="560" w:lineRule="exact"/>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十八、诉讼</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双方在执行合同中所发生的一切争议，应通过协商解决。如协商不成，可向</w:t>
      </w:r>
      <w:r>
        <w:rPr>
          <w:rFonts w:hint="eastAsia" w:ascii="仿宋_GB2312" w:hAnsi="仿宋_GB2312" w:eastAsia="仿宋_GB2312" w:cs="仿宋_GB2312"/>
          <w:color w:val="000000"/>
          <w:sz w:val="24"/>
          <w:szCs w:val="24"/>
          <w:u w:val="single"/>
        </w:rPr>
        <w:t>舟山市</w:t>
      </w:r>
      <w:r>
        <w:rPr>
          <w:rFonts w:hint="eastAsia" w:ascii="仿宋_GB2312" w:hAnsi="仿宋_GB2312" w:eastAsia="仿宋_GB2312" w:cs="仿宋_GB2312"/>
          <w:color w:val="000000"/>
          <w:sz w:val="24"/>
          <w:szCs w:val="24"/>
        </w:rPr>
        <w:t>人民法院起诉。</w:t>
      </w:r>
    </w:p>
    <w:p>
      <w:pPr>
        <w:pStyle w:val="13"/>
        <w:adjustRightInd w:val="0"/>
        <w:snapToGrid w:val="0"/>
        <w:spacing w:line="560" w:lineRule="exact"/>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十九、合同生效及其它</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19.1合同经双方法定代表人或授权委托代理人签字并加盖单位公章后生效。</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19.2本合同未尽事宜，遵照《中华人民共和国民法典》有关条文执行。</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19.3本合同正本一式肆份，具有同等法律效力，甲乙双方各执贰份。</w:t>
      </w:r>
    </w:p>
    <w:p>
      <w:pPr>
        <w:pStyle w:val="13"/>
        <w:snapToGrid w:val="0"/>
        <w:spacing w:line="360" w:lineRule="exact"/>
        <w:ind w:left="480" w:hanging="480" w:hangingChars="200"/>
        <w:rPr>
          <w:rFonts w:ascii="仿宋_GB2312" w:hAnsi="仿宋_GB2312" w:eastAsia="仿宋_GB2312" w:cs="仿宋_GB2312"/>
          <w:color w:val="000000"/>
          <w:sz w:val="24"/>
          <w:szCs w:val="24"/>
        </w:rPr>
      </w:pPr>
    </w:p>
    <w:p>
      <w:pPr>
        <w:pStyle w:val="13"/>
        <w:snapToGrid w:val="0"/>
        <w:spacing w:line="360" w:lineRule="exact"/>
        <w:ind w:left="450" w:leftChars="100" w:hanging="240" w:hangingChars="100"/>
        <w:rPr>
          <w:rFonts w:ascii="仿宋_GB2312" w:hAnsi="仿宋_GB2312" w:eastAsia="仿宋_GB2312" w:cs="仿宋_GB2312"/>
          <w:color w:val="000000"/>
          <w:sz w:val="24"/>
          <w:szCs w:val="24"/>
        </w:rPr>
      </w:pPr>
    </w:p>
    <w:p>
      <w:pPr>
        <w:pStyle w:val="13"/>
        <w:snapToGrid w:val="0"/>
        <w:spacing w:line="360" w:lineRule="exact"/>
        <w:ind w:left="450" w:leftChars="100" w:hanging="240" w:hangingChars="100"/>
        <w:rPr>
          <w:rFonts w:ascii="仿宋_GB2312" w:hAnsi="仿宋_GB2312" w:eastAsia="仿宋_GB2312" w:cs="仿宋_GB2312"/>
          <w:color w:val="000000"/>
          <w:sz w:val="24"/>
          <w:szCs w:val="24"/>
        </w:rPr>
      </w:pPr>
    </w:p>
    <w:p>
      <w:pPr>
        <w:pStyle w:val="13"/>
        <w:snapToGrid w:val="0"/>
        <w:spacing w:line="360" w:lineRule="exact"/>
        <w:ind w:left="450" w:leftChars="100" w:hanging="240" w:hangingChars="1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甲方（盖章）：                             乙方（盖章）： </w:t>
      </w:r>
    </w:p>
    <w:p>
      <w:pPr>
        <w:pStyle w:val="13"/>
        <w:snapToGri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地址：                                     地址： </w:t>
      </w:r>
    </w:p>
    <w:p>
      <w:pPr>
        <w:pStyle w:val="13"/>
        <w:snapToGri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法定（授权）代表人：                       法定（授权）代表人：</w:t>
      </w:r>
    </w:p>
    <w:p>
      <w:pPr>
        <w:pStyle w:val="13"/>
        <w:snapToGrid w:val="0"/>
        <w:spacing w:line="360" w:lineRule="exact"/>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 xml:space="preserve">  签字日期：      年  月  日                 签字日期：      年   月  日</w:t>
      </w:r>
    </w:p>
    <w:p>
      <w:pPr>
        <w:pStyle w:val="11"/>
      </w:pPr>
    </w:p>
    <w:p>
      <w:pPr>
        <w:pStyle w:val="11"/>
      </w:pPr>
    </w:p>
    <w:p>
      <w:pPr>
        <w:pStyle w:val="11"/>
      </w:pPr>
    </w:p>
    <w:p>
      <w:pPr>
        <w:pStyle w:val="11"/>
      </w:pPr>
    </w:p>
    <w:p>
      <w:pPr>
        <w:pStyle w:val="11"/>
      </w:pPr>
    </w:p>
    <w:p>
      <w:pPr>
        <w:pStyle w:val="11"/>
      </w:pPr>
    </w:p>
    <w:p>
      <w:pPr>
        <w:pStyle w:val="11"/>
      </w:pPr>
    </w:p>
    <w:p>
      <w:pPr>
        <w:pStyle w:val="11"/>
      </w:pPr>
    </w:p>
    <w:p>
      <w:pPr>
        <w:spacing w:line="540" w:lineRule="exact"/>
        <w:ind w:firstLine="562"/>
        <w:contextualSpacing/>
        <w:jc w:val="center"/>
        <w:rPr>
          <w:rFonts w:ascii="仿宋_GB2312" w:eastAsia="仿宋_GB2312"/>
          <w:b/>
          <w:sz w:val="24"/>
          <w:szCs w:val="24"/>
        </w:rPr>
      </w:pPr>
      <w:r>
        <w:rPr>
          <w:rFonts w:hint="eastAsia" w:ascii="仿宋_GB2312" w:eastAsia="仿宋_GB2312"/>
          <w:b/>
          <w:sz w:val="24"/>
          <w:szCs w:val="24"/>
        </w:rPr>
        <w:t>第六部分</w:t>
      </w:r>
      <w:bookmarkEnd w:id="397"/>
      <w:bookmarkEnd w:id="398"/>
      <w:r>
        <w:rPr>
          <w:rFonts w:hint="eastAsia" w:ascii="仿宋_GB2312" w:eastAsia="仿宋_GB2312"/>
          <w:b/>
          <w:sz w:val="24"/>
          <w:szCs w:val="24"/>
        </w:rPr>
        <w:t>应提交的有关格式范例</w:t>
      </w:r>
    </w:p>
    <w:p>
      <w:pPr>
        <w:spacing w:line="540" w:lineRule="exact"/>
        <w:ind w:firstLine="560"/>
        <w:contextualSpacing/>
        <w:rPr>
          <w:rFonts w:ascii="仿宋_GB2312" w:eastAsia="仿宋_GB2312"/>
          <w:sz w:val="24"/>
          <w:szCs w:val="24"/>
        </w:rPr>
      </w:pPr>
    </w:p>
    <w:p>
      <w:pPr>
        <w:spacing w:line="540" w:lineRule="exact"/>
        <w:ind w:firstLine="562"/>
        <w:contextualSpacing/>
        <w:jc w:val="center"/>
        <w:rPr>
          <w:rFonts w:ascii="仿宋_GB2312" w:eastAsia="仿宋_GB2312"/>
          <w:b/>
          <w:sz w:val="24"/>
          <w:szCs w:val="24"/>
        </w:rPr>
      </w:pPr>
      <w:r>
        <w:rPr>
          <w:rFonts w:hint="eastAsia" w:ascii="仿宋_GB2312" w:eastAsia="仿宋_GB2312"/>
          <w:b/>
          <w:sz w:val="24"/>
          <w:szCs w:val="24"/>
        </w:rPr>
        <w:t>资格文件部分</w:t>
      </w:r>
    </w:p>
    <w:p>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目录</w:t>
      </w:r>
    </w:p>
    <w:p>
      <w:pPr>
        <w:spacing w:line="540" w:lineRule="exact"/>
        <w:ind w:firstLine="560"/>
        <w:contextualSpacing/>
        <w:rPr>
          <w:rFonts w:ascii="仿宋_GB2312" w:eastAsia="仿宋_GB2312"/>
          <w:sz w:val="28"/>
          <w:szCs w:val="28"/>
        </w:rPr>
      </w:pPr>
    </w:p>
    <w:p>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一、符合参加政府采购活动应当具备的一般条件的承诺函…………（页码）</w:t>
      </w:r>
    </w:p>
    <w:p>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二、联合协议（如果有）………………………………………………（页码）</w:t>
      </w:r>
    </w:p>
    <w:p>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三、落实政府采购政策需满足的资格要求（如果有）………………（页码）</w:t>
      </w:r>
    </w:p>
    <w:p>
      <w:pPr>
        <w:spacing w:line="540" w:lineRule="exact"/>
        <w:ind w:firstLine="560"/>
        <w:contextualSpacing/>
        <w:jc w:val="center"/>
        <w:rPr>
          <w:rFonts w:ascii="仿宋_GB2312" w:eastAsia="仿宋_GB2312"/>
          <w:b/>
          <w:sz w:val="24"/>
          <w:szCs w:val="24"/>
        </w:rPr>
      </w:pPr>
      <w:r>
        <w:rPr>
          <w:rFonts w:hint="eastAsia" w:ascii="仿宋_GB2312" w:eastAsia="仿宋_GB2312"/>
          <w:sz w:val="24"/>
          <w:szCs w:val="24"/>
        </w:rPr>
        <w:t>四、本项目的特定资格要求（如果有）………………………………（页码）</w:t>
      </w:r>
      <w:r>
        <w:rPr>
          <w:rFonts w:hint="eastAsia" w:ascii="仿宋_GB2312" w:eastAsia="仿宋_GB2312"/>
          <w:sz w:val="24"/>
          <w:szCs w:val="24"/>
        </w:rPr>
        <w:br w:type="page"/>
      </w:r>
      <w:r>
        <w:rPr>
          <w:rFonts w:hint="eastAsia" w:ascii="仿宋_GB2312" w:eastAsia="仿宋_GB2312"/>
          <w:b/>
          <w:sz w:val="24"/>
          <w:szCs w:val="24"/>
        </w:rPr>
        <w:t>一、 符合参加政府采购活动应当具备的一般条件的承诺函</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我方参与（项目名称）【招标编号：（采购编号）】政府采购活动，郑重承诺：</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（一）具备《中华人民共和国政府采购法》第二十二条第一款规定的条件：</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1.具有独立承担民事责任的能力；</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2.具有良好的商业信誉和健全的财务会计制度； </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3.具有履行合同所必需的设备和专业技术能力；</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4.有依法缴纳税收和社会保障资金的良好记录；</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5.参加政府采购活动前三年内，在经营活动中没有重大违法记录；</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6.具有法律、行政法规规定的其他条件。</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（二）未被信用中国（www.creditchina.gov.cn)、中国政府采购网（www.ccgp.gov.cn）列入失信被执行人、重大税收违法失信主体、政府采购严重违法失信行为记录名单。</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（三）不存在以下情况：</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1.单位负责人为同一人或者存在直接控股、管理关系的不同供应商参加同一合同项下的政府采购活动的；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2.为采购项目提供整体设计、规范编制或者项目管理、监理、检测等服务后再参加该采购项目的其他采购活动的。</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投标人名称(电子签名)：</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pPr>
        <w:spacing w:line="540" w:lineRule="exact"/>
        <w:ind w:firstLine="482"/>
        <w:contextualSpacing/>
        <w:jc w:val="center"/>
        <w:rPr>
          <w:rFonts w:ascii="仿宋_GB2312" w:eastAsia="仿宋_GB2312"/>
          <w:b/>
          <w:sz w:val="24"/>
          <w:szCs w:val="24"/>
        </w:rPr>
      </w:pPr>
    </w:p>
    <w:p>
      <w:pPr>
        <w:widowControl/>
        <w:spacing w:line="360" w:lineRule="auto"/>
        <w:ind w:firstLine="643" w:firstLineChars="200"/>
        <w:jc w:val="center"/>
        <w:rPr>
          <w:rFonts w:ascii="仿宋_GB2312" w:hAnsi="宋体" w:eastAsia="仿宋_GB2312" w:cs="宋体"/>
          <w:b/>
          <w:kern w:val="0"/>
          <w:sz w:val="32"/>
          <w:szCs w:val="32"/>
        </w:rPr>
      </w:pPr>
    </w:p>
    <w:p>
      <w:pPr>
        <w:widowControl/>
        <w:spacing w:line="560" w:lineRule="exact"/>
        <w:ind w:firstLine="482" w:firstLineChars="200"/>
        <w:jc w:val="center"/>
        <w:rPr>
          <w:rFonts w:ascii="仿宋_GB2312" w:eastAsia="仿宋_GB2312"/>
          <w:b/>
          <w:sz w:val="24"/>
          <w:szCs w:val="24"/>
        </w:rPr>
      </w:pPr>
      <w:r>
        <w:rPr>
          <w:rFonts w:hint="eastAsia" w:ascii="仿宋_GB2312" w:eastAsia="仿宋_GB2312"/>
          <w:b/>
          <w:sz w:val="24"/>
          <w:szCs w:val="24"/>
        </w:rPr>
        <w:t>二、联合协议（如果有）</w:t>
      </w:r>
    </w:p>
    <w:p>
      <w:pPr>
        <w:widowControl/>
        <w:spacing w:line="560" w:lineRule="exact"/>
        <w:ind w:firstLine="482" w:firstLineChars="200"/>
        <w:jc w:val="left"/>
        <w:rPr>
          <w:rFonts w:ascii="仿宋_GB2312" w:hAnsi="宋体" w:eastAsia="仿宋_GB2312" w:cs="宋体"/>
          <w:b/>
          <w:sz w:val="24"/>
          <w:szCs w:val="24"/>
        </w:rPr>
      </w:pPr>
      <w:r>
        <w:rPr>
          <w:rFonts w:hint="eastAsia" w:ascii="仿宋_GB2312" w:hAnsi="宋体" w:eastAsia="仿宋_GB2312" w:cs="宋体"/>
          <w:b/>
          <w:sz w:val="24"/>
          <w:szCs w:val="24"/>
        </w:rPr>
        <w:t>[以联合体形式投标的，提供联合协议（附件6）；本项目不接受联合体投标或者投标人不以联合体形式投标的，则不需要提供）]</w:t>
      </w:r>
    </w:p>
    <w:p>
      <w:pPr>
        <w:snapToGrid w:val="0"/>
        <w:spacing w:line="560" w:lineRule="exact"/>
        <w:ind w:right="480" w:firstLine="482"/>
        <w:jc w:val="center"/>
        <w:rPr>
          <w:rFonts w:ascii="仿宋_GB2312" w:hAnsi="宋体" w:eastAsia="仿宋_GB2312" w:cs="宋体"/>
          <w:b/>
          <w:kern w:val="0"/>
          <w:sz w:val="24"/>
          <w:szCs w:val="24"/>
        </w:rPr>
      </w:pPr>
    </w:p>
    <w:p>
      <w:pPr>
        <w:pStyle w:val="3"/>
        <w:rPr>
          <w:rFonts w:ascii="仿宋_GB2312" w:eastAsia="仿宋_GB2312"/>
          <w:sz w:val="24"/>
          <w:szCs w:val="24"/>
        </w:rPr>
      </w:pPr>
    </w:p>
    <w:p>
      <w:pPr>
        <w:snapToGrid w:val="0"/>
        <w:spacing w:line="560" w:lineRule="exact"/>
        <w:ind w:right="480" w:firstLine="482"/>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三、落实政府采购政策需满足的资格要求</w:t>
      </w:r>
      <w:r>
        <w:rPr>
          <w:rFonts w:hint="eastAsia" w:ascii="仿宋_GB2312" w:eastAsia="仿宋_GB2312"/>
          <w:b/>
          <w:sz w:val="24"/>
          <w:szCs w:val="24"/>
        </w:rPr>
        <w:t>（如果有）</w:t>
      </w:r>
    </w:p>
    <w:p>
      <w:pPr>
        <w:spacing w:line="560" w:lineRule="exact"/>
        <w:rPr>
          <w:rFonts w:ascii="仿宋_GB2312" w:hAnsi="宋体" w:eastAsia="仿宋_GB2312" w:cs="宋体"/>
          <w:sz w:val="24"/>
          <w:szCs w:val="24"/>
        </w:rPr>
      </w:pPr>
      <w:r>
        <w:rPr>
          <w:rFonts w:hint="eastAsia" w:ascii="仿宋_GB2312" w:hAnsi="宋体" w:eastAsia="仿宋_GB2312" w:cs="宋体"/>
          <w:sz w:val="24"/>
          <w:szCs w:val="24"/>
        </w:rPr>
        <w:t>（根据招标公告落实政府采购政策需满足的资格要求选择提供相应的材料；未要求的，无需提供）</w:t>
      </w:r>
    </w:p>
    <w:p>
      <w:pPr>
        <w:snapToGrid w:val="0"/>
        <w:spacing w:before="50" w:after="50" w:line="560" w:lineRule="exact"/>
        <w:ind w:firstLine="472" w:firstLineChars="196"/>
        <w:jc w:val="left"/>
        <w:rPr>
          <w:rFonts w:ascii="仿宋_GB2312" w:hAnsi="宋体" w:eastAsia="仿宋_GB2312" w:cs="宋体"/>
          <w:sz w:val="24"/>
          <w:szCs w:val="24"/>
        </w:rPr>
      </w:pPr>
      <w:r>
        <w:rPr>
          <w:rFonts w:hint="eastAsia" w:ascii="仿宋_GB2312" w:hAnsi="宋体" w:eastAsia="仿宋_GB2312" w:cs="宋体"/>
          <w:b/>
          <w:sz w:val="24"/>
          <w:szCs w:val="24"/>
        </w:rPr>
        <w:t>A</w:t>
      </w:r>
      <w:r>
        <w:rPr>
          <w:rFonts w:hint="eastAsia" w:ascii="仿宋_GB2312" w:hAnsi="宋体" w:eastAsia="仿宋_GB2312" w:cs="宋体"/>
          <w:sz w:val="24"/>
          <w:szCs w:val="24"/>
        </w:rPr>
        <w:t xml:space="preserve">.专门面向中小企业，服务全部由符合政策要求的中小企业（或小微企业）承接的，提供相应的中小企业声明函（附件5）。 </w:t>
      </w:r>
    </w:p>
    <w:p>
      <w:pPr>
        <w:widowControl/>
        <w:spacing w:line="560" w:lineRule="exact"/>
        <w:ind w:firstLine="472" w:firstLineChars="196"/>
        <w:jc w:val="left"/>
        <w:rPr>
          <w:rFonts w:ascii="仿宋_GB2312" w:hAnsi="宋体" w:eastAsia="仿宋_GB2312" w:cs="宋体"/>
          <w:sz w:val="24"/>
          <w:szCs w:val="24"/>
        </w:rPr>
      </w:pPr>
      <w:r>
        <w:rPr>
          <w:rFonts w:hint="eastAsia" w:ascii="仿宋_GB2312" w:hAnsi="宋体" w:eastAsia="仿宋_GB2312" w:cs="宋体"/>
          <w:b/>
          <w:sz w:val="24"/>
          <w:szCs w:val="24"/>
        </w:rPr>
        <w:t>B.</w:t>
      </w:r>
      <w:r>
        <w:rPr>
          <w:rFonts w:hint="eastAsia" w:ascii="仿宋_GB2312" w:hAnsi="宋体" w:eastAsia="仿宋_GB2312" w:cs="宋体"/>
          <w:sz w:val="24"/>
          <w:szCs w:val="24"/>
        </w:rPr>
        <w:t>要求以联合体形式参加的，提供联合协议（附件6）和中小企业声明函（附件5），联合协议中中小企业合同金额应当达到招标公告载明的比例；如果供应商本身提供所有标的均由中小企业承接的，</w:t>
      </w:r>
      <w:r>
        <w:rPr>
          <w:rFonts w:hint="eastAsia" w:ascii="仿宋_GB2312" w:hAnsi="宋体" w:eastAsia="仿宋_GB2312" w:cs="宋体"/>
          <w:spacing w:val="8"/>
          <w:kern w:val="0"/>
          <w:sz w:val="24"/>
          <w:szCs w:val="24"/>
        </w:rPr>
        <w:t>并相应达到了前述比例要求，</w:t>
      </w:r>
      <w:r>
        <w:rPr>
          <w:rFonts w:hint="eastAsia" w:ascii="仿宋_GB2312" w:hAnsi="宋体" w:eastAsia="仿宋_GB2312" w:cs="宋体"/>
          <w:sz w:val="24"/>
          <w:szCs w:val="24"/>
        </w:rPr>
        <w:t>视同符合了资格条件，无需再与其他中小企业组成联合体参加政府采购活动，无需提供联合协议。</w:t>
      </w:r>
    </w:p>
    <w:p>
      <w:pPr>
        <w:snapToGrid w:val="0"/>
        <w:spacing w:before="50" w:after="50" w:line="560" w:lineRule="exact"/>
        <w:ind w:firstLine="482"/>
        <w:jc w:val="left"/>
        <w:rPr>
          <w:rFonts w:ascii="仿宋_GB2312" w:hAnsi="宋体" w:eastAsia="仿宋_GB2312" w:cs="宋体"/>
          <w:sz w:val="24"/>
          <w:szCs w:val="24"/>
        </w:rPr>
      </w:pPr>
      <w:r>
        <w:rPr>
          <w:rFonts w:hint="eastAsia" w:ascii="仿宋_GB2312" w:hAnsi="宋体" w:eastAsia="仿宋_GB2312" w:cs="宋体"/>
          <w:b/>
          <w:sz w:val="24"/>
          <w:szCs w:val="24"/>
        </w:rPr>
        <w:t xml:space="preserve">    C.</w:t>
      </w:r>
      <w:r>
        <w:rPr>
          <w:rFonts w:hint="eastAsia" w:ascii="仿宋_GB2312" w:hAnsi="宋体" w:eastAsia="仿宋_GB2312" w:cs="宋体"/>
          <w:sz w:val="24"/>
          <w:szCs w:val="24"/>
        </w:rPr>
        <w:t>要求合同分包的，提供分包意向协议（附件7）和中小企业声明函（附件5），分包意向协议中中小企业合同金额应当达到招标公告载明的比例；如果供应商本身提供所有标的均由中小企业承接的，</w:t>
      </w:r>
      <w:r>
        <w:rPr>
          <w:rFonts w:hint="eastAsia" w:ascii="仿宋_GB2312" w:hAnsi="宋体" w:eastAsia="仿宋_GB2312" w:cs="宋体"/>
          <w:spacing w:val="8"/>
          <w:kern w:val="0"/>
          <w:sz w:val="24"/>
          <w:szCs w:val="24"/>
        </w:rPr>
        <w:t>并相应达到了前述比例要求，</w:t>
      </w:r>
      <w:r>
        <w:rPr>
          <w:rFonts w:hint="eastAsia" w:ascii="仿宋_GB2312" w:hAnsi="宋体" w:eastAsia="仿宋_GB2312" w:cs="宋体"/>
          <w:sz w:val="24"/>
          <w:szCs w:val="24"/>
        </w:rPr>
        <w:t>视同符合了资格条件，无需再向中小企业分包，无需提供分包意向协议。</w:t>
      </w:r>
    </w:p>
    <w:p>
      <w:pPr>
        <w:widowControl/>
        <w:spacing w:line="560" w:lineRule="exact"/>
        <w:ind w:left="479" w:firstLine="482"/>
        <w:jc w:val="center"/>
        <w:rPr>
          <w:rFonts w:ascii="仿宋_GB2312" w:hAnsi="宋体" w:eastAsia="仿宋_GB2312" w:cs="宋体"/>
          <w:b/>
          <w:kern w:val="0"/>
          <w:sz w:val="24"/>
          <w:szCs w:val="24"/>
        </w:rPr>
      </w:pPr>
    </w:p>
    <w:p>
      <w:pPr>
        <w:widowControl/>
        <w:spacing w:line="560" w:lineRule="exact"/>
        <w:ind w:firstLine="482" w:firstLineChars="200"/>
        <w:jc w:val="center"/>
        <w:rPr>
          <w:rFonts w:ascii="仿宋_GB2312" w:eastAsia="仿宋_GB2312"/>
          <w:b/>
          <w:sz w:val="24"/>
          <w:szCs w:val="24"/>
        </w:rPr>
      </w:pPr>
      <w:r>
        <w:rPr>
          <w:rFonts w:hint="eastAsia" w:ascii="仿宋_GB2312" w:hAnsi="宋体" w:eastAsia="仿宋_GB2312" w:cs="宋体"/>
          <w:b/>
          <w:kern w:val="0"/>
          <w:sz w:val="24"/>
          <w:szCs w:val="24"/>
        </w:rPr>
        <w:t>四、本项目的特定资格要求</w:t>
      </w:r>
      <w:r>
        <w:rPr>
          <w:rFonts w:hint="eastAsia" w:ascii="仿宋_GB2312" w:eastAsia="仿宋_GB2312"/>
          <w:b/>
          <w:sz w:val="24"/>
          <w:szCs w:val="24"/>
        </w:rPr>
        <w:t>（如果有）</w:t>
      </w:r>
    </w:p>
    <w:p>
      <w:pPr>
        <w:spacing w:line="560" w:lineRule="exact"/>
        <w:jc w:val="left"/>
        <w:rPr>
          <w:rFonts w:ascii="仿宋_GB2312" w:hAnsi="宋体" w:eastAsia="仿宋_GB2312" w:cs="宋体"/>
          <w:sz w:val="24"/>
          <w:szCs w:val="24"/>
        </w:rPr>
      </w:pPr>
      <w:r>
        <w:rPr>
          <w:rFonts w:hint="eastAsia" w:ascii="仿宋_GB2312" w:hAnsi="宋体" w:eastAsia="仿宋_GB2312" w:cs="宋体"/>
          <w:sz w:val="24"/>
          <w:szCs w:val="24"/>
        </w:rPr>
        <w:t>（根据招标公告本项目的特定资格要求提供相应的材料；未要求的，无需提供）</w:t>
      </w:r>
    </w:p>
    <w:p>
      <w:pPr>
        <w:spacing w:line="560" w:lineRule="exact"/>
        <w:ind w:firstLine="482"/>
        <w:contextualSpacing/>
        <w:jc w:val="center"/>
        <w:rPr>
          <w:rFonts w:ascii="仿宋_GB2312" w:eastAsia="仿宋_GB2312"/>
          <w:b/>
          <w:sz w:val="24"/>
          <w:szCs w:val="24"/>
        </w:rPr>
      </w:pPr>
    </w:p>
    <w:p>
      <w:pPr>
        <w:pStyle w:val="11"/>
      </w:pPr>
    </w:p>
    <w:p>
      <w:pPr>
        <w:pStyle w:val="11"/>
      </w:pPr>
    </w:p>
    <w:p>
      <w:pPr>
        <w:pStyle w:val="11"/>
      </w:pPr>
    </w:p>
    <w:p>
      <w:pPr>
        <w:spacing w:line="560" w:lineRule="exact"/>
        <w:ind w:firstLine="562"/>
        <w:contextualSpacing/>
        <w:jc w:val="center"/>
        <w:rPr>
          <w:rFonts w:ascii="仿宋_GB2312" w:eastAsia="仿宋_GB2312"/>
          <w:b/>
          <w:sz w:val="28"/>
          <w:szCs w:val="28"/>
        </w:rPr>
      </w:pPr>
      <w:r>
        <w:rPr>
          <w:rFonts w:hint="eastAsia" w:ascii="仿宋_GB2312" w:eastAsia="仿宋_GB2312"/>
          <w:b/>
          <w:sz w:val="28"/>
          <w:szCs w:val="28"/>
        </w:rPr>
        <w:t>商务技术文件部分</w:t>
      </w:r>
    </w:p>
    <w:p>
      <w:pPr>
        <w:spacing w:line="560" w:lineRule="exact"/>
        <w:ind w:firstLine="560"/>
        <w:contextualSpacing/>
        <w:rPr>
          <w:rFonts w:ascii="仿宋_GB2312" w:eastAsia="仿宋_GB2312"/>
          <w:sz w:val="28"/>
          <w:szCs w:val="28"/>
        </w:rPr>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目录</w:t>
      </w:r>
    </w:p>
    <w:p>
      <w:pPr>
        <w:pStyle w:val="47"/>
        <w:numPr>
          <w:ilvl w:val="0"/>
          <w:numId w:val="14"/>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投标函………………………………………………………………………（页码）</w:t>
      </w:r>
    </w:p>
    <w:p>
      <w:pPr>
        <w:pStyle w:val="47"/>
        <w:numPr>
          <w:ilvl w:val="0"/>
          <w:numId w:val="14"/>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授权委托书或法定代表人（单位负责人、自然人本人）身份证明……（页码）</w:t>
      </w:r>
    </w:p>
    <w:p>
      <w:pPr>
        <w:pStyle w:val="47"/>
        <w:numPr>
          <w:ilvl w:val="0"/>
          <w:numId w:val="14"/>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联合协议（如果有）………………………………………………………（页码）</w:t>
      </w:r>
    </w:p>
    <w:p>
      <w:pPr>
        <w:pStyle w:val="47"/>
        <w:numPr>
          <w:ilvl w:val="0"/>
          <w:numId w:val="14"/>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分包意向协议（如果有）…………………………………………………（页码）</w:t>
      </w:r>
    </w:p>
    <w:p>
      <w:pPr>
        <w:pStyle w:val="47"/>
        <w:numPr>
          <w:ilvl w:val="0"/>
          <w:numId w:val="14"/>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符合性审查资料……………………………………………………………（页码）</w:t>
      </w:r>
    </w:p>
    <w:p>
      <w:pPr>
        <w:pStyle w:val="47"/>
        <w:numPr>
          <w:ilvl w:val="0"/>
          <w:numId w:val="14"/>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拟投入的项目班子格式（如果有）………………………………………（页码）</w:t>
      </w:r>
    </w:p>
    <w:p>
      <w:pPr>
        <w:pStyle w:val="47"/>
        <w:numPr>
          <w:ilvl w:val="0"/>
          <w:numId w:val="14"/>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评标标准相应的商务技术资料……………………………………………（页码）</w:t>
      </w:r>
    </w:p>
    <w:p>
      <w:pPr>
        <w:pStyle w:val="47"/>
        <w:numPr>
          <w:ilvl w:val="0"/>
          <w:numId w:val="14"/>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投标标的清单……………………………………………………………（页码）</w:t>
      </w:r>
    </w:p>
    <w:p>
      <w:pPr>
        <w:pStyle w:val="47"/>
        <w:numPr>
          <w:ilvl w:val="0"/>
          <w:numId w:val="14"/>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商务技术偏离表……………………………………………………………（页码）</w:t>
      </w:r>
    </w:p>
    <w:p>
      <w:pPr>
        <w:pStyle w:val="47"/>
        <w:numPr>
          <w:ilvl w:val="0"/>
          <w:numId w:val="14"/>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政府采购供应商廉洁自律承诺书…………………………………………（页码）</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pStyle w:val="3"/>
        <w:rPr>
          <w:rFonts w:ascii="仿宋_GB2312" w:eastAsia="仿宋_GB2312"/>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一、投标函</w:t>
      </w:r>
    </w:p>
    <w:p>
      <w:pPr>
        <w:spacing w:line="540" w:lineRule="exact"/>
        <w:contextualSpacing/>
        <w:rPr>
          <w:rFonts w:ascii="仿宋_GB2312" w:eastAsia="仿宋_GB2312"/>
          <w:sz w:val="24"/>
          <w:szCs w:val="24"/>
        </w:rPr>
      </w:pPr>
    </w:p>
    <w:p>
      <w:pPr>
        <w:spacing w:line="4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我方参加你方组织的（项目名称）【招标编号：（采购编号）】招标的有关活动，并对此项目进行投标。为此：</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我方承诺投标有效期从提交投标文件的截止之日起</w:t>
      </w:r>
      <w:r>
        <w:rPr>
          <w:rFonts w:hint="eastAsia" w:ascii="仿宋_GB2312" w:eastAsia="仿宋_GB2312"/>
          <w:sz w:val="24"/>
          <w:szCs w:val="24"/>
          <w:u w:val="single"/>
        </w:rPr>
        <w:t xml:space="preserve">     </w:t>
      </w:r>
      <w:r>
        <w:rPr>
          <w:rFonts w:hint="eastAsia" w:ascii="仿宋_GB2312" w:eastAsia="仿宋_GB2312"/>
          <w:sz w:val="24"/>
          <w:szCs w:val="24"/>
        </w:rPr>
        <w:t>天（不少于90天），本投标文件在投标有效期满之前均具有约束力。</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1.我方的投标文件包括以下内容：</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2.1资格文件：</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2.1.1承诺函；</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2.1.2联合协议（如果有)；</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2.1.3落实政府采购政策需满足的资格要求（如果有)；</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2.2.4本项目的特定资格要求（如果有）。</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 商务技术文件：</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2.2.1投标函； </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2.2.2授权委托书或法定代表人（单位负责人）身份证明；</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2.2.3联合协议（如果有）；</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2.2.4分包意向协议（如果有）；</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2.2.5符合性审查资料；</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2.2.6拟投入的项目班子格式（如果有）；</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2.2.7评标标准相应的商务技术资料；</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2.2.8投标标的清单；</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2.2.9商务技术偏离表；</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2.2.10政府采购供应商廉洁自律承诺书。</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2.3报价文件</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2.3.1开标一览表（报价表）；</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2.3.2中小企业声明函（如果有）。</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3.我方承诺除商务技术偏离表（如果有）列出的偏离外，我方响应招标文件的全部要求。</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4.如我方中标，我方承诺：</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4.1在收到中标通知书后，在中标通知书规定的期限内与你方签订合同； </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4.2在签订合同时不向你方提出附加条件； </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4.3按照招标文件要求提交履约保证金； </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4.4在合同约定的期限内完成合同规定的全部义务。 </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5.其他补充说明:。</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 xml:space="preserve">投标人名称（电子签名）：         </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pStyle w:val="11"/>
      </w:pPr>
    </w:p>
    <w:p>
      <w:pPr>
        <w:pStyle w:val="11"/>
      </w:pPr>
    </w:p>
    <w:p>
      <w:pPr>
        <w:pStyle w:val="11"/>
      </w:pPr>
    </w:p>
    <w:p>
      <w:pPr>
        <w:pStyle w:val="11"/>
      </w:pPr>
    </w:p>
    <w:p>
      <w:pPr>
        <w:pStyle w:val="11"/>
      </w:pPr>
    </w:p>
    <w:p>
      <w:pPr>
        <w:pStyle w:val="11"/>
      </w:pPr>
    </w:p>
    <w:p>
      <w:pPr>
        <w:spacing w:line="540" w:lineRule="exact"/>
        <w:contextualSpacing/>
        <w:rPr>
          <w:rFonts w:ascii="仿宋_GB2312" w:eastAsia="仿宋_GB2312"/>
          <w:sz w:val="24"/>
          <w:szCs w:val="24"/>
        </w:rPr>
      </w:pPr>
    </w:p>
    <w:p>
      <w:pPr>
        <w:spacing w:line="540" w:lineRule="exact"/>
        <w:ind w:firstLine="562"/>
        <w:contextualSpacing/>
        <w:jc w:val="center"/>
        <w:rPr>
          <w:rFonts w:ascii="仿宋_GB2312" w:eastAsia="仿宋_GB2312"/>
          <w:b/>
          <w:sz w:val="28"/>
          <w:szCs w:val="28"/>
        </w:rPr>
      </w:pPr>
    </w:p>
    <w:p>
      <w:pPr>
        <w:spacing w:line="540" w:lineRule="exact"/>
        <w:ind w:firstLine="562"/>
        <w:contextualSpacing/>
        <w:jc w:val="center"/>
        <w:rPr>
          <w:rFonts w:ascii="仿宋_GB2312" w:eastAsia="仿宋_GB2312"/>
          <w:b/>
          <w:sz w:val="28"/>
          <w:szCs w:val="28"/>
        </w:rPr>
      </w:pPr>
    </w:p>
    <w:p>
      <w:pPr>
        <w:spacing w:line="540" w:lineRule="exact"/>
        <w:ind w:firstLine="562"/>
        <w:contextualSpacing/>
        <w:jc w:val="center"/>
        <w:rPr>
          <w:rFonts w:ascii="仿宋_GB2312" w:eastAsia="仿宋_GB2312"/>
          <w:b/>
          <w:sz w:val="28"/>
          <w:szCs w:val="28"/>
        </w:rPr>
      </w:pPr>
    </w:p>
    <w:p>
      <w:pPr>
        <w:spacing w:line="540" w:lineRule="exact"/>
        <w:ind w:firstLine="562"/>
        <w:contextualSpacing/>
        <w:jc w:val="center"/>
        <w:rPr>
          <w:rFonts w:ascii="仿宋_GB2312" w:eastAsia="仿宋_GB2312"/>
          <w:b/>
          <w:sz w:val="28"/>
          <w:szCs w:val="28"/>
        </w:rPr>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二、授权委托书或法定代表人（单位负责人、自然人本人）身份证明</w:t>
      </w:r>
    </w:p>
    <w:p>
      <w:pPr>
        <w:spacing w:line="540" w:lineRule="exact"/>
        <w:contextualSpacing/>
        <w:rPr>
          <w:rFonts w:ascii="仿宋_GB2312" w:eastAsia="仿宋_GB2312"/>
          <w:sz w:val="24"/>
          <w:szCs w:val="24"/>
        </w:rPr>
      </w:pPr>
    </w:p>
    <w:p>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授权委托书（适用于非联合体投标）</w:t>
      </w:r>
    </w:p>
    <w:p>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现委托（姓名）为我方代理人（身份证号码：，手机：），以我方名义处理</w:t>
      </w:r>
      <w:r>
        <w:rPr>
          <w:rFonts w:hint="eastAsia" w:ascii="仿宋_GB2312" w:eastAsia="仿宋_GB2312"/>
          <w:sz w:val="24"/>
          <w:szCs w:val="24"/>
          <w:u w:val="single"/>
        </w:rPr>
        <w:t>（项目名称）</w:t>
      </w:r>
      <w:r>
        <w:rPr>
          <w:rFonts w:hint="eastAsia" w:ascii="仿宋_GB2312" w:eastAsia="仿宋_GB2312"/>
          <w:sz w:val="24"/>
          <w:szCs w:val="24"/>
        </w:rPr>
        <w:t>【招标编号：</w:t>
      </w:r>
      <w:r>
        <w:rPr>
          <w:rFonts w:hint="eastAsia" w:ascii="仿宋_GB2312" w:eastAsia="仿宋_GB2312"/>
          <w:sz w:val="24"/>
          <w:szCs w:val="24"/>
          <w:u w:val="single"/>
        </w:rPr>
        <w:t>（采购编号）</w:t>
      </w:r>
      <w:r>
        <w:rPr>
          <w:rFonts w:hint="eastAsia" w:ascii="仿宋_GB2312" w:eastAsia="仿宋_GB2312"/>
          <w:sz w:val="24"/>
          <w:szCs w:val="24"/>
        </w:rPr>
        <w:t>】政府采购投标的一切事项，其法律后果由我方承担。</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委托期限：自   年   月  日起至   年   月  日止。</w:t>
      </w:r>
    </w:p>
    <w:p>
      <w:pPr>
        <w:spacing w:line="540" w:lineRule="exact"/>
        <w:ind w:firstLine="480"/>
        <w:contextualSpacing/>
        <w:rPr>
          <w:rFonts w:ascii="仿宋_GB2312" w:eastAsia="仿宋_GB2312"/>
          <w:sz w:val="24"/>
          <w:szCs w:val="24"/>
        </w:rPr>
      </w:pPr>
      <w:r>
        <w:rPr>
          <w:rFonts w:hint="eastAsia" w:ascii="仿宋_GB2312" w:eastAsia="仿宋_GB2312"/>
          <w:sz w:val="24"/>
          <w:szCs w:val="24"/>
        </w:rPr>
        <w:t>特此告知。</w:t>
      </w:r>
    </w:p>
    <w:p>
      <w:pPr>
        <w:spacing w:line="540" w:lineRule="exact"/>
        <w:ind w:firstLine="480"/>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签发日期：  年  月   日</w:t>
      </w: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授权委托书（适用于联合体投标）</w:t>
      </w:r>
    </w:p>
    <w:p>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现委托（姓名）为我方代理人（身份证号码：，手机：），以我方名义处理</w:t>
      </w:r>
      <w:r>
        <w:rPr>
          <w:rFonts w:hint="eastAsia" w:ascii="仿宋_GB2312" w:eastAsia="仿宋_GB2312"/>
          <w:sz w:val="24"/>
          <w:szCs w:val="24"/>
          <w:u w:val="single"/>
        </w:rPr>
        <w:t>（项目名称）</w:t>
      </w:r>
      <w:r>
        <w:rPr>
          <w:rFonts w:hint="eastAsia" w:ascii="仿宋_GB2312" w:eastAsia="仿宋_GB2312"/>
          <w:sz w:val="24"/>
          <w:szCs w:val="24"/>
        </w:rPr>
        <w:t>【招标编号：</w:t>
      </w:r>
      <w:r>
        <w:rPr>
          <w:rFonts w:hint="eastAsia" w:ascii="仿宋_GB2312" w:eastAsia="仿宋_GB2312"/>
          <w:sz w:val="24"/>
          <w:szCs w:val="24"/>
          <w:u w:val="single"/>
        </w:rPr>
        <w:t>（采购编号）</w:t>
      </w:r>
      <w:r>
        <w:rPr>
          <w:rFonts w:hint="eastAsia" w:ascii="仿宋_GB2312" w:eastAsia="仿宋_GB2312"/>
          <w:sz w:val="24"/>
          <w:szCs w:val="24"/>
        </w:rPr>
        <w:t>】政府采购投标的一切事项，其法律后果由我方承担。</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委托期限：自   年   月  日起至   年   月  日止。</w:t>
      </w:r>
    </w:p>
    <w:p>
      <w:pPr>
        <w:spacing w:line="540" w:lineRule="exact"/>
        <w:ind w:firstLine="480"/>
        <w:contextualSpacing/>
        <w:rPr>
          <w:rFonts w:ascii="仿宋_GB2312" w:eastAsia="仿宋_GB2312"/>
          <w:sz w:val="24"/>
          <w:szCs w:val="24"/>
        </w:rPr>
      </w:pPr>
      <w:r>
        <w:rPr>
          <w:rFonts w:hint="eastAsia" w:ascii="仿宋_GB2312" w:eastAsia="仿宋_GB2312"/>
          <w:sz w:val="24"/>
          <w:szCs w:val="24"/>
        </w:rPr>
        <w:t>特此告知。</w:t>
      </w:r>
    </w:p>
    <w:p>
      <w:pPr>
        <w:spacing w:line="540" w:lineRule="exact"/>
        <w:ind w:firstLine="480"/>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 xml:space="preserve">                                     联合体成员名称(电子签名/公章)：</w:t>
      </w:r>
    </w:p>
    <w:p>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联合体成员名称(电子签名/公章)：</w:t>
      </w:r>
    </w:p>
    <w:p>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签发日期：  年  月   日</w:t>
      </w:r>
    </w:p>
    <w:p>
      <w:pPr>
        <w:pStyle w:val="11"/>
      </w:pPr>
    </w:p>
    <w:p>
      <w:pPr>
        <w:pStyle w:val="11"/>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法定代表人、单位负责人或自然人本人的身份证明（适用于法定代表人、单位负责人或者自然人本人代表投标人参加投标）</w:t>
      </w:r>
    </w:p>
    <w:p>
      <w:pPr>
        <w:spacing w:line="540" w:lineRule="exact"/>
        <w:contextualSpacing/>
        <w:rPr>
          <w:rFonts w:ascii="仿宋_GB2312" w:eastAsia="仿宋_GB2312"/>
          <w:sz w:val="24"/>
          <w:szCs w:val="24"/>
        </w:rPr>
      </w:pPr>
      <w:r>
        <w:rPr>
          <w:rFonts w:hint="eastAsia" w:ascii="仿宋_GB2312" w:eastAsia="仿宋_GB2312"/>
          <w:sz w:val="24"/>
          <w:szCs w:val="24"/>
        </w:rPr>
        <w:t>身份证件扫描件：</w:t>
      </w:r>
    </w:p>
    <w:tbl>
      <w:tblPr>
        <w:tblStyle w:val="2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8" w:hRule="atLeast"/>
          <w:jc w:val="center"/>
        </w:trPr>
        <w:tc>
          <w:tcPr>
            <w:tcW w:w="9207" w:type="dxa"/>
          </w:tcPr>
          <w:p>
            <w:pPr>
              <w:spacing w:line="540" w:lineRule="exact"/>
              <w:contextualSpacing/>
              <w:rPr>
                <w:rFonts w:ascii="仿宋_GB2312" w:eastAsia="仿宋_GB2312"/>
                <w:sz w:val="24"/>
                <w:szCs w:val="24"/>
              </w:rPr>
            </w:pPr>
            <w:r>
              <w:rPr>
                <w:rFonts w:hint="eastAsia" w:ascii="仿宋_GB2312" w:eastAsia="仿宋_GB2312"/>
                <w:sz w:val="24"/>
                <w:szCs w:val="24"/>
              </w:rPr>
              <w:t>正面：                                 反面：</w:t>
            </w:r>
          </w:p>
          <w:p>
            <w:pPr>
              <w:spacing w:line="540" w:lineRule="exact"/>
              <w:contextualSpacing/>
              <w:rPr>
                <w:rFonts w:ascii="仿宋_GB2312" w:eastAsia="仿宋_GB2312"/>
                <w:sz w:val="24"/>
                <w:szCs w:val="24"/>
              </w:rPr>
            </w:pPr>
          </w:p>
        </w:tc>
      </w:tr>
    </w:tbl>
    <w:p>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                              </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pStyle w:val="3"/>
        <w:rPr>
          <w:rFonts w:ascii="仿宋_GB2312" w:eastAsia="仿宋_GB2312"/>
        </w:rPr>
      </w:pPr>
    </w:p>
    <w:p>
      <w:pPr>
        <w:pStyle w:val="18"/>
        <w:ind w:firstLine="883"/>
        <w:rPr>
          <w:rFonts w:ascii="仿宋_GB2312" w:eastAsia="仿宋_GB2312"/>
        </w:rPr>
      </w:pPr>
    </w:p>
    <w:p>
      <w:pPr>
        <w:pStyle w:val="3"/>
        <w:rPr>
          <w:rFonts w:ascii="仿宋_GB2312" w:eastAsia="仿宋_GB2312"/>
        </w:rPr>
      </w:pPr>
    </w:p>
    <w:p>
      <w:pPr>
        <w:widowControl/>
        <w:spacing w:line="560" w:lineRule="exact"/>
        <w:ind w:firstLine="562"/>
        <w:jc w:val="center"/>
        <w:rPr>
          <w:rFonts w:ascii="仿宋_GB2312" w:eastAsia="仿宋_GB2312"/>
          <w:b/>
          <w:sz w:val="28"/>
          <w:szCs w:val="28"/>
        </w:rPr>
      </w:pPr>
      <w:r>
        <w:rPr>
          <w:rFonts w:hint="eastAsia" w:ascii="仿宋_GB2312" w:eastAsia="仿宋_GB2312"/>
          <w:b/>
          <w:sz w:val="28"/>
          <w:szCs w:val="28"/>
        </w:rPr>
        <w:t>三、联合协议（如果有）</w:t>
      </w:r>
    </w:p>
    <w:p>
      <w:pPr>
        <w:widowControl/>
        <w:spacing w:line="560" w:lineRule="exact"/>
        <w:ind w:firstLine="562" w:firstLineChars="200"/>
        <w:jc w:val="left"/>
        <w:rPr>
          <w:rFonts w:ascii="仿宋_GB2312" w:hAnsi="宋体" w:eastAsia="仿宋_GB2312" w:cs="宋体"/>
          <w:b/>
          <w:sz w:val="28"/>
          <w:szCs w:val="28"/>
        </w:rPr>
      </w:pPr>
      <w:r>
        <w:rPr>
          <w:rFonts w:hint="eastAsia" w:ascii="仿宋_GB2312" w:hAnsi="宋体" w:eastAsia="仿宋_GB2312" w:cs="宋体"/>
          <w:b/>
          <w:sz w:val="28"/>
          <w:szCs w:val="28"/>
        </w:rPr>
        <w:t>[以联合体形式投标的，提供联合协议（附件6）；本项目不接受联合体投标或者投标人不以联合体形式投标的，则不需要提供）]</w:t>
      </w:r>
    </w:p>
    <w:p>
      <w:pPr>
        <w:pStyle w:val="18"/>
        <w:ind w:firstLine="883"/>
        <w:rPr>
          <w:rFonts w:ascii="仿宋_GB2312" w:eastAsia="仿宋_GB2312"/>
        </w:rPr>
      </w:pPr>
    </w:p>
    <w:p>
      <w:pPr>
        <w:pStyle w:val="3"/>
        <w:rPr>
          <w:rFonts w:ascii="仿宋_GB2312" w:eastAsia="仿宋_GB2312"/>
        </w:rPr>
      </w:pPr>
    </w:p>
    <w:p>
      <w:pPr>
        <w:snapToGrid w:val="0"/>
        <w:spacing w:line="360" w:lineRule="auto"/>
        <w:ind w:firstLine="562"/>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四、分包意向协议（如果有）</w:t>
      </w:r>
    </w:p>
    <w:p>
      <w:pPr>
        <w:widowControl/>
        <w:spacing w:line="360" w:lineRule="auto"/>
        <w:ind w:firstLine="560"/>
        <w:jc w:val="left"/>
        <w:rPr>
          <w:rFonts w:ascii="仿宋_GB2312" w:hAnsi="宋体" w:eastAsia="仿宋_GB2312" w:cs="宋体"/>
          <w:sz w:val="28"/>
          <w:szCs w:val="28"/>
        </w:rPr>
      </w:pPr>
      <w:r>
        <w:rPr>
          <w:rFonts w:hint="eastAsia" w:ascii="仿宋_GB2312" w:hAnsi="宋体" w:eastAsia="仿宋_GB2312" w:cs="宋体"/>
          <w:sz w:val="28"/>
          <w:szCs w:val="28"/>
        </w:rPr>
        <w:t>[</w:t>
      </w:r>
      <w:r>
        <w:rPr>
          <w:rFonts w:hint="eastAsia" w:ascii="仿宋_GB2312" w:hAnsi="宋体" w:eastAsia="仿宋_GB2312" w:cs="宋体"/>
          <w:b/>
          <w:sz w:val="28"/>
          <w:szCs w:val="28"/>
        </w:rPr>
        <w:t>中标后以分包方式履行合同的，提供分包意向协议(附件7)；采购人不同意分包或者投标人中标后不以分包方式履行合同的，则不需要提供。</w:t>
      </w:r>
      <w:r>
        <w:rPr>
          <w:rFonts w:hint="eastAsia" w:ascii="仿宋_GB2312" w:hAnsi="宋体" w:eastAsia="仿宋_GB2312" w:cs="宋体"/>
          <w:sz w:val="28"/>
          <w:szCs w:val="28"/>
        </w:rPr>
        <w:t>]</w:t>
      </w:r>
    </w:p>
    <w:p>
      <w:pPr>
        <w:spacing w:line="540" w:lineRule="exact"/>
        <w:ind w:firstLine="482"/>
        <w:contextualSpacing/>
        <w:jc w:val="center"/>
        <w:rPr>
          <w:rFonts w:ascii="仿宋_GB2312" w:eastAsia="仿宋_GB2312"/>
          <w:b/>
          <w:sz w:val="24"/>
          <w:szCs w:val="24"/>
        </w:rPr>
      </w:pPr>
    </w:p>
    <w:p>
      <w:pPr>
        <w:pStyle w:val="11"/>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五、符合性审查资料</w:t>
      </w:r>
    </w:p>
    <w:tbl>
      <w:tblPr>
        <w:tblStyle w:val="2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4991"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实质性要求</w:t>
            </w:r>
          </w:p>
        </w:tc>
        <w:tc>
          <w:tcPr>
            <w:tcW w:w="2551"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需要提供的符合性审查资料</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w:t>
            </w:r>
          </w:p>
        </w:tc>
        <w:tc>
          <w:tcPr>
            <w:tcW w:w="499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投标文件按照招标文件要求签署、盖章。</w:t>
            </w:r>
          </w:p>
        </w:tc>
        <w:tc>
          <w:tcPr>
            <w:tcW w:w="255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需要使用电子签名或者签字盖章的投标文件的组成部分</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2</w:t>
            </w:r>
          </w:p>
        </w:tc>
        <w:tc>
          <w:tcPr>
            <w:tcW w:w="499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节能产品认证证书（本项目拟采购的产品不属于政府强制采购的节能产品品目清单范围的，无需提供）</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3</w:t>
            </w:r>
          </w:p>
        </w:tc>
        <w:tc>
          <w:tcPr>
            <w:tcW w:w="499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投标文件中承诺的投标有效期不少于招标文件中载明的投标有效期。</w:t>
            </w:r>
          </w:p>
        </w:tc>
        <w:tc>
          <w:tcPr>
            <w:tcW w:w="255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投标函</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4</w:t>
            </w:r>
          </w:p>
        </w:tc>
        <w:tc>
          <w:tcPr>
            <w:tcW w:w="499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投标文件满足招标文件的其它实质性要求。</w:t>
            </w:r>
          </w:p>
        </w:tc>
        <w:tc>
          <w:tcPr>
            <w:tcW w:w="255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招标文件其它实质性要求相应的材料（“▲” 系指实质性要求条款，招标文件无其它实质性要求的，无需提供）</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见投标文件第  页</w:t>
            </w:r>
          </w:p>
        </w:tc>
      </w:tr>
    </w:tbl>
    <w:p>
      <w:pPr>
        <w:spacing w:line="540" w:lineRule="exact"/>
        <w:contextualSpacing/>
        <w:rPr>
          <w:rFonts w:ascii="仿宋_GB2312" w:eastAsia="仿宋_GB2312"/>
          <w:sz w:val="24"/>
          <w:szCs w:val="24"/>
        </w:rPr>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六、拟投入的项目班子格式（如果有）</w:t>
      </w:r>
    </w:p>
    <w:p>
      <w:pPr>
        <w:spacing w:line="540" w:lineRule="exact"/>
        <w:contextualSpacing/>
        <w:rPr>
          <w:rFonts w:ascii="仿宋_GB2312" w:eastAsia="仿宋_GB2312"/>
          <w:sz w:val="24"/>
          <w:szCs w:val="24"/>
        </w:rPr>
      </w:pPr>
      <w:r>
        <w:rPr>
          <w:rFonts w:hint="eastAsia" w:ascii="仿宋_GB2312" w:eastAsia="仿宋_GB2312"/>
          <w:sz w:val="24"/>
          <w:szCs w:val="24"/>
        </w:rPr>
        <w:t>（格式仅供参考）</w:t>
      </w:r>
    </w:p>
    <w:p>
      <w:pPr>
        <w:spacing w:line="540" w:lineRule="exact"/>
        <w:contextualSpacing/>
        <w:rPr>
          <w:rFonts w:ascii="仿宋_GB2312" w:eastAsia="仿宋_GB2312"/>
          <w:sz w:val="24"/>
          <w:szCs w:val="24"/>
        </w:rPr>
      </w:pPr>
      <w:r>
        <w:rPr>
          <w:rFonts w:hint="eastAsia" w:ascii="仿宋_GB2312" w:eastAsia="仿宋_GB2312"/>
          <w:sz w:val="24"/>
          <w:szCs w:val="24"/>
        </w:rPr>
        <w:t>项目负责人简历表</w:t>
      </w:r>
    </w:p>
    <w:tbl>
      <w:tblPr>
        <w:tblStyle w:val="24"/>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姓  名</w:t>
            </w:r>
          </w:p>
        </w:tc>
        <w:tc>
          <w:tcPr>
            <w:tcW w:w="1165" w:type="dxa"/>
            <w:gridSpan w:val="2"/>
            <w:shd w:val="clear" w:color="auto" w:fill="auto"/>
            <w:vAlign w:val="center"/>
          </w:tcPr>
          <w:p>
            <w:pPr>
              <w:spacing w:line="540" w:lineRule="exact"/>
              <w:contextualSpacing/>
              <w:rPr>
                <w:rFonts w:ascii="仿宋_GB2312" w:eastAsia="仿宋_GB2312"/>
                <w:sz w:val="24"/>
                <w:szCs w:val="24"/>
              </w:rPr>
            </w:pPr>
          </w:p>
        </w:tc>
        <w:tc>
          <w:tcPr>
            <w:tcW w:w="1155"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年  龄</w:t>
            </w:r>
          </w:p>
        </w:tc>
        <w:tc>
          <w:tcPr>
            <w:tcW w:w="1155" w:type="dxa"/>
            <w:gridSpan w:val="2"/>
            <w:shd w:val="clear" w:color="auto" w:fill="auto"/>
            <w:vAlign w:val="center"/>
          </w:tcPr>
          <w:p>
            <w:pPr>
              <w:spacing w:line="540" w:lineRule="exact"/>
              <w:contextualSpacing/>
              <w:rPr>
                <w:rFonts w:ascii="仿宋_GB2312" w:eastAsia="仿宋_GB2312"/>
                <w:sz w:val="24"/>
                <w:szCs w:val="24"/>
              </w:rPr>
            </w:pPr>
          </w:p>
        </w:tc>
        <w:tc>
          <w:tcPr>
            <w:tcW w:w="2745"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学历</w:t>
            </w:r>
          </w:p>
        </w:tc>
        <w:tc>
          <w:tcPr>
            <w:tcW w:w="1800" w:type="dxa"/>
            <w:shd w:val="clear" w:color="auto" w:fill="auto"/>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职  称</w:t>
            </w:r>
          </w:p>
        </w:tc>
        <w:tc>
          <w:tcPr>
            <w:tcW w:w="1165" w:type="dxa"/>
            <w:gridSpan w:val="2"/>
            <w:shd w:val="clear" w:color="auto" w:fill="auto"/>
            <w:vAlign w:val="center"/>
          </w:tcPr>
          <w:p>
            <w:pPr>
              <w:spacing w:line="540" w:lineRule="exact"/>
              <w:contextualSpacing/>
              <w:rPr>
                <w:rFonts w:ascii="仿宋_GB2312" w:eastAsia="仿宋_GB2312"/>
                <w:sz w:val="24"/>
                <w:szCs w:val="24"/>
              </w:rPr>
            </w:pPr>
          </w:p>
        </w:tc>
        <w:tc>
          <w:tcPr>
            <w:tcW w:w="1155"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职  务</w:t>
            </w:r>
          </w:p>
        </w:tc>
        <w:tc>
          <w:tcPr>
            <w:tcW w:w="1155" w:type="dxa"/>
            <w:gridSpan w:val="2"/>
            <w:shd w:val="clear" w:color="auto" w:fill="auto"/>
            <w:vAlign w:val="center"/>
          </w:tcPr>
          <w:p>
            <w:pPr>
              <w:spacing w:line="540" w:lineRule="exact"/>
              <w:contextualSpacing/>
              <w:rPr>
                <w:rFonts w:ascii="仿宋_GB2312" w:eastAsia="仿宋_GB2312"/>
                <w:sz w:val="24"/>
                <w:szCs w:val="24"/>
              </w:rPr>
            </w:pPr>
          </w:p>
        </w:tc>
        <w:tc>
          <w:tcPr>
            <w:tcW w:w="2745"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拟在本项目任职</w:t>
            </w:r>
          </w:p>
        </w:tc>
        <w:tc>
          <w:tcPr>
            <w:tcW w:w="1800" w:type="dxa"/>
            <w:shd w:val="clear" w:color="auto" w:fill="auto"/>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毕业院校</w:t>
            </w:r>
          </w:p>
        </w:tc>
        <w:tc>
          <w:tcPr>
            <w:tcW w:w="8020" w:type="dxa"/>
            <w:gridSpan w:val="8"/>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主要工作履历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时间</w:t>
            </w:r>
          </w:p>
        </w:tc>
        <w:tc>
          <w:tcPr>
            <w:tcW w:w="2297" w:type="dxa"/>
            <w:gridSpan w:val="3"/>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参加过类似项目</w:t>
            </w:r>
          </w:p>
        </w:tc>
        <w:tc>
          <w:tcPr>
            <w:tcW w:w="1701"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担任职务</w:t>
            </w:r>
          </w:p>
        </w:tc>
        <w:tc>
          <w:tcPr>
            <w:tcW w:w="3313"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业主及联系电话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pPr>
              <w:spacing w:line="540" w:lineRule="exact"/>
              <w:contextualSpacing/>
              <w:rPr>
                <w:rFonts w:ascii="仿宋_GB2312" w:eastAsia="仿宋_GB2312"/>
                <w:sz w:val="24"/>
                <w:szCs w:val="24"/>
              </w:rPr>
            </w:pPr>
          </w:p>
        </w:tc>
        <w:tc>
          <w:tcPr>
            <w:tcW w:w="2297" w:type="dxa"/>
            <w:gridSpan w:val="3"/>
            <w:shd w:val="clear" w:color="auto" w:fill="auto"/>
            <w:vAlign w:val="center"/>
          </w:tcPr>
          <w:p>
            <w:pPr>
              <w:spacing w:line="540" w:lineRule="exact"/>
              <w:contextualSpacing/>
              <w:rPr>
                <w:rFonts w:ascii="仿宋_GB2312" w:eastAsia="仿宋_GB2312"/>
                <w:sz w:val="24"/>
                <w:szCs w:val="24"/>
              </w:rPr>
            </w:pPr>
          </w:p>
        </w:tc>
        <w:tc>
          <w:tcPr>
            <w:tcW w:w="1701" w:type="dxa"/>
            <w:gridSpan w:val="2"/>
            <w:shd w:val="clear" w:color="auto" w:fill="auto"/>
            <w:vAlign w:val="center"/>
          </w:tcPr>
          <w:p>
            <w:pPr>
              <w:spacing w:line="540" w:lineRule="exact"/>
              <w:contextualSpacing/>
              <w:rPr>
                <w:rFonts w:ascii="仿宋_GB2312" w:eastAsia="仿宋_GB2312"/>
                <w:sz w:val="24"/>
                <w:szCs w:val="24"/>
              </w:rPr>
            </w:pPr>
          </w:p>
        </w:tc>
        <w:tc>
          <w:tcPr>
            <w:tcW w:w="3313" w:type="dxa"/>
            <w:gridSpan w:val="2"/>
            <w:shd w:val="clear" w:color="auto" w:fill="auto"/>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2297" w:type="dxa"/>
            <w:gridSpan w:val="3"/>
            <w:shd w:val="clear" w:color="auto" w:fill="auto"/>
            <w:vAlign w:val="center"/>
          </w:tcPr>
          <w:p>
            <w:pPr>
              <w:spacing w:line="540" w:lineRule="exact"/>
              <w:contextualSpacing/>
              <w:rPr>
                <w:rFonts w:ascii="仿宋_GB2312" w:eastAsia="仿宋_GB2312"/>
                <w:sz w:val="24"/>
                <w:szCs w:val="24"/>
              </w:rPr>
            </w:pPr>
          </w:p>
        </w:tc>
        <w:tc>
          <w:tcPr>
            <w:tcW w:w="1701" w:type="dxa"/>
            <w:gridSpan w:val="2"/>
            <w:shd w:val="clear" w:color="auto" w:fill="auto"/>
            <w:vAlign w:val="center"/>
          </w:tcPr>
          <w:p>
            <w:pPr>
              <w:spacing w:line="540" w:lineRule="exact"/>
              <w:contextualSpacing/>
              <w:rPr>
                <w:rFonts w:ascii="仿宋_GB2312" w:eastAsia="仿宋_GB2312"/>
                <w:sz w:val="24"/>
                <w:szCs w:val="24"/>
              </w:rPr>
            </w:pPr>
          </w:p>
        </w:tc>
        <w:tc>
          <w:tcPr>
            <w:tcW w:w="3313" w:type="dxa"/>
            <w:gridSpan w:val="2"/>
            <w:shd w:val="clear" w:color="auto" w:fill="auto"/>
            <w:vAlign w:val="center"/>
          </w:tcPr>
          <w:p>
            <w:pPr>
              <w:spacing w:line="540" w:lineRule="exact"/>
              <w:contextualSpacing/>
              <w:rPr>
                <w:rFonts w:ascii="仿宋_GB2312" w:eastAsia="仿宋_GB2312"/>
                <w:sz w:val="24"/>
                <w:szCs w:val="24"/>
              </w:rPr>
            </w:pPr>
          </w:p>
        </w:tc>
      </w:tr>
    </w:tbl>
    <w:p>
      <w:pPr>
        <w:spacing w:line="540" w:lineRule="exact"/>
        <w:contextualSpacing/>
        <w:rPr>
          <w:rFonts w:ascii="仿宋_GB2312" w:eastAsia="仿宋_GB2312"/>
          <w:sz w:val="24"/>
          <w:szCs w:val="24"/>
        </w:rPr>
      </w:pPr>
      <w:r>
        <w:rPr>
          <w:rFonts w:hint="eastAsia" w:ascii="仿宋_GB2312" w:eastAsia="仿宋_GB2312"/>
          <w:sz w:val="24"/>
          <w:szCs w:val="24"/>
        </w:rPr>
        <w:t>附：执业资格证书、职称证书、学历证书等证明材料</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项目班子一览表</w:t>
      </w:r>
    </w:p>
    <w:tbl>
      <w:tblPr>
        <w:tblStyle w:val="2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姓名</w:t>
            </w:r>
          </w:p>
        </w:tc>
        <w:tc>
          <w:tcPr>
            <w:tcW w:w="1418"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职务</w:t>
            </w:r>
          </w:p>
        </w:tc>
        <w:tc>
          <w:tcPr>
            <w:tcW w:w="1984"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专业技术资格</w:t>
            </w:r>
          </w:p>
        </w:tc>
        <w:tc>
          <w:tcPr>
            <w:tcW w:w="1843"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证书编号</w:t>
            </w:r>
          </w:p>
        </w:tc>
        <w:tc>
          <w:tcPr>
            <w:tcW w:w="2755"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实施经验说明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pPr>
              <w:spacing w:line="540" w:lineRule="exact"/>
              <w:contextualSpacing/>
              <w:rPr>
                <w:rFonts w:ascii="仿宋_GB2312" w:eastAsia="仿宋_GB2312"/>
                <w:sz w:val="24"/>
                <w:szCs w:val="24"/>
              </w:rPr>
            </w:pPr>
          </w:p>
        </w:tc>
        <w:tc>
          <w:tcPr>
            <w:tcW w:w="1418" w:type="dxa"/>
            <w:shd w:val="clear" w:color="auto" w:fill="auto"/>
            <w:vAlign w:val="center"/>
          </w:tcPr>
          <w:p>
            <w:pPr>
              <w:spacing w:line="540" w:lineRule="exact"/>
              <w:contextualSpacing/>
              <w:rPr>
                <w:rFonts w:ascii="仿宋_GB2312" w:eastAsia="仿宋_GB2312"/>
                <w:sz w:val="24"/>
                <w:szCs w:val="24"/>
              </w:rPr>
            </w:pPr>
          </w:p>
        </w:tc>
        <w:tc>
          <w:tcPr>
            <w:tcW w:w="1984" w:type="dxa"/>
            <w:shd w:val="clear" w:color="auto" w:fill="auto"/>
            <w:vAlign w:val="center"/>
          </w:tcPr>
          <w:p>
            <w:pPr>
              <w:spacing w:line="540" w:lineRule="exact"/>
              <w:contextualSpacing/>
              <w:rPr>
                <w:rFonts w:ascii="仿宋_GB2312" w:eastAsia="仿宋_GB2312"/>
                <w:sz w:val="24"/>
                <w:szCs w:val="24"/>
              </w:rPr>
            </w:pPr>
          </w:p>
        </w:tc>
        <w:tc>
          <w:tcPr>
            <w:tcW w:w="1843" w:type="dxa"/>
            <w:shd w:val="clear" w:color="auto" w:fill="auto"/>
            <w:vAlign w:val="center"/>
          </w:tcPr>
          <w:p>
            <w:pPr>
              <w:spacing w:line="540" w:lineRule="exact"/>
              <w:contextualSpacing/>
              <w:rPr>
                <w:rFonts w:ascii="仿宋_GB2312" w:eastAsia="仿宋_GB2312"/>
                <w:sz w:val="24"/>
                <w:szCs w:val="24"/>
              </w:rPr>
            </w:pPr>
          </w:p>
        </w:tc>
        <w:tc>
          <w:tcPr>
            <w:tcW w:w="2755" w:type="dxa"/>
            <w:shd w:val="clear" w:color="auto" w:fill="auto"/>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1418" w:type="dxa"/>
            <w:shd w:val="clear" w:color="auto" w:fill="auto"/>
            <w:vAlign w:val="center"/>
          </w:tcPr>
          <w:p>
            <w:pPr>
              <w:spacing w:line="540" w:lineRule="exact"/>
              <w:contextualSpacing/>
              <w:rPr>
                <w:rFonts w:ascii="仿宋_GB2312" w:eastAsia="仿宋_GB2312"/>
                <w:sz w:val="24"/>
                <w:szCs w:val="24"/>
              </w:rPr>
            </w:pPr>
          </w:p>
        </w:tc>
        <w:tc>
          <w:tcPr>
            <w:tcW w:w="1984" w:type="dxa"/>
            <w:shd w:val="clear" w:color="auto" w:fill="auto"/>
            <w:vAlign w:val="center"/>
          </w:tcPr>
          <w:p>
            <w:pPr>
              <w:spacing w:line="540" w:lineRule="exact"/>
              <w:contextualSpacing/>
              <w:rPr>
                <w:rFonts w:ascii="仿宋_GB2312" w:eastAsia="仿宋_GB2312"/>
                <w:sz w:val="24"/>
                <w:szCs w:val="24"/>
              </w:rPr>
            </w:pPr>
          </w:p>
        </w:tc>
        <w:tc>
          <w:tcPr>
            <w:tcW w:w="1843" w:type="dxa"/>
            <w:shd w:val="clear" w:color="auto" w:fill="auto"/>
            <w:vAlign w:val="center"/>
          </w:tcPr>
          <w:p>
            <w:pPr>
              <w:spacing w:line="540" w:lineRule="exact"/>
              <w:contextualSpacing/>
              <w:rPr>
                <w:rFonts w:ascii="仿宋_GB2312" w:eastAsia="仿宋_GB2312"/>
                <w:sz w:val="24"/>
                <w:szCs w:val="24"/>
              </w:rPr>
            </w:pPr>
          </w:p>
        </w:tc>
        <w:tc>
          <w:tcPr>
            <w:tcW w:w="2755" w:type="dxa"/>
            <w:shd w:val="clear" w:color="auto" w:fill="auto"/>
            <w:vAlign w:val="center"/>
          </w:tcPr>
          <w:p>
            <w:pPr>
              <w:spacing w:line="540" w:lineRule="exact"/>
              <w:contextualSpacing/>
              <w:rPr>
                <w:rFonts w:ascii="仿宋_GB2312" w:eastAsia="仿宋_GB2312"/>
                <w:sz w:val="24"/>
                <w:szCs w:val="24"/>
              </w:rPr>
            </w:pPr>
          </w:p>
        </w:tc>
      </w:tr>
    </w:tbl>
    <w:p>
      <w:pPr>
        <w:spacing w:line="540" w:lineRule="exact"/>
        <w:contextualSpacing/>
        <w:rPr>
          <w:rFonts w:ascii="仿宋_GB2312" w:eastAsia="仿宋_GB2312"/>
          <w:sz w:val="24"/>
          <w:szCs w:val="24"/>
        </w:rPr>
      </w:pPr>
      <w:r>
        <w:rPr>
          <w:rFonts w:hint="eastAsia" w:ascii="仿宋_GB2312" w:eastAsia="仿宋_GB2312"/>
          <w:sz w:val="24"/>
          <w:szCs w:val="24"/>
        </w:rPr>
        <w:t>附：相关人员的专业技术资格证书证明材料</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投标人名称(电子签名)：            </w:t>
      </w:r>
    </w:p>
    <w:p>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日      期：            </w:t>
      </w:r>
    </w:p>
    <w:p>
      <w:pPr>
        <w:spacing w:line="540" w:lineRule="exact"/>
        <w:ind w:firstLine="482"/>
        <w:contextualSpacing/>
        <w:jc w:val="center"/>
        <w:rPr>
          <w:rFonts w:ascii="仿宋_GB2312" w:eastAsia="仿宋_GB2312"/>
          <w:b/>
          <w:sz w:val="24"/>
          <w:szCs w:val="24"/>
        </w:rPr>
      </w:pPr>
    </w:p>
    <w:p>
      <w:pPr>
        <w:spacing w:line="540" w:lineRule="exact"/>
        <w:ind w:firstLine="562"/>
        <w:contextualSpacing/>
        <w:jc w:val="center"/>
        <w:rPr>
          <w:rFonts w:ascii="仿宋_GB2312" w:eastAsia="仿宋_GB2312"/>
          <w:b/>
          <w:sz w:val="28"/>
          <w:szCs w:val="28"/>
        </w:rPr>
      </w:pPr>
    </w:p>
    <w:p>
      <w:pPr>
        <w:pStyle w:val="11"/>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七、评标标准相应的商务技术资料</w:t>
      </w:r>
    </w:p>
    <w:p>
      <w:pPr>
        <w:spacing w:line="540" w:lineRule="exact"/>
        <w:ind w:firstLine="482"/>
        <w:contextualSpacing/>
        <w:rPr>
          <w:rFonts w:ascii="仿宋_GB2312" w:eastAsia="仿宋_GB2312"/>
          <w:b/>
          <w:sz w:val="24"/>
          <w:szCs w:val="24"/>
        </w:rPr>
      </w:pPr>
      <w:r>
        <w:rPr>
          <w:rFonts w:hint="eastAsia" w:ascii="仿宋_GB2312" w:eastAsia="仿宋_GB2312"/>
          <w:b/>
          <w:sz w:val="24"/>
          <w:szCs w:val="24"/>
        </w:rPr>
        <w:t>（按招标文件第四部分评标办法前附表中“投标文件中评标标准相应的商务技术资料目录”提供资料）</w:t>
      </w:r>
    </w:p>
    <w:p>
      <w:pPr>
        <w:ind w:firstLine="2891" w:firstLineChars="900"/>
        <w:rPr>
          <w:rFonts w:ascii="仿宋_GB2312" w:hAnsi="宋体" w:eastAsia="仿宋_GB2312" w:cs="宋体"/>
          <w:b/>
          <w:kern w:val="0"/>
          <w:sz w:val="32"/>
          <w:szCs w:val="32"/>
        </w:rPr>
      </w:pPr>
    </w:p>
    <w:p>
      <w:pPr>
        <w:ind w:firstLine="643"/>
        <w:rPr>
          <w:rFonts w:ascii="仿宋_GB2312" w:hAnsi="宋体" w:eastAsia="仿宋_GB2312" w:cs="宋体"/>
          <w:b/>
          <w:kern w:val="0"/>
          <w:sz w:val="32"/>
          <w:szCs w:val="32"/>
        </w:rPr>
      </w:pPr>
    </w:p>
    <w:p>
      <w:pPr>
        <w:ind w:firstLine="562"/>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八、投标标的清单</w:t>
      </w:r>
    </w:p>
    <w:tbl>
      <w:tblPr>
        <w:tblStyle w:val="24"/>
        <w:tblW w:w="91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2126"/>
        <w:gridCol w:w="851"/>
        <w:gridCol w:w="1701"/>
        <w:gridCol w:w="992"/>
        <w:gridCol w:w="1134"/>
        <w:gridCol w:w="851"/>
        <w:gridCol w:w="6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产品名称</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品牌</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数量</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产地</w:t>
            </w:r>
          </w:p>
        </w:tc>
        <w:tc>
          <w:tcPr>
            <w:tcW w:w="6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6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851" w:type="dxa"/>
            <w:tcBorders>
              <w:top w:val="single" w:color="auto" w:sz="4" w:space="0"/>
              <w:left w:val="single" w:color="auto" w:sz="4" w:space="0"/>
              <w:bottom w:val="nil"/>
              <w:right w:val="single" w:color="auto" w:sz="4" w:space="0"/>
            </w:tcBorders>
            <w:vAlign w:val="center"/>
          </w:tcPr>
          <w:p>
            <w:pPr>
              <w:snapToGrid w:val="0"/>
              <w:jc w:val="center"/>
              <w:rPr>
                <w:rFonts w:ascii="仿宋_GB2312" w:hAnsi="宋体" w:eastAsia="仿宋_GB2312"/>
                <w:sz w:val="24"/>
                <w:szCs w:val="24"/>
              </w:rPr>
            </w:pPr>
          </w:p>
        </w:tc>
        <w:tc>
          <w:tcPr>
            <w:tcW w:w="699" w:type="dxa"/>
            <w:tcBorders>
              <w:top w:val="single" w:color="auto" w:sz="4" w:space="0"/>
              <w:left w:val="single" w:color="auto" w:sz="4" w:space="0"/>
              <w:bottom w:val="nil"/>
              <w:right w:val="single" w:color="auto" w:sz="4" w:space="0"/>
            </w:tcBorders>
            <w:vAlign w:val="center"/>
          </w:tcPr>
          <w:p>
            <w:pPr>
              <w:snapToGrid w:val="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hAnsi="宋体" w:eastAsia="仿宋_GB2312"/>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hAnsi="宋体" w:eastAsia="仿宋_GB2312"/>
                <w:sz w:val="24"/>
                <w:szCs w:val="24"/>
              </w:rPr>
              <w:t>…</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hAnsi="宋体" w:eastAsia="仿宋_GB2312"/>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hAnsi="宋体" w:eastAsia="仿宋_GB2312"/>
                <w:sz w:val="24"/>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hAnsi="宋体" w:eastAsia="仿宋_GB2312"/>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hAnsi="宋体" w:eastAsia="仿宋_GB2312"/>
                <w:sz w:val="24"/>
                <w:szCs w:val="24"/>
              </w:rPr>
              <w:t>…</w:t>
            </w:r>
          </w:p>
        </w:tc>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r>
    </w:tbl>
    <w:p>
      <w:pPr>
        <w:autoSpaceDE w:val="0"/>
        <w:autoSpaceDN w:val="0"/>
        <w:spacing w:line="360" w:lineRule="auto"/>
        <w:rPr>
          <w:rFonts w:ascii="仿宋_GB2312" w:hAnsi="仿宋" w:eastAsia="仿宋_GB2312" w:cs="仿宋_GB2312"/>
          <w:b/>
          <w:kern w:val="0"/>
          <w:sz w:val="28"/>
          <w:szCs w:val="28"/>
        </w:rPr>
      </w:pPr>
      <w:r>
        <w:rPr>
          <w:rFonts w:hint="eastAsia" w:ascii="仿宋_GB2312" w:hAnsi="仿宋" w:eastAsia="仿宋_GB2312" w:cs="仿宋_GB2312"/>
          <w:b/>
          <w:sz w:val="24"/>
        </w:rPr>
        <w:t>注：如果本项目涉及硬件设备采购，须在技术文件中提供此配置清单</w:t>
      </w:r>
      <w:r>
        <w:rPr>
          <w:rFonts w:hint="eastAsia" w:ascii="仿宋_GB2312" w:hAnsi="仿宋" w:eastAsia="仿宋_GB2312" w:cs="仿宋_GB2312"/>
          <w:b/>
          <w:sz w:val="28"/>
          <w:szCs w:val="28"/>
        </w:rPr>
        <w:t>。</w:t>
      </w:r>
    </w:p>
    <w:p>
      <w:pPr>
        <w:ind w:firstLine="562"/>
        <w:jc w:val="center"/>
        <w:rPr>
          <w:rFonts w:ascii="仿宋_GB2312" w:eastAsia="仿宋_GB2312"/>
          <w:sz w:val="24"/>
          <w:szCs w:val="24"/>
        </w:rPr>
      </w:pPr>
    </w:p>
    <w:p>
      <w:pPr>
        <w:pStyle w:val="11"/>
      </w:pPr>
    </w:p>
    <w:p>
      <w:pPr>
        <w:pStyle w:val="11"/>
      </w:pPr>
    </w:p>
    <w:p>
      <w:pPr>
        <w:pStyle w:val="11"/>
      </w:pPr>
    </w:p>
    <w:p>
      <w:pPr>
        <w:ind w:firstLine="562"/>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九、商务技术偏离表</w:t>
      </w:r>
    </w:p>
    <w:tbl>
      <w:tblPr>
        <w:tblStyle w:val="25"/>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562"/>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序号</w:t>
            </w:r>
          </w:p>
        </w:tc>
        <w:tc>
          <w:tcPr>
            <w:tcW w:w="3683" w:type="dxa"/>
          </w:tcPr>
          <w:p>
            <w:pPr>
              <w:ind w:firstLine="562"/>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招标文件章节及具体内容</w:t>
            </w:r>
          </w:p>
        </w:tc>
        <w:tc>
          <w:tcPr>
            <w:tcW w:w="3546" w:type="dxa"/>
          </w:tcPr>
          <w:p>
            <w:pPr>
              <w:ind w:firstLine="562"/>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投标文件章节及具体内容</w:t>
            </w:r>
          </w:p>
        </w:tc>
        <w:tc>
          <w:tcPr>
            <w:tcW w:w="1512" w:type="dxa"/>
          </w:tcPr>
          <w:p>
            <w:pPr>
              <w:ind w:firstLine="562"/>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56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3683" w:type="dxa"/>
          </w:tcPr>
          <w:p>
            <w:pPr>
              <w:ind w:firstLine="562"/>
              <w:jc w:val="center"/>
              <w:rPr>
                <w:rFonts w:ascii="仿宋_GB2312" w:hAnsi="宋体" w:eastAsia="仿宋_GB2312" w:cs="宋体"/>
                <w:b/>
                <w:kern w:val="0"/>
                <w:sz w:val="28"/>
                <w:szCs w:val="28"/>
              </w:rPr>
            </w:pPr>
          </w:p>
        </w:tc>
        <w:tc>
          <w:tcPr>
            <w:tcW w:w="3546" w:type="dxa"/>
          </w:tcPr>
          <w:p>
            <w:pPr>
              <w:ind w:firstLine="562"/>
              <w:jc w:val="center"/>
              <w:rPr>
                <w:rFonts w:ascii="仿宋_GB2312" w:hAnsi="宋体" w:eastAsia="仿宋_GB2312" w:cs="宋体"/>
                <w:b/>
                <w:kern w:val="0"/>
                <w:sz w:val="28"/>
                <w:szCs w:val="28"/>
              </w:rPr>
            </w:pPr>
          </w:p>
        </w:tc>
        <w:tc>
          <w:tcPr>
            <w:tcW w:w="1512" w:type="dxa"/>
          </w:tcPr>
          <w:p>
            <w:pPr>
              <w:ind w:firstLine="562"/>
              <w:jc w:val="center"/>
              <w:rPr>
                <w:rFonts w:ascii="仿宋_GB2312" w:hAnsi="宋体" w:eastAsia="仿宋_GB2312"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56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3683" w:type="dxa"/>
          </w:tcPr>
          <w:p>
            <w:pPr>
              <w:ind w:firstLine="562"/>
              <w:jc w:val="center"/>
              <w:rPr>
                <w:rFonts w:ascii="仿宋_GB2312" w:hAnsi="宋体" w:eastAsia="仿宋_GB2312" w:cs="宋体"/>
                <w:b/>
                <w:kern w:val="0"/>
                <w:sz w:val="28"/>
                <w:szCs w:val="28"/>
              </w:rPr>
            </w:pPr>
          </w:p>
        </w:tc>
        <w:tc>
          <w:tcPr>
            <w:tcW w:w="3546" w:type="dxa"/>
          </w:tcPr>
          <w:p>
            <w:pPr>
              <w:ind w:firstLine="562"/>
              <w:jc w:val="center"/>
              <w:rPr>
                <w:rFonts w:ascii="仿宋_GB2312" w:hAnsi="宋体" w:eastAsia="仿宋_GB2312" w:cs="宋体"/>
                <w:b/>
                <w:kern w:val="0"/>
                <w:sz w:val="28"/>
                <w:szCs w:val="28"/>
              </w:rPr>
            </w:pPr>
          </w:p>
        </w:tc>
        <w:tc>
          <w:tcPr>
            <w:tcW w:w="1512" w:type="dxa"/>
          </w:tcPr>
          <w:p>
            <w:pPr>
              <w:ind w:firstLine="562"/>
              <w:jc w:val="center"/>
              <w:rPr>
                <w:rFonts w:ascii="仿宋_GB2312" w:hAnsi="宋体" w:eastAsia="仿宋_GB2312"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56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w:t>
            </w:r>
          </w:p>
        </w:tc>
        <w:tc>
          <w:tcPr>
            <w:tcW w:w="3683" w:type="dxa"/>
          </w:tcPr>
          <w:p>
            <w:pPr>
              <w:ind w:firstLine="562"/>
              <w:jc w:val="center"/>
              <w:rPr>
                <w:rFonts w:ascii="仿宋_GB2312" w:hAnsi="宋体" w:eastAsia="仿宋_GB2312" w:cs="宋体"/>
                <w:b/>
                <w:kern w:val="0"/>
                <w:sz w:val="28"/>
                <w:szCs w:val="28"/>
              </w:rPr>
            </w:pPr>
          </w:p>
        </w:tc>
        <w:tc>
          <w:tcPr>
            <w:tcW w:w="3546" w:type="dxa"/>
          </w:tcPr>
          <w:p>
            <w:pPr>
              <w:ind w:firstLine="562"/>
              <w:jc w:val="center"/>
              <w:rPr>
                <w:rFonts w:ascii="仿宋_GB2312" w:hAnsi="宋体" w:eastAsia="仿宋_GB2312" w:cs="宋体"/>
                <w:b/>
                <w:kern w:val="0"/>
                <w:sz w:val="28"/>
                <w:szCs w:val="28"/>
              </w:rPr>
            </w:pPr>
          </w:p>
        </w:tc>
        <w:tc>
          <w:tcPr>
            <w:tcW w:w="1512" w:type="dxa"/>
          </w:tcPr>
          <w:p>
            <w:pPr>
              <w:ind w:firstLine="562"/>
              <w:jc w:val="center"/>
              <w:rPr>
                <w:rFonts w:ascii="仿宋_GB2312" w:hAnsi="宋体" w:eastAsia="仿宋_GB2312" w:cs="宋体"/>
                <w:b/>
                <w:kern w:val="0"/>
                <w:sz w:val="28"/>
                <w:szCs w:val="28"/>
              </w:rPr>
            </w:pPr>
          </w:p>
        </w:tc>
      </w:tr>
    </w:tbl>
    <w:p>
      <w:pPr>
        <w:ind w:firstLine="56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投标人保证：除商务技术偏离表列出的偏离外，投标人响应招标文件的全部要求</w:t>
      </w:r>
    </w:p>
    <w:p>
      <w:pPr>
        <w:ind w:firstLine="562"/>
        <w:jc w:val="center"/>
        <w:rPr>
          <w:rFonts w:ascii="仿宋_GB2312" w:hAnsi="宋体" w:eastAsia="仿宋_GB2312" w:cs="宋体"/>
          <w:b/>
          <w:kern w:val="0"/>
          <w:sz w:val="28"/>
          <w:szCs w:val="28"/>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pStyle w:val="11"/>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十、政府采购供应商廉洁自律承诺书</w:t>
      </w:r>
    </w:p>
    <w:p>
      <w:pPr>
        <w:spacing w:line="540" w:lineRule="exact"/>
        <w:contextualSpacing/>
        <w:rPr>
          <w:rFonts w:ascii="仿宋_GB2312" w:eastAsia="仿宋_GB2312"/>
          <w:sz w:val="24"/>
          <w:szCs w:val="24"/>
        </w:rPr>
      </w:pPr>
    </w:p>
    <w:p>
      <w:pPr>
        <w:spacing w:line="50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我单位响应你单位项目招标要求参加投标。在这次投标过程中和中标后，我们将严格遵守国家法律法规要求，并郑重承诺：</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一、不向项目有关人员及部门赠送礼金礼物、有价证券、回扣以及中介费、介绍费、咨询费等好处费； </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二、不为项目有关人员及部门报销应由你方单位或个人支付的费用； </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三、不向项目有关人员及部门提供有可能影响公正的宴请和健身娱乐等活动； </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四、不为项目有关人员及部门出国（境）、旅游等提供方便；</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五、不为项目有关人员个人装修住房、婚丧嫁娶、配偶子女工作安排等提供好处；</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六、严格遵守《中华人民共和国政府采购法》《中华人民共和国招标投标法》《中华人民共和国民法典》等法律法规，诚实守信，合法经营，坚决抵制各种违法违纪行为。 </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spacing w:line="500" w:lineRule="exact"/>
        <w:contextualSpacing/>
        <w:rPr>
          <w:rFonts w:ascii="仿宋_GB2312" w:eastAsia="仿宋_GB2312"/>
          <w:sz w:val="24"/>
          <w:szCs w:val="24"/>
        </w:rPr>
      </w:pPr>
    </w:p>
    <w:p>
      <w:pPr>
        <w:pStyle w:val="3"/>
        <w:rPr>
          <w:rFonts w:ascii="仿宋_GB2312" w:eastAsia="仿宋_GB2312"/>
        </w:rPr>
      </w:pPr>
    </w:p>
    <w:p>
      <w:pPr>
        <w:spacing w:line="500" w:lineRule="exact"/>
        <w:ind w:firstLine="4560" w:firstLineChars="1900"/>
        <w:contextualSpacing/>
        <w:rPr>
          <w:rFonts w:ascii="仿宋_GB2312" w:eastAsia="仿宋_GB2312"/>
          <w:sz w:val="24"/>
          <w:szCs w:val="24"/>
        </w:rPr>
      </w:pPr>
      <w:r>
        <w:rPr>
          <w:rFonts w:hint="eastAsia" w:ascii="仿宋_GB2312" w:eastAsia="仿宋_GB2312"/>
          <w:sz w:val="24"/>
          <w:szCs w:val="24"/>
        </w:rPr>
        <w:t xml:space="preserve">投标人名称（电子签名）：                                                                                                                                                                                                               </w:t>
      </w:r>
    </w:p>
    <w:p>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pPr>
        <w:spacing w:line="540" w:lineRule="exact"/>
        <w:contextualSpacing/>
        <w:rPr>
          <w:rFonts w:ascii="仿宋_GB2312" w:eastAsia="仿宋_GB2312"/>
          <w:sz w:val="24"/>
          <w:szCs w:val="24"/>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报价文件部分</w:t>
      </w:r>
    </w:p>
    <w:p>
      <w:pPr>
        <w:spacing w:line="540" w:lineRule="exact"/>
        <w:contextualSpacing/>
        <w:rPr>
          <w:rFonts w:ascii="仿宋_GB2312" w:eastAsia="仿宋_GB2312"/>
          <w:sz w:val="24"/>
          <w:szCs w:val="24"/>
        </w:rPr>
      </w:pPr>
    </w:p>
    <w:p>
      <w:pPr>
        <w:numPr>
          <w:ilvl w:val="0"/>
          <w:numId w:val="15"/>
        </w:numPr>
        <w:spacing w:line="540" w:lineRule="exact"/>
        <w:contextualSpacing/>
        <w:rPr>
          <w:rFonts w:ascii="仿宋_GB2312" w:eastAsia="仿宋_GB2312"/>
          <w:sz w:val="24"/>
          <w:szCs w:val="24"/>
        </w:rPr>
      </w:pPr>
      <w:r>
        <w:rPr>
          <w:rFonts w:hint="eastAsia" w:ascii="仿宋_GB2312" w:eastAsia="仿宋_GB2312"/>
          <w:sz w:val="24"/>
          <w:szCs w:val="24"/>
        </w:rPr>
        <w:t>开标一览表（报价表）………………………………………………………（页码）</w:t>
      </w:r>
    </w:p>
    <w:p>
      <w:pPr>
        <w:pStyle w:val="3"/>
        <w:numPr>
          <w:ilvl w:val="0"/>
          <w:numId w:val="15"/>
        </w:numPr>
        <w:rPr>
          <w:rFonts w:ascii="仿宋_GB2312" w:eastAsia="仿宋_GB2312"/>
          <w:sz w:val="24"/>
          <w:szCs w:val="24"/>
        </w:rPr>
      </w:pPr>
      <w:r>
        <w:rPr>
          <w:rFonts w:hint="eastAsia" w:ascii="仿宋_GB2312" w:eastAsia="仿宋_GB2312"/>
          <w:sz w:val="24"/>
          <w:szCs w:val="24"/>
        </w:rPr>
        <w:t>中小企业声明函（如果有）…………………………………………………（页码）</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一、开标一览表（报价表）</w:t>
      </w:r>
    </w:p>
    <w:p>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按你方招标文件要求，我们，本投标文件签字方，谨此向你方发出要约如下：如你方接受本投标，我方承诺按照如下开标一览表（报价表）的价格完成（项目名称）【招标编号：（采购编号）】的实施。</w:t>
      </w:r>
    </w:p>
    <w:p>
      <w:pPr>
        <w:spacing w:line="540" w:lineRule="exact"/>
        <w:contextualSpacing/>
        <w:jc w:val="center"/>
        <w:rPr>
          <w:rFonts w:ascii="仿宋_GB2312" w:eastAsia="仿宋_GB2312"/>
          <w:sz w:val="24"/>
          <w:szCs w:val="24"/>
        </w:rPr>
      </w:pPr>
      <w:r>
        <w:rPr>
          <w:rFonts w:hint="eastAsia" w:ascii="仿宋_GB2312" w:eastAsia="仿宋_GB2312"/>
          <w:sz w:val="24"/>
          <w:szCs w:val="24"/>
        </w:rPr>
        <w:t>开标一览表（报价表）(单位均为人民币元)</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61"/>
        <w:gridCol w:w="1134"/>
        <w:gridCol w:w="1418"/>
        <w:gridCol w:w="1134"/>
        <w:gridCol w:w="850"/>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90" w:type="dxa"/>
            <w:vAlign w:val="center"/>
          </w:tcPr>
          <w:p>
            <w:pPr>
              <w:spacing w:line="36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1361" w:type="dxa"/>
            <w:vAlign w:val="center"/>
          </w:tcPr>
          <w:p>
            <w:pPr>
              <w:spacing w:line="360" w:lineRule="exact"/>
              <w:contextualSpacing/>
              <w:jc w:val="center"/>
              <w:rPr>
                <w:rFonts w:ascii="仿宋_GB2312" w:eastAsia="仿宋_GB2312"/>
                <w:sz w:val="24"/>
                <w:szCs w:val="24"/>
              </w:rPr>
            </w:pPr>
            <w:r>
              <w:rPr>
                <w:rFonts w:hint="eastAsia" w:ascii="仿宋_GB2312" w:eastAsia="仿宋_GB2312"/>
                <w:sz w:val="24"/>
                <w:szCs w:val="24"/>
              </w:rPr>
              <w:t>名称</w:t>
            </w:r>
          </w:p>
        </w:tc>
        <w:tc>
          <w:tcPr>
            <w:tcW w:w="1134" w:type="dxa"/>
            <w:vAlign w:val="center"/>
          </w:tcPr>
          <w:p>
            <w:pPr>
              <w:spacing w:line="360" w:lineRule="exact"/>
              <w:contextualSpacing/>
              <w:jc w:val="center"/>
              <w:rPr>
                <w:rFonts w:ascii="仿宋_GB2312" w:eastAsia="仿宋_GB2312"/>
                <w:sz w:val="24"/>
                <w:szCs w:val="24"/>
              </w:rPr>
            </w:pPr>
            <w:r>
              <w:rPr>
                <w:rFonts w:hint="eastAsia" w:ascii="仿宋_GB2312" w:eastAsia="仿宋_GB2312"/>
                <w:sz w:val="24"/>
                <w:szCs w:val="24"/>
              </w:rPr>
              <w:t>品牌（如果有）</w:t>
            </w:r>
          </w:p>
        </w:tc>
        <w:tc>
          <w:tcPr>
            <w:tcW w:w="1418" w:type="dxa"/>
            <w:vAlign w:val="center"/>
          </w:tcPr>
          <w:p>
            <w:pPr>
              <w:spacing w:line="360" w:lineRule="exact"/>
              <w:contextualSpacing/>
              <w:jc w:val="center"/>
              <w:rPr>
                <w:rFonts w:ascii="仿宋_GB2312" w:eastAsia="仿宋_GB2312"/>
                <w:sz w:val="24"/>
                <w:szCs w:val="24"/>
              </w:rPr>
            </w:pPr>
            <w:r>
              <w:rPr>
                <w:rFonts w:hint="eastAsia" w:ascii="仿宋_GB2312" w:eastAsia="仿宋_GB2312"/>
                <w:sz w:val="24"/>
                <w:szCs w:val="24"/>
              </w:rPr>
              <w:t>规格型号</w:t>
            </w:r>
          </w:p>
        </w:tc>
        <w:tc>
          <w:tcPr>
            <w:tcW w:w="1134" w:type="dxa"/>
            <w:vAlign w:val="center"/>
          </w:tcPr>
          <w:p>
            <w:pPr>
              <w:spacing w:line="360" w:lineRule="exact"/>
              <w:contextualSpacing/>
              <w:jc w:val="center"/>
              <w:rPr>
                <w:rFonts w:ascii="仿宋_GB2312" w:eastAsia="仿宋_GB2312"/>
                <w:sz w:val="24"/>
                <w:szCs w:val="24"/>
              </w:rPr>
            </w:pPr>
            <w:r>
              <w:rPr>
                <w:rFonts w:hint="eastAsia" w:ascii="仿宋_GB2312" w:eastAsia="仿宋_GB2312"/>
                <w:sz w:val="24"/>
                <w:szCs w:val="24"/>
              </w:rPr>
              <w:t>数量</w:t>
            </w:r>
          </w:p>
        </w:tc>
        <w:tc>
          <w:tcPr>
            <w:tcW w:w="850" w:type="dxa"/>
            <w:vAlign w:val="center"/>
          </w:tcPr>
          <w:p>
            <w:pPr>
              <w:spacing w:line="360" w:lineRule="exact"/>
              <w:contextualSpacing/>
              <w:jc w:val="center"/>
              <w:rPr>
                <w:rFonts w:ascii="仿宋_GB2312" w:eastAsia="仿宋_GB2312"/>
                <w:sz w:val="24"/>
                <w:szCs w:val="24"/>
              </w:rPr>
            </w:pPr>
            <w:r>
              <w:rPr>
                <w:rFonts w:hint="eastAsia" w:ascii="仿宋_GB2312" w:eastAsia="仿宋_GB2312"/>
                <w:sz w:val="24"/>
                <w:szCs w:val="24"/>
              </w:rPr>
              <w:t>单价</w:t>
            </w:r>
          </w:p>
        </w:tc>
        <w:tc>
          <w:tcPr>
            <w:tcW w:w="1276" w:type="dxa"/>
            <w:vAlign w:val="center"/>
          </w:tcPr>
          <w:p>
            <w:pPr>
              <w:spacing w:line="360" w:lineRule="exact"/>
              <w:contextualSpacing/>
              <w:jc w:val="center"/>
              <w:rPr>
                <w:rFonts w:ascii="仿宋_GB2312" w:eastAsia="仿宋_GB2312"/>
                <w:sz w:val="24"/>
                <w:szCs w:val="24"/>
              </w:rPr>
            </w:pPr>
            <w:r>
              <w:rPr>
                <w:rFonts w:hint="eastAsia" w:ascii="仿宋_GB2312" w:eastAsia="仿宋_GB2312"/>
                <w:sz w:val="24"/>
                <w:szCs w:val="24"/>
              </w:rPr>
              <w:t>总价</w:t>
            </w:r>
          </w:p>
        </w:tc>
        <w:tc>
          <w:tcPr>
            <w:tcW w:w="1276" w:type="dxa"/>
            <w:vAlign w:val="center"/>
          </w:tcPr>
          <w:p>
            <w:pPr>
              <w:spacing w:line="360" w:lineRule="exact"/>
              <w:contextualSpacing/>
              <w:jc w:val="center"/>
              <w:rPr>
                <w:rFonts w:ascii="仿宋_GB2312" w:eastAsia="仿宋_GB2312"/>
                <w:sz w:val="24"/>
                <w:szCs w:val="24"/>
              </w:rPr>
            </w:pPr>
            <w:r>
              <w:rPr>
                <w:rFonts w:hint="eastAsia" w:ascii="仿宋_GB2312"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dxa"/>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1</w:t>
            </w:r>
          </w:p>
        </w:tc>
        <w:tc>
          <w:tcPr>
            <w:tcW w:w="1361" w:type="dxa"/>
            <w:vAlign w:val="bottom"/>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90" w:type="dxa"/>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2</w:t>
            </w:r>
          </w:p>
        </w:tc>
        <w:tc>
          <w:tcPr>
            <w:tcW w:w="1361" w:type="dxa"/>
            <w:vAlign w:val="bottom"/>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90" w:type="dxa"/>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3</w:t>
            </w:r>
          </w:p>
        </w:tc>
        <w:tc>
          <w:tcPr>
            <w:tcW w:w="1361" w:type="dxa"/>
            <w:vAlign w:val="bottom"/>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0" w:type="dxa"/>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4</w:t>
            </w:r>
          </w:p>
        </w:tc>
        <w:tc>
          <w:tcPr>
            <w:tcW w:w="1361" w:type="dxa"/>
            <w:vAlign w:val="bottom"/>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90" w:type="dxa"/>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5</w:t>
            </w:r>
          </w:p>
        </w:tc>
        <w:tc>
          <w:tcPr>
            <w:tcW w:w="1361" w:type="dxa"/>
            <w:vAlign w:val="bottom"/>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90" w:type="dxa"/>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6</w:t>
            </w:r>
          </w:p>
        </w:tc>
        <w:tc>
          <w:tcPr>
            <w:tcW w:w="1361" w:type="dxa"/>
            <w:vAlign w:val="bottom"/>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90" w:type="dxa"/>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7</w:t>
            </w:r>
          </w:p>
        </w:tc>
        <w:tc>
          <w:tcPr>
            <w:tcW w:w="1361" w:type="dxa"/>
            <w:vAlign w:val="center"/>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90" w:type="dxa"/>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8</w:t>
            </w:r>
          </w:p>
        </w:tc>
        <w:tc>
          <w:tcPr>
            <w:tcW w:w="1361" w:type="dxa"/>
            <w:vAlign w:val="center"/>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90" w:type="dxa"/>
            <w:vAlign w:val="center"/>
          </w:tcPr>
          <w:p>
            <w:pPr>
              <w:spacing w:line="540" w:lineRule="exact"/>
              <w:contextualSpacing/>
              <w:jc w:val="center"/>
              <w:rPr>
                <w:rFonts w:ascii="仿宋_GB2312" w:eastAsia="仿宋_GB2312"/>
                <w:sz w:val="24"/>
                <w:szCs w:val="24"/>
              </w:rPr>
            </w:pPr>
          </w:p>
        </w:tc>
        <w:tc>
          <w:tcPr>
            <w:tcW w:w="1361" w:type="dxa"/>
            <w:vAlign w:val="center"/>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637" w:type="dxa"/>
            <w:gridSpan w:val="5"/>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投标报价（小写）</w:t>
            </w:r>
          </w:p>
        </w:tc>
        <w:tc>
          <w:tcPr>
            <w:tcW w:w="3402" w:type="dxa"/>
            <w:gridSpan w:val="3"/>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637" w:type="dxa"/>
            <w:gridSpan w:val="5"/>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投标报价（大写）</w:t>
            </w:r>
          </w:p>
        </w:tc>
        <w:tc>
          <w:tcPr>
            <w:tcW w:w="3402" w:type="dxa"/>
            <w:gridSpan w:val="3"/>
          </w:tcPr>
          <w:p>
            <w:pPr>
              <w:spacing w:line="540" w:lineRule="exact"/>
              <w:contextualSpacing/>
              <w:rPr>
                <w:rFonts w:ascii="仿宋_GB2312" w:eastAsia="仿宋_GB2312"/>
                <w:sz w:val="24"/>
                <w:szCs w:val="24"/>
              </w:rPr>
            </w:pPr>
          </w:p>
        </w:tc>
      </w:tr>
    </w:tbl>
    <w:p>
      <w:pPr>
        <w:spacing w:line="540" w:lineRule="exact"/>
        <w:ind w:right="480"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pPr>
        <w:spacing w:line="540" w:lineRule="exact"/>
        <w:ind w:firstLine="482"/>
        <w:contextualSpacing/>
        <w:rPr>
          <w:rFonts w:ascii="仿宋_GB2312" w:eastAsia="仿宋_GB2312"/>
          <w:b/>
          <w:sz w:val="24"/>
          <w:szCs w:val="24"/>
        </w:rPr>
      </w:pPr>
    </w:p>
    <w:p>
      <w:pPr>
        <w:spacing w:line="540" w:lineRule="exact"/>
        <w:ind w:firstLine="482"/>
        <w:contextualSpacing/>
        <w:rPr>
          <w:rFonts w:ascii="仿宋_GB2312" w:eastAsia="仿宋_GB2312"/>
          <w:b/>
          <w:sz w:val="24"/>
          <w:szCs w:val="24"/>
        </w:rPr>
      </w:pPr>
      <w:r>
        <w:rPr>
          <w:rFonts w:hint="eastAsia" w:ascii="仿宋_GB2312" w:eastAsia="仿宋_GB2312"/>
          <w:b/>
          <w:sz w:val="24"/>
          <w:szCs w:val="24"/>
        </w:rPr>
        <w:t>注：</w:t>
      </w:r>
    </w:p>
    <w:p>
      <w:pPr>
        <w:spacing w:line="540" w:lineRule="exact"/>
        <w:ind w:firstLine="472" w:firstLineChars="196"/>
        <w:contextualSpacing/>
        <w:rPr>
          <w:rFonts w:ascii="仿宋_GB2312" w:eastAsia="仿宋_GB2312"/>
          <w:b/>
          <w:sz w:val="24"/>
          <w:szCs w:val="24"/>
        </w:rPr>
      </w:pPr>
      <w:r>
        <w:rPr>
          <w:rFonts w:hint="eastAsia" w:ascii="仿宋_GB2312" w:eastAsia="仿宋_GB2312"/>
          <w:b/>
          <w:sz w:val="24"/>
          <w:szCs w:val="24"/>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2.特别提示：采购代理机构将对项目名称和项目编号，中标供应商名称、地址和中标金额，主要中标标的的名称、规格型号、数量、单价、服务要求等予以公示。</w:t>
      </w:r>
    </w:p>
    <w:p>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4.投标报价一经涂改，应在涂改处加盖单位公章或投标人代表签字（或盖章），否则其投标作无效标处理。</w:t>
      </w:r>
    </w:p>
    <w:p>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5.投标报价应包括产品、产品标准配件、备品备件、专用工具、包装、工时、运输、装卸、保险、税金、设备保护、安装、调试与试运行、培训、保修、售后服务费、工程配套费、以及实施本项目所需的其他一切费用。</w:t>
      </w:r>
    </w:p>
    <w:p>
      <w:pPr>
        <w:spacing w:line="540" w:lineRule="exact"/>
        <w:ind w:firstLine="472" w:firstLineChars="196"/>
        <w:contextualSpacing/>
        <w:rPr>
          <w:rFonts w:ascii="仿宋_GB2312" w:eastAsia="仿宋_GB2312"/>
          <w:b/>
          <w:bCs/>
          <w:sz w:val="24"/>
          <w:szCs w:val="24"/>
        </w:rPr>
      </w:pPr>
      <w:r>
        <w:rPr>
          <w:rFonts w:hint="eastAsia" w:ascii="仿宋_GB2312" w:eastAsia="仿宋_GB2312"/>
          <w:b/>
          <w:bCs/>
          <w:sz w:val="24"/>
          <w:szCs w:val="24"/>
        </w:rPr>
        <w:t>▲6.特别说明：供应商投标报价低于项目预算50%的，应当在报价文件中详细阐述不影响产品质量或者诚信履约的具体原因。</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pStyle w:val="3"/>
        <w:rPr>
          <w:rFonts w:ascii="仿宋_GB2312" w:eastAsia="仿宋_GB2312"/>
        </w:rPr>
      </w:pPr>
    </w:p>
    <w:p>
      <w:pPr>
        <w:pStyle w:val="18"/>
        <w:ind w:firstLine="883"/>
        <w:rPr>
          <w:rFonts w:ascii="仿宋_GB2312" w:eastAsia="仿宋_GB2312"/>
        </w:rPr>
      </w:pPr>
    </w:p>
    <w:p/>
    <w:p>
      <w:pPr>
        <w:pStyle w:val="11"/>
      </w:pPr>
    </w:p>
    <w:p>
      <w:pPr>
        <w:pStyle w:val="11"/>
      </w:pPr>
    </w:p>
    <w:p>
      <w:pPr>
        <w:pStyle w:val="11"/>
      </w:pPr>
    </w:p>
    <w:p>
      <w:pPr>
        <w:pStyle w:val="11"/>
      </w:pPr>
    </w:p>
    <w:p>
      <w:pPr>
        <w:pStyle w:val="11"/>
      </w:pPr>
    </w:p>
    <w:p>
      <w:pPr>
        <w:pStyle w:val="11"/>
      </w:pPr>
    </w:p>
    <w:p>
      <w:pPr>
        <w:pStyle w:val="11"/>
      </w:pPr>
    </w:p>
    <w:p>
      <w:pPr>
        <w:pStyle w:val="3"/>
        <w:rPr>
          <w:rFonts w:ascii="仿宋_GB2312" w:eastAsia="仿宋_GB2312"/>
        </w:rPr>
      </w:pPr>
    </w:p>
    <w:p>
      <w:pPr>
        <w:spacing w:line="540" w:lineRule="exact"/>
        <w:ind w:firstLine="562"/>
        <w:contextualSpacing/>
        <w:jc w:val="center"/>
        <w:rPr>
          <w:rFonts w:ascii="仿宋_GB2312" w:eastAsia="仿宋_GB2312"/>
          <w:b/>
          <w:sz w:val="28"/>
          <w:szCs w:val="28"/>
        </w:rPr>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二、中小企业声明函（如果有）</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rPr>
          <w:rFonts w:ascii="仿宋_GB2312" w:eastAsia="仿宋_GB2312"/>
        </w:rPr>
        <w:sectPr>
          <w:pgSz w:w="11906" w:h="16838"/>
          <w:pgMar w:top="1247" w:right="1418" w:bottom="1276" w:left="1418" w:header="851" w:footer="992" w:gutter="0"/>
          <w:cols w:space="720" w:num="1"/>
          <w:titlePg/>
          <w:docGrid w:linePitch="312" w:charSpace="0"/>
        </w:sectPr>
      </w:pPr>
    </w:p>
    <w:p>
      <w:pPr>
        <w:spacing w:line="540" w:lineRule="exact"/>
        <w:ind w:firstLine="562"/>
        <w:contextualSpacing/>
        <w:jc w:val="center"/>
        <w:rPr>
          <w:rFonts w:ascii="仿宋_GB2312" w:eastAsia="仿宋_GB2312"/>
          <w:b/>
          <w:sz w:val="28"/>
          <w:szCs w:val="28"/>
        </w:rPr>
      </w:pPr>
      <w:bookmarkStart w:id="404" w:name="_Toc465665161"/>
      <w:r>
        <w:rPr>
          <w:rFonts w:hint="eastAsia" w:ascii="仿宋_GB2312" w:eastAsia="仿宋_GB2312"/>
          <w:b/>
          <w:sz w:val="28"/>
          <w:szCs w:val="28"/>
        </w:rPr>
        <w:t>附    件</w:t>
      </w:r>
      <w:bookmarkEnd w:id="404"/>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jc w:val="left"/>
        <w:rPr>
          <w:rFonts w:ascii="仿宋_GB2312" w:eastAsia="仿宋_GB2312"/>
          <w:sz w:val="24"/>
          <w:szCs w:val="24"/>
        </w:rPr>
      </w:pPr>
      <w:r>
        <w:rPr>
          <w:rFonts w:hint="eastAsia" w:ascii="仿宋_GB2312" w:eastAsia="仿宋_GB2312"/>
          <w:sz w:val="24"/>
          <w:szCs w:val="24"/>
        </w:rPr>
        <w:t>附件1：</w:t>
      </w:r>
    </w:p>
    <w:p>
      <w:pPr>
        <w:spacing w:line="540" w:lineRule="exact"/>
        <w:contextualSpacing/>
        <w:jc w:val="center"/>
        <w:rPr>
          <w:rFonts w:ascii="仿宋_GB2312" w:eastAsia="仿宋_GB2312"/>
          <w:sz w:val="24"/>
          <w:szCs w:val="24"/>
        </w:rPr>
      </w:pPr>
      <w:bookmarkStart w:id="405" w:name="OLE_LINK13"/>
      <w:bookmarkStart w:id="406" w:name="OLE_LINK14"/>
      <w:r>
        <w:rPr>
          <w:rFonts w:hint="eastAsia" w:ascii="仿宋_GB2312" w:eastAsia="仿宋_GB2312"/>
          <w:sz w:val="24"/>
          <w:szCs w:val="24"/>
        </w:rPr>
        <w:t>残疾人福利性单位声明函</w:t>
      </w:r>
    </w:p>
    <w:bookmarkEnd w:id="405"/>
    <w:bookmarkEnd w:id="406"/>
    <w:p>
      <w:pPr>
        <w:spacing w:line="540" w:lineRule="exact"/>
        <w:contextualSpacing/>
        <w:rPr>
          <w:rFonts w:ascii="仿宋_GB2312" w:eastAsia="仿宋_GB2312"/>
          <w:sz w:val="24"/>
          <w:szCs w:val="24"/>
        </w:rPr>
      </w:pP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sz w:val="24"/>
          <w:szCs w:val="24"/>
          <w:u w:val="single"/>
        </w:rPr>
        <w:t>(采购人)</w:t>
      </w:r>
      <w:r>
        <w:rPr>
          <w:rFonts w:hint="eastAsia" w:ascii="仿宋_GB2312" w:eastAsia="仿宋_GB2312"/>
          <w:sz w:val="24"/>
          <w:szCs w:val="24"/>
        </w:rPr>
        <w:t>单位的</w:t>
      </w:r>
      <w:r>
        <w:rPr>
          <w:rFonts w:hint="eastAsia" w:ascii="仿宋_GB2312" w:eastAsia="仿宋_GB2312"/>
          <w:sz w:val="24"/>
          <w:szCs w:val="24"/>
          <w:u w:val="single"/>
        </w:rPr>
        <w:t>（项目名称）</w:t>
      </w:r>
      <w:r>
        <w:rPr>
          <w:rFonts w:hint="eastAsia" w:ascii="仿宋_GB2312" w:eastAsia="仿宋_GB2312"/>
          <w:sz w:val="24"/>
          <w:szCs w:val="24"/>
        </w:rPr>
        <w:t>项目采购活动提供本单位制造的货物（由本单位承担工程/提供服务），或者提供其他残疾人福利性单位制造的货物（不包括使用非残疾人福利性单位注册商标的货物）。</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本单位对上述声明的真实性负责。如有虚假，将依法承担相应责任。</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日  期：</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pStyle w:val="11"/>
      </w:pPr>
    </w:p>
    <w:p>
      <w:pPr>
        <w:pStyle w:val="11"/>
      </w:pPr>
    </w:p>
    <w:p>
      <w:pPr>
        <w:spacing w:line="540" w:lineRule="exact"/>
        <w:ind w:firstLine="560"/>
        <w:contextualSpacing/>
        <w:rPr>
          <w:rFonts w:ascii="仿宋_GB2312" w:eastAsia="仿宋_GB2312"/>
          <w:b/>
          <w:sz w:val="28"/>
          <w:szCs w:val="28"/>
        </w:rPr>
      </w:pPr>
      <w:r>
        <w:rPr>
          <w:rFonts w:hint="eastAsia" w:ascii="仿宋_GB2312" w:eastAsia="仿宋_GB2312"/>
          <w:sz w:val="28"/>
          <w:szCs w:val="28"/>
        </w:rPr>
        <w:t>附件2：</w:t>
      </w:r>
      <w:r>
        <w:rPr>
          <w:rFonts w:hint="eastAsia" w:ascii="仿宋_GB2312" w:eastAsia="仿宋_GB2312"/>
          <w:b/>
          <w:sz w:val="28"/>
          <w:szCs w:val="28"/>
        </w:rPr>
        <w:t>质疑函范本及制作说明</w:t>
      </w: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质疑函范本</w:t>
      </w:r>
    </w:p>
    <w:p>
      <w:pPr>
        <w:snapToGrid w:val="0"/>
        <w:spacing w:beforeLines="100" w:line="360" w:lineRule="auto"/>
        <w:rPr>
          <w:rFonts w:ascii="仿宋_GB2312" w:hAnsi="宋体" w:eastAsia="仿宋_GB2312" w:cs="宋体"/>
          <w:bCs/>
          <w:sz w:val="24"/>
        </w:rPr>
      </w:pPr>
      <w:r>
        <w:rPr>
          <w:rFonts w:hint="eastAsia" w:ascii="仿宋_GB2312" w:hAnsi="宋体" w:eastAsia="仿宋_GB2312" w:cs="宋体"/>
          <w:bCs/>
          <w:sz w:val="24"/>
        </w:rPr>
        <w:t>一、质疑供应商基本信息</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质疑供应商：</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地址：邮编：</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联系人：联系电话：</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授权代表：</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联系电话：</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地址： 邮编：</w:t>
      </w:r>
    </w:p>
    <w:p>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二、质疑项目基本情况</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质疑项目的名称：</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质疑项目的编号：包号：</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采购人名称：</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采购文件获取日期：</w:t>
      </w:r>
    </w:p>
    <w:p>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三、质疑事项具体内容</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质疑事项1：</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事实依据：</w:t>
      </w:r>
    </w:p>
    <w:p>
      <w:pPr>
        <w:snapToGrid w:val="0"/>
        <w:spacing w:line="360" w:lineRule="auto"/>
        <w:rPr>
          <w:rFonts w:ascii="仿宋_GB2312" w:hAnsi="宋体" w:eastAsia="仿宋_GB2312" w:cs="宋体"/>
          <w:sz w:val="24"/>
        </w:rPr>
      </w:pP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法律依据：</w:t>
      </w:r>
    </w:p>
    <w:p>
      <w:pPr>
        <w:snapToGrid w:val="0"/>
        <w:spacing w:line="360" w:lineRule="auto"/>
        <w:rPr>
          <w:rFonts w:ascii="仿宋_GB2312" w:hAnsi="宋体" w:eastAsia="仿宋_GB2312" w:cs="宋体"/>
          <w:sz w:val="24"/>
          <w:u w:val="dotted"/>
        </w:rPr>
      </w:pP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质疑事项2</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w:t>
      </w:r>
    </w:p>
    <w:p>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四、与质疑事项相关的质疑请求</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请求：</w:t>
      </w:r>
    </w:p>
    <w:p>
      <w:pPr>
        <w:spacing w:line="360" w:lineRule="auto"/>
        <w:rPr>
          <w:rFonts w:ascii="仿宋_GB2312" w:hAnsi="宋体" w:eastAsia="仿宋_GB2312" w:cs="宋体"/>
          <w:sz w:val="24"/>
        </w:rPr>
      </w:pPr>
      <w:r>
        <w:rPr>
          <w:rFonts w:hint="eastAsia" w:ascii="仿宋_GB2312" w:hAnsi="宋体" w:eastAsia="仿宋_GB2312" w:cs="宋体"/>
          <w:sz w:val="24"/>
        </w:rPr>
        <w:t xml:space="preserve">签字(签章)：                   公章：                      </w:t>
      </w:r>
    </w:p>
    <w:p>
      <w:pPr>
        <w:spacing w:line="360" w:lineRule="auto"/>
        <w:rPr>
          <w:rFonts w:ascii="仿宋_GB2312" w:hAnsi="宋体" w:eastAsia="仿宋_GB2312" w:cs="宋体"/>
          <w:sz w:val="24"/>
        </w:rPr>
      </w:pPr>
      <w:r>
        <w:rPr>
          <w:rFonts w:hint="eastAsia" w:ascii="仿宋_GB2312" w:hAnsi="宋体" w:eastAsia="仿宋_GB2312" w:cs="宋体"/>
          <w:sz w:val="24"/>
        </w:rPr>
        <w:t xml:space="preserve">日期：    </w:t>
      </w:r>
    </w:p>
    <w:p>
      <w:pPr>
        <w:spacing w:line="360" w:lineRule="auto"/>
        <w:ind w:firstLine="482"/>
        <w:rPr>
          <w:rFonts w:ascii="仿宋_GB2312" w:hAnsi="宋体" w:eastAsia="仿宋_GB2312" w:cs="宋体"/>
          <w:b/>
          <w:sz w:val="24"/>
        </w:rPr>
      </w:pPr>
    </w:p>
    <w:p>
      <w:pPr>
        <w:spacing w:line="360" w:lineRule="auto"/>
        <w:ind w:firstLine="482"/>
        <w:rPr>
          <w:rFonts w:ascii="仿宋_GB2312" w:hAnsi="宋体" w:eastAsia="仿宋_GB2312" w:cs="宋体"/>
          <w:b/>
          <w:sz w:val="24"/>
        </w:rPr>
      </w:pPr>
      <w:r>
        <w:rPr>
          <w:rFonts w:hint="eastAsia" w:ascii="仿宋_GB2312" w:hAnsi="宋体" w:eastAsia="仿宋_GB2312" w:cs="宋体"/>
          <w:b/>
          <w:sz w:val="24"/>
        </w:rPr>
        <w:t>质疑函制作说明：</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1.供应商提出质疑时，应提交质疑函和必要的证明材料。</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2.质疑供应商若委托代理人进行质疑的，质疑函应按要求列明“授权代表”的有关内容，并在附件中提交由质疑</w:t>
      </w:r>
      <w:r>
        <w:rPr>
          <w:rFonts w:hint="eastAsia" w:ascii="仿宋_GB2312" w:hAnsi="宋体"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3.质疑供应商若对项目的某一分包进行质疑，质疑函中应列明具体分包号。</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4.质疑函的质疑事项应具体、明确，并有必要的事实依据和法律依据。</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5.质疑函的质疑请求应与质疑事项相关。</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6.质疑供应商为自然人的，质疑函应由本人签字；质疑供应商为法人或者其他组织的，质疑函应由法定代表人、主要负责人，或者其授权代表签字或者盖章，并加盖公章。</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r>
        <w:rPr>
          <w:rFonts w:hint="eastAsia" w:ascii="仿宋_GB2312" w:eastAsia="仿宋_GB2312"/>
          <w:sz w:val="28"/>
          <w:szCs w:val="28"/>
        </w:rPr>
        <w:t>附件3：</w:t>
      </w:r>
    </w:p>
    <w:p>
      <w:pPr>
        <w:contextualSpacing/>
        <w:jc w:val="center"/>
        <w:rPr>
          <w:rFonts w:ascii="仿宋_GB2312" w:eastAsia="仿宋_GB2312"/>
          <w:b/>
          <w:sz w:val="28"/>
          <w:szCs w:val="28"/>
        </w:rPr>
      </w:pPr>
      <w:r>
        <w:rPr>
          <w:rFonts w:hint="eastAsia" w:ascii="仿宋_GB2312" w:eastAsia="仿宋_GB2312"/>
          <w:b/>
          <w:sz w:val="28"/>
          <w:szCs w:val="28"/>
        </w:rPr>
        <w:t>投诉书范本及制作说明</w:t>
      </w:r>
    </w:p>
    <w:p>
      <w:pPr>
        <w:contextualSpacing/>
        <w:rPr>
          <w:rFonts w:ascii="仿宋_GB2312" w:eastAsia="仿宋_GB2312"/>
          <w:sz w:val="24"/>
          <w:szCs w:val="24"/>
        </w:rPr>
      </w:pPr>
    </w:p>
    <w:p>
      <w:pPr>
        <w:jc w:val="center"/>
        <w:rPr>
          <w:rFonts w:ascii="仿宋_GB2312" w:hAnsi="宋体" w:eastAsia="仿宋_GB2312" w:cs="宋体"/>
          <w:b/>
          <w:spacing w:val="6"/>
          <w:sz w:val="24"/>
          <w:szCs w:val="24"/>
        </w:rPr>
      </w:pPr>
      <w:r>
        <w:rPr>
          <w:rFonts w:hint="eastAsia" w:ascii="仿宋_GB2312" w:hAnsi="宋体" w:eastAsia="仿宋_GB2312" w:cs="宋体"/>
          <w:b/>
          <w:spacing w:val="6"/>
          <w:sz w:val="24"/>
          <w:szCs w:val="24"/>
        </w:rPr>
        <w:t>投诉书范本</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一、投诉相关主体基本情况</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投诉人：</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pPr>
        <w:tabs>
          <w:tab w:val="left" w:pos="6510"/>
        </w:tabs>
        <w:spacing w:line="360" w:lineRule="auto"/>
        <w:jc w:val="left"/>
        <w:rPr>
          <w:rFonts w:ascii="仿宋_GB2312" w:hAnsi="宋体" w:eastAsia="仿宋_GB2312" w:cs="宋体"/>
          <w:sz w:val="24"/>
          <w:szCs w:val="24"/>
        </w:rPr>
      </w:pPr>
      <w:r>
        <w:rPr>
          <w:rFonts w:hint="eastAsia" w:ascii="仿宋_GB2312" w:hAnsi="宋体" w:eastAsia="仿宋_GB2312" w:cs="宋体"/>
          <w:sz w:val="24"/>
          <w:szCs w:val="24"/>
        </w:rPr>
        <w:t>法定代表人/主要负责人：</w:t>
      </w:r>
    </w:p>
    <w:p>
      <w:pPr>
        <w:tabs>
          <w:tab w:val="left" w:pos="6510"/>
        </w:tabs>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联系电话：</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授权代表：联系电话</w:t>
      </w:r>
      <w:r>
        <w:rPr>
          <w:rFonts w:hint="eastAsia" w:ascii="仿宋_GB2312" w:hAnsi="宋体" w:eastAsia="仿宋_GB2312" w:cs="宋体"/>
          <w:sz w:val="24"/>
          <w:szCs w:val="24"/>
          <w:u w:val="dotted"/>
        </w:rPr>
        <w:t xml:space="preserve">：                  </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地     址：邮编：</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被投诉人1：</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联系人：联系电话：</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被投诉人2</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相关供应商：</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联系人：联系电话：</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二、投诉项目基本情况</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采购项目名称：</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采购项目编号：包号：</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采购人名称：</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代理机构名称：</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采购文件公告: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采购结果公告: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三、质疑基本情况</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投诉人于年月日,向提出质疑，质疑事项为：</w:t>
      </w:r>
    </w:p>
    <w:p>
      <w:pPr>
        <w:spacing w:line="360" w:lineRule="auto"/>
        <w:rPr>
          <w:rFonts w:ascii="仿宋_GB2312" w:hAnsi="宋体" w:eastAsia="仿宋_GB2312" w:cs="宋体"/>
          <w:sz w:val="24"/>
          <w:szCs w:val="24"/>
          <w:u w:val="dotted"/>
        </w:rPr>
      </w:pPr>
    </w:p>
    <w:p>
      <w:pPr>
        <w:spacing w:line="360" w:lineRule="auto"/>
        <w:rPr>
          <w:rFonts w:ascii="仿宋_GB2312" w:hAnsi="宋体" w:eastAsia="仿宋_GB2312" w:cs="宋体"/>
          <w:sz w:val="24"/>
          <w:szCs w:val="24"/>
        </w:rPr>
      </w:pPr>
      <w:r>
        <w:rPr>
          <w:rFonts w:hint="eastAsia" w:ascii="仿宋_GB2312" w:hAnsi="宋体" w:eastAsia="仿宋_GB2312" w:cs="宋体"/>
          <w:sz w:val="24"/>
          <w:szCs w:val="24"/>
          <w:u w:val="dotted"/>
        </w:rPr>
        <w:t>采购人/代理机构</w:t>
      </w:r>
      <w:r>
        <w:rPr>
          <w:rFonts w:hint="eastAsia" w:ascii="仿宋_GB2312" w:hAnsi="宋体" w:eastAsia="仿宋_GB2312" w:cs="宋体"/>
          <w:sz w:val="24"/>
          <w:szCs w:val="24"/>
        </w:rPr>
        <w:t>于年月日,就质疑事项作出了答复/没有在法定期限内作出答复。</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四、投诉事项具体内容</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投诉事项 1：</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事实依据：</w:t>
      </w:r>
    </w:p>
    <w:p>
      <w:pPr>
        <w:spacing w:line="360" w:lineRule="auto"/>
        <w:rPr>
          <w:rFonts w:ascii="仿宋_GB2312" w:hAnsi="宋体" w:eastAsia="仿宋_GB2312" w:cs="宋体"/>
          <w:sz w:val="24"/>
          <w:szCs w:val="24"/>
          <w:u w:val="dotted"/>
        </w:rPr>
      </w:pP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法律依据：</w:t>
      </w:r>
    </w:p>
    <w:p>
      <w:pPr>
        <w:spacing w:line="360" w:lineRule="auto"/>
        <w:rPr>
          <w:rFonts w:ascii="仿宋_GB2312" w:hAnsi="宋体" w:eastAsia="仿宋_GB2312" w:cs="宋体"/>
          <w:sz w:val="24"/>
          <w:szCs w:val="24"/>
          <w:u w:val="dotted"/>
        </w:rPr>
      </w:pP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投诉事项2</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五、与投诉事项相关的投诉请求</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请求：</w:t>
      </w:r>
    </w:p>
    <w:p>
      <w:pPr>
        <w:spacing w:line="360" w:lineRule="auto"/>
        <w:rPr>
          <w:rFonts w:ascii="仿宋_GB2312" w:hAnsi="宋体" w:eastAsia="仿宋_GB2312" w:cs="宋体"/>
          <w:sz w:val="24"/>
          <w:szCs w:val="24"/>
          <w:u w:val="single"/>
        </w:rPr>
      </w:pP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签字(签章)：                   公章：                      </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日期：    </w:t>
      </w:r>
    </w:p>
    <w:p>
      <w:pPr>
        <w:spacing w:line="360" w:lineRule="auto"/>
        <w:ind w:firstLine="482"/>
        <w:rPr>
          <w:rFonts w:ascii="仿宋_GB2312" w:hAnsi="宋体" w:eastAsia="仿宋_GB2312" w:cs="宋体"/>
          <w:b/>
          <w:sz w:val="24"/>
          <w:szCs w:val="24"/>
        </w:rPr>
      </w:pPr>
    </w:p>
    <w:p>
      <w:pPr>
        <w:spacing w:line="360" w:lineRule="auto"/>
        <w:ind w:firstLine="482"/>
        <w:rPr>
          <w:rFonts w:ascii="仿宋_GB2312" w:hAnsi="宋体" w:eastAsia="仿宋_GB2312" w:cs="宋体"/>
          <w:b/>
          <w:sz w:val="24"/>
          <w:szCs w:val="24"/>
        </w:rPr>
      </w:pPr>
    </w:p>
    <w:p>
      <w:pPr>
        <w:spacing w:line="360" w:lineRule="auto"/>
        <w:ind w:firstLine="482"/>
        <w:rPr>
          <w:rFonts w:ascii="仿宋_GB2312" w:hAnsi="宋体" w:eastAsia="仿宋_GB2312" w:cs="宋体"/>
          <w:b/>
          <w:sz w:val="24"/>
          <w:szCs w:val="24"/>
        </w:rPr>
      </w:pPr>
      <w:r>
        <w:rPr>
          <w:rFonts w:hint="eastAsia" w:ascii="仿宋_GB2312" w:hAnsi="宋体" w:eastAsia="仿宋_GB2312" w:cs="宋体"/>
          <w:b/>
          <w:sz w:val="24"/>
          <w:szCs w:val="24"/>
        </w:rPr>
        <w:t>投诉书制作说明：</w:t>
      </w:r>
    </w:p>
    <w:p>
      <w:pPr>
        <w:widowControl/>
        <w:spacing w:line="360" w:lineRule="auto"/>
        <w:ind w:firstLine="480" w:firstLineChars="200"/>
        <w:rPr>
          <w:rFonts w:ascii="仿宋_GB2312" w:hAnsi="宋体" w:eastAsia="仿宋_GB2312" w:cs="宋体"/>
          <w:kern w:val="0"/>
          <w:sz w:val="24"/>
          <w:szCs w:val="24"/>
        </w:rPr>
      </w:pPr>
      <w:r>
        <w:rPr>
          <w:rFonts w:hint="eastAsia" w:ascii="仿宋_GB2312" w:hAnsi="宋体" w:eastAsia="仿宋_GB2312" w:cs="宋体"/>
          <w:sz w:val="24"/>
          <w:szCs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3.投诉人若对项目的某一分包进行投诉，投诉书应列明具体分包号。</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4.投诉书应简要列明质疑事项，质疑函、质疑答复等作为附件材料提供。</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5.投诉书的投诉事项应具体、明确，并有必要的事实依据和法律依据。</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6.投诉书的投诉请求应与投诉事项相关。</w:t>
      </w:r>
    </w:p>
    <w:p>
      <w:pPr>
        <w:spacing w:line="360" w:lineRule="auto"/>
        <w:ind w:firstLine="480" w:firstLineChars="200"/>
        <w:contextualSpacing/>
        <w:rPr>
          <w:rFonts w:ascii="仿宋_GB2312" w:eastAsia="仿宋_GB2312"/>
          <w:sz w:val="24"/>
          <w:szCs w:val="24"/>
        </w:rPr>
      </w:pPr>
      <w:r>
        <w:rPr>
          <w:rFonts w:hint="eastAsia" w:ascii="仿宋_GB2312" w:hAnsi="宋体" w:eastAsia="仿宋_GB2312" w:cs="宋体"/>
          <w:sz w:val="24"/>
          <w:szCs w:val="24"/>
        </w:rPr>
        <w:t>7.投诉人为自然人的，投诉书应当由本人签字；投诉人为法人或者其他组织的，投诉书应当由法定代表人、主要负责人，或者其授权代表签字或者盖章，并加盖公章。</w:t>
      </w: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r>
        <w:rPr>
          <w:rFonts w:hint="eastAsia" w:ascii="仿宋_GB2312" w:eastAsia="仿宋_GB2312"/>
          <w:sz w:val="28"/>
          <w:szCs w:val="28"/>
        </w:rPr>
        <w:t>附件4：</w:t>
      </w: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业务专用章使用说明函</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我方(投标人全称)是中华人民共和国依法登记注册的合法企业，在参加你方组织的</w:t>
      </w:r>
      <w:r>
        <w:rPr>
          <w:rFonts w:hint="eastAsia" w:ascii="仿宋_GB2312" w:eastAsia="仿宋_GB2312"/>
          <w:sz w:val="24"/>
          <w:szCs w:val="24"/>
          <w:u w:val="single"/>
        </w:rPr>
        <w:t>（项目名称）</w:t>
      </w:r>
      <w:r>
        <w:rPr>
          <w:rFonts w:hint="eastAsia" w:ascii="仿宋_GB2312" w:eastAsia="仿宋_GB2312"/>
          <w:sz w:val="24"/>
          <w:szCs w:val="24"/>
        </w:rPr>
        <w:t>项目【招标编号：</w:t>
      </w:r>
      <w:r>
        <w:rPr>
          <w:rFonts w:hint="eastAsia" w:ascii="仿宋_GB2312" w:eastAsia="仿宋_GB2312"/>
          <w:sz w:val="24"/>
          <w:szCs w:val="24"/>
          <w:u w:val="single"/>
        </w:rPr>
        <w:t>（采购编号）</w:t>
      </w:r>
      <w:r>
        <w:rPr>
          <w:rFonts w:hint="eastAsia" w:ascii="仿宋_GB2312" w:eastAsia="仿宋_GB2312"/>
          <w:sz w:val="24"/>
          <w:szCs w:val="24"/>
        </w:rPr>
        <w:t xml:space="preserve">】投标活动中作如下说明：我方所使用的“XX专用章”与法定名称章具有同等的法律效力，对使用“XX专用章”的行为予以完全承认，并愿意承担相应责任。   </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特此说明。</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3600" w:firstLineChars="1500"/>
        <w:contextualSpacing/>
        <w:rPr>
          <w:rFonts w:ascii="仿宋_GB2312" w:eastAsia="仿宋_GB2312"/>
          <w:sz w:val="24"/>
          <w:szCs w:val="24"/>
        </w:rPr>
      </w:pPr>
      <w:r>
        <w:rPr>
          <w:rFonts w:hint="eastAsia" w:ascii="仿宋_GB2312" w:eastAsia="仿宋_GB2312"/>
          <w:sz w:val="24"/>
          <w:szCs w:val="24"/>
        </w:rPr>
        <w:t>投标单位（法定名称章）：</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pPr>
        <w:spacing w:line="540" w:lineRule="exact"/>
        <w:contextualSpacing/>
        <w:rPr>
          <w:rFonts w:ascii="仿宋_GB2312" w:eastAsia="仿宋_GB2312"/>
          <w:sz w:val="24"/>
          <w:szCs w:val="24"/>
        </w:rPr>
      </w:pPr>
      <w:r>
        <w:rPr>
          <w:rFonts w:hint="eastAsia" w:ascii="仿宋_GB2312" w:eastAsia="仿宋_GB2312"/>
          <w:sz w:val="24"/>
          <w:szCs w:val="24"/>
        </w:rPr>
        <w:t>附：</w:t>
      </w:r>
    </w:p>
    <w:p>
      <w:pPr>
        <w:spacing w:line="540" w:lineRule="exact"/>
        <w:contextualSpacing/>
        <w:rPr>
          <w:rFonts w:ascii="仿宋_GB2312" w:eastAsia="仿宋_GB2312"/>
          <w:sz w:val="24"/>
          <w:szCs w:val="24"/>
        </w:rPr>
      </w:pPr>
      <w:r>
        <w:rPr>
          <w:rFonts w:hint="eastAsia" w:ascii="仿宋_GB2312" w:eastAsia="仿宋_GB2312"/>
          <w:sz w:val="24"/>
          <w:szCs w:val="24"/>
        </w:rPr>
        <w:t>投标单位法定名称章（印模）                投标单位“XX专用章”（印模）</w:t>
      </w:r>
    </w:p>
    <w:p>
      <w:pPr>
        <w:spacing w:line="540" w:lineRule="exact"/>
        <w:contextualSpacing/>
        <w:rPr>
          <w:rFonts w:ascii="仿宋_GB2312" w:eastAsia="仿宋_GB2312"/>
          <w:sz w:val="24"/>
          <w:szCs w:val="24"/>
        </w:rPr>
      </w:pPr>
      <w:r>
        <w:rPr>
          <w:rFonts w:ascii="仿宋_GB2312" w:eastAsia="仿宋_GB2312"/>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275840" cy="1748155"/>
                <wp:effectExtent l="4445" t="4445" r="5715" b="1905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275840" cy="174815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1.05pt;height:137.65pt;width:179.2pt;z-index:-251657216;mso-width-relative:page;mso-height-relative:page;" fillcolor="#FFFFFF" filled="t" stroked="t" coordsize="21600,21600" o:gfxdata="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tVCSu1wAAAAkBAAAPAAAAAAAAAAEAIAAAACIAAABkcnMvZG93bnJldi54bWxQSwEC&#10;FAAUAAAACACHTuJANVaBCC4CAACCBAAADgAAAAAAAAABACAAAAAmAQAAZHJzL2Uyb0RvYy54bWxQ&#10;SwUGAAAAAAYABgBZAQAAxgUAAAAA&#10;">
                <v:fill on="t" focussize="0,0"/>
                <v:stroke color="#000000" miterlimit="2" joinstyle="miter"/>
                <v:imagedata o:title=""/>
                <o:lock v:ext="edit" aspectratio="f"/>
              </v:rect>
            </w:pict>
          </mc:Fallback>
        </mc:AlternateContent>
      </w:r>
      <w:r>
        <w:rPr>
          <w:rFonts w:ascii="仿宋_GB2312" w:eastAsia="仿宋_GB2312"/>
          <w:sz w:val="24"/>
          <w:szCs w:val="24"/>
        </w:rPr>
        <mc:AlternateContent>
          <mc:Choice Requires="wps">
            <w:drawing>
              <wp:anchor distT="0" distB="0" distL="114300" distR="114300" simplePos="0" relativeHeight="251660288" behindDoc="1" locked="0" layoutInCell="1" allowOverlap="1">
                <wp:simplePos x="0" y="0"/>
                <wp:positionH relativeFrom="column">
                  <wp:posOffset>-45720</wp:posOffset>
                </wp:positionH>
                <wp:positionV relativeFrom="paragraph">
                  <wp:posOffset>13335</wp:posOffset>
                </wp:positionV>
                <wp:extent cx="2136140" cy="1748155"/>
                <wp:effectExtent l="4445" t="4445" r="12065" b="1905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136140" cy="174815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3.6pt;margin-top:1.05pt;height:137.65pt;width:168.2pt;z-index:-251656192;mso-width-relative:page;mso-height-relative:page;" fillcolor="#FFFFFF" filled="t" stroked="t" coordsize="21600,21600" o:gfxdata="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F9xcXWAAAACAEAAA8AAAAAAAAAAQAgAAAAIgAAAGRycy9kb3ducmV2LnhtbFBLAQIU&#10;ABQAAAAIAIdO4kBi72EwLgIAAIIEAAAOAAAAAAAAAAEAIAAAACUBAABkcnMvZTJvRG9jLnhtbFBL&#10;BQYAAAAABgAGAFkBAADFBQAAAAA=&#10;">
                <v:fill on="t" focussize="0,0"/>
                <v:stroke color="#000000" miterlimit="2" joinstyle="miter"/>
                <v:imagedata o:title=""/>
                <o:lock v:ext="edit" aspectratio="f"/>
              </v:rect>
            </w:pict>
          </mc:Fallback>
        </mc:AlternateConten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560"/>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r>
        <w:rPr>
          <w:rFonts w:hint="eastAsia" w:ascii="仿宋_GB2312" w:eastAsia="仿宋_GB2312"/>
          <w:sz w:val="28"/>
          <w:szCs w:val="28"/>
        </w:rPr>
        <w:t>附件5：</w:t>
      </w:r>
    </w:p>
    <w:p>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中小企业声明函（货物）</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本公司（联合体）郑重声明，根据《政府采购促进中小企业发展管理办法》（财库</w:t>
      </w:r>
      <w:r>
        <w:rPr>
          <w:rFonts w:hint="eastAsia" w:ascii="仿宋_GB2312"/>
          <w:sz w:val="24"/>
          <w:szCs w:val="24"/>
        </w:rPr>
        <w:t>﹝</w:t>
      </w:r>
      <w:r>
        <w:rPr>
          <w:rFonts w:hint="eastAsia" w:ascii="仿宋_GB2312" w:eastAsia="仿宋_GB2312"/>
          <w:sz w:val="24"/>
          <w:szCs w:val="24"/>
        </w:rPr>
        <w:t>2020</w:t>
      </w:r>
      <w:r>
        <w:rPr>
          <w:rFonts w:hint="eastAsia" w:ascii="仿宋_GB2312"/>
          <w:sz w:val="24"/>
          <w:szCs w:val="24"/>
        </w:rPr>
        <w:t>﹞</w:t>
      </w:r>
      <w:r>
        <w:rPr>
          <w:rFonts w:hint="eastAsia" w:ascii="仿宋_GB2312" w:eastAsia="仿宋_GB2312"/>
          <w:sz w:val="24"/>
          <w:szCs w:val="24"/>
        </w:rPr>
        <w:t>46 号）的规定，本公司（联合体）参加 （</w:t>
      </w:r>
      <w:r>
        <w:rPr>
          <w:rFonts w:hint="eastAsia" w:ascii="仿宋_GB2312" w:eastAsia="仿宋_GB2312"/>
          <w:sz w:val="24"/>
          <w:szCs w:val="24"/>
          <w:u w:val="single"/>
        </w:rPr>
        <w:t>舟山市应急管理局、普朱管委会应急管理局、定海区应急管理局、普陀区应急管理局、岱山县应急管理局、嵊泗县应急管委局</w:t>
      </w:r>
      <w:r>
        <w:rPr>
          <w:rFonts w:hint="eastAsia" w:ascii="仿宋_GB2312" w:eastAsia="仿宋_GB2312"/>
          <w:sz w:val="24"/>
          <w:szCs w:val="24"/>
        </w:rPr>
        <w:t>） 的 （</w:t>
      </w:r>
      <w:r>
        <w:rPr>
          <w:rFonts w:hint="eastAsia" w:ascii="仿宋_GB2312" w:eastAsia="仿宋_GB2312"/>
          <w:bCs/>
          <w:sz w:val="24"/>
          <w:szCs w:val="24"/>
          <w:u w:val="single"/>
        </w:rPr>
        <w:t>浙江省舟山市自然灾害应急能力提升工程预警指挥项目</w:t>
      </w:r>
      <w:r>
        <w:rPr>
          <w:rFonts w:hint="eastAsia" w:ascii="仿宋_GB2312" w:eastAsia="仿宋_GB2312"/>
          <w:sz w:val="24"/>
          <w:szCs w:val="24"/>
        </w:rPr>
        <w:t>） 采购活动，提供的货物全部由符合政策要求的中小企业制造。相关企业（含联合体中的中小企业、签订分包意向协议的中小企业）的具体情况如下：</w:t>
      </w:r>
    </w:p>
    <w:tbl>
      <w:tblPr>
        <w:tblStyle w:val="25"/>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541"/>
        <w:gridCol w:w="1126"/>
        <w:gridCol w:w="936"/>
        <w:gridCol w:w="1126"/>
        <w:gridCol w:w="987"/>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Cs w:val="24"/>
              </w:rPr>
              <w:t>标的名称</w:t>
            </w:r>
          </w:p>
          <w:p>
            <w:pPr>
              <w:pStyle w:val="60"/>
              <w:ind w:firstLine="0" w:firstLineChars="0"/>
              <w:jc w:val="center"/>
              <w:rPr>
                <w:rFonts w:ascii="仿宋_GB2312" w:hAnsi="仿宋" w:eastAsia="仿宋_GB2312" w:cs="仿宋"/>
                <w:kern w:val="0"/>
                <w:szCs w:val="24"/>
              </w:rPr>
            </w:pPr>
          </w:p>
        </w:tc>
        <w:tc>
          <w:tcPr>
            <w:tcW w:w="1541" w:type="dxa"/>
            <w:vAlign w:val="center"/>
          </w:tcPr>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Cs w:val="24"/>
              </w:rPr>
              <w:t>采购文件中明确的所属行业</w:t>
            </w:r>
          </w:p>
        </w:tc>
        <w:tc>
          <w:tcPr>
            <w:tcW w:w="1126" w:type="dxa"/>
            <w:vAlign w:val="center"/>
          </w:tcPr>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Cs w:val="24"/>
              </w:rPr>
              <w:t>制造商</w:t>
            </w:r>
          </w:p>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Cs w:val="24"/>
              </w:rPr>
              <w:t>（企业名称）</w:t>
            </w:r>
          </w:p>
        </w:tc>
        <w:tc>
          <w:tcPr>
            <w:tcW w:w="936" w:type="dxa"/>
            <w:vAlign w:val="center"/>
          </w:tcPr>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Cs w:val="24"/>
              </w:rPr>
              <w:t>从业人员（人）</w:t>
            </w:r>
          </w:p>
        </w:tc>
        <w:tc>
          <w:tcPr>
            <w:tcW w:w="1126" w:type="dxa"/>
            <w:vAlign w:val="center"/>
          </w:tcPr>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Cs w:val="24"/>
              </w:rPr>
              <w:t>营业收入（万元）</w:t>
            </w:r>
          </w:p>
        </w:tc>
        <w:tc>
          <w:tcPr>
            <w:tcW w:w="987" w:type="dxa"/>
            <w:vAlign w:val="center"/>
          </w:tcPr>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Cs w:val="24"/>
              </w:rPr>
              <w:t>资产总额（万元）</w:t>
            </w:r>
          </w:p>
        </w:tc>
        <w:tc>
          <w:tcPr>
            <w:tcW w:w="1943" w:type="dxa"/>
            <w:vAlign w:val="center"/>
          </w:tcPr>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Cs w:val="24"/>
              </w:rPr>
              <w:t>属于</w:t>
            </w:r>
          </w:p>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 w:val="21"/>
                <w:szCs w:val="21"/>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pPr>
              <w:pStyle w:val="74"/>
              <w:rPr>
                <w:sz w:val="28"/>
                <w:szCs w:val="28"/>
              </w:rPr>
            </w:pPr>
          </w:p>
        </w:tc>
        <w:tc>
          <w:tcPr>
            <w:tcW w:w="1541" w:type="dxa"/>
          </w:tcPr>
          <w:p>
            <w:pPr>
              <w:pStyle w:val="11"/>
              <w:ind w:firstLine="0" w:firstLineChars="0"/>
              <w:jc w:val="left"/>
              <w:rPr>
                <w:rFonts w:ascii="仿宋_GB2312" w:eastAsia="仿宋_GB2312" w:cs="Times New Roman"/>
                <w:szCs w:val="24"/>
              </w:rPr>
            </w:pPr>
          </w:p>
        </w:tc>
        <w:tc>
          <w:tcPr>
            <w:tcW w:w="1126" w:type="dxa"/>
            <w:vAlign w:val="center"/>
          </w:tcPr>
          <w:p>
            <w:pPr>
              <w:widowControl/>
              <w:spacing w:line="276" w:lineRule="auto"/>
              <w:jc w:val="center"/>
              <w:rPr>
                <w:rFonts w:ascii="仿宋_GB2312" w:hAnsi="宋体" w:eastAsia="仿宋_GB2312" w:cs="宋体"/>
                <w:kern w:val="0"/>
                <w:sz w:val="24"/>
                <w:szCs w:val="24"/>
              </w:rPr>
            </w:pPr>
          </w:p>
        </w:tc>
        <w:tc>
          <w:tcPr>
            <w:tcW w:w="936" w:type="dxa"/>
          </w:tcPr>
          <w:p>
            <w:pPr>
              <w:pStyle w:val="60"/>
              <w:rPr>
                <w:rFonts w:ascii="仿宋_GB2312" w:hAnsi="Times New Roman" w:eastAsia="仿宋_GB2312" w:cs="Times New Roman"/>
                <w:kern w:val="0"/>
              </w:rPr>
            </w:pPr>
          </w:p>
        </w:tc>
        <w:tc>
          <w:tcPr>
            <w:tcW w:w="1126" w:type="dxa"/>
          </w:tcPr>
          <w:p>
            <w:pPr>
              <w:pStyle w:val="60"/>
              <w:rPr>
                <w:rFonts w:ascii="仿宋_GB2312" w:hAnsi="Times New Roman" w:eastAsia="仿宋_GB2312" w:cs="Times New Roman"/>
                <w:kern w:val="0"/>
              </w:rPr>
            </w:pPr>
          </w:p>
        </w:tc>
        <w:tc>
          <w:tcPr>
            <w:tcW w:w="987" w:type="dxa"/>
          </w:tcPr>
          <w:p>
            <w:pPr>
              <w:pStyle w:val="60"/>
              <w:rPr>
                <w:rFonts w:ascii="仿宋_GB2312" w:hAnsi="Times New Roman" w:eastAsia="仿宋_GB2312" w:cs="Times New Roman"/>
                <w:kern w:val="0"/>
              </w:rPr>
            </w:pPr>
          </w:p>
        </w:tc>
        <w:tc>
          <w:tcPr>
            <w:tcW w:w="1943" w:type="dxa"/>
          </w:tcPr>
          <w:p>
            <w:pPr>
              <w:pStyle w:val="60"/>
              <w:ind w:firstLine="0" w:firstLineChars="0"/>
              <w:jc w:val="center"/>
              <w:rPr>
                <w:rFonts w:ascii="仿宋_GB2312" w:hAnsi="仿宋" w:eastAsia="仿宋_GB2312"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pPr>
              <w:pStyle w:val="74"/>
              <w:rPr>
                <w:sz w:val="28"/>
                <w:szCs w:val="28"/>
              </w:rPr>
            </w:pPr>
          </w:p>
        </w:tc>
        <w:tc>
          <w:tcPr>
            <w:tcW w:w="1541" w:type="dxa"/>
          </w:tcPr>
          <w:p>
            <w:pPr>
              <w:pStyle w:val="11"/>
              <w:ind w:firstLine="0" w:firstLineChars="0"/>
              <w:jc w:val="left"/>
              <w:rPr>
                <w:rFonts w:ascii="仿宋_GB2312" w:eastAsia="仿宋_GB2312" w:cs="Times New Roman"/>
                <w:szCs w:val="24"/>
              </w:rPr>
            </w:pPr>
          </w:p>
        </w:tc>
        <w:tc>
          <w:tcPr>
            <w:tcW w:w="1126" w:type="dxa"/>
            <w:vAlign w:val="center"/>
          </w:tcPr>
          <w:p>
            <w:pPr>
              <w:widowControl/>
              <w:spacing w:line="276" w:lineRule="auto"/>
              <w:jc w:val="center"/>
              <w:rPr>
                <w:rFonts w:ascii="仿宋_GB2312" w:hAnsi="宋体" w:eastAsia="仿宋_GB2312" w:cs="宋体"/>
                <w:kern w:val="0"/>
                <w:sz w:val="24"/>
                <w:szCs w:val="24"/>
              </w:rPr>
            </w:pPr>
          </w:p>
        </w:tc>
        <w:tc>
          <w:tcPr>
            <w:tcW w:w="936" w:type="dxa"/>
          </w:tcPr>
          <w:p>
            <w:pPr>
              <w:pStyle w:val="60"/>
              <w:rPr>
                <w:rFonts w:ascii="仿宋_GB2312" w:hAnsi="Times New Roman" w:eastAsia="仿宋_GB2312" w:cs="Times New Roman"/>
                <w:kern w:val="0"/>
              </w:rPr>
            </w:pPr>
          </w:p>
        </w:tc>
        <w:tc>
          <w:tcPr>
            <w:tcW w:w="1126" w:type="dxa"/>
          </w:tcPr>
          <w:p>
            <w:pPr>
              <w:pStyle w:val="60"/>
              <w:rPr>
                <w:rFonts w:ascii="仿宋_GB2312" w:hAnsi="Times New Roman" w:eastAsia="仿宋_GB2312" w:cs="Times New Roman"/>
                <w:kern w:val="0"/>
              </w:rPr>
            </w:pPr>
          </w:p>
        </w:tc>
        <w:tc>
          <w:tcPr>
            <w:tcW w:w="987" w:type="dxa"/>
          </w:tcPr>
          <w:p>
            <w:pPr>
              <w:pStyle w:val="60"/>
              <w:rPr>
                <w:rFonts w:ascii="仿宋_GB2312" w:hAnsi="Times New Roman" w:eastAsia="仿宋_GB2312" w:cs="Times New Roman"/>
                <w:kern w:val="0"/>
              </w:rPr>
            </w:pPr>
          </w:p>
        </w:tc>
        <w:tc>
          <w:tcPr>
            <w:tcW w:w="1943" w:type="dxa"/>
          </w:tcPr>
          <w:p>
            <w:pPr>
              <w:pStyle w:val="60"/>
              <w:ind w:firstLine="0" w:firstLineChars="0"/>
              <w:jc w:val="center"/>
              <w:rPr>
                <w:rFonts w:ascii="仿宋_GB2312" w:hAnsi="仿宋" w:eastAsia="仿宋_GB2312"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pPr>
              <w:pStyle w:val="74"/>
              <w:rPr>
                <w:sz w:val="28"/>
                <w:szCs w:val="28"/>
              </w:rPr>
            </w:pPr>
          </w:p>
        </w:tc>
        <w:tc>
          <w:tcPr>
            <w:tcW w:w="1541" w:type="dxa"/>
          </w:tcPr>
          <w:p>
            <w:pPr>
              <w:pStyle w:val="11"/>
              <w:ind w:firstLine="0" w:firstLineChars="0"/>
              <w:jc w:val="left"/>
              <w:rPr>
                <w:rFonts w:ascii="仿宋_GB2312" w:eastAsia="仿宋_GB2312" w:cs="Times New Roman"/>
                <w:szCs w:val="24"/>
              </w:rPr>
            </w:pPr>
          </w:p>
        </w:tc>
        <w:tc>
          <w:tcPr>
            <w:tcW w:w="1126" w:type="dxa"/>
            <w:vAlign w:val="center"/>
          </w:tcPr>
          <w:p>
            <w:pPr>
              <w:widowControl/>
              <w:spacing w:line="276" w:lineRule="auto"/>
              <w:jc w:val="center"/>
              <w:rPr>
                <w:rFonts w:ascii="仿宋_GB2312" w:hAnsi="宋体" w:eastAsia="仿宋_GB2312" w:cs="宋体"/>
                <w:kern w:val="0"/>
                <w:sz w:val="24"/>
                <w:szCs w:val="24"/>
              </w:rPr>
            </w:pPr>
          </w:p>
        </w:tc>
        <w:tc>
          <w:tcPr>
            <w:tcW w:w="936" w:type="dxa"/>
          </w:tcPr>
          <w:p>
            <w:pPr>
              <w:pStyle w:val="60"/>
              <w:rPr>
                <w:rFonts w:ascii="仿宋_GB2312" w:hAnsi="Times New Roman" w:eastAsia="仿宋_GB2312" w:cs="Times New Roman"/>
                <w:kern w:val="0"/>
              </w:rPr>
            </w:pPr>
          </w:p>
        </w:tc>
        <w:tc>
          <w:tcPr>
            <w:tcW w:w="1126" w:type="dxa"/>
          </w:tcPr>
          <w:p>
            <w:pPr>
              <w:pStyle w:val="60"/>
              <w:rPr>
                <w:rFonts w:ascii="仿宋_GB2312" w:hAnsi="Times New Roman" w:eastAsia="仿宋_GB2312" w:cs="Times New Roman"/>
                <w:kern w:val="0"/>
              </w:rPr>
            </w:pPr>
          </w:p>
        </w:tc>
        <w:tc>
          <w:tcPr>
            <w:tcW w:w="987" w:type="dxa"/>
          </w:tcPr>
          <w:p>
            <w:pPr>
              <w:pStyle w:val="60"/>
              <w:rPr>
                <w:rFonts w:ascii="仿宋_GB2312" w:hAnsi="Times New Roman" w:eastAsia="仿宋_GB2312" w:cs="Times New Roman"/>
                <w:kern w:val="0"/>
              </w:rPr>
            </w:pPr>
          </w:p>
        </w:tc>
        <w:tc>
          <w:tcPr>
            <w:tcW w:w="1943" w:type="dxa"/>
          </w:tcPr>
          <w:p>
            <w:pPr>
              <w:pStyle w:val="60"/>
              <w:ind w:firstLine="0" w:firstLineChars="0"/>
              <w:jc w:val="center"/>
              <w:rPr>
                <w:rFonts w:ascii="仿宋_GB2312" w:hAnsi="仿宋" w:eastAsia="仿宋_GB2312"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pPr>
              <w:pStyle w:val="74"/>
              <w:rPr>
                <w:sz w:val="28"/>
                <w:szCs w:val="28"/>
              </w:rPr>
            </w:pPr>
          </w:p>
        </w:tc>
        <w:tc>
          <w:tcPr>
            <w:tcW w:w="1541" w:type="dxa"/>
          </w:tcPr>
          <w:p>
            <w:pPr>
              <w:jc w:val="left"/>
              <w:rPr>
                <w:rFonts w:ascii="仿宋_GB2312" w:hAnsi="Times New Roman" w:eastAsia="仿宋_GB2312" w:cs="Times New Roman"/>
                <w:sz w:val="24"/>
                <w:szCs w:val="24"/>
              </w:rPr>
            </w:pPr>
          </w:p>
        </w:tc>
        <w:tc>
          <w:tcPr>
            <w:tcW w:w="1126" w:type="dxa"/>
            <w:vAlign w:val="center"/>
          </w:tcPr>
          <w:p>
            <w:pPr>
              <w:widowControl/>
              <w:spacing w:line="276" w:lineRule="auto"/>
              <w:jc w:val="center"/>
              <w:rPr>
                <w:rFonts w:ascii="仿宋_GB2312" w:hAnsi="宋体" w:eastAsia="仿宋_GB2312" w:cs="宋体"/>
                <w:kern w:val="0"/>
                <w:sz w:val="24"/>
                <w:szCs w:val="24"/>
              </w:rPr>
            </w:pPr>
          </w:p>
        </w:tc>
        <w:tc>
          <w:tcPr>
            <w:tcW w:w="936" w:type="dxa"/>
          </w:tcPr>
          <w:p>
            <w:pPr>
              <w:pStyle w:val="60"/>
              <w:rPr>
                <w:rFonts w:ascii="仿宋_GB2312" w:hAnsi="Times New Roman" w:eastAsia="仿宋_GB2312" w:cs="Times New Roman"/>
                <w:kern w:val="0"/>
              </w:rPr>
            </w:pPr>
          </w:p>
        </w:tc>
        <w:tc>
          <w:tcPr>
            <w:tcW w:w="1126" w:type="dxa"/>
          </w:tcPr>
          <w:p>
            <w:pPr>
              <w:pStyle w:val="60"/>
              <w:rPr>
                <w:rFonts w:ascii="仿宋_GB2312" w:hAnsi="Times New Roman" w:eastAsia="仿宋_GB2312" w:cs="Times New Roman"/>
                <w:kern w:val="0"/>
              </w:rPr>
            </w:pPr>
          </w:p>
        </w:tc>
        <w:tc>
          <w:tcPr>
            <w:tcW w:w="987" w:type="dxa"/>
          </w:tcPr>
          <w:p>
            <w:pPr>
              <w:pStyle w:val="60"/>
              <w:rPr>
                <w:rFonts w:ascii="仿宋_GB2312" w:hAnsi="Times New Roman" w:eastAsia="仿宋_GB2312" w:cs="Times New Roman"/>
                <w:kern w:val="0"/>
              </w:rPr>
            </w:pPr>
          </w:p>
        </w:tc>
        <w:tc>
          <w:tcPr>
            <w:tcW w:w="1943" w:type="dxa"/>
          </w:tcPr>
          <w:p>
            <w:pPr>
              <w:pStyle w:val="60"/>
              <w:ind w:firstLine="0" w:firstLineChars="0"/>
              <w:jc w:val="center"/>
              <w:rPr>
                <w:rFonts w:ascii="仿宋_GB2312" w:hAnsi="仿宋" w:eastAsia="仿宋_GB2312"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pPr>
              <w:pStyle w:val="74"/>
              <w:rPr>
                <w:sz w:val="28"/>
                <w:szCs w:val="28"/>
              </w:rPr>
            </w:pPr>
          </w:p>
        </w:tc>
        <w:tc>
          <w:tcPr>
            <w:tcW w:w="1541" w:type="dxa"/>
          </w:tcPr>
          <w:p>
            <w:pPr>
              <w:jc w:val="left"/>
              <w:rPr>
                <w:rFonts w:ascii="仿宋_GB2312" w:hAnsi="Times New Roman" w:eastAsia="仿宋_GB2312" w:cs="Times New Roman"/>
                <w:sz w:val="24"/>
                <w:szCs w:val="24"/>
              </w:rPr>
            </w:pPr>
          </w:p>
        </w:tc>
        <w:tc>
          <w:tcPr>
            <w:tcW w:w="1126" w:type="dxa"/>
            <w:vAlign w:val="center"/>
          </w:tcPr>
          <w:p>
            <w:pPr>
              <w:widowControl/>
              <w:spacing w:line="276" w:lineRule="auto"/>
              <w:jc w:val="center"/>
              <w:rPr>
                <w:rFonts w:ascii="仿宋_GB2312" w:hAnsi="宋体" w:eastAsia="仿宋_GB2312" w:cs="宋体"/>
                <w:kern w:val="0"/>
                <w:sz w:val="24"/>
                <w:szCs w:val="24"/>
              </w:rPr>
            </w:pPr>
          </w:p>
        </w:tc>
        <w:tc>
          <w:tcPr>
            <w:tcW w:w="936" w:type="dxa"/>
          </w:tcPr>
          <w:p>
            <w:pPr>
              <w:pStyle w:val="60"/>
              <w:rPr>
                <w:rFonts w:ascii="仿宋_GB2312" w:hAnsi="Times New Roman" w:eastAsia="仿宋_GB2312" w:cs="Times New Roman"/>
                <w:kern w:val="0"/>
              </w:rPr>
            </w:pPr>
          </w:p>
        </w:tc>
        <w:tc>
          <w:tcPr>
            <w:tcW w:w="1126" w:type="dxa"/>
          </w:tcPr>
          <w:p>
            <w:pPr>
              <w:pStyle w:val="60"/>
              <w:rPr>
                <w:rFonts w:ascii="仿宋_GB2312" w:hAnsi="Times New Roman" w:eastAsia="仿宋_GB2312" w:cs="Times New Roman"/>
                <w:kern w:val="0"/>
              </w:rPr>
            </w:pPr>
          </w:p>
        </w:tc>
        <w:tc>
          <w:tcPr>
            <w:tcW w:w="987" w:type="dxa"/>
          </w:tcPr>
          <w:p>
            <w:pPr>
              <w:pStyle w:val="60"/>
              <w:rPr>
                <w:rFonts w:ascii="仿宋_GB2312" w:hAnsi="Times New Roman" w:eastAsia="仿宋_GB2312" w:cs="Times New Roman"/>
                <w:kern w:val="0"/>
              </w:rPr>
            </w:pPr>
          </w:p>
        </w:tc>
        <w:tc>
          <w:tcPr>
            <w:tcW w:w="1943" w:type="dxa"/>
          </w:tcPr>
          <w:p>
            <w:pPr>
              <w:pStyle w:val="60"/>
              <w:rPr>
                <w:rFonts w:ascii="仿宋_GB2312" w:hAnsi="Times New Roman" w:eastAsia="仿宋_GB2312" w:cs="Times New Roman"/>
                <w:kern w:val="0"/>
              </w:rPr>
            </w:pPr>
          </w:p>
        </w:tc>
      </w:tr>
    </w:tbl>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以上企业，不属于大企业的分支机构，不存在控股股东为大企业的情形，也不存在与大企业的负责人为同一人的情形。</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本企业对上述声明内容的真实性负责。如有虚假，将依法承担相应责任。</w:t>
      </w:r>
    </w:p>
    <w:p>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pPr>
        <w:spacing w:line="500" w:lineRule="exact"/>
        <w:ind w:firstLine="5520" w:firstLineChars="2300"/>
        <w:contextualSpacing/>
        <w:rPr>
          <w:rFonts w:ascii="仿宋_GB2312" w:eastAsia="仿宋_GB2312"/>
          <w:sz w:val="24"/>
          <w:szCs w:val="24"/>
        </w:rPr>
      </w:pPr>
      <w:r>
        <w:rPr>
          <w:rFonts w:hint="eastAsia" w:ascii="仿宋_GB2312" w:eastAsia="仿宋_GB2312"/>
          <w:sz w:val="24"/>
          <w:szCs w:val="24"/>
        </w:rPr>
        <w:t>日 期：</w:t>
      </w:r>
    </w:p>
    <w:p>
      <w:pPr>
        <w:spacing w:line="460" w:lineRule="exact"/>
        <w:contextualSpacing/>
        <w:rPr>
          <w:rFonts w:ascii="仿宋_GB2312" w:eastAsia="仿宋_GB2312"/>
          <w:sz w:val="24"/>
          <w:szCs w:val="24"/>
        </w:rPr>
      </w:pPr>
      <w:r>
        <w:rPr>
          <w:rFonts w:hint="eastAsia" w:ascii="仿宋_GB2312" w:eastAsia="仿宋_GB2312"/>
          <w:sz w:val="24"/>
          <w:szCs w:val="24"/>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0" w:firstLineChars="200"/>
        <w:rPr>
          <w:rFonts w:ascii="仿宋_GB2312" w:eastAsia="仿宋_GB2312"/>
          <w:sz w:val="24"/>
          <w:szCs w:val="24"/>
        </w:rPr>
      </w:pPr>
      <w:r>
        <w:rPr>
          <w:rFonts w:hint="eastAsia" w:ascii="仿宋_GB2312" w:eastAsia="仿宋_GB2312"/>
          <w:sz w:val="24"/>
          <w:szCs w:val="24"/>
        </w:rPr>
        <w:t>2.填写要求：①“标的名称”、“采购文件中明确的所属行业”依据招标文件第二部分投标人须知前附表中“采购标的及其对应的中小企业划分标准所属行业”的指引逐一填写，“制造商”按实际填写，以上内容不得缺漏；②从业人员、营业收入、资产总额应填报上一年度数据，无上一年度数据的新成立企业可不填报；③中型企业、小型企业、微型企业等3种企业类型，结合以上数据，应依据《中小企业划型标准规定》（工信部联企业〔2011〕300号）确定；④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pPr>
        <w:spacing w:line="460" w:lineRule="exact"/>
        <w:contextualSpacing/>
        <w:rPr>
          <w:rFonts w:ascii="仿宋_GB2312" w:eastAsia="仿宋_GB2312"/>
          <w:sz w:val="24"/>
          <w:szCs w:val="24"/>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autoSpaceDE w:val="0"/>
        <w:autoSpaceDN w:val="0"/>
        <w:ind w:firstLine="584"/>
        <w:rPr>
          <w:rFonts w:ascii="仿宋_GB2312" w:hAnsi="宋体" w:eastAsia="仿宋_GB2312" w:cs="宋体"/>
          <w:spacing w:val="6"/>
          <w:sz w:val="28"/>
          <w:szCs w:val="28"/>
        </w:rPr>
      </w:pPr>
      <w:r>
        <w:rPr>
          <w:rFonts w:hint="eastAsia" w:ascii="仿宋_GB2312" w:hAnsi="宋体" w:eastAsia="仿宋_GB2312" w:cs="宋体"/>
          <w:spacing w:val="6"/>
          <w:sz w:val="28"/>
          <w:szCs w:val="28"/>
        </w:rPr>
        <w:t>附件6：</w:t>
      </w:r>
    </w:p>
    <w:p>
      <w:pPr>
        <w:autoSpaceDE w:val="0"/>
        <w:autoSpaceDN w:val="0"/>
        <w:ind w:firstLine="560"/>
        <w:jc w:val="center"/>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联合协议</w:t>
      </w:r>
    </w:p>
    <w:p>
      <w:pPr>
        <w:widowControl/>
        <w:spacing w:line="360" w:lineRule="auto"/>
        <w:ind w:firstLine="482" w:firstLineChars="200"/>
        <w:jc w:val="left"/>
        <w:rPr>
          <w:rFonts w:ascii="仿宋_GB2312" w:hAnsi="宋体" w:eastAsia="仿宋_GB2312" w:cs="宋体"/>
          <w:b/>
          <w:sz w:val="24"/>
          <w:szCs w:val="24"/>
        </w:rPr>
      </w:pPr>
      <w:r>
        <w:rPr>
          <w:rFonts w:hint="eastAsia" w:ascii="仿宋_GB2312" w:hAnsi="宋体" w:eastAsia="仿宋_GB2312" w:cs="宋体"/>
          <w:b/>
          <w:sz w:val="24"/>
          <w:szCs w:val="24"/>
        </w:rPr>
        <w:t>（以联合体形式投标的，提供联合协议；本项目不接受联合体投标或者投标人不以联合体形式投标的，则不需要提供）</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（联合体所有成员名称）</w:t>
      </w:r>
      <w:r>
        <w:rPr>
          <w:rFonts w:hint="eastAsia" w:ascii="仿宋_GB2312" w:hAnsi="宋体" w:eastAsia="仿宋_GB2312" w:cs="宋体"/>
          <w:kern w:val="0"/>
          <w:sz w:val="24"/>
          <w:szCs w:val="24"/>
        </w:rPr>
        <w:t>自愿</w:t>
      </w:r>
      <w:r>
        <w:rPr>
          <w:rFonts w:hint="eastAsia" w:ascii="仿宋_GB2312" w:hAnsi="宋体" w:eastAsia="仿宋_GB2312" w:cs="宋体"/>
          <w:kern w:val="0"/>
          <w:sz w:val="24"/>
          <w:szCs w:val="24"/>
          <w:lang w:val="zh-CN"/>
        </w:rPr>
        <w:t>组成一个联合体，以一个投标人的身份</w:t>
      </w:r>
      <w:r>
        <w:rPr>
          <w:rFonts w:hint="eastAsia" w:ascii="仿宋_GB2312" w:hAnsi="宋体" w:eastAsia="仿宋_GB2312" w:cs="宋体"/>
          <w:kern w:val="0"/>
          <w:sz w:val="24"/>
          <w:szCs w:val="24"/>
        </w:rPr>
        <w:t>参加</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u w:val="single"/>
        </w:rPr>
        <w:t>（采购编号）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 xml:space="preserve">投标。 </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一、各方一致决定，</w:t>
      </w:r>
      <w:r>
        <w:rPr>
          <w:rFonts w:hint="eastAsia" w:ascii="仿宋_GB2312" w:hAnsi="宋体" w:eastAsia="仿宋_GB2312" w:cs="宋体"/>
          <w:kern w:val="0"/>
          <w:sz w:val="24"/>
          <w:szCs w:val="24"/>
          <w:u w:val="single"/>
        </w:rPr>
        <w:t>（某联合体成员名称）</w:t>
      </w:r>
      <w:r>
        <w:rPr>
          <w:rFonts w:hint="eastAsia" w:ascii="仿宋_GB2312" w:hAnsi="宋体" w:eastAsia="仿宋_GB2312" w:cs="宋体"/>
          <w:kern w:val="0"/>
          <w:sz w:val="24"/>
          <w:szCs w:val="24"/>
        </w:rPr>
        <w:t>为联合体</w:t>
      </w:r>
      <w:r>
        <w:rPr>
          <w:rFonts w:hint="eastAsia" w:ascii="仿宋_GB2312" w:hAnsi="宋体" w:eastAsia="仿宋_GB2312" w:cs="宋体"/>
          <w:kern w:val="0"/>
          <w:sz w:val="24"/>
          <w:szCs w:val="24"/>
          <w:lang w:val="zh-CN"/>
        </w:rPr>
        <w:t>牵头人</w:t>
      </w:r>
      <w:r>
        <w:rPr>
          <w:rFonts w:hint="eastAsia" w:ascii="仿宋_GB2312" w:hAnsi="宋体" w:eastAsia="仿宋_GB2312" w:cs="宋体"/>
          <w:sz w:val="24"/>
          <w:szCs w:val="24"/>
        </w:rPr>
        <w:t>，代表所有联合体成员负责投标和合同实施阶段的主办、协调工作</w:t>
      </w:r>
      <w:r>
        <w:rPr>
          <w:rFonts w:hint="eastAsia" w:ascii="仿宋_GB2312" w:hAnsi="宋体" w:eastAsia="仿宋_GB2312" w:cs="宋体"/>
          <w:kern w:val="0"/>
          <w:sz w:val="24"/>
          <w:szCs w:val="24"/>
          <w:lang w:val="zh-CN"/>
        </w:rPr>
        <w:t>。</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w:t>
      </w:r>
      <w:r>
        <w:rPr>
          <w:rFonts w:hint="eastAsia" w:ascii="仿宋_GB2312" w:hAnsi="宋体" w:eastAsia="仿宋_GB2312" w:cs="宋体"/>
          <w:sz w:val="24"/>
          <w:szCs w:val="24"/>
        </w:rPr>
        <w:t>所有联合体成员各方签署授权书，授权书载明的</w:t>
      </w:r>
      <w:r>
        <w:rPr>
          <w:rFonts w:hint="eastAsia" w:ascii="仿宋_GB2312" w:hAnsi="宋体" w:eastAsia="仿宋_GB2312" w:cs="宋体"/>
          <w:kern w:val="0"/>
          <w:sz w:val="24"/>
          <w:szCs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三、本次联合投标中，分工如下：</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（联合体成员1）</w:t>
      </w:r>
      <w:r>
        <w:rPr>
          <w:rFonts w:hint="eastAsia" w:ascii="仿宋_GB2312" w:hAnsi="宋体" w:eastAsia="仿宋_GB2312" w:cs="宋体"/>
          <w:kern w:val="0"/>
          <w:sz w:val="24"/>
          <w:szCs w:val="24"/>
          <w:lang w:val="zh-CN"/>
        </w:rPr>
        <w:t>承担的工作和义务为：；</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（联合体成员2）</w:t>
      </w:r>
      <w:r>
        <w:rPr>
          <w:rFonts w:hint="eastAsia" w:ascii="仿宋_GB2312" w:hAnsi="宋体" w:eastAsia="仿宋_GB2312" w:cs="宋体"/>
          <w:kern w:val="0"/>
          <w:sz w:val="24"/>
          <w:szCs w:val="24"/>
          <w:lang w:val="zh-CN"/>
        </w:rPr>
        <w:t>承担的工作和义务为：；</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四、联合体成员中小企业合同份额。</w:t>
      </w:r>
    </w:p>
    <w:p>
      <w:pPr>
        <w:snapToGrid w:val="0"/>
        <w:spacing w:line="360" w:lineRule="auto"/>
        <w:ind w:firstLine="480"/>
        <w:rPr>
          <w:rFonts w:ascii="仿宋_GB2312" w:hAnsi="宋体" w:eastAsia="仿宋_GB2312" w:cs="宋体"/>
          <w:b/>
          <w:kern w:val="0"/>
          <w:sz w:val="24"/>
          <w:szCs w:val="24"/>
          <w:lang w:val="zh-CN"/>
        </w:rPr>
      </w:pPr>
      <w:r>
        <w:rPr>
          <w:rFonts w:hint="eastAsia" w:ascii="仿宋_GB2312" w:hAnsi="宋体" w:eastAsia="仿宋_GB2312" w:cs="宋体"/>
          <w:kern w:val="0"/>
          <w:sz w:val="24"/>
          <w:szCs w:val="24"/>
          <w:lang w:val="zh-CN"/>
        </w:rPr>
        <w:t>1、</w:t>
      </w:r>
      <w:r>
        <w:rPr>
          <w:rFonts w:hint="eastAsia" w:ascii="仿宋_GB2312" w:hAnsi="宋体" w:eastAsia="仿宋_GB2312" w:cs="宋体"/>
          <w:kern w:val="0"/>
          <w:sz w:val="24"/>
          <w:szCs w:val="24"/>
          <w:u w:val="single"/>
        </w:rPr>
        <w:t>（</w:t>
      </w:r>
      <w:bookmarkStart w:id="407" w:name="_Hlk101131882"/>
      <w:r>
        <w:rPr>
          <w:rFonts w:hint="eastAsia" w:ascii="仿宋_GB2312" w:hAnsi="宋体" w:eastAsia="仿宋_GB2312" w:cs="宋体"/>
          <w:kern w:val="0"/>
          <w:sz w:val="24"/>
          <w:szCs w:val="24"/>
          <w:u w:val="single"/>
        </w:rPr>
        <w:t>联合体成员X,……</w:t>
      </w:r>
      <w:bookmarkEnd w:id="407"/>
      <w:r>
        <w:rPr>
          <w:rFonts w:hint="eastAsia" w:ascii="仿宋_GB2312" w:hAnsi="宋体" w:eastAsia="仿宋_GB2312" w:cs="宋体"/>
          <w:kern w:val="0"/>
          <w:sz w:val="24"/>
          <w:szCs w:val="24"/>
          <w:u w:val="single"/>
        </w:rPr>
        <w:t>）</w:t>
      </w:r>
      <w:r>
        <w:rPr>
          <w:rFonts w:hint="eastAsia" w:ascii="仿宋_GB2312" w:hAnsi="宋体" w:eastAsia="仿宋_GB2312" w:cs="宋体"/>
          <w:kern w:val="0"/>
          <w:sz w:val="24"/>
          <w:szCs w:val="24"/>
        </w:rPr>
        <w:t>提供的服务由小微企业承接，其合同份额占到合同总金额%以上</w:t>
      </w:r>
      <w:r>
        <w:rPr>
          <w:rFonts w:hint="eastAsia" w:ascii="仿宋_GB2312" w:hAnsi="宋体" w:eastAsia="仿宋_GB2312" w:cs="宋体"/>
          <w:kern w:val="0"/>
          <w:sz w:val="24"/>
          <w:szCs w:val="24"/>
          <w:lang w:val="zh-CN"/>
        </w:rPr>
        <w:t>。</w:t>
      </w:r>
      <w:r>
        <w:rPr>
          <w:rFonts w:hint="eastAsia" w:ascii="仿宋_GB2312" w:hAnsi="宋体" w:eastAsia="仿宋_GB2312" w:cs="宋体"/>
          <w:b/>
          <w:kern w:val="0"/>
          <w:sz w:val="24"/>
          <w:szCs w:val="24"/>
          <w:lang w:val="zh-CN"/>
        </w:rPr>
        <w:t>（</w:t>
      </w:r>
      <w:bookmarkStart w:id="408" w:name="_Hlk101133598"/>
      <w:r>
        <w:rPr>
          <w:rFonts w:hint="eastAsia" w:ascii="仿宋_GB2312" w:hAnsi="宋体" w:eastAsia="仿宋_GB2312" w:cs="宋体"/>
          <w:b/>
          <w:kern w:val="0"/>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宋体" w:eastAsia="仿宋_GB2312" w:cs="宋体"/>
          <w:b/>
          <w:sz w:val="24"/>
          <w:szCs w:val="24"/>
        </w:rPr>
        <w:t>拟享受以上价格扣除政策的，填写有关内容。</w:t>
      </w:r>
      <w:bookmarkEnd w:id="408"/>
      <w:r>
        <w:rPr>
          <w:rFonts w:hint="eastAsia" w:ascii="仿宋_GB2312" w:hAnsi="宋体" w:eastAsia="仿宋_GB2312" w:cs="宋体"/>
          <w:b/>
          <w:kern w:val="0"/>
          <w:sz w:val="24"/>
          <w:szCs w:val="24"/>
          <w:lang w:val="zh-CN"/>
        </w:rPr>
        <w:t>）</w:t>
      </w:r>
    </w:p>
    <w:p>
      <w:pPr>
        <w:spacing w:line="360" w:lineRule="auto"/>
        <w:ind w:firstLine="480" w:firstLineChars="200"/>
        <w:rPr>
          <w:rFonts w:ascii="仿宋_GB2312" w:hAnsi="宋体" w:eastAsia="仿宋_GB2312" w:cs="宋体"/>
          <w:b/>
          <w:bCs/>
          <w:kern w:val="0"/>
          <w:sz w:val="24"/>
          <w:szCs w:val="24"/>
          <w:lang w:val="zh-CN"/>
        </w:rPr>
      </w:pPr>
      <w:r>
        <w:rPr>
          <w:rFonts w:hint="eastAsia" w:ascii="仿宋_GB2312" w:hAnsi="宋体" w:eastAsia="仿宋_GB2312" w:cs="宋体"/>
          <w:sz w:val="24"/>
          <w:szCs w:val="24"/>
        </w:rPr>
        <w:t>2、</w:t>
      </w:r>
      <w:bookmarkStart w:id="409" w:name="_Hlk101133173"/>
      <w:r>
        <w:rPr>
          <w:rFonts w:hint="eastAsia" w:ascii="仿宋_GB2312" w:hAnsi="宋体" w:eastAsia="仿宋_GB2312" w:cs="宋体"/>
          <w:sz w:val="24"/>
          <w:szCs w:val="24"/>
        </w:rPr>
        <w:t>中小企业合同金额达到%，小微企业合同金额达到%</w:t>
      </w:r>
      <w:r>
        <w:rPr>
          <w:rFonts w:hint="eastAsia" w:ascii="仿宋_GB2312" w:hAnsi="宋体" w:eastAsia="仿宋_GB2312" w:cs="宋体"/>
          <w:kern w:val="0"/>
          <w:sz w:val="24"/>
          <w:szCs w:val="24"/>
          <w:lang w:val="zh-CN"/>
        </w:rPr>
        <w:t>。</w:t>
      </w:r>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宋体" w:eastAsia="仿宋_GB2312" w:cs="宋体"/>
          <w:b/>
          <w:bCs/>
          <w:kern w:val="0"/>
          <w:sz w:val="24"/>
          <w:szCs w:val="24"/>
          <w:lang w:val="zh-CN"/>
        </w:rPr>
        <w:t>）</w:t>
      </w:r>
      <w:bookmarkEnd w:id="409"/>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五、如果中标，</w:t>
      </w:r>
      <w:r>
        <w:rPr>
          <w:rFonts w:hint="eastAsia" w:ascii="仿宋_GB2312" w:hAnsi="宋体" w:eastAsia="仿宋_GB2312" w:cs="宋体"/>
          <w:sz w:val="24"/>
          <w:szCs w:val="24"/>
        </w:rPr>
        <w:t>联合体各成员方共同与采购人签订合同，并就采购合同约定的事项对采购人承担连带责任。</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六、有关本次联合投标的其他事宜：</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1、联合体各方不再单独参加或者与其他供应商另外组成联合体参加同一合同项下的政府采购活动。</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2、联合体中有同类资质的各方按照联合体分工承担相同工作的，按照资质等级较低的供应商确定资质等级。</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pPr>
        <w:snapToGrid w:val="0"/>
        <w:spacing w:line="360" w:lineRule="auto"/>
        <w:ind w:firstLine="5040" w:firstLineChars="2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pPr>
        <w:snapToGrid w:val="0"/>
        <w:spacing w:line="360" w:lineRule="auto"/>
        <w:ind w:right="960"/>
        <w:jc w:val="center"/>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 xml:space="preserve">                   ……</w:t>
      </w:r>
    </w:p>
    <w:p>
      <w:pPr>
        <w:snapToGrid w:val="0"/>
        <w:spacing w:line="360" w:lineRule="auto"/>
        <w:jc w:val="righ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日期：  年  月   日</w:t>
      </w:r>
    </w:p>
    <w:p>
      <w:pPr>
        <w:spacing w:line="540" w:lineRule="exact"/>
        <w:ind w:firstLine="482"/>
        <w:contextualSpacing/>
        <w:jc w:val="center"/>
        <w:rPr>
          <w:rFonts w:ascii="仿宋_GB2312" w:eastAsia="仿宋_GB2312"/>
          <w:b/>
          <w:sz w:val="24"/>
          <w:szCs w:val="24"/>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snapToGrid w:val="0"/>
        <w:spacing w:line="360" w:lineRule="auto"/>
        <w:ind w:firstLine="584"/>
        <w:rPr>
          <w:rFonts w:ascii="仿宋_GB2312" w:hAnsi="宋体" w:eastAsia="仿宋_GB2312" w:cs="宋体"/>
          <w:spacing w:val="6"/>
          <w:sz w:val="28"/>
          <w:szCs w:val="28"/>
        </w:rPr>
      </w:pPr>
    </w:p>
    <w:p>
      <w:pPr>
        <w:snapToGrid w:val="0"/>
        <w:spacing w:line="360" w:lineRule="auto"/>
        <w:ind w:firstLine="584"/>
        <w:rPr>
          <w:rFonts w:ascii="仿宋_GB2312" w:hAnsi="宋体" w:eastAsia="仿宋_GB2312" w:cs="宋体"/>
          <w:spacing w:val="6"/>
          <w:sz w:val="28"/>
          <w:szCs w:val="28"/>
        </w:rPr>
      </w:pPr>
      <w:r>
        <w:rPr>
          <w:rFonts w:hint="eastAsia" w:ascii="仿宋_GB2312" w:hAnsi="宋体" w:eastAsia="仿宋_GB2312" w:cs="宋体"/>
          <w:spacing w:val="6"/>
          <w:sz w:val="28"/>
          <w:szCs w:val="28"/>
        </w:rPr>
        <w:t>附件7：</w:t>
      </w:r>
    </w:p>
    <w:p>
      <w:pPr>
        <w:snapToGrid w:val="0"/>
        <w:spacing w:line="360" w:lineRule="auto"/>
        <w:ind w:firstLine="562"/>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分包意向协议</w:t>
      </w:r>
    </w:p>
    <w:p>
      <w:pPr>
        <w:widowControl/>
        <w:spacing w:line="360" w:lineRule="auto"/>
        <w:jc w:val="left"/>
        <w:rPr>
          <w:rFonts w:ascii="仿宋_GB2312" w:hAnsi="宋体" w:eastAsia="仿宋_GB2312" w:cs="宋体"/>
          <w:sz w:val="24"/>
          <w:szCs w:val="24"/>
        </w:rPr>
      </w:pPr>
      <w:r>
        <w:rPr>
          <w:rFonts w:hint="eastAsia" w:ascii="仿宋_GB2312" w:hAnsi="宋体" w:eastAsia="仿宋_GB2312" w:cs="宋体"/>
          <w:sz w:val="24"/>
          <w:szCs w:val="24"/>
        </w:rPr>
        <w:t>（</w:t>
      </w:r>
      <w:r>
        <w:rPr>
          <w:rFonts w:hint="eastAsia" w:ascii="仿宋_GB2312" w:hAnsi="宋体" w:eastAsia="仿宋_GB2312" w:cs="宋体"/>
          <w:b/>
          <w:sz w:val="24"/>
          <w:szCs w:val="24"/>
        </w:rPr>
        <w:t>中标后以分包方式履行合同的，提供分包意向协议；采购人不同意分包或者投标人中标后不以分包方式履行合同的，则不需要提供。</w:t>
      </w:r>
      <w:r>
        <w:rPr>
          <w:rFonts w:hint="eastAsia" w:ascii="仿宋_GB2312" w:hAnsi="宋体" w:eastAsia="仿宋_GB2312" w:cs="宋体"/>
          <w:sz w:val="24"/>
          <w:szCs w:val="24"/>
        </w:rPr>
        <w:t>）</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lang w:val="zh-CN"/>
        </w:rPr>
        <w:t>若成为</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u w:val="single"/>
        </w:rPr>
        <w:t>（采购编号）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的中标供应商，将依法采取分包方式履行合同。</w:t>
      </w: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rPr>
        <w:t>与</w:t>
      </w:r>
      <w:r>
        <w:rPr>
          <w:rFonts w:hint="eastAsia" w:ascii="仿宋_GB2312" w:hAnsi="宋体" w:eastAsia="仿宋_GB2312" w:cs="宋体"/>
          <w:kern w:val="0"/>
          <w:sz w:val="24"/>
          <w:szCs w:val="24"/>
          <w:u w:val="single"/>
        </w:rPr>
        <w:t>（所有分包供应商名称）</w:t>
      </w:r>
      <w:r>
        <w:rPr>
          <w:rFonts w:hint="eastAsia" w:ascii="仿宋_GB2312" w:hAnsi="宋体" w:eastAsia="仿宋_GB2312" w:cs="宋体"/>
          <w:kern w:val="0"/>
          <w:sz w:val="24"/>
          <w:szCs w:val="24"/>
        </w:rPr>
        <w:t>达成分包意向协议</w:t>
      </w:r>
      <w:r>
        <w:rPr>
          <w:rFonts w:hint="eastAsia" w:ascii="仿宋_GB2312" w:hAnsi="宋体" w:eastAsia="仿宋_GB2312" w:cs="宋体"/>
          <w:kern w:val="0"/>
          <w:sz w:val="24"/>
          <w:szCs w:val="24"/>
          <w:lang w:val="zh-CN"/>
        </w:rPr>
        <w:t xml:space="preserve">。 </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一、分包标的及数量</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lang w:val="zh-CN"/>
        </w:rPr>
        <w:t>将</w:t>
      </w:r>
      <w:r>
        <w:rPr>
          <w:rFonts w:hint="eastAsia" w:ascii="仿宋_GB2312" w:hAnsi="宋体" w:eastAsia="仿宋_GB2312" w:cs="宋体"/>
          <w:kern w:val="0"/>
          <w:sz w:val="24"/>
          <w:szCs w:val="24"/>
          <w:u w:val="single"/>
        </w:rPr>
        <w:t xml:space="preserve"> XX工作内容   </w:t>
      </w:r>
      <w:r>
        <w:rPr>
          <w:rFonts w:hint="eastAsia" w:ascii="仿宋_GB2312" w:hAnsi="宋体" w:eastAsia="仿宋_GB2312" w:cs="宋体"/>
          <w:sz w:val="24"/>
          <w:szCs w:val="24"/>
        </w:rPr>
        <w:t>分包给</w:t>
      </w:r>
      <w:r>
        <w:rPr>
          <w:rFonts w:hint="eastAsia" w:ascii="仿宋_GB2312" w:hAnsi="宋体" w:eastAsia="仿宋_GB2312" w:cs="宋体"/>
          <w:kern w:val="0"/>
          <w:sz w:val="24"/>
          <w:szCs w:val="24"/>
          <w:u w:val="single"/>
        </w:rPr>
        <w:t>（分包供应商1名称）</w:t>
      </w:r>
      <w:r>
        <w:rPr>
          <w:rFonts w:hint="eastAsia" w:ascii="仿宋_GB2312" w:hAnsi="宋体" w:eastAsia="仿宋_GB2312" w:cs="宋体"/>
          <w:kern w:val="0"/>
          <w:sz w:val="24"/>
          <w:szCs w:val="24"/>
          <w:lang w:val="zh-CN"/>
        </w:rPr>
        <w:t>，</w:t>
      </w:r>
      <w:r>
        <w:rPr>
          <w:rFonts w:hint="eastAsia" w:ascii="仿宋_GB2312" w:hAnsi="宋体" w:eastAsia="仿宋_GB2312" w:cs="宋体"/>
          <w:kern w:val="0"/>
          <w:sz w:val="24"/>
          <w:szCs w:val="24"/>
          <w:u w:val="single"/>
        </w:rPr>
        <w:t>（分包供应商2名称），</w:t>
      </w:r>
      <w:r>
        <w:rPr>
          <w:rFonts w:hint="eastAsia" w:ascii="仿宋_GB2312" w:hAnsi="宋体" w:eastAsia="仿宋_GB2312" w:cs="宋体"/>
          <w:kern w:val="0"/>
          <w:sz w:val="24"/>
          <w:szCs w:val="24"/>
          <w:lang w:val="zh-CN"/>
        </w:rPr>
        <w:t>具备承</w:t>
      </w:r>
      <w:r>
        <w:rPr>
          <w:rFonts w:hint="eastAsia" w:ascii="仿宋_GB2312" w:hAnsi="宋体" w:eastAsia="仿宋_GB2312" w:cs="宋体"/>
          <w:kern w:val="0"/>
          <w:sz w:val="24"/>
          <w:szCs w:val="24"/>
        </w:rPr>
        <w:t>担</w:t>
      </w:r>
      <w:r>
        <w:rPr>
          <w:rFonts w:hint="eastAsia" w:ascii="仿宋_GB2312" w:hAnsi="宋体" w:eastAsia="仿宋_GB2312" w:cs="宋体"/>
          <w:kern w:val="0"/>
          <w:sz w:val="24"/>
          <w:szCs w:val="24"/>
          <w:u w:val="single"/>
          <w:lang w:val="zh-CN"/>
        </w:rPr>
        <w:t>XX工作内容</w:t>
      </w:r>
      <w:r>
        <w:rPr>
          <w:rFonts w:hint="eastAsia" w:ascii="仿宋_GB2312" w:hAnsi="宋体" w:eastAsia="仿宋_GB2312" w:cs="宋体"/>
          <w:kern w:val="0"/>
          <w:sz w:val="24"/>
          <w:szCs w:val="24"/>
          <w:lang w:val="zh-CN"/>
        </w:rPr>
        <w:t>相应资质条件且不得再次分包；</w:t>
      </w:r>
    </w:p>
    <w:p>
      <w:pPr>
        <w:pStyle w:val="6"/>
        <w:ind w:left="664" w:leftChars="316" w:firstLine="229" w:firstLineChars="95"/>
        <w:rPr>
          <w:rFonts w:ascii="仿宋_GB2312" w:hAnsi="宋体" w:eastAsia="仿宋_GB2312" w:cs="宋体"/>
          <w:kern w:val="0"/>
          <w:sz w:val="24"/>
          <w:szCs w:val="24"/>
        </w:rPr>
      </w:pPr>
      <w:r>
        <w:rPr>
          <w:rFonts w:hint="eastAsia" w:ascii="仿宋_GB2312" w:hAnsi="宋体" w:eastAsia="仿宋_GB2312" w:cs="宋体"/>
          <w:kern w:val="0"/>
          <w:sz w:val="24"/>
          <w:szCs w:val="24"/>
        </w:rPr>
        <w:t>……</w:t>
      </w:r>
    </w:p>
    <w:p>
      <w:pPr>
        <w:rPr>
          <w:rFonts w:ascii="仿宋_GB2312" w:eastAsia="仿宋_GB2312"/>
          <w:sz w:val="24"/>
          <w:szCs w:val="24"/>
        </w:rPr>
      </w:pP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二、分包供应商中小企业合同份额</w:t>
      </w:r>
    </w:p>
    <w:p>
      <w:pPr>
        <w:snapToGrid w:val="0"/>
        <w:spacing w:line="360" w:lineRule="auto"/>
        <w:ind w:firstLine="480"/>
        <w:rPr>
          <w:rFonts w:ascii="仿宋_GB2312" w:hAnsi="宋体" w:eastAsia="仿宋_GB2312" w:cs="宋体"/>
          <w:b/>
          <w:kern w:val="0"/>
          <w:sz w:val="24"/>
          <w:szCs w:val="24"/>
          <w:lang w:val="zh-CN"/>
        </w:rPr>
      </w:pPr>
      <w:r>
        <w:rPr>
          <w:rFonts w:hint="eastAsia" w:ascii="仿宋_GB2312" w:hAnsi="宋体" w:eastAsia="仿宋_GB2312" w:cs="宋体"/>
          <w:kern w:val="0"/>
          <w:sz w:val="24"/>
          <w:szCs w:val="24"/>
        </w:rPr>
        <w:t>（一）</w:t>
      </w:r>
      <w:r>
        <w:rPr>
          <w:rFonts w:hint="eastAsia" w:ascii="仿宋_GB2312" w:hAnsi="宋体" w:eastAsia="仿宋_GB2312" w:cs="宋体"/>
          <w:kern w:val="0"/>
          <w:sz w:val="24"/>
          <w:szCs w:val="24"/>
          <w:u w:val="single"/>
        </w:rPr>
        <w:t>（分包供应商X,……）提供的服务全部由小微企业承接，</w:t>
      </w:r>
      <w:r>
        <w:rPr>
          <w:rFonts w:hint="eastAsia" w:ascii="仿宋_GB2312" w:hAnsi="宋体" w:eastAsia="仿宋_GB2312" w:cs="宋体"/>
          <w:kern w:val="0"/>
          <w:sz w:val="24"/>
          <w:szCs w:val="24"/>
        </w:rPr>
        <w:t>其合同份额占到合同总金额%以上</w:t>
      </w:r>
      <w:r>
        <w:rPr>
          <w:rFonts w:hint="eastAsia" w:ascii="仿宋_GB2312" w:hAnsi="宋体" w:eastAsia="仿宋_GB2312" w:cs="宋体"/>
          <w:sz w:val="24"/>
          <w:szCs w:val="24"/>
        </w:rPr>
        <w:t>。</w:t>
      </w:r>
      <w:r>
        <w:rPr>
          <w:rFonts w:hint="eastAsia" w:ascii="仿宋_GB2312" w:hAnsi="宋体" w:eastAsia="仿宋_GB2312" w:cs="宋体"/>
          <w:b/>
          <w:kern w:val="0"/>
          <w:sz w:val="24"/>
          <w:szCs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宋体" w:eastAsia="仿宋_GB2312" w:cs="宋体"/>
          <w:b/>
          <w:sz w:val="24"/>
          <w:szCs w:val="24"/>
        </w:rPr>
        <w:t>拟享受以上价格扣除政策的，填写有关内容。</w:t>
      </w:r>
      <w:r>
        <w:rPr>
          <w:rFonts w:hint="eastAsia" w:ascii="仿宋_GB2312" w:hAnsi="宋体" w:eastAsia="仿宋_GB2312" w:cs="宋体"/>
          <w:b/>
          <w:kern w:val="0"/>
          <w:sz w:val="24"/>
          <w:szCs w:val="24"/>
          <w:lang w:val="zh-CN"/>
        </w:rPr>
        <w:t>）</w:t>
      </w:r>
    </w:p>
    <w:p>
      <w:pPr>
        <w:spacing w:line="360" w:lineRule="auto"/>
        <w:ind w:firstLine="480" w:firstLineChars="200"/>
        <w:rPr>
          <w:rFonts w:ascii="仿宋_GB2312" w:hAnsi="宋体" w:eastAsia="仿宋_GB2312" w:cs="宋体"/>
          <w:b/>
          <w:bCs/>
          <w:kern w:val="0"/>
          <w:sz w:val="24"/>
          <w:szCs w:val="24"/>
          <w:lang w:val="zh-CN"/>
        </w:rPr>
      </w:pPr>
      <w:r>
        <w:rPr>
          <w:rFonts w:hint="eastAsia" w:ascii="仿宋_GB2312" w:hAnsi="宋体" w:eastAsia="仿宋_GB2312" w:cs="宋体"/>
          <w:sz w:val="24"/>
          <w:szCs w:val="24"/>
        </w:rPr>
        <w:t>（二）中小企业合同金额达到%，小微企业合同金额达到%</w:t>
      </w:r>
      <w:r>
        <w:rPr>
          <w:rFonts w:hint="eastAsia" w:ascii="仿宋_GB2312" w:hAnsi="宋体" w:eastAsia="仿宋_GB2312" w:cs="宋体"/>
          <w:kern w:val="0"/>
          <w:sz w:val="24"/>
          <w:szCs w:val="24"/>
          <w:lang w:val="zh-CN"/>
        </w:rPr>
        <w:t>。</w:t>
      </w:r>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要求合同分包形式参加的项目或采购包，供应商按招标文件第一部分招标公告申请人的资格要求中规定的</w:t>
      </w:r>
      <w:r>
        <w:rPr>
          <w:rFonts w:hint="eastAsia" w:ascii="仿宋_GB2312" w:hAnsi="宋体" w:eastAsia="仿宋_GB2312" w:cs="宋体"/>
          <w:b/>
          <w:kern w:val="0"/>
          <w:sz w:val="24"/>
          <w:szCs w:val="24"/>
          <w:lang w:val="zh-CN"/>
        </w:rPr>
        <w:t>分包意向协议</w:t>
      </w:r>
      <w:r>
        <w:rPr>
          <w:rFonts w:hint="eastAsia" w:ascii="仿宋_GB2312" w:hAnsi="宋体" w:eastAsia="仿宋_GB2312" w:cs="宋体"/>
          <w:b/>
          <w:bCs/>
          <w:sz w:val="24"/>
          <w:szCs w:val="24"/>
        </w:rPr>
        <w:t>中中小企业、小微企业合同金额应当达到的比例要求填写。</w:t>
      </w:r>
      <w:r>
        <w:rPr>
          <w:rFonts w:hint="eastAsia" w:ascii="仿宋_GB2312" w:hAnsi="宋体" w:eastAsia="仿宋_GB2312" w:cs="宋体"/>
          <w:b/>
          <w:bCs/>
          <w:kern w:val="0"/>
          <w:sz w:val="24"/>
          <w:szCs w:val="24"/>
          <w:lang w:val="zh-CN"/>
        </w:rPr>
        <w:t>）</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三、分包工作履行期限、地点、方式</w:t>
      </w:r>
    </w:p>
    <w:p>
      <w:pPr>
        <w:snapToGrid w:val="0"/>
        <w:spacing w:line="360" w:lineRule="auto"/>
        <w:ind w:firstLine="480"/>
        <w:rPr>
          <w:rFonts w:ascii="仿宋_GB2312" w:hAnsi="宋体" w:eastAsia="仿宋_GB2312" w:cs="宋体"/>
          <w:sz w:val="24"/>
          <w:szCs w:val="24"/>
          <w:u w:val="single"/>
        </w:rPr>
      </w:pP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四、质量</w:t>
      </w:r>
    </w:p>
    <w:p>
      <w:pPr>
        <w:snapToGrid w:val="0"/>
        <w:spacing w:line="360" w:lineRule="auto"/>
        <w:ind w:firstLine="480"/>
        <w:rPr>
          <w:rFonts w:ascii="仿宋_GB2312" w:hAnsi="宋体" w:eastAsia="仿宋_GB2312" w:cs="宋体"/>
          <w:kern w:val="0"/>
          <w:sz w:val="24"/>
          <w:szCs w:val="24"/>
          <w:lang w:val="zh-CN"/>
        </w:rPr>
      </w:pP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五、价款或者报酬</w:t>
      </w:r>
    </w:p>
    <w:p>
      <w:pPr>
        <w:snapToGrid w:val="0"/>
        <w:spacing w:line="360" w:lineRule="auto"/>
        <w:ind w:left="573" w:leftChars="273"/>
        <w:rPr>
          <w:rFonts w:ascii="仿宋_GB2312" w:hAnsi="宋体" w:eastAsia="仿宋_GB2312" w:cs="宋体"/>
          <w:kern w:val="0"/>
          <w:sz w:val="24"/>
          <w:szCs w:val="24"/>
          <w:lang w:val="zh-CN"/>
        </w:rPr>
      </w:pPr>
    </w:p>
    <w:p>
      <w:pPr>
        <w:snapToGrid w:val="0"/>
        <w:spacing w:line="360" w:lineRule="auto"/>
        <w:ind w:left="573" w:leftChars="273"/>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六、违约责任</w:t>
      </w:r>
    </w:p>
    <w:p>
      <w:pPr>
        <w:snapToGrid w:val="0"/>
        <w:spacing w:line="360" w:lineRule="auto"/>
        <w:ind w:firstLine="480"/>
        <w:rPr>
          <w:rFonts w:ascii="仿宋_GB2312" w:hAnsi="宋体" w:eastAsia="仿宋_GB2312" w:cs="宋体"/>
          <w:kern w:val="0"/>
          <w:sz w:val="24"/>
          <w:szCs w:val="24"/>
          <w:lang w:val="zh-CN"/>
        </w:rPr>
      </w:pP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七、争议解决的办法</w:t>
      </w:r>
    </w:p>
    <w:p>
      <w:pPr>
        <w:snapToGrid w:val="0"/>
        <w:spacing w:line="360" w:lineRule="auto"/>
        <w:ind w:firstLine="480"/>
        <w:rPr>
          <w:rFonts w:ascii="仿宋_GB2312" w:hAnsi="宋体" w:eastAsia="仿宋_GB2312" w:cs="宋体"/>
          <w:kern w:val="0"/>
          <w:sz w:val="24"/>
          <w:szCs w:val="24"/>
          <w:lang w:val="zh-CN"/>
        </w:rPr>
      </w:pP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八、其他</w:t>
      </w:r>
    </w:p>
    <w:p>
      <w:pPr>
        <w:snapToGrid w:val="0"/>
        <w:spacing w:line="360" w:lineRule="auto"/>
        <w:ind w:firstLine="480"/>
        <w:rPr>
          <w:rFonts w:ascii="仿宋_GB2312" w:hAnsi="宋体" w:eastAsia="仿宋_GB2312" w:cs="宋体"/>
          <w:kern w:val="0"/>
          <w:sz w:val="24"/>
          <w:szCs w:val="24"/>
          <w:lang w:val="zh-CN"/>
        </w:rPr>
      </w:pPr>
    </w:p>
    <w:p>
      <w:pPr>
        <w:snapToGrid w:val="0"/>
        <w:spacing w:line="360" w:lineRule="auto"/>
        <w:ind w:left="5758" w:leftChars="342" w:hanging="5040" w:hangingChars="2100"/>
        <w:rPr>
          <w:rFonts w:ascii="仿宋_GB2312" w:hAnsi="宋体" w:eastAsia="仿宋_GB2312" w:cs="宋体"/>
          <w:kern w:val="0"/>
          <w:sz w:val="24"/>
          <w:szCs w:val="24"/>
          <w:lang w:val="zh-CN"/>
        </w:rPr>
      </w:pPr>
    </w:p>
    <w:p>
      <w:pPr>
        <w:snapToGrid w:val="0"/>
        <w:spacing w:line="360" w:lineRule="auto"/>
        <w:ind w:left="5758" w:leftChars="342" w:hanging="5040" w:hangingChars="2100"/>
        <w:rPr>
          <w:rFonts w:ascii="仿宋_GB2312" w:hAnsi="宋体" w:eastAsia="仿宋_GB2312" w:cs="宋体"/>
          <w:kern w:val="0"/>
          <w:sz w:val="24"/>
          <w:szCs w:val="24"/>
          <w:lang w:val="zh-CN"/>
        </w:rPr>
      </w:pPr>
    </w:p>
    <w:p>
      <w:pPr>
        <w:snapToGrid w:val="0"/>
        <w:spacing w:line="360" w:lineRule="auto"/>
        <w:ind w:left="5746" w:leftChars="2622" w:hanging="240" w:hangingChars="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投标人名称(电子签名)：</w:t>
      </w:r>
    </w:p>
    <w:p>
      <w:pPr>
        <w:snapToGrid w:val="0"/>
        <w:spacing w:line="360" w:lineRule="auto"/>
        <w:jc w:val="righ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分包供应商名称(电子签名/公章)：</w:t>
      </w:r>
    </w:p>
    <w:p>
      <w:pPr>
        <w:snapToGrid w:val="0"/>
        <w:spacing w:line="360" w:lineRule="auto"/>
        <w:ind w:firstLine="5760" w:firstLineChars="2400"/>
        <w:rPr>
          <w:rFonts w:ascii="仿宋_GB2312" w:hAnsi="宋体" w:eastAsia="仿宋_GB2312" w:cs="宋体"/>
          <w:sz w:val="24"/>
          <w:szCs w:val="24"/>
        </w:rPr>
      </w:pPr>
      <w:r>
        <w:rPr>
          <w:rFonts w:hint="eastAsia" w:ascii="仿宋_GB2312" w:hAnsi="宋体" w:eastAsia="仿宋_GB2312" w:cs="宋体"/>
          <w:kern w:val="0"/>
          <w:sz w:val="24"/>
          <w:szCs w:val="24"/>
          <w:lang w:val="zh-CN"/>
        </w:rPr>
        <w:t>……</w:t>
      </w:r>
    </w:p>
    <w:p>
      <w:pPr>
        <w:snapToGrid w:val="0"/>
        <w:spacing w:line="360" w:lineRule="auto"/>
        <w:ind w:left="5758" w:leftChars="342" w:hanging="5040" w:hangingChars="2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 xml:space="preserve">                                        日期：  年  月   日</w:t>
      </w: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政  采  贷</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pPr>
              <w:spacing w:line="400" w:lineRule="exact"/>
              <w:contextualSpacing/>
              <w:rPr>
                <w:rFonts w:ascii="仿宋_GB2312" w:eastAsia="仿宋_GB2312"/>
                <w:sz w:val="24"/>
              </w:rPr>
            </w:pPr>
            <w:r>
              <w:rPr>
                <w:rFonts w:hint="eastAsia" w:ascii="仿宋_GB2312" w:eastAsia="仿宋_GB2312"/>
                <w:sz w:val="24"/>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pPr>
              <w:spacing w:line="400" w:lineRule="exact"/>
              <w:contextualSpacing/>
              <w:jc w:val="center"/>
              <w:rPr>
                <w:rFonts w:ascii="仿宋_GB2312" w:eastAsia="仿宋_GB2312"/>
                <w:sz w:val="24"/>
              </w:rPr>
            </w:pPr>
            <w:r>
              <w:rPr>
                <w:rFonts w:hint="eastAsia" w:ascii="仿宋_GB2312" w:eastAsia="仿宋_GB2312"/>
                <w:sz w:val="24"/>
              </w:rPr>
              <w:t>银行名称</w:t>
            </w:r>
          </w:p>
        </w:tc>
        <w:tc>
          <w:tcPr>
            <w:tcW w:w="3975" w:type="dxa"/>
            <w:vAlign w:val="center"/>
          </w:tcPr>
          <w:p>
            <w:pPr>
              <w:spacing w:line="400" w:lineRule="exact"/>
              <w:contextualSpacing/>
              <w:jc w:val="center"/>
              <w:rPr>
                <w:rFonts w:ascii="仿宋_GB2312" w:eastAsia="仿宋_GB2312"/>
                <w:sz w:val="24"/>
              </w:rPr>
            </w:pPr>
            <w:r>
              <w:rPr>
                <w:rFonts w:hint="eastAsia" w:ascii="仿宋_GB2312" w:eastAsia="仿宋_GB2312"/>
                <w:sz w:val="24"/>
              </w:rPr>
              <w:t>各银行介绍的产品特点</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经办人</w:t>
            </w:r>
          </w:p>
        </w:tc>
        <w:tc>
          <w:tcPr>
            <w:tcW w:w="1908" w:type="dxa"/>
            <w:vAlign w:val="center"/>
          </w:tcPr>
          <w:p>
            <w:pPr>
              <w:spacing w:line="400" w:lineRule="exact"/>
              <w:contextualSpacing/>
              <w:jc w:val="center"/>
              <w:rPr>
                <w:rFonts w:ascii="仿宋_GB2312" w:eastAsia="仿宋_GB2312"/>
                <w:sz w:val="24"/>
              </w:rPr>
            </w:pPr>
            <w:r>
              <w:rPr>
                <w:rFonts w:hint="eastAsia" w:ascii="仿宋_GB2312" w:eastAsia="仿宋_GB2312"/>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中国工商银行股份有限公司舟山分行</w:t>
            </w:r>
          </w:p>
        </w:tc>
        <w:tc>
          <w:tcPr>
            <w:tcW w:w="3975" w:type="dxa"/>
          </w:tcPr>
          <w:p>
            <w:pPr>
              <w:numPr>
                <w:ilvl w:val="0"/>
                <w:numId w:val="16"/>
              </w:numPr>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融资额度高，融资金额最高可至订单金额70%，线上申请，随借随还。2.融资利率低，最低可至当期LPR利率。</w:t>
            </w:r>
          </w:p>
          <w:p>
            <w:pPr>
              <w:spacing w:line="400" w:lineRule="exact"/>
              <w:contextualSpacing/>
              <w:rPr>
                <w:rFonts w:ascii="仿宋_GB2312" w:eastAsia="仿宋_GB2312"/>
                <w:sz w:val="24"/>
              </w:rPr>
            </w:pPr>
            <w:r>
              <w:rPr>
                <w:rFonts w:hint="eastAsia" w:ascii="仿宋_GB2312" w:hAnsi="仿宋_GB2312" w:eastAsia="仿宋_GB2312" w:cs="仿宋_GB2312"/>
                <w:sz w:val="24"/>
                <w:szCs w:val="24"/>
              </w:rPr>
              <w:t>3.担保方式灵活，以政府采购合同进行融资，无需另外抵押。</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柳超颖</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0580-2166242, 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中国建设银行股份有限公司舟山分行</w:t>
            </w:r>
          </w:p>
        </w:tc>
        <w:tc>
          <w:tcPr>
            <w:tcW w:w="3975" w:type="dxa"/>
          </w:tcPr>
          <w:p>
            <w:pPr>
              <w:numPr>
                <w:ilvl w:val="0"/>
                <w:numId w:val="17"/>
              </w:numPr>
              <w:spacing w:line="400" w:lineRule="exact"/>
              <w:contextualSpacing/>
              <w:rPr>
                <w:rFonts w:ascii="仿宋_GB2312" w:eastAsia="仿宋_GB2312"/>
                <w:sz w:val="24"/>
              </w:rPr>
            </w:pPr>
            <w:r>
              <w:rPr>
                <w:rFonts w:hint="eastAsia" w:ascii="仿宋_GB2312" w:eastAsia="仿宋_GB2312"/>
                <w:sz w:val="24"/>
              </w:rPr>
              <w:t>快速便捷：全流程线上操作，通过浙江省政府采购网数据审核信用额度，建行供应链平台快速放款。</w:t>
            </w:r>
          </w:p>
          <w:p>
            <w:pPr>
              <w:numPr>
                <w:ilvl w:val="0"/>
                <w:numId w:val="17"/>
              </w:numPr>
              <w:spacing w:line="400" w:lineRule="exact"/>
              <w:contextualSpacing/>
              <w:rPr>
                <w:rFonts w:ascii="仿宋_GB2312" w:eastAsia="仿宋_GB2312"/>
                <w:sz w:val="24"/>
              </w:rPr>
            </w:pPr>
            <w:r>
              <w:rPr>
                <w:rFonts w:hint="eastAsia" w:ascii="仿宋_GB2312" w:eastAsia="仿宋_GB2312"/>
                <w:sz w:val="24"/>
              </w:rPr>
              <w:t>申请额度高：单笔融资额度最高可达政府采购合同金额的90%，单户额度最高可达3000万。</w:t>
            </w:r>
          </w:p>
          <w:p>
            <w:pPr>
              <w:numPr>
                <w:ilvl w:val="0"/>
                <w:numId w:val="17"/>
              </w:numPr>
              <w:spacing w:line="400" w:lineRule="exact"/>
              <w:contextualSpacing/>
              <w:rPr>
                <w:rFonts w:ascii="仿宋_GB2312" w:eastAsia="仿宋_GB2312"/>
                <w:sz w:val="24"/>
              </w:rPr>
            </w:pPr>
            <w:r>
              <w:rPr>
                <w:rFonts w:hint="eastAsia" w:ascii="仿宋_GB2312" w:eastAsia="仿宋_GB2312"/>
                <w:sz w:val="24"/>
              </w:rPr>
              <w:t>无需额外抵押：以浙江省政府采购网备案公示的政府采购合同进行融资，无需额外抵押担保。</w:t>
            </w:r>
          </w:p>
          <w:p>
            <w:pPr>
              <w:numPr>
                <w:ilvl w:val="0"/>
                <w:numId w:val="17"/>
              </w:numPr>
              <w:spacing w:line="400" w:lineRule="exact"/>
              <w:contextualSpacing/>
              <w:rPr>
                <w:rFonts w:ascii="仿宋_GB2312" w:eastAsia="仿宋_GB2312"/>
                <w:sz w:val="24"/>
              </w:rPr>
            </w:pPr>
            <w:r>
              <w:rPr>
                <w:rFonts w:hint="eastAsia" w:ascii="仿宋_GB2312" w:eastAsia="仿宋_GB2312"/>
                <w:sz w:val="24"/>
              </w:rPr>
              <w:t>利率优惠：给予流动资金贷款最优惠利率。</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普陀片区：蔡妮妮</w:t>
            </w:r>
          </w:p>
          <w:p>
            <w:pPr>
              <w:spacing w:line="400" w:lineRule="exact"/>
              <w:contextualSpacing/>
              <w:jc w:val="center"/>
              <w:rPr>
                <w:rFonts w:ascii="仿宋_GB2312" w:eastAsia="仿宋_GB2312"/>
                <w:sz w:val="24"/>
              </w:rPr>
            </w:pPr>
            <w:r>
              <w:rPr>
                <w:rFonts w:hint="eastAsia" w:ascii="仿宋_GB2312" w:eastAsia="仿宋_GB2312"/>
                <w:sz w:val="24"/>
              </w:rPr>
              <w:t>定海片区：杨莹</w:t>
            </w:r>
          </w:p>
          <w:p>
            <w:pPr>
              <w:spacing w:line="400" w:lineRule="exact"/>
              <w:contextualSpacing/>
              <w:jc w:val="center"/>
              <w:rPr>
                <w:rFonts w:ascii="仿宋_GB2312" w:eastAsia="仿宋_GB2312"/>
                <w:sz w:val="24"/>
              </w:rPr>
            </w:pPr>
            <w:r>
              <w:rPr>
                <w:rFonts w:hint="eastAsia" w:ascii="仿宋_GB2312" w:eastAsia="仿宋_GB2312"/>
                <w:sz w:val="24"/>
              </w:rPr>
              <w:t>自贸区片区：方晓</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普陀片区：13957201791</w:t>
            </w:r>
          </w:p>
          <w:p>
            <w:pPr>
              <w:spacing w:line="400" w:lineRule="exact"/>
              <w:contextualSpacing/>
              <w:rPr>
                <w:rFonts w:ascii="仿宋_GB2312" w:eastAsia="仿宋_GB2312"/>
                <w:sz w:val="24"/>
              </w:rPr>
            </w:pPr>
            <w:r>
              <w:rPr>
                <w:rFonts w:hint="eastAsia" w:ascii="仿宋_GB2312" w:eastAsia="仿宋_GB2312"/>
                <w:sz w:val="24"/>
              </w:rPr>
              <w:t>定海片区：13655803997</w:t>
            </w:r>
          </w:p>
          <w:p>
            <w:pPr>
              <w:spacing w:line="400" w:lineRule="exact"/>
              <w:contextualSpacing/>
              <w:rPr>
                <w:rFonts w:ascii="仿宋_GB2312" w:eastAsia="仿宋_GB2312"/>
                <w:sz w:val="24"/>
              </w:rPr>
            </w:pPr>
            <w:r>
              <w:rPr>
                <w:rFonts w:hint="eastAsia" w:ascii="仿宋_GB2312" w:eastAsia="仿宋_GB2312"/>
                <w:sz w:val="24"/>
              </w:rPr>
              <w:t>自贸区片区：13587086324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杭州银行股份有限公司舟山市分行</w:t>
            </w:r>
          </w:p>
        </w:tc>
        <w:tc>
          <w:tcPr>
            <w:tcW w:w="3975" w:type="dxa"/>
          </w:tcPr>
          <w:p>
            <w:pPr>
              <w:spacing w:line="400" w:lineRule="exact"/>
              <w:contextualSpacing/>
              <w:rPr>
                <w:rFonts w:ascii="仿宋_GB2312" w:eastAsia="仿宋_GB2312"/>
                <w:sz w:val="24"/>
              </w:rPr>
            </w:pPr>
            <w:r>
              <w:rPr>
                <w:rFonts w:hint="eastAsia" w:ascii="仿宋_GB2312" w:eastAsia="仿宋_GB2312"/>
                <w:sz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方经理</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招商银行股份有限公司浙江自贸试验区舟山分行</w:t>
            </w:r>
          </w:p>
        </w:tc>
        <w:tc>
          <w:tcPr>
            <w:tcW w:w="3975" w:type="dxa"/>
          </w:tcPr>
          <w:p>
            <w:pPr>
              <w:spacing w:line="400" w:lineRule="exact"/>
              <w:rPr>
                <w:rFonts w:ascii="仿宋_GB2312" w:eastAsia="仿宋_GB2312"/>
              </w:rPr>
            </w:pPr>
            <w:r>
              <w:rPr>
                <w:rFonts w:hint="eastAsia" w:ascii="仿宋_GB2312" w:hAnsi="仿宋_GB2312" w:eastAsia="仿宋_GB2312" w:cs="仿宋_GB2312"/>
                <w:sz w:val="24"/>
                <w:szCs w:val="24"/>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李玲</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温州银行股份有限公司舟山市分行</w:t>
            </w:r>
          </w:p>
        </w:tc>
        <w:tc>
          <w:tcPr>
            <w:tcW w:w="3975" w:type="dxa"/>
          </w:tcPr>
          <w:p>
            <w:pPr>
              <w:numPr>
                <w:ilvl w:val="0"/>
                <w:numId w:val="18"/>
              </w:numPr>
              <w:spacing w:line="400" w:lineRule="exact"/>
              <w:contextualSpacing/>
              <w:rPr>
                <w:rFonts w:ascii="仿宋_GB2312" w:eastAsia="仿宋_GB2312"/>
                <w:sz w:val="24"/>
              </w:rPr>
            </w:pPr>
            <w:r>
              <w:rPr>
                <w:rFonts w:hint="eastAsia" w:ascii="仿宋_GB2312" w:eastAsia="仿宋_GB2312"/>
                <w:sz w:val="24"/>
              </w:rPr>
              <w:t>单户授信敞口最高不超过1000万元，且最高额度核定一般不超过借款人（含实际控制人控制的其他经营实体）最近13个月合计有效中标合同金额的70%。</w:t>
            </w:r>
          </w:p>
          <w:p>
            <w:pPr>
              <w:numPr>
                <w:ilvl w:val="0"/>
                <w:numId w:val="18"/>
              </w:numPr>
              <w:spacing w:line="400" w:lineRule="exact"/>
              <w:contextualSpacing/>
              <w:rPr>
                <w:rFonts w:ascii="仿宋_GB2312" w:eastAsia="仿宋_GB2312"/>
                <w:sz w:val="24"/>
              </w:rPr>
            </w:pPr>
            <w:r>
              <w:rPr>
                <w:rFonts w:hint="eastAsia" w:ascii="仿宋_GB2312" w:eastAsia="仿宋_GB2312"/>
                <w:sz w:val="24"/>
              </w:rPr>
              <w:t>单笔借款额度最高不超过1000万元，单笔业务授信额度不超过“政采云平台”提供的中标通知书承载的中标金额或本次申请授信提供的采购合同金额的80%，且用信金额不超过采购合同未付金额的80%。</w:t>
            </w:r>
          </w:p>
          <w:p>
            <w:pPr>
              <w:numPr>
                <w:ilvl w:val="0"/>
                <w:numId w:val="18"/>
              </w:numPr>
              <w:spacing w:line="400" w:lineRule="exact"/>
              <w:contextualSpacing/>
              <w:rPr>
                <w:rFonts w:ascii="仿宋_GB2312" w:eastAsia="仿宋_GB2312"/>
                <w:sz w:val="24"/>
              </w:rPr>
            </w:pPr>
            <w:r>
              <w:rPr>
                <w:rFonts w:hint="eastAsia" w:ascii="仿宋_GB2312" w:eastAsia="仿宋_GB2312"/>
                <w:sz w:val="24"/>
              </w:rPr>
              <w:t>借款人中标采购人自行采购项目并向我行发起授信申请的，单笔业务授信敞口不超500万元，且不超过借款人中标通知书承载的中标金额或本次申请授信提供的采购合同的80%。</w:t>
            </w:r>
          </w:p>
          <w:p>
            <w:pPr>
              <w:numPr>
                <w:ilvl w:val="0"/>
                <w:numId w:val="18"/>
              </w:numPr>
              <w:spacing w:line="400" w:lineRule="exact"/>
              <w:contextualSpacing/>
              <w:rPr>
                <w:rFonts w:ascii="仿宋_GB2312" w:eastAsia="仿宋_GB2312"/>
                <w:sz w:val="24"/>
              </w:rPr>
            </w:pPr>
            <w:r>
              <w:rPr>
                <w:rFonts w:hint="eastAsia" w:ascii="仿宋_GB2312" w:eastAsia="仿宋_GB2312"/>
                <w:sz w:val="24"/>
              </w:rPr>
              <w:t>符合我行采购人资质的，且负债率不超75%，配合应收账款质押登记确认的，并可出具确认函，单笔借款额度可按不超过采购合同的90%办理。</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郑贤栋</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0580—8866086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交通银行股份有限公司舟山分行</w:t>
            </w:r>
          </w:p>
        </w:tc>
        <w:tc>
          <w:tcPr>
            <w:tcW w:w="3975" w:type="dxa"/>
          </w:tcPr>
          <w:p>
            <w:pPr>
              <w:spacing w:line="400" w:lineRule="exact"/>
              <w:contextualSpacing/>
              <w:rPr>
                <w:rFonts w:ascii="仿宋_GB2312" w:eastAsia="仿宋_GB2312"/>
                <w:sz w:val="24"/>
              </w:rPr>
            </w:pPr>
            <w:r>
              <w:rPr>
                <w:rFonts w:hint="eastAsia" w:ascii="仿宋_GB2312" w:hAnsi="仿宋_GB2312" w:eastAsia="仿宋_GB2312" w:cs="仿宋_GB2312"/>
                <w:sz w:val="24"/>
                <w:szCs w:val="24"/>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_GB2312" w:eastAsia="仿宋_GB2312"/>
              </w:rPr>
              <w:t>PR。</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赵争艳</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0580-2260728</w:t>
            </w:r>
          </w:p>
          <w:p>
            <w:pPr>
              <w:spacing w:line="400" w:lineRule="exact"/>
              <w:contextualSpacing/>
              <w:rPr>
                <w:rFonts w:ascii="仿宋_GB2312" w:eastAsia="仿宋_GB2312"/>
                <w:sz w:val="24"/>
              </w:rPr>
            </w:pPr>
            <w:r>
              <w:rPr>
                <w:rFonts w:hint="eastAsia" w:ascii="仿宋_GB2312" w:eastAsia="仿宋_GB2312"/>
                <w:sz w:val="24"/>
              </w:rPr>
              <w:t>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中信银行股份有限公司舟山分行</w:t>
            </w:r>
          </w:p>
        </w:tc>
        <w:tc>
          <w:tcPr>
            <w:tcW w:w="3975" w:type="dxa"/>
          </w:tcPr>
          <w:p>
            <w:pPr>
              <w:spacing w:line="400" w:lineRule="exact"/>
              <w:contextualSpacing/>
              <w:rPr>
                <w:rFonts w:ascii="仿宋_GB2312" w:eastAsia="仿宋_GB2312"/>
                <w:sz w:val="24"/>
              </w:rPr>
            </w:pPr>
            <w:r>
              <w:rPr>
                <w:rFonts w:hint="eastAsia" w:ascii="仿宋_GB2312" w:eastAsia="仿宋_GB2312"/>
                <w:sz w:val="24"/>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黄丽</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13905808032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泰隆银行舟山市分行</w:t>
            </w:r>
          </w:p>
        </w:tc>
        <w:tc>
          <w:tcPr>
            <w:tcW w:w="3975" w:type="dxa"/>
          </w:tcPr>
          <w:p>
            <w:pPr>
              <w:spacing w:line="400" w:lineRule="exact"/>
              <w:contextualSpacing/>
              <w:rPr>
                <w:rFonts w:ascii="仿宋_GB2312" w:eastAsia="仿宋_GB2312"/>
                <w:sz w:val="24"/>
              </w:rPr>
            </w:pPr>
            <w:r>
              <w:rPr>
                <w:rFonts w:hint="eastAsia" w:ascii="仿宋_GB2312" w:eastAsia="仿宋_GB2312"/>
                <w:sz w:val="24"/>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胡亢宇</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中国农业银行股份有限公司舟山分行</w:t>
            </w:r>
          </w:p>
        </w:tc>
        <w:tc>
          <w:tcPr>
            <w:tcW w:w="3975" w:type="dxa"/>
          </w:tcPr>
          <w:p>
            <w:pPr>
              <w:spacing w:line="400" w:lineRule="exact"/>
              <w:contextualSpacing/>
              <w:rPr>
                <w:rFonts w:ascii="仿宋_GB2312" w:eastAsia="仿宋_GB2312"/>
                <w:sz w:val="24"/>
              </w:rPr>
            </w:pPr>
            <w:r>
              <w:rPr>
                <w:rFonts w:hint="eastAsia" w:ascii="仿宋_GB2312" w:eastAsia="仿宋_GB2312"/>
                <w:sz w:val="24"/>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苏华瞻</w:t>
            </w:r>
          </w:p>
        </w:tc>
        <w:tc>
          <w:tcPr>
            <w:tcW w:w="1908" w:type="dxa"/>
            <w:vAlign w:val="center"/>
          </w:tcPr>
          <w:p>
            <w:pPr>
              <w:spacing w:line="400" w:lineRule="exact"/>
              <w:contextualSpacing/>
              <w:jc w:val="center"/>
              <w:rPr>
                <w:rFonts w:ascii="仿宋_GB2312" w:eastAsia="仿宋_GB2312"/>
                <w:sz w:val="24"/>
              </w:rPr>
            </w:pPr>
            <w:r>
              <w:rPr>
                <w:rFonts w:hint="eastAsia" w:ascii="仿宋_GB2312" w:eastAsia="仿宋_GB2312"/>
                <w:sz w:val="24"/>
              </w:rPr>
              <w:t>13967228926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中国邮政储蓄银行股份有限公司舟山市分行</w:t>
            </w:r>
          </w:p>
        </w:tc>
        <w:tc>
          <w:tcPr>
            <w:tcW w:w="3975" w:type="dxa"/>
          </w:tcPr>
          <w:p>
            <w:pPr>
              <w:tabs>
                <w:tab w:val="left" w:pos="0"/>
              </w:tabs>
              <w:spacing w:line="400" w:lineRule="exact"/>
              <w:rPr>
                <w:rFonts w:ascii="仿宋_GB2312" w:eastAsia="仿宋_GB2312"/>
                <w:sz w:val="24"/>
              </w:rPr>
            </w:pPr>
            <w:r>
              <w:rPr>
                <w:rFonts w:hint="eastAsia" w:ascii="仿宋_GB2312" w:hAnsi="Times New Roman" w:eastAsia="仿宋_GB2312" w:cs="Times New Roman"/>
                <w:sz w:val="24"/>
              </w:rPr>
              <w:t>符合我行基本准入，授信额度使用期最高为2年，单户授信最高为500万，担保方式</w:t>
            </w:r>
            <w:r>
              <w:rPr>
                <w:rFonts w:hint="eastAsia" w:ascii="仿宋_GB2312" w:eastAsia="仿宋_GB2312"/>
                <w:sz w:val="24"/>
              </w:rPr>
              <w:t>享受信用贷款执行</w:t>
            </w:r>
            <w:r>
              <w:rPr>
                <w:rFonts w:hint="eastAsia" w:ascii="仿宋_GB2312" w:hAnsi="Times New Roman" w:eastAsia="仿宋_GB2312" w:cs="Times New Roman"/>
                <w:sz w:val="24"/>
              </w:rPr>
              <w:t>，利率最低可至当期LPR ，有无还本续贷，12月份线上产品可以自主自贷。</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蒋志燕</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13732527321</w:t>
            </w:r>
          </w:p>
        </w:tc>
      </w:tr>
    </w:tbl>
    <w:p>
      <w:pPr>
        <w:spacing w:line="360" w:lineRule="auto"/>
        <w:contextualSpacing/>
        <w:rPr>
          <w:rFonts w:ascii="仿宋_GB2312" w:eastAsia="仿宋_GB2312"/>
          <w:sz w:val="24"/>
        </w:rPr>
      </w:pPr>
      <w:r>
        <w:rPr>
          <w:rFonts w:hint="eastAsia" w:ascii="仿宋_GB2312" w:eastAsia="仿宋_GB2312"/>
          <w:sz w:val="24"/>
        </w:rPr>
        <w:t>1. 一般步骤</w:t>
      </w:r>
    </w:p>
    <w:p>
      <w:pPr>
        <w:spacing w:line="360" w:lineRule="auto"/>
        <w:contextualSpacing/>
        <w:rPr>
          <w:rFonts w:ascii="仿宋_GB2312" w:eastAsia="仿宋_GB2312"/>
          <w:sz w:val="24"/>
        </w:rPr>
      </w:pPr>
      <w:r>
        <w:rPr>
          <w:rFonts w:hint="eastAsia" w:ascii="仿宋_GB2312" w:eastAsia="仿宋_GB2312"/>
          <w:sz w:val="24"/>
        </w:rPr>
        <w:t>（1）供应商先与银行对接，办理融资前期手续；</w:t>
      </w:r>
    </w:p>
    <w:p>
      <w:pPr>
        <w:spacing w:line="360" w:lineRule="auto"/>
        <w:contextualSpacing/>
        <w:rPr>
          <w:rFonts w:ascii="仿宋_GB2312" w:eastAsia="仿宋_GB2312"/>
          <w:sz w:val="24"/>
        </w:rPr>
      </w:pPr>
      <w:r>
        <w:rPr>
          <w:rFonts w:hint="eastAsia" w:ascii="仿宋_GB2312" w:eastAsia="仿宋_GB2312"/>
          <w:sz w:val="24"/>
        </w:rPr>
        <w:t>（2）供应商成交后，凭成交通知书等材料，向相关合作银行发出融资申请；</w:t>
      </w:r>
    </w:p>
    <w:p>
      <w:pPr>
        <w:spacing w:line="360" w:lineRule="auto"/>
        <w:contextualSpacing/>
        <w:rPr>
          <w:rFonts w:ascii="仿宋_GB2312" w:eastAsia="仿宋_GB2312"/>
          <w:sz w:val="24"/>
        </w:rPr>
      </w:pPr>
      <w:r>
        <w:rPr>
          <w:rFonts w:hint="eastAsia" w:ascii="仿宋_GB2312" w:eastAsia="仿宋_GB2312"/>
          <w:sz w:val="24"/>
        </w:rPr>
        <w:t>（3）银行、供应商线上办理审批、放贷事宜。</w:t>
      </w:r>
    </w:p>
    <w:p>
      <w:pPr>
        <w:spacing w:line="360" w:lineRule="auto"/>
        <w:contextualSpacing/>
        <w:rPr>
          <w:rFonts w:ascii="仿宋_GB2312" w:eastAsia="仿宋_GB2312"/>
          <w:sz w:val="24"/>
        </w:rPr>
      </w:pPr>
      <w:r>
        <w:rPr>
          <w:rFonts w:hint="eastAsia" w:ascii="仿宋_GB2312" w:eastAsia="仿宋_GB2312"/>
          <w:sz w:val="24"/>
        </w:rPr>
        <w:t>2. 注意事项</w:t>
      </w:r>
    </w:p>
    <w:p>
      <w:pPr>
        <w:spacing w:line="360" w:lineRule="auto"/>
        <w:contextualSpacing/>
        <w:rPr>
          <w:rFonts w:ascii="仿宋_GB2312" w:eastAsia="仿宋_GB2312"/>
          <w:sz w:val="24"/>
        </w:rPr>
      </w:pPr>
      <w:r>
        <w:rPr>
          <w:rFonts w:hint="eastAsia" w:ascii="仿宋_GB2312" w:eastAsia="仿宋_GB2312"/>
          <w:sz w:val="24"/>
        </w:rPr>
        <w:t>（1）成交供应商需确保政府采购合同的收款账户与融资银行开户账户一致。</w:t>
      </w:r>
    </w:p>
    <w:p>
      <w:pPr>
        <w:spacing w:line="360" w:lineRule="auto"/>
        <w:contextualSpacing/>
        <w:rPr>
          <w:rFonts w:ascii="仿宋_GB2312" w:eastAsia="仿宋_GB2312"/>
          <w:sz w:val="24"/>
        </w:rPr>
      </w:pPr>
      <w:r>
        <w:rPr>
          <w:rFonts w:hint="eastAsia" w:ascii="仿宋_GB2312" w:eastAsia="仿宋_GB2312"/>
          <w:sz w:val="24"/>
        </w:rPr>
        <w:t>（2）用于政府采购信用融资的政府采购合同，应当包含如下条款：“第   条：</w:t>
      </w:r>
    </w:p>
    <w:p>
      <w:pPr>
        <w:spacing w:line="360" w:lineRule="auto"/>
        <w:contextualSpacing/>
        <w:rPr>
          <w:rFonts w:ascii="仿宋_GB2312" w:eastAsia="仿宋_GB2312"/>
          <w:sz w:val="24"/>
        </w:rPr>
      </w:pPr>
      <w:r>
        <w:rPr>
          <w:rFonts w:hint="eastAsia" w:ascii="仿宋_GB2312" w:eastAsia="仿宋_GB2312"/>
          <w:sz w:val="24"/>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pPr>
        <w:spacing w:line="540" w:lineRule="exact"/>
        <w:contextualSpacing/>
        <w:rPr>
          <w:rFonts w:ascii="仿宋_GB2312" w:eastAsia="仿宋_GB2312"/>
          <w:sz w:val="24"/>
          <w:szCs w:val="24"/>
        </w:rPr>
      </w:pPr>
    </w:p>
    <w:p>
      <w:pPr>
        <w:rPr>
          <w:rFonts w:ascii="仿宋_GB2312" w:eastAsia="仿宋_GB2312"/>
          <w:sz w:val="24"/>
          <w:szCs w:val="24"/>
        </w:rPr>
      </w:pPr>
    </w:p>
    <w:p/>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roman"/>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86"/>
    </w:sdtPr>
    <w:sdtContent>
      <w:p>
        <w:pPr>
          <w:pStyle w:val="16"/>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 PAGE   \* MERGEFORMAT </w:instrText>
    </w:r>
    <w:r>
      <w:fldChar w:fldCharType="separate"/>
    </w:r>
    <w:r>
      <w:rPr>
        <w:lang w:val="zh-CN"/>
      </w:rPr>
      <w:t>104</w:t>
    </w:r>
    <w:r>
      <w:rPr>
        <w:lang w:val="zh-CN"/>
      </w:rPr>
      <w:fldChar w:fldCharType="end"/>
    </w:r>
  </w:p>
  <w:p>
    <w:pPr>
      <w:pStyle w:val="16"/>
      <w:ind w:firstLine="360"/>
    </w:pPr>
  </w:p>
  <w:p/>
  <w:p/>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w:instrTex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87"/>
    </w:sdtPr>
    <w:sdtContent>
      <w:p>
        <w:pPr>
          <w:pStyle w:val="16"/>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89"/>
    </w:sdtPr>
    <w:sdtContent>
      <w:p>
        <w:pPr>
          <w:pStyle w:val="16"/>
          <w:jc w:val="center"/>
        </w:pPr>
        <w:r>
          <w:fldChar w:fldCharType="begin"/>
        </w:r>
        <w:r>
          <w:instrText xml:space="preserve"> PAGE   \* MERGEFORMAT </w:instrText>
        </w:r>
        <w:r>
          <w:fldChar w:fldCharType="separate"/>
        </w:r>
        <w:r>
          <w:rPr>
            <w:lang w:val="zh-CN"/>
          </w:rPr>
          <w:t>99</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90"/>
    </w:sdtPr>
    <w:sdtContent>
      <w:p>
        <w:pPr>
          <w:pStyle w:val="16"/>
          <w:jc w:val="center"/>
        </w:pPr>
        <w:r>
          <w:fldChar w:fldCharType="begin"/>
        </w:r>
        <w:r>
          <w:instrText xml:space="preserve"> PAGE   \* MERGEFORMAT </w:instrText>
        </w:r>
        <w:r>
          <w:fldChar w:fldCharType="separate"/>
        </w:r>
        <w:r>
          <w:rPr>
            <w:lang w:val="zh-CN"/>
          </w:rPr>
          <w:t>23</w:t>
        </w:r>
        <w:r>
          <w:rPr>
            <w:lang w:val="zh-CN"/>
          </w:rP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91"/>
    </w:sdtPr>
    <w:sdtContent>
      <w:p>
        <w:pPr>
          <w:pStyle w:val="16"/>
          <w:jc w:val="center"/>
        </w:pPr>
        <w:r>
          <w:fldChar w:fldCharType="begin"/>
        </w:r>
        <w:r>
          <w:instrText xml:space="preserve"> PAGE   \* MERGEFORMAT </w:instrText>
        </w:r>
        <w:r>
          <w:fldChar w:fldCharType="separate"/>
        </w:r>
        <w:r>
          <w:rPr>
            <w:lang w:val="zh-CN"/>
          </w:rPr>
          <w:t>103</w:t>
        </w:r>
        <w:r>
          <w:rPr>
            <w:lang w:val="zh-CN"/>
          </w:rPr>
          <w:fldChar w:fldCharType="end"/>
        </w:r>
      </w:p>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92"/>
    </w:sdtPr>
    <w:sdtContent>
      <w:p>
        <w:pPr>
          <w:pStyle w:val="16"/>
          <w:jc w:val="center"/>
        </w:pPr>
        <w:r>
          <w:fldChar w:fldCharType="begin"/>
        </w:r>
        <w:r>
          <w:instrText xml:space="preserve"> PAGE   \* MERGEFORMAT </w:instrText>
        </w:r>
        <w:r>
          <w:fldChar w:fldCharType="separate"/>
        </w:r>
        <w:r>
          <w:rPr>
            <w:lang w:val="zh-CN"/>
          </w:rPr>
          <w:t>101</w:t>
        </w:r>
        <w:r>
          <w:rPr>
            <w:lang w:val="zh-CN"/>
          </w:rPr>
          <w:fldChar w:fldCharType="end"/>
        </w:r>
      </w:p>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 PAGE   \* MERGEFORMAT </w:instrText>
    </w:r>
    <w:r>
      <w:fldChar w:fldCharType="separate"/>
    </w:r>
    <w:r>
      <w:rPr>
        <w:lang w:val="zh-CN"/>
      </w:rPr>
      <w:t>121</w:t>
    </w:r>
    <w:r>
      <w:rPr>
        <w:lang w:val="zh-CN"/>
      </w:rPr>
      <w:fldChar w:fldCharType="end"/>
    </w:r>
  </w:p>
  <w:p/>
  <w:p/>
  <w:p/>
  <w:p/>
  <w:p/>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w:instrText>
    </w:r>
    <w:r>
      <w:fldChar w:fldCharType="end"/>
    </w:r>
  </w:p>
  <w:p/>
  <w:p/>
  <w:p/>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30842"/>
    <w:multiLevelType w:val="singleLevel"/>
    <w:tmpl w:val="9FF30842"/>
    <w:lvl w:ilvl="0" w:tentative="0">
      <w:start w:val="1"/>
      <w:numFmt w:val="decimal"/>
      <w:lvlText w:val="%1"/>
      <w:lvlJc w:val="center"/>
      <w:pPr>
        <w:tabs>
          <w:tab w:val="left" w:pos="397"/>
        </w:tabs>
        <w:ind w:left="454" w:hanging="454"/>
      </w:pPr>
      <w:rPr>
        <w:rFonts w:hint="default"/>
      </w:rPr>
    </w:lvl>
  </w:abstractNum>
  <w:abstractNum w:abstractNumId="1">
    <w:nsid w:val="D6E0911F"/>
    <w:multiLevelType w:val="singleLevel"/>
    <w:tmpl w:val="D6E0911F"/>
    <w:lvl w:ilvl="0" w:tentative="0">
      <w:start w:val="12"/>
      <w:numFmt w:val="chineseCounting"/>
      <w:suff w:val="nothing"/>
      <w:lvlText w:val="%1、"/>
      <w:lvlJc w:val="left"/>
      <w:rPr>
        <w:rFonts w:hint="eastAsia"/>
      </w:rPr>
    </w:lvl>
  </w:abstractNum>
  <w:abstractNum w:abstractNumId="2">
    <w:nsid w:val="FFFFFFFB"/>
    <w:multiLevelType w:val="multilevel"/>
    <w:tmpl w:val="FFFFFFFB"/>
    <w:lvl w:ilvl="0" w:tentative="0">
      <w:start w:val="1"/>
      <w:numFmt w:val="decimal"/>
      <w:pStyle w:val="70"/>
      <w:lvlText w:val="%1"/>
      <w:lvlJc w:val="left"/>
      <w:pPr>
        <w:tabs>
          <w:tab w:val="left" w:pos="1247"/>
        </w:tabs>
        <w:ind w:left="1247" w:hanging="1247"/>
      </w:pPr>
      <w:rPr>
        <w:rFonts w:hint="default" w:ascii="仿宋" w:hAnsi="仿宋" w:eastAsia="仿宋"/>
        <w:b/>
        <w:i w:val="0"/>
        <w:sz w:val="44"/>
        <w:szCs w:val="44"/>
      </w:rPr>
    </w:lvl>
    <w:lvl w:ilvl="1" w:tentative="0">
      <w:start w:val="1"/>
      <w:numFmt w:val="decimal"/>
      <w:pStyle w:val="71"/>
      <w:lvlText w:val="%1.%2"/>
      <w:lvlJc w:val="left"/>
      <w:pPr>
        <w:tabs>
          <w:tab w:val="left" w:pos="1673"/>
        </w:tabs>
        <w:ind w:left="1673" w:hanging="1247"/>
      </w:pPr>
      <w:rPr>
        <w:rFonts w:hint="default" w:ascii="仿宋" w:hAnsi="仿宋" w:eastAsia="仿宋"/>
        <w:b/>
        <w:i w:val="0"/>
        <w:sz w:val="30"/>
        <w:szCs w:val="30"/>
      </w:rPr>
    </w:lvl>
    <w:lvl w:ilvl="2" w:tentative="0">
      <w:start w:val="1"/>
      <w:numFmt w:val="decimal"/>
      <w:lvlText w:val="%1.%2.%3"/>
      <w:lvlJc w:val="left"/>
      <w:pPr>
        <w:tabs>
          <w:tab w:val="left" w:pos="1247"/>
        </w:tabs>
        <w:ind w:left="1247" w:hanging="1247"/>
      </w:pPr>
      <w:rPr>
        <w:rFonts w:hint="default" w:ascii="仿宋" w:hAnsi="仿宋" w:eastAsia="仿宋"/>
        <w:b/>
        <w:i w:val="0"/>
        <w:color w:val="auto"/>
        <w:sz w:val="28"/>
        <w:szCs w:val="28"/>
      </w:rPr>
    </w:lvl>
    <w:lvl w:ilvl="3" w:tentative="0">
      <w:start w:val="1"/>
      <w:numFmt w:val="decimal"/>
      <w:lvlText w:val="%1.%2.%3.%4"/>
      <w:lvlJc w:val="left"/>
      <w:pPr>
        <w:tabs>
          <w:tab w:val="left" w:pos="1247"/>
        </w:tabs>
        <w:ind w:left="1247" w:hanging="1247"/>
      </w:pPr>
      <w:rPr>
        <w:rFonts w:hint="default" w:ascii="Arial" w:hAnsi="Arial" w:eastAsia="宋体"/>
        <w:b/>
        <w:i w:val="0"/>
        <w:color w:val="auto"/>
        <w:sz w:val="21"/>
      </w:rPr>
    </w:lvl>
    <w:lvl w:ilvl="4" w:tentative="0">
      <w:start w:val="1"/>
      <w:numFmt w:val="decimal"/>
      <w:lvlText w:val="%1.%2.%3.%4.%5"/>
      <w:lvlJc w:val="left"/>
      <w:pPr>
        <w:tabs>
          <w:tab w:val="left" w:pos="1008"/>
        </w:tabs>
        <w:ind w:left="1008" w:hanging="1008"/>
      </w:pPr>
      <w:rPr>
        <w:rFonts w:hint="eastAsia"/>
        <w:color w:val="0000FF"/>
        <w:spacing w:val="0"/>
        <w:w w:val="100"/>
        <w:position w:val="0"/>
        <w:sz w:val="21"/>
        <w:u w:val="no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2889AC8"/>
    <w:multiLevelType w:val="singleLevel"/>
    <w:tmpl w:val="02889AC8"/>
    <w:lvl w:ilvl="0" w:tentative="0">
      <w:start w:val="4"/>
      <w:numFmt w:val="chineseCounting"/>
      <w:suff w:val="nothing"/>
      <w:lvlText w:val="%1、"/>
      <w:lvlJc w:val="left"/>
      <w:rPr>
        <w:rFonts w:hint="eastAsia"/>
      </w:rPr>
    </w:lvl>
  </w:abstractNum>
  <w:abstractNum w:abstractNumId="4">
    <w:nsid w:val="0C34DE15"/>
    <w:multiLevelType w:val="singleLevel"/>
    <w:tmpl w:val="0C34DE15"/>
    <w:lvl w:ilvl="0" w:tentative="0">
      <w:start w:val="1"/>
      <w:numFmt w:val="decimal"/>
      <w:lvlText w:val="%1."/>
      <w:lvlJc w:val="left"/>
      <w:pPr>
        <w:tabs>
          <w:tab w:val="left" w:pos="312"/>
        </w:tabs>
      </w:pPr>
    </w:lvl>
  </w:abstractNum>
  <w:abstractNum w:abstractNumId="5">
    <w:nsid w:val="0E030D19"/>
    <w:multiLevelType w:val="singleLevel"/>
    <w:tmpl w:val="0E030D19"/>
    <w:lvl w:ilvl="0" w:tentative="0">
      <w:start w:val="1"/>
      <w:numFmt w:val="decimal"/>
      <w:lvlText w:val="%1."/>
      <w:lvlJc w:val="left"/>
      <w:pPr>
        <w:ind w:left="425" w:hanging="425"/>
      </w:pPr>
      <w:rPr>
        <w:rFonts w:hint="default"/>
      </w:rPr>
    </w:lvl>
  </w:abstractNum>
  <w:abstractNum w:abstractNumId="6">
    <w:nsid w:val="19693563"/>
    <w:multiLevelType w:val="singleLevel"/>
    <w:tmpl w:val="19693563"/>
    <w:lvl w:ilvl="0" w:tentative="0">
      <w:start w:val="1"/>
      <w:numFmt w:val="decimal"/>
      <w:suff w:val="nothing"/>
      <w:lvlText w:val="（%1）"/>
      <w:lvlJc w:val="left"/>
    </w:lvl>
  </w:abstractNum>
  <w:abstractNum w:abstractNumId="7">
    <w:nsid w:val="1F0CFB36"/>
    <w:multiLevelType w:val="singleLevel"/>
    <w:tmpl w:val="1F0CFB36"/>
    <w:lvl w:ilvl="0" w:tentative="0">
      <w:start w:val="1"/>
      <w:numFmt w:val="decimal"/>
      <w:lvlText w:val="%1."/>
      <w:lvlJc w:val="left"/>
      <w:pPr>
        <w:tabs>
          <w:tab w:val="left" w:pos="312"/>
        </w:tabs>
      </w:pPr>
    </w:lvl>
  </w:abstractNum>
  <w:abstractNum w:abstractNumId="8">
    <w:nsid w:val="209CA051"/>
    <w:multiLevelType w:val="singleLevel"/>
    <w:tmpl w:val="209CA051"/>
    <w:lvl w:ilvl="0" w:tentative="0">
      <w:start w:val="1"/>
      <w:numFmt w:val="decimal"/>
      <w:lvlText w:val="%1."/>
      <w:lvlJc w:val="left"/>
      <w:pPr>
        <w:tabs>
          <w:tab w:val="left" w:pos="312"/>
        </w:tabs>
      </w:pPr>
    </w:lvl>
  </w:abstractNum>
  <w:abstractNum w:abstractNumId="9">
    <w:nsid w:val="225A8346"/>
    <w:multiLevelType w:val="singleLevel"/>
    <w:tmpl w:val="225A8346"/>
    <w:lvl w:ilvl="0" w:tentative="0">
      <w:start w:val="1"/>
      <w:numFmt w:val="decimal"/>
      <w:lvlText w:val="%1."/>
      <w:lvlJc w:val="left"/>
      <w:pPr>
        <w:tabs>
          <w:tab w:val="left" w:pos="312"/>
        </w:tabs>
      </w:pPr>
    </w:lvl>
  </w:abstractNum>
  <w:abstractNum w:abstractNumId="10">
    <w:nsid w:val="33D68BD9"/>
    <w:multiLevelType w:val="singleLevel"/>
    <w:tmpl w:val="33D68BD9"/>
    <w:lvl w:ilvl="0" w:tentative="0">
      <w:start w:val="4"/>
      <w:numFmt w:val="decimal"/>
      <w:suff w:val="nothing"/>
      <w:lvlText w:val="%1、"/>
      <w:lvlJc w:val="left"/>
    </w:lvl>
  </w:abstractNum>
  <w:abstractNum w:abstractNumId="11">
    <w:nsid w:val="3A396284"/>
    <w:multiLevelType w:val="multilevel"/>
    <w:tmpl w:val="3A39628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DD4552D"/>
    <w:multiLevelType w:val="singleLevel"/>
    <w:tmpl w:val="4DD4552D"/>
    <w:lvl w:ilvl="0" w:tentative="0">
      <w:start w:val="1"/>
      <w:numFmt w:val="decimal"/>
      <w:lvlText w:val="%1."/>
      <w:lvlJc w:val="left"/>
      <w:pPr>
        <w:tabs>
          <w:tab w:val="left" w:pos="312"/>
        </w:tabs>
      </w:pPr>
    </w:lvl>
  </w:abstractNum>
  <w:abstractNum w:abstractNumId="13">
    <w:nsid w:val="53275264"/>
    <w:multiLevelType w:val="singleLevel"/>
    <w:tmpl w:val="53275264"/>
    <w:lvl w:ilvl="0" w:tentative="0">
      <w:start w:val="1"/>
      <w:numFmt w:val="decimal"/>
      <w:lvlText w:val="%1."/>
      <w:lvlJc w:val="left"/>
      <w:pPr>
        <w:tabs>
          <w:tab w:val="left" w:pos="312"/>
        </w:tabs>
      </w:pPr>
    </w:lvl>
  </w:abstractNum>
  <w:abstractNum w:abstractNumId="14">
    <w:nsid w:val="533AC6CB"/>
    <w:multiLevelType w:val="singleLevel"/>
    <w:tmpl w:val="533AC6CB"/>
    <w:lvl w:ilvl="0" w:tentative="0">
      <w:start w:val="1"/>
      <w:numFmt w:val="decimal"/>
      <w:lvlText w:val="%1."/>
      <w:lvlJc w:val="left"/>
      <w:pPr>
        <w:tabs>
          <w:tab w:val="left" w:pos="312"/>
        </w:tabs>
      </w:pPr>
    </w:lvl>
  </w:abstractNum>
  <w:abstractNum w:abstractNumId="15">
    <w:nsid w:val="5BB975C8"/>
    <w:multiLevelType w:val="singleLevel"/>
    <w:tmpl w:val="5BB975C8"/>
    <w:lvl w:ilvl="0" w:tentative="0">
      <w:start w:val="3"/>
      <w:numFmt w:val="chineseCounting"/>
      <w:suff w:val="space"/>
      <w:lvlText w:val="第%1部分"/>
      <w:lvlJc w:val="left"/>
      <w:rPr>
        <w:rFonts w:hint="eastAsia"/>
      </w:rPr>
    </w:lvl>
  </w:abstractNum>
  <w:abstractNum w:abstractNumId="16">
    <w:nsid w:val="6C9B464E"/>
    <w:multiLevelType w:val="singleLevel"/>
    <w:tmpl w:val="6C9B464E"/>
    <w:lvl w:ilvl="0" w:tentative="0">
      <w:start w:val="1"/>
      <w:numFmt w:val="chineseCounting"/>
      <w:suff w:val="nothing"/>
      <w:lvlText w:val="%1、"/>
      <w:lvlJc w:val="left"/>
      <w:rPr>
        <w:rFonts w:hint="eastAsia"/>
      </w:rPr>
    </w:lvl>
  </w:abstractNum>
  <w:abstractNum w:abstractNumId="17">
    <w:nsid w:val="7450AA9F"/>
    <w:multiLevelType w:val="singleLevel"/>
    <w:tmpl w:val="7450AA9F"/>
    <w:lvl w:ilvl="0" w:tentative="0">
      <w:start w:val="3"/>
      <w:numFmt w:val="decimal"/>
      <w:lvlText w:val="%1."/>
      <w:lvlJc w:val="left"/>
      <w:pPr>
        <w:tabs>
          <w:tab w:val="left" w:pos="312"/>
        </w:tabs>
      </w:pPr>
    </w:lvl>
  </w:abstractNum>
  <w:num w:numId="1">
    <w:abstractNumId w:val="2"/>
  </w:num>
  <w:num w:numId="2">
    <w:abstractNumId w:val="17"/>
  </w:num>
  <w:num w:numId="3">
    <w:abstractNumId w:val="15"/>
  </w:num>
  <w:num w:numId="4">
    <w:abstractNumId w:val="5"/>
  </w:num>
  <w:num w:numId="5">
    <w:abstractNumId w:val="3"/>
  </w:num>
  <w:num w:numId="6">
    <w:abstractNumId w:val="10"/>
  </w:num>
  <w:num w:numId="7">
    <w:abstractNumId w:val="8"/>
  </w:num>
  <w:num w:numId="8">
    <w:abstractNumId w:val="13"/>
  </w:num>
  <w:num w:numId="9">
    <w:abstractNumId w:val="7"/>
  </w:num>
  <w:num w:numId="10">
    <w:abstractNumId w:val="14"/>
  </w:num>
  <w:num w:numId="11">
    <w:abstractNumId w:val="0"/>
  </w:num>
  <w:num w:numId="12">
    <w:abstractNumId w:val="1"/>
  </w:num>
  <w:num w:numId="13">
    <w:abstractNumId w:val="16"/>
  </w:num>
  <w:num w:numId="14">
    <w:abstractNumId w:val="11"/>
  </w:num>
  <w:num w:numId="15">
    <w:abstractNumId w:val="6"/>
  </w:num>
  <w:num w:numId="16">
    <w:abstractNumId w:val="9"/>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ZWNiYzNhN2IxZWMzOTRiOWU4N2NiNGRhMDYwY2YifQ=="/>
  </w:docVars>
  <w:rsids>
    <w:rsidRoot w:val="00926757"/>
    <w:rsid w:val="0000659F"/>
    <w:rsid w:val="00033683"/>
    <w:rsid w:val="00035F7B"/>
    <w:rsid w:val="00041660"/>
    <w:rsid w:val="000472D9"/>
    <w:rsid w:val="00055D2E"/>
    <w:rsid w:val="00062E53"/>
    <w:rsid w:val="00077914"/>
    <w:rsid w:val="00081EAA"/>
    <w:rsid w:val="00082C2E"/>
    <w:rsid w:val="000912CE"/>
    <w:rsid w:val="000944C9"/>
    <w:rsid w:val="0009567E"/>
    <w:rsid w:val="0009620B"/>
    <w:rsid w:val="000A1AEE"/>
    <w:rsid w:val="000C0FC4"/>
    <w:rsid w:val="000C7BB2"/>
    <w:rsid w:val="000E19DF"/>
    <w:rsid w:val="00104C5E"/>
    <w:rsid w:val="001052A2"/>
    <w:rsid w:val="0010552D"/>
    <w:rsid w:val="00111A0A"/>
    <w:rsid w:val="00111C03"/>
    <w:rsid w:val="001132E4"/>
    <w:rsid w:val="00153237"/>
    <w:rsid w:val="00160E85"/>
    <w:rsid w:val="00172815"/>
    <w:rsid w:val="00172A51"/>
    <w:rsid w:val="00175ED4"/>
    <w:rsid w:val="00195E54"/>
    <w:rsid w:val="001A03E4"/>
    <w:rsid w:val="001B2B08"/>
    <w:rsid w:val="001B7483"/>
    <w:rsid w:val="001D5327"/>
    <w:rsid w:val="001D6558"/>
    <w:rsid w:val="001E03E1"/>
    <w:rsid w:val="00206184"/>
    <w:rsid w:val="002076A9"/>
    <w:rsid w:val="00214081"/>
    <w:rsid w:val="00225AD7"/>
    <w:rsid w:val="00240FB5"/>
    <w:rsid w:val="002515A2"/>
    <w:rsid w:val="0025552E"/>
    <w:rsid w:val="002676BE"/>
    <w:rsid w:val="0027193B"/>
    <w:rsid w:val="00291364"/>
    <w:rsid w:val="0029140F"/>
    <w:rsid w:val="002A7385"/>
    <w:rsid w:val="002B0213"/>
    <w:rsid w:val="002B24BE"/>
    <w:rsid w:val="002B4776"/>
    <w:rsid w:val="002B4899"/>
    <w:rsid w:val="002C08E7"/>
    <w:rsid w:val="002D010A"/>
    <w:rsid w:val="002D485F"/>
    <w:rsid w:val="002E0F5A"/>
    <w:rsid w:val="002E14B2"/>
    <w:rsid w:val="002F23F2"/>
    <w:rsid w:val="00303C57"/>
    <w:rsid w:val="0030684B"/>
    <w:rsid w:val="00307400"/>
    <w:rsid w:val="003126A6"/>
    <w:rsid w:val="00315243"/>
    <w:rsid w:val="0032269A"/>
    <w:rsid w:val="00323181"/>
    <w:rsid w:val="0032587F"/>
    <w:rsid w:val="00340ED5"/>
    <w:rsid w:val="0036573E"/>
    <w:rsid w:val="00367D30"/>
    <w:rsid w:val="00370553"/>
    <w:rsid w:val="00375187"/>
    <w:rsid w:val="00375D50"/>
    <w:rsid w:val="00376823"/>
    <w:rsid w:val="003920F2"/>
    <w:rsid w:val="00393E68"/>
    <w:rsid w:val="003953FE"/>
    <w:rsid w:val="003A4370"/>
    <w:rsid w:val="003A6725"/>
    <w:rsid w:val="003C4C37"/>
    <w:rsid w:val="003C4FBB"/>
    <w:rsid w:val="003D1C3F"/>
    <w:rsid w:val="003D662C"/>
    <w:rsid w:val="003F6056"/>
    <w:rsid w:val="003F6783"/>
    <w:rsid w:val="00412C63"/>
    <w:rsid w:val="004155F0"/>
    <w:rsid w:val="00416E3B"/>
    <w:rsid w:val="004254BF"/>
    <w:rsid w:val="004365A1"/>
    <w:rsid w:val="00436E62"/>
    <w:rsid w:val="00436FDE"/>
    <w:rsid w:val="004373A3"/>
    <w:rsid w:val="0045096A"/>
    <w:rsid w:val="004628F6"/>
    <w:rsid w:val="00462F5F"/>
    <w:rsid w:val="00464A32"/>
    <w:rsid w:val="004A0957"/>
    <w:rsid w:val="004A2D19"/>
    <w:rsid w:val="004A7203"/>
    <w:rsid w:val="004B6B0F"/>
    <w:rsid w:val="004C38C5"/>
    <w:rsid w:val="004C6FFB"/>
    <w:rsid w:val="004D0667"/>
    <w:rsid w:val="004D0912"/>
    <w:rsid w:val="004E3011"/>
    <w:rsid w:val="004E4D74"/>
    <w:rsid w:val="004F4056"/>
    <w:rsid w:val="00504D6F"/>
    <w:rsid w:val="00521C43"/>
    <w:rsid w:val="00525223"/>
    <w:rsid w:val="00534CF9"/>
    <w:rsid w:val="0055321A"/>
    <w:rsid w:val="0055465B"/>
    <w:rsid w:val="00563FD7"/>
    <w:rsid w:val="00565A6A"/>
    <w:rsid w:val="00567935"/>
    <w:rsid w:val="00567DB4"/>
    <w:rsid w:val="005704C8"/>
    <w:rsid w:val="005766DD"/>
    <w:rsid w:val="00592761"/>
    <w:rsid w:val="00596C28"/>
    <w:rsid w:val="005A45A3"/>
    <w:rsid w:val="005B164F"/>
    <w:rsid w:val="005C3FC5"/>
    <w:rsid w:val="005C7E40"/>
    <w:rsid w:val="005D46AE"/>
    <w:rsid w:val="005D7FA6"/>
    <w:rsid w:val="005E07D9"/>
    <w:rsid w:val="005E1AF0"/>
    <w:rsid w:val="005F0C70"/>
    <w:rsid w:val="005F530A"/>
    <w:rsid w:val="00604BD6"/>
    <w:rsid w:val="0060795A"/>
    <w:rsid w:val="006106D7"/>
    <w:rsid w:val="00631291"/>
    <w:rsid w:val="0065484F"/>
    <w:rsid w:val="00662AC3"/>
    <w:rsid w:val="00663130"/>
    <w:rsid w:val="00666D3A"/>
    <w:rsid w:val="0067589A"/>
    <w:rsid w:val="0068763C"/>
    <w:rsid w:val="00696D4F"/>
    <w:rsid w:val="006B27D4"/>
    <w:rsid w:val="006C3C77"/>
    <w:rsid w:val="006C4C09"/>
    <w:rsid w:val="006C77D7"/>
    <w:rsid w:val="006D1492"/>
    <w:rsid w:val="006E280C"/>
    <w:rsid w:val="006E363D"/>
    <w:rsid w:val="006F2B08"/>
    <w:rsid w:val="006F3F8A"/>
    <w:rsid w:val="006F7C8A"/>
    <w:rsid w:val="0070766A"/>
    <w:rsid w:val="00716576"/>
    <w:rsid w:val="007251DC"/>
    <w:rsid w:val="0073514F"/>
    <w:rsid w:val="007711E5"/>
    <w:rsid w:val="00777158"/>
    <w:rsid w:val="007776AF"/>
    <w:rsid w:val="007817D0"/>
    <w:rsid w:val="007817F8"/>
    <w:rsid w:val="007848A1"/>
    <w:rsid w:val="00787EEA"/>
    <w:rsid w:val="00795878"/>
    <w:rsid w:val="007B02A3"/>
    <w:rsid w:val="007C5D00"/>
    <w:rsid w:val="007D510D"/>
    <w:rsid w:val="007D65FF"/>
    <w:rsid w:val="007D69E3"/>
    <w:rsid w:val="007D76EB"/>
    <w:rsid w:val="007E15B6"/>
    <w:rsid w:val="00814586"/>
    <w:rsid w:val="00817A4D"/>
    <w:rsid w:val="0082124A"/>
    <w:rsid w:val="0082313E"/>
    <w:rsid w:val="00831A68"/>
    <w:rsid w:val="0083282B"/>
    <w:rsid w:val="00832C8E"/>
    <w:rsid w:val="008352D3"/>
    <w:rsid w:val="00836DE1"/>
    <w:rsid w:val="00837625"/>
    <w:rsid w:val="008403BB"/>
    <w:rsid w:val="0086666D"/>
    <w:rsid w:val="00892C71"/>
    <w:rsid w:val="008A5114"/>
    <w:rsid w:val="008B2B0E"/>
    <w:rsid w:val="008B2B90"/>
    <w:rsid w:val="008C6CD8"/>
    <w:rsid w:val="008C7E64"/>
    <w:rsid w:val="008D06F5"/>
    <w:rsid w:val="008D630D"/>
    <w:rsid w:val="008E4D44"/>
    <w:rsid w:val="008E6288"/>
    <w:rsid w:val="008F7D68"/>
    <w:rsid w:val="0090723E"/>
    <w:rsid w:val="009102ED"/>
    <w:rsid w:val="00920C2B"/>
    <w:rsid w:val="00926757"/>
    <w:rsid w:val="0093516D"/>
    <w:rsid w:val="00943A3E"/>
    <w:rsid w:val="009553B7"/>
    <w:rsid w:val="00955D6B"/>
    <w:rsid w:val="00955E6C"/>
    <w:rsid w:val="00957886"/>
    <w:rsid w:val="0098733D"/>
    <w:rsid w:val="009972B3"/>
    <w:rsid w:val="009A2229"/>
    <w:rsid w:val="009C0BFD"/>
    <w:rsid w:val="009C1BAB"/>
    <w:rsid w:val="009D0295"/>
    <w:rsid w:val="009D6CF2"/>
    <w:rsid w:val="009F2CF3"/>
    <w:rsid w:val="009F679E"/>
    <w:rsid w:val="00A014D7"/>
    <w:rsid w:val="00A07F5D"/>
    <w:rsid w:val="00A12169"/>
    <w:rsid w:val="00A17A74"/>
    <w:rsid w:val="00A31488"/>
    <w:rsid w:val="00A472AD"/>
    <w:rsid w:val="00A509CC"/>
    <w:rsid w:val="00A613B9"/>
    <w:rsid w:val="00A62C8E"/>
    <w:rsid w:val="00A64854"/>
    <w:rsid w:val="00A66C00"/>
    <w:rsid w:val="00AB5B94"/>
    <w:rsid w:val="00AC7582"/>
    <w:rsid w:val="00AD6A74"/>
    <w:rsid w:val="00AD765E"/>
    <w:rsid w:val="00AE0CC1"/>
    <w:rsid w:val="00AE154E"/>
    <w:rsid w:val="00AF2A74"/>
    <w:rsid w:val="00B028A5"/>
    <w:rsid w:val="00B03672"/>
    <w:rsid w:val="00B043EE"/>
    <w:rsid w:val="00B075EA"/>
    <w:rsid w:val="00B21C11"/>
    <w:rsid w:val="00B2310E"/>
    <w:rsid w:val="00B27485"/>
    <w:rsid w:val="00B40224"/>
    <w:rsid w:val="00B62025"/>
    <w:rsid w:val="00B63C0A"/>
    <w:rsid w:val="00B91F48"/>
    <w:rsid w:val="00BA7695"/>
    <w:rsid w:val="00BA7A8C"/>
    <w:rsid w:val="00BB0B08"/>
    <w:rsid w:val="00BB32BF"/>
    <w:rsid w:val="00BC50E9"/>
    <w:rsid w:val="00BE5762"/>
    <w:rsid w:val="00BF13DB"/>
    <w:rsid w:val="00BF46A8"/>
    <w:rsid w:val="00C01D38"/>
    <w:rsid w:val="00C13E23"/>
    <w:rsid w:val="00C14E72"/>
    <w:rsid w:val="00C2335A"/>
    <w:rsid w:val="00C24CD4"/>
    <w:rsid w:val="00C259B3"/>
    <w:rsid w:val="00C27B69"/>
    <w:rsid w:val="00C3079E"/>
    <w:rsid w:val="00C3721C"/>
    <w:rsid w:val="00C472BF"/>
    <w:rsid w:val="00C638E8"/>
    <w:rsid w:val="00C75CAF"/>
    <w:rsid w:val="00C83BAB"/>
    <w:rsid w:val="00C83C41"/>
    <w:rsid w:val="00C919E5"/>
    <w:rsid w:val="00C92C7C"/>
    <w:rsid w:val="00CA3AC9"/>
    <w:rsid w:val="00CA5501"/>
    <w:rsid w:val="00CB1F8A"/>
    <w:rsid w:val="00CB41B6"/>
    <w:rsid w:val="00CC235A"/>
    <w:rsid w:val="00CC30E3"/>
    <w:rsid w:val="00CD36C7"/>
    <w:rsid w:val="00CE2326"/>
    <w:rsid w:val="00CE5CF5"/>
    <w:rsid w:val="00D164FF"/>
    <w:rsid w:val="00D17F56"/>
    <w:rsid w:val="00D201F4"/>
    <w:rsid w:val="00D273CE"/>
    <w:rsid w:val="00D43EBD"/>
    <w:rsid w:val="00D8068F"/>
    <w:rsid w:val="00D8086D"/>
    <w:rsid w:val="00D81827"/>
    <w:rsid w:val="00D86376"/>
    <w:rsid w:val="00D91733"/>
    <w:rsid w:val="00DB2184"/>
    <w:rsid w:val="00DB5EC3"/>
    <w:rsid w:val="00DF2080"/>
    <w:rsid w:val="00DF22B9"/>
    <w:rsid w:val="00DF6F11"/>
    <w:rsid w:val="00DF7A61"/>
    <w:rsid w:val="00E12EAA"/>
    <w:rsid w:val="00E22C84"/>
    <w:rsid w:val="00E30AB3"/>
    <w:rsid w:val="00E30BA3"/>
    <w:rsid w:val="00E3495F"/>
    <w:rsid w:val="00E500A2"/>
    <w:rsid w:val="00E63BBC"/>
    <w:rsid w:val="00E64C51"/>
    <w:rsid w:val="00E67EB8"/>
    <w:rsid w:val="00E7168A"/>
    <w:rsid w:val="00E7200E"/>
    <w:rsid w:val="00E83AE2"/>
    <w:rsid w:val="00EA2156"/>
    <w:rsid w:val="00EB0B71"/>
    <w:rsid w:val="00EB0FEF"/>
    <w:rsid w:val="00EC07C2"/>
    <w:rsid w:val="00EC3759"/>
    <w:rsid w:val="00EF2882"/>
    <w:rsid w:val="00EF3356"/>
    <w:rsid w:val="00F13BA1"/>
    <w:rsid w:val="00F13CCC"/>
    <w:rsid w:val="00F2031B"/>
    <w:rsid w:val="00F22EE3"/>
    <w:rsid w:val="00F26CC5"/>
    <w:rsid w:val="00F40096"/>
    <w:rsid w:val="00F40AB7"/>
    <w:rsid w:val="00F64B1C"/>
    <w:rsid w:val="00F720CE"/>
    <w:rsid w:val="00F73F50"/>
    <w:rsid w:val="00F87C38"/>
    <w:rsid w:val="00F934BB"/>
    <w:rsid w:val="00FB0B6C"/>
    <w:rsid w:val="00FC70C8"/>
    <w:rsid w:val="00FC7A0B"/>
    <w:rsid w:val="00FC7B7A"/>
    <w:rsid w:val="02610037"/>
    <w:rsid w:val="02855A64"/>
    <w:rsid w:val="050E41CD"/>
    <w:rsid w:val="06EF134C"/>
    <w:rsid w:val="08A1075B"/>
    <w:rsid w:val="0AED019C"/>
    <w:rsid w:val="0C226901"/>
    <w:rsid w:val="13C03E26"/>
    <w:rsid w:val="164C3F83"/>
    <w:rsid w:val="1987012D"/>
    <w:rsid w:val="1C3108B2"/>
    <w:rsid w:val="1F281F89"/>
    <w:rsid w:val="22200DEB"/>
    <w:rsid w:val="25702416"/>
    <w:rsid w:val="297F1B05"/>
    <w:rsid w:val="2A476372"/>
    <w:rsid w:val="2B38083D"/>
    <w:rsid w:val="2C7F55A5"/>
    <w:rsid w:val="2E1113A3"/>
    <w:rsid w:val="30ED1751"/>
    <w:rsid w:val="33490667"/>
    <w:rsid w:val="3D314F5D"/>
    <w:rsid w:val="4169149A"/>
    <w:rsid w:val="43141ABD"/>
    <w:rsid w:val="46C165CA"/>
    <w:rsid w:val="480E36C9"/>
    <w:rsid w:val="4C6C4800"/>
    <w:rsid w:val="4E8C095C"/>
    <w:rsid w:val="531F3916"/>
    <w:rsid w:val="5381391E"/>
    <w:rsid w:val="53DF63E7"/>
    <w:rsid w:val="55C2222C"/>
    <w:rsid w:val="56225921"/>
    <w:rsid w:val="637C2F6C"/>
    <w:rsid w:val="646C3B86"/>
    <w:rsid w:val="6976003F"/>
    <w:rsid w:val="6AEC0F4D"/>
    <w:rsid w:val="6C690350"/>
    <w:rsid w:val="6D9E2FAE"/>
    <w:rsid w:val="6ED12088"/>
    <w:rsid w:val="719D1833"/>
    <w:rsid w:val="754167EA"/>
    <w:rsid w:val="77581AC5"/>
    <w:rsid w:val="79995A37"/>
    <w:rsid w:val="79BD40F6"/>
    <w:rsid w:val="7AF2104C"/>
    <w:rsid w:val="7B116A9C"/>
    <w:rsid w:val="7BE70F4E"/>
    <w:rsid w:val="7D874ED3"/>
    <w:rsid w:val="7E22212E"/>
    <w:rsid w:val="7F3D7CD9"/>
    <w:rsid w:val="B8CF1B78"/>
    <w:rsid w:val="BAFFF6D3"/>
    <w:rsid w:val="F3770530"/>
    <w:rsid w:val="FFCDE6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72"/>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autoRedefine/>
    <w:qFormat/>
    <w:uiPriority w:val="0"/>
    <w:pPr>
      <w:keepNext/>
      <w:keepLines/>
      <w:spacing w:before="260" w:after="260" w:line="412" w:lineRule="auto"/>
      <w:outlineLvl w:val="1"/>
    </w:pPr>
    <w:rPr>
      <w:rFonts w:ascii="Arial" w:hAnsi="Arial" w:eastAsia="宋体" w:cs="Times New Roman"/>
      <w:b/>
      <w:sz w:val="32"/>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autoRedefine/>
    <w:qFormat/>
    <w:uiPriority w:val="0"/>
    <w:pPr>
      <w:ind w:firstLine="200" w:firstLineChars="200"/>
    </w:pPr>
    <w:rPr>
      <w:rFonts w:ascii="Arial" w:hAnsi="Arial" w:eastAsia="宋体" w:cs="Times New Roman"/>
      <w:spacing w:val="-5"/>
      <w:kern w:val="0"/>
      <w:sz w:val="24"/>
      <w:szCs w:val="20"/>
    </w:rPr>
  </w:style>
  <w:style w:type="paragraph" w:styleId="3">
    <w:name w:val="Body Text"/>
    <w:basedOn w:val="1"/>
    <w:next w:val="4"/>
    <w:link w:val="34"/>
    <w:autoRedefine/>
    <w:unhideWhenUsed/>
    <w:qFormat/>
    <w:uiPriority w:val="0"/>
    <w:pPr>
      <w:spacing w:after="120"/>
    </w:pPr>
  </w:style>
  <w:style w:type="paragraph" w:styleId="4">
    <w:name w:val="Body Text First Indent"/>
    <w:basedOn w:val="3"/>
    <w:link w:val="35"/>
    <w:autoRedefine/>
    <w:qFormat/>
    <w:uiPriority w:val="0"/>
    <w:pPr>
      <w:widowControl/>
      <w:ind w:firstLine="240" w:firstLineChars="100"/>
      <w:jc w:val="left"/>
    </w:pPr>
    <w:rPr>
      <w:rFonts w:ascii="仿宋_GB2312" w:hAnsi="仿宋_GB2312" w:eastAsia="仿宋_GB2312" w:cs="仿宋_GB2312"/>
      <w:color w:val="000000" w:themeColor="text1"/>
      <w:kern w:val="0"/>
      <w:sz w:val="24"/>
      <w:szCs w:val="24"/>
      <w:lang w:bidi="en-US"/>
    </w:rPr>
  </w:style>
  <w:style w:type="paragraph" w:styleId="7">
    <w:name w:val="List Number"/>
    <w:basedOn w:val="1"/>
    <w:autoRedefine/>
    <w:qFormat/>
    <w:uiPriority w:val="0"/>
    <w:pPr>
      <w:widowControl/>
      <w:tabs>
        <w:tab w:val="left" w:pos="360"/>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53"/>
    <w:autoRedefine/>
    <w:qFormat/>
    <w:uiPriority w:val="0"/>
    <w:pPr>
      <w:ind w:firstLine="420"/>
    </w:pPr>
    <w:rPr>
      <w:rFonts w:eastAsia="宋体"/>
    </w:rPr>
  </w:style>
  <w:style w:type="paragraph" w:styleId="9">
    <w:name w:val="Document Map"/>
    <w:basedOn w:val="1"/>
    <w:link w:val="32"/>
    <w:autoRedefine/>
    <w:semiHidden/>
    <w:unhideWhenUsed/>
    <w:qFormat/>
    <w:uiPriority w:val="99"/>
    <w:rPr>
      <w:rFonts w:ascii="宋体" w:eastAsia="宋体"/>
      <w:sz w:val="18"/>
      <w:szCs w:val="18"/>
    </w:rPr>
  </w:style>
  <w:style w:type="paragraph" w:styleId="10">
    <w:name w:val="annotation text"/>
    <w:basedOn w:val="1"/>
    <w:link w:val="51"/>
    <w:autoRedefine/>
    <w:unhideWhenUsed/>
    <w:qFormat/>
    <w:uiPriority w:val="0"/>
    <w:pPr>
      <w:jc w:val="left"/>
    </w:pPr>
  </w:style>
  <w:style w:type="paragraph" w:styleId="11">
    <w:name w:val="Body Text Indent"/>
    <w:basedOn w:val="1"/>
    <w:link w:val="31"/>
    <w:autoRedefine/>
    <w:qFormat/>
    <w:uiPriority w:val="0"/>
    <w:pPr>
      <w:spacing w:line="480" w:lineRule="exact"/>
      <w:ind w:firstLine="480" w:firstLineChars="200"/>
    </w:pPr>
    <w:rPr>
      <w:rFonts w:ascii="宋体" w:hAnsi="宋体"/>
      <w:sz w:val="24"/>
    </w:rPr>
  </w:style>
  <w:style w:type="paragraph" w:styleId="12">
    <w:name w:val="Block Text"/>
    <w:basedOn w:val="1"/>
    <w:next w:val="1"/>
    <w:autoRedefine/>
    <w:qFormat/>
    <w:uiPriority w:val="0"/>
    <w:pPr>
      <w:spacing w:line="360" w:lineRule="auto"/>
      <w:ind w:left="-359" w:leftChars="-171" w:right="-153" w:rightChars="-73" w:firstLine="420" w:firstLineChars="200"/>
    </w:pPr>
    <w:rPr>
      <w:rFonts w:ascii="仿宋_GB2312" w:hAnsi="宋体" w:eastAsia="仿宋_GB2312"/>
      <w:szCs w:val="21"/>
    </w:rPr>
  </w:style>
  <w:style w:type="paragraph" w:styleId="13">
    <w:name w:val="Plain Text"/>
    <w:basedOn w:val="1"/>
    <w:next w:val="1"/>
    <w:link w:val="36"/>
    <w:autoRedefine/>
    <w:qFormat/>
    <w:uiPriority w:val="0"/>
    <w:rPr>
      <w:rFonts w:ascii="宋体" w:hAnsi="Courier New" w:eastAsia="Times New Roman" w:cs="宋体"/>
      <w:sz w:val="30"/>
      <w:szCs w:val="30"/>
    </w:rPr>
  </w:style>
  <w:style w:type="paragraph" w:styleId="14">
    <w:name w:val="Date"/>
    <w:basedOn w:val="1"/>
    <w:next w:val="1"/>
    <w:link w:val="46"/>
    <w:autoRedefine/>
    <w:unhideWhenUsed/>
    <w:qFormat/>
    <w:uiPriority w:val="99"/>
    <w:pPr>
      <w:ind w:left="100" w:leftChars="2500"/>
    </w:pPr>
  </w:style>
  <w:style w:type="paragraph" w:styleId="15">
    <w:name w:val="Balloon Text"/>
    <w:basedOn w:val="1"/>
    <w:link w:val="38"/>
    <w:autoRedefine/>
    <w:unhideWhenUsed/>
    <w:qFormat/>
    <w:uiPriority w:val="99"/>
    <w:rPr>
      <w:sz w:val="18"/>
      <w:szCs w:val="18"/>
    </w:rPr>
  </w:style>
  <w:style w:type="paragraph" w:styleId="16">
    <w:name w:val="footer"/>
    <w:basedOn w:val="1"/>
    <w:link w:val="39"/>
    <w:autoRedefine/>
    <w:unhideWhenUsed/>
    <w:qFormat/>
    <w:uiPriority w:val="99"/>
    <w:pPr>
      <w:tabs>
        <w:tab w:val="center" w:pos="4153"/>
        <w:tab w:val="right" w:pos="8306"/>
      </w:tabs>
      <w:snapToGrid w:val="0"/>
      <w:jc w:val="left"/>
    </w:pPr>
    <w:rPr>
      <w:sz w:val="18"/>
      <w:szCs w:val="18"/>
    </w:rPr>
  </w:style>
  <w:style w:type="paragraph" w:styleId="17">
    <w:name w:val="header"/>
    <w:basedOn w:val="1"/>
    <w:link w:val="4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41"/>
    <w:autoRedefine/>
    <w:qFormat/>
    <w:uiPriority w:val="11"/>
    <w:pPr>
      <w:adjustRightInd w:val="0"/>
      <w:snapToGrid w:val="0"/>
      <w:spacing w:before="240" w:after="480"/>
      <w:jc w:val="center"/>
    </w:pPr>
    <w:rPr>
      <w:rFonts w:ascii="Arial" w:hAnsi="Arial" w:eastAsia="隶书"/>
      <w:b/>
      <w:bCs/>
      <w:kern w:val="28"/>
      <w:sz w:val="44"/>
      <w:szCs w:val="32"/>
    </w:rPr>
  </w:style>
  <w:style w:type="paragraph" w:styleId="19">
    <w:name w:val="toc 2"/>
    <w:basedOn w:val="1"/>
    <w:next w:val="1"/>
    <w:autoRedefine/>
    <w:qFormat/>
    <w:uiPriority w:val="0"/>
    <w:pPr>
      <w:widowControl/>
      <w:spacing w:before="120"/>
      <w:ind w:left="240"/>
      <w:jc w:val="left"/>
    </w:pPr>
    <w:rPr>
      <w:b/>
      <w:bCs/>
      <w:kern w:val="0"/>
      <w:sz w:val="22"/>
    </w:rPr>
  </w:style>
  <w:style w:type="paragraph" w:styleId="20">
    <w:name w:val="Normal (Web)"/>
    <w:basedOn w:val="1"/>
    <w:autoRedefine/>
    <w:unhideWhenUsed/>
    <w:qFormat/>
    <w:uiPriority w:val="99"/>
    <w:pPr>
      <w:spacing w:beforeAutospacing="1" w:afterAutospacing="1"/>
      <w:jc w:val="left"/>
    </w:pPr>
    <w:rPr>
      <w:rFonts w:cs="Times New Roman"/>
      <w:kern w:val="0"/>
      <w:sz w:val="24"/>
    </w:rPr>
  </w:style>
  <w:style w:type="paragraph" w:styleId="21">
    <w:name w:val="Title"/>
    <w:basedOn w:val="1"/>
    <w:next w:val="1"/>
    <w:link w:val="42"/>
    <w:autoRedefine/>
    <w:qFormat/>
    <w:uiPriority w:val="0"/>
    <w:pPr>
      <w:widowControl/>
      <w:spacing w:before="240" w:after="60"/>
      <w:jc w:val="center"/>
      <w:outlineLvl w:val="0"/>
    </w:pPr>
    <w:rPr>
      <w:rFonts w:asciiTheme="majorHAnsi" w:hAnsiTheme="majorHAnsi" w:eastAsiaTheme="majorEastAsia" w:cstheme="majorBidi"/>
      <w:b/>
      <w:bCs/>
      <w:kern w:val="28"/>
      <w:sz w:val="32"/>
      <w:szCs w:val="32"/>
      <w:lang w:eastAsia="en-US" w:bidi="en-US"/>
    </w:rPr>
  </w:style>
  <w:style w:type="paragraph" w:styleId="22">
    <w:name w:val="annotation subject"/>
    <w:basedOn w:val="10"/>
    <w:next w:val="10"/>
    <w:link w:val="52"/>
    <w:autoRedefine/>
    <w:unhideWhenUsed/>
    <w:qFormat/>
    <w:uiPriority w:val="99"/>
    <w:rPr>
      <w:b/>
      <w:bCs/>
    </w:rPr>
  </w:style>
  <w:style w:type="paragraph" w:styleId="23">
    <w:name w:val="Body Text First Indent 2"/>
    <w:basedOn w:val="11"/>
    <w:link w:val="44"/>
    <w:autoRedefine/>
    <w:semiHidden/>
    <w:unhideWhenUsed/>
    <w:qFormat/>
    <w:uiPriority w:val="99"/>
    <w:pPr>
      <w:spacing w:after="120" w:line="240" w:lineRule="auto"/>
      <w:ind w:left="420" w:leftChars="200" w:firstLine="420"/>
    </w:pPr>
    <w:rPr>
      <w:rFonts w:asciiTheme="minorHAnsi" w:hAnsiTheme="minorHAnsi"/>
      <w:sz w:val="21"/>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0"/>
  </w:style>
  <w:style w:type="character" w:styleId="28">
    <w:name w:val="Hyperlink"/>
    <w:basedOn w:val="26"/>
    <w:autoRedefine/>
    <w:unhideWhenUsed/>
    <w:qFormat/>
    <w:uiPriority w:val="99"/>
    <w:rPr>
      <w:color w:val="0000FF" w:themeColor="hyperlink"/>
      <w:u w:val="single"/>
    </w:rPr>
  </w:style>
  <w:style w:type="character" w:styleId="29">
    <w:name w:val="annotation reference"/>
    <w:basedOn w:val="26"/>
    <w:autoRedefine/>
    <w:qFormat/>
    <w:uiPriority w:val="0"/>
    <w:rPr>
      <w:sz w:val="21"/>
      <w:szCs w:val="21"/>
    </w:rPr>
  </w:style>
  <w:style w:type="character" w:customStyle="1" w:styleId="30">
    <w:name w:val="标题 2 Char"/>
    <w:basedOn w:val="26"/>
    <w:link w:val="6"/>
    <w:autoRedefine/>
    <w:qFormat/>
    <w:uiPriority w:val="0"/>
    <w:rPr>
      <w:rFonts w:ascii="Arial" w:hAnsi="Arial" w:eastAsia="宋体" w:cs="Times New Roman"/>
      <w:b/>
      <w:sz w:val="32"/>
      <w:szCs w:val="28"/>
    </w:rPr>
  </w:style>
  <w:style w:type="character" w:customStyle="1" w:styleId="31">
    <w:name w:val="正文文本缩进 Char"/>
    <w:basedOn w:val="26"/>
    <w:link w:val="11"/>
    <w:autoRedefine/>
    <w:qFormat/>
    <w:uiPriority w:val="0"/>
    <w:rPr>
      <w:rFonts w:ascii="宋体" w:hAnsi="宋体"/>
      <w:sz w:val="24"/>
    </w:rPr>
  </w:style>
  <w:style w:type="character" w:customStyle="1" w:styleId="32">
    <w:name w:val="文档结构图 Char"/>
    <w:basedOn w:val="26"/>
    <w:link w:val="9"/>
    <w:autoRedefine/>
    <w:semiHidden/>
    <w:qFormat/>
    <w:uiPriority w:val="99"/>
    <w:rPr>
      <w:rFonts w:ascii="宋体" w:eastAsia="宋体"/>
      <w:sz w:val="18"/>
      <w:szCs w:val="18"/>
    </w:rPr>
  </w:style>
  <w:style w:type="character" w:customStyle="1" w:styleId="33">
    <w:name w:val="批注文字 Char"/>
    <w:basedOn w:val="26"/>
    <w:autoRedefine/>
    <w:qFormat/>
    <w:uiPriority w:val="0"/>
  </w:style>
  <w:style w:type="character" w:customStyle="1" w:styleId="34">
    <w:name w:val="正文文本 Char"/>
    <w:basedOn w:val="26"/>
    <w:link w:val="3"/>
    <w:autoRedefine/>
    <w:qFormat/>
    <w:uiPriority w:val="0"/>
  </w:style>
  <w:style w:type="character" w:customStyle="1" w:styleId="35">
    <w:name w:val="正文首行缩进 Char"/>
    <w:basedOn w:val="34"/>
    <w:link w:val="4"/>
    <w:autoRedefine/>
    <w:qFormat/>
    <w:uiPriority w:val="0"/>
    <w:rPr>
      <w:rFonts w:ascii="仿宋_GB2312" w:hAnsi="仿宋_GB2312" w:eastAsia="仿宋_GB2312" w:cs="仿宋_GB2312"/>
      <w:color w:val="000000" w:themeColor="text1"/>
      <w:sz w:val="24"/>
      <w:szCs w:val="24"/>
      <w:lang w:bidi="en-US"/>
    </w:rPr>
  </w:style>
  <w:style w:type="character" w:customStyle="1" w:styleId="36">
    <w:name w:val="纯文本 Char"/>
    <w:basedOn w:val="26"/>
    <w:link w:val="13"/>
    <w:autoRedefine/>
    <w:qFormat/>
    <w:uiPriority w:val="0"/>
    <w:rPr>
      <w:rFonts w:ascii="宋体" w:hAnsi="Courier New" w:eastAsia="Times New Roman" w:cs="宋体"/>
      <w:sz w:val="30"/>
      <w:szCs w:val="30"/>
    </w:rPr>
  </w:style>
  <w:style w:type="character" w:customStyle="1" w:styleId="37">
    <w:name w:val="日期 Char"/>
    <w:basedOn w:val="26"/>
    <w:autoRedefine/>
    <w:semiHidden/>
    <w:qFormat/>
    <w:uiPriority w:val="99"/>
  </w:style>
  <w:style w:type="character" w:customStyle="1" w:styleId="38">
    <w:name w:val="批注框文本 Char"/>
    <w:basedOn w:val="26"/>
    <w:link w:val="15"/>
    <w:autoRedefine/>
    <w:qFormat/>
    <w:uiPriority w:val="99"/>
    <w:rPr>
      <w:sz w:val="18"/>
      <w:szCs w:val="18"/>
    </w:rPr>
  </w:style>
  <w:style w:type="character" w:customStyle="1" w:styleId="39">
    <w:name w:val="页脚 Char"/>
    <w:basedOn w:val="26"/>
    <w:link w:val="16"/>
    <w:autoRedefine/>
    <w:qFormat/>
    <w:uiPriority w:val="99"/>
    <w:rPr>
      <w:sz w:val="18"/>
      <w:szCs w:val="18"/>
    </w:rPr>
  </w:style>
  <w:style w:type="character" w:customStyle="1" w:styleId="40">
    <w:name w:val="页眉 Char"/>
    <w:basedOn w:val="26"/>
    <w:link w:val="17"/>
    <w:autoRedefine/>
    <w:qFormat/>
    <w:uiPriority w:val="99"/>
    <w:rPr>
      <w:sz w:val="18"/>
      <w:szCs w:val="18"/>
    </w:rPr>
  </w:style>
  <w:style w:type="character" w:customStyle="1" w:styleId="41">
    <w:name w:val="副标题 Char"/>
    <w:basedOn w:val="26"/>
    <w:link w:val="18"/>
    <w:autoRedefine/>
    <w:qFormat/>
    <w:uiPriority w:val="11"/>
    <w:rPr>
      <w:rFonts w:ascii="Arial" w:hAnsi="Arial" w:eastAsia="隶书"/>
      <w:b/>
      <w:bCs/>
      <w:kern w:val="28"/>
      <w:sz w:val="44"/>
      <w:szCs w:val="32"/>
    </w:rPr>
  </w:style>
  <w:style w:type="character" w:customStyle="1" w:styleId="42">
    <w:name w:val="标题 Char"/>
    <w:basedOn w:val="26"/>
    <w:link w:val="21"/>
    <w:autoRedefine/>
    <w:qFormat/>
    <w:uiPriority w:val="0"/>
    <w:rPr>
      <w:rFonts w:asciiTheme="majorHAnsi" w:hAnsiTheme="majorHAnsi" w:eastAsiaTheme="majorEastAsia" w:cstheme="majorBidi"/>
      <w:b/>
      <w:bCs/>
      <w:kern w:val="28"/>
      <w:sz w:val="32"/>
      <w:szCs w:val="32"/>
      <w:lang w:eastAsia="en-US" w:bidi="en-US"/>
    </w:rPr>
  </w:style>
  <w:style w:type="character" w:customStyle="1" w:styleId="43">
    <w:name w:val="批注主题 Char"/>
    <w:basedOn w:val="33"/>
    <w:autoRedefine/>
    <w:semiHidden/>
    <w:qFormat/>
    <w:uiPriority w:val="99"/>
    <w:rPr>
      <w:b/>
      <w:bCs/>
    </w:rPr>
  </w:style>
  <w:style w:type="character" w:customStyle="1" w:styleId="44">
    <w:name w:val="正文首行缩进 2 Char"/>
    <w:basedOn w:val="31"/>
    <w:link w:val="23"/>
    <w:autoRedefine/>
    <w:semiHidden/>
    <w:qFormat/>
    <w:uiPriority w:val="99"/>
    <w:rPr>
      <w:rFonts w:ascii="宋体" w:hAnsi="宋体"/>
      <w:sz w:val="24"/>
    </w:rPr>
  </w:style>
  <w:style w:type="paragraph" w:customStyle="1" w:styleId="45">
    <w:name w:val="[Normal]"/>
    <w:autoRedefine/>
    <w:qFormat/>
    <w:uiPriority w:val="0"/>
    <w:rPr>
      <w:rFonts w:ascii="宋体" w:hAnsi="宋体" w:eastAsia="宋体" w:cs="Times New Roman"/>
      <w:sz w:val="24"/>
      <w:szCs w:val="22"/>
      <w:lang w:val="zh-CN" w:eastAsia="zh-CN" w:bidi="ar-SA"/>
    </w:rPr>
  </w:style>
  <w:style w:type="character" w:customStyle="1" w:styleId="46">
    <w:name w:val="日期 Char1"/>
    <w:basedOn w:val="26"/>
    <w:link w:val="14"/>
    <w:autoRedefine/>
    <w:qFormat/>
    <w:uiPriority w:val="99"/>
  </w:style>
  <w:style w:type="paragraph" w:customStyle="1" w:styleId="47">
    <w:name w:val="列出段落1"/>
    <w:basedOn w:val="1"/>
    <w:qFormat/>
    <w:uiPriority w:val="34"/>
    <w:pPr>
      <w:ind w:firstLine="420" w:firstLineChars="200"/>
    </w:pPr>
  </w:style>
  <w:style w:type="paragraph" w:customStyle="1" w:styleId="48">
    <w:name w:val="Fließtext"/>
    <w:basedOn w:val="1"/>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 w:type="paragraph" w:customStyle="1" w:styleId="49">
    <w:name w:val="正文缩进1"/>
    <w:basedOn w:val="1"/>
    <w:autoRedefine/>
    <w:qFormat/>
    <w:uiPriority w:val="0"/>
    <w:pPr>
      <w:widowControl/>
      <w:autoSpaceDE w:val="0"/>
      <w:autoSpaceDN w:val="0"/>
      <w:adjustRightInd w:val="0"/>
      <w:ind w:firstLine="420"/>
      <w:jc w:val="left"/>
    </w:pPr>
    <w:rPr>
      <w:rFonts w:ascii="宋体" w:hAnsi="Times New Roman" w:cs="Times New Roman"/>
      <w:kern w:val="0"/>
      <w:sz w:val="24"/>
      <w:szCs w:val="20"/>
      <w:lang w:eastAsia="en-US" w:bidi="en-US"/>
    </w:rPr>
  </w:style>
  <w:style w:type="paragraph" w:customStyle="1" w:styleId="50">
    <w:name w:val="索引 11"/>
    <w:basedOn w:val="1"/>
    <w:next w:val="1"/>
    <w:autoRedefine/>
    <w:qFormat/>
    <w:uiPriority w:val="99"/>
    <w:pPr>
      <w:widowControl/>
      <w:spacing w:line="360" w:lineRule="auto"/>
      <w:jc w:val="left"/>
    </w:pPr>
    <w:rPr>
      <w:rFonts w:ascii="仿宋_GB2312" w:hAnsi="Times New Roman" w:eastAsia="仿宋_GB2312" w:cs="Times New Roman"/>
      <w:kern w:val="0"/>
      <w:sz w:val="24"/>
      <w:szCs w:val="20"/>
      <w:lang w:eastAsia="en-US" w:bidi="en-US"/>
    </w:rPr>
  </w:style>
  <w:style w:type="character" w:customStyle="1" w:styleId="51">
    <w:name w:val="批注文字 Char1"/>
    <w:basedOn w:val="26"/>
    <w:link w:val="10"/>
    <w:autoRedefine/>
    <w:qFormat/>
    <w:uiPriority w:val="0"/>
  </w:style>
  <w:style w:type="character" w:customStyle="1" w:styleId="52">
    <w:name w:val="批注主题 Char1"/>
    <w:basedOn w:val="51"/>
    <w:link w:val="22"/>
    <w:autoRedefine/>
    <w:qFormat/>
    <w:uiPriority w:val="99"/>
    <w:rPr>
      <w:b/>
      <w:bCs/>
    </w:rPr>
  </w:style>
  <w:style w:type="character" w:customStyle="1" w:styleId="53">
    <w:name w:val="正文缩进 Char"/>
    <w:link w:val="8"/>
    <w:autoRedefine/>
    <w:qFormat/>
    <w:uiPriority w:val="0"/>
    <w:rPr>
      <w:rFonts w:eastAsia="宋体"/>
    </w:rPr>
  </w:style>
  <w:style w:type="paragraph" w:customStyle="1" w:styleId="54">
    <w:name w:val="Other|1"/>
    <w:basedOn w:val="1"/>
    <w:autoRedefine/>
    <w:qFormat/>
    <w:uiPriority w:val="0"/>
    <w:pPr>
      <w:spacing w:line="408" w:lineRule="auto"/>
      <w:ind w:firstLine="400"/>
    </w:pPr>
    <w:rPr>
      <w:rFonts w:ascii="宋体" w:hAnsi="宋体" w:eastAsia="宋体" w:cs="宋体"/>
      <w:sz w:val="28"/>
      <w:szCs w:val="28"/>
      <w:lang w:val="zh-TW" w:eastAsia="zh-TW" w:bidi="zh-TW"/>
    </w:rPr>
  </w:style>
  <w:style w:type="character" w:customStyle="1" w:styleId="55">
    <w:name w:val="正文缩进 Char2"/>
    <w:autoRedefine/>
    <w:qFormat/>
    <w:uiPriority w:val="0"/>
    <w:rPr>
      <w:rFonts w:ascii="宋体" w:eastAsia="宋体"/>
      <w:snapToGrid w:val="0"/>
      <w:color w:val="000000"/>
      <w:kern w:val="28"/>
      <w:sz w:val="28"/>
      <w:lang w:val="en-US" w:eastAsia="zh-CN" w:bidi="ar-SA"/>
    </w:rPr>
  </w:style>
  <w:style w:type="character" w:customStyle="1" w:styleId="56">
    <w:name w:val="纯文本 Char1"/>
    <w:link w:val="57"/>
    <w:autoRedefine/>
    <w:qFormat/>
    <w:uiPriority w:val="0"/>
    <w:rPr>
      <w:rFonts w:ascii="宋体" w:hAnsi="Courier New"/>
    </w:rPr>
  </w:style>
  <w:style w:type="paragraph" w:customStyle="1" w:styleId="57">
    <w:name w:val="纯文本1"/>
    <w:basedOn w:val="1"/>
    <w:link w:val="56"/>
    <w:autoRedefine/>
    <w:qFormat/>
    <w:uiPriority w:val="0"/>
    <w:rPr>
      <w:rFonts w:ascii="宋体" w:hAnsi="Courier New"/>
    </w:rPr>
  </w:style>
  <w:style w:type="paragraph" w:customStyle="1" w:styleId="58">
    <w:name w:val="text-tag"/>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9">
    <w:name w:val="部分1"/>
    <w:basedOn w:val="1"/>
    <w:autoRedefine/>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0">
    <w:name w:val="首行缩进"/>
    <w:basedOn w:val="1"/>
    <w:next w:val="1"/>
    <w:autoRedefine/>
    <w:qFormat/>
    <w:uiPriority w:val="0"/>
    <w:pPr>
      <w:spacing w:line="360" w:lineRule="auto"/>
      <w:ind w:firstLine="480" w:firstLineChars="200"/>
    </w:pPr>
    <w:rPr>
      <w:rFonts w:ascii="宋体"/>
      <w:sz w:val="24"/>
      <w:szCs w:val="20"/>
    </w:rPr>
  </w:style>
  <w:style w:type="paragraph" w:customStyle="1" w:styleId="61">
    <w:name w:val="表格"/>
    <w:basedOn w:val="1"/>
    <w:autoRedefine/>
    <w:qFormat/>
    <w:uiPriority w:val="0"/>
    <w:rPr>
      <w:rFonts w:ascii="Times New Roman" w:hAnsi="Times New Roman" w:eastAsia="宋体" w:cs="Times New Roman"/>
    </w:rPr>
  </w:style>
  <w:style w:type="paragraph" w:customStyle="1" w:styleId="62">
    <w:name w:val="List Paragraph1"/>
    <w:basedOn w:val="1"/>
    <w:autoRedefine/>
    <w:qFormat/>
    <w:uiPriority w:val="99"/>
    <w:pPr>
      <w:ind w:firstLine="420" w:firstLineChars="200"/>
    </w:pPr>
    <w:rPr>
      <w:rFonts w:ascii="等线" w:hAnsi="等线" w:eastAsia="等线" w:cs="宋体"/>
      <w:szCs w:val="24"/>
    </w:rPr>
  </w:style>
  <w:style w:type="paragraph" w:customStyle="1" w:styleId="63">
    <w:name w:val="纯文本111"/>
    <w:basedOn w:val="1"/>
    <w:autoRedefine/>
    <w:qFormat/>
    <w:uiPriority w:val="0"/>
    <w:pPr>
      <w:adjustRightInd w:val="0"/>
    </w:pPr>
    <w:rPr>
      <w:rFonts w:hint="eastAsia" w:ascii="宋体" w:hAnsi="Courier New" w:eastAsia="楷体_GB2312" w:cs="Times New Roman"/>
      <w:sz w:val="28"/>
      <w:szCs w:val="20"/>
    </w:rPr>
  </w:style>
  <w:style w:type="paragraph" w:customStyle="1" w:styleId="64">
    <w:name w:val="文档正文"/>
    <w:basedOn w:val="1"/>
    <w:autoRedefine/>
    <w:qFormat/>
    <w:uiPriority w:val="0"/>
    <w:rPr>
      <w:rFonts w:ascii="宋体" w:cs="Arial"/>
      <w:bCs/>
      <w:szCs w:val="21"/>
    </w:rPr>
  </w:style>
  <w:style w:type="paragraph" w:styleId="65">
    <w:name w:val="List Paragraph"/>
    <w:basedOn w:val="1"/>
    <w:autoRedefine/>
    <w:qFormat/>
    <w:uiPriority w:val="0"/>
    <w:pPr>
      <w:ind w:firstLine="420" w:firstLineChars="200"/>
    </w:pPr>
    <w:rPr>
      <w:rFonts w:ascii="Times New Roman" w:hAnsi="Times New Roman" w:eastAsia="宋体" w:cs="Times New Roman"/>
      <w:szCs w:val="20"/>
    </w:rPr>
  </w:style>
  <w:style w:type="character" w:customStyle="1" w:styleId="66">
    <w:name w:val="正文2 Char Char"/>
    <w:link w:val="67"/>
    <w:autoRedefine/>
    <w:qFormat/>
    <w:uiPriority w:val="0"/>
    <w:rPr>
      <w:rFonts w:eastAsia="宋体"/>
      <w:sz w:val="24"/>
    </w:rPr>
  </w:style>
  <w:style w:type="paragraph" w:customStyle="1" w:styleId="67">
    <w:name w:val="正文2"/>
    <w:basedOn w:val="1"/>
    <w:link w:val="66"/>
    <w:autoRedefine/>
    <w:qFormat/>
    <w:uiPriority w:val="0"/>
    <w:pPr>
      <w:adjustRightInd w:val="0"/>
      <w:spacing w:before="156" w:line="360" w:lineRule="auto"/>
      <w:ind w:firstLine="510" w:firstLineChars="200"/>
    </w:pPr>
    <w:rPr>
      <w:rFonts w:eastAsia="宋体"/>
      <w:sz w:val="24"/>
    </w:rPr>
  </w:style>
  <w:style w:type="paragraph" w:customStyle="1" w:styleId="68">
    <w:name w:val="正文1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纯文本 Char3"/>
    <w:autoRedefine/>
    <w:qFormat/>
    <w:uiPriority w:val="99"/>
    <w:rPr>
      <w:rFonts w:ascii="宋体" w:hAnsi="Courier New" w:eastAsia="黑体" w:cs="Times New Roman"/>
      <w:snapToGrid w:val="0"/>
      <w:szCs w:val="21"/>
    </w:rPr>
  </w:style>
  <w:style w:type="paragraph" w:customStyle="1" w:styleId="70">
    <w:name w:val="标题1"/>
    <w:basedOn w:val="5"/>
    <w:autoRedefine/>
    <w:qFormat/>
    <w:uiPriority w:val="0"/>
    <w:pPr>
      <w:keepLines w:val="0"/>
      <w:numPr>
        <w:ilvl w:val="0"/>
        <w:numId w:val="1"/>
      </w:numPr>
      <w:spacing w:before="720" w:after="240" w:line="240" w:lineRule="auto"/>
    </w:pPr>
    <w:rPr>
      <w:rFonts w:ascii="Arial" w:hAnsi="Arial" w:eastAsia="宋体" w:cs="Times New Roman"/>
      <w:bCs w:val="0"/>
      <w:spacing w:val="20"/>
      <w:kern w:val="20"/>
      <w:sz w:val="36"/>
      <w:szCs w:val="24"/>
    </w:rPr>
  </w:style>
  <w:style w:type="paragraph" w:customStyle="1" w:styleId="71">
    <w:name w:val="标题2"/>
    <w:basedOn w:val="6"/>
    <w:autoRedefine/>
    <w:qFormat/>
    <w:uiPriority w:val="0"/>
    <w:pPr>
      <w:keepLines w:val="0"/>
      <w:numPr>
        <w:ilvl w:val="1"/>
        <w:numId w:val="1"/>
      </w:numPr>
      <w:tabs>
        <w:tab w:val="left" w:pos="312"/>
        <w:tab w:val="left" w:pos="1247"/>
        <w:tab w:val="clear" w:pos="1673"/>
      </w:tabs>
      <w:spacing w:before="320" w:after="160" w:line="240" w:lineRule="auto"/>
      <w:ind w:left="1247"/>
    </w:pPr>
    <w:rPr>
      <w:rFonts w:cs="Arial"/>
      <w:spacing w:val="20"/>
      <w:kern w:val="28"/>
      <w:sz w:val="28"/>
      <w:lang w:eastAsia="en-US"/>
    </w:rPr>
  </w:style>
  <w:style w:type="character" w:customStyle="1" w:styleId="72">
    <w:name w:val="标题 1 Char"/>
    <w:basedOn w:val="26"/>
    <w:link w:val="5"/>
    <w:autoRedefine/>
    <w:qFormat/>
    <w:uiPriority w:val="9"/>
    <w:rPr>
      <w:b/>
      <w:bCs/>
      <w:kern w:val="44"/>
      <w:sz w:val="44"/>
      <w:szCs w:val="44"/>
    </w:rPr>
  </w:style>
  <w:style w:type="paragraph" w:customStyle="1" w:styleId="73">
    <w:name w:val="列表段落1"/>
    <w:basedOn w:val="1"/>
    <w:autoRedefine/>
    <w:qFormat/>
    <w:uiPriority w:val="0"/>
    <w:pPr>
      <w:ind w:firstLine="420"/>
    </w:pPr>
    <w:rPr>
      <w:rFonts w:ascii="Times New Roman" w:hAnsi="Times New Roman" w:eastAsia="宋体" w:cs="Times New Roman"/>
      <w:szCs w:val="20"/>
    </w:rPr>
  </w:style>
  <w:style w:type="paragraph" w:customStyle="1" w:styleId="74">
    <w:name w:val="form"/>
    <w:basedOn w:val="1"/>
    <w:autoRedefine/>
    <w:qFormat/>
    <w:uiPriority w:val="0"/>
    <w:pPr>
      <w:snapToGrid w:val="0"/>
      <w:jc w:val="center"/>
    </w:pPr>
    <w:rPr>
      <w:rFonts w:ascii="仿宋_GB2312" w:hAnsi="Times New Roman" w:eastAsia="仿宋_GB2312" w:cs="Times New Roman"/>
      <w:sz w:val="24"/>
      <w:szCs w:val="24"/>
    </w:rPr>
  </w:style>
  <w:style w:type="character" w:customStyle="1" w:styleId="75">
    <w:name w:val="font141"/>
    <w:basedOn w:val="26"/>
    <w:autoRedefine/>
    <w:qFormat/>
    <w:uiPriority w:val="0"/>
    <w:rPr>
      <w:rFonts w:hint="eastAsia" w:ascii="宋体" w:hAnsi="宋体" w:eastAsia="宋体" w:cs="宋体"/>
      <w:color w:val="FF0000"/>
      <w:sz w:val="20"/>
      <w:szCs w:val="20"/>
      <w:u w:val="none"/>
    </w:rPr>
  </w:style>
  <w:style w:type="character" w:customStyle="1" w:styleId="76">
    <w:name w:val="font41"/>
    <w:basedOn w:val="26"/>
    <w:autoRedefine/>
    <w:qFormat/>
    <w:uiPriority w:val="0"/>
    <w:rPr>
      <w:rFonts w:hint="eastAsia" w:ascii="宋体" w:hAnsi="宋体" w:eastAsia="宋体" w:cs="宋体"/>
      <w:color w:val="000000"/>
      <w:sz w:val="20"/>
      <w:szCs w:val="20"/>
      <w:u w:val="none"/>
    </w:rPr>
  </w:style>
  <w:style w:type="character" w:customStyle="1" w:styleId="77">
    <w:name w:val="font71"/>
    <w:autoRedefine/>
    <w:qFormat/>
    <w:uiPriority w:val="0"/>
    <w:rPr>
      <w:rFonts w:hint="eastAsia" w:ascii="宋体" w:hAnsi="宋体" w:eastAsia="宋体" w:cs="宋体"/>
      <w:b/>
      <w:bCs/>
      <w:color w:val="000000"/>
      <w:sz w:val="20"/>
      <w:szCs w:val="20"/>
      <w:u w:val="none"/>
    </w:rPr>
  </w:style>
  <w:style w:type="character" w:customStyle="1" w:styleId="78">
    <w:name w:val="font31"/>
    <w:basedOn w:val="26"/>
    <w:autoRedefine/>
    <w:qFormat/>
    <w:uiPriority w:val="0"/>
    <w:rPr>
      <w:rFonts w:hint="eastAsia" w:ascii="宋体" w:hAnsi="宋体" w:eastAsia="宋体" w:cs="宋体"/>
      <w:color w:val="000000"/>
      <w:sz w:val="20"/>
      <w:szCs w:val="20"/>
      <w:u w:val="none"/>
    </w:rPr>
  </w:style>
  <w:style w:type="character" w:customStyle="1" w:styleId="79">
    <w:name w:val="font21"/>
    <w:basedOn w:val="26"/>
    <w:autoRedefine/>
    <w:qFormat/>
    <w:uiPriority w:val="0"/>
    <w:rPr>
      <w:rFonts w:hint="eastAsia" w:ascii="宋体" w:hAnsi="宋体" w:eastAsia="宋体" w:cs="宋体"/>
      <w:color w:val="000000"/>
      <w:sz w:val="20"/>
      <w:szCs w:val="20"/>
      <w:u w:val="none"/>
    </w:rPr>
  </w:style>
  <w:style w:type="character" w:customStyle="1" w:styleId="80">
    <w:name w:val="font51"/>
    <w:basedOn w:val="26"/>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121</Pages>
  <Words>14641</Words>
  <Characters>83458</Characters>
  <Lines>695</Lines>
  <Paragraphs>195</Paragraphs>
  <TotalTime>0</TotalTime>
  <ScaleCrop>false</ScaleCrop>
  <LinksUpToDate>false</LinksUpToDate>
  <CharactersWithSpaces>97904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2024-04-30T10:19:00Z</dcterms:created>
  <dc:creator>NTKO</dc:creator>
  <cp:lastModifiedBy>舟</cp:lastModifiedBy>
  <dcterms:modified xsi:type="dcterms:W3CDTF">2024-05-16T07:55:05Z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9D604CD0068C4C5A96B84BD09D2C0072_13</vt:lpwstr>
  </property>
</Properties>
</file>