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1EEB1">
      <w:pPr>
        <w:rPr>
          <w:rFonts w:hint="default" w:eastAsia="宋体"/>
          <w:lang w:val="en-US" w:eastAsia="zh-CN"/>
        </w:rPr>
      </w:pPr>
      <w:r>
        <w:rPr>
          <w:rFonts w:hint="eastAsia"/>
          <w:lang w:val="en-US" w:eastAsia="zh-CN"/>
        </w:rPr>
        <w:t xml:space="preserve">                                                        </w:t>
      </w:r>
    </w:p>
    <w:p w14:paraId="4BB402EA">
      <w:pPr>
        <w:pStyle w:val="9"/>
      </w:pPr>
    </w:p>
    <w:p w14:paraId="400976F5">
      <w:pPr>
        <w:pStyle w:val="9"/>
      </w:pPr>
    </w:p>
    <w:p w14:paraId="7601CD78"/>
    <w:p w14:paraId="2F448DC4">
      <w:pPr>
        <w:spacing w:before="120" w:beforeLines="50"/>
        <w:jc w:val="center"/>
        <w:rPr>
          <w:rFonts w:hint="eastAsia" w:ascii="宋体" w:hAnsi="宋体"/>
          <w:b/>
          <w:spacing w:val="-11"/>
          <w:sz w:val="52"/>
          <w:szCs w:val="52"/>
        </w:rPr>
      </w:pPr>
      <w:r>
        <w:rPr>
          <w:rFonts w:hint="eastAsia" w:ascii="宋体" w:hAnsi="宋体"/>
          <w:b/>
          <w:spacing w:val="-11"/>
          <w:sz w:val="52"/>
          <w:szCs w:val="52"/>
          <w:lang w:val="en-US" w:eastAsia="zh-CN"/>
        </w:rPr>
        <w:t>舟山第一小学勾山校区新建学校报告厅、录播室、会议室、室外舞台音响灯光设备设施采购项目</w:t>
      </w:r>
    </w:p>
    <w:p w14:paraId="7D9002F2"/>
    <w:p w14:paraId="720B39FB">
      <w:pPr>
        <w:pStyle w:val="9"/>
      </w:pPr>
    </w:p>
    <w:p w14:paraId="6ED25CDE">
      <w:pPr>
        <w:rPr>
          <w:sz w:val="72"/>
          <w:szCs w:val="72"/>
        </w:rPr>
      </w:pPr>
    </w:p>
    <w:p w14:paraId="7F26A3CE">
      <w:pPr>
        <w:pStyle w:val="21"/>
        <w:ind w:left="0" w:leftChars="0"/>
      </w:pPr>
    </w:p>
    <w:p w14:paraId="20765C4A">
      <w:pPr>
        <w:spacing w:before="120" w:beforeLines="50"/>
        <w:jc w:val="center"/>
        <w:rPr>
          <w:rFonts w:ascii="宋体" w:hAnsi="宋体"/>
          <w:b/>
          <w:sz w:val="84"/>
          <w:szCs w:val="84"/>
        </w:rPr>
      </w:pPr>
      <w:r>
        <w:rPr>
          <w:rFonts w:ascii="宋体" w:hAnsi="宋体"/>
          <w:b/>
          <w:sz w:val="84"/>
          <w:szCs w:val="84"/>
        </w:rPr>
        <w:t>公开招标采购文件</w:t>
      </w:r>
    </w:p>
    <w:p w14:paraId="22290AEC"/>
    <w:p w14:paraId="5554B563"/>
    <w:p w14:paraId="1B056727">
      <w:pPr>
        <w:pStyle w:val="9"/>
      </w:pPr>
    </w:p>
    <w:p w14:paraId="383844EE"/>
    <w:p w14:paraId="6910884D">
      <w:pPr>
        <w:pStyle w:val="10"/>
      </w:pPr>
    </w:p>
    <w:p w14:paraId="39CAC594"/>
    <w:p w14:paraId="65D644A8">
      <w:pPr>
        <w:rPr>
          <w:rFonts w:eastAsiaTheme="minorEastAsia"/>
        </w:rPr>
      </w:pPr>
    </w:p>
    <w:p w14:paraId="491295B3">
      <w:pPr>
        <w:pStyle w:val="12"/>
        <w:snapToGrid w:val="0"/>
        <w:spacing w:before="120" w:after="120" w:line="480" w:lineRule="auto"/>
        <w:ind w:firstLine="458" w:firstLineChars="150"/>
        <w:rPr>
          <w:rFonts w:hint="eastAsia" w:ascii="宋体" w:hAnsi="宋体" w:eastAsia="宋体" w:cs="宋体"/>
          <w:b/>
          <w:bCs/>
          <w:color w:val="000000"/>
          <w:w w:val="95"/>
          <w:sz w:val="32"/>
          <w:szCs w:val="32"/>
        </w:rPr>
      </w:pPr>
      <w:r>
        <w:rPr>
          <w:rFonts w:hint="eastAsia" w:ascii="宋体" w:hAnsi="宋体" w:eastAsia="宋体" w:cs="宋体"/>
          <w:b/>
          <w:bCs/>
          <w:color w:val="000000"/>
          <w:w w:val="95"/>
          <w:sz w:val="32"/>
          <w:szCs w:val="32"/>
        </w:rPr>
        <w:t>项目编号：ZSJY202</w:t>
      </w:r>
      <w:r>
        <w:rPr>
          <w:rFonts w:hint="eastAsia" w:hAnsi="宋体" w:eastAsia="宋体" w:cs="宋体"/>
          <w:b/>
          <w:bCs/>
          <w:color w:val="000000"/>
          <w:w w:val="95"/>
          <w:sz w:val="32"/>
          <w:szCs w:val="32"/>
          <w:lang w:val="en-US" w:eastAsia="zh-CN"/>
        </w:rPr>
        <w:t>5</w:t>
      </w:r>
      <w:r>
        <w:rPr>
          <w:rFonts w:hint="eastAsia" w:ascii="宋体" w:hAnsi="宋体" w:eastAsia="宋体" w:cs="宋体"/>
          <w:b/>
          <w:bCs/>
          <w:color w:val="000000"/>
          <w:w w:val="95"/>
          <w:sz w:val="32"/>
          <w:szCs w:val="32"/>
        </w:rPr>
        <w:t>-ZFCG-</w:t>
      </w:r>
      <w:r>
        <w:rPr>
          <w:rFonts w:hint="eastAsia" w:hAnsi="宋体" w:eastAsia="宋体" w:cs="宋体"/>
          <w:b/>
          <w:bCs/>
          <w:color w:val="000000"/>
          <w:w w:val="95"/>
          <w:sz w:val="32"/>
          <w:szCs w:val="32"/>
          <w:lang w:val="en-US" w:eastAsia="zh-CN"/>
        </w:rPr>
        <w:t>153</w:t>
      </w:r>
      <w:r>
        <w:rPr>
          <w:rFonts w:hint="eastAsia" w:ascii="宋体" w:hAnsi="宋体" w:eastAsia="宋体" w:cs="宋体"/>
          <w:b/>
          <w:bCs/>
          <w:color w:val="000000"/>
          <w:w w:val="95"/>
          <w:sz w:val="32"/>
          <w:szCs w:val="32"/>
        </w:rPr>
        <w:t>#</w:t>
      </w:r>
    </w:p>
    <w:p w14:paraId="46E349F0">
      <w:pPr>
        <w:pStyle w:val="12"/>
        <w:snapToGrid w:val="0"/>
        <w:spacing w:before="120" w:after="120" w:line="480" w:lineRule="auto"/>
        <w:ind w:firstLine="458" w:firstLineChars="150"/>
        <w:rPr>
          <w:rFonts w:hint="eastAsia" w:ascii="宋体" w:hAnsi="宋体" w:eastAsia="宋体" w:cs="宋体"/>
          <w:b/>
          <w:bCs/>
          <w:color w:val="000000"/>
          <w:w w:val="95"/>
          <w:sz w:val="32"/>
          <w:szCs w:val="32"/>
        </w:rPr>
      </w:pPr>
      <w:r>
        <w:rPr>
          <w:rFonts w:hint="eastAsia" w:ascii="宋体" w:hAnsi="宋体" w:eastAsia="宋体" w:cs="宋体"/>
          <w:b/>
          <w:bCs/>
          <w:color w:val="000000"/>
          <w:w w:val="95"/>
          <w:sz w:val="32"/>
          <w:szCs w:val="32"/>
        </w:rPr>
        <w:t>项目名称：</w:t>
      </w:r>
      <w:r>
        <w:rPr>
          <w:rFonts w:hint="eastAsia" w:ascii="宋体" w:hAnsi="宋体" w:eastAsia="宋体" w:cs="宋体"/>
          <w:b/>
          <w:bCs/>
          <w:color w:val="000000"/>
          <w:w w:val="95"/>
          <w:sz w:val="32"/>
          <w:szCs w:val="32"/>
          <w:lang w:val="en-US" w:eastAsia="zh-CN"/>
        </w:rPr>
        <w:t>舟山第一小学勾山校区新建学校报告厅、录播室、会议室、室外舞台音响灯光设备设施采购项目</w:t>
      </w:r>
    </w:p>
    <w:p w14:paraId="47CE1506">
      <w:pPr>
        <w:pStyle w:val="12"/>
        <w:snapToGrid w:val="0"/>
        <w:spacing w:before="120" w:after="120" w:line="480" w:lineRule="auto"/>
        <w:ind w:firstLine="458" w:firstLineChars="150"/>
        <w:rPr>
          <w:rFonts w:hint="eastAsia" w:ascii="宋体" w:hAnsi="宋体" w:eastAsia="宋体" w:cs="宋体"/>
          <w:b/>
          <w:bCs/>
          <w:color w:val="000000"/>
          <w:w w:val="95"/>
          <w:sz w:val="32"/>
          <w:szCs w:val="32"/>
        </w:rPr>
      </w:pPr>
      <w:r>
        <w:rPr>
          <w:rFonts w:hint="eastAsia" w:ascii="宋体" w:hAnsi="宋体" w:eastAsia="宋体" w:cs="宋体"/>
          <w:b/>
          <w:bCs/>
          <w:color w:val="000000"/>
          <w:w w:val="95"/>
          <w:sz w:val="32"/>
          <w:szCs w:val="32"/>
          <w:lang w:eastAsia="zh-CN"/>
        </w:rPr>
        <w:t>采购人</w:t>
      </w:r>
      <w:r>
        <w:rPr>
          <w:rFonts w:hint="eastAsia" w:hAnsi="宋体" w:eastAsia="宋体" w:cs="宋体"/>
          <w:b/>
          <w:bCs/>
          <w:color w:val="000000"/>
          <w:w w:val="95"/>
          <w:sz w:val="32"/>
          <w:szCs w:val="32"/>
          <w:lang w:eastAsia="zh-CN"/>
        </w:rPr>
        <w:t>：</w:t>
      </w:r>
      <w:r>
        <w:rPr>
          <w:rFonts w:hint="eastAsia" w:ascii="宋体" w:hAnsi="宋体" w:eastAsia="宋体" w:cs="宋体"/>
          <w:b/>
          <w:bCs/>
          <w:color w:val="000000"/>
          <w:w w:val="95"/>
          <w:sz w:val="32"/>
          <w:szCs w:val="32"/>
        </w:rPr>
        <w:t xml:space="preserve">舟山第一小学勾山校区 </w:t>
      </w:r>
    </w:p>
    <w:p w14:paraId="57D0E04A">
      <w:pPr>
        <w:pStyle w:val="12"/>
        <w:snapToGrid w:val="0"/>
        <w:spacing w:before="120" w:after="120" w:line="480" w:lineRule="auto"/>
        <w:ind w:firstLine="458" w:firstLineChars="150"/>
        <w:rPr>
          <w:rFonts w:asciiTheme="minorEastAsia" w:hAnsiTheme="minorEastAsia" w:eastAsiaTheme="minorEastAsia"/>
          <w:b/>
          <w:bCs/>
          <w:color w:val="000000"/>
          <w:w w:val="95"/>
          <w:sz w:val="30"/>
          <w:szCs w:val="30"/>
        </w:rPr>
      </w:pPr>
      <w:r>
        <w:rPr>
          <w:rFonts w:hint="eastAsia" w:ascii="宋体" w:hAnsi="宋体" w:eastAsia="宋体" w:cs="宋体"/>
          <w:b/>
          <w:bCs/>
          <w:color w:val="000000"/>
          <w:w w:val="95"/>
          <w:sz w:val="32"/>
          <w:szCs w:val="32"/>
          <w:lang w:val="en-US" w:eastAsia="zh-CN"/>
        </w:rPr>
        <w:t>采购</w:t>
      </w:r>
      <w:r>
        <w:rPr>
          <w:rFonts w:hint="eastAsia" w:ascii="宋体" w:hAnsi="宋体" w:eastAsia="宋体" w:cs="宋体"/>
          <w:b/>
          <w:bCs/>
          <w:color w:val="000000"/>
          <w:w w:val="95"/>
          <w:sz w:val="32"/>
          <w:szCs w:val="32"/>
        </w:rPr>
        <w:t>代理机构：舟山建银工程造价审查中心有限公司</w:t>
      </w:r>
    </w:p>
    <w:p w14:paraId="4A1604FC">
      <w:pPr>
        <w:snapToGrid w:val="0"/>
        <w:spacing w:before="120" w:beforeLines="50" w:line="360" w:lineRule="auto"/>
        <w:rPr>
          <w:rFonts w:asciiTheme="minorEastAsia" w:hAnsiTheme="minorEastAsia" w:eastAsiaTheme="minorEastAsia"/>
          <w:color w:val="000000"/>
          <w:sz w:val="30"/>
        </w:rPr>
      </w:pPr>
      <w:r>
        <w:rPr>
          <w:rFonts w:hint="eastAsia" w:asciiTheme="minorEastAsia" w:hAnsiTheme="minorEastAsia" w:eastAsiaTheme="minorEastAsia"/>
          <w:b/>
          <w:bCs/>
          <w:color w:val="000000"/>
          <w:w w:val="95"/>
          <w:sz w:val="30"/>
          <w:szCs w:val="30"/>
        </w:rPr>
        <w:t xml:space="preserve">                       二0二</w:t>
      </w:r>
      <w:r>
        <w:rPr>
          <w:rFonts w:hint="eastAsia" w:asciiTheme="minorEastAsia" w:hAnsiTheme="minorEastAsia" w:eastAsiaTheme="minorEastAsia"/>
          <w:b/>
          <w:bCs/>
          <w:color w:val="000000"/>
          <w:w w:val="95"/>
          <w:sz w:val="30"/>
          <w:szCs w:val="30"/>
          <w:lang w:val="en-US" w:eastAsia="zh-CN"/>
        </w:rPr>
        <w:t>五</w:t>
      </w:r>
      <w:r>
        <w:rPr>
          <w:rFonts w:hint="eastAsia" w:asciiTheme="minorEastAsia" w:hAnsiTheme="minorEastAsia" w:eastAsiaTheme="minorEastAsia"/>
          <w:b/>
          <w:bCs/>
          <w:color w:val="000000"/>
          <w:w w:val="95"/>
          <w:sz w:val="30"/>
          <w:szCs w:val="30"/>
        </w:rPr>
        <w:t>年</w:t>
      </w:r>
      <w:r>
        <w:rPr>
          <w:rFonts w:hint="eastAsia" w:asciiTheme="minorEastAsia" w:hAnsiTheme="minorEastAsia" w:eastAsiaTheme="minorEastAsia"/>
          <w:b/>
          <w:bCs/>
          <w:color w:val="000000"/>
          <w:w w:val="95"/>
          <w:sz w:val="30"/>
          <w:szCs w:val="30"/>
          <w:lang w:val="en-US" w:eastAsia="zh-CN"/>
        </w:rPr>
        <w:t>六</w:t>
      </w:r>
      <w:r>
        <w:rPr>
          <w:rFonts w:hint="eastAsia" w:asciiTheme="minorEastAsia" w:hAnsiTheme="minorEastAsia" w:eastAsiaTheme="minorEastAsia"/>
          <w:b/>
          <w:bCs/>
          <w:color w:val="000000"/>
          <w:w w:val="95"/>
          <w:sz w:val="30"/>
          <w:szCs w:val="30"/>
        </w:rPr>
        <w:t>月</w:t>
      </w:r>
    </w:p>
    <w:p w14:paraId="65FEF6C6">
      <w:pPr>
        <w:pStyle w:val="52"/>
        <w:spacing w:before="120" w:after="120" w:line="360" w:lineRule="auto"/>
        <w:jc w:val="center"/>
        <w:sectPr>
          <w:footerReference r:id="rId3" w:type="default"/>
          <w:pgSz w:w="11906" w:h="16838"/>
          <w:pgMar w:top="1304" w:right="1106" w:bottom="1304" w:left="1531" w:header="1304" w:footer="1304" w:gutter="0"/>
          <w:pgNumType w:start="1"/>
          <w:cols w:space="720" w:num="1"/>
        </w:sectPr>
      </w:pPr>
    </w:p>
    <w:p w14:paraId="6DF321B1">
      <w:pPr>
        <w:pStyle w:val="52"/>
        <w:spacing w:before="120" w:after="120" w:line="360" w:lineRule="auto"/>
        <w:jc w:val="center"/>
        <w:rPr>
          <w:rFonts w:hAnsi="宋体" w:eastAsia="宋体"/>
          <w:sz w:val="32"/>
          <w:szCs w:val="32"/>
        </w:rPr>
      </w:pPr>
    </w:p>
    <w:p w14:paraId="696F6767">
      <w:pPr>
        <w:pStyle w:val="52"/>
        <w:spacing w:before="120" w:after="120" w:line="360" w:lineRule="auto"/>
        <w:jc w:val="center"/>
        <w:rPr>
          <w:rFonts w:hAnsi="宋体" w:eastAsia="宋体"/>
          <w:sz w:val="44"/>
          <w:szCs w:val="44"/>
        </w:rPr>
      </w:pPr>
      <w:r>
        <w:rPr>
          <w:rFonts w:hAnsi="宋体" w:eastAsia="宋体"/>
          <w:sz w:val="44"/>
          <w:szCs w:val="44"/>
        </w:rPr>
        <w:t>目    录</w:t>
      </w:r>
    </w:p>
    <w:p w14:paraId="0DD13AEF">
      <w:pPr>
        <w:spacing w:line="360" w:lineRule="auto"/>
        <w:rPr>
          <w:rFonts w:ascii="宋体" w:hAnsi="宋体"/>
          <w:sz w:val="28"/>
          <w:szCs w:val="28"/>
        </w:rPr>
      </w:pPr>
      <w:r>
        <w:rPr>
          <w:rFonts w:ascii="宋体" w:hAnsi="宋体"/>
          <w:sz w:val="28"/>
          <w:szCs w:val="28"/>
        </w:rPr>
        <w:t xml:space="preserve">第一章  </w:t>
      </w:r>
      <w:r>
        <w:rPr>
          <w:rFonts w:hint="eastAsia" w:ascii="宋体" w:hAnsi="宋体"/>
          <w:sz w:val="28"/>
          <w:szCs w:val="28"/>
        </w:rPr>
        <w:t>采购</w:t>
      </w:r>
      <w:r>
        <w:rPr>
          <w:rFonts w:ascii="宋体" w:hAnsi="宋体"/>
          <w:sz w:val="28"/>
          <w:szCs w:val="28"/>
        </w:rPr>
        <w:t>公告</w:t>
      </w:r>
    </w:p>
    <w:p w14:paraId="1E9E2C18">
      <w:pPr>
        <w:spacing w:line="360" w:lineRule="auto"/>
        <w:rPr>
          <w:rFonts w:ascii="宋体" w:hAnsi="宋体"/>
          <w:sz w:val="28"/>
          <w:szCs w:val="28"/>
        </w:rPr>
      </w:pPr>
      <w:r>
        <w:rPr>
          <w:rFonts w:ascii="宋体" w:hAnsi="宋体"/>
          <w:sz w:val="28"/>
          <w:szCs w:val="28"/>
        </w:rPr>
        <w:t>第二章  采购需求</w:t>
      </w:r>
    </w:p>
    <w:p w14:paraId="553AD633">
      <w:pPr>
        <w:spacing w:line="360" w:lineRule="auto"/>
        <w:rPr>
          <w:rFonts w:ascii="宋体" w:hAnsi="宋体"/>
          <w:sz w:val="28"/>
          <w:szCs w:val="28"/>
        </w:rPr>
      </w:pPr>
      <w:r>
        <w:rPr>
          <w:rFonts w:ascii="宋体" w:hAnsi="宋体"/>
          <w:sz w:val="28"/>
          <w:szCs w:val="28"/>
        </w:rPr>
        <w:t xml:space="preserve">第三章  </w:t>
      </w:r>
      <w:r>
        <w:rPr>
          <w:rFonts w:hint="eastAsia" w:ascii="宋体" w:hAnsi="宋体"/>
          <w:sz w:val="28"/>
          <w:szCs w:val="28"/>
        </w:rPr>
        <w:t>投标人</w:t>
      </w:r>
      <w:r>
        <w:rPr>
          <w:rFonts w:ascii="宋体" w:hAnsi="宋体"/>
          <w:sz w:val="28"/>
          <w:szCs w:val="28"/>
        </w:rPr>
        <w:t>须知</w:t>
      </w:r>
    </w:p>
    <w:p w14:paraId="3FCBA35F">
      <w:pPr>
        <w:spacing w:before="120" w:line="360" w:lineRule="auto"/>
        <w:ind w:firstLine="1120" w:firstLineChars="400"/>
        <w:rPr>
          <w:rFonts w:ascii="宋体" w:hAnsi="宋体"/>
          <w:sz w:val="28"/>
          <w:szCs w:val="28"/>
        </w:rPr>
      </w:pPr>
      <w:r>
        <w:rPr>
          <w:rFonts w:ascii="宋体" w:hAnsi="宋体"/>
          <w:sz w:val="28"/>
          <w:szCs w:val="28"/>
        </w:rPr>
        <w:t>前附表</w:t>
      </w:r>
    </w:p>
    <w:p w14:paraId="78D21D28">
      <w:pPr>
        <w:spacing w:before="120" w:line="360" w:lineRule="auto"/>
        <w:ind w:firstLine="560" w:firstLineChars="200"/>
        <w:rPr>
          <w:rFonts w:ascii="宋体" w:hAnsi="宋体"/>
          <w:sz w:val="28"/>
          <w:szCs w:val="28"/>
        </w:rPr>
      </w:pPr>
      <w:r>
        <w:rPr>
          <w:rFonts w:ascii="宋体" w:hAnsi="宋体"/>
          <w:sz w:val="28"/>
          <w:szCs w:val="28"/>
        </w:rPr>
        <w:t>一、总则</w:t>
      </w:r>
    </w:p>
    <w:p w14:paraId="4F7D2F4A">
      <w:pPr>
        <w:spacing w:before="120" w:line="360" w:lineRule="auto"/>
        <w:ind w:firstLine="560" w:firstLineChars="200"/>
        <w:rPr>
          <w:rFonts w:ascii="宋体" w:hAnsi="宋体"/>
          <w:sz w:val="28"/>
          <w:szCs w:val="28"/>
        </w:rPr>
      </w:pPr>
      <w:r>
        <w:rPr>
          <w:rFonts w:ascii="宋体" w:hAnsi="宋体"/>
          <w:sz w:val="28"/>
          <w:szCs w:val="28"/>
        </w:rPr>
        <w:t>二、</w:t>
      </w:r>
      <w:r>
        <w:rPr>
          <w:rFonts w:hint="eastAsia" w:ascii="宋体" w:hAnsi="宋体"/>
          <w:sz w:val="28"/>
          <w:szCs w:val="28"/>
        </w:rPr>
        <w:t>投标</w:t>
      </w:r>
      <w:r>
        <w:rPr>
          <w:rFonts w:ascii="宋体" w:hAnsi="宋体"/>
          <w:sz w:val="28"/>
          <w:szCs w:val="28"/>
        </w:rPr>
        <w:t>文件</w:t>
      </w:r>
    </w:p>
    <w:p w14:paraId="64AAF982">
      <w:pPr>
        <w:spacing w:before="120" w:line="360" w:lineRule="auto"/>
        <w:ind w:firstLine="560" w:firstLineChars="200"/>
        <w:rPr>
          <w:rFonts w:ascii="宋体" w:hAnsi="宋体"/>
          <w:sz w:val="28"/>
          <w:szCs w:val="28"/>
        </w:rPr>
      </w:pPr>
      <w:r>
        <w:rPr>
          <w:rFonts w:ascii="宋体" w:hAnsi="宋体"/>
          <w:sz w:val="28"/>
          <w:szCs w:val="28"/>
        </w:rPr>
        <w:t>三、</w:t>
      </w:r>
      <w:r>
        <w:rPr>
          <w:rFonts w:hint="eastAsia" w:ascii="宋体" w:hAnsi="宋体"/>
          <w:sz w:val="28"/>
          <w:szCs w:val="28"/>
        </w:rPr>
        <w:t>投标</w:t>
      </w:r>
      <w:r>
        <w:rPr>
          <w:rFonts w:ascii="宋体" w:hAnsi="宋体"/>
          <w:sz w:val="28"/>
          <w:szCs w:val="28"/>
        </w:rPr>
        <w:t>文件的编制</w:t>
      </w:r>
    </w:p>
    <w:p w14:paraId="7E3AF09F">
      <w:pPr>
        <w:spacing w:before="120" w:line="360" w:lineRule="auto"/>
        <w:ind w:firstLine="560" w:firstLineChars="200"/>
        <w:rPr>
          <w:rFonts w:ascii="宋体" w:hAnsi="宋体"/>
          <w:sz w:val="28"/>
          <w:szCs w:val="28"/>
        </w:rPr>
      </w:pPr>
      <w:r>
        <w:rPr>
          <w:rFonts w:ascii="宋体" w:hAnsi="宋体"/>
          <w:sz w:val="28"/>
          <w:szCs w:val="28"/>
        </w:rPr>
        <w:t>四、</w:t>
      </w:r>
      <w:r>
        <w:rPr>
          <w:rFonts w:hint="eastAsia" w:ascii="宋体" w:hAnsi="宋体"/>
          <w:sz w:val="28"/>
          <w:szCs w:val="28"/>
        </w:rPr>
        <w:t>开标</w:t>
      </w:r>
    </w:p>
    <w:p w14:paraId="7025AFCD">
      <w:pPr>
        <w:spacing w:before="120" w:line="360" w:lineRule="auto"/>
        <w:ind w:firstLine="560" w:firstLineChars="200"/>
        <w:rPr>
          <w:rFonts w:ascii="宋体" w:hAnsi="宋体"/>
        </w:rPr>
      </w:pPr>
      <w:r>
        <w:rPr>
          <w:rFonts w:ascii="宋体" w:hAnsi="宋体"/>
          <w:sz w:val="28"/>
          <w:szCs w:val="28"/>
        </w:rPr>
        <w:t>五、评</w:t>
      </w:r>
      <w:r>
        <w:rPr>
          <w:rFonts w:hint="eastAsia" w:ascii="宋体" w:hAnsi="宋体"/>
          <w:sz w:val="28"/>
          <w:szCs w:val="28"/>
        </w:rPr>
        <w:t>标</w:t>
      </w:r>
    </w:p>
    <w:p w14:paraId="01ADA48C">
      <w:pPr>
        <w:spacing w:before="120" w:line="360" w:lineRule="auto"/>
        <w:ind w:firstLine="560" w:firstLineChars="200"/>
        <w:rPr>
          <w:rFonts w:ascii="宋体" w:hAnsi="宋体"/>
          <w:sz w:val="28"/>
          <w:szCs w:val="28"/>
        </w:rPr>
      </w:pPr>
      <w:r>
        <w:rPr>
          <w:rFonts w:ascii="宋体" w:hAnsi="宋体"/>
          <w:sz w:val="28"/>
          <w:szCs w:val="28"/>
        </w:rPr>
        <w:t>六、定标</w:t>
      </w:r>
    </w:p>
    <w:p w14:paraId="2498E50C">
      <w:pPr>
        <w:spacing w:before="120" w:line="360" w:lineRule="auto"/>
        <w:ind w:firstLine="560" w:firstLineChars="200"/>
        <w:rPr>
          <w:rFonts w:ascii="宋体" w:hAnsi="宋体"/>
          <w:sz w:val="28"/>
          <w:szCs w:val="28"/>
        </w:rPr>
      </w:pPr>
      <w:r>
        <w:rPr>
          <w:rFonts w:ascii="宋体" w:hAnsi="宋体"/>
          <w:sz w:val="28"/>
          <w:szCs w:val="28"/>
        </w:rPr>
        <w:t>七、合同授予</w:t>
      </w:r>
    </w:p>
    <w:p w14:paraId="4B707C08">
      <w:pPr>
        <w:spacing w:before="120" w:line="360" w:lineRule="auto"/>
        <w:ind w:firstLine="560" w:firstLineChars="200"/>
        <w:rPr>
          <w:rFonts w:ascii="宋体" w:hAnsi="宋体"/>
          <w:sz w:val="28"/>
          <w:szCs w:val="28"/>
        </w:rPr>
      </w:pPr>
      <w:r>
        <w:rPr>
          <w:rFonts w:hint="eastAsia" w:ascii="宋体" w:hAnsi="宋体"/>
          <w:sz w:val="28"/>
          <w:szCs w:val="28"/>
        </w:rPr>
        <w:t>八、招标代理费</w:t>
      </w:r>
    </w:p>
    <w:p w14:paraId="53863E27">
      <w:pPr>
        <w:spacing w:before="120" w:line="360" w:lineRule="auto"/>
        <w:ind w:firstLine="560" w:firstLineChars="200"/>
        <w:rPr>
          <w:rFonts w:ascii="宋体" w:hAnsi="宋体"/>
          <w:sz w:val="28"/>
          <w:szCs w:val="28"/>
        </w:rPr>
      </w:pPr>
      <w:r>
        <w:rPr>
          <w:rFonts w:hint="eastAsia" w:ascii="宋体" w:hAnsi="宋体"/>
          <w:sz w:val="28"/>
          <w:szCs w:val="28"/>
        </w:rPr>
        <w:t>九、解释权</w:t>
      </w:r>
    </w:p>
    <w:p w14:paraId="597A92E7">
      <w:pPr>
        <w:spacing w:line="360" w:lineRule="auto"/>
        <w:rPr>
          <w:rFonts w:ascii="宋体" w:hAnsi="宋体"/>
          <w:sz w:val="28"/>
          <w:szCs w:val="28"/>
        </w:rPr>
      </w:pPr>
      <w:r>
        <w:rPr>
          <w:rFonts w:ascii="宋体" w:hAnsi="宋体"/>
          <w:sz w:val="28"/>
          <w:szCs w:val="28"/>
        </w:rPr>
        <w:t xml:space="preserve">第四章  </w:t>
      </w:r>
      <w:r>
        <w:rPr>
          <w:rFonts w:hint="eastAsia" w:ascii="宋体" w:hAnsi="宋体"/>
          <w:sz w:val="28"/>
          <w:szCs w:val="28"/>
        </w:rPr>
        <w:t>评分</w:t>
      </w:r>
      <w:r>
        <w:rPr>
          <w:rFonts w:ascii="宋体" w:hAnsi="宋体"/>
          <w:sz w:val="28"/>
          <w:szCs w:val="28"/>
        </w:rPr>
        <w:t>办法及</w:t>
      </w:r>
      <w:r>
        <w:rPr>
          <w:rFonts w:hint="eastAsia" w:ascii="宋体" w:hAnsi="宋体"/>
          <w:sz w:val="28"/>
          <w:szCs w:val="28"/>
        </w:rPr>
        <w:t>评分</w:t>
      </w:r>
      <w:r>
        <w:rPr>
          <w:rFonts w:ascii="宋体" w:hAnsi="宋体"/>
          <w:sz w:val="28"/>
          <w:szCs w:val="28"/>
        </w:rPr>
        <w:t>标准</w:t>
      </w:r>
    </w:p>
    <w:p w14:paraId="19C948DB">
      <w:pPr>
        <w:spacing w:line="360" w:lineRule="auto"/>
        <w:rPr>
          <w:rFonts w:ascii="宋体" w:hAnsi="宋体"/>
          <w:sz w:val="28"/>
          <w:szCs w:val="28"/>
        </w:rPr>
      </w:pPr>
      <w:r>
        <w:rPr>
          <w:rFonts w:ascii="宋体" w:hAnsi="宋体"/>
          <w:sz w:val="28"/>
          <w:szCs w:val="28"/>
        </w:rPr>
        <w:t>第五章  合同主要条款</w:t>
      </w:r>
    </w:p>
    <w:p w14:paraId="2814ABCC">
      <w:pPr>
        <w:spacing w:line="360" w:lineRule="auto"/>
      </w:pPr>
      <w:r>
        <w:rPr>
          <w:rFonts w:ascii="宋体" w:hAnsi="宋体"/>
          <w:sz w:val="28"/>
          <w:szCs w:val="28"/>
        </w:rPr>
        <w:t xml:space="preserve">第六章  </w:t>
      </w:r>
      <w:r>
        <w:rPr>
          <w:rFonts w:hint="eastAsia" w:ascii="宋体" w:hAnsi="宋体"/>
          <w:sz w:val="28"/>
          <w:szCs w:val="28"/>
        </w:rPr>
        <w:t>投标</w:t>
      </w:r>
      <w:r>
        <w:rPr>
          <w:rFonts w:ascii="宋体" w:hAnsi="宋体"/>
          <w:sz w:val="28"/>
          <w:szCs w:val="28"/>
        </w:rPr>
        <w:t>文件</w:t>
      </w:r>
      <w:r>
        <w:rPr>
          <w:rFonts w:hint="eastAsia" w:ascii="宋体" w:hAnsi="宋体"/>
          <w:sz w:val="28"/>
          <w:szCs w:val="28"/>
        </w:rPr>
        <w:t>相关</w:t>
      </w:r>
      <w:r>
        <w:rPr>
          <w:rFonts w:ascii="宋体" w:hAnsi="宋体"/>
          <w:sz w:val="28"/>
          <w:szCs w:val="28"/>
        </w:rPr>
        <w:t>格式</w:t>
      </w:r>
    </w:p>
    <w:p w14:paraId="51AFF64D">
      <w:pPr>
        <w:pStyle w:val="12"/>
        <w:pageBreakBefore/>
        <w:snapToGrid w:val="0"/>
        <w:spacing w:before="120" w:line="336" w:lineRule="auto"/>
        <w:jc w:val="center"/>
        <w:outlineLvl w:val="0"/>
        <w:rPr>
          <w:rFonts w:ascii="黑体" w:hAnsi="宋体" w:eastAsia="黑体"/>
        </w:rPr>
      </w:pPr>
      <w:bookmarkStart w:id="0" w:name="OLE_LINK1"/>
      <w:r>
        <w:rPr>
          <w:rFonts w:hint="eastAsia" w:ascii="黑体" w:hAnsi="宋体" w:eastAsia="黑体"/>
        </w:rPr>
        <w:t xml:space="preserve">第一章 </w:t>
      </w:r>
      <w:r>
        <w:rPr>
          <w:rFonts w:ascii="黑体" w:hAnsi="宋体" w:eastAsia="黑体"/>
        </w:rPr>
        <w:t>采购公告</w:t>
      </w:r>
      <w:bookmarkEnd w:id="0"/>
    </w:p>
    <w:p w14:paraId="5E74A201">
      <w:pPr>
        <w:pBdr>
          <w:top w:val="single" w:color="auto" w:sz="4" w:space="1"/>
          <w:left w:val="single" w:color="auto" w:sz="4" w:space="4"/>
          <w:bottom w:val="single" w:color="auto" w:sz="4" w:space="1"/>
          <w:right w:val="single" w:color="auto" w:sz="4" w:space="4"/>
        </w:pBdr>
        <w:spacing w:line="336"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项目概况</w:t>
      </w:r>
    </w:p>
    <w:p w14:paraId="615CAAD5">
      <w:pPr>
        <w:pBdr>
          <w:top w:val="single" w:color="auto" w:sz="4" w:space="1"/>
          <w:left w:val="single" w:color="auto" w:sz="4" w:space="4"/>
          <w:bottom w:val="single" w:color="auto" w:sz="4" w:space="1"/>
          <w:right w:val="single" w:color="auto" w:sz="4" w:space="4"/>
        </w:pBdr>
        <w:spacing w:line="336" w:lineRule="auto"/>
        <w:ind w:firstLine="420" w:firstLineChars="200"/>
        <w:rPr>
          <w:rFonts w:cs="宋体" w:asciiTheme="minorEastAsia" w:hAnsiTheme="minorEastAsia" w:eastAsiaTheme="minorEastAsia"/>
          <w:color w:val="000000" w:themeColor="text1"/>
          <w:kern w:val="0"/>
          <w:szCs w:val="21"/>
          <w14:textFill>
            <w14:solidFill>
              <w14:schemeClr w14:val="tx1"/>
            </w14:solidFill>
          </w14:textFill>
        </w:rPr>
      </w:pPr>
      <w:r>
        <w:rPr>
          <w:rFonts w:hint="eastAsia" w:asciiTheme="minorEastAsia" w:hAnsiTheme="minorEastAsia" w:eastAsiaTheme="minorEastAsia"/>
          <w:color w:val="000000" w:themeColor="text1"/>
          <w:sz w:val="21"/>
          <w:szCs w:val="21"/>
          <w:u w:val="none"/>
          <w:shd w:val="clear" w:color="auto" w:fill="FFFFFF"/>
          <w:lang w:val="en-US" w:eastAsia="zh-CN"/>
          <w14:textFill>
            <w14:solidFill>
              <w14:schemeClr w14:val="tx1"/>
            </w14:solidFill>
          </w14:textFill>
        </w:rPr>
        <w:t>舟山第一小学勾山校区新建学校报告厅、录播室、会议室、室外舞台音响灯光设备设施采购项目</w:t>
      </w:r>
      <w:r>
        <w:rPr>
          <w:rFonts w:cs="宋体" w:asciiTheme="minorEastAsia" w:hAnsiTheme="minorEastAsia" w:eastAsiaTheme="minorEastAsia"/>
          <w:color w:val="000000" w:themeColor="text1"/>
          <w:kern w:val="0"/>
          <w:szCs w:val="21"/>
          <w14:textFill>
            <w14:solidFill>
              <w14:schemeClr w14:val="tx1"/>
            </w14:solidFill>
          </w14:textFill>
        </w:rPr>
        <w:t>的潜在投标人应在</w:t>
      </w:r>
      <w:r>
        <w:rPr>
          <w:rFonts w:hint="eastAsia" w:asciiTheme="minorEastAsia" w:hAnsiTheme="minorEastAsia" w:eastAsiaTheme="minorEastAsia"/>
          <w:sz w:val="21"/>
          <w:szCs w:val="21"/>
          <w:shd w:val="clear" w:color="auto" w:fill="FFFFFF"/>
        </w:rPr>
        <w:t>政采云平台线上获取</w:t>
      </w:r>
      <w:r>
        <w:rPr>
          <w:rFonts w:cs="宋体" w:asciiTheme="minorEastAsia" w:hAnsiTheme="minorEastAsia" w:eastAsiaTheme="minorEastAsia"/>
          <w:color w:val="000000" w:themeColor="text1"/>
          <w:kern w:val="0"/>
          <w:szCs w:val="21"/>
          <w14:textFill>
            <w14:solidFill>
              <w14:schemeClr w14:val="tx1"/>
            </w14:solidFill>
          </w14:textFill>
        </w:rPr>
        <w:t>（下载）招标文件，并于</w:t>
      </w:r>
      <w:r>
        <w:rPr>
          <w:rFonts w:hint="eastAsia" w:cs="宋体" w:asciiTheme="minorEastAsia" w:hAnsiTheme="minorEastAsia" w:eastAsiaTheme="minorEastAsia"/>
          <w:color w:val="000000" w:themeColor="text1"/>
          <w:kern w:val="0"/>
          <w:szCs w:val="21"/>
          <w14:textFill>
            <w14:solidFill>
              <w14:schemeClr w14:val="tx1"/>
            </w14:solidFill>
          </w14:textFill>
        </w:rPr>
        <w:t>202</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5</w:t>
      </w:r>
      <w:r>
        <w:rPr>
          <w:rFonts w:cs="宋体" w:asciiTheme="minorEastAsia" w:hAnsiTheme="minorEastAsia" w:eastAsiaTheme="minorEastAsia"/>
          <w:color w:val="000000" w:themeColor="text1"/>
          <w:kern w:val="0"/>
          <w:szCs w:val="21"/>
          <w14:textFill>
            <w14:solidFill>
              <w14:schemeClr w14:val="tx1"/>
            </w14:solidFill>
          </w14:textFill>
        </w:rPr>
        <w:t>年</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07</w:t>
      </w:r>
      <w:r>
        <w:rPr>
          <w:rFonts w:cs="宋体" w:asciiTheme="minorEastAsia" w:hAnsiTheme="minorEastAsia" w:eastAsiaTheme="minorEastAsia"/>
          <w:color w:val="000000" w:themeColor="text1"/>
          <w:kern w:val="0"/>
          <w:szCs w:val="21"/>
          <w14:textFill>
            <w14:solidFill>
              <w14:schemeClr w14:val="tx1"/>
            </w14:solidFill>
          </w14:textFill>
        </w:rPr>
        <w:t>月</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14</w:t>
      </w:r>
      <w:r>
        <w:rPr>
          <w:rFonts w:cs="宋体" w:asciiTheme="minorEastAsia" w:hAnsiTheme="minorEastAsia" w:eastAsiaTheme="minorEastAsia"/>
          <w:color w:val="000000" w:themeColor="text1"/>
          <w:kern w:val="0"/>
          <w:szCs w:val="21"/>
          <w14:textFill>
            <w14:solidFill>
              <w14:schemeClr w14:val="tx1"/>
            </w14:solidFill>
          </w14:textFill>
        </w:rPr>
        <w:t>日</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09</w:t>
      </w:r>
      <w:r>
        <w:rPr>
          <w:rFonts w:cs="宋体" w:asciiTheme="minorEastAsia" w:hAnsiTheme="minorEastAsia" w:eastAsiaTheme="minorEastAsia"/>
          <w:color w:val="000000" w:themeColor="text1"/>
          <w:kern w:val="0"/>
          <w:szCs w:val="21"/>
          <w14:textFill>
            <w14:solidFill>
              <w14:schemeClr w14:val="tx1"/>
            </w14:solidFill>
          </w14:textFill>
        </w:rPr>
        <w:t>:</w:t>
      </w: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00</w:t>
      </w:r>
      <w:r>
        <w:rPr>
          <w:rFonts w:cs="宋体" w:asciiTheme="minorEastAsia" w:hAnsiTheme="minorEastAsia" w:eastAsiaTheme="minorEastAsia"/>
          <w:color w:val="000000" w:themeColor="text1"/>
          <w:kern w:val="0"/>
          <w:szCs w:val="21"/>
          <w14:textFill>
            <w14:solidFill>
              <w14:schemeClr w14:val="tx1"/>
            </w14:solidFill>
          </w14:textFill>
        </w:rPr>
        <w:t>（北京时间）前递交（上传）投标文件。 </w:t>
      </w:r>
    </w:p>
    <w:p w14:paraId="339542C1">
      <w:pPr>
        <w:pStyle w:val="2"/>
        <w:keepNext w:val="0"/>
        <w:keepLines w:val="0"/>
        <w:rPr>
          <w:rFonts w:cs="宋体" w:asciiTheme="minorEastAsia" w:hAnsiTheme="minorEastAsia" w:eastAsiaTheme="minorEastAsia"/>
          <w:szCs w:val="21"/>
        </w:rPr>
      </w:pPr>
      <w:r>
        <w:rPr>
          <w:rFonts w:hint="eastAsia" w:cs="宋体" w:asciiTheme="minorEastAsia" w:hAnsiTheme="minorEastAsia" w:eastAsiaTheme="minorEastAsia"/>
          <w:b w:val="0"/>
          <w:color w:val="333333"/>
          <w:szCs w:val="21"/>
        </w:rPr>
        <w:t>一、项目基本情况</w:t>
      </w:r>
    </w:p>
    <w:p w14:paraId="31F5250A">
      <w:pPr>
        <w:pStyle w:val="23"/>
        <w:spacing w:before="0" w:beforeAutospacing="0" w:after="0" w:afterAutospacing="0" w:line="360" w:lineRule="auto"/>
        <w:ind w:firstLine="630" w:firstLineChars="300"/>
        <w:rPr>
          <w:rFonts w:hint="eastAsia"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项目编号：ZSJY202</w:t>
      </w:r>
      <w:r>
        <w:rPr>
          <w:rFonts w:hint="eastAsia" w:asciiTheme="minorEastAsia" w:hAnsiTheme="minorEastAsia" w:eastAsiaTheme="minorEastAsia"/>
          <w:color w:val="auto"/>
          <w:sz w:val="21"/>
          <w:szCs w:val="21"/>
          <w:shd w:val="clear" w:color="auto" w:fill="FFFFFF"/>
          <w:lang w:val="en-US" w:eastAsia="zh-CN"/>
        </w:rPr>
        <w:t>5</w:t>
      </w:r>
      <w:r>
        <w:rPr>
          <w:rFonts w:hint="eastAsia" w:asciiTheme="minorEastAsia" w:hAnsiTheme="minorEastAsia" w:eastAsiaTheme="minorEastAsia"/>
          <w:color w:val="auto"/>
          <w:sz w:val="21"/>
          <w:szCs w:val="21"/>
          <w:shd w:val="clear" w:color="auto" w:fill="FFFFFF"/>
        </w:rPr>
        <w:t>-ZFCG-</w:t>
      </w:r>
      <w:r>
        <w:rPr>
          <w:rFonts w:hint="eastAsia" w:asciiTheme="minorEastAsia" w:hAnsiTheme="minorEastAsia" w:eastAsiaTheme="minorEastAsia"/>
          <w:color w:val="auto"/>
          <w:sz w:val="21"/>
          <w:szCs w:val="21"/>
          <w:shd w:val="clear" w:color="auto" w:fill="FFFFFF"/>
          <w:lang w:val="en-US" w:eastAsia="zh-CN"/>
        </w:rPr>
        <w:t>153</w:t>
      </w:r>
      <w:r>
        <w:rPr>
          <w:rFonts w:hint="eastAsia" w:asciiTheme="minorEastAsia" w:hAnsiTheme="minorEastAsia" w:eastAsiaTheme="minorEastAsia"/>
          <w:color w:val="auto"/>
          <w:sz w:val="21"/>
          <w:szCs w:val="21"/>
          <w:shd w:val="clear" w:color="auto" w:fill="FFFFFF"/>
        </w:rPr>
        <w:t># </w:t>
      </w:r>
    </w:p>
    <w:p w14:paraId="0A470284">
      <w:pPr>
        <w:pStyle w:val="23"/>
        <w:spacing w:before="0" w:beforeAutospacing="0" w:after="0" w:afterAutospacing="0" w:line="360" w:lineRule="auto"/>
        <w:ind w:firstLine="630" w:firstLineChars="300"/>
        <w:rPr>
          <w:rFonts w:hint="eastAsia" w:asciiTheme="minorEastAsia" w:hAnsiTheme="minorEastAsia" w:eastAsiaTheme="minorEastAsia"/>
          <w:color w:val="auto"/>
          <w:sz w:val="21"/>
          <w:szCs w:val="21"/>
          <w:u w:val="none"/>
          <w:shd w:val="clear" w:color="auto" w:fill="FFFFFF"/>
          <w:lang w:val="en-US" w:eastAsia="zh-CN"/>
        </w:rPr>
      </w:pPr>
      <w:r>
        <w:rPr>
          <w:rFonts w:hint="eastAsia" w:asciiTheme="minorEastAsia" w:hAnsiTheme="minorEastAsia" w:eastAsiaTheme="minorEastAsia"/>
          <w:color w:val="auto"/>
          <w:sz w:val="21"/>
          <w:szCs w:val="21"/>
          <w:shd w:val="clear" w:color="auto" w:fill="FFFFFF"/>
        </w:rPr>
        <w:t>项目名</w:t>
      </w:r>
      <w:r>
        <w:rPr>
          <w:rFonts w:hint="eastAsia" w:asciiTheme="minorEastAsia" w:hAnsiTheme="minorEastAsia" w:eastAsiaTheme="minorEastAsia"/>
          <w:color w:val="auto"/>
          <w:sz w:val="21"/>
          <w:szCs w:val="21"/>
          <w:u w:val="none"/>
          <w:shd w:val="clear" w:color="auto" w:fill="FFFFFF"/>
          <w:lang w:val="en-US" w:eastAsia="zh-CN"/>
        </w:rPr>
        <w:t>称：舟山第一小学勾山校区新建学校报告厅、录播室、会议室、室外舞台音响灯光设备设施采购项目</w:t>
      </w:r>
    </w:p>
    <w:p w14:paraId="5C74D986">
      <w:pPr>
        <w:pStyle w:val="23"/>
        <w:spacing w:before="0" w:beforeAutospacing="0" w:after="0" w:afterAutospacing="0" w:line="360" w:lineRule="auto"/>
        <w:ind w:firstLine="630" w:firstLineChars="300"/>
        <w:rPr>
          <w:rFonts w:hint="eastAsia" w:asciiTheme="minorEastAsia" w:hAnsiTheme="minorEastAsia" w:eastAsiaTheme="minorEastAsia"/>
          <w:color w:val="auto"/>
          <w:sz w:val="21"/>
          <w:szCs w:val="21"/>
          <w:u w:val="none"/>
          <w:shd w:val="clear" w:color="auto" w:fill="FFFFFF"/>
          <w:lang w:val="en-US" w:eastAsia="zh-CN"/>
        </w:rPr>
      </w:pPr>
      <w:r>
        <w:rPr>
          <w:rFonts w:hint="eastAsia" w:asciiTheme="minorEastAsia" w:hAnsiTheme="minorEastAsia" w:eastAsiaTheme="minorEastAsia"/>
          <w:color w:val="auto"/>
          <w:sz w:val="21"/>
          <w:szCs w:val="21"/>
          <w:u w:val="none"/>
          <w:shd w:val="clear" w:color="auto" w:fill="FFFFFF"/>
          <w:lang w:val="en-US" w:eastAsia="zh-CN"/>
        </w:rPr>
        <w:t xml:space="preserve">预算金额（元）：850000 </w:t>
      </w:r>
    </w:p>
    <w:p w14:paraId="533E07A1">
      <w:pPr>
        <w:pStyle w:val="23"/>
        <w:spacing w:before="0" w:beforeAutospacing="0" w:after="0" w:afterAutospacing="0" w:line="360" w:lineRule="auto"/>
        <w:ind w:firstLine="630" w:firstLineChars="300"/>
        <w:rPr>
          <w:rFonts w:hint="default" w:asciiTheme="minorEastAsia" w:hAnsiTheme="minorEastAsia" w:eastAsiaTheme="minorEastAsia"/>
          <w:color w:val="auto"/>
          <w:sz w:val="21"/>
          <w:szCs w:val="21"/>
          <w:u w:val="none"/>
          <w:shd w:val="clear" w:color="auto" w:fill="FFFFFF"/>
          <w:lang w:val="en-US" w:eastAsia="zh-CN"/>
        </w:rPr>
      </w:pPr>
      <w:r>
        <w:rPr>
          <w:rFonts w:hint="eastAsia" w:asciiTheme="minorEastAsia" w:hAnsiTheme="minorEastAsia" w:eastAsiaTheme="minorEastAsia"/>
          <w:color w:val="auto"/>
          <w:sz w:val="21"/>
          <w:szCs w:val="21"/>
          <w:u w:val="none"/>
          <w:shd w:val="clear" w:color="auto" w:fill="FFFFFF"/>
          <w:lang w:val="en-US" w:eastAsia="zh-CN"/>
        </w:rPr>
        <w:t>最高限价（元）：850000</w:t>
      </w:r>
    </w:p>
    <w:p w14:paraId="2F3F4850">
      <w:pPr>
        <w:pStyle w:val="23"/>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u w:val="none"/>
          <w:shd w:val="clear" w:color="auto" w:fill="FFFFFF"/>
          <w:lang w:val="en-US" w:eastAsia="zh-CN"/>
        </w:rPr>
        <w:t>采购需求：详见招标文件第</w:t>
      </w:r>
      <w:r>
        <w:rPr>
          <w:rFonts w:hint="eastAsia" w:asciiTheme="minorEastAsia" w:hAnsiTheme="minorEastAsia" w:eastAsiaTheme="minorEastAsia"/>
          <w:color w:val="auto"/>
          <w:sz w:val="21"/>
          <w:szCs w:val="21"/>
          <w:shd w:val="clear" w:color="auto" w:fill="FFFFFF"/>
        </w:rPr>
        <w:t>二章 采购需求</w:t>
      </w:r>
    </w:p>
    <w:p w14:paraId="6D1A0E2E">
      <w:pPr>
        <w:pStyle w:val="23"/>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合同履约期限：详见招标文件第二章 采购需求</w:t>
      </w:r>
    </w:p>
    <w:p w14:paraId="2CE71EB8">
      <w:pPr>
        <w:pStyle w:val="23"/>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本项目（否）接受联合体投标。</w:t>
      </w:r>
    </w:p>
    <w:p w14:paraId="44C21DB2">
      <w:pPr>
        <w:pStyle w:val="2"/>
        <w:keepNext w:val="0"/>
        <w:keepLines w:val="0"/>
        <w:rPr>
          <w:rFonts w:cs="宋体" w:asciiTheme="minorEastAsia" w:hAnsiTheme="minorEastAsia" w:eastAsiaTheme="minorEastAsia"/>
          <w:color w:val="auto"/>
          <w:szCs w:val="21"/>
        </w:rPr>
      </w:pPr>
      <w:r>
        <w:rPr>
          <w:rFonts w:hint="eastAsia" w:cs="宋体" w:asciiTheme="minorEastAsia" w:hAnsiTheme="minorEastAsia" w:eastAsiaTheme="minorEastAsia"/>
          <w:b w:val="0"/>
          <w:color w:val="auto"/>
          <w:szCs w:val="21"/>
        </w:rPr>
        <w:t>二、申请人的资格要求：</w:t>
      </w:r>
    </w:p>
    <w:p w14:paraId="225779A6">
      <w:pPr>
        <w:pStyle w:val="23"/>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asciiTheme="minorEastAsia" w:hAnsiTheme="minorEastAsia" w:eastAsiaTheme="minorEastAsia"/>
          <w:color w:val="auto"/>
          <w:sz w:val="21"/>
          <w:szCs w:val="21"/>
          <w:shd w:val="clear" w:color="auto" w:fill="FFFFFF"/>
        </w:rPr>
        <w:t>1.满足《中华人民共和国政府采购法》第二十二条规定；未被“信用中国”（www.creditchina.gov.cn)、中国政府采购网（www.ccgp.gov.cn）列入失信被执行人、重大税收违法案件当事人名单、政府采购严重违法失信行为记录名单。</w:t>
      </w:r>
    </w:p>
    <w:p w14:paraId="5DE485F1">
      <w:pPr>
        <w:pStyle w:val="23"/>
        <w:spacing w:before="0" w:beforeAutospacing="0" w:after="0" w:afterAutospacing="0" w:line="360" w:lineRule="auto"/>
        <w:ind w:firstLine="630" w:firstLineChars="300"/>
        <w:rPr>
          <w:rFonts w:asciiTheme="minorEastAsia" w:hAnsiTheme="minorEastAsia" w:eastAsiaTheme="minorEastAsia"/>
          <w:color w:val="auto"/>
          <w:sz w:val="21"/>
          <w:szCs w:val="21"/>
          <w:shd w:val="clear" w:color="auto" w:fill="FFFFFF"/>
        </w:rPr>
      </w:pPr>
      <w:r>
        <w:rPr>
          <w:rFonts w:asciiTheme="minorEastAsia" w:hAnsiTheme="minorEastAsia" w:eastAsiaTheme="minorEastAsia"/>
          <w:color w:val="auto"/>
          <w:sz w:val="21"/>
          <w:szCs w:val="21"/>
          <w:shd w:val="clear" w:color="auto" w:fill="FFFFFF"/>
        </w:rPr>
        <w:t>2.落实政府采购政策需满足的资格要求：</w:t>
      </w:r>
      <w:r>
        <w:rPr>
          <w:rFonts w:hint="eastAsia" w:asciiTheme="minorEastAsia" w:hAnsiTheme="minorEastAsia" w:eastAsiaTheme="minorEastAsia"/>
          <w:color w:val="auto"/>
          <w:sz w:val="21"/>
          <w:szCs w:val="21"/>
          <w:shd w:val="clear" w:color="auto" w:fill="FFFFFF"/>
        </w:rPr>
        <w:t>该项目专门面向中小企业采购，供应商应为中小企业（监狱企业、残疾人福利性单位视同小型、微型企业）。</w:t>
      </w:r>
    </w:p>
    <w:p w14:paraId="0A73DACB">
      <w:pPr>
        <w:pStyle w:val="23"/>
        <w:spacing w:before="0" w:beforeAutospacing="0" w:after="0" w:afterAutospacing="0" w:line="360" w:lineRule="auto"/>
        <w:rPr>
          <w:rFonts w:hint="eastAsia" w:asciiTheme="minorEastAsia" w:hAnsiTheme="minorEastAsia" w:eastAsiaTheme="minorEastAsia"/>
          <w:color w:val="auto"/>
          <w:sz w:val="21"/>
          <w:szCs w:val="21"/>
          <w:shd w:val="clear" w:color="auto" w:fill="FFFFFF"/>
        </w:rPr>
      </w:pPr>
      <w:r>
        <w:rPr>
          <w:rFonts w:asciiTheme="minorEastAsia" w:hAnsiTheme="minorEastAsia" w:eastAsiaTheme="minorEastAsia"/>
          <w:color w:val="auto"/>
          <w:sz w:val="21"/>
          <w:szCs w:val="21"/>
          <w:shd w:val="clear" w:color="auto" w:fill="FFFFFF"/>
        </w:rPr>
        <w:t> </w:t>
      </w:r>
      <w:r>
        <w:rPr>
          <w:rFonts w:hint="eastAsia" w:asciiTheme="minorEastAsia" w:hAnsiTheme="minorEastAsia" w:eastAsiaTheme="minorEastAsia"/>
          <w:color w:val="auto"/>
          <w:sz w:val="21"/>
          <w:szCs w:val="21"/>
          <w:shd w:val="clear" w:color="auto" w:fill="FFFFFF"/>
        </w:rPr>
        <w:t xml:space="preserve"> </w:t>
      </w:r>
      <w:r>
        <w:rPr>
          <w:rFonts w:asciiTheme="minorEastAsia" w:hAnsiTheme="minorEastAsia" w:eastAsiaTheme="minorEastAsia"/>
          <w:color w:val="auto"/>
          <w:sz w:val="21"/>
          <w:szCs w:val="21"/>
          <w:shd w:val="clear" w:color="auto" w:fill="FFFFFF"/>
        </w:rPr>
        <w:t> </w:t>
      </w:r>
      <w:r>
        <w:rPr>
          <w:rFonts w:hint="eastAsia" w:asciiTheme="minorEastAsia" w:hAnsiTheme="minorEastAsia" w:eastAsiaTheme="minorEastAsia"/>
          <w:color w:val="auto"/>
          <w:sz w:val="21"/>
          <w:szCs w:val="21"/>
          <w:shd w:val="clear" w:color="auto" w:fill="FFFFFF"/>
        </w:rPr>
        <w:t xml:space="preserve"> 3.本项目的特定资格要求：</w:t>
      </w:r>
      <w:r>
        <w:rPr>
          <w:rFonts w:hint="eastAsia" w:asciiTheme="minorEastAsia" w:hAnsiTheme="minorEastAsia" w:eastAsiaTheme="minorEastAsia"/>
          <w:color w:val="auto"/>
          <w:sz w:val="21"/>
          <w:szCs w:val="21"/>
          <w:shd w:val="clear" w:color="auto" w:fill="FFFFFF"/>
          <w:lang w:val="en-US" w:eastAsia="zh-CN"/>
        </w:rPr>
        <w:t>无</w:t>
      </w:r>
      <w:r>
        <w:rPr>
          <w:rFonts w:hint="eastAsia" w:asciiTheme="minorEastAsia" w:hAnsiTheme="minorEastAsia" w:eastAsiaTheme="minorEastAsia"/>
          <w:color w:val="auto"/>
          <w:sz w:val="21"/>
          <w:szCs w:val="21"/>
          <w:shd w:val="clear" w:color="auto" w:fill="FFFFFF"/>
        </w:rPr>
        <w:t>。 </w:t>
      </w:r>
    </w:p>
    <w:p w14:paraId="6FB77374">
      <w:pPr>
        <w:pStyle w:val="23"/>
        <w:spacing w:before="0" w:beforeAutospacing="0" w:after="0" w:afterAutospacing="0" w:line="360" w:lineRule="auto"/>
        <w:jc w:val="both"/>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三、获取招标文件 </w:t>
      </w:r>
    </w:p>
    <w:p w14:paraId="0199DA49">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color w:val="auto"/>
          <w:sz w:val="21"/>
          <w:szCs w:val="21"/>
          <w:shd w:val="clear" w:color="auto" w:fill="FFFFFF"/>
        </w:rPr>
        <w:t>   时间：/至202</w:t>
      </w:r>
      <w:r>
        <w:rPr>
          <w:rFonts w:hint="eastAsia" w:asciiTheme="minorEastAsia" w:hAnsiTheme="minorEastAsia" w:eastAsiaTheme="minorEastAsia"/>
          <w:color w:val="auto"/>
          <w:sz w:val="21"/>
          <w:szCs w:val="21"/>
          <w:shd w:val="clear" w:color="auto" w:fill="FFFFFF"/>
          <w:lang w:val="en-US" w:eastAsia="zh-CN"/>
        </w:rPr>
        <w:t>5</w:t>
      </w:r>
      <w:r>
        <w:rPr>
          <w:rFonts w:hint="eastAsia" w:asciiTheme="minorEastAsia" w:hAnsiTheme="minorEastAsia" w:eastAsiaTheme="minorEastAsia"/>
          <w:color w:val="auto"/>
          <w:sz w:val="21"/>
          <w:szCs w:val="21"/>
          <w:shd w:val="clear" w:color="auto" w:fill="FFFFFF"/>
        </w:rPr>
        <w:t>年</w:t>
      </w:r>
      <w:r>
        <w:rPr>
          <w:rFonts w:hint="eastAsia" w:asciiTheme="minorEastAsia" w:hAnsiTheme="minorEastAsia" w:eastAsiaTheme="minorEastAsia"/>
          <w:color w:val="auto"/>
          <w:sz w:val="21"/>
          <w:szCs w:val="21"/>
          <w:shd w:val="clear" w:color="auto" w:fill="FFFFFF"/>
          <w:lang w:val="en-US" w:eastAsia="zh-CN"/>
        </w:rPr>
        <w:t>07</w:t>
      </w:r>
      <w:r>
        <w:rPr>
          <w:rFonts w:hint="eastAsia" w:asciiTheme="minorEastAsia" w:hAnsiTheme="minorEastAsia" w:eastAsiaTheme="minorEastAsia"/>
          <w:color w:val="auto"/>
          <w:sz w:val="21"/>
          <w:szCs w:val="21"/>
          <w:shd w:val="clear" w:color="auto" w:fill="FFFFFF"/>
        </w:rPr>
        <w:t>月</w:t>
      </w:r>
      <w:r>
        <w:rPr>
          <w:rFonts w:hint="eastAsia" w:asciiTheme="minorEastAsia" w:hAnsiTheme="minorEastAsia" w:eastAsiaTheme="minorEastAsia"/>
          <w:color w:val="auto"/>
          <w:sz w:val="21"/>
          <w:szCs w:val="21"/>
          <w:shd w:val="clear" w:color="auto" w:fill="FFFFFF"/>
          <w:lang w:val="en-US" w:eastAsia="zh-CN"/>
        </w:rPr>
        <w:t>14</w:t>
      </w:r>
      <w:r>
        <w:rPr>
          <w:rFonts w:hint="eastAsia" w:asciiTheme="minorEastAsia" w:hAnsiTheme="minorEastAsia" w:eastAsiaTheme="minorEastAsia"/>
          <w:color w:val="auto"/>
          <w:sz w:val="21"/>
          <w:szCs w:val="21"/>
          <w:shd w:val="clear" w:color="auto" w:fill="FFFFFF"/>
        </w:rPr>
        <w:t>日，每天上</w:t>
      </w:r>
      <w:r>
        <w:rPr>
          <w:rFonts w:hint="eastAsia" w:asciiTheme="minorEastAsia" w:hAnsiTheme="minorEastAsia" w:eastAsiaTheme="minorEastAsia"/>
          <w:sz w:val="21"/>
          <w:szCs w:val="21"/>
          <w:shd w:val="clear" w:color="auto" w:fill="FFFFFF"/>
        </w:rPr>
        <w:t>午00:00至12:00，下午12:00至23:59（北京时间，线上获取法定节假日均可，线下获取文件法定节假日除外）</w:t>
      </w:r>
    </w:p>
    <w:p w14:paraId="51876EF6">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地点（网址）：政采云平台线上获取 </w:t>
      </w:r>
    </w:p>
    <w:p w14:paraId="58AC3CC7">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方式：供应商登录政采云平台https://www.zcygov.cn/在线申请获取采购文件（进入“项目采购”应用，在获取采购文件菜单中选择项目，申请获取采购文件）</w:t>
      </w:r>
    </w:p>
    <w:p w14:paraId="2F61C039">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售价（元）：0 </w:t>
      </w:r>
    </w:p>
    <w:p w14:paraId="566D2725">
      <w:pPr>
        <w:pStyle w:val="23"/>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四、提交投标文件截止时间、开标时间和地点</w:t>
      </w:r>
    </w:p>
    <w:p w14:paraId="5F58D2C7">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提交投标文件截止时间：202</w:t>
      </w:r>
      <w:r>
        <w:rPr>
          <w:rFonts w:hint="eastAsia" w:asciiTheme="minorEastAsia" w:hAnsiTheme="minorEastAsia" w:eastAsiaTheme="minorEastAsia"/>
          <w:sz w:val="21"/>
          <w:szCs w:val="21"/>
          <w:shd w:val="clear" w:color="auto" w:fill="FFFFFF"/>
          <w:lang w:val="en-US" w:eastAsia="zh-CN"/>
        </w:rPr>
        <w:t>5</w:t>
      </w:r>
      <w:r>
        <w:rPr>
          <w:rFonts w:hint="eastAsia" w:asciiTheme="minorEastAsia" w:hAnsiTheme="minorEastAsia" w:eastAsiaTheme="minorEastAsia"/>
          <w:sz w:val="21"/>
          <w:szCs w:val="21"/>
          <w:shd w:val="clear" w:color="auto" w:fill="FFFFFF"/>
        </w:rPr>
        <w:t>年</w:t>
      </w:r>
      <w:r>
        <w:rPr>
          <w:rFonts w:hint="eastAsia" w:asciiTheme="minorEastAsia" w:hAnsiTheme="minorEastAsia" w:eastAsiaTheme="minorEastAsia"/>
          <w:sz w:val="21"/>
          <w:szCs w:val="21"/>
          <w:shd w:val="clear" w:color="auto" w:fill="FFFFFF"/>
          <w:lang w:val="en-US" w:eastAsia="zh-CN"/>
        </w:rPr>
        <w:t>07</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14</w:t>
      </w:r>
      <w:r>
        <w:rPr>
          <w:rFonts w:hint="eastAsia" w:asciiTheme="minorEastAsia" w:hAnsiTheme="minorEastAsia" w:eastAsiaTheme="minorEastAsia"/>
          <w:sz w:val="21"/>
          <w:szCs w:val="21"/>
          <w:shd w:val="clear" w:color="auto" w:fill="FFFFFF"/>
        </w:rPr>
        <w:t>日</w:t>
      </w:r>
      <w:r>
        <w:rPr>
          <w:rFonts w:hint="eastAsia" w:asciiTheme="minorEastAsia" w:hAnsiTheme="minorEastAsia" w:eastAsiaTheme="minorEastAsia"/>
          <w:sz w:val="21"/>
          <w:szCs w:val="21"/>
          <w:shd w:val="clear" w:color="auto" w:fill="FFFFFF"/>
          <w:lang w:val="en-US" w:eastAsia="zh-CN"/>
        </w:rPr>
        <w:t>09</w:t>
      </w:r>
      <w:r>
        <w:rPr>
          <w:rFonts w:hint="eastAsia" w:asciiTheme="minorEastAsia" w:hAnsiTheme="minorEastAsia" w:eastAsiaTheme="minorEastAsia"/>
          <w:sz w:val="21"/>
          <w:szCs w:val="21"/>
          <w:shd w:val="clear" w:color="auto" w:fill="FFFFFF"/>
        </w:rPr>
        <w:t>:</w:t>
      </w:r>
      <w:r>
        <w:rPr>
          <w:rFonts w:hint="eastAsia" w:asciiTheme="minorEastAsia" w:hAnsiTheme="minorEastAsia" w:eastAsiaTheme="minorEastAsia"/>
          <w:sz w:val="21"/>
          <w:szCs w:val="21"/>
          <w:shd w:val="clear" w:color="auto" w:fill="FFFFFF"/>
          <w:lang w:val="en-US" w:eastAsia="zh-CN"/>
        </w:rPr>
        <w:t>00</w:t>
      </w:r>
      <w:r>
        <w:rPr>
          <w:rFonts w:hint="eastAsia" w:asciiTheme="minorEastAsia" w:hAnsiTheme="minorEastAsia" w:eastAsiaTheme="minorEastAsia"/>
          <w:sz w:val="21"/>
          <w:szCs w:val="21"/>
          <w:shd w:val="clear" w:color="auto" w:fill="FFFFFF"/>
        </w:rPr>
        <w:t>（北京时间）</w:t>
      </w:r>
    </w:p>
    <w:p w14:paraId="49C29691">
      <w:pPr>
        <w:pStyle w:val="23"/>
        <w:spacing w:before="0" w:beforeAutospacing="0" w:after="0" w:afterAutospacing="0" w:line="360" w:lineRule="auto"/>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投标地点（网址）：请登录政采云投标客户端投标    </w:t>
      </w:r>
    </w:p>
    <w:p w14:paraId="2B520CAD">
      <w:pPr>
        <w:pStyle w:val="23"/>
        <w:spacing w:before="0" w:beforeAutospacing="0" w:after="0" w:afterAutospacing="0" w:line="360" w:lineRule="auto"/>
        <w:ind w:firstLine="420" w:firstLineChars="200"/>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开标时间：202</w:t>
      </w:r>
      <w:r>
        <w:rPr>
          <w:rFonts w:hint="eastAsia" w:asciiTheme="minorEastAsia" w:hAnsiTheme="minorEastAsia" w:eastAsiaTheme="minorEastAsia"/>
          <w:sz w:val="21"/>
          <w:szCs w:val="21"/>
          <w:shd w:val="clear" w:color="auto" w:fill="FFFFFF"/>
          <w:lang w:val="en-US" w:eastAsia="zh-CN"/>
        </w:rPr>
        <w:t>5</w:t>
      </w:r>
      <w:r>
        <w:rPr>
          <w:rFonts w:hint="eastAsia" w:asciiTheme="minorEastAsia" w:hAnsiTheme="minorEastAsia" w:eastAsiaTheme="minorEastAsia"/>
          <w:sz w:val="21"/>
          <w:szCs w:val="21"/>
          <w:shd w:val="clear" w:color="auto" w:fill="FFFFFF"/>
        </w:rPr>
        <w:t>年</w:t>
      </w:r>
      <w:r>
        <w:rPr>
          <w:rFonts w:hint="eastAsia" w:asciiTheme="minorEastAsia" w:hAnsiTheme="minorEastAsia" w:eastAsiaTheme="minorEastAsia"/>
          <w:sz w:val="21"/>
          <w:szCs w:val="21"/>
          <w:shd w:val="clear" w:color="auto" w:fill="FFFFFF"/>
          <w:lang w:val="en-US" w:eastAsia="zh-CN"/>
        </w:rPr>
        <w:t>07</w:t>
      </w:r>
      <w:r>
        <w:rPr>
          <w:rFonts w:hint="eastAsia" w:asciiTheme="minorEastAsia" w:hAnsiTheme="minorEastAsia" w:eastAsiaTheme="minorEastAsia"/>
          <w:sz w:val="21"/>
          <w:szCs w:val="21"/>
          <w:shd w:val="clear" w:color="auto" w:fill="FFFFFF"/>
        </w:rPr>
        <w:t>月</w:t>
      </w:r>
      <w:r>
        <w:rPr>
          <w:rFonts w:hint="eastAsia" w:asciiTheme="minorEastAsia" w:hAnsiTheme="minorEastAsia" w:eastAsiaTheme="minorEastAsia"/>
          <w:sz w:val="21"/>
          <w:szCs w:val="21"/>
          <w:shd w:val="clear" w:color="auto" w:fill="FFFFFF"/>
          <w:lang w:val="en-US" w:eastAsia="zh-CN"/>
        </w:rPr>
        <w:t>14</w:t>
      </w:r>
      <w:r>
        <w:rPr>
          <w:rFonts w:hint="eastAsia" w:asciiTheme="minorEastAsia" w:hAnsiTheme="minorEastAsia" w:eastAsiaTheme="minorEastAsia"/>
          <w:sz w:val="21"/>
          <w:szCs w:val="21"/>
          <w:shd w:val="clear" w:color="auto" w:fill="FFFFFF"/>
        </w:rPr>
        <w:t>日</w:t>
      </w:r>
      <w:r>
        <w:rPr>
          <w:rFonts w:hint="eastAsia" w:asciiTheme="minorEastAsia" w:hAnsiTheme="minorEastAsia" w:eastAsiaTheme="minorEastAsia"/>
          <w:sz w:val="21"/>
          <w:szCs w:val="21"/>
          <w:shd w:val="clear" w:color="auto" w:fill="FFFFFF"/>
          <w:lang w:val="en-US" w:eastAsia="zh-CN"/>
        </w:rPr>
        <w:t>09</w:t>
      </w:r>
      <w:r>
        <w:rPr>
          <w:rFonts w:hint="eastAsia" w:asciiTheme="minorEastAsia" w:hAnsiTheme="minorEastAsia" w:eastAsiaTheme="minorEastAsia"/>
          <w:sz w:val="21"/>
          <w:szCs w:val="21"/>
          <w:shd w:val="clear" w:color="auto" w:fill="FFFFFF"/>
        </w:rPr>
        <w:t>:</w:t>
      </w:r>
      <w:r>
        <w:rPr>
          <w:rFonts w:hint="eastAsia" w:asciiTheme="minorEastAsia" w:hAnsiTheme="minorEastAsia" w:eastAsiaTheme="minorEastAsia"/>
          <w:sz w:val="21"/>
          <w:szCs w:val="21"/>
          <w:shd w:val="clear" w:color="auto" w:fill="FFFFFF"/>
          <w:lang w:val="en-US" w:eastAsia="zh-CN"/>
        </w:rPr>
        <w:t>00</w:t>
      </w:r>
      <w:r>
        <w:rPr>
          <w:rFonts w:hint="eastAsia" w:asciiTheme="minorEastAsia" w:hAnsiTheme="minorEastAsia" w:eastAsiaTheme="minorEastAsia"/>
          <w:sz w:val="21"/>
          <w:szCs w:val="21"/>
          <w:shd w:val="clear" w:color="auto" w:fill="FFFFFF"/>
        </w:rPr>
        <w:t>（北京时间）</w:t>
      </w:r>
    </w:p>
    <w:p w14:paraId="0C0D1858">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开标地点（网址）：本项目不要求供应商授权代表参加现场开标、开启投标文件活动。</w:t>
      </w:r>
    </w:p>
    <w:p w14:paraId="0C4AC252">
      <w:pPr>
        <w:pStyle w:val="23"/>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五、公告期限 </w:t>
      </w:r>
    </w:p>
    <w:p w14:paraId="2C1F912F">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自本公告发布之日起5个工作日。</w:t>
      </w:r>
    </w:p>
    <w:p w14:paraId="492CEFBD">
      <w:pPr>
        <w:pStyle w:val="23"/>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六、其他补充事宜</w:t>
      </w:r>
    </w:p>
    <w:p w14:paraId="59869A28">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1.《浙江省财政厅关于进一步发挥政府采购政策功能全力推动经济稳进提质的通知》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p>
    <w:p w14:paraId="7707F70D">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59934401">
      <w:pPr>
        <w:pStyle w:val="23"/>
        <w:spacing w:before="0" w:beforeAutospacing="0" w:after="0" w:afterAutospacing="0" w:line="360" w:lineRule="auto"/>
        <w:rPr>
          <w:rFonts w:hint="eastAsia" w:asciiTheme="minorEastAsia" w:hAnsiTheme="minorEastAsia" w:eastAsiaTheme="minorEastAsia"/>
          <w:sz w:val="21"/>
          <w:szCs w:val="21"/>
          <w:shd w:val="clear" w:color="auto" w:fill="FFFFFF"/>
          <w:lang w:eastAsia="zh-CN"/>
        </w:rPr>
      </w:pPr>
      <w:r>
        <w:rPr>
          <w:rFonts w:hint="eastAsia" w:asciiTheme="minorEastAsia" w:hAnsiTheme="minorEastAsia" w:eastAsiaTheme="minorEastAsia"/>
          <w:sz w:val="21"/>
          <w:szCs w:val="21"/>
          <w:shd w:val="clear" w:color="auto" w:fill="FFFFFF"/>
        </w:rPr>
        <w:t>　　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E16ED4D">
      <w:pPr>
        <w:pStyle w:val="23"/>
        <w:spacing w:before="0" w:beforeAutospacing="0" w:after="0" w:afterAutospacing="0" w:line="360" w:lineRule="auto"/>
        <w:rPr>
          <w:rFonts w:hint="eastAsia"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4.其他事项：（1）投标文件的制作及递交：1）投标人须在线获取CA数字证书（完成CA数字证书办理预计一周左右，建议各投标人自行把握时间），并登录“浙江政府采购网”（ http://zfcg.czt.zj.gov.cn/），进入“下载专区”下载“电子交易客户端”，制作投标文件。2）具体的投标文件加密上传等操作详见政采云平台操作指南（https://edu.zcygov.cn/luban/e-biding?utm=a0004.2ef5001f.0001.0109.da8b35e0da8611e98d8937b7ef8a3544）。3）根据《浙江省政府采购项目电子交易管理暂行办法》第二十条规定，本次投标允许投标人递交备份投标文件，仅提交备份投标文件的，投标无效。（2）投标人应在合同签订前成为浙江政府采购网正式注册供应商。</w:t>
      </w:r>
    </w:p>
    <w:p w14:paraId="7056E428">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ascii="宋体" w:hAnsi="宋体" w:cs="宋体"/>
          <w:color w:val="000000"/>
          <w:sz w:val="21"/>
          <w:szCs w:val="21"/>
        </w:rPr>
        <w:t>   </w:t>
      </w:r>
      <w:r>
        <w:rPr>
          <w:rFonts w:hint="eastAsia" w:asciiTheme="minorEastAsia" w:hAnsiTheme="minorEastAsia" w:eastAsiaTheme="minorEastAsia"/>
          <w:sz w:val="21"/>
          <w:szCs w:val="21"/>
          <w:shd w:val="clear" w:color="auto" w:fill="FFFFFF"/>
        </w:rPr>
        <w:t>  </w:t>
      </w:r>
    </w:p>
    <w:p w14:paraId="55DEFC40">
      <w:pPr>
        <w:pStyle w:val="23"/>
        <w:spacing w:before="0" w:beforeAutospacing="0" w:after="0" w:afterAutospacing="0" w:line="360" w:lineRule="auto"/>
        <w:jc w:val="both"/>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七、对本次采购提出询问、质疑、投诉，请按以下方式联系</w:t>
      </w:r>
    </w:p>
    <w:p w14:paraId="4AACED83">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1.采购人信息</w:t>
      </w:r>
    </w:p>
    <w:p w14:paraId="3DC1680F">
      <w:pPr>
        <w:pStyle w:val="23"/>
        <w:spacing w:before="0" w:beforeAutospacing="0" w:after="0" w:afterAutospacing="0" w:line="360" w:lineRule="auto"/>
        <w:ind w:firstLine="630"/>
        <w:rPr>
          <w:rFonts w:hint="eastAsia" w:asciiTheme="minorEastAsia" w:hAnsiTheme="minorEastAsia" w:eastAsiaTheme="minorEastAsia"/>
          <w:color w:val="auto"/>
          <w:sz w:val="21"/>
          <w:szCs w:val="21"/>
          <w:u w:val="none"/>
          <w:shd w:val="clear" w:color="auto" w:fill="FFFFFF"/>
          <w:lang w:val="en-US" w:eastAsia="zh-CN"/>
        </w:rPr>
      </w:pPr>
      <w:r>
        <w:rPr>
          <w:rFonts w:hint="eastAsia" w:ascii="宋体" w:hAnsi="宋体" w:cs="宋体"/>
          <w:color w:val="auto"/>
          <w:sz w:val="21"/>
          <w:szCs w:val="21"/>
        </w:rPr>
        <w:t>名   称：</w:t>
      </w:r>
      <w:r>
        <w:rPr>
          <w:rFonts w:hint="eastAsia" w:asciiTheme="minorEastAsia" w:hAnsiTheme="minorEastAsia" w:eastAsiaTheme="minorEastAsia"/>
          <w:color w:val="auto"/>
          <w:sz w:val="21"/>
          <w:szCs w:val="21"/>
          <w:u w:val="none"/>
          <w:shd w:val="clear" w:color="auto" w:fill="FFFFFF"/>
          <w:lang w:val="en-US" w:eastAsia="zh-CN"/>
        </w:rPr>
        <w:t>舟山第一小学勾山校区</w:t>
      </w:r>
    </w:p>
    <w:p w14:paraId="4486D6E9">
      <w:pPr>
        <w:pStyle w:val="23"/>
        <w:spacing w:before="0" w:beforeAutospacing="0" w:after="0" w:afterAutospacing="0" w:line="360" w:lineRule="auto"/>
        <w:ind w:firstLine="630"/>
        <w:rPr>
          <w:rFonts w:hint="eastAsia" w:eastAsia="宋体" w:asciiTheme="minorEastAsia" w:hAnsiTheme="minorEastAsia"/>
          <w:color w:val="auto"/>
          <w:sz w:val="21"/>
          <w:szCs w:val="21"/>
          <w:shd w:val="clear" w:color="auto" w:fill="FFFFFF"/>
          <w:lang w:eastAsia="zh-CN"/>
        </w:rPr>
      </w:pPr>
      <w:r>
        <w:rPr>
          <w:rFonts w:hint="eastAsia" w:ascii="宋体" w:hAnsi="宋体" w:cs="宋体"/>
          <w:color w:val="auto"/>
          <w:sz w:val="21"/>
          <w:szCs w:val="21"/>
        </w:rPr>
        <w:t>地   址：浙江省舟山市定海区临城工业园区四道1号</w:t>
      </w:r>
      <w:r>
        <w:rPr>
          <w:rFonts w:hint="eastAsia" w:ascii="宋体" w:hAnsi="宋体" w:cs="宋体"/>
          <w:color w:val="auto"/>
          <w:sz w:val="21"/>
          <w:szCs w:val="21"/>
          <w:lang w:val="en-US" w:eastAsia="zh-CN"/>
        </w:rPr>
        <w:t xml:space="preserve">  </w:t>
      </w:r>
    </w:p>
    <w:p w14:paraId="58F0BDE8">
      <w:pPr>
        <w:pStyle w:val="23"/>
        <w:spacing w:before="0" w:beforeAutospacing="0" w:after="0" w:afterAutospacing="0" w:line="360" w:lineRule="auto"/>
        <w:rPr>
          <w:rFonts w:asciiTheme="minorEastAsia" w:hAnsiTheme="minorEastAsia" w:eastAsiaTheme="minorEastAsia"/>
          <w:color w:val="auto"/>
          <w:sz w:val="21"/>
          <w:szCs w:val="21"/>
          <w:highlight w:val="none"/>
          <w:shd w:val="clear" w:color="auto" w:fill="FFFFFF"/>
        </w:rPr>
      </w:pPr>
      <w:r>
        <w:rPr>
          <w:rFonts w:hint="eastAsia" w:asciiTheme="minorEastAsia" w:hAnsiTheme="minorEastAsia" w:eastAsiaTheme="minorEastAsia"/>
          <w:color w:val="auto"/>
          <w:sz w:val="21"/>
          <w:szCs w:val="21"/>
          <w:shd w:val="clear" w:color="auto" w:fill="FFFFFF"/>
        </w:rPr>
        <w:t>    传    真</w:t>
      </w:r>
      <w:r>
        <w:rPr>
          <w:rFonts w:hint="eastAsia" w:asciiTheme="minorEastAsia" w:hAnsiTheme="minorEastAsia" w:eastAsiaTheme="minorEastAsia"/>
          <w:color w:val="auto"/>
          <w:sz w:val="21"/>
          <w:szCs w:val="21"/>
          <w:highlight w:val="none"/>
          <w:shd w:val="clear" w:color="auto" w:fill="FFFFFF"/>
        </w:rPr>
        <w:t>：</w:t>
      </w:r>
      <w:r>
        <w:rPr>
          <w:rFonts w:hint="eastAsia" w:asciiTheme="minorEastAsia" w:hAnsiTheme="minorEastAsia" w:eastAsiaTheme="minorEastAsia"/>
          <w:color w:val="auto"/>
          <w:sz w:val="21"/>
          <w:szCs w:val="21"/>
          <w:highlight w:val="none"/>
          <w:shd w:val="clear" w:color="auto" w:fill="FFFFFF"/>
          <w:lang w:val="en-US" w:eastAsia="zh-CN"/>
        </w:rPr>
        <w:t>/</w:t>
      </w:r>
      <w:r>
        <w:rPr>
          <w:rFonts w:hint="eastAsia" w:asciiTheme="minorEastAsia" w:hAnsiTheme="minorEastAsia" w:eastAsiaTheme="minorEastAsia"/>
          <w:color w:val="auto"/>
          <w:sz w:val="21"/>
          <w:szCs w:val="21"/>
          <w:highlight w:val="none"/>
          <w:shd w:val="clear" w:color="auto" w:fill="FFFFFF"/>
        </w:rPr>
        <w:t xml:space="preserve"> </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Theme="minorEastAsia" w:hAnsiTheme="minorEastAsia" w:eastAsiaTheme="minorEastAsia"/>
          <w:color w:val="auto"/>
          <w:sz w:val="21"/>
          <w:szCs w:val="21"/>
          <w:highlight w:val="none"/>
          <w:shd w:val="clear" w:color="auto" w:fill="FFFFFF"/>
        </w:rPr>
        <w:t xml:space="preserve">  </w:t>
      </w:r>
    </w:p>
    <w:p w14:paraId="2761B428">
      <w:pPr>
        <w:pStyle w:val="23"/>
        <w:spacing w:before="0" w:beforeAutospacing="0" w:after="0" w:afterAutospacing="0" w:line="360" w:lineRule="auto"/>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    项目联系人（询问）：梅先生</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宋体" w:hAnsi="宋体" w:cs="宋体" w:eastAsiaTheme="minorEastAsia"/>
          <w:color w:val="auto"/>
          <w:sz w:val="21"/>
          <w:szCs w:val="21"/>
          <w:highlight w:val="none"/>
          <w:lang w:val="en-US" w:eastAsia="zh-CN"/>
        </w:rPr>
        <w:t xml:space="preserve"> </w:t>
      </w:r>
    </w:p>
    <w:p w14:paraId="3F67FE2B">
      <w:pPr>
        <w:pStyle w:val="23"/>
        <w:spacing w:before="0" w:beforeAutospacing="0" w:after="0" w:afterAutospacing="0" w:line="360" w:lineRule="auto"/>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    项目联系方式（询问）：</w:t>
      </w:r>
      <w:r>
        <w:rPr>
          <w:rFonts w:hint="eastAsia" w:asciiTheme="minorEastAsia" w:hAnsiTheme="minorEastAsia" w:eastAsiaTheme="minorEastAsia"/>
          <w:color w:val="auto"/>
          <w:sz w:val="21"/>
          <w:szCs w:val="21"/>
          <w:highlight w:val="none"/>
          <w:shd w:val="clear" w:color="auto" w:fill="FFFFFF"/>
          <w:lang w:val="en-US" w:eastAsia="zh-CN"/>
        </w:rPr>
        <w:t>0580-6206835</w:t>
      </w:r>
      <w:r>
        <w:rPr>
          <w:rFonts w:hint="eastAsia" w:ascii="宋体" w:hAnsi="宋体" w:cs="宋体" w:eastAsiaTheme="minorEastAsia"/>
          <w:color w:val="auto"/>
          <w:sz w:val="21"/>
          <w:szCs w:val="21"/>
          <w:highlight w:val="none"/>
          <w:lang w:val="en-US" w:eastAsia="zh-CN"/>
        </w:rPr>
        <w:t xml:space="preserve"> </w:t>
      </w:r>
    </w:p>
    <w:p w14:paraId="3B9D04C3">
      <w:pPr>
        <w:pStyle w:val="23"/>
        <w:spacing w:before="0" w:beforeAutospacing="0" w:after="0" w:afterAutospacing="0" w:line="360" w:lineRule="auto"/>
        <w:ind w:firstLine="615"/>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质疑联系人：朱先生</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宋体" w:hAnsi="宋体" w:cs="宋体" w:eastAsiaTheme="minorEastAsia"/>
          <w:color w:val="auto"/>
          <w:sz w:val="21"/>
          <w:szCs w:val="21"/>
          <w:highlight w:val="none"/>
          <w:lang w:val="en-US" w:eastAsia="zh-CN"/>
        </w:rPr>
        <w:t xml:space="preserve"> </w:t>
      </w:r>
    </w:p>
    <w:p w14:paraId="49C9A176">
      <w:pPr>
        <w:pStyle w:val="23"/>
        <w:spacing w:before="0" w:beforeAutospacing="0" w:after="0" w:afterAutospacing="0" w:line="360" w:lineRule="auto"/>
        <w:ind w:firstLine="630" w:firstLineChars="300"/>
        <w:rPr>
          <w:rFonts w:hint="eastAsia" w:asciiTheme="minorEastAsia" w:hAnsiTheme="minorEastAsia" w:eastAsiaTheme="minorEastAsia"/>
          <w:color w:val="auto"/>
          <w:sz w:val="21"/>
          <w:szCs w:val="21"/>
          <w:highlight w:val="none"/>
          <w:shd w:val="clear" w:color="auto" w:fill="FFFFFF"/>
          <w:lang w:eastAsia="zh-CN"/>
        </w:rPr>
      </w:pPr>
      <w:r>
        <w:rPr>
          <w:rFonts w:hint="eastAsia" w:asciiTheme="minorEastAsia" w:hAnsiTheme="minorEastAsia" w:eastAsiaTheme="minorEastAsia"/>
          <w:color w:val="auto"/>
          <w:sz w:val="21"/>
          <w:szCs w:val="21"/>
          <w:highlight w:val="none"/>
          <w:shd w:val="clear" w:color="auto" w:fill="FFFFFF"/>
        </w:rPr>
        <w:t>质疑联系方式：0580-6206835</w:t>
      </w:r>
      <w:r>
        <w:rPr>
          <w:rFonts w:hint="eastAsia" w:asciiTheme="minorEastAsia" w:hAnsiTheme="minorEastAsia" w:eastAsiaTheme="minorEastAsia"/>
          <w:color w:val="auto"/>
          <w:sz w:val="21"/>
          <w:szCs w:val="21"/>
          <w:highlight w:val="none"/>
          <w:shd w:val="clear" w:color="auto" w:fill="FFFFFF"/>
          <w:lang w:val="en-US" w:eastAsia="zh-CN"/>
        </w:rPr>
        <w:t xml:space="preserve"> </w:t>
      </w:r>
      <w:r>
        <w:rPr>
          <w:rFonts w:hint="eastAsia" w:ascii="宋体" w:hAnsi="宋体" w:cs="宋体" w:eastAsiaTheme="minorEastAsia"/>
          <w:color w:val="auto"/>
          <w:sz w:val="21"/>
          <w:szCs w:val="21"/>
          <w:highlight w:val="none"/>
          <w:lang w:val="en-US" w:eastAsia="zh-CN"/>
        </w:rPr>
        <w:t xml:space="preserve"> </w:t>
      </w:r>
    </w:p>
    <w:p w14:paraId="32E05404">
      <w:pPr>
        <w:pStyle w:val="23"/>
        <w:spacing w:before="0" w:beforeAutospacing="0" w:after="0" w:afterAutospacing="0" w:line="360" w:lineRule="auto"/>
        <w:rPr>
          <w:rFonts w:hint="eastAsia" w:asciiTheme="minorEastAsia" w:hAnsiTheme="minorEastAsia" w:eastAsiaTheme="minorEastAsia"/>
          <w:color w:val="auto"/>
          <w:sz w:val="21"/>
          <w:szCs w:val="21"/>
          <w:shd w:val="clear" w:color="auto" w:fill="FFFFFF"/>
          <w:lang w:eastAsia="zh-CN"/>
        </w:rPr>
      </w:pPr>
      <w:r>
        <w:rPr>
          <w:rFonts w:hint="eastAsia" w:asciiTheme="minorEastAsia" w:hAnsiTheme="minorEastAsia" w:eastAsiaTheme="minorEastAsia"/>
          <w:color w:val="auto"/>
          <w:sz w:val="21"/>
          <w:szCs w:val="21"/>
          <w:shd w:val="clear" w:color="auto" w:fill="FFFFFF"/>
        </w:rPr>
        <w:t>    </w:t>
      </w:r>
    </w:p>
    <w:p w14:paraId="7A8E8D88">
      <w:pPr>
        <w:pStyle w:val="23"/>
        <w:spacing w:before="0" w:beforeAutospacing="0" w:after="0" w:afterAutospacing="0" w:line="360" w:lineRule="auto"/>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    2.采购代理机构信息            </w:t>
      </w:r>
    </w:p>
    <w:p w14:paraId="686E2A70">
      <w:pPr>
        <w:pStyle w:val="23"/>
        <w:spacing w:before="0" w:beforeAutospacing="0" w:after="0" w:afterAutospacing="0" w:line="360" w:lineRule="auto"/>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    名  称：</w:t>
      </w:r>
      <w:r>
        <w:rPr>
          <w:rFonts w:hint="eastAsia" w:asciiTheme="minorEastAsia" w:hAnsiTheme="minorEastAsia" w:eastAsiaTheme="minorEastAsia"/>
          <w:color w:val="auto"/>
          <w:sz w:val="21"/>
          <w:szCs w:val="21"/>
        </w:rPr>
        <w:t>舟山建银工程造价审查中心有限公司</w:t>
      </w:r>
      <w:r>
        <w:rPr>
          <w:rFonts w:hint="eastAsia" w:asciiTheme="minorEastAsia" w:hAnsiTheme="minorEastAsia" w:eastAsiaTheme="minorEastAsia"/>
          <w:color w:val="auto"/>
          <w:sz w:val="21"/>
          <w:szCs w:val="21"/>
          <w:shd w:val="clear" w:color="auto" w:fill="FFFFFF"/>
        </w:rPr>
        <w:t>             </w:t>
      </w:r>
    </w:p>
    <w:p w14:paraId="799D34DB">
      <w:pPr>
        <w:pStyle w:val="23"/>
        <w:spacing w:before="0" w:beforeAutospacing="0" w:after="0" w:afterAutospacing="0" w:line="360" w:lineRule="auto"/>
        <w:rPr>
          <w:rFonts w:asciiTheme="minorEastAsia" w:hAnsiTheme="minorEastAsia" w:eastAsiaTheme="minorEastAsia"/>
          <w:color w:val="auto"/>
          <w:sz w:val="21"/>
          <w:szCs w:val="21"/>
          <w:shd w:val="clear" w:color="auto" w:fill="FFFFFF"/>
        </w:rPr>
      </w:pPr>
      <w:r>
        <w:rPr>
          <w:rFonts w:hint="eastAsia" w:asciiTheme="minorEastAsia" w:hAnsiTheme="minorEastAsia" w:eastAsiaTheme="minorEastAsia"/>
          <w:color w:val="auto"/>
          <w:sz w:val="21"/>
          <w:szCs w:val="21"/>
          <w:shd w:val="clear" w:color="auto" w:fill="FFFFFF"/>
        </w:rPr>
        <w:t>    地  址：浙江省</w:t>
      </w:r>
      <w:r>
        <w:rPr>
          <w:rFonts w:hint="eastAsia" w:asciiTheme="minorEastAsia" w:hAnsiTheme="minorEastAsia" w:eastAsiaTheme="minorEastAsia"/>
          <w:color w:val="auto"/>
          <w:sz w:val="21"/>
          <w:szCs w:val="21"/>
        </w:rPr>
        <w:t>舟山市定海区临城建设大厦D座11楼</w:t>
      </w:r>
    </w:p>
    <w:p w14:paraId="3A139912">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xml:space="preserve">    传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真：0580-2615853</w:t>
      </w:r>
    </w:p>
    <w:p w14:paraId="2F37B3AF">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项目联系人（询问）：刘晓梦</w:t>
      </w:r>
    </w:p>
    <w:p w14:paraId="0617540A">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项目联系方式（询问）：0580-2608985</w:t>
      </w:r>
    </w:p>
    <w:p w14:paraId="29F4F7DB">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质疑联系人：陈萍</w:t>
      </w:r>
    </w:p>
    <w:p w14:paraId="4160E110">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质疑联系方式：0580-2608985</w:t>
      </w:r>
    </w:p>
    <w:p w14:paraId="5C828F78">
      <w:pPr>
        <w:pStyle w:val="23"/>
        <w:spacing w:before="0" w:beforeAutospacing="0" w:after="0" w:afterAutospacing="0" w:line="360" w:lineRule="auto"/>
        <w:rPr>
          <w:rFonts w:hint="eastAsia" w:asciiTheme="minorEastAsia" w:hAnsiTheme="minorEastAsia" w:eastAsiaTheme="minorEastAsia"/>
          <w:sz w:val="21"/>
          <w:szCs w:val="21"/>
          <w:shd w:val="clear" w:color="auto" w:fill="FFFFFF"/>
          <w:lang w:eastAsia="zh-CN"/>
        </w:rPr>
      </w:pPr>
      <w:r>
        <w:rPr>
          <w:rFonts w:hint="eastAsia" w:asciiTheme="minorEastAsia" w:hAnsiTheme="minorEastAsia" w:eastAsiaTheme="minorEastAsia"/>
          <w:sz w:val="21"/>
          <w:szCs w:val="21"/>
          <w:shd w:val="clear" w:color="auto" w:fill="FFFFFF"/>
        </w:rPr>
        <w:t>    </w:t>
      </w:r>
    </w:p>
    <w:p w14:paraId="520DEF3F">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3.同级政府采购监督管理部门            </w:t>
      </w:r>
    </w:p>
    <w:p w14:paraId="1B0F3DC4">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名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称：</w:t>
      </w:r>
      <w:r>
        <w:rPr>
          <w:rFonts w:asciiTheme="minorEastAsia" w:hAnsiTheme="minorEastAsia" w:eastAsiaTheme="minorEastAsia"/>
          <w:sz w:val="21"/>
          <w:szCs w:val="21"/>
          <w:shd w:val="clear" w:color="auto" w:fill="FFFFFF"/>
        </w:rPr>
        <w:t>舟山市财政局政府采购监管处</w:t>
      </w:r>
      <w:r>
        <w:rPr>
          <w:rFonts w:hint="eastAsia" w:asciiTheme="minorEastAsia" w:hAnsiTheme="minorEastAsia" w:eastAsiaTheme="minorEastAsia"/>
          <w:sz w:val="21"/>
          <w:szCs w:val="21"/>
          <w:shd w:val="clear" w:color="auto" w:fill="FFFFFF"/>
        </w:rPr>
        <w:t>            </w:t>
      </w:r>
    </w:p>
    <w:p w14:paraId="67DF9550">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地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址：</w:t>
      </w:r>
      <w:r>
        <w:rPr>
          <w:rFonts w:asciiTheme="minorEastAsia" w:hAnsiTheme="minorEastAsia" w:eastAsiaTheme="minorEastAsia"/>
          <w:sz w:val="21"/>
          <w:szCs w:val="21"/>
          <w:shd w:val="clear" w:color="auto" w:fill="FFFFFF"/>
        </w:rPr>
        <w:t>舟山市定海区新城海天大道681号 </w:t>
      </w:r>
      <w:r>
        <w:rPr>
          <w:rFonts w:hint="eastAsia" w:asciiTheme="minorEastAsia" w:hAnsiTheme="minorEastAsia" w:eastAsiaTheme="minorEastAsia"/>
          <w:sz w:val="21"/>
          <w:szCs w:val="21"/>
          <w:shd w:val="clear" w:color="auto" w:fill="FFFFFF"/>
        </w:rPr>
        <w:t>             </w:t>
      </w:r>
    </w:p>
    <w:p w14:paraId="38E49CFA">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传 </w:t>
      </w:r>
      <w:r>
        <w:rPr>
          <w:rFonts w:hint="eastAsia" w:asciiTheme="minorEastAsia" w:hAnsiTheme="minorEastAsia" w:eastAsiaTheme="minorEastAsia"/>
          <w:sz w:val="21"/>
          <w:szCs w:val="21"/>
          <w:shd w:val="clear" w:color="auto" w:fill="FFFFFF"/>
          <w:lang w:val="en-US" w:eastAsia="zh-CN"/>
        </w:rPr>
        <w:t xml:space="preserve"> </w:t>
      </w:r>
      <w:r>
        <w:rPr>
          <w:rFonts w:hint="eastAsia" w:asciiTheme="minorEastAsia" w:hAnsiTheme="minorEastAsia" w:eastAsiaTheme="minorEastAsia"/>
          <w:sz w:val="21"/>
          <w:szCs w:val="21"/>
          <w:shd w:val="clear" w:color="auto" w:fill="FFFFFF"/>
        </w:rPr>
        <w:t>真：</w:t>
      </w:r>
      <w:r>
        <w:rPr>
          <w:rFonts w:asciiTheme="minorEastAsia" w:hAnsiTheme="minorEastAsia" w:eastAsiaTheme="minorEastAsia"/>
          <w:sz w:val="21"/>
          <w:szCs w:val="21"/>
          <w:shd w:val="clear" w:color="auto" w:fill="FFFFFF"/>
        </w:rPr>
        <w:t>0580-22825</w:t>
      </w:r>
      <w:r>
        <w:rPr>
          <w:rFonts w:hint="eastAsia" w:asciiTheme="minorEastAsia" w:hAnsiTheme="minorEastAsia" w:eastAsiaTheme="minorEastAsia"/>
          <w:sz w:val="21"/>
          <w:szCs w:val="21"/>
          <w:shd w:val="clear" w:color="auto" w:fill="FFFFFF"/>
          <w:lang w:val="en-US" w:eastAsia="zh-CN"/>
        </w:rPr>
        <w:t>91</w:t>
      </w:r>
      <w:r>
        <w:rPr>
          <w:rFonts w:asciiTheme="minorEastAsia" w:hAnsiTheme="minorEastAsia" w:eastAsiaTheme="minorEastAsia"/>
          <w:sz w:val="21"/>
          <w:szCs w:val="21"/>
          <w:shd w:val="clear" w:color="auto" w:fill="FFFFFF"/>
        </w:rPr>
        <w:t> </w:t>
      </w:r>
    </w:p>
    <w:p w14:paraId="19B1D926">
      <w:pPr>
        <w:pStyle w:val="23"/>
        <w:spacing w:before="0" w:beforeAutospacing="0" w:after="0" w:afterAutospacing="0" w:line="360" w:lineRule="auto"/>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    联系人：</w:t>
      </w:r>
      <w:r>
        <w:rPr>
          <w:rFonts w:hint="eastAsia" w:asciiTheme="minorEastAsia" w:hAnsiTheme="minorEastAsia" w:eastAsiaTheme="minorEastAsia"/>
          <w:sz w:val="21"/>
          <w:szCs w:val="21"/>
          <w:shd w:val="clear" w:color="auto" w:fill="FFFFFF"/>
          <w:lang w:val="en-US" w:eastAsia="zh-CN"/>
        </w:rPr>
        <w:t>王女士</w:t>
      </w:r>
      <w:r>
        <w:rPr>
          <w:rFonts w:hint="eastAsia" w:asciiTheme="minorEastAsia" w:hAnsiTheme="minorEastAsia" w:eastAsiaTheme="minorEastAsia"/>
          <w:sz w:val="21"/>
          <w:szCs w:val="21"/>
          <w:shd w:val="clear" w:color="auto" w:fill="FFFFFF"/>
        </w:rPr>
        <w:t>           </w:t>
      </w:r>
    </w:p>
    <w:p w14:paraId="0D682824">
      <w:pPr>
        <w:pStyle w:val="23"/>
        <w:spacing w:before="0" w:beforeAutospacing="0" w:after="0" w:afterAutospacing="0" w:line="360" w:lineRule="auto"/>
        <w:ind w:firstLine="630" w:firstLineChars="3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监督投诉电话：</w:t>
      </w:r>
      <w:r>
        <w:rPr>
          <w:rFonts w:asciiTheme="minorEastAsia" w:hAnsiTheme="minorEastAsia" w:eastAsiaTheme="minorEastAsia"/>
          <w:sz w:val="21"/>
          <w:szCs w:val="21"/>
          <w:shd w:val="clear" w:color="auto" w:fill="FFFFFF"/>
        </w:rPr>
        <w:t>0580-22825</w:t>
      </w:r>
      <w:r>
        <w:rPr>
          <w:rFonts w:hint="eastAsia" w:asciiTheme="minorEastAsia" w:hAnsiTheme="minorEastAsia" w:eastAsiaTheme="minorEastAsia"/>
          <w:sz w:val="21"/>
          <w:szCs w:val="21"/>
          <w:shd w:val="clear" w:color="auto" w:fill="FFFFFF"/>
          <w:lang w:val="en-US" w:eastAsia="zh-CN"/>
        </w:rPr>
        <w:t>91</w:t>
      </w:r>
      <w:r>
        <w:rPr>
          <w:rFonts w:asciiTheme="minorEastAsia" w:hAnsiTheme="minorEastAsia" w:eastAsiaTheme="minorEastAsia"/>
          <w:sz w:val="21"/>
          <w:szCs w:val="21"/>
          <w:shd w:val="clear" w:color="auto" w:fill="FFFFFF"/>
        </w:rPr>
        <w:t> </w:t>
      </w:r>
    </w:p>
    <w:p w14:paraId="05039B62">
      <w:pPr>
        <w:pStyle w:val="23"/>
        <w:spacing w:before="0" w:beforeAutospacing="0" w:after="0" w:afterAutospacing="0" w:line="360" w:lineRule="auto"/>
        <w:rPr>
          <w:rFonts w:asciiTheme="minorEastAsia" w:hAnsiTheme="minorEastAsia" w:eastAsiaTheme="minorEastAsia"/>
          <w:sz w:val="21"/>
          <w:szCs w:val="21"/>
          <w:shd w:val="clear" w:color="auto" w:fill="FFFFFF"/>
        </w:rPr>
      </w:pPr>
    </w:p>
    <w:p w14:paraId="30C49D19">
      <w:pPr>
        <w:pStyle w:val="23"/>
        <w:spacing w:before="0" w:beforeAutospacing="0" w:after="0" w:afterAutospacing="0" w:line="360" w:lineRule="auto"/>
        <w:ind w:firstLine="420" w:firstLineChars="200"/>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若对项目采购电子交易系统操作有疑问，可登录政采云（https://www.zcygov.cn/），点击右侧咨询小采，获取采小蜜智能服务管家帮助，或拨打政采云服务热线400-881-7190获取热线服务帮助。       </w:t>
      </w:r>
    </w:p>
    <w:p w14:paraId="219408D1">
      <w:pPr>
        <w:spacing w:line="360" w:lineRule="auto"/>
        <w:rPr>
          <w:rFonts w:asciiTheme="minorEastAsia" w:hAnsiTheme="minorEastAsia" w:eastAsiaTheme="minorEastAsia"/>
          <w:kern w:val="0"/>
          <w:szCs w:val="21"/>
          <w:shd w:val="clear" w:color="auto" w:fill="FFFFFF"/>
        </w:rPr>
      </w:pPr>
      <w:r>
        <w:rPr>
          <w:rFonts w:hint="eastAsia" w:asciiTheme="minorEastAsia" w:hAnsiTheme="minorEastAsia" w:eastAsiaTheme="minorEastAsia"/>
          <w:kern w:val="0"/>
          <w:szCs w:val="21"/>
          <w:shd w:val="clear" w:color="auto" w:fill="FFFFFF"/>
        </w:rPr>
        <w:t>CA问题联系电话（人工）：汇信CA 400-888-4636；天谷CA 400-087-8198。</w:t>
      </w:r>
    </w:p>
    <w:p w14:paraId="1B6B4B4C">
      <w:pPr>
        <w:pStyle w:val="12"/>
        <w:pageBreakBefore/>
        <w:snapToGrid w:val="0"/>
        <w:spacing w:before="120" w:line="360" w:lineRule="auto"/>
        <w:jc w:val="center"/>
        <w:outlineLvl w:val="0"/>
        <w:rPr>
          <w:rFonts w:hint="eastAsia" w:ascii="黑体" w:hAnsi="宋体" w:eastAsia="黑体"/>
        </w:rPr>
        <w:sectPr>
          <w:footerReference r:id="rId4" w:type="default"/>
          <w:pgSz w:w="11906" w:h="16838"/>
          <w:pgMar w:top="1104" w:right="1531" w:bottom="1304" w:left="1531" w:header="1304" w:footer="1304" w:gutter="0"/>
          <w:cols w:space="720" w:num="1"/>
        </w:sectPr>
      </w:pPr>
    </w:p>
    <w:p w14:paraId="2E5BA406">
      <w:pPr>
        <w:pStyle w:val="12"/>
        <w:pageBreakBefore/>
        <w:numPr>
          <w:ilvl w:val="0"/>
          <w:numId w:val="3"/>
        </w:numPr>
        <w:snapToGrid w:val="0"/>
        <w:spacing w:before="120" w:line="360" w:lineRule="auto"/>
        <w:jc w:val="center"/>
        <w:outlineLvl w:val="0"/>
        <w:rPr>
          <w:rFonts w:hint="eastAsia" w:ascii="黑体" w:hAnsi="宋体" w:eastAsia="黑体"/>
        </w:rPr>
      </w:pPr>
      <w:bookmarkStart w:id="1" w:name="_Hlk20310579"/>
      <w:r>
        <w:rPr>
          <w:rFonts w:hint="eastAsia" w:ascii="黑体" w:hAnsi="宋体" w:eastAsia="黑体"/>
        </w:rPr>
        <w:t>采购需求</w:t>
      </w:r>
    </w:p>
    <w:p w14:paraId="5447FDB6">
      <w:pPr>
        <w:keepNext w:val="0"/>
        <w:keepLines/>
        <w:widowControl w:val="0"/>
        <w:numPr>
          <w:ilvl w:val="0"/>
          <w:numId w:val="0"/>
        </w:numPr>
        <w:tabs>
          <w:tab w:val="left" w:pos="-420"/>
        </w:tabs>
        <w:spacing w:before="0" w:after="0" w:line="360" w:lineRule="exact"/>
        <w:ind w:firstLine="422" w:firstLineChars="200"/>
        <w:jc w:val="both"/>
        <w:outlineLvl w:val="1"/>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一、项目背景</w:t>
      </w:r>
    </w:p>
    <w:p w14:paraId="301C3349">
      <w:pPr>
        <w:widowControl w:val="0"/>
        <w:spacing w:line="360" w:lineRule="exact"/>
        <w:ind w:firstLine="420" w:firstLineChars="200"/>
        <w:jc w:val="both"/>
        <w:rPr>
          <w:rFonts w:hint="eastAsia" w:ascii="Times New Roman" w:hAnsi="Times New Roman" w:cs="Times New Roman"/>
          <w:szCs w:val="20"/>
        </w:rPr>
      </w:pPr>
      <w:r>
        <w:rPr>
          <w:rFonts w:hint="eastAsia" w:ascii="宋体" w:hAnsi="宋体" w:eastAsia="宋体" w:cs="宋体"/>
          <w:szCs w:val="21"/>
        </w:rPr>
        <w:t>随着国家教育信息化战略推进，随着国家教育信息化战略推进，我国中小学信息化教学内容显著提升。教育信息化经历1.0（网络应用）、2.0（“互联网+教育”、云服务与信息素养培养）两阶段，目前正迈入资源、系统、评价与模式深度融合创新期。在“十四五”规划与教育数字化战略行动推动下，数字基础设施与政策保障持续加强。2023年2月数字教育大会明确转型路径，2023年5月《课程教学改革深化行动方案》提出启发式、互动式、探究式教学模式。数字化教学空间全面配备多媒体与智能控制，智慧课堂、智能管理与个性化服务逐步完善。AI与大数据深度融入教学过程，实现教学空间、过程、评价与治理全要素创新，助力人人享优质教育、推进教育现代化。</w:t>
      </w:r>
    </w:p>
    <w:p w14:paraId="40046700">
      <w:pPr>
        <w:keepNext w:val="0"/>
        <w:keepLines/>
        <w:widowControl w:val="0"/>
        <w:numPr>
          <w:ilvl w:val="0"/>
          <w:numId w:val="4"/>
        </w:numPr>
        <w:tabs>
          <w:tab w:val="left" w:pos="-420"/>
        </w:tabs>
        <w:spacing w:before="0" w:after="0" w:line="360" w:lineRule="exact"/>
        <w:ind w:firstLine="422" w:firstLineChars="200"/>
        <w:jc w:val="both"/>
        <w:outlineLvl w:val="1"/>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项目建设目标</w:t>
      </w:r>
    </w:p>
    <w:p w14:paraId="70F8A02C">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本项目聚焦“以数字化驱动教育高质量发展”，旨在推动校园设施智能升级、教学资源全面数字化、管理模式持续创新，打造安全、高效、开放的智慧教育生态体系，助力实现“优质教育人人可享”的目标。通过整合前沿信息技术，构建一体化智慧校园平台，为教学、管理和服务等各环节提供智能化支撑，从而显著提升教学质量与管理效能:</w:t>
      </w:r>
    </w:p>
    <w:p w14:paraId="54165671">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营造智慧化教学场域：借助先进的信息化手段，搭建线上与线下融合的混合式课堂，支持多元化教学模式，优化师生互动体验，提升学习成效。</w:t>
      </w:r>
    </w:p>
    <w:p w14:paraId="4E8FFABE">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强化智能化校园运营：依托智能管理系统，实现校内资源的协同调度与高效配置，进一步提升管理水平与运营效率。</w:t>
      </w:r>
    </w:p>
    <w:p w14:paraId="5D93C5B1">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升级数字化服务能力：构建一站式信息化服务平台，为师生提供便捷、个性化的校园服务，全面改善校园生活质量。</w:t>
      </w:r>
    </w:p>
    <w:p w14:paraId="02B0BE8D">
      <w:pPr>
        <w:keepNext w:val="0"/>
        <w:keepLines/>
        <w:widowControl w:val="0"/>
        <w:numPr>
          <w:ilvl w:val="0"/>
          <w:numId w:val="4"/>
        </w:numPr>
        <w:tabs>
          <w:tab w:val="left" w:pos="-420"/>
        </w:tabs>
        <w:spacing w:before="0" w:after="0" w:line="360" w:lineRule="exact"/>
        <w:ind w:firstLine="422" w:firstLineChars="200"/>
        <w:jc w:val="both"/>
        <w:outlineLvl w:val="1"/>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项目建设内容</w:t>
      </w:r>
    </w:p>
    <w:p w14:paraId="763E0812">
      <w:pPr>
        <w:widowControl w:val="0"/>
        <w:spacing w:line="360" w:lineRule="exact"/>
        <w:ind w:firstLine="420" w:firstLineChars="200"/>
        <w:jc w:val="both"/>
        <w:rPr>
          <w:rFonts w:hint="eastAsia" w:ascii="宋体" w:hAnsi="宋体" w:eastAsia="宋体" w:cs="宋体"/>
          <w:szCs w:val="21"/>
          <w:lang w:val="en-US" w:eastAsia="zh-CN"/>
        </w:rPr>
      </w:pPr>
      <w:r>
        <w:rPr>
          <w:rFonts w:hint="eastAsia" w:ascii="Times New Roman" w:hAnsi="Times New Roman" w:cs="Times New Roman"/>
          <w:szCs w:val="20"/>
        </w:rPr>
        <w:t>本项目主要涉及硬件采购，主要</w:t>
      </w:r>
      <w:r>
        <w:rPr>
          <w:rFonts w:hint="eastAsia" w:ascii="Times New Roman" w:hAnsi="Times New Roman" w:cs="Times New Roman"/>
          <w:szCs w:val="20"/>
          <w:lang w:val="en-US" w:eastAsia="zh-CN"/>
        </w:rPr>
        <w:t>覆盖</w:t>
      </w:r>
      <w:r>
        <w:rPr>
          <w:rFonts w:hint="eastAsia" w:ascii="Times New Roman" w:hAnsi="Times New Roman" w:cs="Times New Roman"/>
          <w:szCs w:val="20"/>
        </w:rPr>
        <w:t>教育辅助用房采购，教育辅助用房包含一个报告厅、一个录播室、两个会议室、一个沉降舞台、一个录播室，主要采购音响设备、广播设备、录播设备等</w:t>
      </w:r>
      <w:r>
        <w:rPr>
          <w:rFonts w:hint="eastAsia" w:ascii="Times New Roman" w:hAnsi="Times New Roman" w:cs="Times New Roman"/>
          <w:szCs w:val="20"/>
          <w:lang w:eastAsia="zh-CN"/>
        </w:rPr>
        <w:t>。</w:t>
      </w:r>
    </w:p>
    <w:p w14:paraId="02B87FB5">
      <w:pPr>
        <w:widowControl w:val="0"/>
        <w:spacing w:line="360" w:lineRule="exact"/>
        <w:ind w:firstLine="422" w:firstLineChars="200"/>
        <w:jc w:val="both"/>
        <w:rPr>
          <w:rFonts w:hint="eastAsia" w:ascii="宋体" w:hAnsi="宋体" w:eastAsia="宋体" w:cs="宋体"/>
          <w:b/>
          <w:bCs/>
          <w:kern w:val="2"/>
          <w:sz w:val="21"/>
          <w:szCs w:val="21"/>
          <w:lang w:val="en-US" w:eastAsia="zh-CN" w:bidi="ar-SA"/>
        </w:rPr>
      </w:pPr>
      <w:r>
        <w:rPr>
          <w:rFonts w:hint="eastAsia" w:ascii="宋体" w:hAnsi="宋体" w:eastAsia="宋体" w:cs="宋体"/>
          <w:b/>
          <w:bCs/>
          <w:kern w:val="2"/>
          <w:sz w:val="21"/>
          <w:szCs w:val="21"/>
          <w:lang w:val="en-US" w:eastAsia="zh-CN" w:bidi="ar-SA"/>
        </w:rPr>
        <w:t>具体建设内容如下：</w:t>
      </w:r>
    </w:p>
    <w:p w14:paraId="4EFF57A3">
      <w:pPr>
        <w:widowControl w:val="0"/>
        <w:spacing w:line="360" w:lineRule="exact"/>
        <w:ind w:firstLine="420" w:firstLineChars="200"/>
        <w:jc w:val="both"/>
        <w:rPr>
          <w:rFonts w:hint="eastAsia" w:ascii="宋体" w:hAnsi="宋体" w:eastAsia="宋体" w:cs="宋体"/>
          <w:szCs w:val="21"/>
        </w:rPr>
      </w:pPr>
      <w:r>
        <w:rPr>
          <w:rFonts w:hint="eastAsia" w:ascii="宋体" w:hAnsi="宋体" w:cs="宋体"/>
          <w:szCs w:val="21"/>
          <w:lang w:eastAsia="zh-CN"/>
        </w:rPr>
        <w:t>（</w:t>
      </w:r>
      <w:r>
        <w:rPr>
          <w:rFonts w:hint="eastAsia" w:ascii="宋体" w:hAnsi="宋体" w:cs="宋体"/>
          <w:szCs w:val="21"/>
          <w:lang w:val="en-US" w:eastAsia="zh-CN"/>
        </w:rPr>
        <w:t>一</w:t>
      </w:r>
      <w:r>
        <w:rPr>
          <w:rFonts w:hint="eastAsia" w:ascii="宋体" w:hAnsi="宋体" w:cs="宋体"/>
          <w:szCs w:val="21"/>
          <w:lang w:eastAsia="zh-CN"/>
        </w:rPr>
        <w:t>）</w:t>
      </w:r>
      <w:r>
        <w:rPr>
          <w:rFonts w:hint="eastAsia" w:ascii="宋体" w:hAnsi="宋体" w:eastAsia="宋体" w:cs="宋体"/>
          <w:szCs w:val="21"/>
        </w:rPr>
        <w:t xml:space="preserve">教育辅助用房设施设备  </w:t>
      </w:r>
    </w:p>
    <w:p w14:paraId="35279106">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1、报告厅涵盖广播系统、灯光系统、舞台结构与机械三大部分</w:t>
      </w:r>
    </w:p>
    <w:p w14:paraId="270826FC">
      <w:pPr>
        <w:widowControl w:val="0"/>
        <w:spacing w:line="360" w:lineRule="exact"/>
        <w:ind w:firstLine="420" w:firstLineChars="200"/>
        <w:jc w:val="both"/>
        <w:rPr>
          <w:rFonts w:hint="eastAsia" w:ascii="宋体" w:hAnsi="宋体" w:eastAsia="宋体" w:cs="宋体"/>
          <w:szCs w:val="21"/>
        </w:rPr>
      </w:pPr>
      <w:r>
        <w:rPr>
          <w:rFonts w:hint="eastAsia" w:ascii="宋体" w:hAnsi="宋体" w:eastAsia="宋体" w:cs="宋体"/>
          <w:szCs w:val="21"/>
        </w:rPr>
        <w:t>2、大小会议室及沉降舞台广播系统</w:t>
      </w:r>
    </w:p>
    <w:p w14:paraId="766E6AEF">
      <w:pPr>
        <w:widowControl w:val="0"/>
        <w:spacing w:line="360" w:lineRule="exact"/>
        <w:ind w:firstLine="420" w:firstLineChars="200"/>
        <w:jc w:val="both"/>
        <w:rPr>
          <w:rFonts w:hint="default" w:ascii="宋体" w:hAnsi="宋体" w:eastAsia="宋体" w:cs="宋体"/>
          <w:szCs w:val="21"/>
          <w:lang w:val="en-US" w:eastAsia="zh-CN"/>
        </w:rPr>
      </w:pPr>
      <w:r>
        <w:rPr>
          <w:rFonts w:hint="eastAsia" w:ascii="宋体" w:hAnsi="宋体" w:eastAsia="宋体" w:cs="宋体"/>
          <w:szCs w:val="21"/>
        </w:rPr>
        <w:t>3、录播室包含精品录播、智能教学与辅助系统、多媒体系统</w:t>
      </w:r>
      <w:r>
        <w:rPr>
          <w:rFonts w:hint="eastAsia" w:ascii="宋体" w:hAnsi="宋体" w:cs="宋体"/>
          <w:szCs w:val="21"/>
          <w:lang w:eastAsia="zh-CN"/>
        </w:rPr>
        <w:t>、</w:t>
      </w:r>
      <w:r>
        <w:rPr>
          <w:rFonts w:hint="eastAsia" w:ascii="宋体" w:hAnsi="宋体" w:cs="宋体"/>
          <w:szCs w:val="21"/>
          <w:lang w:val="en-US" w:eastAsia="zh-CN"/>
        </w:rPr>
        <w:t>红领巾电视台</w:t>
      </w:r>
    </w:p>
    <w:p w14:paraId="2A36E881">
      <w:pPr>
        <w:keepNext w:val="0"/>
        <w:keepLines/>
        <w:widowControl w:val="0"/>
        <w:numPr>
          <w:ilvl w:val="0"/>
          <w:numId w:val="4"/>
        </w:numPr>
        <w:tabs>
          <w:tab w:val="left" w:pos="-420"/>
        </w:tabs>
        <w:spacing w:before="0" w:after="0" w:line="360" w:lineRule="exact"/>
        <w:ind w:firstLine="422" w:firstLineChars="200"/>
        <w:jc w:val="both"/>
        <w:outlineLvl w:val="1"/>
        <w:rPr>
          <w:rFonts w:hint="eastAsia" w:ascii="宋体" w:hAnsi="宋体" w:eastAsia="宋体" w:cs="宋体"/>
          <w:b/>
          <w:kern w:val="2"/>
          <w:sz w:val="21"/>
          <w:szCs w:val="21"/>
          <w:lang w:val="en-US" w:eastAsia="zh-CN" w:bidi="ar-SA"/>
        </w:rPr>
      </w:pPr>
      <w:r>
        <w:rPr>
          <w:rFonts w:hint="eastAsia" w:ascii="宋体" w:hAnsi="宋体" w:eastAsia="宋体" w:cs="宋体"/>
          <w:b/>
          <w:kern w:val="2"/>
          <w:sz w:val="21"/>
          <w:szCs w:val="21"/>
          <w:lang w:val="en-US" w:eastAsia="zh-CN" w:bidi="ar-SA"/>
        </w:rPr>
        <w:t xml:space="preserve"> 采购清单</w:t>
      </w:r>
    </w:p>
    <w:p w14:paraId="2EE833DC">
      <w:pPr>
        <w:widowControl w:val="0"/>
        <w:jc w:val="both"/>
        <w:rPr>
          <w:rFonts w:hint="eastAsia" w:ascii="宋体" w:hAnsi="宋体" w:cs="宋体"/>
          <w:sz w:val="21"/>
          <w:szCs w:val="21"/>
          <w:lang w:val="en-US" w:eastAsia="zh-CN"/>
        </w:rPr>
      </w:pPr>
    </w:p>
    <w:tbl>
      <w:tblPr>
        <w:tblStyle w:val="28"/>
        <w:tblW w:w="8021" w:type="dxa"/>
        <w:tblInd w:w="4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14"/>
        <w:gridCol w:w="3790"/>
        <w:gridCol w:w="1313"/>
        <w:gridCol w:w="1504"/>
      </w:tblGrid>
      <w:tr w14:paraId="67BE2BE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EABC8">
            <w:pPr>
              <w:widowControl/>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kern w:val="0"/>
                <w:szCs w:val="21"/>
                <w:lang w:bidi="ar"/>
              </w:rPr>
              <w:t>序号</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9CA16">
            <w:pPr>
              <w:widowControl/>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kern w:val="0"/>
                <w:szCs w:val="21"/>
                <w:lang w:bidi="ar"/>
              </w:rPr>
              <w:t>设备名称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FD5D3">
            <w:pPr>
              <w:widowControl/>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kern w:val="0"/>
                <w:szCs w:val="21"/>
                <w:lang w:bidi="ar"/>
              </w:rPr>
              <w:t>单位</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AD18">
            <w:pPr>
              <w:widowControl/>
              <w:spacing w:line="360" w:lineRule="auto"/>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kern w:val="0"/>
                <w:szCs w:val="21"/>
                <w:lang w:bidi="ar"/>
              </w:rPr>
              <w:t>数量</w:t>
            </w:r>
          </w:p>
        </w:tc>
      </w:tr>
      <w:tr w14:paraId="231746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F513E99">
            <w:pPr>
              <w:keepNext w:val="0"/>
              <w:keepLines w:val="0"/>
              <w:widowControl/>
              <w:suppressLineNumbers w:val="0"/>
              <w:tabs>
                <w:tab w:val="left" w:pos="3113"/>
              </w:tabs>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b/>
            </w:r>
            <w:r>
              <w:rPr>
                <w:rFonts w:hint="eastAsia" w:ascii="宋体" w:hAnsi="宋体" w:eastAsia="宋体" w:cs="宋体"/>
                <w:i w:val="0"/>
                <w:iCs w:val="0"/>
                <w:color w:val="000000"/>
                <w:kern w:val="0"/>
                <w:sz w:val="22"/>
                <w:szCs w:val="22"/>
                <w:u w:val="none"/>
                <w:lang w:val="en-US" w:eastAsia="zh-CN" w:bidi="ar"/>
              </w:rPr>
              <w:t>一、报告厅</w:t>
            </w:r>
          </w:p>
        </w:tc>
      </w:tr>
      <w:tr w14:paraId="4843FC1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967FF9A">
            <w:pPr>
              <w:keepNext w:val="0"/>
              <w:keepLines w:val="0"/>
              <w:widowControl/>
              <w:suppressLineNumbers w:val="0"/>
              <w:tabs>
                <w:tab w:val="left" w:pos="3113"/>
              </w:tabs>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1、广播系统</w:t>
            </w:r>
          </w:p>
        </w:tc>
      </w:tr>
      <w:tr w14:paraId="7EF7E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11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F4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双8"线性阵列无源音箱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9C4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5C8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r>
      <w:tr w14:paraId="61C434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F7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6A1A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线性阵列次低音无源音箱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B6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86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2181DD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B4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FC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全频音箱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EB5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A92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0B8D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9D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2D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舞台返听音箱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9FF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AC97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6979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8F80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60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低音炮</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6C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720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4038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C37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B82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双8"线性阵列无源音箱功放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808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EBA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632E5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4A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F73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线性阵列次低音无源音箱功放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A1F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2CC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6141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123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377E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纯后级功率放大器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573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77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1353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862D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C5C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低音炮功放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7A2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80C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1E0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0B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A80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08F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15D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5F8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8A1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975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音频矩阵处理器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C1A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0A6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FC18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EF9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9C10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AI智能增益器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1AD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F5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5B2FC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508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52F56">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一拖二真分集无线手持话筒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3838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2F3B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5</w:t>
            </w:r>
          </w:p>
        </w:tc>
      </w:tr>
      <w:tr w14:paraId="59196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5"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2E1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41C6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一拖二真分集无线头戴话筒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9C66C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9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0ED6FB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BEF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573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一拖四会议麦克风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A1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C4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182C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28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7E8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专业天线放大器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37F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57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792E7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76E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E3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8路电源时序器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734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D83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0077B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5E4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8D5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2米机柜</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701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B21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06DD4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0520EE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灯光</w:t>
            </w:r>
            <w:r>
              <w:rPr>
                <w:rFonts w:hint="eastAsia" w:ascii="宋体" w:hAnsi="宋体" w:eastAsia="宋体" w:cs="宋体"/>
                <w:i w:val="0"/>
                <w:iCs w:val="0"/>
                <w:color w:val="000000"/>
                <w:kern w:val="0"/>
                <w:sz w:val="22"/>
                <w:szCs w:val="22"/>
                <w:u w:val="none"/>
                <w:lang w:val="en-US" w:eastAsia="zh-CN" w:bidi="ar"/>
              </w:rPr>
              <w:t>系统</w:t>
            </w:r>
          </w:p>
        </w:tc>
      </w:tr>
      <w:tr w14:paraId="4789A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827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72A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4颗双色LED变焦面光灯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E416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687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14:paraId="6667CC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22D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EEC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18颗四合一帕灯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179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8F4A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r>
      <w:tr w14:paraId="369E9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519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E06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LED三基色会议灯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804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7D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r>
      <w:tr w14:paraId="7AEBDF1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7C3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C9BF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380W光束灯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64D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5ABB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14:paraId="5A1701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EB9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45D9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1024控台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884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CC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7B1A6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43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B8F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12路直通箱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A2B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378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E0E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E47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103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信号放大器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22F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D54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1FE1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6ED190D">
            <w:pPr>
              <w:keepNext w:val="0"/>
              <w:keepLines w:val="0"/>
              <w:widowControl/>
              <w:suppressLineNumbers w:val="0"/>
              <w:jc w:val="left"/>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3、舞台结构与机械</w:t>
            </w:r>
          </w:p>
        </w:tc>
      </w:tr>
      <w:tr w14:paraId="25FDA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2D1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55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舞台栅顶层钢结构</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3ACD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65F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w:t>
            </w:r>
            <w:r>
              <w:rPr>
                <w:rFonts w:hint="eastAsia" w:ascii="宋体" w:hAnsi="宋体" w:cs="宋体"/>
                <w:i w:val="0"/>
                <w:iCs w:val="0"/>
                <w:color w:val="000000"/>
                <w:kern w:val="0"/>
                <w:sz w:val="22"/>
                <w:szCs w:val="22"/>
                <w:u w:val="none"/>
                <w:lang w:val="en-US" w:eastAsia="zh-CN" w:bidi="ar"/>
              </w:rPr>
              <w:t>（按现场实际数量）</w:t>
            </w:r>
          </w:p>
        </w:tc>
      </w:tr>
      <w:tr w14:paraId="32D05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790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6B1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舞台专用轨道</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78F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C54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r>
              <w:rPr>
                <w:rFonts w:hint="eastAsia" w:ascii="宋体" w:hAnsi="宋体" w:cs="宋体"/>
                <w:i w:val="0"/>
                <w:iCs w:val="0"/>
                <w:color w:val="000000"/>
                <w:kern w:val="0"/>
                <w:sz w:val="22"/>
                <w:szCs w:val="22"/>
                <w:u w:val="none"/>
                <w:lang w:val="en-US" w:eastAsia="zh-CN" w:bidi="ar"/>
              </w:rPr>
              <w:t>（按现场实际数量）</w:t>
            </w:r>
          </w:p>
        </w:tc>
      </w:tr>
      <w:tr w14:paraId="272D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5F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D245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舞台专用电机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CA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8E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47D8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CF8C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911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舞台专用对拉幕布</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5C8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097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w:t>
            </w:r>
            <w:r>
              <w:rPr>
                <w:rFonts w:hint="eastAsia" w:ascii="宋体" w:hAnsi="宋体" w:cs="宋体"/>
                <w:i w:val="0"/>
                <w:iCs w:val="0"/>
                <w:color w:val="000000"/>
                <w:kern w:val="0"/>
                <w:sz w:val="22"/>
                <w:szCs w:val="22"/>
                <w:u w:val="none"/>
                <w:lang w:val="en-US" w:eastAsia="zh-CN" w:bidi="ar"/>
              </w:rPr>
              <w:t>（按现场实际数量）</w:t>
            </w:r>
          </w:p>
        </w:tc>
      </w:tr>
      <w:tr w14:paraId="6D442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3F9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E5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前檐幕布</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16B3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472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r>
              <w:rPr>
                <w:rFonts w:hint="eastAsia" w:ascii="宋体" w:hAnsi="宋体" w:cs="宋体"/>
                <w:i w:val="0"/>
                <w:iCs w:val="0"/>
                <w:color w:val="000000"/>
                <w:kern w:val="0"/>
                <w:sz w:val="22"/>
                <w:szCs w:val="22"/>
                <w:u w:val="none"/>
                <w:lang w:val="en-US" w:eastAsia="zh-CN" w:bidi="ar"/>
              </w:rPr>
              <w:t>（按现场实际数量）</w:t>
            </w:r>
          </w:p>
        </w:tc>
      </w:tr>
      <w:tr w14:paraId="187DC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FE2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C5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前檐幕布轨道</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265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178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r>
              <w:rPr>
                <w:rFonts w:hint="eastAsia" w:ascii="宋体" w:hAnsi="宋体" w:cs="宋体"/>
                <w:i w:val="0"/>
                <w:iCs w:val="0"/>
                <w:color w:val="000000"/>
                <w:kern w:val="0"/>
                <w:sz w:val="22"/>
                <w:szCs w:val="22"/>
                <w:u w:val="none"/>
                <w:lang w:val="en-US" w:eastAsia="zh-CN" w:bidi="ar"/>
              </w:rPr>
              <w:t>（按现场实际数量）</w:t>
            </w:r>
          </w:p>
        </w:tc>
      </w:tr>
      <w:tr w14:paraId="0ED14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6AF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85C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舞台边侧幕布</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4646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6AA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r>
              <w:rPr>
                <w:rFonts w:hint="eastAsia" w:ascii="宋体" w:hAnsi="宋体" w:cs="宋体"/>
                <w:i w:val="0"/>
                <w:iCs w:val="0"/>
                <w:color w:val="000000"/>
                <w:kern w:val="0"/>
                <w:sz w:val="22"/>
                <w:szCs w:val="22"/>
                <w:u w:val="none"/>
                <w:lang w:val="en-US" w:eastAsia="zh-CN" w:bidi="ar"/>
              </w:rPr>
              <w:t>（按现场实际数量）</w:t>
            </w:r>
          </w:p>
        </w:tc>
      </w:tr>
      <w:tr w14:paraId="58E8E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B6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EB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边侧幕专用轨道</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4E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BED2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r>
              <w:rPr>
                <w:rFonts w:hint="eastAsia" w:ascii="宋体" w:hAnsi="宋体" w:cs="宋体"/>
                <w:i w:val="0"/>
                <w:iCs w:val="0"/>
                <w:color w:val="000000"/>
                <w:kern w:val="0"/>
                <w:sz w:val="22"/>
                <w:szCs w:val="22"/>
                <w:u w:val="none"/>
                <w:lang w:val="en-US" w:eastAsia="zh-CN" w:bidi="ar"/>
              </w:rPr>
              <w:t>（按现场实际数量）</w:t>
            </w:r>
          </w:p>
        </w:tc>
      </w:tr>
      <w:tr w14:paraId="5D8D7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ED0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95E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边侧幕前檐幕布</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E2F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平方米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D58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r>
              <w:rPr>
                <w:rFonts w:hint="eastAsia" w:ascii="宋体" w:hAnsi="宋体" w:cs="宋体"/>
                <w:i w:val="0"/>
                <w:iCs w:val="0"/>
                <w:color w:val="000000"/>
                <w:kern w:val="0"/>
                <w:sz w:val="22"/>
                <w:szCs w:val="22"/>
                <w:u w:val="none"/>
                <w:lang w:val="en-US" w:eastAsia="zh-CN" w:bidi="ar"/>
              </w:rPr>
              <w:t>（按现场实际数量）</w:t>
            </w:r>
          </w:p>
        </w:tc>
      </w:tr>
      <w:tr w14:paraId="4E33A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17C5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8D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边侧幕前檐幕布轨道</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6B51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米</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FE9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r>
              <w:rPr>
                <w:rFonts w:hint="eastAsia" w:ascii="宋体" w:hAnsi="宋体" w:cs="宋体"/>
                <w:i w:val="0"/>
                <w:iCs w:val="0"/>
                <w:color w:val="000000"/>
                <w:kern w:val="0"/>
                <w:sz w:val="22"/>
                <w:szCs w:val="22"/>
                <w:u w:val="none"/>
                <w:lang w:val="en-US" w:eastAsia="zh-CN" w:bidi="ar"/>
              </w:rPr>
              <w:t>（按现场实际数量）</w:t>
            </w:r>
          </w:p>
        </w:tc>
      </w:tr>
      <w:tr w14:paraId="69F60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8263EE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二</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大会议室</w:t>
            </w:r>
          </w:p>
        </w:tc>
      </w:tr>
      <w:tr w14:paraId="3CBAEB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004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A530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8*4"无源会议音柱</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DBB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DB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2A454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365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E1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纯后级功率放大器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AF9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E53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342759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3FA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EB2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机架式12路双编组调音台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388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3874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27645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BAC9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08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无线一拖四会议麦克风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2B4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443D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E6BC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8E12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684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一拖二真分集无线手持话筒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D351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B706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2</w:t>
            </w:r>
          </w:p>
        </w:tc>
      </w:tr>
      <w:tr w14:paraId="7B5EE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11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CC4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一拖二真分集无线头戴话筒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E424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81A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9FD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2E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239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4*4数字音频矩阵处理器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AA6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087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C160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4E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FFDF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AI智能增益器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A0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F418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687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1AA6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EBCA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8路电源时序器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F36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A81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A5DBF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02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0468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1.2米机柜</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AE4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1B4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32BF1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4431CBA">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三</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小会议室</w:t>
            </w:r>
          </w:p>
        </w:tc>
      </w:tr>
      <w:tr w14:paraId="451725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CA9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85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定压定阻可调天花喇叭</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95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954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19A482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9CDC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2E44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纯后级功率放大器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00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06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D8BC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5D3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40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音频处理器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D1C2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9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DC1C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4D33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F1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一拖二真分集无线手持话筒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F21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8B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71D1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764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168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UHF无线一拖二会议麦克风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14C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CEB0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1801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A6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BEB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8路电源时序器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37A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373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4959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250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CFA0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1.2米机柜</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E0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AD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01DE1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CB1D0A8">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四</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沉降舞台</w:t>
            </w:r>
          </w:p>
        </w:tc>
      </w:tr>
      <w:tr w14:paraId="5A8B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F13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CB23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一拖二真分集无线手持话筒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09B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C1BAF">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cs="宋体"/>
                <w:i w:val="0"/>
                <w:iCs w:val="0"/>
                <w:color w:val="000000"/>
                <w:kern w:val="0"/>
                <w:sz w:val="22"/>
                <w:szCs w:val="22"/>
                <w:highlight w:val="none"/>
                <w:u w:val="none"/>
                <w:lang w:val="en-US" w:eastAsia="zh-CN" w:bidi="ar"/>
              </w:rPr>
              <w:t>1</w:t>
            </w:r>
          </w:p>
        </w:tc>
      </w:tr>
      <w:tr w14:paraId="64FC98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7A1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BB4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调音台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BB8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CCA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6E9A9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EB1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F1F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8路电源时序器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5D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FD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E871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B0CB5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629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1.2米机柜</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358B8D">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5E14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4F33C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D819566">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五、录播室</w:t>
            </w:r>
          </w:p>
        </w:tc>
      </w:tr>
      <w:tr w14:paraId="7E4D41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07BDCDB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1、精品录播</w:t>
            </w:r>
          </w:p>
        </w:tc>
      </w:tr>
      <w:tr w14:paraId="47F25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96A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C3D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互动录播电脑主机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6E5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76A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E71A5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C7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C7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主机导播系统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AEA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787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3ECCD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3125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ADD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主机互动系统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83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6BE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7C1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E1DD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835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主机视频处理系统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200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81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DF2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DB2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DEC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远程互动课堂软件</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C4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22F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F12D7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551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00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教师定位辅助摄像机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603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6E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58AE3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BFD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A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教师摄像机图像处理系统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910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DD0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5A9E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AD12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595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学生定位辅助摄像机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D07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6A09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8AE98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9DB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746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学生摄像机图像处理系统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656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A8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B409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1DD2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60E3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机械云台摄像机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E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8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FA611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796F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4D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云台摄像机图像处理系统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114E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DA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33497E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75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2E3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阵列麦克风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164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0AD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4B38DB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396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7D0A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有线麦克风音频处理系统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A3C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C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r>
      <w:tr w14:paraId="0B2304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7E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90A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62C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8586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61B3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339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9E3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无线麦克风音频处理系统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D20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0DB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833E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4246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D19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专业功放</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A8A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03E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592F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3168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FE32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专业音响</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2A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990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62844E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8CD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AB5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录播资源管理平台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75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A3ED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BB26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64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DCA1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控制面板</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8BB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386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085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8096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79C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交换机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0AD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0B42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52C45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0D39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5E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一拖二真分集无线手持话筒</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A7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BD2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6799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A3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131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互动电视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E52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CB8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14:paraId="40F62B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41C0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BE8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录播主机桌面支架</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2C472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个</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4682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22DF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EBF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31FA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专业导播台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0DF63">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531C0">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064C70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E4D4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5D9DB">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导播控制台应用系统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5D3A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49E2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63B34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DF5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01E7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导播终端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6A5A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99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07838A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EAB1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C177A">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边缘服务器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3079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0B37E">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4F5C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90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5A5BF">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操作台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AFFC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3C835">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r>
      <w:tr w14:paraId="1B213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1755F1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2、智能教学与辅助系统</w:t>
            </w:r>
          </w:p>
        </w:tc>
      </w:tr>
      <w:tr w14:paraId="5645F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73DC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392E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课堂智能反馈系统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08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F7A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07EE6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49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ADC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智能抠像系统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F751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B3EC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BC151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F0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947F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实体绿幕（含翻页笔）</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CF5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D5A1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228404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EBE96F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3、多媒体系统</w:t>
            </w:r>
          </w:p>
        </w:tc>
      </w:tr>
      <w:tr w14:paraId="35B75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6BCF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C2F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讲台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305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7CA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149F03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971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36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1.2米机柜</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086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174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43716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C8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57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智慧黑板</w:t>
            </w:r>
            <w:r>
              <w:rPr>
                <w:rFonts w:hint="eastAsia" w:ascii="宋体" w:hAnsi="宋体" w:cs="宋体"/>
                <w:i w:val="0"/>
                <w:iCs w:val="0"/>
                <w:color w:val="000000"/>
                <w:kern w:val="0"/>
                <w:sz w:val="22"/>
                <w:szCs w:val="22"/>
                <w:u w:val="none"/>
                <w:lang w:val="en-US" w:eastAsia="zh-CN" w:bidi="ar"/>
              </w:rPr>
              <w:t>（智慧屏）</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93D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F5B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E0755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322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69C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高清展台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E44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5E8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r w14:paraId="7953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6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5E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观摩区椅子</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54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把</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E3E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r>
      <w:tr w14:paraId="645A8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2ADA05C">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4、红领巾电视台</w:t>
            </w:r>
          </w:p>
        </w:tc>
      </w:tr>
      <w:tr w14:paraId="68D6C8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4"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A3CC7">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AA3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互动录播电脑主机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D58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ED0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3A58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900C4">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D0E9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主机导播系统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E0F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CE79A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EB5D2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BEA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2B4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主机互动系统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CFB6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611C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73A9C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D9C42">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22D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主机视频处理系统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4E491">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353C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325A08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C19D09">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BC08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机械云台摄像机</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74E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090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5471CA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271FC">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6</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92A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云台摄像机图像处理系统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20D2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3D10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0A68A6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82FC6">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cs="宋体"/>
                <w:i w:val="0"/>
                <w:iCs w:val="0"/>
                <w:color w:val="000000"/>
                <w:kern w:val="0"/>
                <w:sz w:val="22"/>
                <w:szCs w:val="22"/>
                <w:u w:val="none"/>
                <w:lang w:val="en-US" w:eastAsia="zh-CN" w:bidi="ar"/>
              </w:rPr>
              <w:t>7</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A53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阵列麦克风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02F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B7CE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E6A5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DCB49">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8</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19CC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有线麦克风音频处理系统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7BF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DF8D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17915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522A8">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9</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347A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无线麦克风</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98A4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FBFC2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288DC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CB4D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7AD4">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无线麦克风音频处理系统</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58E5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9E23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5B86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C9491">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1E57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LED柔光灯</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FBE8">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套</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7225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4</w:t>
            </w:r>
          </w:p>
        </w:tc>
      </w:tr>
      <w:tr w14:paraId="6A7817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84D52">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12</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1FC3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互动电视</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474D">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690D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4DEFE5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DE793">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13</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DD9D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监视器</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EF770">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A4961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w:t>
            </w:r>
          </w:p>
        </w:tc>
      </w:tr>
      <w:tr w14:paraId="01557E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E032E">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14</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5BB86">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演播台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CD69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张</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88235">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639B3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C332F">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15</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431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设备台</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F4343">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台</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A926E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w:t>
            </w:r>
          </w:p>
        </w:tc>
      </w:tr>
      <w:tr w14:paraId="13FEA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802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F44355E">
            <w:pPr>
              <w:keepNext w:val="0"/>
              <w:keepLines w:val="0"/>
              <w:widowControl/>
              <w:suppressLineNumbers w:val="0"/>
              <w:tabs>
                <w:tab w:val="left" w:pos="2670"/>
              </w:tabs>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ab/>
            </w:r>
            <w:r>
              <w:rPr>
                <w:rFonts w:hint="eastAsia" w:ascii="宋体" w:hAnsi="宋体" w:cs="宋体"/>
                <w:i w:val="0"/>
                <w:iCs w:val="0"/>
                <w:color w:val="000000"/>
                <w:kern w:val="0"/>
                <w:sz w:val="22"/>
                <w:szCs w:val="22"/>
                <w:u w:val="none"/>
                <w:lang w:val="en-US" w:eastAsia="zh-CN" w:bidi="ar"/>
              </w:rPr>
              <w:t>六</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cs="宋体"/>
                <w:i w:val="0"/>
                <w:iCs w:val="0"/>
                <w:color w:val="000000"/>
                <w:kern w:val="0"/>
                <w:sz w:val="22"/>
                <w:szCs w:val="22"/>
                <w:u w:val="none"/>
                <w:lang w:val="en-US" w:eastAsia="zh-CN" w:bidi="ar"/>
              </w:rPr>
              <w:t>安装与调试</w:t>
            </w:r>
          </w:p>
        </w:tc>
      </w:tr>
      <w:tr w14:paraId="6195EE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1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DE7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37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EB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安装调试及辅材</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C3A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批</w:t>
            </w:r>
          </w:p>
        </w:tc>
        <w:tc>
          <w:tcPr>
            <w:tcW w:w="150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4E0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r>
    </w:tbl>
    <w:p w14:paraId="54A3922F">
      <w:pPr>
        <w:widowControl w:val="0"/>
        <w:jc w:val="both"/>
        <w:rPr>
          <w:rFonts w:hint="eastAsia" w:ascii="Times New Roman" w:hAnsi="Times New Roman" w:cs="Times New Roman"/>
          <w:szCs w:val="20"/>
        </w:rPr>
      </w:pPr>
    </w:p>
    <w:p w14:paraId="59E3512F">
      <w:pPr>
        <w:widowControl w:val="0"/>
        <w:jc w:val="both"/>
        <w:rPr>
          <w:rFonts w:hint="eastAsia" w:ascii="Times New Roman" w:hAnsi="Times New Roman" w:cs="Times New Roman"/>
          <w:szCs w:val="20"/>
        </w:rPr>
      </w:pPr>
    </w:p>
    <w:p w14:paraId="15453E96">
      <w:pPr>
        <w:widowControl w:val="0"/>
        <w:jc w:val="both"/>
        <w:rPr>
          <w:rFonts w:hint="eastAsia" w:ascii="Times New Roman" w:hAnsi="Times New Roman" w:cs="Times New Roman"/>
          <w:szCs w:val="20"/>
        </w:rPr>
      </w:pPr>
    </w:p>
    <w:p w14:paraId="4B33BE59">
      <w:pPr>
        <w:widowControl w:val="0"/>
        <w:jc w:val="both"/>
        <w:rPr>
          <w:rFonts w:hint="eastAsia" w:ascii="Times New Roman" w:hAnsi="Times New Roman" w:cs="Times New Roman"/>
          <w:szCs w:val="20"/>
        </w:rPr>
      </w:pPr>
    </w:p>
    <w:p w14:paraId="171B5953">
      <w:pPr>
        <w:widowControl w:val="0"/>
        <w:jc w:val="both"/>
        <w:rPr>
          <w:rFonts w:hint="eastAsia" w:ascii="Times New Roman" w:hAnsi="Times New Roman" w:cs="Times New Roman"/>
          <w:szCs w:val="20"/>
        </w:rPr>
      </w:pPr>
    </w:p>
    <w:p w14:paraId="3E8436AD">
      <w:pPr>
        <w:keepNext w:val="0"/>
        <w:keepLines/>
        <w:widowControl w:val="0"/>
        <w:numPr>
          <w:ilvl w:val="0"/>
          <w:numId w:val="4"/>
        </w:numPr>
        <w:tabs>
          <w:tab w:val="left" w:pos="-420"/>
        </w:tabs>
        <w:spacing w:before="0" w:after="0" w:line="360" w:lineRule="exact"/>
        <w:ind w:firstLine="422" w:firstLineChars="200"/>
        <w:jc w:val="both"/>
        <w:outlineLvl w:val="1"/>
        <w:rPr>
          <w:rFonts w:hint="eastAsia"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技术参数要求</w:t>
      </w:r>
    </w:p>
    <w:tbl>
      <w:tblPr>
        <w:tblStyle w:val="28"/>
        <w:tblW w:w="8779" w:type="dxa"/>
        <w:tblInd w:w="-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8"/>
        <w:gridCol w:w="1511"/>
        <w:gridCol w:w="5436"/>
        <w:gridCol w:w="1314"/>
      </w:tblGrid>
      <w:tr w14:paraId="7753C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3368229D">
            <w:pPr>
              <w:widowControl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序号</w:t>
            </w:r>
          </w:p>
        </w:tc>
        <w:tc>
          <w:tcPr>
            <w:tcW w:w="1511" w:type="dxa"/>
            <w:noWrap w:val="0"/>
            <w:vAlign w:val="center"/>
          </w:tcPr>
          <w:p w14:paraId="4C514FC5">
            <w:pPr>
              <w:widowControl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设备名称</w:t>
            </w:r>
          </w:p>
        </w:tc>
        <w:tc>
          <w:tcPr>
            <w:tcW w:w="5436" w:type="dxa"/>
            <w:noWrap w:val="0"/>
            <w:vAlign w:val="center"/>
          </w:tcPr>
          <w:p w14:paraId="5A6976E0">
            <w:pPr>
              <w:widowControl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性能参数及功能描述</w:t>
            </w:r>
          </w:p>
        </w:tc>
        <w:tc>
          <w:tcPr>
            <w:tcW w:w="1314" w:type="dxa"/>
            <w:noWrap w:val="0"/>
            <w:vAlign w:val="center"/>
          </w:tcPr>
          <w:p w14:paraId="43E4F421">
            <w:pPr>
              <w:widowControl w:val="0"/>
              <w:jc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备注</w:t>
            </w:r>
          </w:p>
        </w:tc>
      </w:tr>
      <w:tr w14:paraId="5A5EB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779" w:type="dxa"/>
            <w:gridSpan w:val="4"/>
            <w:noWrap w:val="0"/>
            <w:vAlign w:val="center"/>
          </w:tcPr>
          <w:p w14:paraId="6EABC811">
            <w:pPr>
              <w:widowControl w:val="0"/>
              <w:jc w:val="center"/>
              <w:rPr>
                <w:rFonts w:hint="eastAsia" w:ascii="宋体" w:hAnsi="宋体" w:eastAsia="宋体" w:cs="宋体"/>
                <w:sz w:val="21"/>
                <w:szCs w:val="21"/>
              </w:rPr>
            </w:pPr>
            <w:r>
              <w:rPr>
                <w:rFonts w:hint="eastAsia" w:ascii="宋体" w:hAnsi="宋体" w:eastAsia="宋体" w:cs="宋体"/>
                <w:b/>
                <w:bCs/>
                <w:sz w:val="21"/>
                <w:szCs w:val="21"/>
                <w:lang w:val="en-US" w:eastAsia="zh-CN"/>
              </w:rPr>
              <w:t>一、报告厅</w:t>
            </w:r>
          </w:p>
        </w:tc>
      </w:tr>
      <w:tr w14:paraId="2A82D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779" w:type="dxa"/>
            <w:gridSpan w:val="4"/>
            <w:noWrap w:val="0"/>
            <w:vAlign w:val="center"/>
          </w:tcPr>
          <w:p w14:paraId="68162FA3">
            <w:pPr>
              <w:widowControl w:val="0"/>
              <w:jc w:val="both"/>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1、广播系统</w:t>
            </w:r>
          </w:p>
        </w:tc>
      </w:tr>
      <w:tr w14:paraId="3DF72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8" w:hRule="atLeast"/>
        </w:trPr>
        <w:tc>
          <w:tcPr>
            <w:tcW w:w="518" w:type="dxa"/>
            <w:noWrap w:val="0"/>
            <w:vAlign w:val="center"/>
          </w:tcPr>
          <w:p w14:paraId="27957F1F">
            <w:pPr>
              <w:widowControl w:val="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1</w:t>
            </w:r>
          </w:p>
        </w:tc>
        <w:tc>
          <w:tcPr>
            <w:tcW w:w="1511" w:type="dxa"/>
            <w:noWrap w:val="0"/>
            <w:vAlign w:val="center"/>
          </w:tcPr>
          <w:p w14:paraId="027047E3">
            <w:pPr>
              <w:widowControl w:val="0"/>
              <w:jc w:val="both"/>
              <w:rPr>
                <w:rFonts w:hint="eastAsia" w:ascii="宋体" w:hAnsi="宋体" w:eastAsia="宋体" w:cs="宋体"/>
                <w:kern w:val="2"/>
                <w:sz w:val="21"/>
                <w:szCs w:val="21"/>
                <w:lang w:val="en-US" w:eastAsia="zh-CN" w:bidi="ar-SA"/>
              </w:rPr>
            </w:pPr>
            <w:r>
              <w:rPr>
                <w:rFonts w:hint="eastAsia" w:ascii="宋体" w:hAnsi="宋体" w:eastAsia="宋体" w:cs="宋体"/>
                <w:sz w:val="21"/>
                <w:szCs w:val="21"/>
              </w:rPr>
              <w:t>双8"线性阵列无源音箱</w:t>
            </w:r>
          </w:p>
        </w:tc>
        <w:tc>
          <w:tcPr>
            <w:tcW w:w="5436" w:type="dxa"/>
            <w:noWrap w:val="0"/>
            <w:vAlign w:val="top"/>
          </w:tcPr>
          <w:p w14:paraId="05BF5835">
            <w:pPr>
              <w:widowControl w:val="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单元配置：LF2×8"+HF1×1.75”(44mm)压缩驱动高音单元；标称阻抗：</w:t>
            </w:r>
            <w:r>
              <w:rPr>
                <w:rFonts w:hint="eastAsia" w:ascii="宋体" w:hAnsi="宋体" w:eastAsia="宋体" w:cs="宋体"/>
                <w:sz w:val="21"/>
                <w:szCs w:val="21"/>
                <w:highlight w:val="none"/>
              </w:rPr>
              <w:t>8Ω；</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额定功率：≥400W；峰值功率：≥1600W；</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 xml:space="preserve">灵敏度：≥(1w/1m):113dB；最大声压级：≥117dB；频率响应：≥50HZ-20KHZ； </w:t>
            </w:r>
          </w:p>
          <w:p w14:paraId="4FA5956F">
            <w:pPr>
              <w:widowControl w:val="0"/>
              <w:jc w:val="left"/>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覆盖角度：90°（H）x 10°（V）；</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lang w:eastAsia="zh-CN"/>
              </w:rPr>
              <w:t>、</w:t>
            </w:r>
            <w:r>
              <w:rPr>
                <w:rFonts w:hint="eastAsia" w:ascii="宋体" w:hAnsi="宋体" w:eastAsia="宋体" w:cs="宋体"/>
                <w:sz w:val="21"/>
                <w:szCs w:val="21"/>
              </w:rPr>
              <w:t>连接器：2*NL4(pin1+(pos);pin1-(neg)</w:t>
            </w:r>
            <w:r>
              <w:rPr>
                <w:rFonts w:hint="eastAsia" w:ascii="宋体" w:hAnsi="宋体" w:eastAsia="宋体" w:cs="宋体"/>
                <w:sz w:val="21"/>
                <w:szCs w:val="21"/>
                <w:lang w:eastAsia="zh-CN"/>
              </w:rPr>
              <w:t>。</w:t>
            </w:r>
          </w:p>
        </w:tc>
        <w:tc>
          <w:tcPr>
            <w:tcW w:w="1314" w:type="dxa"/>
            <w:noWrap w:val="0"/>
            <w:vAlign w:val="top"/>
          </w:tcPr>
          <w:p w14:paraId="2B37D23D">
            <w:pPr>
              <w:widowControl w:val="0"/>
              <w:jc w:val="both"/>
              <w:rPr>
                <w:rFonts w:hint="eastAsia" w:ascii="宋体" w:hAnsi="宋体" w:eastAsia="宋体" w:cs="宋体"/>
                <w:sz w:val="21"/>
                <w:szCs w:val="21"/>
              </w:rPr>
            </w:pPr>
          </w:p>
        </w:tc>
      </w:tr>
      <w:tr w14:paraId="4CB99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477E327C">
            <w:pPr>
              <w:widowControl w:val="0"/>
              <w:jc w:val="both"/>
              <w:rPr>
                <w:rFonts w:hint="eastAsia" w:ascii="宋体" w:hAnsi="宋体" w:eastAsia="宋体" w:cs="宋体"/>
                <w:sz w:val="21"/>
                <w:szCs w:val="21"/>
              </w:rPr>
            </w:pPr>
            <w:r>
              <w:rPr>
                <w:rFonts w:hint="eastAsia" w:ascii="宋体" w:hAnsi="宋体" w:eastAsia="宋体" w:cs="宋体"/>
                <w:sz w:val="21"/>
                <w:szCs w:val="21"/>
              </w:rPr>
              <w:t>2</w:t>
            </w:r>
          </w:p>
        </w:tc>
        <w:tc>
          <w:tcPr>
            <w:tcW w:w="1511" w:type="dxa"/>
            <w:noWrap w:val="0"/>
            <w:vAlign w:val="center"/>
          </w:tcPr>
          <w:p w14:paraId="6B9A39FE">
            <w:pPr>
              <w:widowControl w:val="0"/>
              <w:jc w:val="both"/>
              <w:rPr>
                <w:rFonts w:hint="eastAsia" w:ascii="宋体" w:hAnsi="宋体" w:eastAsia="宋体" w:cs="宋体"/>
                <w:sz w:val="21"/>
                <w:szCs w:val="21"/>
              </w:rPr>
            </w:pPr>
            <w:r>
              <w:rPr>
                <w:rFonts w:hint="eastAsia" w:ascii="宋体" w:hAnsi="宋体" w:eastAsia="宋体" w:cs="宋体"/>
                <w:sz w:val="21"/>
                <w:szCs w:val="21"/>
              </w:rPr>
              <w:t>线性阵列次低音无源音箱</w:t>
            </w:r>
          </w:p>
        </w:tc>
        <w:tc>
          <w:tcPr>
            <w:tcW w:w="5436" w:type="dxa"/>
            <w:noWrap w:val="0"/>
            <w:vAlign w:val="top"/>
          </w:tcPr>
          <w:p w14:paraId="19480CFE">
            <w:pPr>
              <w:widowControl w:val="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单元配置：≥LF2×12”（75mm）；标称阻抗</w:t>
            </w:r>
            <w:r>
              <w:rPr>
                <w:rFonts w:hint="eastAsia" w:ascii="宋体" w:hAnsi="宋体" w:eastAsia="宋体" w:cs="宋体"/>
                <w:sz w:val="21"/>
                <w:szCs w:val="21"/>
                <w:highlight w:val="none"/>
              </w:rPr>
              <w:t>：4Ω；</w:t>
            </w:r>
            <w:r>
              <w:rPr>
                <w:rFonts w:hint="eastAsia" w:ascii="宋体" w:hAnsi="宋体" w:eastAsia="宋体" w:cs="宋体"/>
                <w:sz w:val="21"/>
                <w:szCs w:val="21"/>
                <w:highlight w:val="none"/>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额定功率：≥500W；峰值功率：≥2000W；</w:t>
            </w:r>
          </w:p>
          <w:p w14:paraId="30D0BE65">
            <w:pPr>
              <w:widowControl w:val="0"/>
              <w:jc w:val="left"/>
              <w:rPr>
                <w:rFonts w:hint="eastAsia" w:ascii="宋体" w:hAnsi="宋体" w:eastAsia="宋体" w:cs="宋体"/>
                <w:szCs w:val="20"/>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灵敏度(1w/1m)：≥110dB；最大声压级：≥132dB；频率响应：≥50HZ-2000HZ；</w:t>
            </w:r>
          </w:p>
          <w:p w14:paraId="0D845FC5">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连接器：2×Speakon NL4</w:t>
            </w:r>
            <w:r>
              <w:rPr>
                <w:rFonts w:hint="eastAsia" w:ascii="宋体" w:hAnsi="宋体" w:eastAsia="宋体" w:cs="宋体"/>
                <w:sz w:val="21"/>
                <w:szCs w:val="21"/>
                <w:lang w:eastAsia="zh-CN"/>
              </w:rPr>
              <w:t>。</w:t>
            </w:r>
          </w:p>
        </w:tc>
        <w:tc>
          <w:tcPr>
            <w:tcW w:w="1314" w:type="dxa"/>
            <w:noWrap w:val="0"/>
            <w:vAlign w:val="top"/>
          </w:tcPr>
          <w:p w14:paraId="35F66CC2">
            <w:pPr>
              <w:widowControl w:val="0"/>
              <w:jc w:val="both"/>
              <w:rPr>
                <w:rFonts w:hint="eastAsia" w:ascii="宋体" w:hAnsi="宋体" w:eastAsia="宋体" w:cs="宋体"/>
                <w:sz w:val="21"/>
                <w:szCs w:val="21"/>
              </w:rPr>
            </w:pPr>
          </w:p>
        </w:tc>
      </w:tr>
      <w:tr w14:paraId="3CCC4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6" w:hRule="atLeast"/>
        </w:trPr>
        <w:tc>
          <w:tcPr>
            <w:tcW w:w="518" w:type="dxa"/>
            <w:noWrap w:val="0"/>
            <w:vAlign w:val="center"/>
          </w:tcPr>
          <w:p w14:paraId="6614950B">
            <w:pPr>
              <w:widowControl w:val="0"/>
              <w:jc w:val="both"/>
              <w:rPr>
                <w:rFonts w:hint="eastAsia" w:ascii="宋体" w:hAnsi="宋体" w:eastAsia="宋体" w:cs="宋体"/>
                <w:sz w:val="21"/>
                <w:szCs w:val="21"/>
              </w:rPr>
            </w:pPr>
            <w:r>
              <w:rPr>
                <w:rFonts w:hint="eastAsia" w:ascii="宋体" w:hAnsi="宋体" w:eastAsia="宋体" w:cs="宋体"/>
                <w:sz w:val="21"/>
                <w:szCs w:val="21"/>
              </w:rPr>
              <w:t>3</w:t>
            </w:r>
          </w:p>
        </w:tc>
        <w:tc>
          <w:tcPr>
            <w:tcW w:w="1511" w:type="dxa"/>
            <w:noWrap w:val="0"/>
            <w:vAlign w:val="center"/>
          </w:tcPr>
          <w:p w14:paraId="613D8CFC">
            <w:pPr>
              <w:widowControl w:val="0"/>
              <w:jc w:val="both"/>
              <w:rPr>
                <w:rFonts w:hint="eastAsia" w:ascii="宋体" w:hAnsi="宋体" w:eastAsia="宋体" w:cs="宋体"/>
                <w:sz w:val="21"/>
                <w:szCs w:val="21"/>
              </w:rPr>
            </w:pPr>
            <w:r>
              <w:rPr>
                <w:rFonts w:hint="eastAsia" w:ascii="宋体" w:hAnsi="宋体" w:eastAsia="宋体" w:cs="宋体"/>
                <w:sz w:val="21"/>
                <w:szCs w:val="21"/>
                <w:lang w:val="en-US" w:eastAsia="zh-CN"/>
              </w:rPr>
              <w:t>全频</w:t>
            </w:r>
            <w:r>
              <w:rPr>
                <w:rFonts w:hint="eastAsia" w:ascii="宋体" w:hAnsi="宋体" w:eastAsia="宋体" w:cs="宋体"/>
                <w:sz w:val="21"/>
                <w:szCs w:val="21"/>
              </w:rPr>
              <w:t>音箱</w:t>
            </w:r>
          </w:p>
        </w:tc>
        <w:tc>
          <w:tcPr>
            <w:tcW w:w="5436" w:type="dxa"/>
            <w:noWrap w:val="0"/>
            <w:vAlign w:val="top"/>
          </w:tcPr>
          <w:p w14:paraId="4E1732A4">
            <w:pPr>
              <w:widowControl w:val="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单元配置：1x12″低音单元 75芯音圈，8Ω，170磁；1x44mm高音单元 44芯音圈，1″口径，8Ω；</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频响范围：≥65Hz-20KHz</w:t>
            </w:r>
            <w:r>
              <w:rPr>
                <w:rFonts w:hint="eastAsia" w:ascii="宋体" w:hAnsi="宋体" w:eastAsia="宋体" w:cs="宋体"/>
                <w:sz w:val="21"/>
                <w:szCs w:val="21"/>
                <w:lang w:eastAsia="zh-CN"/>
              </w:rPr>
              <w:t>；</w:t>
            </w:r>
            <w:r>
              <w:rPr>
                <w:rFonts w:hint="eastAsia" w:ascii="宋体" w:hAnsi="宋体" w:eastAsia="宋体" w:cs="宋体"/>
                <w:sz w:val="21"/>
                <w:szCs w:val="21"/>
              </w:rPr>
              <w:t>灵敏度：≥98dB；</w:t>
            </w:r>
          </w:p>
          <w:p w14:paraId="1DF5A4EC">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额定功率：≥300W；</w:t>
            </w:r>
          </w:p>
          <w:p w14:paraId="0E26E5BD">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最大声压级：122dB；阻抗：8（Ω）；分频点：2.5KHz</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tc>
        <w:tc>
          <w:tcPr>
            <w:tcW w:w="1314" w:type="dxa"/>
            <w:noWrap w:val="0"/>
            <w:vAlign w:val="top"/>
          </w:tcPr>
          <w:p w14:paraId="0E598D5C">
            <w:pPr>
              <w:widowControl w:val="0"/>
              <w:jc w:val="both"/>
              <w:rPr>
                <w:rFonts w:hint="eastAsia" w:ascii="宋体" w:hAnsi="宋体" w:eastAsia="宋体" w:cs="宋体"/>
                <w:sz w:val="21"/>
                <w:szCs w:val="21"/>
              </w:rPr>
            </w:pPr>
          </w:p>
          <w:p w14:paraId="30E99419">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辅助音箱</w:t>
            </w:r>
            <w:r>
              <w:rPr>
                <w:rFonts w:hint="eastAsia" w:ascii="宋体" w:hAnsi="宋体" w:eastAsia="宋体" w:cs="宋体"/>
                <w:sz w:val="21"/>
                <w:szCs w:val="21"/>
                <w:lang w:val="en-US" w:eastAsia="zh-CN"/>
              </w:rPr>
              <w:t>4只，</w:t>
            </w:r>
            <w:r>
              <w:rPr>
                <w:rFonts w:hint="eastAsia" w:ascii="宋体" w:hAnsi="宋体" w:eastAsia="宋体" w:cs="宋体"/>
                <w:sz w:val="21"/>
                <w:szCs w:val="21"/>
              </w:rPr>
              <w:t>台唇音箱</w:t>
            </w:r>
            <w:r>
              <w:rPr>
                <w:rFonts w:hint="eastAsia" w:ascii="宋体" w:hAnsi="宋体" w:eastAsia="宋体" w:cs="宋体"/>
                <w:sz w:val="21"/>
                <w:szCs w:val="21"/>
                <w:lang w:val="en-US" w:eastAsia="zh-CN"/>
              </w:rPr>
              <w:t>2只</w:t>
            </w:r>
          </w:p>
        </w:tc>
      </w:tr>
      <w:tr w14:paraId="4363A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738B91EF">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11" w:type="dxa"/>
            <w:noWrap w:val="0"/>
            <w:vAlign w:val="center"/>
          </w:tcPr>
          <w:p w14:paraId="302A333B">
            <w:pPr>
              <w:widowControl w:val="0"/>
              <w:jc w:val="both"/>
              <w:rPr>
                <w:rFonts w:hint="eastAsia" w:ascii="宋体" w:hAnsi="宋体" w:eastAsia="宋体" w:cs="宋体"/>
                <w:sz w:val="21"/>
                <w:szCs w:val="21"/>
              </w:rPr>
            </w:pPr>
            <w:r>
              <w:rPr>
                <w:rFonts w:hint="eastAsia" w:ascii="宋体" w:hAnsi="宋体" w:eastAsia="宋体" w:cs="宋体"/>
                <w:sz w:val="21"/>
                <w:szCs w:val="21"/>
              </w:rPr>
              <w:t>舞台返听音箱</w:t>
            </w:r>
          </w:p>
        </w:tc>
        <w:tc>
          <w:tcPr>
            <w:tcW w:w="5436" w:type="dxa"/>
            <w:noWrap w:val="0"/>
            <w:vAlign w:val="top"/>
          </w:tcPr>
          <w:p w14:paraId="6CE465C1">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 xml:space="preserve">单元组成：低音1×12(65mm)；高音1×1.75（44mm）； </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额定功率：≥300W；峰值功率：≥1200W；</w:t>
            </w:r>
            <w:r>
              <w:rPr>
                <w:rFonts w:hint="eastAsia" w:ascii="宋体" w:hAnsi="宋体" w:eastAsia="宋体" w:cs="宋体"/>
                <w:sz w:val="21"/>
                <w:szCs w:val="21"/>
              </w:rPr>
              <w:br w:type="textWrapping"/>
            </w:r>
            <w:r>
              <w:rPr>
                <w:rFonts w:hint="eastAsia" w:ascii="宋体" w:hAnsi="宋体" w:eastAsia="宋体" w:cs="宋体"/>
                <w:sz w:val="21"/>
                <w:szCs w:val="21"/>
                <w:highlight w:val="none"/>
              </w:rPr>
              <w:t>标称阻抗：8Ω；</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最大声压级输出：124 dB；灵敏度（1W/1m)：97dB；</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频响范围：60Hz-20KHz；扩散角度：90°× 50°(H × V)</w:t>
            </w:r>
            <w:r>
              <w:rPr>
                <w:rFonts w:hint="eastAsia" w:ascii="宋体" w:hAnsi="宋体" w:eastAsia="宋体" w:cs="宋体"/>
                <w:sz w:val="21"/>
                <w:szCs w:val="21"/>
                <w:lang w:eastAsia="zh-CN"/>
              </w:rPr>
              <w:t>。</w:t>
            </w:r>
          </w:p>
        </w:tc>
        <w:tc>
          <w:tcPr>
            <w:tcW w:w="1314" w:type="dxa"/>
            <w:noWrap w:val="0"/>
            <w:vAlign w:val="top"/>
          </w:tcPr>
          <w:p w14:paraId="54FD3753">
            <w:pPr>
              <w:widowControl w:val="0"/>
              <w:jc w:val="both"/>
              <w:rPr>
                <w:rFonts w:hint="eastAsia" w:ascii="宋体" w:hAnsi="宋体" w:eastAsia="宋体" w:cs="宋体"/>
                <w:sz w:val="21"/>
                <w:szCs w:val="21"/>
              </w:rPr>
            </w:pPr>
          </w:p>
        </w:tc>
      </w:tr>
      <w:tr w14:paraId="72E21C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705490F9">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511" w:type="dxa"/>
            <w:noWrap w:val="0"/>
            <w:vAlign w:val="center"/>
          </w:tcPr>
          <w:p w14:paraId="5540C61F">
            <w:pPr>
              <w:widowControl w:val="0"/>
              <w:jc w:val="both"/>
              <w:rPr>
                <w:rFonts w:hint="eastAsia" w:ascii="宋体" w:hAnsi="宋体" w:eastAsia="宋体" w:cs="宋体"/>
                <w:sz w:val="21"/>
                <w:szCs w:val="21"/>
              </w:rPr>
            </w:pPr>
            <w:r>
              <w:rPr>
                <w:rFonts w:hint="eastAsia" w:ascii="宋体" w:hAnsi="宋体" w:eastAsia="宋体" w:cs="宋体"/>
                <w:sz w:val="21"/>
                <w:szCs w:val="21"/>
              </w:rPr>
              <w:t>低音炮</w:t>
            </w:r>
          </w:p>
        </w:tc>
        <w:tc>
          <w:tcPr>
            <w:tcW w:w="5436" w:type="dxa"/>
            <w:noWrap w:val="0"/>
            <w:vAlign w:val="top"/>
          </w:tcPr>
          <w:p w14:paraId="03F479B0">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单元配置：低音 1×18"(100mm)；</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频率响应：≥40Hz-120Hz(-10 dB)@35Hz；灵敏度：≥99dB；</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额定功率：≥650W；最大峰值功率：≥2600W；标</w:t>
            </w:r>
            <w:r>
              <w:rPr>
                <w:rFonts w:hint="eastAsia" w:ascii="宋体" w:hAnsi="宋体" w:eastAsia="宋体" w:cs="宋体"/>
                <w:sz w:val="21"/>
                <w:szCs w:val="21"/>
                <w:highlight w:val="none"/>
              </w:rPr>
              <w:t>称阻抗：8Ω</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rPr>
              <w:t>输出声压级：≥129dB(峰值:134dB)；</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rPr>
              <w:t>输入连接器：2×Speakon NL4MP</w:t>
            </w:r>
            <w:r>
              <w:rPr>
                <w:rFonts w:hint="eastAsia" w:ascii="宋体" w:hAnsi="宋体" w:eastAsia="宋体" w:cs="宋体"/>
                <w:sz w:val="21"/>
                <w:szCs w:val="21"/>
                <w:lang w:eastAsia="zh-CN"/>
              </w:rPr>
              <w:t>。</w:t>
            </w:r>
          </w:p>
        </w:tc>
        <w:tc>
          <w:tcPr>
            <w:tcW w:w="1314" w:type="dxa"/>
            <w:noWrap w:val="0"/>
            <w:vAlign w:val="top"/>
          </w:tcPr>
          <w:p w14:paraId="2BABF9B7">
            <w:pPr>
              <w:widowControl w:val="0"/>
              <w:jc w:val="both"/>
              <w:rPr>
                <w:rFonts w:hint="eastAsia" w:ascii="宋体" w:hAnsi="宋体" w:eastAsia="宋体" w:cs="宋体"/>
                <w:sz w:val="21"/>
                <w:szCs w:val="21"/>
              </w:rPr>
            </w:pPr>
          </w:p>
        </w:tc>
      </w:tr>
      <w:tr w14:paraId="54878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518" w:type="dxa"/>
            <w:noWrap w:val="0"/>
            <w:vAlign w:val="center"/>
          </w:tcPr>
          <w:p w14:paraId="0EE51D33">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511" w:type="dxa"/>
            <w:noWrap w:val="0"/>
            <w:vAlign w:val="center"/>
          </w:tcPr>
          <w:p w14:paraId="7BA3E42E">
            <w:pPr>
              <w:widowControl w:val="0"/>
              <w:jc w:val="both"/>
              <w:rPr>
                <w:rFonts w:hint="eastAsia" w:ascii="宋体" w:hAnsi="宋体" w:eastAsia="宋体" w:cs="宋体"/>
                <w:sz w:val="21"/>
                <w:szCs w:val="21"/>
              </w:rPr>
            </w:pPr>
            <w:r>
              <w:rPr>
                <w:rFonts w:hint="eastAsia" w:ascii="宋体" w:hAnsi="宋体" w:eastAsia="宋体" w:cs="宋体"/>
                <w:sz w:val="21"/>
                <w:szCs w:val="21"/>
              </w:rPr>
              <w:t>双8"线性阵列无源音箱功放</w:t>
            </w:r>
          </w:p>
        </w:tc>
        <w:tc>
          <w:tcPr>
            <w:tcW w:w="5436" w:type="dxa"/>
            <w:noWrap w:val="0"/>
            <w:vAlign w:val="top"/>
          </w:tcPr>
          <w:p w14:paraId="3F05AD22">
            <w:pPr>
              <w:widowControl w:val="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 xml:space="preserve">立体声功率：8Ω≥800W*4, 4Ω≥1200*4 ；                 </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频率响应：20Hz-20KHz（±1dB）；                </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谱波失真：&lt;0.02% ；阻尼系数：≥500；                               </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rPr>
              <w:t xml:space="preserve">输入阻抗：10KΩ(不平衡），20KΩ(平衡）；                                 </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rPr>
              <w:t>信噪比：≥100dB（20Hz-20KHz)</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tc>
        <w:tc>
          <w:tcPr>
            <w:tcW w:w="1314" w:type="dxa"/>
            <w:noWrap w:val="0"/>
            <w:vAlign w:val="top"/>
          </w:tcPr>
          <w:p w14:paraId="472A3F88">
            <w:pPr>
              <w:widowControl w:val="0"/>
              <w:jc w:val="both"/>
              <w:rPr>
                <w:rFonts w:hint="eastAsia" w:ascii="宋体" w:hAnsi="宋体" w:eastAsia="宋体" w:cs="宋体"/>
                <w:sz w:val="21"/>
                <w:szCs w:val="21"/>
              </w:rPr>
            </w:pPr>
          </w:p>
        </w:tc>
      </w:tr>
      <w:tr w14:paraId="65A03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006213F5">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511" w:type="dxa"/>
            <w:noWrap w:val="0"/>
            <w:vAlign w:val="center"/>
          </w:tcPr>
          <w:p w14:paraId="72C304A8">
            <w:pPr>
              <w:widowControl w:val="0"/>
              <w:jc w:val="both"/>
              <w:rPr>
                <w:rFonts w:hint="eastAsia" w:ascii="宋体" w:hAnsi="宋体" w:eastAsia="宋体" w:cs="宋体"/>
                <w:sz w:val="21"/>
                <w:szCs w:val="21"/>
              </w:rPr>
            </w:pPr>
            <w:r>
              <w:rPr>
                <w:rFonts w:hint="eastAsia" w:ascii="宋体" w:hAnsi="宋体" w:eastAsia="宋体" w:cs="宋体"/>
                <w:sz w:val="21"/>
                <w:szCs w:val="21"/>
              </w:rPr>
              <w:t>线性阵列次低音无源音箱功放</w:t>
            </w:r>
          </w:p>
        </w:tc>
        <w:tc>
          <w:tcPr>
            <w:tcW w:w="5436" w:type="dxa"/>
            <w:noWrap w:val="0"/>
            <w:vAlign w:val="top"/>
          </w:tcPr>
          <w:p w14:paraId="1150A4BC">
            <w:pPr>
              <w:widowControl w:val="0"/>
              <w:jc w:val="left"/>
              <w:rPr>
                <w:rFonts w:hint="eastAsia" w:ascii="宋体" w:hAnsi="宋体" w:eastAsia="宋体" w:cs="宋体"/>
                <w:sz w:val="21"/>
                <w:szCs w:val="21"/>
              </w:rPr>
            </w:pPr>
            <w:r>
              <w:rPr>
                <w:rFonts w:hint="eastAsia" w:ascii="宋体" w:hAnsi="宋体" w:eastAsia="宋体" w:cs="宋体"/>
                <w:sz w:val="21"/>
                <w:szCs w:val="21"/>
              </w:rPr>
              <w:t>1、立体声功率（THD=2%）：8Ω≥800W*2； 4Ω≥1200W*2，2Ω≥1400W*2；</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rPr>
              <w:t>、桥接功率:8Ω≥1800W），4Ω≥2200W；</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 xml:space="preserve">、频率响应：20Hz-20KHz（-0.25dB)； </w:t>
            </w:r>
          </w:p>
          <w:p w14:paraId="561CAB33">
            <w:pPr>
              <w:widowControl w:val="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、输入灵敏度：0.775V/1.2V；输入阻抗：20KΩ；</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、总谐波失真（1KHZ，正常工作条件）：0.07%； </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6</w:t>
            </w:r>
            <w:r>
              <w:rPr>
                <w:rFonts w:hint="eastAsia" w:ascii="宋体" w:hAnsi="宋体" w:eastAsia="宋体" w:cs="宋体"/>
                <w:sz w:val="21"/>
                <w:szCs w:val="21"/>
              </w:rPr>
              <w:t>、阻尼系数：〉500；转换速率：55V/μS；</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7</w:t>
            </w:r>
            <w:r>
              <w:rPr>
                <w:rFonts w:hint="eastAsia" w:ascii="宋体" w:hAnsi="宋体" w:eastAsia="宋体" w:cs="宋体"/>
                <w:sz w:val="21"/>
                <w:szCs w:val="21"/>
              </w:rPr>
              <w:t>、保护：短路、过载、过流、低阻、直流失调、过热、开机防浪涌冲击；</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、采</w:t>
            </w:r>
            <w:r>
              <w:rPr>
                <w:rFonts w:hint="eastAsia" w:ascii="宋体" w:hAnsi="宋体" w:eastAsia="宋体" w:cs="宋体"/>
                <w:sz w:val="21"/>
                <w:szCs w:val="21"/>
                <w:highlight w:val="none"/>
              </w:rPr>
              <w:t>用防雷设计</w:t>
            </w:r>
            <w:r>
              <w:rPr>
                <w:rFonts w:hint="eastAsia" w:ascii="宋体" w:hAnsi="宋体" w:eastAsia="宋体" w:cs="宋体"/>
                <w:szCs w:val="20"/>
                <w:highlight w:val="none"/>
                <w:lang w:eastAsia="zh-CN"/>
              </w:rPr>
              <w:t>。</w:t>
            </w:r>
          </w:p>
        </w:tc>
        <w:tc>
          <w:tcPr>
            <w:tcW w:w="1314" w:type="dxa"/>
            <w:noWrap w:val="0"/>
            <w:vAlign w:val="top"/>
          </w:tcPr>
          <w:p w14:paraId="66314F11">
            <w:pPr>
              <w:widowControl w:val="0"/>
              <w:jc w:val="both"/>
              <w:rPr>
                <w:rFonts w:hint="eastAsia" w:ascii="宋体" w:hAnsi="宋体" w:eastAsia="宋体" w:cs="宋体"/>
                <w:sz w:val="21"/>
                <w:szCs w:val="21"/>
              </w:rPr>
            </w:pPr>
          </w:p>
        </w:tc>
      </w:tr>
      <w:tr w14:paraId="04CC7C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6" w:hRule="atLeast"/>
        </w:trPr>
        <w:tc>
          <w:tcPr>
            <w:tcW w:w="518" w:type="dxa"/>
            <w:noWrap w:val="0"/>
            <w:vAlign w:val="center"/>
          </w:tcPr>
          <w:p w14:paraId="22CA70FF">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511" w:type="dxa"/>
            <w:noWrap w:val="0"/>
            <w:vAlign w:val="center"/>
          </w:tcPr>
          <w:p w14:paraId="4DE866B3">
            <w:pPr>
              <w:widowControl w:val="0"/>
              <w:jc w:val="both"/>
              <w:rPr>
                <w:rFonts w:hint="eastAsia" w:ascii="宋体" w:hAnsi="宋体" w:eastAsia="宋体" w:cs="宋体"/>
                <w:sz w:val="21"/>
                <w:szCs w:val="21"/>
              </w:rPr>
            </w:pPr>
            <w:r>
              <w:rPr>
                <w:rFonts w:hint="eastAsia" w:ascii="宋体" w:hAnsi="宋体" w:eastAsia="宋体" w:cs="宋体"/>
                <w:sz w:val="21"/>
                <w:szCs w:val="21"/>
                <w:lang w:val="en-US" w:eastAsia="zh-CN"/>
              </w:rPr>
              <w:t>纯后级功率放大器</w:t>
            </w:r>
          </w:p>
        </w:tc>
        <w:tc>
          <w:tcPr>
            <w:tcW w:w="5436" w:type="dxa"/>
            <w:noWrap w:val="0"/>
            <w:vAlign w:val="top"/>
          </w:tcPr>
          <w:p w14:paraId="6278DF22">
            <w:pPr>
              <w:widowControl w:val="0"/>
              <w:jc w:val="left"/>
              <w:rPr>
                <w:rFonts w:hint="eastAsia" w:ascii="宋体" w:hAnsi="宋体" w:eastAsia="宋体" w:cs="宋体"/>
                <w:sz w:val="21"/>
                <w:szCs w:val="21"/>
              </w:rPr>
            </w:pPr>
            <w:r>
              <w:rPr>
                <w:rFonts w:hint="eastAsia" w:ascii="宋体" w:hAnsi="宋体" w:eastAsia="宋体" w:cs="宋体"/>
                <w:sz w:val="21"/>
                <w:szCs w:val="21"/>
              </w:rPr>
              <w:t>1、立体声功率（THD=1%）：8Ω≥450W*</w:t>
            </w:r>
            <w:r>
              <w:rPr>
                <w:rFonts w:hint="eastAsia" w:ascii="宋体" w:hAnsi="宋体" w:eastAsia="宋体" w:cs="宋体"/>
                <w:sz w:val="21"/>
                <w:szCs w:val="21"/>
                <w:lang w:val="en-US" w:eastAsia="zh-CN"/>
              </w:rPr>
              <w:t>2</w:t>
            </w:r>
            <w:r>
              <w:rPr>
                <w:rFonts w:hint="eastAsia" w:ascii="宋体" w:hAnsi="宋体" w:eastAsia="宋体" w:cs="宋体"/>
                <w:sz w:val="21"/>
                <w:szCs w:val="21"/>
              </w:rPr>
              <w:t>, 4Ω≥700W*2；</w:t>
            </w:r>
          </w:p>
          <w:p w14:paraId="319558D0">
            <w:pPr>
              <w:widowControl w:val="0"/>
              <w:jc w:val="left"/>
              <w:rPr>
                <w:rFonts w:hint="eastAsia" w:ascii="宋体" w:hAnsi="宋体" w:eastAsia="宋体" w:cs="宋体"/>
                <w:sz w:val="21"/>
                <w:szCs w:val="21"/>
              </w:rPr>
            </w:pPr>
            <w:r>
              <w:rPr>
                <w:rFonts w:hint="eastAsia" w:ascii="宋体" w:hAnsi="宋体" w:eastAsia="宋体" w:cs="宋体"/>
                <w:sz w:val="21"/>
                <w:szCs w:val="21"/>
              </w:rPr>
              <w:t>2、桥接功率:8Ω≥1200W；</w:t>
            </w:r>
            <w:r>
              <w:rPr>
                <w:rFonts w:hint="eastAsia" w:ascii="宋体" w:hAnsi="宋体" w:eastAsia="宋体" w:cs="宋体"/>
                <w:sz w:val="21"/>
                <w:szCs w:val="21"/>
              </w:rPr>
              <w:br w:type="textWrapping"/>
            </w:r>
            <w:r>
              <w:rPr>
                <w:rFonts w:hint="eastAsia" w:ascii="宋体" w:hAnsi="宋体" w:eastAsia="宋体" w:cs="宋体"/>
                <w:sz w:val="21"/>
                <w:szCs w:val="21"/>
              </w:rPr>
              <w:t>3、频率响应：20Hz-20KHz（-0.25dB)；</w:t>
            </w:r>
          </w:p>
          <w:p w14:paraId="6B4855B9">
            <w:pPr>
              <w:widowControl w:val="0"/>
              <w:jc w:val="left"/>
              <w:rPr>
                <w:rFonts w:hint="eastAsia" w:ascii="宋体" w:hAnsi="宋体" w:eastAsia="宋体" w:cs="宋体"/>
                <w:sz w:val="21"/>
                <w:szCs w:val="21"/>
              </w:rPr>
            </w:pPr>
            <w:r>
              <w:rPr>
                <w:rFonts w:hint="eastAsia" w:ascii="宋体" w:hAnsi="宋体" w:eastAsia="宋体" w:cs="宋体"/>
                <w:sz w:val="21"/>
                <w:szCs w:val="21"/>
              </w:rPr>
              <w:t>4、输入灵敏度：0.775V/1.2V；输入阻抗：20K</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rPr>
              <w:t>5、总谐波失真：（1KHZ，正常工作条件）：0.09%；</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6</w:t>
            </w:r>
            <w:r>
              <w:rPr>
                <w:rFonts w:hint="eastAsia" w:ascii="宋体" w:hAnsi="宋体" w:eastAsia="宋体" w:cs="宋体"/>
                <w:sz w:val="21"/>
                <w:szCs w:val="21"/>
              </w:rPr>
              <w:t>、阻尼系数：〉350；转换速率：45V/μS；</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7</w:t>
            </w:r>
            <w:r>
              <w:rPr>
                <w:rFonts w:hint="eastAsia" w:ascii="宋体" w:hAnsi="宋体" w:eastAsia="宋体" w:cs="宋体"/>
                <w:sz w:val="21"/>
                <w:szCs w:val="21"/>
              </w:rPr>
              <w:t>、保护：短路、过载、过流、低阻、直流失调、过热、开机防浪涌冲击</w:t>
            </w:r>
            <w:r>
              <w:rPr>
                <w:rFonts w:hint="eastAsia" w:ascii="宋体" w:hAnsi="宋体" w:eastAsia="宋体" w:cs="宋体"/>
                <w:sz w:val="21"/>
                <w:szCs w:val="21"/>
                <w:lang w:eastAsia="zh-CN"/>
              </w:rPr>
              <w:t>。</w:t>
            </w:r>
          </w:p>
        </w:tc>
        <w:tc>
          <w:tcPr>
            <w:tcW w:w="1314" w:type="dxa"/>
            <w:noWrap w:val="0"/>
            <w:vAlign w:val="top"/>
          </w:tcPr>
          <w:p w14:paraId="435B0FD0">
            <w:pPr>
              <w:widowControl w:val="0"/>
              <w:jc w:val="left"/>
              <w:rPr>
                <w:rFonts w:hint="eastAsia" w:ascii="宋体" w:hAnsi="宋体" w:eastAsia="宋体" w:cs="宋体"/>
                <w:sz w:val="21"/>
                <w:szCs w:val="21"/>
                <w:lang w:val="en-US" w:eastAsia="zh-CN"/>
              </w:rPr>
            </w:pPr>
            <w:r>
              <w:rPr>
                <w:rFonts w:hint="eastAsia" w:ascii="宋体" w:hAnsi="宋体" w:eastAsia="宋体" w:cs="宋体"/>
                <w:sz w:val="21"/>
                <w:szCs w:val="21"/>
              </w:rPr>
              <w:t>辅助音箱功放</w:t>
            </w:r>
            <w:r>
              <w:rPr>
                <w:rFonts w:hint="eastAsia" w:ascii="宋体" w:hAnsi="宋体" w:eastAsia="宋体" w:cs="宋体"/>
                <w:sz w:val="21"/>
                <w:szCs w:val="21"/>
                <w:lang w:val="en-US" w:eastAsia="zh-CN"/>
              </w:rPr>
              <w:t>2台，</w:t>
            </w:r>
            <w:r>
              <w:rPr>
                <w:rFonts w:hint="eastAsia" w:ascii="宋体" w:hAnsi="宋体" w:eastAsia="宋体" w:cs="宋体"/>
                <w:sz w:val="21"/>
                <w:szCs w:val="21"/>
              </w:rPr>
              <w:t>台唇音箱功放</w:t>
            </w:r>
            <w:r>
              <w:rPr>
                <w:rFonts w:hint="eastAsia" w:ascii="宋体" w:hAnsi="宋体" w:eastAsia="宋体" w:cs="宋体"/>
                <w:sz w:val="21"/>
                <w:szCs w:val="21"/>
                <w:lang w:val="en-US" w:eastAsia="zh-CN"/>
              </w:rPr>
              <w:t>1台；</w:t>
            </w:r>
            <w:r>
              <w:rPr>
                <w:rFonts w:hint="eastAsia" w:ascii="宋体" w:hAnsi="宋体" w:eastAsia="宋体" w:cs="宋体"/>
                <w:sz w:val="21"/>
                <w:szCs w:val="21"/>
              </w:rPr>
              <w:t>舞台返听音箱功放</w:t>
            </w:r>
            <w:r>
              <w:rPr>
                <w:rFonts w:hint="eastAsia" w:ascii="宋体" w:hAnsi="宋体" w:eastAsia="宋体" w:cs="宋体"/>
                <w:sz w:val="21"/>
                <w:szCs w:val="21"/>
                <w:lang w:val="en-US" w:eastAsia="zh-CN"/>
              </w:rPr>
              <w:t>1台</w:t>
            </w:r>
          </w:p>
        </w:tc>
      </w:tr>
      <w:tr w14:paraId="754FE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3A90FFFA">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511" w:type="dxa"/>
            <w:noWrap w:val="0"/>
            <w:vAlign w:val="center"/>
          </w:tcPr>
          <w:p w14:paraId="0F22B319">
            <w:pPr>
              <w:widowControl w:val="0"/>
              <w:jc w:val="both"/>
              <w:rPr>
                <w:rFonts w:hint="eastAsia" w:ascii="宋体" w:hAnsi="宋体" w:eastAsia="宋体" w:cs="宋体"/>
                <w:sz w:val="21"/>
                <w:szCs w:val="21"/>
              </w:rPr>
            </w:pPr>
            <w:r>
              <w:rPr>
                <w:rFonts w:hint="eastAsia" w:ascii="宋体" w:hAnsi="宋体" w:eastAsia="宋体" w:cs="宋体"/>
                <w:sz w:val="21"/>
                <w:szCs w:val="21"/>
              </w:rPr>
              <w:t>低音炮功放</w:t>
            </w:r>
          </w:p>
        </w:tc>
        <w:tc>
          <w:tcPr>
            <w:tcW w:w="5436" w:type="dxa"/>
            <w:noWrap w:val="0"/>
            <w:vAlign w:val="top"/>
          </w:tcPr>
          <w:p w14:paraId="294A91F2">
            <w:pPr>
              <w:widowControl w:val="0"/>
              <w:jc w:val="left"/>
              <w:rPr>
                <w:rFonts w:hint="eastAsia" w:ascii="宋体" w:hAnsi="宋体" w:eastAsia="宋体" w:cs="宋体"/>
                <w:sz w:val="21"/>
                <w:szCs w:val="21"/>
              </w:rPr>
            </w:pPr>
            <w:r>
              <w:rPr>
                <w:rFonts w:hint="eastAsia" w:ascii="宋体" w:hAnsi="宋体" w:eastAsia="宋体" w:cs="宋体"/>
                <w:sz w:val="21"/>
                <w:szCs w:val="21"/>
              </w:rPr>
              <w:t>1、立体声功率：8Ω≥1200W*2, 4Ω≥1800W*2, 2Ω≥2000W*2；</w:t>
            </w:r>
            <w:r>
              <w:rPr>
                <w:rFonts w:hint="eastAsia" w:ascii="宋体" w:hAnsi="宋体" w:eastAsia="宋体" w:cs="宋体"/>
                <w:sz w:val="21"/>
                <w:szCs w:val="21"/>
              </w:rPr>
              <w:br w:type="textWrapping"/>
            </w:r>
            <w:r>
              <w:rPr>
                <w:rFonts w:hint="eastAsia" w:ascii="宋体" w:hAnsi="宋体" w:eastAsia="宋体" w:cs="宋体"/>
                <w:sz w:val="21"/>
                <w:szCs w:val="21"/>
              </w:rPr>
              <w:t>2、桥接功率:8Ω≥2400W，4Ω≥2800W；</w:t>
            </w:r>
            <w:r>
              <w:rPr>
                <w:rFonts w:hint="eastAsia" w:ascii="宋体" w:hAnsi="宋体" w:eastAsia="宋体" w:cs="宋体"/>
                <w:sz w:val="21"/>
                <w:szCs w:val="21"/>
              </w:rPr>
              <w:br w:type="textWrapping"/>
            </w:r>
            <w:r>
              <w:rPr>
                <w:rFonts w:hint="eastAsia" w:ascii="宋体" w:hAnsi="宋体" w:eastAsia="宋体" w:cs="宋体"/>
                <w:sz w:val="21"/>
                <w:szCs w:val="21"/>
              </w:rPr>
              <w:t>3、频率响应：20Hz-20KHz（-0.25dB)；</w:t>
            </w:r>
            <w:r>
              <w:rPr>
                <w:rFonts w:hint="eastAsia" w:ascii="宋体" w:hAnsi="宋体" w:eastAsia="宋体" w:cs="宋体"/>
                <w:sz w:val="21"/>
                <w:szCs w:val="21"/>
              </w:rPr>
              <w:br w:type="textWrapping"/>
            </w:r>
            <w:r>
              <w:rPr>
                <w:rFonts w:hint="eastAsia" w:ascii="宋体" w:hAnsi="宋体" w:eastAsia="宋体" w:cs="宋体"/>
                <w:sz w:val="21"/>
                <w:szCs w:val="21"/>
              </w:rPr>
              <w:t>4、输入灵敏度：0.775V/1.2V；输入阻抗：20KΩ；</w:t>
            </w:r>
            <w:r>
              <w:rPr>
                <w:rFonts w:hint="eastAsia" w:ascii="宋体" w:hAnsi="宋体" w:eastAsia="宋体" w:cs="宋体"/>
                <w:sz w:val="21"/>
                <w:szCs w:val="21"/>
              </w:rPr>
              <w:br w:type="textWrapping"/>
            </w:r>
            <w:r>
              <w:rPr>
                <w:rFonts w:hint="eastAsia" w:ascii="宋体" w:hAnsi="宋体" w:eastAsia="宋体" w:cs="宋体"/>
                <w:sz w:val="21"/>
                <w:szCs w:val="21"/>
              </w:rPr>
              <w:t>5、总谐波失真THD（1KHZ，正常工作条件）：0.02%；</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6</w:t>
            </w:r>
            <w:r>
              <w:rPr>
                <w:rFonts w:hint="eastAsia" w:ascii="宋体" w:hAnsi="宋体" w:eastAsia="宋体" w:cs="宋体"/>
                <w:sz w:val="21"/>
                <w:szCs w:val="21"/>
              </w:rPr>
              <w:t>、阻尼系数：〉700；转换速率：65V/μS；</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7</w:t>
            </w:r>
            <w:r>
              <w:rPr>
                <w:rFonts w:hint="eastAsia" w:ascii="宋体" w:hAnsi="宋体" w:eastAsia="宋体" w:cs="宋体"/>
                <w:sz w:val="21"/>
                <w:szCs w:val="21"/>
              </w:rPr>
              <w:t>、保护：短路、过载、过流、低阻、直流失调、过热、开机防浪涌冲击；</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、冷却：根据机器内部温升自动调节风扇转速（无极调速）</w:t>
            </w:r>
          </w:p>
        </w:tc>
        <w:tc>
          <w:tcPr>
            <w:tcW w:w="1314" w:type="dxa"/>
            <w:noWrap w:val="0"/>
            <w:vAlign w:val="top"/>
          </w:tcPr>
          <w:p w14:paraId="0227CCE3">
            <w:pPr>
              <w:widowControl w:val="0"/>
              <w:jc w:val="both"/>
              <w:rPr>
                <w:rFonts w:hint="eastAsia" w:ascii="宋体" w:hAnsi="宋体" w:eastAsia="宋体" w:cs="宋体"/>
                <w:sz w:val="21"/>
                <w:szCs w:val="21"/>
              </w:rPr>
            </w:pPr>
          </w:p>
        </w:tc>
      </w:tr>
      <w:tr w14:paraId="37221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18" w:type="dxa"/>
            <w:noWrap w:val="0"/>
            <w:vAlign w:val="center"/>
          </w:tcPr>
          <w:p w14:paraId="09B4E870">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0</w:t>
            </w:r>
          </w:p>
        </w:tc>
        <w:tc>
          <w:tcPr>
            <w:tcW w:w="1511" w:type="dxa"/>
            <w:noWrap w:val="0"/>
            <w:vAlign w:val="center"/>
          </w:tcPr>
          <w:p w14:paraId="2F1AD294">
            <w:pPr>
              <w:widowControl w:val="0"/>
              <w:jc w:val="both"/>
              <w:rPr>
                <w:rFonts w:hint="eastAsia" w:ascii="宋体" w:hAnsi="宋体" w:eastAsia="宋体" w:cs="宋体"/>
                <w:sz w:val="21"/>
                <w:szCs w:val="21"/>
              </w:rPr>
            </w:pPr>
            <w:r>
              <w:rPr>
                <w:rFonts w:hint="eastAsia" w:ascii="宋体" w:hAnsi="宋体" w:eastAsia="宋体" w:cs="宋体"/>
                <w:sz w:val="21"/>
                <w:szCs w:val="21"/>
              </w:rPr>
              <w:t>调音台</w:t>
            </w:r>
          </w:p>
        </w:tc>
        <w:tc>
          <w:tcPr>
            <w:tcW w:w="5436" w:type="dxa"/>
            <w:noWrap w:val="0"/>
            <w:vAlign w:val="top"/>
          </w:tcPr>
          <w:p w14:paraId="4ADF8850">
            <w:pPr>
              <w:widowControl w:val="0"/>
              <w:jc w:val="left"/>
              <w:rPr>
                <w:rFonts w:hint="eastAsia" w:ascii="宋体" w:hAnsi="宋体" w:eastAsia="宋体" w:cs="宋体"/>
                <w:sz w:val="21"/>
                <w:szCs w:val="21"/>
              </w:rPr>
            </w:pPr>
            <w:r>
              <w:rPr>
                <w:rFonts w:hint="eastAsia" w:ascii="宋体" w:hAnsi="宋体" w:eastAsia="宋体" w:cs="宋体"/>
                <w:sz w:val="21"/>
                <w:szCs w:val="21"/>
              </w:rPr>
              <w:t>1、二十四路通道输入(20路话筒+4路立体声) +2路辅助返回输入，12路输出 (2路主输出+4编组输出+3路辅助输出+1路立体声监听输出；</w:t>
            </w:r>
          </w:p>
          <w:p w14:paraId="3293295C">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2、大动态，低噪声，高保真MIC电路，音质优越，单通道每路输入带独立48V电源开关</w:t>
            </w:r>
            <w:r>
              <w:rPr>
                <w:rFonts w:hint="eastAsia" w:ascii="宋体" w:hAnsi="宋体" w:eastAsia="宋体" w:cs="宋体"/>
                <w:sz w:val="21"/>
                <w:szCs w:val="21"/>
                <w:lang w:eastAsia="zh-CN"/>
              </w:rPr>
              <w:t>；</w:t>
            </w:r>
          </w:p>
          <w:p w14:paraId="47ACB52F">
            <w:pPr>
              <w:widowControl w:val="0"/>
              <w:jc w:val="left"/>
              <w:rPr>
                <w:rFonts w:hint="eastAsia" w:ascii="宋体" w:hAnsi="宋体" w:eastAsia="宋体" w:cs="宋体"/>
                <w:sz w:val="21"/>
                <w:szCs w:val="21"/>
              </w:rPr>
            </w:pPr>
            <w:r>
              <w:rPr>
                <w:rFonts w:hint="eastAsia" w:ascii="宋体" w:hAnsi="宋体" w:eastAsia="宋体" w:cs="宋体"/>
                <w:sz w:val="21"/>
                <w:szCs w:val="21"/>
              </w:rPr>
              <w:t>3、单通道输入每路具备100Hz低切功能，单通道每路输入带PAD衰减按键 (可以衰减信号20dB)；</w:t>
            </w:r>
          </w:p>
          <w:p w14:paraId="374D2132">
            <w:pPr>
              <w:widowControl w:val="0"/>
              <w:jc w:val="left"/>
              <w:rPr>
                <w:rFonts w:hint="eastAsia" w:ascii="宋体" w:hAnsi="宋体" w:eastAsia="宋体" w:cs="宋体"/>
                <w:sz w:val="21"/>
                <w:szCs w:val="21"/>
              </w:rPr>
            </w:pPr>
            <w:r>
              <w:rPr>
                <w:rFonts w:hint="eastAsia" w:ascii="宋体" w:hAnsi="宋体" w:eastAsia="宋体" w:cs="宋体"/>
                <w:sz w:val="21"/>
                <w:szCs w:val="21"/>
              </w:rPr>
              <w:t>4、单通道每路输入带卡侬和6、35两种输入口单通道每路带断点功能(即INSERT插入功能)，方便单路外接设备；</w:t>
            </w:r>
          </w:p>
          <w:p w14:paraId="0CA5F126">
            <w:pPr>
              <w:widowControl w:val="0"/>
              <w:jc w:val="left"/>
              <w:rPr>
                <w:rFonts w:hint="eastAsia" w:ascii="宋体" w:hAnsi="宋体" w:eastAsia="宋体" w:cs="宋体"/>
                <w:sz w:val="21"/>
                <w:szCs w:val="21"/>
              </w:rPr>
            </w:pPr>
            <w:r>
              <w:rPr>
                <w:rFonts w:hint="eastAsia" w:ascii="宋体" w:hAnsi="宋体" w:eastAsia="宋体" w:cs="宋体"/>
                <w:sz w:val="21"/>
                <w:szCs w:val="21"/>
              </w:rPr>
              <w:t>5、单通道输入高中低3段均衡 ，中频可扫频立体声高中低三段均衡；</w:t>
            </w:r>
          </w:p>
          <w:p w14:paraId="489B8782">
            <w:pPr>
              <w:widowControl w:val="0"/>
              <w:jc w:val="left"/>
              <w:rPr>
                <w:rFonts w:hint="eastAsia" w:ascii="宋体" w:hAnsi="宋体" w:eastAsia="宋体" w:cs="宋体"/>
                <w:szCs w:val="20"/>
              </w:rPr>
            </w:pPr>
            <w:r>
              <w:rPr>
                <w:rFonts w:hint="eastAsia" w:ascii="宋体" w:hAnsi="宋体" w:eastAsia="宋体" w:cs="宋体"/>
                <w:sz w:val="21"/>
                <w:szCs w:val="21"/>
              </w:rPr>
              <w:t>6、三路辅助输出，AUX1和AUX2为推子前信号，AUX3为推子后信号；AUX3和效果发送旋钮共用；</w:t>
            </w:r>
          </w:p>
          <w:p w14:paraId="0833F55C">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、输入每路带主输出MAIN开关，编组G1G2开关，编组G3G4开关，选择更方便，可以组合多种模式；</w:t>
            </w:r>
          </w:p>
          <w:p w14:paraId="425C18EE">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8</w:t>
            </w:r>
            <w:r>
              <w:rPr>
                <w:rFonts w:hint="eastAsia" w:ascii="宋体" w:hAnsi="宋体" w:eastAsia="宋体" w:cs="宋体"/>
                <w:sz w:val="21"/>
                <w:szCs w:val="21"/>
              </w:rPr>
              <w:t>、每路带峰值指示灯</w:t>
            </w:r>
            <w:r>
              <w:rPr>
                <w:rFonts w:hint="eastAsia" w:ascii="宋体" w:hAnsi="宋体" w:eastAsia="宋体" w:cs="宋体"/>
                <w:sz w:val="21"/>
                <w:szCs w:val="21"/>
                <w:lang w:eastAsia="zh-CN"/>
              </w:rPr>
              <w:t>；</w:t>
            </w:r>
            <w:r>
              <w:rPr>
                <w:rFonts w:hint="eastAsia" w:ascii="宋体" w:hAnsi="宋体" w:eastAsia="宋体" w:cs="宋体"/>
                <w:sz w:val="21"/>
                <w:szCs w:val="21"/>
              </w:rPr>
              <w:t>输入通道每路带PFL监听按键，PFL内置LED指示灯；</w:t>
            </w:r>
          </w:p>
          <w:p w14:paraId="728AC9DE">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9</w:t>
            </w:r>
            <w:r>
              <w:rPr>
                <w:rFonts w:hint="eastAsia" w:ascii="宋体" w:hAnsi="宋体" w:eastAsia="宋体" w:cs="宋体"/>
                <w:sz w:val="21"/>
                <w:szCs w:val="21"/>
              </w:rPr>
              <w:t>、立体声输入和USB播放模块共用，有切换开关，操作灵活；USB播放模块支持WAV等多种音频格式播放模块具备蓝牙功能和USB录音功能；</w:t>
            </w:r>
          </w:p>
          <w:p w14:paraId="5B453019">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10</w:t>
            </w:r>
            <w:r>
              <w:rPr>
                <w:rFonts w:hint="eastAsia" w:ascii="宋体" w:hAnsi="宋体" w:eastAsia="宋体" w:cs="宋体"/>
                <w:sz w:val="21"/>
                <w:szCs w:val="21"/>
              </w:rPr>
              <w:t>、具备USB声卡功能，可以直接通过USB线与其他设备(如电脑)进行连接，可以实现数字音频信号的输入输出传输，进行录音直播等操作；</w:t>
            </w:r>
          </w:p>
          <w:p w14:paraId="7D8B6588">
            <w:pPr>
              <w:widowControl w:val="0"/>
              <w:jc w:val="left"/>
              <w:rPr>
                <w:rFonts w:hint="eastAsia" w:ascii="宋体" w:hAnsi="宋体" w:eastAsia="宋体" w:cs="宋体"/>
                <w:sz w:val="21"/>
                <w:szCs w:val="21"/>
                <w:highlight w:val="none"/>
              </w:rPr>
            </w:pPr>
            <w:r>
              <w:rPr>
                <w:rFonts w:hint="eastAsia" w:ascii="宋体" w:hAnsi="宋体" w:eastAsia="宋体" w:cs="宋体"/>
                <w:sz w:val="21"/>
                <w:szCs w:val="21"/>
                <w:highlight w:val="none"/>
                <w:lang w:val="en-US" w:eastAsia="zh-CN"/>
              </w:rPr>
              <w:t>11、</w:t>
            </w:r>
            <w:r>
              <w:rPr>
                <w:rFonts w:hint="eastAsia" w:ascii="宋体" w:hAnsi="宋体" w:eastAsia="宋体" w:cs="宋体"/>
                <w:sz w:val="21"/>
                <w:szCs w:val="21"/>
                <w:highlight w:val="none"/>
              </w:rPr>
              <w:t>高品质DSP内置效果器，24种效果模式可选，适应不同的场所使用，单独的LCD显示屏，实时显示效果种类，和蓝牙播放模块形成双屏显示，操作简单；</w:t>
            </w:r>
          </w:p>
          <w:p w14:paraId="289DE718">
            <w:pPr>
              <w:widowControl w:val="0"/>
              <w:jc w:val="left"/>
              <w:rPr>
                <w:rFonts w:hint="eastAsia" w:ascii="宋体" w:hAnsi="宋体" w:eastAsia="宋体" w:cs="宋体"/>
                <w:sz w:val="21"/>
                <w:szCs w:val="21"/>
                <w:lang w:eastAsia="zh-CN"/>
              </w:rPr>
            </w:pPr>
            <w:r>
              <w:rPr>
                <w:rFonts w:hint="eastAsia" w:ascii="宋体" w:hAnsi="宋体" w:eastAsia="宋体" w:cs="宋体"/>
                <w:sz w:val="21"/>
                <w:szCs w:val="21"/>
                <w:highlight w:val="none"/>
                <w:lang w:val="en-US" w:eastAsia="zh-CN"/>
              </w:rPr>
              <w:t>12、</w:t>
            </w:r>
            <w:r>
              <w:rPr>
                <w:rFonts w:hint="eastAsia" w:ascii="宋体" w:hAnsi="宋体" w:eastAsia="宋体" w:cs="宋体"/>
                <w:sz w:val="21"/>
                <w:szCs w:val="21"/>
                <w:highlight w:val="none"/>
              </w:rPr>
              <w:t>三路辅助输出</w:t>
            </w:r>
            <w:r>
              <w:rPr>
                <w:rFonts w:hint="eastAsia" w:ascii="宋体" w:hAnsi="宋体" w:eastAsia="宋体" w:cs="宋体"/>
                <w:sz w:val="21"/>
                <w:szCs w:val="21"/>
                <w:highlight w:val="none"/>
                <w:lang w:eastAsia="zh-CN"/>
              </w:rPr>
              <w:t>，</w:t>
            </w:r>
            <w:r>
              <w:rPr>
                <w:rFonts w:hint="eastAsia" w:ascii="宋体" w:hAnsi="宋体" w:eastAsia="宋体" w:cs="宋体"/>
                <w:sz w:val="21"/>
                <w:szCs w:val="21"/>
                <w:highlight w:val="none"/>
              </w:rPr>
              <w:t>真正的4编组调台，编组输出为6、35接口18、两路主输出，输出为平衡的卡农接口，输出信号由一个单独的100mm推子控制</w:t>
            </w:r>
            <w:r>
              <w:rPr>
                <w:rFonts w:hint="eastAsia" w:ascii="宋体" w:hAnsi="宋体" w:eastAsia="宋体" w:cs="宋体"/>
                <w:sz w:val="21"/>
                <w:szCs w:val="21"/>
                <w:highlight w:val="none"/>
                <w:lang w:eastAsia="zh-CN"/>
              </w:rPr>
              <w:t>。</w:t>
            </w:r>
          </w:p>
        </w:tc>
        <w:tc>
          <w:tcPr>
            <w:tcW w:w="1314" w:type="dxa"/>
            <w:noWrap w:val="0"/>
            <w:vAlign w:val="top"/>
          </w:tcPr>
          <w:p w14:paraId="4D7D5246">
            <w:pPr>
              <w:widowControl w:val="0"/>
              <w:jc w:val="both"/>
              <w:rPr>
                <w:rFonts w:hint="eastAsia" w:ascii="宋体" w:hAnsi="宋体" w:eastAsia="宋体" w:cs="宋体"/>
                <w:sz w:val="21"/>
                <w:szCs w:val="21"/>
              </w:rPr>
            </w:pPr>
          </w:p>
        </w:tc>
      </w:tr>
      <w:tr w14:paraId="5D056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23A8DA71">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1</w:t>
            </w:r>
          </w:p>
        </w:tc>
        <w:tc>
          <w:tcPr>
            <w:tcW w:w="1511" w:type="dxa"/>
            <w:noWrap w:val="0"/>
            <w:vAlign w:val="center"/>
          </w:tcPr>
          <w:p w14:paraId="0A2B19AA">
            <w:pPr>
              <w:widowControl w:val="0"/>
              <w:jc w:val="both"/>
              <w:rPr>
                <w:rFonts w:hint="eastAsia" w:ascii="宋体" w:hAnsi="宋体" w:eastAsia="宋体" w:cs="宋体"/>
                <w:sz w:val="21"/>
                <w:szCs w:val="21"/>
              </w:rPr>
            </w:pPr>
            <w:r>
              <w:rPr>
                <w:rFonts w:hint="eastAsia" w:ascii="宋体" w:hAnsi="宋体" w:eastAsia="宋体" w:cs="宋体"/>
                <w:sz w:val="21"/>
                <w:szCs w:val="21"/>
              </w:rPr>
              <w:t>音频矩阵处理器</w:t>
            </w:r>
          </w:p>
        </w:tc>
        <w:tc>
          <w:tcPr>
            <w:tcW w:w="5436" w:type="dxa"/>
            <w:noWrap w:val="0"/>
            <w:vAlign w:val="top"/>
          </w:tcPr>
          <w:p w14:paraId="0F53C921">
            <w:pPr>
              <w:widowControl w:val="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16路独立模拟音频平衡输入，16路独立模拟音频平衡输出，支持各类麦克风信号输入和音乐信号输入，每路输入设置可以软件或面板LCD显示屏菜单手动调整；</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rPr>
              <w:t>带AEC自适应声学回声消除功能，6级尾长效果调节，适用于各种大小场合的互动录播远程会议.教学应用场合，还原更清晰的语音交流；</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带ANC自适应主动噪声消除功能，4级强度调节，满足不同场景的本地录播需求，提高录音和扩音的信噪比，录制更清晰的语音信号；</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rPr>
              <w:t>带回声Echo和混响Reverb功能，可以给干硬的人声增加效果状态，呈现更有情感的人声效果；也可以满足唱歌娱乐应用，不用另外增加设备；</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rPr>
              <w:t>每路麦克风输入带8级灵敏度调节0-35dB增益，可以匹配不同灵敏度的各类麦克风；</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6、</w:t>
            </w:r>
            <w:r>
              <w:rPr>
                <w:rFonts w:hint="eastAsia" w:ascii="宋体" w:hAnsi="宋体" w:eastAsia="宋体" w:cs="宋体"/>
                <w:sz w:val="21"/>
                <w:szCs w:val="21"/>
              </w:rPr>
              <w:t>内置白噪声.粉红噪声.正弦波三种不同测试信号音源，可以作为各类系统检测音源；</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7、</w:t>
            </w:r>
            <w:r>
              <w:rPr>
                <w:rFonts w:hint="eastAsia" w:ascii="宋体" w:hAnsi="宋体" w:eastAsia="宋体" w:cs="宋体"/>
                <w:sz w:val="21"/>
                <w:szCs w:val="21"/>
              </w:rPr>
              <w:t>每路输入带48V幻相电源开关，可以驱动各类电容麦克风单元；</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每路输入带主动反馈抑制功能，两档调节；</w:t>
            </w:r>
            <w:r>
              <w:rPr>
                <w:rFonts w:hint="eastAsia" w:ascii="宋体" w:hAnsi="宋体" w:eastAsia="宋体" w:cs="宋体"/>
                <w:sz w:val="21"/>
                <w:szCs w:val="21"/>
              </w:rPr>
              <w:br w:type="textWrapping"/>
            </w:r>
            <w:r>
              <w:rPr>
                <w:rFonts w:hint="eastAsia" w:ascii="宋体" w:hAnsi="宋体" w:eastAsia="宋体" w:cs="宋体"/>
                <w:sz w:val="21"/>
                <w:szCs w:val="21"/>
                <w:highlight w:val="none"/>
                <w:lang w:val="en-US" w:eastAsia="zh-CN"/>
              </w:rPr>
              <w:t>9、</w:t>
            </w:r>
            <w:r>
              <w:rPr>
                <w:rFonts w:hint="eastAsia" w:ascii="宋体" w:hAnsi="宋体" w:eastAsia="宋体" w:cs="宋体"/>
                <w:sz w:val="21"/>
                <w:szCs w:val="21"/>
                <w:highlight w:val="none"/>
              </w:rPr>
              <w:t>带共享增益型自动混音器，开启后还可以降低噪声，提高信噪比，减少啸叫现象；</w:t>
            </w:r>
            <w:r>
              <w:rPr>
                <w:rFonts w:hint="eastAsia" w:ascii="宋体" w:hAnsi="宋体" w:eastAsia="宋体" w:cs="宋体"/>
                <w:sz w:val="21"/>
                <w:szCs w:val="21"/>
              </w:rPr>
              <w:t xml:space="preserve">                                                                                                                                                    1</w:t>
            </w:r>
            <w:r>
              <w:rPr>
                <w:rFonts w:hint="eastAsia" w:ascii="宋体" w:hAnsi="宋体" w:eastAsia="宋体" w:cs="宋体"/>
                <w:sz w:val="21"/>
                <w:szCs w:val="21"/>
                <w:lang w:val="en-US" w:eastAsia="zh-CN"/>
              </w:rPr>
              <w:t>0、</w:t>
            </w:r>
            <w:r>
              <w:rPr>
                <w:rFonts w:hint="eastAsia" w:ascii="宋体" w:hAnsi="宋体" w:eastAsia="宋体" w:cs="宋体"/>
                <w:sz w:val="21"/>
                <w:szCs w:val="21"/>
              </w:rPr>
              <w:t>带视像跟踪控制功能，RS232/485接口，支持摄像头控制PELCO-D/PELCO-P/VISCA等协议；</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标配USB（TYPE-B）口，一口两功能：支持免驱自动连接软件调试；内置U盘功能，存放软件和说明书；</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 xml:space="preserve">可以选配4路dante输入输出；支持手机APP TCON软件网络控制；支持4寸触控屏线控控制；支持GPIO；                                                                                                                                                   </w:t>
            </w:r>
            <w:r>
              <w:rPr>
                <w:rFonts w:hint="eastAsia" w:ascii="宋体" w:hAnsi="宋体" w:eastAsia="宋体" w:cs="宋体"/>
                <w:sz w:val="21"/>
                <w:szCs w:val="21"/>
                <w:highlight w:val="none"/>
                <w:lang w:val="en-US" w:eastAsia="zh-CN"/>
              </w:rPr>
              <w:t>13、</w:t>
            </w:r>
            <w:r>
              <w:rPr>
                <w:rFonts w:hint="eastAsia" w:ascii="宋体" w:hAnsi="宋体" w:eastAsia="宋体" w:cs="宋体"/>
                <w:sz w:val="21"/>
                <w:szCs w:val="21"/>
                <w:highlight w:val="none"/>
              </w:rPr>
              <w:t>Mconsole统一管理，可通USB/RS232/RS485/TCPIP多个接口连接控制设备，TCPIP控制口还可以实现局域网远程.多台设备控制，多台设备同步参数，联调参数等强大功能；</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lang w:val="en-US" w:eastAsia="zh-CN"/>
              </w:rPr>
              <w:t>4、</w:t>
            </w:r>
            <w:r>
              <w:rPr>
                <w:rFonts w:hint="eastAsia" w:ascii="宋体" w:hAnsi="宋体" w:eastAsia="宋体" w:cs="宋体"/>
                <w:sz w:val="21"/>
                <w:szCs w:val="21"/>
              </w:rPr>
              <w:t>支持中控指令，软件自带中控协议，可通过RS232/RS485/TCPIP实现中控控制功能</w:t>
            </w:r>
            <w:r>
              <w:rPr>
                <w:rFonts w:hint="eastAsia" w:ascii="宋体" w:hAnsi="宋体" w:eastAsia="宋体" w:cs="宋体"/>
                <w:sz w:val="21"/>
                <w:szCs w:val="21"/>
                <w:lang w:eastAsia="zh-CN"/>
              </w:rPr>
              <w:t>。</w:t>
            </w:r>
          </w:p>
        </w:tc>
        <w:tc>
          <w:tcPr>
            <w:tcW w:w="1314" w:type="dxa"/>
            <w:noWrap w:val="0"/>
            <w:vAlign w:val="top"/>
          </w:tcPr>
          <w:p w14:paraId="21764CEF">
            <w:pPr>
              <w:widowControl w:val="0"/>
              <w:jc w:val="both"/>
              <w:rPr>
                <w:rFonts w:hint="eastAsia" w:ascii="宋体" w:hAnsi="宋体" w:eastAsia="宋体" w:cs="宋体"/>
                <w:sz w:val="21"/>
                <w:szCs w:val="21"/>
              </w:rPr>
            </w:pPr>
          </w:p>
        </w:tc>
      </w:tr>
      <w:tr w14:paraId="70D8F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1461D695">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p>
        </w:tc>
        <w:tc>
          <w:tcPr>
            <w:tcW w:w="1511" w:type="dxa"/>
            <w:noWrap w:val="0"/>
            <w:vAlign w:val="center"/>
          </w:tcPr>
          <w:p w14:paraId="1A190435">
            <w:pPr>
              <w:widowControl w:val="0"/>
              <w:jc w:val="both"/>
              <w:rPr>
                <w:rFonts w:hint="eastAsia" w:ascii="宋体" w:hAnsi="宋体" w:eastAsia="宋体" w:cs="宋体"/>
                <w:sz w:val="21"/>
                <w:szCs w:val="21"/>
              </w:rPr>
            </w:pPr>
            <w:r>
              <w:rPr>
                <w:rFonts w:hint="eastAsia" w:ascii="宋体" w:hAnsi="宋体" w:eastAsia="宋体" w:cs="宋体"/>
                <w:sz w:val="21"/>
                <w:szCs w:val="21"/>
              </w:rPr>
              <w:t>AI智能增益器</w:t>
            </w:r>
          </w:p>
        </w:tc>
        <w:tc>
          <w:tcPr>
            <w:tcW w:w="5436" w:type="dxa"/>
            <w:noWrap w:val="0"/>
            <w:vAlign w:val="top"/>
          </w:tcPr>
          <w:p w14:paraId="0171CE99">
            <w:pPr>
              <w:widowControl w:val="0"/>
              <w:jc w:val="left"/>
              <w:rPr>
                <w:rFonts w:hint="eastAsia" w:ascii="宋体" w:hAnsi="宋体" w:eastAsia="宋体" w:cs="宋体"/>
                <w:sz w:val="21"/>
                <w:szCs w:val="21"/>
                <w:highlight w:val="red"/>
                <w:lang w:eastAsia="zh-CN"/>
              </w:rPr>
            </w:pPr>
            <w:r>
              <w:rPr>
                <w:rFonts w:hint="eastAsia" w:ascii="宋体" w:hAnsi="宋体" w:eastAsia="宋体" w:cs="宋体"/>
                <w:sz w:val="21"/>
                <w:szCs w:val="21"/>
                <w:lang w:val="en-US" w:eastAsia="zh-CN"/>
              </w:rPr>
              <w:t>1、</w:t>
            </w:r>
            <w:r>
              <w:rPr>
                <w:rFonts w:hint="eastAsia" w:ascii="宋体" w:hAnsi="宋体" w:eastAsia="宋体" w:cs="宋体"/>
                <w:sz w:val="21"/>
                <w:szCs w:val="21"/>
              </w:rPr>
              <w:t>采用的是AI智能动态反馈滤波器，通过最新一代高速浮点运算技术的反馈滤除功能，轻松提升系统12dB传输增益，是传统设备的2～3倍，且不改变音质；</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rPr>
              <w:t>内置：AEC:自适应全双工回声消除技术；AFC:自适应反馈抑制技术；ANC:自适应降噪技术；AGC:自动电平增益技术；AEQ:自动均衡消除技术；</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lang w:eastAsia="zh-CN"/>
              </w:rPr>
              <w:t>△</w:t>
            </w:r>
            <w:r>
              <w:rPr>
                <w:rFonts w:hint="eastAsia" w:ascii="宋体" w:hAnsi="宋体" w:eastAsia="宋体" w:cs="宋体"/>
                <w:sz w:val="21"/>
                <w:szCs w:val="21"/>
              </w:rPr>
              <w:t>能显著的提升话筒有效拾音距离——扩声系统有效声压不变，话筒拾音距离增加3倍</w:t>
            </w:r>
            <w:r>
              <w:rPr>
                <w:rFonts w:hint="eastAsia" w:ascii="宋体" w:hAnsi="宋体" w:eastAsia="宋体" w:cs="宋体"/>
                <w:sz w:val="21"/>
                <w:szCs w:val="21"/>
                <w:lang w:val="en-US" w:eastAsia="zh-CN"/>
              </w:rPr>
              <w:t>以上</w:t>
            </w:r>
            <w:r>
              <w:rPr>
                <w:rFonts w:hint="eastAsia" w:ascii="宋体" w:hAnsi="宋体" w:eastAsia="宋体" w:cs="宋体"/>
                <w:sz w:val="21"/>
                <w:szCs w:val="21"/>
              </w:rPr>
              <w:t>；</w:t>
            </w:r>
          </w:p>
          <w:p w14:paraId="14CB3F2A">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lang w:eastAsia="zh-CN"/>
              </w:rPr>
              <w:t>△</w:t>
            </w:r>
            <w:r>
              <w:rPr>
                <w:rFonts w:hint="eastAsia" w:ascii="宋体" w:hAnsi="宋体" w:eastAsia="宋体" w:cs="宋体"/>
                <w:sz w:val="21"/>
                <w:szCs w:val="21"/>
              </w:rPr>
              <w:t>能显著的提升扩声效果在同等距离的情况下，提升扩声系统传声增益——相同拾音距离，扩声系统有效声压提升≥11dB；</w:t>
            </w:r>
          </w:p>
          <w:p w14:paraId="404C4924">
            <w:pPr>
              <w:widowControl w:val="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5、</w:t>
            </w:r>
            <w:r>
              <w:rPr>
                <w:rFonts w:hint="eastAsia" w:ascii="宋体" w:hAnsi="宋体" w:eastAsia="宋体" w:cs="宋体"/>
                <w:sz w:val="21"/>
                <w:szCs w:val="21"/>
              </w:rPr>
              <w:t>AI智能化，免调试：自适应高速浮点算法，设备接驳后30秒内自动运算且锁定达到稳态；</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6、</w:t>
            </w:r>
            <w:r>
              <w:rPr>
                <w:rFonts w:hint="eastAsia" w:ascii="宋体" w:hAnsi="宋体" w:eastAsia="宋体" w:cs="宋体"/>
                <w:sz w:val="21"/>
                <w:szCs w:val="21"/>
              </w:rPr>
              <w:t>采样率：48K；通道噪声：&lt;-90dBu；频率响应：20HZ-20kHz；动态范围：99dBU；</w:t>
            </w:r>
          </w:p>
          <w:p w14:paraId="02198A47">
            <w:pPr>
              <w:widowControl w:val="0"/>
              <w:jc w:val="left"/>
              <w:rPr>
                <w:rFonts w:hint="eastAsia" w:ascii="宋体" w:hAnsi="宋体" w:eastAsia="宋体" w:cs="宋体"/>
                <w:sz w:val="21"/>
                <w:szCs w:val="21"/>
                <w:lang w:eastAsia="zh-CN"/>
              </w:rPr>
            </w:pPr>
            <w:r>
              <w:rPr>
                <w:rFonts w:hint="eastAsia" w:ascii="宋体" w:hAnsi="宋体" w:eastAsia="宋体" w:cs="宋体"/>
                <w:sz w:val="21"/>
                <w:szCs w:val="21"/>
                <w:lang w:val="en-US" w:eastAsia="zh-CN"/>
              </w:rPr>
              <w:t>7、</w:t>
            </w:r>
            <w:r>
              <w:rPr>
                <w:rFonts w:hint="eastAsia" w:ascii="宋体" w:hAnsi="宋体" w:eastAsia="宋体" w:cs="宋体"/>
                <w:sz w:val="21"/>
                <w:szCs w:val="21"/>
              </w:rPr>
              <w:t>输出最大电平：≥10dB；输出接口：2路平衡输出；</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输入接口：2路线路（平衡）输入</w:t>
            </w:r>
            <w:r>
              <w:rPr>
                <w:rFonts w:hint="eastAsia" w:ascii="宋体" w:hAnsi="宋体" w:eastAsia="宋体" w:cs="宋体"/>
                <w:sz w:val="21"/>
                <w:szCs w:val="21"/>
                <w:lang w:eastAsia="zh-CN"/>
              </w:rPr>
              <w:t>。</w:t>
            </w:r>
          </w:p>
        </w:tc>
        <w:tc>
          <w:tcPr>
            <w:tcW w:w="1314" w:type="dxa"/>
            <w:noWrap w:val="0"/>
            <w:vAlign w:val="top"/>
          </w:tcPr>
          <w:p w14:paraId="12957802">
            <w:pPr>
              <w:widowControl w:val="0"/>
              <w:jc w:val="both"/>
              <w:rPr>
                <w:rFonts w:hint="eastAsia" w:ascii="宋体" w:hAnsi="宋体" w:eastAsia="宋体" w:cs="宋体"/>
                <w:sz w:val="21"/>
                <w:szCs w:val="21"/>
              </w:rPr>
            </w:pPr>
          </w:p>
        </w:tc>
      </w:tr>
      <w:tr w14:paraId="2F6ED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6662A8E0">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p>
        </w:tc>
        <w:tc>
          <w:tcPr>
            <w:tcW w:w="1511" w:type="dxa"/>
            <w:noWrap w:val="0"/>
            <w:vAlign w:val="center"/>
          </w:tcPr>
          <w:p w14:paraId="1FDD5B0C">
            <w:pPr>
              <w:widowControl w:val="0"/>
              <w:jc w:val="both"/>
              <w:rPr>
                <w:rFonts w:hint="eastAsia" w:ascii="宋体" w:hAnsi="宋体" w:eastAsia="宋体" w:cs="宋体"/>
                <w:sz w:val="21"/>
                <w:szCs w:val="21"/>
              </w:rPr>
            </w:pPr>
            <w:r>
              <w:rPr>
                <w:rFonts w:hint="eastAsia" w:ascii="宋体" w:hAnsi="宋体" w:eastAsia="宋体" w:cs="宋体"/>
                <w:sz w:val="21"/>
                <w:szCs w:val="21"/>
              </w:rPr>
              <w:t>一拖二真分集无线手持话筒</w:t>
            </w:r>
          </w:p>
        </w:tc>
        <w:tc>
          <w:tcPr>
            <w:tcW w:w="5436" w:type="dxa"/>
            <w:noWrap w:val="0"/>
            <w:vAlign w:val="top"/>
          </w:tcPr>
          <w:p w14:paraId="7539F99F">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 xml:space="preserve">1、一拖二真分集接收线路设计无线麦克风；一台主机配置2只手持话筒；                                                                      </w:t>
            </w:r>
            <w:r>
              <w:rPr>
                <w:rFonts w:hint="eastAsia" w:ascii="宋体" w:hAnsi="宋体" w:eastAsia="宋体" w:cs="宋体"/>
                <w:sz w:val="21"/>
                <w:szCs w:val="21"/>
              </w:rPr>
              <w:br w:type="textWrapping"/>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 xml:space="preserve">使用距离：200米以上，空阔空间约达200-300米；                             </w:t>
            </w:r>
            <w:r>
              <w:rPr>
                <w:rFonts w:hint="eastAsia" w:ascii="宋体" w:hAnsi="宋体" w:eastAsia="宋体" w:cs="宋体"/>
                <w:sz w:val="21"/>
                <w:szCs w:val="21"/>
              </w:rPr>
              <w:br w:type="textWrapping"/>
            </w:r>
            <w:r>
              <w:rPr>
                <w:rFonts w:hint="eastAsia" w:ascii="宋体" w:hAnsi="宋体" w:eastAsia="宋体" w:cs="宋体"/>
                <w:sz w:val="21"/>
                <w:szCs w:val="21"/>
              </w:rPr>
              <w:t>3、超高UHF频段传输信号，载波频率范围:620-820MHz；</w:t>
            </w:r>
            <w:r>
              <w:rPr>
                <w:rFonts w:hint="eastAsia" w:ascii="宋体" w:hAnsi="宋体" w:eastAsia="宋体" w:cs="宋体"/>
                <w:sz w:val="21"/>
                <w:szCs w:val="21"/>
              </w:rPr>
              <w:br w:type="textWrapping"/>
            </w:r>
            <w:r>
              <w:rPr>
                <w:rFonts w:hint="eastAsia" w:ascii="宋体" w:hAnsi="宋体" w:eastAsia="宋体" w:cs="宋体"/>
                <w:sz w:val="21"/>
                <w:szCs w:val="21"/>
              </w:rPr>
              <w:t xml:space="preserve">4、双通道接收信号,采用微电脑双CPU控制；                                                 </w:t>
            </w:r>
            <w:r>
              <w:rPr>
                <w:rFonts w:hint="eastAsia" w:ascii="宋体" w:hAnsi="宋体" w:eastAsia="宋体" w:cs="宋体"/>
                <w:sz w:val="21"/>
                <w:szCs w:val="21"/>
              </w:rPr>
              <w:br w:type="textWrapping"/>
            </w:r>
            <w:r>
              <w:rPr>
                <w:rFonts w:hint="eastAsia" w:ascii="宋体" w:hAnsi="宋体" w:eastAsia="宋体" w:cs="宋体"/>
                <w:sz w:val="21"/>
                <w:szCs w:val="21"/>
              </w:rPr>
              <w:t>5、采用稳定的PLL数位锁相环合成、杂讯检测技术，整机接收、抗抗扰性能稳定性显著提高；</w:t>
            </w:r>
            <w:r>
              <w:rPr>
                <w:rFonts w:hint="eastAsia" w:ascii="宋体" w:hAnsi="宋体" w:eastAsia="宋体" w:cs="宋体"/>
                <w:sz w:val="21"/>
                <w:szCs w:val="21"/>
              </w:rPr>
              <w:br w:type="textWrapping"/>
            </w:r>
            <w:r>
              <w:rPr>
                <w:rFonts w:hint="eastAsia" w:ascii="宋体" w:hAnsi="宋体" w:eastAsia="宋体" w:cs="宋体"/>
                <w:sz w:val="21"/>
                <w:szCs w:val="21"/>
              </w:rPr>
              <w:t>6、各通道配备独有的ID号，增强抗干扰功能，</w:t>
            </w:r>
            <w:r>
              <w:rPr>
                <w:rFonts w:hint="eastAsia" w:ascii="宋体" w:hAnsi="宋体" w:eastAsia="宋体" w:cs="宋体"/>
                <w:sz w:val="21"/>
                <w:szCs w:val="21"/>
                <w:highlight w:val="none"/>
              </w:rPr>
              <w:t>支持8台叠机使用（即8台接收机和16个通道发射器）</w:t>
            </w:r>
            <w:r>
              <w:rPr>
                <w:rFonts w:hint="eastAsia" w:ascii="宋体" w:hAnsi="宋体" w:eastAsia="宋体" w:cs="宋体"/>
                <w:sz w:val="21"/>
                <w:szCs w:val="21"/>
              </w:rPr>
              <w:t>；</w:t>
            </w:r>
          </w:p>
          <w:p w14:paraId="294FB504">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7、内置高效抑制噪声线路，防啸叫功能显著；</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highlight w:val="none"/>
              </w:rPr>
              <w:t>、背面设有2个平衡输出和1个混合非平衡输出，适合连接各种外置设备；</w:t>
            </w:r>
            <w:r>
              <w:rPr>
                <w:rFonts w:hint="eastAsia" w:ascii="宋体" w:hAnsi="宋体" w:eastAsia="宋体" w:cs="宋体"/>
                <w:sz w:val="21"/>
                <w:szCs w:val="21"/>
              </w:rPr>
              <w:br w:type="textWrapping"/>
            </w:r>
            <w:r>
              <w:rPr>
                <w:rFonts w:hint="eastAsia" w:ascii="宋体" w:hAnsi="宋体" w:cs="宋体"/>
                <w:sz w:val="21"/>
                <w:szCs w:val="21"/>
                <w:lang w:val="en-US" w:eastAsia="zh-CN"/>
              </w:rPr>
              <w:t>9</w:t>
            </w:r>
            <w:r>
              <w:rPr>
                <w:rFonts w:hint="eastAsia" w:ascii="宋体" w:hAnsi="宋体" w:eastAsia="宋体" w:cs="宋体"/>
                <w:sz w:val="21"/>
                <w:szCs w:val="21"/>
              </w:rPr>
              <w:t>、主机和发射器均具备LCD屏显示工作状态等内容</w:t>
            </w:r>
            <w:r>
              <w:rPr>
                <w:rFonts w:hint="eastAsia" w:ascii="宋体" w:hAnsi="宋体" w:eastAsia="宋体" w:cs="宋体"/>
                <w:sz w:val="21"/>
                <w:szCs w:val="21"/>
                <w:lang w:eastAsia="zh-CN"/>
              </w:rPr>
              <w:t>。</w:t>
            </w:r>
          </w:p>
        </w:tc>
        <w:tc>
          <w:tcPr>
            <w:tcW w:w="1314" w:type="dxa"/>
            <w:noWrap w:val="0"/>
            <w:vAlign w:val="top"/>
          </w:tcPr>
          <w:p w14:paraId="432DA176">
            <w:pPr>
              <w:widowControl w:val="0"/>
              <w:jc w:val="both"/>
              <w:rPr>
                <w:rFonts w:hint="eastAsia" w:ascii="宋体" w:hAnsi="宋体" w:eastAsia="宋体" w:cs="宋体"/>
                <w:sz w:val="21"/>
                <w:szCs w:val="21"/>
              </w:rPr>
            </w:pPr>
          </w:p>
        </w:tc>
      </w:tr>
      <w:tr w14:paraId="716C5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53A0852B">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4</w:t>
            </w:r>
          </w:p>
        </w:tc>
        <w:tc>
          <w:tcPr>
            <w:tcW w:w="1511" w:type="dxa"/>
            <w:noWrap w:val="0"/>
            <w:vAlign w:val="center"/>
          </w:tcPr>
          <w:p w14:paraId="766B3EED">
            <w:pPr>
              <w:widowControl w:val="0"/>
              <w:jc w:val="both"/>
              <w:rPr>
                <w:rFonts w:hint="eastAsia" w:ascii="宋体" w:hAnsi="宋体" w:eastAsia="宋体" w:cs="宋体"/>
                <w:sz w:val="21"/>
                <w:szCs w:val="21"/>
              </w:rPr>
            </w:pPr>
            <w:r>
              <w:rPr>
                <w:rFonts w:hint="eastAsia" w:ascii="宋体" w:hAnsi="宋体" w:eastAsia="宋体" w:cs="宋体"/>
                <w:sz w:val="21"/>
                <w:szCs w:val="21"/>
              </w:rPr>
              <w:t>一拖二真分集无线头戴话筒</w:t>
            </w:r>
          </w:p>
        </w:tc>
        <w:tc>
          <w:tcPr>
            <w:tcW w:w="5436" w:type="dxa"/>
            <w:noWrap w:val="0"/>
            <w:vAlign w:val="top"/>
          </w:tcPr>
          <w:p w14:paraId="6F64A1E6">
            <w:pPr>
              <w:widowControl w:val="0"/>
              <w:jc w:val="left"/>
              <w:rPr>
                <w:rFonts w:hint="eastAsia" w:ascii="宋体" w:hAnsi="宋体" w:eastAsia="宋体" w:cs="宋体"/>
                <w:sz w:val="21"/>
                <w:szCs w:val="21"/>
                <w:lang w:eastAsia="zh-CN"/>
              </w:rPr>
            </w:pPr>
            <w:r>
              <w:rPr>
                <w:rFonts w:hint="eastAsia" w:ascii="宋体" w:hAnsi="宋体" w:eastAsia="宋体" w:cs="宋体"/>
                <w:sz w:val="21"/>
                <w:szCs w:val="21"/>
              </w:rPr>
              <w:t xml:space="preserve">1、一拖二真分集接收线路设计无线麦克风；一台主机配置2只头戴话筒；                                                                      </w:t>
            </w:r>
            <w:r>
              <w:rPr>
                <w:rFonts w:hint="eastAsia" w:ascii="宋体" w:hAnsi="宋体" w:eastAsia="宋体" w:cs="宋体"/>
                <w:sz w:val="21"/>
                <w:szCs w:val="21"/>
              </w:rPr>
              <w:br w:type="textWrapping"/>
            </w:r>
            <w:r>
              <w:rPr>
                <w:rFonts w:hint="eastAsia" w:ascii="宋体" w:hAnsi="宋体" w:eastAsia="宋体" w:cs="宋体"/>
                <w:sz w:val="21"/>
                <w:szCs w:val="21"/>
              </w:rPr>
              <w:t xml:space="preserve">2、使用距离：200米以上，空阔空间约达200-300米；                                                     </w:t>
            </w:r>
            <w:r>
              <w:rPr>
                <w:rFonts w:hint="eastAsia" w:ascii="宋体" w:hAnsi="宋体" w:eastAsia="宋体" w:cs="宋体"/>
                <w:sz w:val="21"/>
                <w:szCs w:val="21"/>
              </w:rPr>
              <w:br w:type="textWrapping"/>
            </w:r>
            <w:r>
              <w:rPr>
                <w:rFonts w:hint="eastAsia" w:ascii="宋体" w:hAnsi="宋体" w:eastAsia="宋体" w:cs="宋体"/>
                <w:sz w:val="21"/>
                <w:szCs w:val="21"/>
              </w:rPr>
              <w:t>3、超高UHF频段传输信号，载波频率范围:620-820MHz；</w:t>
            </w:r>
            <w:r>
              <w:rPr>
                <w:rFonts w:hint="eastAsia" w:ascii="宋体" w:hAnsi="宋体" w:eastAsia="宋体" w:cs="宋体"/>
                <w:sz w:val="21"/>
                <w:szCs w:val="21"/>
              </w:rPr>
              <w:br w:type="textWrapping"/>
            </w:r>
            <w:r>
              <w:rPr>
                <w:rFonts w:hint="eastAsia" w:ascii="宋体" w:hAnsi="宋体" w:eastAsia="宋体" w:cs="宋体"/>
                <w:sz w:val="21"/>
                <w:szCs w:val="21"/>
              </w:rPr>
              <w:t xml:space="preserve">4、双通道接收信号,采用微电脑双CPU控制；                                                </w:t>
            </w:r>
            <w:r>
              <w:rPr>
                <w:rFonts w:hint="eastAsia" w:ascii="宋体" w:hAnsi="宋体" w:eastAsia="宋体" w:cs="宋体"/>
                <w:sz w:val="21"/>
                <w:szCs w:val="21"/>
              </w:rPr>
              <w:br w:type="textWrapping"/>
            </w:r>
            <w:r>
              <w:rPr>
                <w:rFonts w:hint="eastAsia" w:ascii="宋体" w:hAnsi="宋体" w:eastAsia="宋体" w:cs="宋体"/>
                <w:sz w:val="21"/>
                <w:szCs w:val="21"/>
              </w:rPr>
              <w:t>5、采用稳定的PLL数位锁相环合成、杂讯检测技术，整机接收、抗抗扰性能稳定性显著提高；</w:t>
            </w:r>
            <w:r>
              <w:rPr>
                <w:rFonts w:hint="eastAsia" w:ascii="宋体" w:hAnsi="宋体" w:eastAsia="宋体" w:cs="宋体"/>
                <w:sz w:val="21"/>
                <w:szCs w:val="21"/>
              </w:rPr>
              <w:br w:type="textWrapping"/>
            </w:r>
            <w:r>
              <w:rPr>
                <w:rFonts w:hint="eastAsia" w:ascii="宋体" w:hAnsi="宋体" w:eastAsia="宋体" w:cs="宋体"/>
                <w:sz w:val="21"/>
                <w:szCs w:val="21"/>
              </w:rPr>
              <w:t>6、各通道配备独有的ID号，增强抗干扰功能，支持</w:t>
            </w:r>
            <w:r>
              <w:rPr>
                <w:rFonts w:hint="eastAsia" w:ascii="宋体" w:hAnsi="宋体" w:eastAsia="宋体" w:cs="宋体"/>
                <w:sz w:val="21"/>
                <w:szCs w:val="21"/>
                <w:highlight w:val="none"/>
              </w:rPr>
              <w:t>8台叠机使用（</w:t>
            </w:r>
            <w:r>
              <w:rPr>
                <w:rFonts w:hint="eastAsia" w:ascii="宋体" w:hAnsi="宋体" w:eastAsia="宋体" w:cs="宋体"/>
                <w:sz w:val="21"/>
                <w:szCs w:val="21"/>
              </w:rPr>
              <w:t>即8台接收机和16个通道发射器）；</w:t>
            </w:r>
          </w:p>
          <w:p w14:paraId="76FBD960">
            <w:pPr>
              <w:widowControl w:val="0"/>
              <w:jc w:val="left"/>
              <w:rPr>
                <w:rFonts w:hint="eastAsia" w:ascii="宋体" w:hAnsi="宋体" w:eastAsia="宋体" w:cs="宋体"/>
                <w:sz w:val="21"/>
                <w:szCs w:val="21"/>
              </w:rPr>
            </w:pPr>
            <w:r>
              <w:rPr>
                <w:rFonts w:hint="eastAsia" w:ascii="宋体" w:hAnsi="宋体" w:eastAsia="宋体" w:cs="宋体"/>
                <w:sz w:val="21"/>
                <w:szCs w:val="21"/>
              </w:rPr>
              <w:t>7、内置高效抑制噪声线路，防啸叫功能显著；</w:t>
            </w:r>
            <w:r>
              <w:rPr>
                <w:rFonts w:hint="eastAsia" w:ascii="宋体" w:hAnsi="宋体" w:eastAsia="宋体" w:cs="宋体"/>
                <w:sz w:val="21"/>
                <w:szCs w:val="21"/>
                <w:highlight w:val="red"/>
              </w:rPr>
              <w:br w:type="textWrapping"/>
            </w:r>
            <w:r>
              <w:rPr>
                <w:rFonts w:hint="eastAsia" w:ascii="宋体" w:hAnsi="宋体" w:eastAsia="宋体" w:cs="宋体"/>
                <w:sz w:val="21"/>
                <w:szCs w:val="21"/>
                <w:highlight w:val="none"/>
                <w:lang w:val="en-US" w:eastAsia="zh-CN"/>
              </w:rPr>
              <w:t>8</w:t>
            </w:r>
            <w:r>
              <w:rPr>
                <w:rFonts w:hint="eastAsia" w:ascii="宋体" w:hAnsi="宋体" w:eastAsia="宋体" w:cs="宋体"/>
                <w:sz w:val="21"/>
                <w:szCs w:val="21"/>
                <w:highlight w:val="none"/>
              </w:rPr>
              <w:t>、背面设有2个平衡输出和1个混合非平衡输出，适合连接各种外置设备；</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9</w:t>
            </w:r>
            <w:r>
              <w:rPr>
                <w:rFonts w:hint="eastAsia" w:ascii="宋体" w:hAnsi="宋体" w:eastAsia="宋体" w:cs="宋体"/>
                <w:sz w:val="21"/>
                <w:szCs w:val="21"/>
              </w:rPr>
              <w:t>、主机和发射器均具备LCD屏显示工作状态等内容</w:t>
            </w:r>
            <w:r>
              <w:rPr>
                <w:rFonts w:hint="eastAsia" w:ascii="宋体" w:hAnsi="宋体" w:eastAsia="宋体" w:cs="宋体"/>
                <w:sz w:val="21"/>
                <w:szCs w:val="21"/>
                <w:lang w:eastAsia="zh-CN"/>
              </w:rPr>
              <w:t>。</w:t>
            </w:r>
          </w:p>
        </w:tc>
        <w:tc>
          <w:tcPr>
            <w:tcW w:w="1314" w:type="dxa"/>
            <w:noWrap w:val="0"/>
            <w:vAlign w:val="top"/>
          </w:tcPr>
          <w:p w14:paraId="43F23AE0">
            <w:pPr>
              <w:widowControl w:val="0"/>
              <w:jc w:val="both"/>
              <w:rPr>
                <w:rFonts w:hint="eastAsia" w:ascii="宋体" w:hAnsi="宋体" w:eastAsia="宋体" w:cs="宋体"/>
                <w:sz w:val="21"/>
                <w:szCs w:val="21"/>
              </w:rPr>
            </w:pPr>
          </w:p>
        </w:tc>
      </w:tr>
      <w:tr w14:paraId="2F90F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296DE35F">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5</w:t>
            </w:r>
          </w:p>
        </w:tc>
        <w:tc>
          <w:tcPr>
            <w:tcW w:w="1511" w:type="dxa"/>
            <w:noWrap w:val="0"/>
            <w:vAlign w:val="center"/>
          </w:tcPr>
          <w:p w14:paraId="3F4053C4">
            <w:pPr>
              <w:widowControl w:val="0"/>
              <w:jc w:val="both"/>
              <w:rPr>
                <w:rFonts w:hint="eastAsia" w:ascii="宋体" w:hAnsi="宋体" w:eastAsia="宋体" w:cs="宋体"/>
                <w:sz w:val="21"/>
                <w:szCs w:val="21"/>
              </w:rPr>
            </w:pPr>
            <w:r>
              <w:rPr>
                <w:rFonts w:hint="eastAsia" w:ascii="宋体" w:hAnsi="宋体" w:eastAsia="宋体" w:cs="宋体"/>
                <w:sz w:val="21"/>
                <w:szCs w:val="21"/>
              </w:rPr>
              <w:t>一拖四会议麦克风</w:t>
            </w:r>
          </w:p>
        </w:tc>
        <w:tc>
          <w:tcPr>
            <w:tcW w:w="5436" w:type="dxa"/>
            <w:noWrap w:val="0"/>
            <w:vAlign w:val="top"/>
          </w:tcPr>
          <w:p w14:paraId="75F19139">
            <w:pPr>
              <w:widowControl w:val="0"/>
              <w:jc w:val="left"/>
              <w:rPr>
                <w:rFonts w:hint="eastAsia" w:ascii="宋体" w:hAnsi="宋体" w:eastAsia="宋体" w:cs="宋体"/>
                <w:sz w:val="21"/>
                <w:szCs w:val="21"/>
              </w:rPr>
            </w:pPr>
            <w:r>
              <w:rPr>
                <w:rFonts w:hint="eastAsia" w:ascii="宋体" w:hAnsi="宋体" w:eastAsia="宋体" w:cs="宋体"/>
                <w:sz w:val="21"/>
                <w:szCs w:val="21"/>
              </w:rPr>
              <w:t>1.内置20组预设频率模组，PLL锁相环回路设计，纯自动选讯接收方式；</w:t>
            </w:r>
          </w:p>
          <w:p w14:paraId="4CFF646B">
            <w:pPr>
              <w:widowControl w:val="0"/>
              <w:jc w:val="left"/>
              <w:rPr>
                <w:rFonts w:hint="eastAsia" w:ascii="宋体" w:hAnsi="宋体" w:eastAsia="宋体" w:cs="宋体"/>
                <w:sz w:val="21"/>
                <w:szCs w:val="21"/>
              </w:rPr>
            </w:pPr>
            <w:r>
              <w:rPr>
                <w:rFonts w:hint="eastAsia" w:ascii="宋体" w:hAnsi="宋体" w:eastAsia="宋体" w:cs="宋体"/>
                <w:sz w:val="21"/>
                <w:szCs w:val="21"/>
              </w:rPr>
              <w:t>2.一键修改四通道频率组，四通道同时修改频率组，同时亦支持手动修改每个通道的频率；</w:t>
            </w:r>
          </w:p>
          <w:p w14:paraId="73E39D57">
            <w:pPr>
              <w:widowControl w:val="0"/>
              <w:jc w:val="left"/>
              <w:rPr>
                <w:rFonts w:hint="eastAsia" w:ascii="宋体" w:hAnsi="宋体" w:eastAsia="宋体" w:cs="宋体"/>
                <w:sz w:val="21"/>
                <w:szCs w:val="21"/>
              </w:rPr>
            </w:pPr>
            <w:r>
              <w:rPr>
                <w:rFonts w:hint="eastAsia" w:ascii="宋体" w:hAnsi="宋体" w:eastAsia="宋体" w:cs="宋体"/>
                <w:sz w:val="21"/>
                <w:szCs w:val="21"/>
              </w:rPr>
              <w:t>3.配合LCD液晶显示屏，显示音量.模组.频率和AF/RF讯号强度以及设置操作；</w:t>
            </w:r>
          </w:p>
          <w:p w14:paraId="252AE18D">
            <w:pPr>
              <w:widowControl w:val="0"/>
              <w:jc w:val="left"/>
              <w:rPr>
                <w:rFonts w:hint="eastAsia" w:ascii="宋体" w:hAnsi="宋体" w:eastAsia="宋体" w:cs="宋体"/>
                <w:sz w:val="21"/>
                <w:szCs w:val="21"/>
              </w:rPr>
            </w:pPr>
            <w:r>
              <w:rPr>
                <w:rFonts w:hint="eastAsia" w:ascii="宋体" w:hAnsi="宋体" w:eastAsia="宋体" w:cs="宋体"/>
                <w:sz w:val="21"/>
                <w:szCs w:val="21"/>
              </w:rPr>
              <w:t>4.使用电子音量控制，每个通道音量增益通过前置旋钮可调0dB至20dB；</w:t>
            </w:r>
          </w:p>
          <w:p w14:paraId="029E32FE">
            <w:pPr>
              <w:widowControl w:val="0"/>
              <w:jc w:val="left"/>
              <w:rPr>
                <w:rFonts w:hint="eastAsia" w:ascii="宋体" w:hAnsi="宋体" w:eastAsia="宋体" w:cs="宋体"/>
                <w:sz w:val="21"/>
                <w:szCs w:val="21"/>
              </w:rPr>
            </w:pPr>
            <w:r>
              <w:rPr>
                <w:rFonts w:hint="eastAsia" w:ascii="宋体" w:hAnsi="宋体" w:eastAsia="宋体" w:cs="宋体"/>
                <w:sz w:val="21"/>
                <w:szCs w:val="21"/>
              </w:rPr>
              <w:t>5.红外数据自动同步功能（SYNC）：4个独立的红外对频按键，一键自动对频；</w:t>
            </w:r>
          </w:p>
          <w:p w14:paraId="12E26BFB">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.标配4条BNC天线，并可配备外置延长的抗干扰天线，可绕开金属机柜对无线信号的屏蔽，有效工作距离60米(可视距离)</w:t>
            </w:r>
            <w:r>
              <w:rPr>
                <w:rFonts w:hint="eastAsia" w:ascii="宋体" w:hAnsi="宋体" w:eastAsia="宋体" w:cs="宋体"/>
                <w:sz w:val="21"/>
                <w:szCs w:val="21"/>
                <w:lang w:eastAsia="zh-CN"/>
              </w:rPr>
              <w:t>。</w:t>
            </w:r>
          </w:p>
        </w:tc>
        <w:tc>
          <w:tcPr>
            <w:tcW w:w="1314" w:type="dxa"/>
            <w:noWrap w:val="0"/>
            <w:vAlign w:val="top"/>
          </w:tcPr>
          <w:p w14:paraId="4E87818B">
            <w:pPr>
              <w:widowControl w:val="0"/>
              <w:jc w:val="both"/>
              <w:rPr>
                <w:rFonts w:hint="eastAsia" w:ascii="宋体" w:hAnsi="宋体" w:eastAsia="宋体" w:cs="宋体"/>
                <w:sz w:val="21"/>
                <w:szCs w:val="21"/>
              </w:rPr>
            </w:pPr>
          </w:p>
        </w:tc>
      </w:tr>
      <w:tr w14:paraId="22F39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6BEA9DAB">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1511" w:type="dxa"/>
            <w:noWrap w:val="0"/>
            <w:vAlign w:val="center"/>
          </w:tcPr>
          <w:p w14:paraId="5DD6C83E">
            <w:pPr>
              <w:widowControl w:val="0"/>
              <w:jc w:val="both"/>
              <w:rPr>
                <w:rFonts w:hint="eastAsia" w:ascii="宋体" w:hAnsi="宋体" w:eastAsia="宋体" w:cs="宋体"/>
                <w:sz w:val="21"/>
                <w:szCs w:val="21"/>
              </w:rPr>
            </w:pPr>
            <w:r>
              <w:rPr>
                <w:rFonts w:hint="eastAsia" w:ascii="宋体" w:hAnsi="宋体" w:eastAsia="宋体" w:cs="宋体"/>
                <w:sz w:val="21"/>
                <w:szCs w:val="21"/>
              </w:rPr>
              <w:t>专业天线放大器</w:t>
            </w:r>
          </w:p>
        </w:tc>
        <w:tc>
          <w:tcPr>
            <w:tcW w:w="5436" w:type="dxa"/>
            <w:noWrap w:val="0"/>
            <w:vAlign w:val="top"/>
          </w:tcPr>
          <w:p w14:paraId="52917711">
            <w:pPr>
              <w:widowControl w:val="0"/>
              <w:jc w:val="left"/>
              <w:rPr>
                <w:rFonts w:hint="eastAsia" w:ascii="宋体" w:hAnsi="宋体" w:eastAsia="宋体" w:cs="宋体"/>
                <w:sz w:val="21"/>
                <w:szCs w:val="21"/>
              </w:rPr>
            </w:pPr>
            <w:r>
              <w:rPr>
                <w:rFonts w:hint="eastAsia" w:ascii="宋体" w:hAnsi="宋体" w:eastAsia="宋体" w:cs="宋体"/>
                <w:sz w:val="21"/>
                <w:szCs w:val="21"/>
              </w:rPr>
              <w:t>1.外置12V5A开关电源，可提供四组12V/600~1000mA直流电源给无线接收机；</w:t>
            </w:r>
          </w:p>
          <w:p w14:paraId="1C61C289">
            <w:pPr>
              <w:widowControl w:val="0"/>
              <w:jc w:val="left"/>
              <w:rPr>
                <w:rFonts w:hint="eastAsia" w:ascii="宋体" w:hAnsi="宋体" w:eastAsia="宋体" w:cs="宋体"/>
                <w:sz w:val="21"/>
                <w:szCs w:val="21"/>
              </w:rPr>
            </w:pPr>
            <w:r>
              <w:rPr>
                <w:rFonts w:hint="eastAsia" w:ascii="宋体" w:hAnsi="宋体" w:eastAsia="宋体" w:cs="宋体"/>
                <w:sz w:val="21"/>
                <w:szCs w:val="21"/>
              </w:rPr>
              <w:t>2.一台10通道天线分配器主机可支持最多10个天线通道端口；</w:t>
            </w:r>
          </w:p>
          <w:p w14:paraId="56D328D6">
            <w:pPr>
              <w:widowControl w:val="0"/>
              <w:jc w:val="left"/>
              <w:rPr>
                <w:rFonts w:hint="eastAsia" w:ascii="宋体" w:hAnsi="宋体" w:eastAsia="宋体" w:cs="宋体"/>
                <w:sz w:val="21"/>
                <w:szCs w:val="21"/>
              </w:rPr>
            </w:pPr>
            <w:r>
              <w:rPr>
                <w:rFonts w:hint="eastAsia" w:ascii="宋体" w:hAnsi="宋体" w:eastAsia="宋体" w:cs="宋体"/>
                <w:sz w:val="21"/>
                <w:szCs w:val="21"/>
              </w:rPr>
              <w:t>3.2个级联端口能够额外连接另一台天线分配器；</w:t>
            </w:r>
          </w:p>
          <w:p w14:paraId="58945467">
            <w:pPr>
              <w:widowControl w:val="0"/>
              <w:jc w:val="left"/>
              <w:rPr>
                <w:rFonts w:hint="eastAsia" w:ascii="宋体" w:hAnsi="宋体" w:eastAsia="宋体" w:cs="宋体"/>
                <w:sz w:val="21"/>
                <w:szCs w:val="21"/>
              </w:rPr>
            </w:pPr>
            <w:r>
              <w:rPr>
                <w:rFonts w:hint="eastAsia" w:ascii="宋体" w:hAnsi="宋体" w:eastAsia="宋体" w:cs="宋体"/>
                <w:sz w:val="21"/>
                <w:szCs w:val="21"/>
              </w:rPr>
              <w:t>4.450～970MHZ宽频道设计能够与在频率范围内工作；</w:t>
            </w:r>
          </w:p>
          <w:p w14:paraId="6CDC0722">
            <w:pPr>
              <w:widowControl w:val="0"/>
              <w:jc w:val="left"/>
              <w:rPr>
                <w:rFonts w:hint="eastAsia" w:ascii="宋体" w:hAnsi="宋体" w:eastAsia="宋体" w:cs="宋体"/>
                <w:sz w:val="21"/>
                <w:szCs w:val="21"/>
              </w:rPr>
            </w:pPr>
            <w:r>
              <w:rPr>
                <w:rFonts w:hint="eastAsia" w:ascii="宋体" w:hAnsi="宋体" w:eastAsia="宋体" w:cs="宋体"/>
                <w:sz w:val="21"/>
                <w:szCs w:val="21"/>
              </w:rPr>
              <w:t>5.增益：3dB/12dB（内置2档可调）；阻抗：50Ω；接收角度：70°；</w:t>
            </w:r>
          </w:p>
          <w:p w14:paraId="4E4F1A9F">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.输入电压：DC 12V 5A；接口：BNC</w:t>
            </w:r>
            <w:r>
              <w:rPr>
                <w:rFonts w:hint="eastAsia" w:ascii="宋体" w:hAnsi="宋体" w:eastAsia="宋体" w:cs="宋体"/>
                <w:sz w:val="21"/>
                <w:szCs w:val="21"/>
                <w:lang w:eastAsia="zh-CN"/>
              </w:rPr>
              <w:t>。</w:t>
            </w:r>
          </w:p>
        </w:tc>
        <w:tc>
          <w:tcPr>
            <w:tcW w:w="1314" w:type="dxa"/>
            <w:noWrap w:val="0"/>
            <w:vAlign w:val="top"/>
          </w:tcPr>
          <w:p w14:paraId="7DFDECFE">
            <w:pPr>
              <w:widowControl w:val="0"/>
              <w:jc w:val="both"/>
              <w:rPr>
                <w:rFonts w:hint="eastAsia" w:ascii="宋体" w:hAnsi="宋体" w:eastAsia="宋体" w:cs="宋体"/>
                <w:sz w:val="21"/>
                <w:szCs w:val="21"/>
              </w:rPr>
            </w:pPr>
          </w:p>
        </w:tc>
      </w:tr>
      <w:tr w14:paraId="382C2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5865896A">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1511" w:type="dxa"/>
            <w:noWrap w:val="0"/>
            <w:vAlign w:val="center"/>
          </w:tcPr>
          <w:p w14:paraId="410F3A0F">
            <w:pPr>
              <w:widowControl w:val="0"/>
              <w:jc w:val="both"/>
              <w:rPr>
                <w:rFonts w:hint="eastAsia" w:ascii="宋体" w:hAnsi="宋体" w:eastAsia="宋体" w:cs="宋体"/>
                <w:sz w:val="21"/>
                <w:szCs w:val="21"/>
              </w:rPr>
            </w:pPr>
            <w:r>
              <w:rPr>
                <w:rFonts w:hint="eastAsia" w:ascii="宋体" w:hAnsi="宋体" w:eastAsia="宋体" w:cs="宋体"/>
                <w:sz w:val="21"/>
                <w:szCs w:val="21"/>
              </w:rPr>
              <w:t>8路电源时序器</w:t>
            </w:r>
          </w:p>
        </w:tc>
        <w:tc>
          <w:tcPr>
            <w:tcW w:w="5436" w:type="dxa"/>
            <w:noWrap w:val="0"/>
            <w:vAlign w:val="top"/>
          </w:tcPr>
          <w:p w14:paraId="30382011">
            <w:pPr>
              <w:widowControl w:val="0"/>
              <w:jc w:val="left"/>
              <w:rPr>
                <w:rFonts w:hint="eastAsia" w:ascii="宋体" w:hAnsi="宋体" w:eastAsia="宋体" w:cs="宋体"/>
                <w:sz w:val="21"/>
                <w:szCs w:val="21"/>
              </w:rPr>
            </w:pPr>
            <w:r>
              <w:rPr>
                <w:rFonts w:hint="eastAsia" w:ascii="宋体" w:hAnsi="宋体" w:eastAsia="宋体" w:cs="宋体"/>
                <w:sz w:val="21"/>
                <w:szCs w:val="21"/>
              </w:rPr>
              <w:t>1、配备3.5寸彩色TFT-LCD可触控显示屏，可实时显示当前电压，日期时间，信道开关状态；</w:t>
            </w:r>
            <w:r>
              <w:rPr>
                <w:rFonts w:hint="eastAsia" w:ascii="宋体" w:hAnsi="宋体" w:eastAsia="宋体" w:cs="宋体"/>
                <w:sz w:val="21"/>
                <w:szCs w:val="21"/>
              </w:rPr>
              <w:br w:type="textWrapping"/>
            </w:r>
            <w:r>
              <w:rPr>
                <w:rFonts w:hint="eastAsia" w:ascii="宋体" w:hAnsi="宋体" w:eastAsia="宋体" w:cs="宋体"/>
                <w:sz w:val="21"/>
                <w:szCs w:val="21"/>
              </w:rPr>
              <w:t xml:space="preserve">2、8路开关通道输出，每路延时开启和关闭时间可自由设置（范围0~999秒）； </w:t>
            </w:r>
          </w:p>
          <w:p w14:paraId="20832DB1">
            <w:pPr>
              <w:widowControl w:val="0"/>
              <w:jc w:val="left"/>
              <w:rPr>
                <w:rFonts w:hint="eastAsia" w:ascii="宋体" w:hAnsi="宋体" w:eastAsia="宋体" w:cs="宋体"/>
                <w:sz w:val="21"/>
                <w:szCs w:val="21"/>
              </w:rPr>
            </w:pPr>
            <w:r>
              <w:rPr>
                <w:rFonts w:hint="eastAsia" w:ascii="宋体" w:hAnsi="宋体" w:eastAsia="宋体" w:cs="宋体"/>
                <w:sz w:val="21"/>
                <w:szCs w:val="21"/>
              </w:rPr>
              <w:t>3、每通道可以独立设置开启/关闭，方便设备灵活使用；</w:t>
            </w:r>
            <w:r>
              <w:rPr>
                <w:rFonts w:hint="eastAsia" w:ascii="宋体" w:hAnsi="宋体" w:eastAsia="宋体" w:cs="宋体"/>
                <w:sz w:val="21"/>
                <w:szCs w:val="21"/>
              </w:rPr>
              <w:br w:type="textWrapping"/>
            </w: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每通道独立滤波器消除电磁干扰，为每路提供稳定的电流；</w:t>
            </w:r>
          </w:p>
          <w:p w14:paraId="3DA8FA83">
            <w:pPr>
              <w:widowControl w:val="0"/>
              <w:jc w:val="left"/>
              <w:rPr>
                <w:rFonts w:hint="eastAsia" w:ascii="宋体" w:hAnsi="宋体" w:eastAsia="宋体" w:cs="宋体"/>
                <w:sz w:val="21"/>
                <w:szCs w:val="21"/>
              </w:rPr>
            </w:pPr>
            <w:r>
              <w:rPr>
                <w:rFonts w:hint="eastAsia" w:ascii="宋体" w:hAnsi="宋体" w:eastAsia="宋体" w:cs="宋体"/>
                <w:sz w:val="21"/>
                <w:szCs w:val="21"/>
              </w:rPr>
              <w:t>5、内置时钟芯片，可根据日期时间定时设置自动开启/关闭每一通道；</w:t>
            </w:r>
          </w:p>
          <w:p w14:paraId="4512D08C">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配置RS232和RS485接口，支持级联、中央设备控制；</w:t>
            </w:r>
          </w:p>
          <w:p w14:paraId="3D4465E2">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、额定输出总电流：40A，单路输出电流：20A</w:t>
            </w:r>
            <w:r>
              <w:rPr>
                <w:rFonts w:hint="eastAsia" w:ascii="宋体" w:hAnsi="宋体" w:eastAsia="宋体" w:cs="宋体"/>
                <w:sz w:val="21"/>
                <w:szCs w:val="21"/>
                <w:lang w:eastAsia="zh-CN"/>
              </w:rPr>
              <w:t>；</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、电源输出接口：8路智慧控制,1路直通输出</w:t>
            </w:r>
            <w:r>
              <w:rPr>
                <w:rFonts w:hint="eastAsia" w:ascii="宋体" w:hAnsi="宋体" w:eastAsia="宋体" w:cs="宋体"/>
                <w:sz w:val="21"/>
                <w:szCs w:val="21"/>
                <w:lang w:eastAsia="zh-CN"/>
              </w:rPr>
              <w:t>。</w:t>
            </w:r>
          </w:p>
        </w:tc>
        <w:tc>
          <w:tcPr>
            <w:tcW w:w="1314" w:type="dxa"/>
            <w:noWrap w:val="0"/>
            <w:vAlign w:val="top"/>
          </w:tcPr>
          <w:p w14:paraId="60043C9E">
            <w:pPr>
              <w:widowControl w:val="0"/>
              <w:jc w:val="both"/>
              <w:rPr>
                <w:rFonts w:hint="eastAsia" w:ascii="宋体" w:hAnsi="宋体" w:eastAsia="宋体" w:cs="宋体"/>
                <w:sz w:val="21"/>
                <w:szCs w:val="21"/>
              </w:rPr>
            </w:pPr>
          </w:p>
        </w:tc>
      </w:tr>
      <w:tr w14:paraId="3474E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518" w:type="dxa"/>
            <w:noWrap w:val="0"/>
            <w:vAlign w:val="center"/>
          </w:tcPr>
          <w:p w14:paraId="011EBBDF">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w:t>
            </w:r>
          </w:p>
        </w:tc>
        <w:tc>
          <w:tcPr>
            <w:tcW w:w="1511" w:type="dxa"/>
            <w:noWrap w:val="0"/>
            <w:vAlign w:val="center"/>
          </w:tcPr>
          <w:p w14:paraId="0C9977AF">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2米机柜</w:t>
            </w:r>
          </w:p>
        </w:tc>
        <w:tc>
          <w:tcPr>
            <w:tcW w:w="5436" w:type="dxa"/>
            <w:noWrap w:val="0"/>
            <w:vAlign w:val="top"/>
          </w:tcPr>
          <w:p w14:paraId="48232281">
            <w:pPr>
              <w:widowControl w:val="0"/>
              <w:jc w:val="left"/>
              <w:rPr>
                <w:rFonts w:hint="eastAsia" w:ascii="宋体" w:hAnsi="宋体" w:eastAsia="宋体" w:cs="宋体"/>
                <w:sz w:val="21"/>
                <w:szCs w:val="21"/>
              </w:rPr>
            </w:pPr>
            <w:r>
              <w:rPr>
                <w:rFonts w:hint="eastAsia" w:ascii="宋体" w:hAnsi="宋体" w:eastAsia="宋体" w:cs="宋体"/>
                <w:sz w:val="21"/>
                <w:szCs w:val="21"/>
              </w:rPr>
              <w:t>1、尺寸：600*600*</w:t>
            </w:r>
            <w:r>
              <w:rPr>
                <w:rFonts w:hint="eastAsia" w:ascii="宋体" w:hAnsi="宋体" w:eastAsia="宋体" w:cs="宋体"/>
                <w:sz w:val="21"/>
                <w:szCs w:val="21"/>
                <w:lang w:val="en-US" w:eastAsia="zh-CN"/>
              </w:rPr>
              <w:t>20</w:t>
            </w:r>
            <w:r>
              <w:rPr>
                <w:rFonts w:hint="eastAsia" w:ascii="宋体" w:hAnsi="宋体" w:eastAsia="宋体" w:cs="宋体"/>
                <w:sz w:val="21"/>
                <w:szCs w:val="21"/>
              </w:rPr>
              <w:t>00mm；</w:t>
            </w:r>
          </w:p>
          <w:p w14:paraId="215F0EE5">
            <w:pPr>
              <w:widowControl w:val="0"/>
              <w:jc w:val="left"/>
              <w:rPr>
                <w:rFonts w:hint="eastAsia" w:ascii="宋体" w:hAnsi="宋体" w:eastAsia="宋体" w:cs="宋体"/>
                <w:sz w:val="21"/>
                <w:szCs w:val="21"/>
              </w:rPr>
            </w:pPr>
            <w:r>
              <w:rPr>
                <w:rFonts w:hint="eastAsia" w:ascii="宋体" w:hAnsi="宋体" w:eastAsia="宋体" w:cs="宋体"/>
                <w:sz w:val="21"/>
                <w:szCs w:val="21"/>
              </w:rPr>
              <w:t>2、通风顶盖1个；</w:t>
            </w:r>
          </w:p>
          <w:p w14:paraId="13EDECAF">
            <w:pPr>
              <w:widowControl w:val="0"/>
              <w:jc w:val="left"/>
              <w:rPr>
                <w:rFonts w:hint="eastAsia" w:ascii="宋体" w:hAnsi="宋体" w:eastAsia="宋体" w:cs="宋体"/>
                <w:sz w:val="21"/>
                <w:szCs w:val="21"/>
              </w:rPr>
            </w:pPr>
            <w:r>
              <w:rPr>
                <w:rFonts w:hint="eastAsia" w:ascii="宋体" w:hAnsi="宋体" w:eastAsia="宋体" w:cs="宋体"/>
                <w:sz w:val="21"/>
                <w:szCs w:val="21"/>
              </w:rPr>
              <w:t>3、置顶式散热排气风扇2把；</w:t>
            </w:r>
          </w:p>
          <w:p w14:paraId="2948135A">
            <w:pPr>
              <w:widowControl w:val="0"/>
              <w:jc w:val="left"/>
              <w:rPr>
                <w:rFonts w:hint="eastAsia" w:ascii="宋体" w:hAnsi="宋体" w:eastAsia="宋体" w:cs="宋体"/>
                <w:sz w:val="21"/>
                <w:szCs w:val="21"/>
              </w:rPr>
            </w:pPr>
            <w:r>
              <w:rPr>
                <w:rFonts w:hint="eastAsia" w:ascii="宋体" w:hAnsi="宋体" w:eastAsia="宋体" w:cs="宋体"/>
                <w:sz w:val="21"/>
                <w:szCs w:val="21"/>
              </w:rPr>
              <w:t>4、钢质装拆式侧门1对；</w:t>
            </w:r>
          </w:p>
          <w:p w14:paraId="556958B9">
            <w:pPr>
              <w:widowControl w:val="0"/>
              <w:jc w:val="left"/>
              <w:rPr>
                <w:rFonts w:hint="eastAsia" w:ascii="宋体" w:hAnsi="宋体" w:eastAsia="宋体" w:cs="宋体"/>
                <w:sz w:val="21"/>
                <w:szCs w:val="21"/>
              </w:rPr>
            </w:pPr>
            <w:r>
              <w:rPr>
                <w:rFonts w:hint="eastAsia" w:ascii="宋体" w:hAnsi="宋体" w:eastAsia="宋体" w:cs="宋体"/>
                <w:sz w:val="21"/>
                <w:szCs w:val="21"/>
              </w:rPr>
              <w:t>5、带锁框式玻璃前门1个；</w:t>
            </w:r>
          </w:p>
          <w:p w14:paraId="78619A88">
            <w:pPr>
              <w:widowControl w:val="0"/>
              <w:jc w:val="left"/>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、带锁框式网孔</w:t>
            </w:r>
            <w:r>
              <w:rPr>
                <w:rFonts w:hint="eastAsia" w:ascii="宋体" w:hAnsi="宋体" w:eastAsia="宋体" w:cs="宋体"/>
                <w:sz w:val="21"/>
                <w:szCs w:val="21"/>
                <w:lang w:val="en-US" w:eastAsia="zh-CN"/>
              </w:rPr>
              <w:t>后</w:t>
            </w:r>
            <w:r>
              <w:rPr>
                <w:rFonts w:hint="eastAsia" w:ascii="宋体" w:hAnsi="宋体" w:eastAsia="宋体" w:cs="宋体"/>
                <w:sz w:val="21"/>
                <w:szCs w:val="21"/>
              </w:rPr>
              <w:t>门1个；</w:t>
            </w:r>
          </w:p>
          <w:p w14:paraId="06F02569">
            <w:pPr>
              <w:widowControl w:val="0"/>
              <w:jc w:val="left"/>
              <w:rPr>
                <w:rFonts w:hint="eastAsia" w:ascii="宋体" w:hAnsi="宋体" w:eastAsia="宋体" w:cs="宋体"/>
                <w:sz w:val="21"/>
                <w:szCs w:val="21"/>
              </w:rPr>
            </w:pPr>
            <w:r>
              <w:rPr>
                <w:rFonts w:hint="eastAsia" w:ascii="宋体" w:hAnsi="宋体" w:eastAsia="宋体" w:cs="宋体"/>
                <w:sz w:val="21"/>
                <w:szCs w:val="21"/>
              </w:rPr>
              <w:t>7、6路普通插座1个</w:t>
            </w:r>
            <w:r>
              <w:rPr>
                <w:rFonts w:hint="eastAsia" w:ascii="宋体" w:hAnsi="宋体" w:eastAsia="宋体" w:cs="宋体"/>
                <w:sz w:val="21"/>
                <w:szCs w:val="21"/>
                <w:lang w:eastAsia="zh-CN"/>
              </w:rPr>
              <w:t>。</w:t>
            </w:r>
          </w:p>
        </w:tc>
        <w:tc>
          <w:tcPr>
            <w:tcW w:w="1314" w:type="dxa"/>
            <w:noWrap w:val="0"/>
            <w:vAlign w:val="top"/>
          </w:tcPr>
          <w:p w14:paraId="54EBBE0A">
            <w:pPr>
              <w:widowControl w:val="0"/>
              <w:jc w:val="both"/>
              <w:rPr>
                <w:rFonts w:hint="eastAsia" w:ascii="宋体" w:hAnsi="宋体" w:eastAsia="宋体" w:cs="宋体"/>
                <w:sz w:val="21"/>
                <w:szCs w:val="21"/>
              </w:rPr>
            </w:pPr>
          </w:p>
        </w:tc>
      </w:tr>
      <w:tr w14:paraId="4AE928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79" w:type="dxa"/>
            <w:gridSpan w:val="4"/>
            <w:tcBorders>
              <w:top w:val="single" w:color="000000" w:sz="4" w:space="0"/>
              <w:left w:val="single" w:color="000000" w:sz="4" w:space="0"/>
              <w:bottom w:val="single" w:color="000000" w:sz="4" w:space="0"/>
              <w:right w:val="single" w:color="000000" w:sz="4" w:space="0"/>
            </w:tcBorders>
            <w:noWrap w:val="0"/>
            <w:vAlign w:val="center"/>
          </w:tcPr>
          <w:p w14:paraId="614439D1">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sz w:val="21"/>
                <w:szCs w:val="21"/>
                <w:lang w:val="en-US" w:eastAsia="zh-CN"/>
              </w:rPr>
              <w:t>2、灯光系统</w:t>
            </w:r>
          </w:p>
        </w:tc>
      </w:tr>
      <w:tr w14:paraId="0BD62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A921359">
            <w:pPr>
              <w:widowControl w:val="0"/>
              <w:jc w:val="both"/>
              <w:rPr>
                <w:rFonts w:hint="eastAsia" w:ascii="宋体" w:hAnsi="宋体" w:eastAsia="宋体" w:cs="宋体"/>
                <w:b/>
                <w:bCs/>
                <w:i w:val="0"/>
                <w:iCs w:val="0"/>
                <w:color w:val="000000"/>
                <w:sz w:val="21"/>
                <w:szCs w:val="21"/>
                <w:u w:val="none"/>
              </w:rPr>
            </w:pPr>
            <w:r>
              <w:rPr>
                <w:rFonts w:hint="eastAsia" w:ascii="宋体" w:hAnsi="宋体" w:eastAsia="宋体" w:cs="宋体"/>
                <w:sz w:val="21"/>
                <w:szCs w:val="21"/>
                <w:lang w:val="en-US" w:eastAsia="zh-CN"/>
              </w:rPr>
              <w:t>1</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050FF0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4颗双色LED变焦面光灯</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2F10D4A7">
            <w:pPr>
              <w:keepNext w:val="0"/>
              <w:keepLines w:val="0"/>
              <w:pageBreakBefore w:val="0"/>
              <w:widowControl w:val="0"/>
              <w:kinsoku/>
              <w:wordWrap w:val="0"/>
              <w:overflowPunct/>
              <w:topLinePunct/>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rPr>
              <w:t xml:space="preserve">1、额定电压：AC100～240V 50/60Hz；额定功率：220W；功率因数：PF≥0.95；         </w:t>
            </w:r>
          </w:p>
          <w:p w14:paraId="12330972">
            <w:pPr>
              <w:keepNext w:val="0"/>
              <w:keepLines w:val="0"/>
              <w:pageBreakBefore w:val="0"/>
              <w:widowControl w:val="0"/>
              <w:kinsoku/>
              <w:wordWrap w:val="0"/>
              <w:overflowPunct/>
              <w:topLinePunct/>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、电源接口：灯具自带三芯防水对接插头，一进一出，线长3米；</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、信号接口：灯具自带三芯防水对接插头，一进一出，线长3米；</w:t>
            </w:r>
          </w:p>
          <w:p w14:paraId="4B62BB6C">
            <w:pPr>
              <w:keepNext w:val="0"/>
              <w:keepLines w:val="0"/>
              <w:pageBreakBefore w:val="0"/>
              <w:widowControl w:val="0"/>
              <w:kinsoku/>
              <w:wordWrap w:val="0"/>
              <w:overflowPunct/>
              <w:topLinePunct/>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、光源：4颗100W 二合一COB进口灯珠；</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、色温：2800～6000K可调；              </w:t>
            </w:r>
          </w:p>
          <w:p w14:paraId="5D14F056">
            <w:pPr>
              <w:keepNext w:val="0"/>
              <w:keepLines w:val="0"/>
              <w:pageBreakBefore w:val="0"/>
              <w:widowControl w:val="0"/>
              <w:kinsoku/>
              <w:wordWrap w:val="0"/>
              <w:overflowPunct/>
              <w:topLinePunct/>
              <w:autoSpaceDE/>
              <w:autoSpaceDN/>
              <w:bidi w:val="0"/>
              <w:adjustRightInd/>
              <w:snapToGrid/>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、显指：Ra≥93；</w:t>
            </w:r>
          </w:p>
          <w:p w14:paraId="15D982B9">
            <w:pPr>
              <w:widowControl w:val="0"/>
              <w:jc w:val="both"/>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rPr>
              <w:t>、寿命：≥50000小时；</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、控制模式：国际标准DMX512信号、RDM、声控、自走、主从；通道数量：8CH/14CH；</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9</w:t>
            </w:r>
            <w:r>
              <w:rPr>
                <w:rFonts w:hint="eastAsia" w:ascii="宋体" w:hAnsi="宋体" w:eastAsia="宋体" w:cs="宋体"/>
                <w:sz w:val="21"/>
                <w:szCs w:val="21"/>
              </w:rPr>
              <w:t>、出光角度：15°～ 55°电动线性变焦；</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lang w:val="en-US" w:eastAsia="zh-CN"/>
              </w:rPr>
              <w:t>0</w:t>
            </w:r>
            <w:r>
              <w:rPr>
                <w:rFonts w:hint="eastAsia" w:ascii="宋体" w:hAnsi="宋体" w:eastAsia="宋体" w:cs="宋体"/>
                <w:sz w:val="21"/>
                <w:szCs w:val="21"/>
              </w:rPr>
              <w:t>、频闪系统:独立电子频闪，频率最高达到25Hz；</w:t>
            </w:r>
            <w:r>
              <w:rPr>
                <w:rFonts w:hint="eastAsia" w:ascii="宋体" w:hAnsi="宋体" w:eastAsia="宋体" w:cs="宋体"/>
                <w:sz w:val="21"/>
                <w:szCs w:val="21"/>
              </w:rPr>
              <w:br w:type="textWrapping"/>
            </w:r>
            <w:r>
              <w:rPr>
                <w:rFonts w:hint="eastAsia" w:ascii="宋体" w:hAnsi="宋体" w:eastAsia="宋体" w:cs="宋体"/>
                <w:sz w:val="21"/>
                <w:szCs w:val="21"/>
              </w:rPr>
              <w:t>1</w:t>
            </w:r>
            <w:r>
              <w:rPr>
                <w:rFonts w:hint="eastAsia" w:ascii="宋体" w:hAnsi="宋体" w:eastAsia="宋体" w:cs="宋体"/>
                <w:sz w:val="21"/>
                <w:szCs w:val="21"/>
                <w:lang w:val="en-US" w:eastAsia="zh-CN"/>
              </w:rPr>
              <w:t>1</w:t>
            </w:r>
            <w:r>
              <w:rPr>
                <w:rFonts w:hint="eastAsia" w:ascii="宋体" w:hAnsi="宋体" w:eastAsia="宋体" w:cs="宋体"/>
                <w:sz w:val="21"/>
                <w:szCs w:val="21"/>
              </w:rPr>
              <w:t>、智能温控保护功能：光源温度过高时，可自动调节；</w:t>
            </w:r>
          </w:p>
          <w:p w14:paraId="67E7634D">
            <w:pPr>
              <w:keepNext w:val="0"/>
              <w:keepLines w:val="0"/>
              <w:pageBreakBefore w:val="0"/>
              <w:widowControl w:val="0"/>
              <w:kinsoku/>
              <w:wordWrap w:val="0"/>
              <w:overflowPunct/>
              <w:topLinePunct/>
              <w:autoSpaceDE/>
              <w:autoSpaceDN/>
              <w:bidi w:val="0"/>
              <w:adjustRightInd/>
              <w:snapToGrid/>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2</w:t>
            </w:r>
            <w:r>
              <w:rPr>
                <w:rFonts w:hint="eastAsia" w:ascii="宋体" w:hAnsi="宋体" w:eastAsia="宋体" w:cs="宋体"/>
                <w:sz w:val="21"/>
                <w:szCs w:val="21"/>
              </w:rPr>
              <w:t>、散热模式:灯具使用压铸铝外壳，智能防水风机控制功能，根据温度自动调节风机开关</w:t>
            </w:r>
            <w:r>
              <w:rPr>
                <w:rFonts w:hint="eastAsia" w:ascii="宋体" w:hAnsi="宋体" w:eastAsia="宋体" w:cs="宋体"/>
                <w:sz w:val="21"/>
                <w:szCs w:val="21"/>
                <w:lang w:eastAsia="zh-CN"/>
              </w:rPr>
              <w:t>；</w:t>
            </w:r>
          </w:p>
          <w:p w14:paraId="72881E7C">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sz w:val="21"/>
                <w:szCs w:val="21"/>
              </w:rPr>
              <w:t>1</w:t>
            </w:r>
            <w:r>
              <w:rPr>
                <w:rFonts w:hint="eastAsia" w:ascii="宋体" w:hAnsi="宋体" w:eastAsia="宋体" w:cs="宋体"/>
                <w:sz w:val="21"/>
                <w:szCs w:val="21"/>
                <w:lang w:val="en-US" w:eastAsia="zh-CN"/>
              </w:rPr>
              <w:t>3</w:t>
            </w:r>
            <w:r>
              <w:rPr>
                <w:rFonts w:hint="eastAsia" w:ascii="宋体" w:hAnsi="宋体" w:eastAsia="宋体" w:cs="宋体"/>
                <w:sz w:val="21"/>
                <w:szCs w:val="21"/>
              </w:rPr>
              <w:t>、产品特点：铸铝外壳，光效高，性能稳定；防护等级：IP20</w:t>
            </w:r>
            <w:r>
              <w:rPr>
                <w:rFonts w:hint="eastAsia" w:ascii="宋体" w:hAnsi="宋体" w:eastAsia="宋体" w:cs="宋体"/>
                <w:sz w:val="21"/>
                <w:szCs w:val="21"/>
                <w:lang w:eastAsia="zh-CN"/>
              </w:rPr>
              <w:t>。</w:t>
            </w:r>
            <w:r>
              <w:rPr>
                <w:rFonts w:hint="eastAsia" w:ascii="宋体" w:hAnsi="宋体" w:eastAsia="宋体" w:cs="宋体"/>
                <w:sz w:val="21"/>
                <w:szCs w:val="21"/>
              </w:rPr>
              <w:t xml:space="preserve">                                                                                                                       </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447DFCE">
            <w:pPr>
              <w:widowControl w:val="0"/>
              <w:jc w:val="left"/>
              <w:rPr>
                <w:rFonts w:hint="eastAsia" w:ascii="宋体" w:hAnsi="宋体" w:eastAsia="宋体" w:cs="宋体"/>
                <w:i w:val="0"/>
                <w:iCs w:val="0"/>
                <w:color w:val="000000"/>
                <w:sz w:val="21"/>
                <w:szCs w:val="21"/>
                <w:u w:val="none"/>
              </w:rPr>
            </w:pPr>
          </w:p>
        </w:tc>
      </w:tr>
      <w:tr w14:paraId="09208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60AB6E8">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5E247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18颗四合一帕灯 </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29484AC8">
            <w:pPr>
              <w:widowControl w:val="0"/>
              <w:jc w:val="left"/>
              <w:rPr>
                <w:rFonts w:hint="eastAsia" w:ascii="宋体" w:hAnsi="宋体" w:eastAsia="宋体" w:cs="宋体"/>
                <w:i w:val="0"/>
                <w:iCs w:val="0"/>
                <w:color w:val="000000"/>
                <w:sz w:val="21"/>
                <w:szCs w:val="21"/>
                <w:u w:val="none"/>
                <w:lang w:eastAsia="zh-CN"/>
              </w:rPr>
            </w:pPr>
            <w:r>
              <w:rPr>
                <w:rFonts w:hint="eastAsia" w:ascii="宋体" w:hAnsi="宋体" w:eastAsia="宋体" w:cs="宋体"/>
                <w:sz w:val="21"/>
                <w:szCs w:val="21"/>
              </w:rPr>
              <w:t>1、额定电压：AC100-240V~ 50/60Hz；额定功率：180W；</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2</w:t>
            </w:r>
            <w:r>
              <w:rPr>
                <w:rFonts w:hint="eastAsia" w:ascii="宋体" w:hAnsi="宋体" w:eastAsia="宋体" w:cs="宋体"/>
                <w:sz w:val="21"/>
                <w:szCs w:val="21"/>
              </w:rPr>
              <w:t>、电源接口：灯具自带快插对接插头，一进一出，线长2 米；</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3</w:t>
            </w:r>
            <w:r>
              <w:rPr>
                <w:rFonts w:hint="eastAsia" w:ascii="宋体" w:hAnsi="宋体" w:eastAsia="宋体" w:cs="宋体"/>
                <w:sz w:val="21"/>
                <w:szCs w:val="21"/>
              </w:rPr>
              <w:t>、信号接口：灯具自带快插对接插头，一进一出，线长 2 米；</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4</w:t>
            </w:r>
            <w:r>
              <w:rPr>
                <w:rFonts w:hint="eastAsia" w:ascii="宋体" w:hAnsi="宋体" w:eastAsia="宋体" w:cs="宋体"/>
                <w:sz w:val="21"/>
                <w:szCs w:val="21"/>
              </w:rPr>
              <w:t>、光源：18颗10W四合一RGBW LED；灯泡寿命：</w:t>
            </w:r>
            <w:r>
              <w:rPr>
                <w:rFonts w:hint="eastAsia" w:ascii="宋体" w:hAnsi="宋体" w:eastAsia="宋体" w:cs="宋体"/>
                <w:color w:val="000000"/>
                <w:kern w:val="0"/>
                <w:sz w:val="21"/>
                <w:szCs w:val="21"/>
                <w:lang w:bidi="ar"/>
              </w:rPr>
              <w:t>≥</w:t>
            </w:r>
            <w:r>
              <w:rPr>
                <w:rFonts w:hint="eastAsia" w:ascii="宋体" w:hAnsi="宋体" w:eastAsia="宋体" w:cs="宋体"/>
                <w:sz w:val="21"/>
                <w:szCs w:val="21"/>
              </w:rPr>
              <w:t>50000小时；</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5</w:t>
            </w:r>
            <w:r>
              <w:rPr>
                <w:rFonts w:hint="eastAsia" w:ascii="宋体" w:hAnsi="宋体" w:eastAsia="宋体" w:cs="宋体"/>
                <w:sz w:val="21"/>
                <w:szCs w:val="21"/>
              </w:rPr>
              <w:t>、颜色：均匀的 RGBW 混色系统；出光角度：25°；</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6</w:t>
            </w:r>
            <w:r>
              <w:rPr>
                <w:rFonts w:hint="eastAsia" w:ascii="宋体" w:hAnsi="宋体" w:eastAsia="宋体" w:cs="宋体"/>
                <w:sz w:val="21"/>
                <w:szCs w:val="21"/>
              </w:rPr>
              <w:t>、控制方式：国际标准 DMX512 信号、声控、自走、主从；通道模式：9CH；</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7</w:t>
            </w:r>
            <w:r>
              <w:rPr>
                <w:rFonts w:hint="eastAsia" w:ascii="宋体" w:hAnsi="宋体" w:eastAsia="宋体" w:cs="宋体"/>
                <w:sz w:val="21"/>
                <w:szCs w:val="21"/>
              </w:rPr>
              <w:t>、频闪系统：独立电子频闪，1-25Hz, 出色的频闪效果，速度可变；</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8</w:t>
            </w:r>
            <w:r>
              <w:rPr>
                <w:rFonts w:hint="eastAsia" w:ascii="宋体" w:hAnsi="宋体" w:eastAsia="宋体" w:cs="宋体"/>
                <w:sz w:val="21"/>
                <w:szCs w:val="21"/>
              </w:rPr>
              <w:t>、调光系统：0-100% 线性调光；</w:t>
            </w:r>
            <w:r>
              <w:rPr>
                <w:rFonts w:hint="eastAsia" w:ascii="宋体" w:hAnsi="宋体" w:eastAsia="宋体" w:cs="宋体"/>
                <w:sz w:val="21"/>
                <w:szCs w:val="21"/>
              </w:rPr>
              <w:br w:type="textWrapping"/>
            </w:r>
            <w:r>
              <w:rPr>
                <w:rFonts w:hint="eastAsia" w:ascii="宋体" w:hAnsi="宋体" w:eastAsia="宋体" w:cs="宋体"/>
                <w:sz w:val="21"/>
                <w:szCs w:val="21"/>
                <w:lang w:val="en-US" w:eastAsia="zh-CN"/>
              </w:rPr>
              <w:t>9</w:t>
            </w:r>
            <w:r>
              <w:rPr>
                <w:rFonts w:hint="eastAsia" w:ascii="宋体" w:hAnsi="宋体" w:eastAsia="宋体" w:cs="宋体"/>
                <w:sz w:val="21"/>
                <w:szCs w:val="21"/>
              </w:rPr>
              <w:t>、产品外观：压铸铝外壳；防护等级：IP20</w:t>
            </w:r>
            <w:r>
              <w:rPr>
                <w:rFonts w:hint="eastAsia" w:ascii="宋体" w:hAnsi="宋体" w:eastAsia="宋体" w:cs="宋体"/>
                <w:sz w:val="21"/>
                <w:szCs w:val="21"/>
                <w:lang w:eastAsia="zh-CN"/>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E9BDB96">
            <w:pPr>
              <w:widowControl w:val="0"/>
              <w:jc w:val="left"/>
              <w:rPr>
                <w:rFonts w:hint="eastAsia" w:ascii="宋体" w:hAnsi="宋体" w:eastAsia="宋体" w:cs="宋体"/>
                <w:i w:val="0"/>
                <w:iCs w:val="0"/>
                <w:color w:val="000000"/>
                <w:sz w:val="21"/>
                <w:szCs w:val="21"/>
                <w:u w:val="none"/>
              </w:rPr>
            </w:pPr>
          </w:p>
        </w:tc>
      </w:tr>
      <w:tr w14:paraId="5C408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43"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7AE67C87">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66451A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LED三基色会议灯</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73E109E6">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1、额定电压：AC100～240V 50/60Hz；                                                                                                                                            2、额定功率：150W；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 xml:space="preserve">3、功率因数：PF≥0.95；                                                                                                                                                      4、电源接口：PowerCon输入输出；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5、信号接口：3芯 DMX输入输出；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6、光 源：264颗  LED；</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7、寿命：≥50000小时；</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8、色 温：3200K/5600K(±200K)；                                                                                                                                                          9、显指：Ra≥90，R9≥90；</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highlight w:val="none"/>
                <w:lang w:bidi="ar"/>
              </w:rPr>
              <w:t xml:space="preserve">10、控制模式：国际标准DMX512信号、RDM、声控、自走、主从；                                                                                                                                                         11、通道数量：2CH；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、防护等级：IP20</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lang w:bidi="ar"/>
              </w:rPr>
              <w:t xml:space="preserve">                                                                                                                                                              </w:t>
            </w:r>
            <w:r>
              <w:rPr>
                <w:rFonts w:hint="eastAsia" w:ascii="宋体" w:hAnsi="宋体" w:eastAsia="宋体" w:cs="宋体"/>
                <w:i w:val="0"/>
                <w:iCs w:val="0"/>
                <w:color w:val="000000"/>
                <w:kern w:val="0"/>
                <w:sz w:val="21"/>
                <w:szCs w:val="21"/>
                <w:u w:val="none"/>
                <w:lang w:val="en-US" w:eastAsia="zh-CN" w:bidi="ar"/>
              </w:rPr>
              <w:t xml:space="preserve">                                                                                                               </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2FEED88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3B932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9"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8FA7E9F">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4D772F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380W光束灯</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790FCA7B">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1、输入电压：AC100-240V~50/60Hz；</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2、额定功率：500W；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3、电源接口：插拔式自锁防松电源座设计，一进一出，电源线长3 米 ( 标配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highlight w:val="none"/>
                <w:lang w:bidi="ar"/>
              </w:rPr>
              <w:t>4、信号接口：三芯镀金卡侬座设计 ( 一进一出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val="en-US" w:eastAsia="zh-CN" w:bidi="ar"/>
              </w:rPr>
              <w:t>5</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highlight w:val="none"/>
                <w:lang w:bidi="ar"/>
              </w:rPr>
              <w:t>灯泡寿命：≥2000 小时；</w:t>
            </w:r>
            <w:r>
              <w:rPr>
                <w:rFonts w:hint="eastAsia" w:ascii="宋体" w:hAnsi="宋体" w:eastAsia="宋体" w:cs="宋体"/>
                <w:color w:val="000000"/>
                <w:kern w:val="0"/>
                <w:sz w:val="21"/>
                <w:szCs w:val="21"/>
                <w:highlight w:val="red"/>
                <w:lang w:bidi="ar"/>
              </w:rPr>
              <w:br w:type="textWrapping"/>
            </w:r>
            <w:r>
              <w:rPr>
                <w:rFonts w:hint="eastAsia" w:ascii="宋体" w:hAnsi="宋体" w:eastAsia="宋体" w:cs="宋体"/>
                <w:color w:val="000000"/>
                <w:kern w:val="0"/>
                <w:sz w:val="21"/>
                <w:szCs w:val="21"/>
                <w:highlight w:val="none"/>
                <w:lang w:val="en-US" w:eastAsia="zh-CN" w:bidi="ar"/>
              </w:rPr>
              <w:t>6</w:t>
            </w:r>
            <w:r>
              <w:rPr>
                <w:rFonts w:hint="eastAsia" w:ascii="宋体" w:hAnsi="宋体" w:eastAsia="宋体" w:cs="宋体"/>
                <w:color w:val="000000"/>
                <w:kern w:val="0"/>
                <w:sz w:val="21"/>
                <w:szCs w:val="21"/>
                <w:highlight w:val="none"/>
                <w:lang w:bidi="ar"/>
              </w:rPr>
              <w:t>、固定颜色：14 种颜色 + 白光可选色温：</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7</w:t>
            </w:r>
            <w:r>
              <w:rPr>
                <w:rFonts w:hint="eastAsia" w:ascii="宋体" w:hAnsi="宋体" w:eastAsia="宋体" w:cs="宋体"/>
                <w:color w:val="000000"/>
                <w:kern w:val="0"/>
                <w:sz w:val="21"/>
                <w:szCs w:val="21"/>
                <w:highlight w:val="none"/>
                <w:lang w:bidi="ar"/>
              </w:rPr>
              <w:t>、固定图案：15 个图案加白光；</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8</w:t>
            </w:r>
            <w:r>
              <w:rPr>
                <w:rFonts w:hint="eastAsia" w:ascii="宋体" w:hAnsi="宋体" w:eastAsia="宋体" w:cs="宋体"/>
                <w:color w:val="000000"/>
                <w:kern w:val="0"/>
                <w:sz w:val="21"/>
                <w:szCs w:val="21"/>
                <w:highlight w:val="none"/>
                <w:lang w:bidi="ar"/>
              </w:rPr>
              <w:t>、棱镜系统：8 棱镜 (21°),8+16 两层花棱镜，棱镜可双向旋转及叠加；</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val="en-US" w:eastAsia="zh-CN" w:bidi="ar"/>
              </w:rPr>
              <w:t>9</w:t>
            </w:r>
            <w:r>
              <w:rPr>
                <w:rFonts w:hint="eastAsia" w:ascii="宋体" w:hAnsi="宋体" w:eastAsia="宋体" w:cs="宋体"/>
                <w:color w:val="000000"/>
                <w:kern w:val="0"/>
                <w:sz w:val="21"/>
                <w:szCs w:val="21"/>
                <w:highlight w:val="none"/>
                <w:lang w:bidi="ar"/>
              </w:rPr>
              <w:t>、控制方式：DMX512、RDM；</w:t>
            </w:r>
            <w:r>
              <w:rPr>
                <w:rFonts w:hint="eastAsia" w:ascii="宋体" w:hAnsi="宋体" w:eastAsia="宋体" w:cs="宋体"/>
                <w:color w:val="000000"/>
                <w:kern w:val="0"/>
                <w:sz w:val="21"/>
                <w:szCs w:val="21"/>
                <w:highlight w:val="none"/>
                <w:lang w:bidi="ar"/>
              </w:rPr>
              <w:br w:type="textWrapping"/>
            </w:r>
            <w:r>
              <w:rPr>
                <w:rFonts w:hint="eastAsia" w:ascii="宋体" w:hAnsi="宋体" w:eastAsia="宋体" w:cs="宋体"/>
                <w:color w:val="000000"/>
                <w:kern w:val="0"/>
                <w:sz w:val="21"/>
                <w:szCs w:val="21"/>
                <w:highlight w:val="none"/>
                <w:lang w:bidi="ar"/>
              </w:rPr>
              <w:t>1</w:t>
            </w:r>
            <w:r>
              <w:rPr>
                <w:rFonts w:hint="eastAsia" w:ascii="宋体" w:hAnsi="宋体" w:eastAsia="宋体" w:cs="宋体"/>
                <w:color w:val="000000"/>
                <w:kern w:val="0"/>
                <w:sz w:val="21"/>
                <w:szCs w:val="21"/>
                <w:highlight w:val="none"/>
                <w:lang w:val="en-US" w:eastAsia="zh-CN" w:bidi="ar"/>
              </w:rPr>
              <w:t>0</w:t>
            </w:r>
            <w:r>
              <w:rPr>
                <w:rFonts w:hint="eastAsia" w:ascii="宋体" w:hAnsi="宋体" w:eastAsia="宋体" w:cs="宋体"/>
                <w:color w:val="000000"/>
                <w:kern w:val="0"/>
                <w:sz w:val="21"/>
                <w:szCs w:val="21"/>
                <w:highlight w:val="none"/>
                <w:lang w:bidi="ar"/>
              </w:rPr>
              <w:t>、通道模式：17CH；</w:t>
            </w:r>
            <w:r>
              <w:rPr>
                <w:rFonts w:hint="eastAsia" w:ascii="宋体" w:hAnsi="宋体" w:eastAsia="宋体" w:cs="宋体"/>
                <w:color w:val="000000"/>
                <w:kern w:val="0"/>
                <w:sz w:val="21"/>
                <w:szCs w:val="21"/>
                <w:lang w:bidi="ar"/>
              </w:rPr>
              <w:t>；</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highlight w:val="none"/>
                <w:lang w:bidi="ar"/>
              </w:rPr>
              <w:t>1</w:t>
            </w:r>
            <w:r>
              <w:rPr>
                <w:rFonts w:hint="eastAsia" w:ascii="宋体" w:hAnsi="宋体" w:eastAsia="宋体" w:cs="宋体"/>
                <w:color w:val="000000"/>
                <w:kern w:val="0"/>
                <w:sz w:val="21"/>
                <w:szCs w:val="21"/>
                <w:highlight w:val="none"/>
                <w:lang w:val="en-US" w:eastAsia="zh-CN" w:bidi="ar"/>
              </w:rPr>
              <w:t>1</w:t>
            </w:r>
            <w:r>
              <w:rPr>
                <w:rFonts w:hint="eastAsia" w:ascii="宋体" w:hAnsi="宋体" w:eastAsia="宋体" w:cs="宋体"/>
                <w:color w:val="000000"/>
                <w:kern w:val="0"/>
                <w:sz w:val="21"/>
                <w:szCs w:val="21"/>
                <w:highlight w:val="none"/>
                <w:lang w:bidi="ar"/>
              </w:rPr>
              <w:t>、显示系统：1.8 英寸液晶显示屏，中英文显示，180 度旋转；</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1</w:t>
            </w:r>
            <w:r>
              <w:rPr>
                <w:rFonts w:hint="eastAsia" w:ascii="宋体" w:hAnsi="宋体" w:eastAsia="宋体" w:cs="宋体"/>
                <w:color w:val="000000"/>
                <w:kern w:val="0"/>
                <w:sz w:val="21"/>
                <w:szCs w:val="21"/>
                <w:lang w:val="en-US" w:eastAsia="zh-CN" w:bidi="ar"/>
              </w:rPr>
              <w:t>2</w:t>
            </w:r>
            <w:r>
              <w:rPr>
                <w:rFonts w:hint="eastAsia" w:ascii="宋体" w:hAnsi="宋体" w:eastAsia="宋体" w:cs="宋体"/>
                <w:color w:val="000000"/>
                <w:kern w:val="0"/>
                <w:sz w:val="21"/>
                <w:szCs w:val="21"/>
                <w:lang w:bidi="ar"/>
              </w:rPr>
              <w:t>、防护等级：IP20工作环境：0-40℃</w:t>
            </w:r>
            <w:r>
              <w:rPr>
                <w:rFonts w:hint="eastAsia" w:ascii="宋体" w:hAnsi="宋体" w:eastAsia="宋体" w:cs="宋体"/>
                <w:color w:val="000000"/>
                <w:kern w:val="0"/>
                <w:sz w:val="21"/>
                <w:szCs w:val="21"/>
                <w:lang w:eastAsia="zh-CN"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B8C603C">
            <w:pPr>
              <w:widowControl w:val="0"/>
              <w:jc w:val="left"/>
              <w:rPr>
                <w:rFonts w:hint="eastAsia" w:ascii="宋体" w:hAnsi="宋体" w:eastAsia="宋体" w:cs="宋体"/>
                <w:i w:val="0"/>
                <w:iCs w:val="0"/>
                <w:color w:val="000000"/>
                <w:sz w:val="21"/>
                <w:szCs w:val="21"/>
                <w:u w:val="none"/>
              </w:rPr>
            </w:pPr>
          </w:p>
        </w:tc>
      </w:tr>
      <w:tr w14:paraId="1D335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3"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5039247">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F86DE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1024控台</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7D76973F">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1、1024系列电脑灯光控制台可同时控制</w:t>
            </w:r>
            <w:r>
              <w:rPr>
                <w:rFonts w:hint="eastAsia" w:ascii="宋体" w:hAnsi="宋体" w:eastAsia="宋体" w:cs="宋体"/>
                <w:color w:val="000000"/>
                <w:kern w:val="0"/>
                <w:sz w:val="21"/>
                <w:szCs w:val="21"/>
                <w:lang w:val="en-US" w:eastAsia="zh-CN" w:bidi="ar"/>
              </w:rPr>
              <w:t>不小于</w:t>
            </w:r>
            <w:r>
              <w:rPr>
                <w:rFonts w:hint="eastAsia" w:ascii="宋体" w:hAnsi="宋体" w:eastAsia="宋体" w:cs="宋体"/>
                <w:color w:val="000000"/>
                <w:kern w:val="0"/>
                <w:sz w:val="21"/>
                <w:szCs w:val="21"/>
                <w:lang w:bidi="ar"/>
              </w:rPr>
              <w:t>64台电脑灯。读取珍珠R20格式灯库，内置图形效果，轻松实现X/Y走圆，RGB彩虹效果，走马灯等效果。能同时运行</w:t>
            </w:r>
            <w:r>
              <w:rPr>
                <w:rFonts w:hint="eastAsia" w:ascii="宋体" w:hAnsi="宋体" w:eastAsia="宋体" w:cs="宋体"/>
                <w:color w:val="000000"/>
                <w:kern w:val="0"/>
                <w:sz w:val="21"/>
                <w:szCs w:val="21"/>
                <w:lang w:val="en-US" w:eastAsia="zh-CN" w:bidi="ar"/>
              </w:rPr>
              <w:t>不小于</w:t>
            </w:r>
            <w:r>
              <w:rPr>
                <w:rFonts w:hint="eastAsia" w:ascii="宋体" w:hAnsi="宋体" w:eastAsia="宋体" w:cs="宋体"/>
                <w:color w:val="000000"/>
                <w:kern w:val="0"/>
                <w:sz w:val="21"/>
                <w:szCs w:val="21"/>
                <w:lang w:bidi="ar"/>
              </w:rPr>
              <w:t>10个场景、</w:t>
            </w:r>
            <w:r>
              <w:rPr>
                <w:rFonts w:hint="eastAsia" w:ascii="宋体" w:hAnsi="宋体" w:eastAsia="宋体" w:cs="宋体"/>
                <w:color w:val="000000"/>
                <w:kern w:val="0"/>
                <w:sz w:val="21"/>
                <w:szCs w:val="21"/>
                <w:lang w:val="en-US" w:eastAsia="zh-CN" w:bidi="ar"/>
              </w:rPr>
              <w:t>不小于</w:t>
            </w:r>
            <w:r>
              <w:rPr>
                <w:rFonts w:hint="eastAsia" w:ascii="宋体" w:hAnsi="宋体" w:eastAsia="宋体" w:cs="宋体"/>
                <w:color w:val="000000"/>
                <w:kern w:val="0"/>
                <w:sz w:val="21"/>
                <w:szCs w:val="21"/>
                <w:lang w:bidi="ar"/>
              </w:rPr>
              <w:t>10个内置图形，可使用推杆运行场景并对场景光亮输出进行调整。</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2、DMX512/1990标准，最大1024个DMX控制通道，光电隔离信号输出。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3、最大控制96台电脑灯或96路调光，每台电脑灯最多可用控制40主通道+40微调通道</w:t>
            </w:r>
            <w:r>
              <w:rPr>
                <w:rFonts w:hint="eastAsia" w:ascii="宋体" w:hAnsi="宋体" w:eastAsia="宋体" w:cs="宋体"/>
                <w:color w:val="000000"/>
                <w:kern w:val="0"/>
                <w:sz w:val="21"/>
                <w:szCs w:val="21"/>
                <w:lang w:eastAsia="zh-CN" w:bidi="ar"/>
              </w:rPr>
              <w:t>。</w:t>
            </w:r>
            <w:r>
              <w:rPr>
                <w:rFonts w:hint="eastAsia" w:ascii="宋体" w:hAnsi="宋体" w:eastAsia="宋体" w:cs="宋体"/>
                <w:color w:val="000000"/>
                <w:kern w:val="0"/>
                <w:sz w:val="21"/>
                <w:szCs w:val="21"/>
                <w:highlight w:val="red"/>
                <w:lang w:bidi="ar"/>
              </w:rPr>
              <w:br w:type="textWrapping"/>
            </w:r>
            <w:r>
              <w:rPr>
                <w:rFonts w:hint="eastAsia" w:ascii="宋体" w:hAnsi="宋体" w:eastAsia="宋体" w:cs="宋体"/>
                <w:color w:val="000000"/>
                <w:kern w:val="0"/>
                <w:sz w:val="21"/>
                <w:szCs w:val="21"/>
                <w:lang w:bidi="ar"/>
              </w:rPr>
              <w:t>4、内置图形轨迹发生器，</w:t>
            </w:r>
            <w:r>
              <w:rPr>
                <w:rFonts w:hint="eastAsia" w:ascii="宋体" w:hAnsi="宋体" w:eastAsia="宋体" w:cs="宋体"/>
                <w:color w:val="000000"/>
                <w:kern w:val="0"/>
                <w:sz w:val="21"/>
                <w:szCs w:val="21"/>
                <w:highlight w:val="none"/>
                <w:lang w:bidi="ar"/>
              </w:rPr>
              <w:t>有</w:t>
            </w:r>
            <w:r>
              <w:rPr>
                <w:rFonts w:hint="eastAsia" w:ascii="宋体" w:hAnsi="宋体" w:eastAsia="宋体" w:cs="宋体"/>
                <w:color w:val="000000"/>
                <w:kern w:val="0"/>
                <w:sz w:val="21"/>
                <w:szCs w:val="21"/>
                <w:highlight w:val="none"/>
                <w:lang w:val="en-US" w:eastAsia="zh-CN" w:bidi="ar"/>
              </w:rPr>
              <w:t>不少于</w:t>
            </w:r>
            <w:r>
              <w:rPr>
                <w:rFonts w:hint="eastAsia" w:ascii="宋体" w:hAnsi="宋体" w:eastAsia="宋体" w:cs="宋体"/>
                <w:color w:val="000000"/>
                <w:kern w:val="0"/>
                <w:sz w:val="21"/>
                <w:szCs w:val="21"/>
                <w:highlight w:val="none"/>
                <w:lang w:bidi="ar"/>
              </w:rPr>
              <w:t>135个内置图形，</w:t>
            </w:r>
            <w:r>
              <w:rPr>
                <w:rFonts w:hint="eastAsia" w:ascii="宋体" w:hAnsi="宋体" w:eastAsia="宋体" w:cs="宋体"/>
                <w:color w:val="000000"/>
                <w:kern w:val="0"/>
                <w:sz w:val="21"/>
                <w:szCs w:val="21"/>
                <w:lang w:bidi="ar"/>
              </w:rPr>
              <w:t>方便用户对电脑灯进行图形轨迹控制，如画圆、螺旋、彩虹、追逐等多种效果。</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5、</w:t>
            </w:r>
            <w:r>
              <w:rPr>
                <w:rFonts w:hint="eastAsia" w:ascii="宋体" w:hAnsi="宋体" w:eastAsia="宋体" w:cs="宋体"/>
                <w:color w:val="000000"/>
                <w:kern w:val="0"/>
                <w:sz w:val="21"/>
                <w:szCs w:val="21"/>
                <w:lang w:val="en-US" w:eastAsia="zh-CN" w:bidi="ar"/>
              </w:rPr>
              <w:t>不</w:t>
            </w:r>
            <w:r>
              <w:rPr>
                <w:rFonts w:hint="eastAsia" w:ascii="宋体" w:hAnsi="宋体" w:eastAsia="宋体" w:cs="宋体"/>
                <w:color w:val="000000"/>
                <w:kern w:val="0"/>
                <w:sz w:val="21"/>
                <w:szCs w:val="21"/>
                <w:highlight w:val="none"/>
                <w:lang w:val="en-US" w:eastAsia="zh-CN" w:bidi="ar"/>
              </w:rPr>
              <w:t>小于</w:t>
            </w:r>
            <w:r>
              <w:rPr>
                <w:rFonts w:hint="eastAsia" w:ascii="宋体" w:hAnsi="宋体" w:eastAsia="宋体" w:cs="宋体"/>
                <w:color w:val="000000"/>
                <w:kern w:val="0"/>
                <w:sz w:val="21"/>
                <w:szCs w:val="21"/>
                <w:highlight w:val="none"/>
                <w:lang w:bidi="ar"/>
              </w:rPr>
              <w:t>60个重演场景，可同时运行的场景数量</w:t>
            </w:r>
            <w:r>
              <w:rPr>
                <w:rFonts w:hint="eastAsia" w:ascii="宋体" w:hAnsi="宋体" w:eastAsia="宋体" w:cs="宋体"/>
                <w:color w:val="000000"/>
                <w:kern w:val="0"/>
                <w:sz w:val="21"/>
                <w:szCs w:val="21"/>
                <w:highlight w:val="none"/>
                <w:lang w:val="en-US" w:eastAsia="zh-CN" w:bidi="ar"/>
              </w:rPr>
              <w:t>不小于</w:t>
            </w:r>
            <w:r>
              <w:rPr>
                <w:rFonts w:hint="eastAsia" w:ascii="宋体" w:hAnsi="宋体" w:eastAsia="宋体" w:cs="宋体"/>
                <w:color w:val="000000"/>
                <w:kern w:val="0"/>
                <w:sz w:val="21"/>
                <w:szCs w:val="21"/>
                <w:highlight w:val="none"/>
                <w:lang w:bidi="ar"/>
              </w:rPr>
              <w:t>10个，</w:t>
            </w:r>
            <w:r>
              <w:rPr>
                <w:rFonts w:hint="eastAsia" w:ascii="宋体" w:hAnsi="宋体" w:eastAsia="宋体" w:cs="宋体"/>
                <w:color w:val="000000"/>
                <w:kern w:val="0"/>
                <w:sz w:val="21"/>
                <w:szCs w:val="21"/>
                <w:lang w:bidi="ar"/>
              </w:rPr>
              <w:t>用于储存多步场景和单步场景。</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6、带背光的LCD显示屏，中英文显示。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7、关机数据保持，U盘备份和升级。</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highlight w:val="none"/>
                <w:lang w:bidi="ar"/>
              </w:rPr>
              <w:t>8、专业鹅颈工作灯，适合室内外演出使用。（选配）</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EBEA110">
            <w:pPr>
              <w:widowControl w:val="0"/>
              <w:jc w:val="left"/>
              <w:rPr>
                <w:rFonts w:hint="eastAsia" w:ascii="宋体" w:hAnsi="宋体" w:eastAsia="宋体" w:cs="宋体"/>
                <w:i w:val="0"/>
                <w:iCs w:val="0"/>
                <w:color w:val="000000"/>
                <w:sz w:val="21"/>
                <w:szCs w:val="21"/>
                <w:u w:val="none"/>
              </w:rPr>
            </w:pPr>
          </w:p>
        </w:tc>
      </w:tr>
      <w:tr w14:paraId="69ABB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9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4976357">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905862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12路直通箱</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1271F3FD">
            <w:pPr>
              <w:keepNext w:val="0"/>
              <w:keepLines w:val="0"/>
              <w:widowControl/>
              <w:suppressLineNumbers w:val="0"/>
              <w:jc w:val="left"/>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color w:val="000000"/>
                <w:kern w:val="0"/>
                <w:sz w:val="21"/>
                <w:szCs w:val="21"/>
                <w:lang w:bidi="ar"/>
              </w:rPr>
              <w:t>1、三相AC380V输入，独立电压数码指示；</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2、输出AC220V,12路×4KW；</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3、过载与短路双重保护高分断空气开关</w:t>
            </w:r>
            <w:r>
              <w:rPr>
                <w:rFonts w:hint="eastAsia" w:ascii="宋体" w:hAnsi="宋体" w:eastAsia="宋体" w:cs="宋体"/>
                <w:color w:val="000000"/>
                <w:kern w:val="0"/>
                <w:sz w:val="21"/>
                <w:szCs w:val="21"/>
                <w:lang w:eastAsia="zh-CN"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5042C6A">
            <w:pPr>
              <w:widowControl w:val="0"/>
              <w:jc w:val="left"/>
              <w:rPr>
                <w:rFonts w:hint="eastAsia" w:ascii="宋体" w:hAnsi="宋体" w:eastAsia="宋体" w:cs="宋体"/>
                <w:i w:val="0"/>
                <w:iCs w:val="0"/>
                <w:color w:val="000000"/>
                <w:sz w:val="21"/>
                <w:szCs w:val="21"/>
                <w:u w:val="none"/>
              </w:rPr>
            </w:pPr>
          </w:p>
        </w:tc>
      </w:tr>
      <w:tr w14:paraId="0EA26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1EC9CCA">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64EC9B2F">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信号放大器</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22769FEC">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color w:val="000000"/>
                <w:kern w:val="0"/>
                <w:sz w:val="21"/>
                <w:szCs w:val="21"/>
                <w:lang w:bidi="ar"/>
              </w:rPr>
              <w:t xml:space="preserve">1、模块式DMX信号分配器，国际通用的DMX512协议； </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2、每路输入输出有独立的供电电源（采用变压器供电）；</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3、每个模块板都用独立的光电隔离，完全避免了模块之间电路的相互影响；</w:t>
            </w:r>
            <w:r>
              <w:rPr>
                <w:rFonts w:hint="eastAsia" w:ascii="宋体" w:hAnsi="宋体" w:eastAsia="宋体" w:cs="宋体"/>
                <w:color w:val="000000"/>
                <w:kern w:val="0"/>
                <w:sz w:val="21"/>
                <w:szCs w:val="21"/>
                <w:lang w:bidi="ar"/>
              </w:rPr>
              <w:br w:type="textWrapping"/>
            </w:r>
            <w:r>
              <w:rPr>
                <w:rFonts w:hint="eastAsia" w:ascii="宋体" w:hAnsi="宋体" w:eastAsia="宋体" w:cs="宋体"/>
                <w:color w:val="000000"/>
                <w:kern w:val="0"/>
                <w:sz w:val="21"/>
                <w:szCs w:val="21"/>
                <w:lang w:bidi="ar"/>
              </w:rPr>
              <w:t>4、能将输入的DMX512信号分配成8路输出，并对输出信号进行整形放大处理</w:t>
            </w:r>
            <w:r>
              <w:rPr>
                <w:rFonts w:hint="eastAsia" w:ascii="宋体" w:hAnsi="宋体" w:eastAsia="宋体" w:cs="宋体"/>
                <w:color w:val="000000"/>
                <w:kern w:val="0"/>
                <w:sz w:val="21"/>
                <w:szCs w:val="21"/>
                <w:lang w:eastAsia="zh-CN"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FCB790F">
            <w:pPr>
              <w:widowControl w:val="0"/>
              <w:jc w:val="left"/>
              <w:rPr>
                <w:rFonts w:hint="eastAsia" w:ascii="宋体" w:hAnsi="宋体" w:eastAsia="宋体" w:cs="宋体"/>
                <w:i w:val="0"/>
                <w:iCs w:val="0"/>
                <w:color w:val="000000"/>
                <w:sz w:val="21"/>
                <w:szCs w:val="21"/>
                <w:u w:val="none"/>
              </w:rPr>
            </w:pPr>
          </w:p>
        </w:tc>
      </w:tr>
      <w:tr w14:paraId="79114C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79" w:type="dxa"/>
            <w:gridSpan w:val="4"/>
            <w:tcBorders>
              <w:top w:val="single" w:color="000000" w:sz="4" w:space="0"/>
              <w:left w:val="single" w:color="000000" w:sz="4" w:space="0"/>
              <w:bottom w:val="single" w:color="000000" w:sz="4" w:space="0"/>
              <w:right w:val="single" w:color="000000" w:sz="4" w:space="0"/>
            </w:tcBorders>
            <w:noWrap w:val="0"/>
            <w:vAlign w:val="center"/>
          </w:tcPr>
          <w:p w14:paraId="786DAB40">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b/>
                <w:bCs/>
                <w:sz w:val="21"/>
                <w:szCs w:val="21"/>
                <w:lang w:val="en-US" w:eastAsia="zh-CN"/>
              </w:rPr>
              <w:t>3、舞台结构与机械</w:t>
            </w:r>
          </w:p>
        </w:tc>
      </w:tr>
      <w:tr w14:paraId="79D84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A888603">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1</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C4B2E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b w:val="0"/>
                <w:bCs w:val="0"/>
                <w:i w:val="0"/>
                <w:iCs w:val="0"/>
                <w:color w:val="000000"/>
                <w:sz w:val="21"/>
                <w:szCs w:val="21"/>
                <w:u w:val="none"/>
                <w:lang w:val="en-US" w:eastAsia="zh-CN"/>
              </w:rPr>
              <w:t>舞台栅顶层钢结构</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6BCDCA05">
            <w:pPr>
              <w:widowControl w:val="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eastAsia="宋体" w:cs="宋体"/>
                <w:b w:val="0"/>
                <w:bCs w:val="0"/>
                <w:i w:val="0"/>
                <w:iCs w:val="0"/>
                <w:color w:val="000000"/>
                <w:sz w:val="21"/>
                <w:szCs w:val="21"/>
                <w:u w:val="none"/>
                <w:lang w:val="en-US" w:eastAsia="zh-CN"/>
              </w:rPr>
              <w:t>栅顶层钢结构分</w:t>
            </w:r>
            <w:r>
              <w:rPr>
                <w:rFonts w:hint="eastAsia" w:ascii="宋体" w:hAnsi="宋体" w:eastAsia="宋体" w:cs="宋体"/>
                <w:sz w:val="21"/>
                <w:szCs w:val="21"/>
                <w:lang w:val="en-US" w:eastAsia="zh-CN"/>
              </w:rPr>
              <w:t>上下二层，90度交叉焊接而成；</w:t>
            </w:r>
          </w:p>
          <w:p w14:paraId="2FF53F35">
            <w:pPr>
              <w:widowControl w:val="0"/>
              <w:jc w:val="both"/>
              <w:rPr>
                <w:rFonts w:hint="eastAsia" w:ascii="宋体" w:hAnsi="宋体" w:eastAsia="宋体" w:cs="宋体"/>
                <w:kern w:val="2"/>
                <w:sz w:val="21"/>
                <w:szCs w:val="21"/>
                <w:lang w:val="en-US" w:eastAsia="zh-CN" w:bidi="ar"/>
              </w:rPr>
            </w:pPr>
            <w:r>
              <w:rPr>
                <w:rFonts w:hint="eastAsia" w:ascii="宋体" w:hAnsi="宋体" w:eastAsia="宋体" w:cs="宋体"/>
                <w:sz w:val="21"/>
                <w:szCs w:val="21"/>
                <w:lang w:val="en-US" w:eastAsia="zh-CN"/>
              </w:rPr>
              <w:t>2、材料采用</w:t>
            </w:r>
            <w:r>
              <w:rPr>
                <w:rFonts w:hint="eastAsia" w:ascii="宋体" w:hAnsi="宋体" w:eastAsia="宋体" w:cs="宋体"/>
                <w:kern w:val="2"/>
                <w:sz w:val="21"/>
                <w:szCs w:val="21"/>
                <w:lang w:val="en-US" w:eastAsia="zh-CN" w:bidi="ar"/>
              </w:rPr>
              <w:t>30MMx50MM×2.5MM镀锌钢管；</w:t>
            </w:r>
          </w:p>
          <w:p w14:paraId="70A9FE05">
            <w:pPr>
              <w:widowControl w:val="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3、表面涂环氧富锌防锈漆和黑色环氧防腐面漆；</w:t>
            </w:r>
          </w:p>
          <w:p w14:paraId="350FD7DC">
            <w:pPr>
              <w:widowControl w:val="0"/>
              <w:jc w:val="both"/>
              <w:rPr>
                <w:rFonts w:hint="eastAsia" w:ascii="宋体" w:hAnsi="宋体" w:eastAsia="宋体" w:cs="宋体"/>
                <w:kern w:val="2"/>
                <w:sz w:val="21"/>
                <w:szCs w:val="21"/>
                <w:lang w:val="en-US" w:eastAsia="zh-CN" w:bidi="ar"/>
              </w:rPr>
            </w:pPr>
            <w:r>
              <w:rPr>
                <w:rFonts w:hint="eastAsia" w:ascii="宋体" w:hAnsi="宋体" w:eastAsia="宋体" w:cs="宋体"/>
                <w:kern w:val="2"/>
                <w:sz w:val="21"/>
                <w:szCs w:val="21"/>
                <w:lang w:val="en-US" w:eastAsia="zh-CN" w:bidi="ar"/>
              </w:rPr>
              <w:t>4、吊杆预埋板用铁膨胀固定在建筑混凝土上，葡萄架吊杆焊接到预埋板上；</w:t>
            </w:r>
          </w:p>
          <w:p w14:paraId="101AC745">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kern w:val="2"/>
                <w:sz w:val="21"/>
                <w:szCs w:val="21"/>
                <w:lang w:val="en-US" w:eastAsia="zh-CN" w:bidi="ar"/>
              </w:rPr>
              <w:t>5、预埋板尺寸60MM×120MMx6MM,数量32块，预埋板安装位置平均分配。</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7931E92">
            <w:pPr>
              <w:widowControl w:val="0"/>
              <w:jc w:val="left"/>
              <w:rPr>
                <w:rFonts w:hint="eastAsia" w:ascii="宋体" w:hAnsi="宋体" w:eastAsia="宋体" w:cs="宋体"/>
                <w:i w:val="0"/>
                <w:iCs w:val="0"/>
                <w:color w:val="000000"/>
                <w:sz w:val="21"/>
                <w:szCs w:val="21"/>
                <w:u w:val="none"/>
              </w:rPr>
            </w:pPr>
          </w:p>
        </w:tc>
      </w:tr>
      <w:tr w14:paraId="2563D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E0C0B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DCDA5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舞台专用轨道</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58B86B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加厚铝合金，高温高压成型，表里电泳工艺，内置多股钢丝，可</w:t>
            </w:r>
            <w:r>
              <w:rPr>
                <w:rFonts w:hint="eastAsia" w:ascii="宋体" w:hAnsi="宋体" w:eastAsia="宋体" w:cs="宋体"/>
                <w:i w:val="0"/>
                <w:iCs w:val="0"/>
                <w:color w:val="000000"/>
                <w:kern w:val="0"/>
                <w:sz w:val="21"/>
                <w:szCs w:val="21"/>
                <w:highlight w:val="none"/>
                <w:u w:val="none"/>
                <w:lang w:val="en-US" w:eastAsia="zh-CN" w:bidi="ar"/>
              </w:rPr>
              <w:t>负载360公斤，同步齿形，不打滑，外包静音布层。吊轮采何用POM材料包轴承方式，经久耐用，20年不腐蚀不老化。</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7C6D9D40">
            <w:pPr>
              <w:widowControl w:val="0"/>
              <w:jc w:val="left"/>
              <w:rPr>
                <w:rFonts w:hint="eastAsia" w:ascii="宋体" w:hAnsi="宋体" w:eastAsia="宋体" w:cs="宋体"/>
                <w:i w:val="0"/>
                <w:iCs w:val="0"/>
                <w:color w:val="000000"/>
                <w:sz w:val="21"/>
                <w:szCs w:val="21"/>
                <w:u w:val="none"/>
              </w:rPr>
            </w:pPr>
          </w:p>
        </w:tc>
      </w:tr>
      <w:tr w14:paraId="0C0F0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FD93B51">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3</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405A9BEC">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舞台专用电机</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173F060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电</w:t>
            </w:r>
            <w:r>
              <w:rPr>
                <w:rFonts w:hint="eastAsia" w:ascii="宋体" w:hAnsi="宋体" w:eastAsia="宋体" w:cs="宋体"/>
                <w:i w:val="0"/>
                <w:iCs w:val="0"/>
                <w:color w:val="000000"/>
                <w:kern w:val="0"/>
                <w:sz w:val="21"/>
                <w:szCs w:val="21"/>
                <w:highlight w:val="none"/>
                <w:u w:val="none"/>
                <w:lang w:val="en-US" w:eastAsia="zh-CN" w:bidi="ar"/>
              </w:rPr>
              <w:t>压220V，功率400W，，速度每秒对拉1米，马达采用优质纯铜繞制,执行GB/T12350-2022国家产品标准和技术要求。</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3CD67170">
            <w:pPr>
              <w:widowControl w:val="0"/>
              <w:jc w:val="left"/>
              <w:rPr>
                <w:rFonts w:hint="eastAsia" w:ascii="宋体" w:hAnsi="宋体" w:eastAsia="宋体" w:cs="宋体"/>
                <w:i w:val="0"/>
                <w:iCs w:val="0"/>
                <w:color w:val="000000"/>
                <w:sz w:val="21"/>
                <w:szCs w:val="21"/>
                <w:u w:val="none"/>
              </w:rPr>
            </w:pPr>
          </w:p>
        </w:tc>
      </w:tr>
      <w:tr w14:paraId="4EA71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0A59F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2"/>
                <w:sz w:val="21"/>
                <w:szCs w:val="21"/>
                <w:u w:val="none"/>
                <w:lang w:val="en-US" w:eastAsia="zh-CN" w:bidi="ar-SA"/>
              </w:rPr>
              <w:t>4</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D071B1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舞台专用对拉幕布</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DF9EB3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阻燃金丝绒，符合(公共场所阻燃制品及组件燃性能要求和标准)，ＧＢ/T 17591-2006阻燃Ｂ1级</w:t>
            </w:r>
            <w:r>
              <w:rPr>
                <w:rFonts w:hint="eastAsia" w:ascii="宋体" w:hAnsi="宋体" w:cs="宋体"/>
                <w:i w:val="0"/>
                <w:iCs w:val="0"/>
                <w:color w:val="000000"/>
                <w:kern w:val="0"/>
                <w:sz w:val="21"/>
                <w:szCs w:val="21"/>
                <w:u w:val="none"/>
                <w:lang w:val="en-US" w:eastAsia="zh-CN"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2CA692B7">
            <w:pPr>
              <w:widowControl w:val="0"/>
              <w:jc w:val="left"/>
              <w:rPr>
                <w:rFonts w:hint="eastAsia" w:ascii="宋体" w:hAnsi="宋体" w:eastAsia="宋体" w:cs="宋体"/>
                <w:i w:val="0"/>
                <w:iCs w:val="0"/>
                <w:color w:val="000000"/>
                <w:sz w:val="21"/>
                <w:szCs w:val="21"/>
                <w:u w:val="none"/>
              </w:rPr>
            </w:pPr>
          </w:p>
        </w:tc>
      </w:tr>
      <w:tr w14:paraId="4A993F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DE237A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5EDC2D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前檐幕布</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023714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阻燃金丝绒，符合(公共场所阻燃制品及组件燃性能要求和标准)，ＧＢ/T 17591-2006阻燃Ｂ1级</w:t>
            </w:r>
            <w:r>
              <w:rPr>
                <w:rFonts w:hint="eastAsia" w:ascii="宋体" w:hAnsi="宋体" w:cs="宋体"/>
                <w:i w:val="0"/>
                <w:iCs w:val="0"/>
                <w:color w:val="000000"/>
                <w:kern w:val="0"/>
                <w:sz w:val="21"/>
                <w:szCs w:val="21"/>
                <w:u w:val="none"/>
                <w:lang w:val="en-US" w:eastAsia="zh-CN"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7661279">
            <w:pPr>
              <w:widowControl w:val="0"/>
              <w:jc w:val="left"/>
              <w:rPr>
                <w:rFonts w:hint="eastAsia" w:ascii="宋体" w:hAnsi="宋体" w:eastAsia="宋体" w:cs="宋体"/>
                <w:i w:val="0"/>
                <w:iCs w:val="0"/>
                <w:color w:val="000000"/>
                <w:sz w:val="21"/>
                <w:szCs w:val="21"/>
                <w:u w:val="none"/>
              </w:rPr>
            </w:pPr>
          </w:p>
        </w:tc>
      </w:tr>
      <w:tr w14:paraId="01E63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75B70B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75D3296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前檐幕布轨道</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368EFF8B">
            <w:pPr>
              <w:widowControl w:val="0"/>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铝合金导轨，载</w:t>
            </w:r>
            <w:r>
              <w:rPr>
                <w:rFonts w:hint="eastAsia" w:ascii="宋体" w:hAnsi="宋体" w:eastAsia="宋体" w:cs="宋体"/>
                <w:i w:val="0"/>
                <w:iCs w:val="0"/>
                <w:color w:val="000000"/>
                <w:kern w:val="0"/>
                <w:sz w:val="21"/>
                <w:szCs w:val="21"/>
                <w:highlight w:val="none"/>
                <w:u w:val="none"/>
                <w:lang w:val="en-US" w:eastAsia="zh-CN" w:bidi="ar"/>
              </w:rPr>
              <w:t>重50公斤。</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32306273">
            <w:pPr>
              <w:widowControl w:val="0"/>
              <w:jc w:val="left"/>
              <w:rPr>
                <w:rFonts w:hint="eastAsia" w:ascii="宋体" w:hAnsi="宋体" w:eastAsia="宋体" w:cs="宋体"/>
                <w:i w:val="0"/>
                <w:iCs w:val="0"/>
                <w:color w:val="000000"/>
                <w:sz w:val="21"/>
                <w:szCs w:val="21"/>
                <w:u w:val="none"/>
              </w:rPr>
            </w:pPr>
          </w:p>
        </w:tc>
      </w:tr>
      <w:tr w14:paraId="1BC99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F5F8D6">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7</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561D90F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舞台边侧幕布</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A6EBF68">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阻燃金丝绒，符合(公共场所阻燃制品及组件燃性能要求和标准)，ＧＢ/T 17591-2006阻燃Ｂ1级</w:t>
            </w:r>
            <w:r>
              <w:rPr>
                <w:rFonts w:hint="eastAsia" w:ascii="宋体" w:hAnsi="宋体" w:cs="宋体"/>
                <w:i w:val="0"/>
                <w:iCs w:val="0"/>
                <w:color w:val="000000"/>
                <w:kern w:val="0"/>
                <w:sz w:val="21"/>
                <w:szCs w:val="21"/>
                <w:u w:val="none"/>
                <w:lang w:val="en-US" w:eastAsia="zh-CN" w:bidi="ar"/>
              </w:rPr>
              <w:t>。</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0D6ACB9">
            <w:pPr>
              <w:widowControl w:val="0"/>
              <w:jc w:val="left"/>
              <w:rPr>
                <w:rFonts w:hint="eastAsia" w:ascii="宋体" w:hAnsi="宋体" w:eastAsia="宋体" w:cs="宋体"/>
                <w:i w:val="0"/>
                <w:iCs w:val="0"/>
                <w:color w:val="000000"/>
                <w:sz w:val="21"/>
                <w:szCs w:val="21"/>
                <w:u w:val="none"/>
              </w:rPr>
            </w:pPr>
          </w:p>
        </w:tc>
      </w:tr>
      <w:tr w14:paraId="45874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2"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A4972A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8</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2D2484B">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边侧幕专用轨道</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C7AA7C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加厚铝合金，</w:t>
            </w:r>
            <w:r>
              <w:rPr>
                <w:rFonts w:hint="eastAsia" w:ascii="宋体" w:hAnsi="宋体" w:eastAsia="宋体" w:cs="宋体"/>
                <w:i w:val="0"/>
                <w:iCs w:val="0"/>
                <w:color w:val="000000"/>
                <w:kern w:val="0"/>
                <w:sz w:val="21"/>
                <w:szCs w:val="21"/>
                <w:highlight w:val="none"/>
                <w:u w:val="none"/>
                <w:lang w:val="en-US" w:eastAsia="zh-CN" w:bidi="ar"/>
              </w:rPr>
              <w:t>静音吊轮每米7个，默认顶装配件每米2个，载重50公斤。</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67699B8E">
            <w:pPr>
              <w:widowControl w:val="0"/>
              <w:jc w:val="left"/>
              <w:rPr>
                <w:rFonts w:hint="eastAsia" w:ascii="宋体" w:hAnsi="宋体" w:eastAsia="宋体" w:cs="宋体"/>
                <w:i w:val="0"/>
                <w:iCs w:val="0"/>
                <w:color w:val="000000"/>
                <w:sz w:val="21"/>
                <w:szCs w:val="21"/>
                <w:u w:val="none"/>
              </w:rPr>
            </w:pPr>
          </w:p>
        </w:tc>
      </w:tr>
      <w:tr w14:paraId="3505CA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6"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4B75A1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9</w:t>
            </w:r>
          </w:p>
        </w:tc>
        <w:tc>
          <w:tcPr>
            <w:tcW w:w="1511"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01EB6BC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边侧幕前檐幕布</w:t>
            </w:r>
          </w:p>
        </w:tc>
        <w:tc>
          <w:tcPr>
            <w:tcW w:w="5436" w:type="dxa"/>
            <w:tcBorders>
              <w:top w:val="single" w:color="000000" w:sz="4" w:space="0"/>
              <w:left w:val="single" w:color="000000" w:sz="4" w:space="0"/>
              <w:bottom w:val="single" w:color="000000" w:sz="4" w:space="0"/>
              <w:right w:val="single" w:color="000000" w:sz="4" w:space="0"/>
            </w:tcBorders>
            <w:shd w:val="clear" w:color="FFFFFF" w:fill="FFFFFF"/>
            <w:noWrap w:val="0"/>
            <w:vAlign w:val="center"/>
          </w:tcPr>
          <w:p w14:paraId="247417C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阻燃金丝绒，符合(公共场所阻燃制品及组件燃性能要求和标准)，ＧＢ/T 17591-2006阻燃Ｂ1级．</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45E497C9">
            <w:pPr>
              <w:widowControl w:val="0"/>
              <w:jc w:val="left"/>
              <w:rPr>
                <w:rFonts w:hint="eastAsia" w:ascii="宋体" w:hAnsi="宋体" w:eastAsia="宋体" w:cs="宋体"/>
                <w:i w:val="0"/>
                <w:iCs w:val="0"/>
                <w:color w:val="000000"/>
                <w:sz w:val="21"/>
                <w:szCs w:val="21"/>
                <w:u w:val="none"/>
              </w:rPr>
            </w:pPr>
          </w:p>
        </w:tc>
      </w:tr>
      <w:tr w14:paraId="0F673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atLeast"/>
        </w:trPr>
        <w:tc>
          <w:tcPr>
            <w:tcW w:w="518"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6D652F10">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10</w:t>
            </w:r>
          </w:p>
        </w:tc>
        <w:tc>
          <w:tcPr>
            <w:tcW w:w="1511" w:type="dxa"/>
            <w:tcBorders>
              <w:top w:val="single" w:color="000000" w:sz="4" w:space="0"/>
              <w:left w:val="single" w:color="000000" w:sz="4" w:space="0"/>
              <w:bottom w:val="single" w:color="auto" w:sz="4" w:space="0"/>
              <w:right w:val="single" w:color="000000" w:sz="4" w:space="0"/>
            </w:tcBorders>
            <w:shd w:val="clear" w:color="FFFFFF" w:fill="FFFFFF"/>
            <w:noWrap w:val="0"/>
            <w:vAlign w:val="center"/>
          </w:tcPr>
          <w:p w14:paraId="135CEAA2">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边侧幕前檐幕布轨道</w:t>
            </w:r>
          </w:p>
        </w:tc>
        <w:tc>
          <w:tcPr>
            <w:tcW w:w="5436" w:type="dxa"/>
            <w:tcBorders>
              <w:top w:val="single" w:color="000000" w:sz="4" w:space="0"/>
              <w:left w:val="single" w:color="000000" w:sz="4" w:space="0"/>
              <w:bottom w:val="single" w:color="auto" w:sz="4" w:space="0"/>
              <w:right w:val="single" w:color="000000" w:sz="4" w:space="0"/>
            </w:tcBorders>
            <w:shd w:val="clear" w:color="auto" w:fill="auto"/>
            <w:noWrap w:val="0"/>
            <w:vAlign w:val="center"/>
          </w:tcPr>
          <w:p w14:paraId="408CBD9A">
            <w:pPr>
              <w:widowControl w:val="0"/>
              <w:jc w:val="both"/>
              <w:rPr>
                <w:rFonts w:hint="eastAsia" w:ascii="宋体" w:hAnsi="宋体" w:eastAsia="宋体" w:cs="宋体"/>
                <w:kern w:val="2"/>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铝合金导</w:t>
            </w:r>
            <w:r>
              <w:rPr>
                <w:rFonts w:hint="eastAsia" w:ascii="宋体" w:hAnsi="宋体" w:eastAsia="宋体" w:cs="宋体"/>
                <w:i w:val="0"/>
                <w:iCs w:val="0"/>
                <w:color w:val="000000"/>
                <w:kern w:val="0"/>
                <w:sz w:val="21"/>
                <w:szCs w:val="21"/>
                <w:highlight w:val="none"/>
                <w:u w:val="none"/>
                <w:lang w:val="en-US" w:eastAsia="zh-CN" w:bidi="ar"/>
              </w:rPr>
              <w:t>轨，载重50公斤。</w:t>
            </w:r>
          </w:p>
        </w:tc>
        <w:tc>
          <w:tcPr>
            <w:tcW w:w="1314" w:type="dxa"/>
            <w:tcBorders>
              <w:top w:val="single" w:color="000000" w:sz="4" w:space="0"/>
              <w:left w:val="single" w:color="000000" w:sz="4" w:space="0"/>
              <w:bottom w:val="single" w:color="auto" w:sz="4" w:space="0"/>
              <w:right w:val="single" w:color="000000" w:sz="4" w:space="0"/>
            </w:tcBorders>
            <w:noWrap w:val="0"/>
            <w:vAlign w:val="center"/>
          </w:tcPr>
          <w:p w14:paraId="352741A2">
            <w:pPr>
              <w:widowControl w:val="0"/>
              <w:jc w:val="left"/>
              <w:rPr>
                <w:rFonts w:hint="eastAsia" w:ascii="宋体" w:hAnsi="宋体" w:eastAsia="宋体" w:cs="宋体"/>
                <w:i w:val="0"/>
                <w:iCs w:val="0"/>
                <w:color w:val="000000"/>
                <w:sz w:val="21"/>
                <w:szCs w:val="21"/>
                <w:u w:val="none"/>
              </w:rPr>
            </w:pPr>
          </w:p>
        </w:tc>
      </w:tr>
      <w:tr w14:paraId="675D6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79" w:type="dxa"/>
            <w:gridSpan w:val="4"/>
            <w:tcBorders>
              <w:top w:val="single" w:color="auto" w:sz="4" w:space="0"/>
              <w:left w:val="single" w:color="auto" w:sz="4" w:space="0"/>
              <w:bottom w:val="single" w:color="auto" w:sz="4" w:space="0"/>
              <w:right w:val="single" w:color="auto" w:sz="4" w:space="0"/>
            </w:tcBorders>
            <w:noWrap w:val="0"/>
            <w:vAlign w:val="center"/>
          </w:tcPr>
          <w:p w14:paraId="6DD3B10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sz w:val="21"/>
                <w:szCs w:val="21"/>
                <w:lang w:val="en-US" w:eastAsia="zh-CN"/>
              </w:rPr>
              <w:t>二、大会议室</w:t>
            </w:r>
          </w:p>
        </w:tc>
      </w:tr>
      <w:tr w14:paraId="2AAF3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779" w:type="dxa"/>
            <w:gridSpan w:val="4"/>
            <w:tcBorders>
              <w:top w:val="single" w:color="auto" w:sz="4" w:space="0"/>
              <w:left w:val="single" w:color="auto" w:sz="4" w:space="0"/>
              <w:bottom w:val="single" w:color="auto" w:sz="4" w:space="0"/>
              <w:right w:val="single" w:color="auto" w:sz="4" w:space="0"/>
            </w:tcBorders>
            <w:noWrap w:val="0"/>
            <w:vAlign w:val="center"/>
          </w:tcPr>
          <w:p w14:paraId="1492F18A">
            <w:pPr>
              <w:keepNext w:val="0"/>
              <w:keepLines w:val="0"/>
              <w:widowControl/>
              <w:suppressLineNumbers w:val="0"/>
              <w:jc w:val="lef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1、广播系统</w:t>
            </w:r>
          </w:p>
        </w:tc>
      </w:tr>
      <w:tr w14:paraId="7E368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7" w:hRule="atLeast"/>
        </w:trPr>
        <w:tc>
          <w:tcPr>
            <w:tcW w:w="5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7074C84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458EC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8*4"无源会议音柱</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887A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1.频响:90-18KHz；</w:t>
            </w:r>
          </w:p>
          <w:p w14:paraId="3E78A7A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2.单元:8*4 20mm VC；</w:t>
            </w:r>
          </w:p>
          <w:p w14:paraId="5F9F23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3.标称阻抗:4 Ω；</w:t>
            </w:r>
          </w:p>
          <w:p w14:paraId="791546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4.功率:≥240W；</w:t>
            </w:r>
          </w:p>
          <w:p w14:paraId="0B09CB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5.灵敏度:99dB；</w:t>
            </w:r>
          </w:p>
          <w:p w14:paraId="7731DE0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6.最大声压:123dB；</w:t>
            </w:r>
          </w:p>
          <w:p w14:paraId="618A3A04">
            <w:pPr>
              <w:widowControl w:val="0"/>
              <w:jc w:val="both"/>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highlight w:val="none"/>
                <w:u w:val="none"/>
              </w:rPr>
              <w:t>7.覆盖角度:100°*14°</w:t>
            </w:r>
            <w:r>
              <w:rPr>
                <w:rFonts w:hint="eastAsia" w:ascii="宋体" w:hAnsi="宋体" w:eastAsia="宋体" w:cs="宋体"/>
                <w:i w:val="0"/>
                <w:iCs w:val="0"/>
                <w:color w:val="000000"/>
                <w:sz w:val="21"/>
                <w:szCs w:val="21"/>
                <w:highlight w:val="none"/>
                <w:u w:val="none"/>
                <w:lang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52F8F08">
            <w:pPr>
              <w:widowControl w:val="0"/>
              <w:jc w:val="left"/>
              <w:rPr>
                <w:rFonts w:hint="eastAsia" w:ascii="宋体" w:hAnsi="宋体" w:eastAsia="宋体" w:cs="宋体"/>
                <w:i w:val="0"/>
                <w:iCs w:val="0"/>
                <w:color w:val="000000"/>
                <w:sz w:val="21"/>
                <w:szCs w:val="21"/>
                <w:u w:val="none"/>
              </w:rPr>
            </w:pPr>
          </w:p>
        </w:tc>
      </w:tr>
      <w:tr w14:paraId="0EA71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2"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73A8952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57D24F6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纯后级</w:t>
            </w:r>
            <w:r>
              <w:rPr>
                <w:rFonts w:hint="eastAsia" w:ascii="宋体" w:hAnsi="宋体" w:eastAsia="宋体" w:cs="宋体"/>
                <w:i w:val="0"/>
                <w:iCs w:val="0"/>
                <w:color w:val="000000"/>
                <w:kern w:val="0"/>
                <w:sz w:val="21"/>
                <w:szCs w:val="21"/>
                <w:u w:val="none"/>
                <w:lang w:val="en-US" w:eastAsia="zh-CN" w:bidi="ar"/>
              </w:rPr>
              <w:br w:type="textWrapping"/>
            </w:r>
            <w:r>
              <w:rPr>
                <w:rFonts w:hint="eastAsia" w:ascii="宋体" w:hAnsi="宋体" w:eastAsia="宋体" w:cs="宋体"/>
                <w:i w:val="0"/>
                <w:iCs w:val="0"/>
                <w:color w:val="000000"/>
                <w:kern w:val="0"/>
                <w:sz w:val="21"/>
                <w:szCs w:val="21"/>
                <w:u w:val="none"/>
                <w:lang w:val="en-US" w:eastAsia="zh-CN" w:bidi="ar"/>
              </w:rPr>
              <w:t>功率放大器</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579C44CE">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sz w:val="21"/>
                <w:szCs w:val="21"/>
              </w:rPr>
              <w:t>参数</w:t>
            </w:r>
            <w:r>
              <w:rPr>
                <w:rFonts w:hint="eastAsia" w:ascii="宋体" w:hAnsi="宋体" w:eastAsia="宋体" w:cs="宋体"/>
                <w:sz w:val="21"/>
                <w:szCs w:val="21"/>
                <w:lang w:val="en-US" w:eastAsia="zh-CN"/>
              </w:rPr>
              <w:t>同</w:t>
            </w:r>
            <w:r>
              <w:rPr>
                <w:rFonts w:hint="eastAsia" w:ascii="宋体" w:hAnsi="宋体" w:eastAsia="宋体" w:cs="宋体"/>
                <w:sz w:val="21"/>
                <w:szCs w:val="21"/>
              </w:rPr>
              <w:t>：（一、报告厅 1、广播系统：纯后级功率放大器）</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3942395">
            <w:pPr>
              <w:widowControl w:val="0"/>
              <w:jc w:val="left"/>
              <w:rPr>
                <w:rFonts w:hint="eastAsia" w:ascii="宋体" w:hAnsi="宋体" w:eastAsia="宋体" w:cs="宋体"/>
                <w:i w:val="0"/>
                <w:iCs w:val="0"/>
                <w:color w:val="000000"/>
                <w:sz w:val="21"/>
                <w:szCs w:val="21"/>
                <w:u w:val="none"/>
              </w:rPr>
            </w:pPr>
          </w:p>
        </w:tc>
      </w:tr>
      <w:tr w14:paraId="0D0C3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502D4E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318394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机架式12路双编组调音台</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769349EB">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1.</w:t>
            </w:r>
            <w:r>
              <w:rPr>
                <w:rFonts w:hint="eastAsia" w:ascii="宋体" w:hAnsi="宋体" w:eastAsia="宋体" w:cs="宋体"/>
                <w:sz w:val="21"/>
                <w:szCs w:val="21"/>
                <w:lang w:eastAsia="zh-CN"/>
              </w:rPr>
              <w:t>△</w:t>
            </w:r>
            <w:r>
              <w:rPr>
                <w:rFonts w:hint="eastAsia" w:ascii="宋体" w:hAnsi="宋体" w:cs="宋体"/>
                <w:sz w:val="21"/>
                <w:szCs w:val="21"/>
                <w:lang w:val="en-US" w:eastAsia="zh-CN"/>
              </w:rPr>
              <w:t>不少于</w:t>
            </w:r>
            <w:r>
              <w:rPr>
                <w:rFonts w:hint="eastAsia" w:ascii="宋体" w:hAnsi="宋体" w:eastAsia="宋体" w:cs="宋体"/>
                <w:kern w:val="0"/>
                <w:sz w:val="21"/>
                <w:szCs w:val="21"/>
              </w:rPr>
              <w:t>8路话筒输入，</w:t>
            </w:r>
            <w:r>
              <w:rPr>
                <w:rFonts w:hint="eastAsia" w:ascii="宋体" w:hAnsi="宋体" w:cs="宋体"/>
                <w:kern w:val="0"/>
                <w:sz w:val="21"/>
                <w:szCs w:val="21"/>
                <w:lang w:val="en-US" w:eastAsia="zh-CN"/>
              </w:rPr>
              <w:t>不少于</w:t>
            </w:r>
            <w:r>
              <w:rPr>
                <w:rFonts w:hint="eastAsia" w:ascii="宋体" w:hAnsi="宋体" w:eastAsia="宋体" w:cs="宋体"/>
                <w:kern w:val="0"/>
                <w:sz w:val="21"/>
                <w:szCs w:val="21"/>
              </w:rPr>
              <w:t>4路（2组）立体声输入；</w:t>
            </w:r>
          </w:p>
          <w:p w14:paraId="13647C09">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2.9到12路带莲花输入接口，接线方便；</w:t>
            </w:r>
          </w:p>
          <w:p w14:paraId="40687731">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3.输入高中低三段均衡；</w:t>
            </w:r>
          </w:p>
          <w:p w14:paraId="11391A64">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4.单声道输入通道带48V幻像供电,4个一组；</w:t>
            </w:r>
          </w:p>
          <w:p w14:paraId="3A99DC2F">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5.两个辅助输出，一个AUX发送，一个FX发送，全部采用卡龙输出；</w:t>
            </w:r>
          </w:p>
          <w:p w14:paraId="6B7B7A13">
            <w:pPr>
              <w:widowControl w:val="0"/>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6.输入信号指示灯和峰值指示灯共用，颜色可变；</w:t>
            </w:r>
          </w:p>
          <w:p w14:paraId="5390AC6C">
            <w:pPr>
              <w:widowControl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7.USB播放功能，带液晶显示屏，可以显示歌曲名字和歌词；</w:t>
            </w:r>
          </w:p>
          <w:p w14:paraId="746F16DE">
            <w:pPr>
              <w:widowControl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8.带蓝牙功能，可以直接蓝牙输入音频；带U盘录音功能；</w:t>
            </w:r>
          </w:p>
          <w:p w14:paraId="03AF158D">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9.可以连接电脑，通过声卡输入输出音频到电脑；</w:t>
            </w:r>
          </w:p>
          <w:p w14:paraId="5E65BEDA">
            <w:pPr>
              <w:widowControl w:val="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10.内置效果器，效果器延时时间和重复比例连续可调；</w:t>
            </w:r>
          </w:p>
          <w:p w14:paraId="25DC75D3">
            <w:pPr>
              <w:widowControl w:val="0"/>
              <w:jc w:val="left"/>
              <w:rPr>
                <w:rFonts w:hint="eastAsia" w:ascii="宋体" w:hAnsi="宋体" w:eastAsia="宋体" w:cs="宋体"/>
                <w:kern w:val="0"/>
                <w:sz w:val="21"/>
                <w:szCs w:val="21"/>
              </w:rPr>
            </w:pPr>
            <w:r>
              <w:rPr>
                <w:rFonts w:hint="eastAsia" w:ascii="宋体" w:hAnsi="宋体" w:eastAsia="宋体" w:cs="宋体"/>
                <w:kern w:val="0"/>
                <w:sz w:val="21"/>
                <w:szCs w:val="21"/>
              </w:rPr>
              <w:t>11.两路编组输出，独立推子控制；</w:t>
            </w:r>
          </w:p>
          <w:p w14:paraId="514CFD13">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kern w:val="0"/>
                <w:sz w:val="21"/>
                <w:szCs w:val="21"/>
              </w:rPr>
              <w:t>12.立体声监听输出，可以耳机监听，也可以输出到监听音箱</w:t>
            </w:r>
            <w:r>
              <w:rPr>
                <w:rFonts w:hint="eastAsia" w:ascii="宋体" w:hAnsi="宋体" w:eastAsia="宋体" w:cs="宋体"/>
                <w:kern w:val="0"/>
                <w:sz w:val="21"/>
                <w:szCs w:val="21"/>
                <w:lang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912232D">
            <w:pPr>
              <w:widowControl w:val="0"/>
              <w:jc w:val="left"/>
              <w:rPr>
                <w:rFonts w:hint="eastAsia" w:ascii="宋体" w:hAnsi="宋体" w:eastAsia="宋体" w:cs="宋体"/>
                <w:i w:val="0"/>
                <w:iCs w:val="0"/>
                <w:color w:val="000000"/>
                <w:sz w:val="21"/>
                <w:szCs w:val="21"/>
                <w:u w:val="none"/>
              </w:rPr>
            </w:pPr>
          </w:p>
        </w:tc>
      </w:tr>
      <w:tr w14:paraId="2F8324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0" w:hRule="atLeast"/>
        </w:trPr>
        <w:tc>
          <w:tcPr>
            <w:tcW w:w="5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BEFE8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89E4F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无线一拖四会议麦克风</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2C9D9BD">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b w:val="0"/>
                <w:bCs w:val="0"/>
                <w:sz w:val="21"/>
                <w:szCs w:val="21"/>
                <w:lang w:val="en-US" w:eastAsia="zh-CN"/>
              </w:rPr>
              <w:t>参数同：（一、报告厅</w:t>
            </w:r>
            <w:r>
              <w:rPr>
                <w:rFonts w:hint="eastAsia" w:ascii="宋体" w:hAnsi="宋体" w:eastAsia="宋体" w:cs="宋体"/>
                <w:b w:val="0"/>
                <w:bCs w:val="0"/>
                <w:sz w:val="21"/>
                <w:szCs w:val="21"/>
              </w:rPr>
              <w:t>1、广播系统</w:t>
            </w:r>
            <w:r>
              <w:rPr>
                <w:rFonts w:hint="eastAsia" w:ascii="宋体" w:hAnsi="宋体" w:eastAsia="宋体" w:cs="宋体"/>
                <w:b w:val="0"/>
                <w:bCs w:val="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无线一拖四会议麦克风</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25B283FF">
            <w:pPr>
              <w:widowControl w:val="0"/>
              <w:jc w:val="left"/>
              <w:rPr>
                <w:rFonts w:hint="eastAsia" w:ascii="宋体" w:hAnsi="宋体" w:eastAsia="宋体" w:cs="宋体"/>
                <w:i w:val="0"/>
                <w:iCs w:val="0"/>
                <w:color w:val="000000"/>
                <w:sz w:val="21"/>
                <w:szCs w:val="21"/>
                <w:u w:val="none"/>
              </w:rPr>
            </w:pPr>
          </w:p>
        </w:tc>
      </w:tr>
      <w:tr w14:paraId="2F2761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47FAADB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11" w:type="dxa"/>
            <w:tcBorders>
              <w:top w:val="single" w:color="auto" w:sz="4" w:space="0"/>
              <w:left w:val="single" w:color="auto" w:sz="4" w:space="0"/>
              <w:bottom w:val="single" w:color="auto" w:sz="4" w:space="0"/>
              <w:right w:val="single" w:color="auto" w:sz="4" w:space="0"/>
            </w:tcBorders>
            <w:noWrap w:val="0"/>
            <w:vAlign w:val="top"/>
          </w:tcPr>
          <w:p w14:paraId="5375F572">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一拖二真分集无线手持话筒</w:t>
            </w:r>
          </w:p>
        </w:tc>
        <w:tc>
          <w:tcPr>
            <w:tcW w:w="5436" w:type="dxa"/>
            <w:tcBorders>
              <w:top w:val="single" w:color="auto" w:sz="4" w:space="0"/>
              <w:left w:val="single" w:color="auto" w:sz="4" w:space="0"/>
              <w:bottom w:val="single" w:color="auto" w:sz="4" w:space="0"/>
              <w:right w:val="single" w:color="auto" w:sz="4" w:space="0"/>
            </w:tcBorders>
            <w:noWrap w:val="0"/>
            <w:vAlign w:val="top"/>
          </w:tcPr>
          <w:p w14:paraId="45A793B6">
            <w:pPr>
              <w:widowControl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参数同：（一、报告厅</w:t>
            </w:r>
            <w:r>
              <w:rPr>
                <w:rFonts w:hint="eastAsia" w:ascii="宋体" w:hAnsi="宋体" w:eastAsia="宋体" w:cs="宋体"/>
                <w:b w:val="0"/>
                <w:bCs w:val="0"/>
                <w:sz w:val="21"/>
                <w:szCs w:val="21"/>
              </w:rPr>
              <w:t>1、广播系统</w:t>
            </w:r>
            <w:r>
              <w:rPr>
                <w:rFonts w:hint="eastAsia" w:ascii="宋体" w:hAnsi="宋体" w:eastAsia="宋体" w:cs="宋体"/>
                <w:b w:val="0"/>
                <w:bCs w:val="0"/>
                <w:sz w:val="21"/>
                <w:szCs w:val="21"/>
                <w:lang w:val="en-US" w:eastAsia="zh-CN"/>
              </w:rPr>
              <w:t>：</w:t>
            </w:r>
            <w:r>
              <w:rPr>
                <w:rFonts w:hint="eastAsia" w:ascii="宋体" w:hAnsi="宋体" w:eastAsia="宋体" w:cs="宋体"/>
                <w:b w:val="0"/>
                <w:bCs w:val="0"/>
                <w:sz w:val="21"/>
                <w:szCs w:val="21"/>
              </w:rPr>
              <w:t>一拖二真分集无线手持话筒</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AF54E60">
            <w:pPr>
              <w:widowControl w:val="0"/>
              <w:jc w:val="left"/>
              <w:rPr>
                <w:rFonts w:hint="eastAsia" w:ascii="宋体" w:hAnsi="宋体" w:eastAsia="宋体" w:cs="宋体"/>
                <w:i w:val="0"/>
                <w:iCs w:val="0"/>
                <w:color w:val="000000"/>
                <w:sz w:val="21"/>
                <w:szCs w:val="21"/>
                <w:u w:val="none"/>
              </w:rPr>
            </w:pPr>
          </w:p>
        </w:tc>
      </w:tr>
      <w:tr w14:paraId="2A1C9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8"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7552BE2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11" w:type="dxa"/>
            <w:tcBorders>
              <w:top w:val="single" w:color="auto" w:sz="4" w:space="0"/>
              <w:left w:val="single" w:color="auto" w:sz="4" w:space="0"/>
              <w:bottom w:val="single" w:color="auto" w:sz="4" w:space="0"/>
              <w:right w:val="single" w:color="auto" w:sz="4" w:space="0"/>
            </w:tcBorders>
            <w:noWrap w:val="0"/>
            <w:vAlign w:val="top"/>
          </w:tcPr>
          <w:p w14:paraId="2C48552B">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u w:val="none"/>
                <w:lang w:val="en-US" w:eastAsia="zh-CN" w:bidi="ar"/>
              </w:rPr>
              <w:t>一拖二真分集无线头戴话筒</w:t>
            </w:r>
          </w:p>
        </w:tc>
        <w:tc>
          <w:tcPr>
            <w:tcW w:w="5436" w:type="dxa"/>
            <w:tcBorders>
              <w:top w:val="single" w:color="auto" w:sz="4" w:space="0"/>
              <w:left w:val="single" w:color="auto" w:sz="4" w:space="0"/>
              <w:bottom w:val="single" w:color="auto" w:sz="4" w:space="0"/>
              <w:right w:val="single" w:color="auto" w:sz="4" w:space="0"/>
            </w:tcBorders>
            <w:noWrap w:val="0"/>
            <w:vAlign w:val="top"/>
          </w:tcPr>
          <w:p w14:paraId="29356917">
            <w:pPr>
              <w:widowControl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参数同：（一、报告厅</w:t>
            </w:r>
            <w:r>
              <w:rPr>
                <w:rFonts w:hint="eastAsia" w:ascii="宋体" w:hAnsi="宋体" w:eastAsia="宋体" w:cs="宋体"/>
                <w:b w:val="0"/>
                <w:bCs w:val="0"/>
                <w:sz w:val="21"/>
                <w:szCs w:val="21"/>
              </w:rPr>
              <w:t>1、广播系统</w:t>
            </w:r>
            <w:r>
              <w:rPr>
                <w:rFonts w:hint="eastAsia" w:ascii="宋体" w:hAnsi="宋体" w:eastAsia="宋体" w:cs="宋体"/>
                <w:b w:val="0"/>
                <w:bCs w:val="0"/>
                <w:sz w:val="21"/>
                <w:szCs w:val="21"/>
                <w:lang w:val="en-US" w:eastAsia="zh-CN"/>
              </w:rPr>
              <w:t>：</w:t>
            </w:r>
            <w:r>
              <w:rPr>
                <w:rFonts w:hint="eastAsia" w:ascii="宋体" w:hAnsi="宋体" w:eastAsia="宋体" w:cs="宋体"/>
                <w:b w:val="0"/>
                <w:bCs w:val="0"/>
                <w:color w:val="000000"/>
                <w:sz w:val="21"/>
                <w:szCs w:val="21"/>
                <w:u w:val="none"/>
                <w:lang w:val="en-US" w:eastAsia="zh-CN" w:bidi="ar"/>
              </w:rPr>
              <w:t>一拖二真分集无线头戴话筒</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DAEE459">
            <w:pPr>
              <w:widowControl w:val="0"/>
              <w:jc w:val="left"/>
              <w:rPr>
                <w:rFonts w:hint="eastAsia" w:ascii="宋体" w:hAnsi="宋体" w:eastAsia="宋体" w:cs="宋体"/>
                <w:i w:val="0"/>
                <w:iCs w:val="0"/>
                <w:color w:val="000000"/>
                <w:sz w:val="21"/>
                <w:szCs w:val="21"/>
                <w:u w:val="none"/>
              </w:rPr>
            </w:pPr>
          </w:p>
        </w:tc>
      </w:tr>
      <w:tr w14:paraId="670572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0C057AB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629A967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4*4数字音频矩阵处理器</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6BD48A43">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1.4路独立模拟音频平衡输入，4路独立模拟音频平衡输出，支持各类麦克风信号输入和音乐信号输入；</w:t>
            </w:r>
          </w:p>
          <w:p w14:paraId="72630D6E">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2.输入通道：前级放大、信号发生器、扩展器、压缩器、31段参量均衡、AM自动混音功能、AFC自适应反馈消除、AEC回声消除、ANC噪声消除；</w:t>
            </w:r>
          </w:p>
          <w:p w14:paraId="51157B52">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 xml:space="preserve">3.输出通道：10段参量均衡器、延时器、分频器、高低通滤波器、限幅器；                                                                                                                                                      </w:t>
            </w:r>
          </w:p>
          <w:p w14:paraId="1725D5B6">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4.每路麦克风输入带8级灵敏度调节0-35dB增益，可以匹配不同灵敏度的各类麦克风；</w:t>
            </w:r>
          </w:p>
          <w:p w14:paraId="2B5B28E9">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5.</w:t>
            </w:r>
            <w:r>
              <w:rPr>
                <w:rFonts w:hint="eastAsia" w:ascii="宋体" w:hAnsi="宋体" w:eastAsia="宋体" w:cs="宋体"/>
                <w:sz w:val="21"/>
                <w:szCs w:val="21"/>
                <w:highlight w:val="none"/>
                <w:lang w:eastAsia="zh-CN"/>
              </w:rPr>
              <w:t>△</w:t>
            </w:r>
            <w:r>
              <w:rPr>
                <w:rFonts w:hint="eastAsia" w:ascii="宋体" w:hAnsi="宋体" w:eastAsia="宋体" w:cs="宋体"/>
                <w:i w:val="0"/>
                <w:iCs w:val="0"/>
                <w:color w:val="000000"/>
                <w:sz w:val="21"/>
                <w:szCs w:val="21"/>
                <w:highlight w:val="none"/>
                <w:u w:val="none"/>
              </w:rPr>
              <w:t>内置白</w:t>
            </w:r>
            <w:r>
              <w:rPr>
                <w:rFonts w:hint="eastAsia" w:ascii="宋体" w:hAnsi="宋体" w:eastAsia="宋体" w:cs="宋体"/>
                <w:i w:val="0"/>
                <w:iCs w:val="0"/>
                <w:color w:val="000000"/>
                <w:sz w:val="21"/>
                <w:szCs w:val="21"/>
                <w:u w:val="none"/>
              </w:rPr>
              <w:t>噪声.粉红噪声.正弦波三种不同测试信号音源，可以作为各类系统检测音源；</w:t>
            </w:r>
          </w:p>
          <w:p w14:paraId="1D587255">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6.每路输入带48V幻相电源开关，可以驱动各类电容麦克风单元；</w:t>
            </w:r>
          </w:p>
          <w:p w14:paraId="73B0837F">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7.每路输入带主动反馈抑制功能，两档调节；</w:t>
            </w:r>
          </w:p>
          <w:p w14:paraId="799BF168">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8.带AUTOMIX共享增益型自动混音器，每通道独立调节，有10级优先档位，可调节斜率和响应时间；</w:t>
            </w:r>
          </w:p>
          <w:p w14:paraId="76C3E4F4">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9.带视像跟踪控制功能，RS232/485接口，支持摄像头控制PELCO-D/PELCO-P/VISCA等协议，配置8通道可编程GPIO控制接口（可自定义输入输出）；</w:t>
            </w:r>
          </w:p>
          <w:p w14:paraId="1673AF95">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10.标配USB（TYPE-B）口，一口三功能：支持免驱自动连接软件调试；内置U盘功能；</w:t>
            </w:r>
          </w:p>
          <w:p w14:paraId="46C2E0A0">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11.支持手机APP TCON软件网络控制，支持4寸触控屏线控控制；</w:t>
            </w:r>
          </w:p>
          <w:p w14:paraId="4D5DE928">
            <w:pPr>
              <w:widowControl w:val="0"/>
              <w:jc w:val="left"/>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rPr>
              <w:t>12.同一软件平台统一管理，可通过USB/RS232/RS485/TCPIP多个接口连接控制设备，TCPIP控制口还可以实现局域网远程.多台设备控制，多台设备同步参数，联调参数等强大功能；</w:t>
            </w:r>
          </w:p>
          <w:p w14:paraId="709E0C0F">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13.支持中控指令，软件自带中控协议，可通过RS232/RS485/TCPIP实现中控控制功能。</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0A9579E">
            <w:pPr>
              <w:widowControl w:val="0"/>
              <w:jc w:val="left"/>
              <w:rPr>
                <w:rFonts w:hint="eastAsia" w:ascii="宋体" w:hAnsi="宋体" w:eastAsia="宋体" w:cs="宋体"/>
                <w:i w:val="0"/>
                <w:iCs w:val="0"/>
                <w:color w:val="000000"/>
                <w:sz w:val="21"/>
                <w:szCs w:val="21"/>
                <w:u w:val="none"/>
              </w:rPr>
            </w:pPr>
          </w:p>
        </w:tc>
      </w:tr>
      <w:tr w14:paraId="602BDC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8"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9C508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782D92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AI智能增益器</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60CFBE2">
            <w:pPr>
              <w:widowControl w:val="0"/>
              <w:jc w:val="left"/>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参数同：（一、报告厅1、广播系统：AI智能增益器）</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0F5EA36A">
            <w:pPr>
              <w:widowControl w:val="0"/>
              <w:jc w:val="left"/>
              <w:rPr>
                <w:rFonts w:hint="eastAsia" w:ascii="宋体" w:hAnsi="宋体" w:eastAsia="宋体" w:cs="宋体"/>
                <w:i w:val="0"/>
                <w:iCs w:val="0"/>
                <w:color w:val="000000"/>
                <w:sz w:val="21"/>
                <w:szCs w:val="21"/>
                <w:u w:val="none"/>
              </w:rPr>
            </w:pPr>
          </w:p>
        </w:tc>
      </w:tr>
      <w:tr w14:paraId="56FCA4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56BEC9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09A23F0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8路电源时序器</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0E966346">
            <w:pPr>
              <w:widowControl w:val="0"/>
              <w:jc w:val="left"/>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sz w:val="21"/>
                <w:szCs w:val="21"/>
                <w:highlight w:val="none"/>
                <w:u w:val="none"/>
                <w:lang w:val="en-US" w:eastAsia="zh-CN"/>
              </w:rPr>
              <w:t>参数</w:t>
            </w:r>
            <w:r>
              <w:rPr>
                <w:rFonts w:hint="eastAsia" w:ascii="宋体" w:hAnsi="宋体" w:cs="宋体"/>
                <w:i w:val="0"/>
                <w:iCs w:val="0"/>
                <w:color w:val="000000"/>
                <w:sz w:val="21"/>
                <w:szCs w:val="21"/>
                <w:highlight w:val="none"/>
                <w:u w:val="none"/>
                <w:lang w:val="en-US" w:eastAsia="zh-CN"/>
              </w:rPr>
              <w:t>同</w:t>
            </w:r>
            <w:r>
              <w:rPr>
                <w:rFonts w:hint="eastAsia" w:ascii="宋体" w:hAnsi="宋体" w:eastAsia="宋体" w:cs="宋体"/>
                <w:i w:val="0"/>
                <w:iCs w:val="0"/>
                <w:color w:val="000000"/>
                <w:sz w:val="21"/>
                <w:szCs w:val="21"/>
                <w:highlight w:val="none"/>
                <w:u w:val="none"/>
                <w:lang w:val="en-US" w:eastAsia="zh-CN"/>
              </w:rPr>
              <w:t>：（一、报告厅1、广播系统：8路电源时序器）</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DA13F82">
            <w:pPr>
              <w:widowControl w:val="0"/>
              <w:jc w:val="left"/>
              <w:rPr>
                <w:rFonts w:hint="eastAsia" w:ascii="宋体" w:hAnsi="宋体" w:eastAsia="宋体" w:cs="宋体"/>
                <w:i w:val="0"/>
                <w:iCs w:val="0"/>
                <w:color w:val="000000"/>
                <w:sz w:val="21"/>
                <w:szCs w:val="21"/>
                <w:u w:val="none"/>
              </w:rPr>
            </w:pPr>
          </w:p>
        </w:tc>
      </w:tr>
      <w:tr w14:paraId="5A71B7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20624BC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13CBD97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1.2米机柜</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1D55BAE4">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1、尺寸：600*600*1</w:t>
            </w:r>
            <w:r>
              <w:rPr>
                <w:rFonts w:hint="eastAsia" w:ascii="宋体" w:hAnsi="宋体" w:eastAsia="宋体" w:cs="宋体"/>
                <w:kern w:val="0"/>
                <w:sz w:val="21"/>
                <w:szCs w:val="21"/>
                <w:lang w:val="en-US" w:eastAsia="zh-CN"/>
              </w:rPr>
              <w:t>2</w:t>
            </w:r>
            <w:r>
              <w:rPr>
                <w:rFonts w:hint="eastAsia" w:ascii="宋体" w:hAnsi="宋体" w:eastAsia="宋体" w:cs="宋体"/>
                <w:kern w:val="0"/>
                <w:sz w:val="21"/>
                <w:szCs w:val="21"/>
              </w:rPr>
              <w:t>00mm；</w:t>
            </w:r>
          </w:p>
          <w:p w14:paraId="03936D9F">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2、通风顶盖1个；</w:t>
            </w:r>
          </w:p>
          <w:p w14:paraId="042F950B">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3、置顶式散热排气风扇2把；</w:t>
            </w:r>
          </w:p>
          <w:p w14:paraId="474AA07F">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4、钢质装拆式侧门1对；</w:t>
            </w:r>
          </w:p>
          <w:p w14:paraId="74ECDAB3">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rPr>
              <w:t>5、带锁框式玻璃前门1个；</w:t>
            </w:r>
          </w:p>
          <w:p w14:paraId="2EAA2C95">
            <w:pPr>
              <w:widowControl/>
              <w:jc w:val="left"/>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val="en-US" w:eastAsia="zh-CN"/>
              </w:rPr>
              <w:t>6</w:t>
            </w:r>
            <w:r>
              <w:rPr>
                <w:rFonts w:hint="eastAsia" w:ascii="宋体" w:hAnsi="宋体" w:eastAsia="宋体" w:cs="宋体"/>
                <w:kern w:val="0"/>
                <w:sz w:val="21"/>
                <w:szCs w:val="21"/>
                <w:highlight w:val="none"/>
              </w:rPr>
              <w:t>、带锁框式网孔</w:t>
            </w:r>
            <w:r>
              <w:rPr>
                <w:rFonts w:hint="eastAsia" w:ascii="宋体" w:hAnsi="宋体" w:eastAsia="宋体" w:cs="宋体"/>
                <w:kern w:val="0"/>
                <w:sz w:val="21"/>
                <w:szCs w:val="21"/>
                <w:highlight w:val="none"/>
                <w:lang w:val="en-US" w:eastAsia="zh-CN"/>
              </w:rPr>
              <w:t>后</w:t>
            </w:r>
            <w:r>
              <w:rPr>
                <w:rFonts w:hint="eastAsia" w:ascii="宋体" w:hAnsi="宋体" w:eastAsia="宋体" w:cs="宋体"/>
                <w:kern w:val="0"/>
                <w:sz w:val="21"/>
                <w:szCs w:val="21"/>
                <w:highlight w:val="none"/>
              </w:rPr>
              <w:t>门1个；</w:t>
            </w:r>
          </w:p>
          <w:p w14:paraId="1C289C2D">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kern w:val="0"/>
                <w:sz w:val="21"/>
                <w:szCs w:val="21"/>
                <w:highlight w:val="none"/>
              </w:rPr>
              <w:t>7、6路普通插座1个</w:t>
            </w:r>
            <w:r>
              <w:rPr>
                <w:rFonts w:hint="eastAsia" w:ascii="宋体" w:hAnsi="宋体" w:eastAsia="宋体" w:cs="宋体"/>
                <w:kern w:val="0"/>
                <w:sz w:val="21"/>
                <w:szCs w:val="21"/>
                <w:highlight w:val="none"/>
                <w:lang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B1A4998">
            <w:pPr>
              <w:widowControl w:val="0"/>
              <w:jc w:val="left"/>
              <w:rPr>
                <w:rFonts w:hint="eastAsia" w:ascii="宋体" w:hAnsi="宋体" w:eastAsia="宋体" w:cs="宋体"/>
                <w:i w:val="0"/>
                <w:iCs w:val="0"/>
                <w:color w:val="000000"/>
                <w:sz w:val="21"/>
                <w:szCs w:val="21"/>
                <w:u w:val="none"/>
              </w:rPr>
            </w:pPr>
          </w:p>
        </w:tc>
      </w:tr>
      <w:tr w14:paraId="156B9F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779" w:type="dxa"/>
            <w:gridSpan w:val="4"/>
            <w:tcBorders>
              <w:top w:val="single" w:color="auto" w:sz="4" w:space="0"/>
              <w:left w:val="single" w:color="auto" w:sz="4" w:space="0"/>
              <w:bottom w:val="single" w:color="auto" w:sz="4" w:space="0"/>
              <w:right w:val="single" w:color="auto" w:sz="4" w:space="0"/>
            </w:tcBorders>
            <w:noWrap w:val="0"/>
            <w:vAlign w:val="center"/>
          </w:tcPr>
          <w:p w14:paraId="7D882D4E">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sz w:val="21"/>
                <w:szCs w:val="21"/>
                <w:lang w:val="en-US" w:eastAsia="zh-CN"/>
              </w:rPr>
              <w:t>三、小会议室</w:t>
            </w:r>
          </w:p>
        </w:tc>
      </w:tr>
      <w:tr w14:paraId="3CED07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779" w:type="dxa"/>
            <w:gridSpan w:val="4"/>
            <w:tcBorders>
              <w:top w:val="single" w:color="auto" w:sz="4" w:space="0"/>
              <w:left w:val="single" w:color="auto" w:sz="4" w:space="0"/>
              <w:bottom w:val="single" w:color="auto" w:sz="4" w:space="0"/>
              <w:right w:val="single" w:color="auto" w:sz="4" w:space="0"/>
            </w:tcBorders>
            <w:noWrap w:val="0"/>
            <w:vAlign w:val="center"/>
          </w:tcPr>
          <w:p w14:paraId="3E2FF5DC">
            <w:pPr>
              <w:keepNext w:val="0"/>
              <w:keepLines w:val="0"/>
              <w:widowControl/>
              <w:suppressLineNumbers w:val="0"/>
              <w:jc w:val="left"/>
              <w:textAlignment w:val="center"/>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1、广播系统</w:t>
            </w:r>
          </w:p>
        </w:tc>
      </w:tr>
      <w:tr w14:paraId="5A28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4"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52AB6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3E1461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定压定阻可调天花喇叭</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top"/>
          </w:tcPr>
          <w:p w14:paraId="495EFE33">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1.系统类型：6寸同轴×1；</w:t>
            </w:r>
          </w:p>
          <w:p w14:paraId="64428E9E">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2.输入方式（定压定阻可调）：定压（70V/100V)，定阻阻抗：8Ω；</w:t>
            </w:r>
          </w:p>
          <w:p w14:paraId="13B40FE5">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3.功率选择：30W/15W/7.5W/3.8W；</w:t>
            </w:r>
          </w:p>
          <w:p w14:paraId="7D91DEC2">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rPr>
              <w:t>4.最大声压级：89dB（±3dB）；</w:t>
            </w:r>
          </w:p>
          <w:p w14:paraId="1BF86257">
            <w:pPr>
              <w:widowControl w:val="0"/>
              <w:jc w:val="left"/>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rPr>
              <w:t>5.频率响应：90-20KHz</w:t>
            </w:r>
            <w:r>
              <w:rPr>
                <w:rFonts w:hint="eastAsia" w:ascii="宋体" w:hAnsi="宋体" w:eastAsia="宋体" w:cs="宋体"/>
                <w:i w:val="0"/>
                <w:iCs w:val="0"/>
                <w:color w:val="000000"/>
                <w:sz w:val="21"/>
                <w:szCs w:val="21"/>
                <w:u w:val="none"/>
                <w:lang w:eastAsia="zh-CN"/>
              </w:rPr>
              <w:t>。</w:t>
            </w:r>
          </w:p>
        </w:tc>
        <w:tc>
          <w:tcPr>
            <w:tcW w:w="13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78484D1">
            <w:pPr>
              <w:widowControl w:val="0"/>
              <w:jc w:val="center"/>
              <w:rPr>
                <w:rFonts w:hint="eastAsia" w:ascii="宋体" w:hAnsi="宋体" w:eastAsia="宋体" w:cs="宋体"/>
                <w:i w:val="0"/>
                <w:iCs w:val="0"/>
                <w:color w:val="000000"/>
                <w:sz w:val="21"/>
                <w:szCs w:val="21"/>
                <w:u w:val="none"/>
                <w:lang w:val="en-US" w:eastAsia="zh-CN"/>
              </w:rPr>
            </w:pPr>
          </w:p>
        </w:tc>
      </w:tr>
      <w:tr w14:paraId="35EA1A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99"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9C14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CCDFE9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纯后级功率放大器</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DF1BBE">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1</w:t>
            </w:r>
            <w:r>
              <w:rPr>
                <w:rFonts w:hint="eastAsia" w:ascii="宋体" w:hAnsi="宋体" w:eastAsia="宋体" w:cs="宋体"/>
                <w:i w:val="0"/>
                <w:iCs w:val="0"/>
                <w:color w:val="000000"/>
                <w:sz w:val="21"/>
                <w:szCs w:val="21"/>
                <w:highlight w:val="none"/>
                <w:u w:val="none"/>
              </w:rPr>
              <w:t>.</w:t>
            </w:r>
            <w:r>
              <w:rPr>
                <w:rFonts w:hint="eastAsia" w:ascii="宋体" w:hAnsi="宋体" w:eastAsia="宋体" w:cs="宋体"/>
                <w:sz w:val="21"/>
                <w:szCs w:val="21"/>
                <w:highlight w:val="none"/>
                <w:lang w:eastAsia="zh-CN"/>
              </w:rPr>
              <w:t>△</w:t>
            </w:r>
            <w:r>
              <w:rPr>
                <w:rFonts w:hint="eastAsia" w:ascii="宋体" w:hAnsi="宋体" w:eastAsia="宋体" w:cs="宋体"/>
                <w:i w:val="0"/>
                <w:iCs w:val="0"/>
                <w:color w:val="000000"/>
                <w:sz w:val="21"/>
                <w:szCs w:val="21"/>
                <w:highlight w:val="none"/>
                <w:u w:val="none"/>
              </w:rPr>
              <w:t>立</w:t>
            </w:r>
            <w:r>
              <w:rPr>
                <w:rFonts w:hint="eastAsia" w:ascii="宋体" w:hAnsi="宋体" w:eastAsia="宋体" w:cs="宋体"/>
                <w:i w:val="0"/>
                <w:iCs w:val="0"/>
                <w:color w:val="000000"/>
                <w:sz w:val="21"/>
                <w:szCs w:val="21"/>
                <w:u w:val="none"/>
              </w:rPr>
              <w:t>体声功率（THD=1%）：8Ω≥250W*2, 4Ω≥400W*2；</w:t>
            </w:r>
          </w:p>
          <w:p w14:paraId="61697E2F">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2</w:t>
            </w:r>
            <w:r>
              <w:rPr>
                <w:rFonts w:hint="eastAsia" w:ascii="宋体" w:hAnsi="宋体" w:eastAsia="宋体" w:cs="宋体"/>
                <w:i w:val="0"/>
                <w:iCs w:val="0"/>
                <w:color w:val="000000"/>
                <w:sz w:val="21"/>
                <w:szCs w:val="21"/>
                <w:u w:val="none"/>
              </w:rPr>
              <w:t>.桥接功率:8Ω≥800；</w:t>
            </w:r>
          </w:p>
          <w:p w14:paraId="0319DFFB">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3</w:t>
            </w:r>
            <w:r>
              <w:rPr>
                <w:rFonts w:hint="eastAsia" w:ascii="宋体" w:hAnsi="宋体" w:eastAsia="宋体" w:cs="宋体"/>
                <w:i w:val="0"/>
                <w:iCs w:val="0"/>
                <w:color w:val="000000"/>
                <w:sz w:val="21"/>
                <w:szCs w:val="21"/>
                <w:u w:val="none"/>
              </w:rPr>
              <w:t>.频率响应：20Hz-20KHz（-0.25dB)；</w:t>
            </w:r>
          </w:p>
          <w:p w14:paraId="49844AFF">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4</w:t>
            </w:r>
            <w:r>
              <w:rPr>
                <w:rFonts w:hint="eastAsia" w:ascii="宋体" w:hAnsi="宋体" w:eastAsia="宋体" w:cs="宋体"/>
                <w:i w:val="0"/>
                <w:iCs w:val="0"/>
                <w:color w:val="000000"/>
                <w:sz w:val="21"/>
                <w:szCs w:val="21"/>
                <w:u w:val="none"/>
              </w:rPr>
              <w:t>.输入灵敏度：0.775V/1.2V；输入阻抗：20KΩ；</w:t>
            </w:r>
          </w:p>
          <w:p w14:paraId="6FDD66B5">
            <w:pPr>
              <w:widowControl w:val="0"/>
              <w:jc w:val="left"/>
              <w:rPr>
                <w:rFonts w:hint="eastAsia" w:ascii="宋体" w:hAnsi="宋体" w:eastAsia="宋体" w:cs="宋体"/>
                <w:szCs w:val="20"/>
              </w:rPr>
            </w:pPr>
            <w:r>
              <w:rPr>
                <w:rFonts w:hint="eastAsia" w:ascii="宋体" w:hAnsi="宋体" w:eastAsia="宋体" w:cs="宋体"/>
                <w:i w:val="0"/>
                <w:iCs w:val="0"/>
                <w:color w:val="000000"/>
                <w:sz w:val="21"/>
                <w:szCs w:val="21"/>
                <w:u w:val="none"/>
                <w:lang w:val="en-US" w:eastAsia="zh-CN"/>
              </w:rPr>
              <w:t>5</w:t>
            </w:r>
            <w:r>
              <w:rPr>
                <w:rFonts w:hint="eastAsia" w:ascii="宋体" w:hAnsi="宋体" w:eastAsia="宋体" w:cs="宋体"/>
                <w:i w:val="0"/>
                <w:iCs w:val="0"/>
                <w:color w:val="000000"/>
                <w:sz w:val="21"/>
                <w:szCs w:val="21"/>
                <w:u w:val="none"/>
              </w:rPr>
              <w:t>.总谐波失真（1KHZ，正常工作条件）：0.02%；</w:t>
            </w:r>
          </w:p>
          <w:p w14:paraId="539A53C0">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6</w:t>
            </w:r>
            <w:r>
              <w:rPr>
                <w:rFonts w:hint="eastAsia" w:ascii="宋体" w:hAnsi="宋体" w:eastAsia="宋体" w:cs="宋体"/>
                <w:i w:val="0"/>
                <w:iCs w:val="0"/>
                <w:color w:val="000000"/>
                <w:sz w:val="21"/>
                <w:szCs w:val="21"/>
                <w:u w:val="none"/>
              </w:rPr>
              <w:t>.保护：短路.过载.过流.低阻.直流失调.过热.开机防浪涌冲击</w:t>
            </w:r>
            <w:r>
              <w:rPr>
                <w:rFonts w:hint="eastAsia" w:ascii="宋体" w:hAnsi="宋体" w:eastAsia="宋体" w:cs="宋体"/>
                <w:i w:val="0"/>
                <w:iCs w:val="0"/>
                <w:color w:val="000000"/>
                <w:sz w:val="21"/>
                <w:szCs w:val="21"/>
                <w:u w:val="none"/>
                <w:lang w:eastAsia="zh-CN"/>
              </w:rPr>
              <w:t>。</w:t>
            </w:r>
          </w:p>
        </w:tc>
        <w:tc>
          <w:tcPr>
            <w:tcW w:w="13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2F1546">
            <w:pPr>
              <w:widowControl w:val="0"/>
              <w:jc w:val="center"/>
              <w:rPr>
                <w:rFonts w:hint="eastAsia" w:ascii="宋体" w:hAnsi="宋体" w:eastAsia="宋体" w:cs="宋体"/>
                <w:i w:val="0"/>
                <w:iCs w:val="0"/>
                <w:color w:val="000000"/>
                <w:sz w:val="21"/>
                <w:szCs w:val="21"/>
                <w:u w:val="none"/>
              </w:rPr>
            </w:pPr>
          </w:p>
        </w:tc>
      </w:tr>
      <w:tr w14:paraId="33F2B9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0DD13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456D79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音频处理器</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5F754103">
            <w:pPr>
              <w:widowControl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1、</w:t>
            </w:r>
            <w:r>
              <w:rPr>
                <w:rFonts w:hint="eastAsia" w:ascii="宋体" w:hAnsi="宋体" w:eastAsia="宋体" w:cs="宋体"/>
                <w:color w:val="000000"/>
                <w:sz w:val="21"/>
                <w:szCs w:val="21"/>
              </w:rPr>
              <w:t>输出通道</w:t>
            </w:r>
            <w:r>
              <w:rPr>
                <w:rFonts w:hint="eastAsia" w:ascii="宋体" w:hAnsi="宋体" w:eastAsia="宋体" w:cs="宋体"/>
                <w:color w:val="000000"/>
                <w:sz w:val="21"/>
                <w:szCs w:val="21"/>
                <w:lang w:val="en-US" w:eastAsia="zh-CN"/>
              </w:rPr>
              <w:t>:</w:t>
            </w:r>
            <w:r>
              <w:rPr>
                <w:rFonts w:hint="eastAsia" w:ascii="宋体" w:hAnsi="宋体" w:eastAsia="宋体" w:cs="宋体"/>
                <w:color w:val="000000"/>
                <w:sz w:val="21"/>
                <w:szCs w:val="21"/>
              </w:rPr>
              <w:t xml:space="preserve">主输出（左/右）/中置/低音/环绕(左/右) </w:t>
            </w:r>
            <w:r>
              <w:rPr>
                <w:rFonts w:hint="eastAsia" w:ascii="宋体" w:hAnsi="宋体" w:eastAsia="宋体" w:cs="宋体"/>
                <w:color w:val="000000"/>
                <w:sz w:val="21"/>
                <w:szCs w:val="21"/>
                <w:lang w:eastAsia="zh-CN"/>
              </w:rPr>
              <w:t>；</w:t>
            </w:r>
          </w:p>
          <w:p w14:paraId="08D7C51B">
            <w:pPr>
              <w:widowControl w:val="0"/>
              <w:jc w:val="left"/>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2、</w:t>
            </w:r>
            <w:r>
              <w:rPr>
                <w:rFonts w:hint="eastAsia" w:ascii="宋体" w:hAnsi="宋体" w:eastAsia="宋体" w:cs="宋体"/>
                <w:color w:val="000000"/>
                <w:sz w:val="21"/>
                <w:szCs w:val="21"/>
              </w:rPr>
              <w:t xml:space="preserve">信噪比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麦克风/音乐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75dB/95dB</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失真度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麦克风/音乐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0.1%/0.01%</w:t>
            </w:r>
            <w:r>
              <w:rPr>
                <w:rFonts w:hint="eastAsia" w:ascii="宋体" w:hAnsi="宋体" w:eastAsia="宋体" w:cs="宋体"/>
                <w:color w:val="000000"/>
                <w:sz w:val="21"/>
                <w:szCs w:val="21"/>
                <w:lang w:eastAsia="zh-CN"/>
              </w:rPr>
              <w:t>；</w:t>
            </w:r>
          </w:p>
          <w:p w14:paraId="1BB6C4F6">
            <w:pPr>
              <w:widowControl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3、</w:t>
            </w:r>
            <w:r>
              <w:rPr>
                <w:rFonts w:hint="eastAsia" w:ascii="宋体" w:hAnsi="宋体" w:eastAsia="宋体" w:cs="宋体"/>
                <w:color w:val="000000"/>
                <w:sz w:val="21"/>
                <w:szCs w:val="21"/>
              </w:rPr>
              <w:t>最大输入电平</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麦克风/音乐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200mV/1.5V</w:t>
            </w:r>
            <w:r>
              <w:rPr>
                <w:rFonts w:hint="eastAsia" w:ascii="宋体" w:hAnsi="宋体" w:eastAsia="宋体" w:cs="宋体"/>
                <w:color w:val="000000"/>
                <w:sz w:val="21"/>
                <w:szCs w:val="21"/>
                <w:lang w:eastAsia="zh-CN"/>
              </w:rPr>
              <w:t>；</w:t>
            </w:r>
          </w:p>
          <w:p w14:paraId="22BF27BE">
            <w:pPr>
              <w:widowControl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rPr>
              <w:t>最大输出电平 10Vms</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灵敏度20mV/210mV</w:t>
            </w:r>
            <w:r>
              <w:rPr>
                <w:rFonts w:hint="eastAsia" w:ascii="宋体" w:hAnsi="宋体" w:eastAsia="宋体" w:cs="宋体"/>
                <w:color w:val="000000"/>
                <w:sz w:val="21"/>
                <w:szCs w:val="21"/>
                <w:lang w:eastAsia="zh-CN"/>
              </w:rPr>
              <w:t>；</w:t>
            </w:r>
          </w:p>
          <w:p w14:paraId="6A775963">
            <w:pPr>
              <w:widowControl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4、</w:t>
            </w:r>
            <w:r>
              <w:rPr>
                <w:rFonts w:hint="eastAsia" w:ascii="宋体" w:hAnsi="宋体" w:eastAsia="宋体" w:cs="宋体"/>
                <w:color w:val="000000"/>
                <w:sz w:val="21"/>
                <w:szCs w:val="21"/>
              </w:rPr>
              <w:t>输入阻抗(Ω)</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麦克风/音乐</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10K（不平衡）/ 47K（不平衡）</w:t>
            </w:r>
            <w:r>
              <w:rPr>
                <w:rFonts w:hint="eastAsia" w:ascii="宋体" w:hAnsi="宋体" w:eastAsia="宋体" w:cs="宋体"/>
                <w:color w:val="000000"/>
                <w:sz w:val="21"/>
                <w:szCs w:val="21"/>
                <w:lang w:eastAsia="zh-CN"/>
              </w:rPr>
              <w:t>；</w:t>
            </w:r>
          </w:p>
          <w:p w14:paraId="612D33B2">
            <w:pPr>
              <w:widowControl w:val="0"/>
              <w:jc w:val="left"/>
              <w:rPr>
                <w:rFonts w:hint="eastAsia" w:ascii="宋体" w:hAnsi="宋体" w:eastAsia="宋体" w:cs="宋体"/>
                <w:color w:val="000000"/>
                <w:sz w:val="21"/>
                <w:szCs w:val="21"/>
                <w:lang w:eastAsia="zh-CN"/>
              </w:rPr>
            </w:pPr>
            <w:r>
              <w:rPr>
                <w:rFonts w:hint="eastAsia" w:ascii="宋体" w:hAnsi="宋体" w:eastAsia="宋体" w:cs="宋体"/>
                <w:color w:val="000000"/>
                <w:sz w:val="21"/>
                <w:szCs w:val="21"/>
                <w:lang w:val="en-US" w:eastAsia="zh-CN"/>
              </w:rPr>
              <w:t>5、</w:t>
            </w:r>
            <w:r>
              <w:rPr>
                <w:rFonts w:hint="eastAsia" w:ascii="宋体" w:hAnsi="宋体" w:eastAsia="宋体" w:cs="宋体"/>
                <w:color w:val="000000"/>
                <w:sz w:val="21"/>
                <w:szCs w:val="21"/>
              </w:rPr>
              <w:t>输出阻抗</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300(平衡）,1K(不平衡）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通道分离度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85dB</w:t>
            </w:r>
            <w:r>
              <w:rPr>
                <w:rFonts w:hint="eastAsia" w:ascii="宋体" w:hAnsi="宋体" w:eastAsia="宋体" w:cs="宋体"/>
                <w:color w:val="000000"/>
                <w:sz w:val="21"/>
                <w:szCs w:val="21"/>
                <w:lang w:eastAsia="zh-CN"/>
              </w:rPr>
              <w:t>；</w:t>
            </w:r>
          </w:p>
          <w:p w14:paraId="3C6C9ADD">
            <w:pPr>
              <w:widowControl w:val="0"/>
              <w:jc w:val="left"/>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6、</w:t>
            </w:r>
            <w:r>
              <w:rPr>
                <w:rFonts w:hint="eastAsia" w:ascii="宋体" w:hAnsi="宋体" w:eastAsia="宋体" w:cs="宋体"/>
                <w:color w:val="000000"/>
                <w:sz w:val="21"/>
                <w:szCs w:val="21"/>
              </w:rPr>
              <w:t xml:space="preserve">啸叫抑制功能 </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4级反馈抑制设定</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 xml:space="preserve">     </w:t>
            </w:r>
          </w:p>
          <w:p w14:paraId="773BCB1C">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color w:val="000000"/>
                <w:sz w:val="21"/>
                <w:szCs w:val="21"/>
                <w:lang w:val="en-US" w:eastAsia="zh-CN"/>
              </w:rPr>
              <w:t>7、</w:t>
            </w:r>
            <w:r>
              <w:rPr>
                <w:rFonts w:hint="eastAsia" w:ascii="宋体" w:hAnsi="宋体" w:eastAsia="宋体" w:cs="宋体"/>
                <w:color w:val="000000"/>
                <w:sz w:val="21"/>
                <w:szCs w:val="21"/>
              </w:rPr>
              <w:t>处理器 48KHz24bit,A/D及D/A,32bit 200MHz DSP处理器 200MHz</w:t>
            </w:r>
            <w:r>
              <w:rPr>
                <w:rFonts w:hint="eastAsia" w:ascii="宋体" w:hAnsi="宋体" w:eastAsia="宋体" w:cs="宋体"/>
                <w:color w:val="000000"/>
                <w:sz w:val="21"/>
                <w:szCs w:val="21"/>
                <w:lang w:eastAsia="zh-CN"/>
              </w:rPr>
              <w:t>。</w:t>
            </w:r>
          </w:p>
        </w:tc>
        <w:tc>
          <w:tcPr>
            <w:tcW w:w="13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0CA8D800">
            <w:pPr>
              <w:widowControl w:val="0"/>
              <w:jc w:val="center"/>
              <w:rPr>
                <w:rFonts w:hint="eastAsia" w:ascii="宋体" w:hAnsi="宋体" w:eastAsia="宋体" w:cs="宋体"/>
                <w:i w:val="0"/>
                <w:iCs w:val="0"/>
                <w:color w:val="00B0F0"/>
                <w:sz w:val="21"/>
                <w:szCs w:val="21"/>
                <w:u w:val="none"/>
                <w:lang w:val="en-US" w:eastAsia="zh-CN"/>
              </w:rPr>
            </w:pPr>
          </w:p>
        </w:tc>
      </w:tr>
      <w:tr w14:paraId="58349D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5AEF6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11"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7365B05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一拖二真分集无线手持话筒</w:t>
            </w:r>
          </w:p>
        </w:tc>
        <w:tc>
          <w:tcPr>
            <w:tcW w:w="5436" w:type="dxa"/>
            <w:tcBorders>
              <w:top w:val="single" w:color="auto" w:sz="4" w:space="0"/>
              <w:left w:val="single" w:color="auto" w:sz="4" w:space="0"/>
              <w:bottom w:val="single" w:color="auto" w:sz="4" w:space="0"/>
              <w:right w:val="single" w:color="auto" w:sz="4" w:space="0"/>
            </w:tcBorders>
            <w:shd w:val="clear" w:color="auto" w:fill="auto"/>
            <w:noWrap w:val="0"/>
            <w:vAlign w:val="top"/>
          </w:tcPr>
          <w:p w14:paraId="04237D76">
            <w:pPr>
              <w:widowControl w:val="0"/>
              <w:jc w:val="both"/>
              <w:rPr>
                <w:rFonts w:hint="eastAsia" w:ascii="宋体" w:hAnsi="宋体" w:eastAsia="宋体" w:cs="宋体"/>
                <w:b w:val="0"/>
                <w:bCs w:val="0"/>
                <w:kern w:val="2"/>
                <w:sz w:val="21"/>
                <w:szCs w:val="21"/>
                <w:lang w:val="en-US" w:eastAsia="zh-CN" w:bidi="ar-SA"/>
              </w:rPr>
            </w:pPr>
            <w:r>
              <w:rPr>
                <w:rFonts w:hint="eastAsia" w:ascii="宋体" w:hAnsi="宋体" w:eastAsia="宋体" w:cs="宋体"/>
                <w:b w:val="0"/>
                <w:bCs w:val="0"/>
                <w:sz w:val="21"/>
                <w:szCs w:val="21"/>
                <w:lang w:val="en-US" w:eastAsia="zh-CN"/>
              </w:rPr>
              <w:t>参数同：（一、报告厅1、广播系统：</w:t>
            </w:r>
            <w:r>
              <w:rPr>
                <w:rFonts w:hint="eastAsia" w:ascii="宋体" w:hAnsi="宋体" w:eastAsia="宋体" w:cs="宋体"/>
                <w:b w:val="0"/>
                <w:bCs w:val="0"/>
                <w:sz w:val="21"/>
                <w:szCs w:val="21"/>
              </w:rPr>
              <w:t>一拖二真分集无线手持话筒</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2B02E64">
            <w:pPr>
              <w:widowControl w:val="0"/>
              <w:jc w:val="center"/>
              <w:rPr>
                <w:rFonts w:hint="eastAsia" w:ascii="宋体" w:hAnsi="宋体" w:eastAsia="宋体" w:cs="宋体"/>
                <w:i w:val="0"/>
                <w:iCs w:val="0"/>
                <w:color w:val="000000"/>
                <w:sz w:val="21"/>
                <w:szCs w:val="21"/>
                <w:u w:val="none"/>
              </w:rPr>
            </w:pPr>
          </w:p>
        </w:tc>
      </w:tr>
      <w:tr w14:paraId="47FC5C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1"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09C2B9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F893F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UHF无线一拖二会议麦克风</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3790055C">
            <w:pPr>
              <w:widowControl w:val="0"/>
              <w:jc w:val="left"/>
              <w:rPr>
                <w:rFonts w:hint="eastAsia" w:ascii="宋体" w:hAnsi="宋体" w:eastAsia="宋体" w:cs="宋体"/>
                <w:sz w:val="21"/>
                <w:szCs w:val="21"/>
              </w:rPr>
            </w:pPr>
            <w:r>
              <w:rPr>
                <w:rFonts w:hint="eastAsia" w:ascii="宋体" w:hAnsi="宋体" w:eastAsia="宋体" w:cs="宋体"/>
                <w:sz w:val="21"/>
                <w:szCs w:val="21"/>
              </w:rPr>
              <w:t>1.内置40组预设频率模组，PLL锁相环回路设计，纯自动选讯接收方式；</w:t>
            </w:r>
          </w:p>
          <w:p w14:paraId="3BD30A47">
            <w:pPr>
              <w:widowControl w:val="0"/>
              <w:jc w:val="left"/>
              <w:rPr>
                <w:rFonts w:hint="eastAsia" w:ascii="宋体" w:hAnsi="宋体" w:eastAsia="宋体" w:cs="宋体"/>
                <w:sz w:val="21"/>
                <w:szCs w:val="21"/>
              </w:rPr>
            </w:pPr>
            <w:r>
              <w:rPr>
                <w:rFonts w:hint="eastAsia" w:ascii="宋体" w:hAnsi="宋体" w:eastAsia="宋体" w:cs="宋体"/>
                <w:sz w:val="21"/>
                <w:szCs w:val="21"/>
              </w:rPr>
              <w:t>2.一键修改二通道频率组，二通道同时修改频率组，同时亦支持手动修改每个通道的频率；</w:t>
            </w:r>
          </w:p>
          <w:p w14:paraId="15B5B608">
            <w:pPr>
              <w:widowControl w:val="0"/>
              <w:jc w:val="left"/>
              <w:rPr>
                <w:rFonts w:hint="eastAsia" w:ascii="宋体" w:hAnsi="宋体" w:eastAsia="宋体" w:cs="宋体"/>
                <w:sz w:val="21"/>
                <w:szCs w:val="21"/>
              </w:rPr>
            </w:pPr>
            <w:r>
              <w:rPr>
                <w:rFonts w:hint="eastAsia" w:ascii="宋体" w:hAnsi="宋体" w:eastAsia="宋体" w:cs="宋体"/>
                <w:sz w:val="21"/>
                <w:szCs w:val="21"/>
              </w:rPr>
              <w:t>3.配合LCD液晶显示屏，显示音量.模组.频率和AF/RF讯号强度以及设置操作；</w:t>
            </w:r>
          </w:p>
          <w:p w14:paraId="5E00D82D">
            <w:pPr>
              <w:widowControl w:val="0"/>
              <w:jc w:val="left"/>
              <w:rPr>
                <w:rFonts w:hint="eastAsia" w:ascii="宋体" w:hAnsi="宋体" w:eastAsia="宋体" w:cs="宋体"/>
                <w:sz w:val="21"/>
                <w:szCs w:val="21"/>
              </w:rPr>
            </w:pPr>
            <w:r>
              <w:rPr>
                <w:rFonts w:hint="eastAsia" w:ascii="宋体" w:hAnsi="宋体" w:eastAsia="宋体" w:cs="宋体"/>
                <w:sz w:val="21"/>
                <w:szCs w:val="21"/>
              </w:rPr>
              <w:t>4.使用电子音量控制，每个通道音量增益通过前置旋钮可调0dB至20dB；</w:t>
            </w:r>
          </w:p>
          <w:p w14:paraId="30EA8B3B">
            <w:pPr>
              <w:widowControl w:val="0"/>
              <w:jc w:val="left"/>
              <w:rPr>
                <w:rFonts w:hint="eastAsia" w:ascii="宋体" w:hAnsi="宋体" w:eastAsia="宋体" w:cs="宋体"/>
                <w:sz w:val="21"/>
                <w:szCs w:val="21"/>
              </w:rPr>
            </w:pPr>
            <w:r>
              <w:rPr>
                <w:rFonts w:hint="eastAsia" w:ascii="宋体" w:hAnsi="宋体" w:eastAsia="宋体" w:cs="宋体"/>
                <w:sz w:val="21"/>
                <w:szCs w:val="21"/>
              </w:rPr>
              <w:t>5.红外数据自动同步功能（SYNC）：2个独立的红外对频按键，一键自动对频；</w:t>
            </w:r>
          </w:p>
          <w:p w14:paraId="7B7DBA5A">
            <w:pPr>
              <w:widowControl w:val="0"/>
              <w:jc w:val="left"/>
              <w:rPr>
                <w:rFonts w:hint="eastAsia" w:ascii="宋体" w:hAnsi="宋体" w:eastAsia="宋体" w:cs="宋体"/>
                <w:sz w:val="21"/>
                <w:szCs w:val="21"/>
              </w:rPr>
            </w:pPr>
            <w:r>
              <w:rPr>
                <w:rFonts w:hint="eastAsia" w:ascii="宋体" w:hAnsi="宋体" w:eastAsia="宋体" w:cs="宋体"/>
                <w:sz w:val="21"/>
                <w:szCs w:val="21"/>
              </w:rPr>
              <w:t>6.采用UHF530-670MHz频段载波；频率响应：20Hz～20KHz ±3dB,频带宽度：30MHz,灵敏度：S/N&gt;60dB @25KHz, 6dBv,T.H.D： ＜0.7% @ 1KHz,S/N ＞105dB；</w:t>
            </w:r>
          </w:p>
          <w:p w14:paraId="0873DC64">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sz w:val="21"/>
                <w:szCs w:val="21"/>
              </w:rPr>
              <w:t>7.标配2条BNC天线，并可配备外置延长的抗干扰天线，可绕开金属机柜对无线信号的屏蔽，有效工作距离60米(可视距离)</w:t>
            </w:r>
            <w:r>
              <w:rPr>
                <w:rFonts w:hint="eastAsia" w:ascii="宋体" w:hAnsi="宋体" w:eastAsia="宋体" w:cs="宋体"/>
                <w:sz w:val="21"/>
                <w:szCs w:val="21"/>
                <w:lang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3B0EADD8">
            <w:pPr>
              <w:widowControl w:val="0"/>
              <w:jc w:val="center"/>
              <w:rPr>
                <w:rFonts w:hint="eastAsia" w:ascii="宋体" w:hAnsi="宋体" w:eastAsia="宋体" w:cs="宋体"/>
                <w:i w:val="0"/>
                <w:iCs w:val="0"/>
                <w:color w:val="000000"/>
                <w:sz w:val="21"/>
                <w:szCs w:val="21"/>
                <w:u w:val="none"/>
              </w:rPr>
            </w:pPr>
          </w:p>
        </w:tc>
      </w:tr>
      <w:tr w14:paraId="26292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E61C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4FAEE48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8路电源时序器</w:t>
            </w:r>
          </w:p>
        </w:tc>
        <w:tc>
          <w:tcPr>
            <w:tcW w:w="5436"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E7B4B5D">
            <w:pPr>
              <w:widowControl w:val="0"/>
              <w:jc w:val="left"/>
              <w:rPr>
                <w:rFonts w:hint="eastAsia" w:ascii="宋体" w:hAnsi="宋体" w:eastAsia="宋体" w:cs="宋体"/>
                <w:b w:val="0"/>
                <w:bCs w:val="0"/>
                <w:sz w:val="21"/>
                <w:szCs w:val="21"/>
              </w:rPr>
            </w:pPr>
            <w:r>
              <w:rPr>
                <w:rFonts w:hint="eastAsia" w:ascii="宋体" w:hAnsi="宋体" w:eastAsia="宋体" w:cs="宋体"/>
                <w:b w:val="0"/>
                <w:bCs w:val="0"/>
                <w:sz w:val="21"/>
                <w:szCs w:val="21"/>
                <w:lang w:val="en-US" w:eastAsia="zh-CN"/>
              </w:rPr>
              <w:t>参数同：（一、报告厅1、广播系统：</w:t>
            </w:r>
            <w:r>
              <w:rPr>
                <w:rFonts w:hint="eastAsia" w:ascii="宋体" w:hAnsi="宋体" w:eastAsia="宋体" w:cs="宋体"/>
                <w:b w:val="0"/>
                <w:bCs w:val="0"/>
                <w:i w:val="0"/>
                <w:iCs w:val="0"/>
                <w:color w:val="000000"/>
                <w:kern w:val="0"/>
                <w:sz w:val="21"/>
                <w:szCs w:val="21"/>
                <w:u w:val="none"/>
                <w:lang w:val="en-US" w:eastAsia="zh-CN" w:bidi="ar"/>
              </w:rPr>
              <w:t>8路电源时序器</w:t>
            </w:r>
            <w:r>
              <w:rPr>
                <w:rFonts w:hint="eastAsia" w:ascii="宋体" w:hAnsi="宋体" w:eastAsia="宋体" w:cs="宋体"/>
                <w:b w:val="0"/>
                <w:bCs w:val="0"/>
                <w:sz w:val="21"/>
                <w:szCs w:val="21"/>
                <w:lang w:val="en-US" w:eastAsia="zh-CN"/>
              </w:rPr>
              <w:t>）</w:t>
            </w:r>
          </w:p>
          <w:p w14:paraId="254139CC">
            <w:pPr>
              <w:widowControl w:val="0"/>
              <w:jc w:val="left"/>
              <w:rPr>
                <w:rFonts w:hint="eastAsia" w:ascii="宋体" w:hAnsi="宋体" w:eastAsia="宋体" w:cs="宋体"/>
                <w:b w:val="0"/>
                <w:bCs w:val="0"/>
                <w:i w:val="0"/>
                <w:iCs w:val="0"/>
                <w:color w:val="000000"/>
                <w:sz w:val="21"/>
                <w:szCs w:val="21"/>
                <w:u w:val="none"/>
              </w:rPr>
            </w:pPr>
          </w:p>
        </w:tc>
        <w:tc>
          <w:tcPr>
            <w:tcW w:w="1314" w:type="dxa"/>
            <w:tcBorders>
              <w:top w:val="single" w:color="auto" w:sz="4" w:space="0"/>
              <w:left w:val="single" w:color="auto" w:sz="4" w:space="0"/>
              <w:bottom w:val="single" w:color="auto" w:sz="4" w:space="0"/>
              <w:right w:val="single" w:color="auto" w:sz="4" w:space="0"/>
            </w:tcBorders>
            <w:noWrap w:val="0"/>
            <w:vAlign w:val="center"/>
          </w:tcPr>
          <w:p w14:paraId="6F0CFA16">
            <w:pPr>
              <w:widowControl w:val="0"/>
              <w:jc w:val="center"/>
              <w:rPr>
                <w:rFonts w:hint="eastAsia" w:ascii="宋体" w:hAnsi="宋体" w:eastAsia="宋体" w:cs="宋体"/>
                <w:i w:val="0"/>
                <w:iCs w:val="0"/>
                <w:color w:val="000000"/>
                <w:sz w:val="21"/>
                <w:szCs w:val="21"/>
                <w:u w:val="none"/>
              </w:rPr>
            </w:pPr>
          </w:p>
        </w:tc>
      </w:tr>
      <w:tr w14:paraId="5944E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B0F28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5A919F2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1.2米机柜</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64EFF1FF">
            <w:pPr>
              <w:widowControl/>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参数同：（</w:t>
            </w:r>
            <w:r>
              <w:rPr>
                <w:rFonts w:hint="eastAsia" w:ascii="宋体" w:hAnsi="宋体" w:eastAsia="宋体" w:cs="宋体"/>
                <w:b w:val="0"/>
                <w:bCs w:val="0"/>
                <w:i w:val="0"/>
                <w:iCs w:val="0"/>
                <w:color w:val="000000"/>
                <w:sz w:val="21"/>
                <w:szCs w:val="21"/>
                <w:u w:val="none"/>
                <w:lang w:val="en-US" w:eastAsia="zh-CN"/>
              </w:rPr>
              <w:t>三、大会议室1、广播系统</w:t>
            </w:r>
            <w:r>
              <w:rPr>
                <w:rFonts w:hint="eastAsia" w:ascii="宋体" w:hAnsi="宋体" w:eastAsia="宋体" w:cs="宋体"/>
                <w:b w:val="0"/>
                <w:bCs w:val="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1.2米机柜</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noWrap/>
            <w:vAlign w:val="center"/>
          </w:tcPr>
          <w:p w14:paraId="64FD07FF">
            <w:pPr>
              <w:widowControl w:val="0"/>
              <w:jc w:val="both"/>
              <w:rPr>
                <w:rFonts w:hint="eastAsia" w:ascii="宋体" w:hAnsi="宋体" w:eastAsia="宋体" w:cs="宋体"/>
                <w:i w:val="0"/>
                <w:iCs w:val="0"/>
                <w:color w:val="000000"/>
                <w:sz w:val="21"/>
                <w:szCs w:val="21"/>
                <w:u w:val="none"/>
              </w:rPr>
            </w:pPr>
          </w:p>
        </w:tc>
      </w:tr>
      <w:tr w14:paraId="0DF1D8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779" w:type="dxa"/>
            <w:gridSpan w:val="4"/>
            <w:tcBorders>
              <w:top w:val="single" w:color="auto" w:sz="4" w:space="0"/>
              <w:left w:val="single" w:color="auto" w:sz="4" w:space="0"/>
              <w:bottom w:val="single" w:color="auto" w:sz="4" w:space="0"/>
              <w:right w:val="single" w:color="auto" w:sz="4" w:space="0"/>
            </w:tcBorders>
            <w:noWrap w:val="0"/>
            <w:vAlign w:val="center"/>
          </w:tcPr>
          <w:p w14:paraId="4D9862A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sz w:val="21"/>
                <w:szCs w:val="21"/>
                <w:u w:val="none"/>
                <w:lang w:val="en-US" w:eastAsia="zh-CN"/>
              </w:rPr>
              <w:t>四、沉降舞台</w:t>
            </w:r>
          </w:p>
        </w:tc>
      </w:tr>
      <w:tr w14:paraId="02FCE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779" w:type="dxa"/>
            <w:gridSpan w:val="4"/>
            <w:tcBorders>
              <w:top w:val="single" w:color="auto" w:sz="4" w:space="0"/>
              <w:left w:val="single" w:color="auto" w:sz="4" w:space="0"/>
              <w:bottom w:val="single" w:color="auto" w:sz="4" w:space="0"/>
              <w:right w:val="single" w:color="auto" w:sz="4" w:space="0"/>
            </w:tcBorders>
            <w:noWrap w:val="0"/>
            <w:vAlign w:val="center"/>
          </w:tcPr>
          <w:p w14:paraId="6E591B40">
            <w:pPr>
              <w:keepNext w:val="0"/>
              <w:keepLines w:val="0"/>
              <w:widowControl/>
              <w:suppressLineNumbers w:val="0"/>
              <w:jc w:val="left"/>
              <w:textAlignment w:val="center"/>
              <w:rPr>
                <w:rFonts w:hint="eastAsia" w:ascii="宋体" w:hAnsi="宋体" w:eastAsia="宋体" w:cs="宋体"/>
                <w:b/>
                <w:bCs/>
                <w:i w:val="0"/>
                <w:iCs w:val="0"/>
                <w:color w:val="000000"/>
                <w:sz w:val="21"/>
                <w:szCs w:val="21"/>
                <w:u w:val="none"/>
                <w:lang w:val="en-US" w:eastAsia="zh-CN"/>
              </w:rPr>
            </w:pPr>
            <w:r>
              <w:rPr>
                <w:rFonts w:hint="eastAsia" w:ascii="宋体" w:hAnsi="宋体" w:eastAsia="宋体" w:cs="宋体"/>
                <w:b/>
                <w:bCs/>
                <w:sz w:val="21"/>
                <w:szCs w:val="21"/>
                <w:lang w:val="en-US" w:eastAsia="zh-CN"/>
              </w:rPr>
              <w:t>1、广播系统</w:t>
            </w:r>
          </w:p>
        </w:tc>
      </w:tr>
      <w:tr w14:paraId="5AF67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570549C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11" w:type="dxa"/>
            <w:tcBorders>
              <w:top w:val="single" w:color="auto" w:sz="4" w:space="0"/>
              <w:left w:val="single" w:color="auto" w:sz="4" w:space="0"/>
              <w:bottom w:val="single" w:color="auto" w:sz="4" w:space="0"/>
              <w:right w:val="single" w:color="auto" w:sz="4" w:space="0"/>
            </w:tcBorders>
            <w:noWrap w:val="0"/>
            <w:vAlign w:val="top"/>
          </w:tcPr>
          <w:p w14:paraId="2BB47754">
            <w:pPr>
              <w:keepNext w:val="0"/>
              <w:keepLines w:val="0"/>
              <w:widowControl/>
              <w:suppressLineNumbers w:val="0"/>
              <w:jc w:val="left"/>
              <w:textAlignment w:val="top"/>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color w:val="000000"/>
                <w:sz w:val="21"/>
                <w:szCs w:val="21"/>
                <w:u w:val="none"/>
                <w:lang w:val="en-US" w:eastAsia="zh-CN" w:bidi="ar"/>
              </w:rPr>
              <w:t>一拖二真分集无线手持话筒</w:t>
            </w:r>
          </w:p>
        </w:tc>
        <w:tc>
          <w:tcPr>
            <w:tcW w:w="5436" w:type="dxa"/>
            <w:tcBorders>
              <w:top w:val="single" w:color="auto" w:sz="4" w:space="0"/>
              <w:left w:val="single" w:color="auto" w:sz="4" w:space="0"/>
              <w:bottom w:val="single" w:color="auto" w:sz="4" w:space="0"/>
              <w:right w:val="single" w:color="auto" w:sz="4" w:space="0"/>
            </w:tcBorders>
            <w:noWrap w:val="0"/>
            <w:vAlign w:val="top"/>
          </w:tcPr>
          <w:p w14:paraId="1225CD56">
            <w:pPr>
              <w:widowControl w:val="0"/>
              <w:jc w:val="both"/>
              <w:rPr>
                <w:rFonts w:hint="eastAsia" w:ascii="宋体" w:hAnsi="宋体" w:eastAsia="宋体" w:cs="宋体"/>
                <w:kern w:val="2"/>
                <w:sz w:val="21"/>
                <w:szCs w:val="21"/>
                <w:lang w:val="en-US" w:eastAsia="zh-CN" w:bidi="ar-SA"/>
              </w:rPr>
            </w:pPr>
            <w:r>
              <w:rPr>
                <w:rFonts w:hint="eastAsia" w:ascii="宋体" w:hAnsi="宋体" w:eastAsia="宋体" w:cs="宋体"/>
                <w:b w:val="0"/>
                <w:bCs w:val="0"/>
                <w:i w:val="0"/>
                <w:iCs w:val="0"/>
                <w:color w:val="000000"/>
                <w:sz w:val="21"/>
                <w:szCs w:val="21"/>
                <w:u w:val="none"/>
                <w:lang w:val="en-US" w:eastAsia="zh-CN"/>
              </w:rPr>
              <w:t>参数同：（一、报告厅1、广播系统：一拖二真分集无线手持话筒）</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31CCFE9">
            <w:pPr>
              <w:widowControl w:val="0"/>
              <w:jc w:val="left"/>
              <w:rPr>
                <w:rFonts w:hint="eastAsia" w:ascii="宋体" w:hAnsi="宋体" w:eastAsia="宋体" w:cs="宋体"/>
                <w:i w:val="0"/>
                <w:iCs w:val="0"/>
                <w:color w:val="000000"/>
                <w:sz w:val="21"/>
                <w:szCs w:val="21"/>
                <w:u w:val="none"/>
              </w:rPr>
            </w:pPr>
          </w:p>
        </w:tc>
      </w:tr>
      <w:tr w14:paraId="1CF24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7047873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11" w:type="dxa"/>
            <w:tcBorders>
              <w:top w:val="single" w:color="auto" w:sz="4" w:space="0"/>
              <w:left w:val="single" w:color="auto" w:sz="4" w:space="0"/>
              <w:bottom w:val="single" w:color="auto" w:sz="4" w:space="0"/>
              <w:right w:val="single" w:color="auto" w:sz="4" w:space="0"/>
            </w:tcBorders>
            <w:noWrap w:val="0"/>
            <w:vAlign w:val="top"/>
          </w:tcPr>
          <w:p w14:paraId="7DD9F05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3A932048">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3969267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4578A925">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68F1E1EF">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3FBD7172">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45EACC3B">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1B7EB46D">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47C1609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62A55EC2">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7ABFE6E1">
            <w:pPr>
              <w:keepNext w:val="0"/>
              <w:keepLines w:val="0"/>
              <w:widowControl/>
              <w:suppressLineNumbers w:val="0"/>
              <w:jc w:val="left"/>
              <w:textAlignment w:val="top"/>
              <w:rPr>
                <w:rFonts w:hint="eastAsia" w:ascii="宋体" w:hAnsi="宋体" w:eastAsia="宋体" w:cs="宋体"/>
                <w:i w:val="0"/>
                <w:iCs w:val="0"/>
                <w:color w:val="000000"/>
                <w:kern w:val="0"/>
                <w:sz w:val="21"/>
                <w:szCs w:val="21"/>
                <w:u w:val="none"/>
                <w:lang w:val="en-US" w:eastAsia="zh-CN" w:bidi="ar"/>
              </w:rPr>
            </w:pPr>
          </w:p>
          <w:p w14:paraId="38225A61">
            <w:pPr>
              <w:keepNext w:val="0"/>
              <w:keepLines w:val="0"/>
              <w:widowControl/>
              <w:suppressLineNumbers w:val="0"/>
              <w:jc w:val="left"/>
              <w:textAlignment w:val="top"/>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调音台</w:t>
            </w:r>
          </w:p>
        </w:tc>
        <w:tc>
          <w:tcPr>
            <w:tcW w:w="5436" w:type="dxa"/>
            <w:tcBorders>
              <w:top w:val="single" w:color="auto" w:sz="4" w:space="0"/>
              <w:left w:val="single" w:color="auto" w:sz="4" w:space="0"/>
              <w:bottom w:val="single" w:color="auto" w:sz="4" w:space="0"/>
              <w:right w:val="single" w:color="auto" w:sz="4" w:space="0"/>
            </w:tcBorders>
            <w:noWrap w:val="0"/>
            <w:vAlign w:val="top"/>
          </w:tcPr>
          <w:p w14:paraId="2E1AA3D3">
            <w:pPr>
              <w:widowControl w:val="0"/>
              <w:jc w:val="left"/>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highlight w:val="none"/>
              </w:rPr>
              <w:t xml:space="preserve">十路话筒输入，8路单声道、其中9、10路话筒输入和立体声共用；   </w:t>
            </w:r>
            <w:r>
              <w:rPr>
                <w:rFonts w:hint="eastAsia" w:ascii="宋体" w:hAnsi="宋体" w:eastAsia="宋体" w:cs="宋体"/>
                <w:sz w:val="21"/>
                <w:szCs w:val="21"/>
              </w:rPr>
              <w:t xml:space="preserve">           </w:t>
            </w:r>
          </w:p>
          <w:p w14:paraId="42D55115">
            <w:pPr>
              <w:widowControl w:val="0"/>
              <w:jc w:val="left"/>
              <w:rPr>
                <w:rFonts w:hint="eastAsia" w:ascii="宋体" w:hAnsi="宋体" w:eastAsia="宋体" w:cs="宋体"/>
                <w:sz w:val="21"/>
                <w:szCs w:val="21"/>
              </w:rPr>
            </w:pPr>
            <w:r>
              <w:rPr>
                <w:rFonts w:hint="eastAsia" w:ascii="宋体" w:hAnsi="宋体" w:eastAsia="宋体" w:cs="宋体"/>
                <w:sz w:val="21"/>
                <w:szCs w:val="21"/>
              </w:rPr>
              <w:t xml:space="preserve">2、每个单声导带三段EQ均衡器，高、中、低音独立调节；                 </w:t>
            </w:r>
          </w:p>
          <w:p w14:paraId="75209E95">
            <w:pPr>
              <w:widowControl w:val="0"/>
              <w:jc w:val="left"/>
              <w:rPr>
                <w:rFonts w:hint="eastAsia" w:ascii="宋体" w:hAnsi="宋体" w:eastAsia="宋体" w:cs="宋体"/>
                <w:sz w:val="21"/>
                <w:szCs w:val="21"/>
              </w:rPr>
            </w:pPr>
            <w:r>
              <w:rPr>
                <w:rFonts w:hint="eastAsia" w:ascii="宋体" w:hAnsi="宋体" w:eastAsia="宋体" w:cs="宋体"/>
                <w:sz w:val="21"/>
                <w:szCs w:val="21"/>
              </w:rPr>
              <w:t xml:space="preserve">3、60MM长度行程推子,精选阻尼推子手感好,调节精准,使用寿命长；                     </w:t>
            </w:r>
          </w:p>
          <w:p w14:paraId="53342E47">
            <w:pPr>
              <w:widowControl w:val="0"/>
              <w:jc w:val="left"/>
              <w:rPr>
                <w:rFonts w:hint="eastAsia" w:ascii="宋体" w:hAnsi="宋体" w:eastAsia="宋体" w:cs="宋体"/>
                <w:sz w:val="21"/>
                <w:szCs w:val="21"/>
              </w:rPr>
            </w:pPr>
            <w:r>
              <w:rPr>
                <w:rFonts w:hint="eastAsia" w:ascii="宋体" w:hAnsi="宋体" w:eastAsia="宋体" w:cs="宋体"/>
                <w:sz w:val="21"/>
                <w:szCs w:val="21"/>
              </w:rPr>
              <w:t>4、两个辅助输出，一个AUX发送，一个FX发送，AUX发送为推子前信号，FX发送为推子后信号，信号发送量都由旋钮控制；</w:t>
            </w:r>
          </w:p>
          <w:p w14:paraId="0F025512">
            <w:pPr>
              <w:widowControl w:val="0"/>
              <w:jc w:val="left"/>
              <w:rPr>
                <w:rFonts w:hint="eastAsia" w:ascii="宋体" w:hAnsi="宋体" w:eastAsia="宋体" w:cs="宋体"/>
                <w:sz w:val="21"/>
                <w:szCs w:val="21"/>
              </w:rPr>
            </w:pPr>
            <w:r>
              <w:rPr>
                <w:rFonts w:hint="eastAsia" w:ascii="宋体" w:hAnsi="宋体" w:eastAsia="宋体" w:cs="宋体"/>
                <w:sz w:val="21"/>
                <w:szCs w:val="21"/>
              </w:rPr>
              <w:t>5、带恒流源的分布式 A 类麦克风放大器；</w:t>
            </w:r>
          </w:p>
          <w:p w14:paraId="42034C38">
            <w:pPr>
              <w:widowControl w:val="0"/>
              <w:jc w:val="left"/>
              <w:rPr>
                <w:rFonts w:hint="eastAsia" w:ascii="宋体" w:hAnsi="宋体" w:eastAsia="宋体" w:cs="宋体"/>
                <w:sz w:val="21"/>
                <w:szCs w:val="21"/>
              </w:rPr>
            </w:pPr>
            <w:r>
              <w:rPr>
                <w:rFonts w:hint="eastAsia" w:ascii="宋体" w:hAnsi="宋体" w:eastAsia="宋体" w:cs="宋体"/>
                <w:sz w:val="21"/>
                <w:szCs w:val="21"/>
              </w:rPr>
              <w:t>6、内置效果器，24种预设效果，根据实际场合使用需求，任意调整让歌声富有立体感和空间感；</w:t>
            </w:r>
          </w:p>
          <w:p w14:paraId="4E8BA1AE">
            <w:pPr>
              <w:widowControl w:val="0"/>
              <w:jc w:val="left"/>
              <w:rPr>
                <w:rFonts w:hint="eastAsia" w:ascii="宋体" w:hAnsi="宋体" w:eastAsia="宋体" w:cs="宋体"/>
                <w:sz w:val="21"/>
                <w:szCs w:val="21"/>
              </w:rPr>
            </w:pPr>
            <w:r>
              <w:rPr>
                <w:rFonts w:hint="eastAsia" w:ascii="宋体" w:hAnsi="宋体" w:eastAsia="宋体" w:cs="宋体"/>
                <w:sz w:val="21"/>
                <w:szCs w:val="21"/>
              </w:rPr>
              <w:t>7、支持USB口音频设备，内置无线蓝牙模块，电脑接口，多种音源输入口自由调节播放音乐；</w:t>
            </w:r>
          </w:p>
          <w:p w14:paraId="7CB2C887">
            <w:pPr>
              <w:widowControl w:val="0"/>
              <w:jc w:val="left"/>
              <w:rPr>
                <w:rFonts w:hint="eastAsia" w:ascii="宋体" w:hAnsi="宋体" w:eastAsia="宋体" w:cs="宋体"/>
                <w:sz w:val="21"/>
                <w:szCs w:val="21"/>
              </w:rPr>
            </w:pPr>
            <w:r>
              <w:rPr>
                <w:rFonts w:hint="eastAsia" w:ascii="宋体" w:hAnsi="宋体" w:eastAsia="宋体" w:cs="宋体"/>
                <w:sz w:val="21"/>
                <w:szCs w:val="21"/>
              </w:rPr>
              <w:t>8、LED显示24-bit/192KHz 2进/2出 USB音频；</w:t>
            </w:r>
          </w:p>
          <w:p w14:paraId="19BD2EDA">
            <w:pPr>
              <w:widowControl w:val="0"/>
              <w:jc w:val="left"/>
              <w:rPr>
                <w:rFonts w:hint="eastAsia" w:ascii="宋体" w:hAnsi="宋体" w:eastAsia="宋体" w:cs="宋体"/>
                <w:sz w:val="21"/>
                <w:szCs w:val="21"/>
              </w:rPr>
            </w:pPr>
            <w:r>
              <w:rPr>
                <w:rFonts w:hint="eastAsia" w:ascii="宋体" w:hAnsi="宋体" w:eastAsia="宋体" w:cs="宋体"/>
                <w:sz w:val="21"/>
                <w:szCs w:val="21"/>
              </w:rPr>
              <w:t>9、单声道输入单独的噪声门开关；</w:t>
            </w:r>
          </w:p>
          <w:p w14:paraId="0EEC518B">
            <w:pPr>
              <w:widowControl w:val="0"/>
              <w:jc w:val="left"/>
              <w:rPr>
                <w:rFonts w:hint="eastAsia" w:ascii="宋体" w:hAnsi="宋体" w:eastAsia="宋体" w:cs="宋体"/>
                <w:sz w:val="21"/>
                <w:szCs w:val="21"/>
              </w:rPr>
            </w:pPr>
            <w:r>
              <w:rPr>
                <w:rFonts w:hint="eastAsia" w:ascii="宋体" w:hAnsi="宋体" w:eastAsia="宋体" w:cs="宋体"/>
                <w:sz w:val="21"/>
                <w:szCs w:val="21"/>
              </w:rPr>
              <w:t>10、RGB通道开关指示；</w:t>
            </w:r>
          </w:p>
          <w:p w14:paraId="6F3E0EDD">
            <w:pPr>
              <w:widowControl w:val="0"/>
              <w:jc w:val="left"/>
              <w:rPr>
                <w:rFonts w:hint="eastAsia" w:ascii="宋体" w:hAnsi="宋体" w:eastAsia="宋体" w:cs="宋体"/>
                <w:sz w:val="21"/>
                <w:szCs w:val="21"/>
              </w:rPr>
            </w:pPr>
            <w:r>
              <w:rPr>
                <w:rFonts w:hint="eastAsia" w:ascii="宋体" w:hAnsi="宋体" w:eastAsia="宋体" w:cs="宋体"/>
                <w:sz w:val="21"/>
                <w:szCs w:val="21"/>
              </w:rPr>
              <w:t>11、通道信号直接输出；</w:t>
            </w:r>
          </w:p>
          <w:p w14:paraId="52DAB15F">
            <w:pPr>
              <w:widowControl w:val="0"/>
              <w:jc w:val="left"/>
              <w:rPr>
                <w:rFonts w:hint="eastAsia" w:ascii="宋体" w:hAnsi="宋体" w:eastAsia="宋体" w:cs="宋体"/>
                <w:sz w:val="21"/>
                <w:szCs w:val="21"/>
              </w:rPr>
            </w:pPr>
            <w:r>
              <w:rPr>
                <w:rFonts w:hint="eastAsia" w:ascii="宋体" w:hAnsi="宋体" w:eastAsia="宋体" w:cs="宋体"/>
                <w:sz w:val="21"/>
                <w:szCs w:val="21"/>
              </w:rPr>
              <w:t>12、单声道输入通道每路带独立的48V幻像供电开关。</w:t>
            </w:r>
          </w:p>
          <w:p w14:paraId="3D852AE8">
            <w:pPr>
              <w:widowControl w:val="0"/>
              <w:jc w:val="both"/>
              <w:rPr>
                <w:rFonts w:hint="eastAsia" w:ascii="宋体" w:hAnsi="宋体" w:eastAsia="宋体" w:cs="宋体"/>
                <w:i w:val="0"/>
                <w:iCs w:val="0"/>
                <w:color w:val="000000"/>
                <w:sz w:val="21"/>
                <w:szCs w:val="21"/>
                <w:u w:val="none"/>
              </w:rPr>
            </w:pPr>
            <w:r>
              <w:rPr>
                <w:rFonts w:hint="eastAsia" w:ascii="宋体" w:hAnsi="宋体" w:eastAsia="宋体" w:cs="宋体"/>
                <w:sz w:val="21"/>
                <w:szCs w:val="21"/>
              </w:rPr>
              <w:t>13、立体声监听输出，可以耳机监听，也可以输出到监听音箱旋钮控制音量大小。</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4AD591C2">
            <w:pPr>
              <w:widowControl w:val="0"/>
              <w:jc w:val="left"/>
              <w:rPr>
                <w:rFonts w:hint="eastAsia" w:ascii="宋体" w:hAnsi="宋体" w:eastAsia="宋体" w:cs="宋体"/>
                <w:i w:val="0"/>
                <w:iCs w:val="0"/>
                <w:color w:val="000000"/>
                <w:sz w:val="21"/>
                <w:szCs w:val="21"/>
                <w:u w:val="none"/>
              </w:rPr>
            </w:pPr>
          </w:p>
        </w:tc>
      </w:tr>
      <w:tr w14:paraId="201DAA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615170E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7F0CBC9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8路电源时序器</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03BCE92B">
            <w:pPr>
              <w:widowControl w:val="0"/>
              <w:jc w:val="left"/>
              <w:rPr>
                <w:rFonts w:hint="eastAsia" w:ascii="宋体" w:hAnsi="宋体" w:eastAsia="宋体" w:cs="宋体"/>
                <w:b w:val="0"/>
                <w:bCs w:val="0"/>
                <w:i w:val="0"/>
                <w:iCs w:val="0"/>
                <w:color w:val="000000"/>
                <w:sz w:val="21"/>
                <w:szCs w:val="21"/>
                <w:u w:val="none"/>
              </w:rPr>
            </w:pPr>
            <w:r>
              <w:rPr>
                <w:rFonts w:hint="eastAsia" w:ascii="宋体" w:hAnsi="宋体" w:eastAsia="宋体" w:cs="宋体"/>
                <w:b w:val="0"/>
                <w:bCs w:val="0"/>
                <w:sz w:val="21"/>
                <w:szCs w:val="21"/>
                <w:lang w:val="en-US" w:eastAsia="zh-CN"/>
              </w:rPr>
              <w:t>参数同：（一、报告厅音响</w:t>
            </w:r>
            <w:r>
              <w:rPr>
                <w:rFonts w:hint="eastAsia" w:ascii="宋体" w:hAnsi="宋体" w:eastAsia="宋体" w:cs="宋体"/>
                <w:b w:val="0"/>
                <w:bCs w:val="0"/>
                <w:i w:val="0"/>
                <w:iCs w:val="0"/>
                <w:color w:val="000000"/>
                <w:sz w:val="21"/>
                <w:szCs w:val="21"/>
                <w:u w:val="none"/>
                <w:lang w:val="en-US" w:eastAsia="zh-CN"/>
              </w:rPr>
              <w:t>1、广播系统</w:t>
            </w:r>
            <w:r>
              <w:rPr>
                <w:rFonts w:hint="eastAsia" w:ascii="宋体" w:hAnsi="宋体" w:eastAsia="宋体" w:cs="宋体"/>
                <w:b w:val="0"/>
                <w:bCs w:val="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8路电源时序器</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7E7CF8DB">
            <w:pPr>
              <w:widowControl w:val="0"/>
              <w:jc w:val="left"/>
              <w:rPr>
                <w:rFonts w:hint="eastAsia" w:ascii="宋体" w:hAnsi="宋体" w:eastAsia="宋体" w:cs="宋体"/>
                <w:i w:val="0"/>
                <w:iCs w:val="0"/>
                <w:color w:val="000000"/>
                <w:sz w:val="21"/>
                <w:szCs w:val="21"/>
                <w:u w:val="none"/>
              </w:rPr>
            </w:pPr>
          </w:p>
        </w:tc>
      </w:tr>
      <w:tr w14:paraId="1A348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518" w:type="dxa"/>
            <w:tcBorders>
              <w:top w:val="single" w:color="auto" w:sz="4" w:space="0"/>
              <w:left w:val="single" w:color="auto" w:sz="4" w:space="0"/>
              <w:bottom w:val="single" w:color="auto" w:sz="4" w:space="0"/>
              <w:right w:val="single" w:color="auto" w:sz="4" w:space="0"/>
            </w:tcBorders>
            <w:noWrap w:val="0"/>
            <w:vAlign w:val="center"/>
          </w:tcPr>
          <w:p w14:paraId="7FE47C85">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4</w:t>
            </w:r>
          </w:p>
        </w:tc>
        <w:tc>
          <w:tcPr>
            <w:tcW w:w="1511" w:type="dxa"/>
            <w:tcBorders>
              <w:top w:val="single" w:color="auto" w:sz="4" w:space="0"/>
              <w:left w:val="single" w:color="auto" w:sz="4" w:space="0"/>
              <w:bottom w:val="single" w:color="auto" w:sz="4" w:space="0"/>
              <w:right w:val="single" w:color="auto" w:sz="4" w:space="0"/>
            </w:tcBorders>
            <w:noWrap w:val="0"/>
            <w:vAlign w:val="center"/>
          </w:tcPr>
          <w:p w14:paraId="4AA572F5">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1.2米机柜</w:t>
            </w:r>
          </w:p>
        </w:tc>
        <w:tc>
          <w:tcPr>
            <w:tcW w:w="5436" w:type="dxa"/>
            <w:tcBorders>
              <w:top w:val="single" w:color="auto" w:sz="4" w:space="0"/>
              <w:left w:val="single" w:color="auto" w:sz="4" w:space="0"/>
              <w:bottom w:val="single" w:color="auto" w:sz="4" w:space="0"/>
              <w:right w:val="single" w:color="auto" w:sz="4" w:space="0"/>
            </w:tcBorders>
            <w:noWrap w:val="0"/>
            <w:vAlign w:val="center"/>
          </w:tcPr>
          <w:p w14:paraId="660DBFAB">
            <w:pPr>
              <w:widowControl/>
              <w:jc w:val="left"/>
              <w:rPr>
                <w:rFonts w:hint="eastAsia" w:ascii="宋体" w:hAnsi="宋体" w:eastAsia="宋体" w:cs="宋体"/>
                <w:b w:val="0"/>
                <w:bCs w:val="0"/>
                <w:i w:val="0"/>
                <w:iCs w:val="0"/>
                <w:color w:val="000000"/>
                <w:kern w:val="2"/>
                <w:sz w:val="21"/>
                <w:szCs w:val="21"/>
                <w:u w:val="none"/>
                <w:lang w:val="en-US" w:eastAsia="zh-CN" w:bidi="ar-SA"/>
              </w:rPr>
            </w:pPr>
            <w:r>
              <w:rPr>
                <w:rFonts w:hint="eastAsia" w:ascii="宋体" w:hAnsi="宋体" w:eastAsia="宋体" w:cs="宋体"/>
                <w:b w:val="0"/>
                <w:bCs w:val="0"/>
                <w:sz w:val="21"/>
                <w:szCs w:val="21"/>
                <w:lang w:val="en-US" w:eastAsia="zh-CN"/>
              </w:rPr>
              <w:t>参数同：（</w:t>
            </w:r>
            <w:r>
              <w:rPr>
                <w:rFonts w:hint="eastAsia" w:ascii="宋体" w:hAnsi="宋体" w:eastAsia="宋体" w:cs="宋体"/>
                <w:b w:val="0"/>
                <w:bCs w:val="0"/>
                <w:i w:val="0"/>
                <w:iCs w:val="0"/>
                <w:color w:val="000000"/>
                <w:sz w:val="21"/>
                <w:szCs w:val="21"/>
                <w:u w:val="none"/>
                <w:lang w:val="en-US" w:eastAsia="zh-CN"/>
              </w:rPr>
              <w:t>三、大会议室音响1、广播系统</w:t>
            </w:r>
            <w:r>
              <w:rPr>
                <w:rFonts w:hint="eastAsia" w:ascii="宋体" w:hAnsi="宋体" w:eastAsia="宋体" w:cs="宋体"/>
                <w:b w:val="0"/>
                <w:bCs w:val="0"/>
                <w:sz w:val="21"/>
                <w:szCs w:val="21"/>
                <w:lang w:val="en-US" w:eastAsia="zh-CN"/>
              </w:rPr>
              <w:t>：</w:t>
            </w:r>
            <w:r>
              <w:rPr>
                <w:rFonts w:hint="eastAsia" w:ascii="宋体" w:hAnsi="宋体" w:eastAsia="宋体" w:cs="宋体"/>
                <w:b w:val="0"/>
                <w:bCs w:val="0"/>
                <w:i w:val="0"/>
                <w:iCs w:val="0"/>
                <w:color w:val="000000"/>
                <w:kern w:val="0"/>
                <w:sz w:val="21"/>
                <w:szCs w:val="21"/>
                <w:u w:val="none"/>
                <w:lang w:val="en-US" w:eastAsia="zh-CN" w:bidi="ar"/>
              </w:rPr>
              <w:t>1.2米机柜</w:t>
            </w:r>
            <w:r>
              <w:rPr>
                <w:rFonts w:hint="eastAsia" w:ascii="宋体" w:hAnsi="宋体" w:eastAsia="宋体" w:cs="宋体"/>
                <w:b w:val="0"/>
                <w:bCs w:val="0"/>
                <w:sz w:val="21"/>
                <w:szCs w:val="21"/>
                <w:lang w:val="en-US" w:eastAsia="zh-CN"/>
              </w:rPr>
              <w:t>）</w:t>
            </w:r>
          </w:p>
        </w:tc>
        <w:tc>
          <w:tcPr>
            <w:tcW w:w="1314" w:type="dxa"/>
            <w:tcBorders>
              <w:top w:val="single" w:color="auto" w:sz="4" w:space="0"/>
              <w:left w:val="single" w:color="auto" w:sz="4" w:space="0"/>
              <w:bottom w:val="single" w:color="auto" w:sz="4" w:space="0"/>
              <w:right w:val="single" w:color="auto" w:sz="4" w:space="0"/>
            </w:tcBorders>
            <w:noWrap w:val="0"/>
            <w:vAlign w:val="center"/>
          </w:tcPr>
          <w:p w14:paraId="13295849">
            <w:pPr>
              <w:widowControl w:val="0"/>
              <w:jc w:val="left"/>
              <w:rPr>
                <w:rFonts w:hint="eastAsia" w:ascii="宋体" w:hAnsi="宋体" w:eastAsia="宋体" w:cs="宋体"/>
                <w:i w:val="0"/>
                <w:iCs w:val="0"/>
                <w:color w:val="000000"/>
                <w:sz w:val="21"/>
                <w:szCs w:val="21"/>
                <w:u w:val="none"/>
              </w:rPr>
            </w:pPr>
          </w:p>
        </w:tc>
      </w:tr>
      <w:tr w14:paraId="248A8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79" w:type="dxa"/>
            <w:gridSpan w:val="4"/>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6BB56FC1">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lang w:val="en-US"/>
              </w:rPr>
            </w:pPr>
            <w:r>
              <w:rPr>
                <w:rFonts w:hint="eastAsia" w:ascii="宋体" w:hAnsi="宋体" w:eastAsia="宋体" w:cs="宋体"/>
                <w:b/>
                <w:bCs/>
                <w:i w:val="0"/>
                <w:iCs w:val="0"/>
                <w:color w:val="000000"/>
                <w:sz w:val="21"/>
                <w:szCs w:val="21"/>
                <w:highlight w:val="none"/>
                <w:u w:val="none"/>
                <w:lang w:val="en-US" w:eastAsia="zh-CN"/>
              </w:rPr>
              <w:t>五、录播室</w:t>
            </w:r>
          </w:p>
        </w:tc>
      </w:tr>
      <w:tr w14:paraId="23B987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6D6934">
            <w:pPr>
              <w:keepNext w:val="0"/>
              <w:keepLines w:val="0"/>
              <w:widowControl/>
              <w:suppressLineNumbers w:val="0"/>
              <w:jc w:val="left"/>
              <w:textAlignment w:val="center"/>
              <w:rPr>
                <w:rFonts w:hint="eastAsia" w:ascii="仿宋" w:hAnsi="仿宋" w:eastAsia="仿宋" w:cs="仿宋"/>
                <w:b w:val="0"/>
                <w:bCs w:val="0"/>
                <w:i w:val="0"/>
                <w:iCs w:val="0"/>
                <w:color w:val="FF0000"/>
                <w:kern w:val="0"/>
                <w:sz w:val="21"/>
                <w:szCs w:val="21"/>
                <w:highlight w:val="none"/>
                <w:u w:val="none"/>
                <w:lang w:val="en-US" w:eastAsia="zh-CN" w:bidi="ar"/>
              </w:rPr>
            </w:pPr>
            <w:r>
              <w:rPr>
                <w:rFonts w:hint="eastAsia" w:ascii="宋体" w:hAnsi="宋体" w:eastAsia="宋体" w:cs="宋体"/>
                <w:b/>
                <w:bCs/>
                <w:i w:val="0"/>
                <w:iCs w:val="0"/>
                <w:color w:val="000000"/>
                <w:sz w:val="21"/>
                <w:szCs w:val="21"/>
                <w:u w:val="none"/>
                <w:lang w:val="en-US" w:eastAsia="zh-CN"/>
              </w:rPr>
              <w:t>1、精品录播</w:t>
            </w:r>
            <w:r>
              <w:rPr>
                <w:rFonts w:hint="eastAsia" w:ascii="宋体" w:hAnsi="宋体" w:cs="宋体"/>
                <w:b/>
                <w:bCs/>
                <w:i w:val="0"/>
                <w:iCs w:val="0"/>
                <w:color w:val="000000"/>
                <w:sz w:val="21"/>
                <w:szCs w:val="21"/>
                <w:u w:val="none"/>
                <w:lang w:val="en-US" w:eastAsia="zh-CN"/>
              </w:rPr>
              <w:t xml:space="preserve">  </w:t>
            </w:r>
          </w:p>
          <w:p w14:paraId="2348400B">
            <w:pPr>
              <w:keepNext w:val="0"/>
              <w:keepLines w:val="0"/>
              <w:widowControl/>
              <w:suppressLineNumbers w:val="0"/>
              <w:jc w:val="left"/>
              <w:textAlignment w:val="center"/>
              <w:rPr>
                <w:rFonts w:hint="default" w:ascii="宋体" w:hAnsi="宋体" w:eastAsia="宋体" w:cs="宋体"/>
                <w:b/>
                <w:bCs/>
                <w:i w:val="0"/>
                <w:iCs w:val="0"/>
                <w:color w:val="000000"/>
                <w:sz w:val="21"/>
                <w:szCs w:val="21"/>
                <w:u w:val="none"/>
                <w:lang w:val="en-US" w:eastAsia="zh-CN"/>
              </w:rPr>
            </w:pPr>
          </w:p>
        </w:tc>
      </w:tr>
      <w:tr w14:paraId="36D11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5912B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694370E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09B0D4A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78044AD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562D75E2">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4D045E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8232D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79F1CFC8">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652B02D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4C61E7B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0BC4C5D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51EBD79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p w14:paraId="582D997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auto"/>
                <w:kern w:val="0"/>
                <w:sz w:val="21"/>
                <w:szCs w:val="21"/>
                <w:highlight w:val="none"/>
                <w:u w:val="none"/>
                <w:shd w:val="clear"/>
                <w:lang w:val="en-US" w:eastAsia="zh-CN" w:bidi="ar"/>
              </w:rPr>
              <w:t>互动录播电脑主机</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7B219">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1.主机需采用≥3颗CPU，主处理器采用≥6核架构。</w:t>
            </w:r>
          </w:p>
          <w:p w14:paraId="5B224943">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2.▲主机存储容量不低于1TB。</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3.主机无风扇设计，主机平均噪声小于20dB（A）。</w:t>
            </w:r>
          </w:p>
          <w:p w14:paraId="074B0795">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4.△支持标准USB音视频信号输出，通过主机Type-C接口可以实现图像和声音同步输出，最大支持4K图像输出，输出音频可通过主机控制软件实现混音，兼容主流视频会议软件。</w:t>
            </w:r>
          </w:p>
          <w:p w14:paraId="0CE7C042">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5.主机采用高度集成化设计，能够独立完成视频采集、音频采集、音频编码、视频编码、音频处理、视频处理、直播、录制、互动、专业导播、远程运维参数设置功能。</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6.△内置音频接收模块。无需外接无线音频接收模块，即可完成无线音频采集，支持同时≥2个无线麦克风接入，且同时支持≥2种对频模式。</w:t>
            </w:r>
          </w:p>
          <w:p w14:paraId="6B7F8FD9">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7.支持断电扩声，在主机完全断电的情况下，从主机音频通道上输入的音频可以从主机输出通道输出，且≥2个音频通道可以支持该功能。</w:t>
            </w:r>
          </w:p>
          <w:p w14:paraId="14CD7E7C">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8.视频接口：≥1个HDMI in，≥2个网络摄像机POE接口，≥2路HDMI out，≥1路UVC。</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9.</w:t>
            </w:r>
            <w:r>
              <w:rPr>
                <w:rFonts w:hint="eastAsia" w:ascii="宋体" w:hAnsi="宋体" w:eastAsia="宋体" w:cs="宋体"/>
                <w:sz w:val="21"/>
                <w:szCs w:val="21"/>
                <w:highlight w:val="none"/>
                <w:lang w:eastAsia="zh-CN"/>
              </w:rPr>
              <w:t>△</w:t>
            </w:r>
            <w:r>
              <w:rPr>
                <w:rFonts w:hint="eastAsia" w:ascii="宋体" w:hAnsi="宋体" w:eastAsia="宋体" w:cs="宋体"/>
                <w:b w:val="0"/>
                <w:bCs w:val="0"/>
                <w:sz w:val="21"/>
                <w:szCs w:val="21"/>
                <w:highlight w:val="none"/>
                <w:lang w:val="en-US" w:eastAsia="zh-CN"/>
              </w:rPr>
              <w:t>支持≥4路高清视频输出，视频输出可同一时间输出分辨率不小于4K的不同视频源。</w:t>
            </w:r>
          </w:p>
          <w:p w14:paraId="7508D07C">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10.音频接口：≥2个线路立体声音输入，≥2个线路立体声音频输出。</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11.支持≥1个阵列麦克风输入接口，可在不接入音频处理器的情况下，通过网线就可以完成≥2个阵列麦克风接入主机，通过网线可以实现≥2麦克风的供电、音频信号传输、音频参数设置，支持数字音频传输。</w:t>
            </w:r>
          </w:p>
          <w:p w14:paraId="7D8625FD">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12.主机采用多功能电源按键，通过一个按键可以实现开机、关机、节能待机。</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13△支持网络监测功能，无需安装第三方软件，在触控屏幕上显示教室网络状态。</w:t>
            </w:r>
          </w:p>
          <w:p w14:paraId="3ED7075D">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14.主机网口支持10/100/1000Mbps自适应，支持 IPV4，IPV6。</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15.主机内置扬声器，支持音频检测，通过主机内置扬声器可以播放测试音频，通过主机一体化屏幕进行视频预览时能够同步播放音频，且可控制播放音频音量大小。</w:t>
            </w:r>
          </w:p>
          <w:p w14:paraId="3296E72B">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16.△支持通过互联网，实现对设备的远程配置，支持关机、重启、参数配置操作。</w:t>
            </w:r>
          </w:p>
          <w:p w14:paraId="392E5553">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17.支持上电自启动，设备通电后系统可自动启动，可设置开启或关闭上电自启动功能，支持自动开关机，可设置定时开关机时间。</w:t>
            </w:r>
          </w:p>
          <w:p w14:paraId="6E0CF636">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18.△主机采用≥15英寸电容触控屏幕，屏幕色域≥72% NTSC，表面硬度≥7H，屏幕分辨率≥1920*1080。</w:t>
            </w:r>
          </w:p>
          <w:p w14:paraId="7D8E8254">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19.为保证设备稳定运行，要求设备平均无故障运行时间（MTBF）≥220000小时。</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9F566">
            <w:pPr>
              <w:widowControl w:val="0"/>
              <w:jc w:val="left"/>
              <w:rPr>
                <w:rFonts w:hint="eastAsia" w:ascii="宋体" w:hAnsi="宋体" w:eastAsia="宋体" w:cs="宋体"/>
                <w:i w:val="0"/>
                <w:iCs w:val="0"/>
                <w:color w:val="000000"/>
                <w:sz w:val="21"/>
                <w:szCs w:val="21"/>
                <w:u w:val="none"/>
              </w:rPr>
            </w:pPr>
          </w:p>
        </w:tc>
      </w:tr>
      <w:tr w14:paraId="279727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94BAB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C57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主机导播系统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E87AA">
            <w:pPr>
              <w:widowControl/>
              <w:jc w:val="left"/>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支持选择自动导播画面，可设置自动导播画面的保护时间和保持时间。</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2.支持多种画面模式，支持单画面、画中画、左右等分、三画面、四画面多种画面合成模式，支持自动导播、手动导播，可通过互动录播电脑主机一体化触控屏实现模式选择。</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3.支持课件画面自动检测，可设置检测灵敏度；支持课件画面检测区域设定，可屏蔽电脑弹窗区域。</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4.支持云台摄像机控制，支持 PTZ，多个预置位设置和调用。</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5.在导播界面的预览窗口可实时观看教师全景/特写、学生全景/特写、多媒体电脑、板书画面共6路画面，点击可进行画面切换。预监画面可实时推流给资源平台，实现平台直播。</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6.支持电影模式和资源模式同步录制，可根据用户的不同需求选择录制模式。</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7.支持外接导播台，可通过导播台实现对录播主机的录制控制、画面切换、云台跟踪、预置位设定与调取、音量调节。</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8.△支持通过U盘导入视频、图片作为片头片尾素材，不少于3种格式；支持单个视频文件≤200MB，单个图片文件≤20MB，可保存≤10个素材；支持设定片头片尾保持时间。</w:t>
            </w:r>
          </w:p>
          <w:p w14:paraId="48BDB2CD">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9.支持多种格式的字幕，可输入中文、英文、数字、特殊符号，数量≤200个字符；支持调节文字大小、文字透明度；支持≤5种文字颜色设置；支持滚动字幕。</w:t>
            </w:r>
          </w:p>
          <w:p w14:paraId="463F76F8">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10.△支持通过主机一体化屏幕实现云台摄像机控制，无需按照方位，可任意转动云台方向，实现步进控制、连续控制。</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7C6E5">
            <w:pPr>
              <w:widowControl w:val="0"/>
              <w:jc w:val="left"/>
              <w:rPr>
                <w:rFonts w:hint="eastAsia" w:ascii="宋体" w:hAnsi="宋体" w:eastAsia="宋体" w:cs="宋体"/>
                <w:i w:val="0"/>
                <w:iCs w:val="0"/>
                <w:color w:val="000000"/>
                <w:sz w:val="21"/>
                <w:szCs w:val="21"/>
                <w:u w:val="none"/>
              </w:rPr>
            </w:pPr>
          </w:p>
        </w:tc>
      </w:tr>
      <w:tr w14:paraId="1D421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617E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4099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主机互动系统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D60D3E">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1.支持标准SIP音视频互动协议，支持1080P@60fps视频互动；支持互动清晰度设置：最高支持 1080p@60fps并向下兼容，帧率可选择 60fps、30fps、25fps；支持双流自动发送，设置自动发送后，建立呼叫，主讲教室自动发送双流。</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2.支持课程预约功能，互动录播电脑主机能接收平台下发的互动课表，并显示于互动电脑主机一体化触控屏上，用户点击课表即可立即加入课堂，进行实时互动。</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3.△支持微信扫码登录，无需单独输入账号，使用微信扫描互动录播电脑主机一体化触控屏上显示的二维码即可登录互动系统。</w:t>
            </w:r>
          </w:p>
          <w:p w14:paraId="145B5EF5">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4.互动过程中可随时邀请新的听课端加入，支持拨号呼叫，用户可通过互动录播电脑主机一体化触控屏上的拨号键盘实现拨号呼叫；支持互动通讯录功能，通讯录可显示最近呼叫的账号信息，可通过通讯录实现一键呼叫。</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5.支持一键结束互动，用户通过互动录播电脑主机一体化触控屏一键结束互动。</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6.支持通过互动录播电脑主机一体化触控屏实现导播控制，过程中可选择自动导播/手动导播；支持通过 PC 客户端软件进行远程导播控制；PC 客户端软件支持进行互动听课端列表查看、发言管理功能。</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7.△无需通过任何第三方软件即可进行网络监测，并在互动录播电脑主机一体化触控屏上显示教室网络状态；实现对网络联通性、网络稳定性、上行速度、下行速度、网络追踪性、网卡信息实时检测；在一段时间内，支持以折线图方式实时呈现网络稳定性、上行速度和下行速度。</w:t>
            </w:r>
          </w:p>
          <w:p w14:paraId="10D374D7">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8.支持课堂互动功能，授课过程中老师可通过在互动录播电脑主机一体化触控屏上单击听课教室画面切换听课教室为主画面，并与该教室实时连麦对讲，实现异地互动。</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9.互动过程中，可以在互动录播电脑主机一体化触控屏调出累计视频卡顿次数、累计音频卡顿次数和当前视频参数。</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3E0E52">
            <w:pPr>
              <w:widowControl w:val="0"/>
              <w:jc w:val="left"/>
              <w:rPr>
                <w:rFonts w:hint="eastAsia" w:ascii="宋体" w:hAnsi="宋体" w:eastAsia="宋体" w:cs="宋体"/>
                <w:i w:val="0"/>
                <w:iCs w:val="0"/>
                <w:color w:val="000000"/>
                <w:sz w:val="21"/>
                <w:szCs w:val="21"/>
                <w:u w:val="none"/>
              </w:rPr>
            </w:pPr>
          </w:p>
        </w:tc>
      </w:tr>
      <w:tr w14:paraId="3243BE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41BF4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94037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主机视频处理系统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A06AE9">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1.支持合成4K的PGM画面，包含导播画面、教师全景画面、教师特写画面、学生全景画面、学生特写画面、板书画面。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2.支持多种类型视频信号接入，支持标准网络视频信号接入、高速数字信号接入。</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3.支持不少于两种码率控制方式，支持CBR、VBR。</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4.主机可通过网络实现对接入摄像机的设备信息检索。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5.支持POE摄像机接入。</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6.HDMI采集通道支持画面缩放，可完成4K图像采集。</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16DCB">
            <w:pPr>
              <w:widowControl w:val="0"/>
              <w:jc w:val="left"/>
              <w:rPr>
                <w:rFonts w:hint="eastAsia" w:ascii="宋体" w:hAnsi="宋体" w:eastAsia="宋体" w:cs="宋体"/>
                <w:i w:val="0"/>
                <w:iCs w:val="0"/>
                <w:color w:val="000000"/>
                <w:sz w:val="21"/>
                <w:szCs w:val="21"/>
                <w:u w:val="none"/>
              </w:rPr>
            </w:pPr>
          </w:p>
        </w:tc>
      </w:tr>
      <w:tr w14:paraId="591B5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B5B78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8A2AE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shd w:val="clear"/>
                <w:lang w:val="en-US" w:eastAsia="zh-CN" w:bidi="ar"/>
              </w:rPr>
              <w:t>远程互动课堂软件</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280077">
            <w:pPr>
              <w:widowControl/>
              <w:jc w:val="left"/>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lang w:val="en-US" w:eastAsia="zh-CN"/>
              </w:rPr>
              <w:t xml:space="preserve"> </w:t>
            </w:r>
            <w:r>
              <w:rPr>
                <w:rFonts w:hint="eastAsia" w:ascii="宋体" w:hAnsi="宋体" w:eastAsia="宋体" w:cs="宋体"/>
                <w:b w:val="0"/>
                <w:bCs w:val="0"/>
                <w:sz w:val="21"/>
                <w:szCs w:val="21"/>
                <w:highlight w:val="none"/>
                <w:lang w:val="en-US" w:eastAsia="zh-CN"/>
              </w:rPr>
              <w:t>一、</w:t>
            </w:r>
            <w:r>
              <w:rPr>
                <w:rFonts w:hint="eastAsia" w:ascii="宋体" w:hAnsi="宋体" w:cs="宋体"/>
                <w:b w:val="0"/>
                <w:bCs w:val="0"/>
                <w:sz w:val="21"/>
                <w:szCs w:val="21"/>
                <w:highlight w:val="none"/>
                <w:lang w:val="en-US" w:eastAsia="zh-CN"/>
              </w:rPr>
              <w:t>PC端应用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1.支持微信扫码登录，无需输入帐号密码即可实现登录，用户可便捷、快速进入课堂；支持显示预约的活动信息，包括直播活动、互动课堂、网络教研的活动类型、活动名称、活</w:t>
            </w:r>
            <w:r>
              <w:rPr>
                <w:rFonts w:hint="eastAsia" w:ascii="宋体" w:hAnsi="宋体" w:eastAsia="宋体" w:cs="宋体"/>
                <w:b w:val="0"/>
                <w:bCs w:val="0"/>
                <w:sz w:val="21"/>
                <w:szCs w:val="21"/>
                <w:highlight w:val="none"/>
                <w:lang w:val="en-US" w:eastAsia="zh-CN"/>
              </w:rPr>
              <w:t>动时间、活动状态及对应授课老师。</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2.支持搭配录播主机，进入录制视频、直播活动、互动课堂、网络教研活动；支持修改自动导播设置，可设置参与自动导播的画面。</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支持用户通过直播链接，观看已结束的直播活动视频，视频在云端保存七天，并支持下载MP4格式到本地；支持直接创建网络教研，即时生成教研二维码，扫码可进行查看教研简介、发送点评等。无需通过平台进行提前预约；支持授课过程中老师任意放大某一端的画面，该将该听课端画面进行全屏显示。</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4.△可查看参与互动的教室网络连接情况，了解彼此的设备网络环境，房间内所有成员都能查看到每个上台成员的网络情况，支持由低到高至少4档位的信号展示。</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5.支持美颜功能，美化课堂人物效果。对本地摄像头画面进行美颜处理，并显示对应的实时画面，方便教师查看美颜效果；支持对比控制，显示无美颜和美颜后的画面效果；支持一键美颜，通过滚动条快速调节美颜深度。</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6.支持无绿幕虚拟抠像功能，方便教师更换画面背景，突出人物；对本地摄像头画面进行虚拟背景处理，并显示对应的实时画面，方便教师查看虚拟背景效果；支持对比控制，显示无虚拟背景和虚拟背景后的画面效果；支持背景虚化和更换背景；提供不少于3个默认背景图；支持添加本地图片设置为背景图。</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7.△在互动课堂与网络教研时，支持不少于3种角色实时切换。主持人可将课中任一成员设置为授课老师、学生。</w:t>
            </w:r>
          </w:p>
          <w:p w14:paraId="329F4F76">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8.△支持生成拍照上传二维码，使用手机微信扫码后，可直接拍照或选择手机相册的照片，实时上传至授课端，听课端同步显示照片内容。支持授权授课老师与听课成员的对照片进行拖动、放大、批注操作。</w:t>
            </w:r>
          </w:p>
          <w:p w14:paraId="792F8C08">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lang w:val="en-US" w:eastAsia="zh-CN"/>
              </w:rPr>
              <w:t>9.△画板同步：授课过程中支持用户调起画板工具，提供不少于4种书写工具和</w:t>
            </w:r>
            <w:r>
              <w:rPr>
                <w:rFonts w:hint="eastAsia" w:ascii="宋体" w:hAnsi="宋体" w:cs="宋体"/>
                <w:b w:val="0"/>
                <w:bCs w:val="0"/>
                <w:sz w:val="21"/>
                <w:szCs w:val="21"/>
                <w:highlight w:val="none"/>
                <w:lang w:val="en-US" w:eastAsia="zh-CN"/>
              </w:rPr>
              <w:t>不少于</w:t>
            </w:r>
            <w:r>
              <w:rPr>
                <w:rFonts w:hint="eastAsia" w:ascii="宋体" w:hAnsi="宋体" w:eastAsia="宋体" w:cs="宋体"/>
                <w:b w:val="0"/>
                <w:bCs w:val="0"/>
                <w:sz w:val="21"/>
                <w:szCs w:val="21"/>
                <w:highlight w:val="none"/>
                <w:lang w:val="en-US" w:eastAsia="zh-CN"/>
              </w:rPr>
              <w:t>14种基础颜色；提供调色板功能，可选择任意基础颜色进行混合产生新的颜色；画板工具中所有功能均可在授课老师以及各听课成员端同步操作，且可同时独立调色。</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10.授课过程中支持用户调起乐器工具，提供虚拟键盘，不少于36个琴键，授课老师弹奏的内容可同步到所有听课成员；听课成员也可弹奏并反向同步给所有授课老师及其他听课成员。</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lang w:val="en-US" w:eastAsia="zh-CN"/>
              </w:rPr>
              <w:t>11.支持互动课堂中可对本地班级、听课班级中表现好的班级发送点评奖励，每堂课可统计各班点评总分，并在课上一键展示最高得分的班级进行表扬。</w:t>
            </w:r>
          </w:p>
          <w:p w14:paraId="3CEBF0B5">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12.提供不少于5个通用工具，</w:t>
            </w:r>
            <w:r>
              <w:rPr>
                <w:rFonts w:hint="eastAsia" w:ascii="宋体" w:hAnsi="宋体" w:cs="宋体"/>
                <w:b w:val="0"/>
                <w:bCs w:val="0"/>
                <w:sz w:val="21"/>
                <w:szCs w:val="21"/>
                <w:lang w:val="en-US" w:eastAsia="zh-CN"/>
              </w:rPr>
              <w:t>不少于</w:t>
            </w:r>
            <w:r>
              <w:rPr>
                <w:rFonts w:hint="eastAsia" w:ascii="宋体" w:hAnsi="宋体" w:eastAsia="宋体" w:cs="宋体"/>
                <w:b w:val="0"/>
                <w:bCs w:val="0"/>
                <w:sz w:val="21"/>
                <w:szCs w:val="21"/>
                <w:lang w:val="en-US" w:eastAsia="zh-CN"/>
              </w:rPr>
              <w:t>8个学科工具，支持语文、数学、英语、美术、地理等学科使用，并支持授课老师与听课成员多方交互触控。</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二</w:t>
            </w:r>
            <w:r>
              <w:rPr>
                <w:rFonts w:hint="eastAsia" w:ascii="宋体" w:hAnsi="宋体" w:cs="宋体"/>
                <w:b w:val="0"/>
                <w:bCs w:val="0"/>
                <w:sz w:val="21"/>
                <w:szCs w:val="21"/>
                <w:lang w:val="en-US" w:eastAsia="zh-CN"/>
              </w:rPr>
              <w:t>、移动端应用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为保证APP安全性，需通过官方应用商城进行下载并安装。iOS支持通过官方AppStore下载，Android支持通过应用宝进行下载；Android或iOS端支持通过手机号或房间号加入互动课堂以及网络教研，支持音视频互动以及文字互动；Android或iOS端支持观看“互动课堂”课后报告，可查看互动数据、直播数据，互动数据包含：可查看互动时长、人均参与时长、参与人数、互动工具使用次数，直播数据包含：观看人次、人气峰值、直播总时长、点评人数、点评条数、点赞总数、签到人数。</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6337A">
            <w:pPr>
              <w:widowControl w:val="0"/>
              <w:jc w:val="left"/>
              <w:rPr>
                <w:rFonts w:hint="eastAsia" w:ascii="宋体" w:hAnsi="宋体" w:eastAsia="宋体" w:cs="宋体"/>
                <w:i w:val="0"/>
                <w:iCs w:val="0"/>
                <w:color w:val="000000"/>
                <w:sz w:val="21"/>
                <w:szCs w:val="21"/>
                <w:u w:val="none"/>
              </w:rPr>
            </w:pPr>
          </w:p>
        </w:tc>
      </w:tr>
      <w:tr w14:paraId="6B59F6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56219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FBE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教师定位辅助摄像机</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44633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1.镜头水平视场角≥40°</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2.一体化集成设计，支持4K超高清，最大可提供4K图像编码输出，同时向下兼容1080p，720p等分辨率。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3.内置图像识别跟踪算法，无需物理转动，即可实现平滑自然的跟踪效果，避免干扰课堂教学。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4.全景画面支持畸变矫正功能。</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5.全景画面与特写画面必须采用相同图像传感器和图像处理器，确保两者图像输出亮度、颜色、风格等保持一致。</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6.整机接口≥1路RJ45，支持POE有线网络供电，只需要1路网线，即可实现供电及信号传输。</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7.传感器尺寸≥CMOS 1/2.8英寸，有效像素≥800万。</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DB313E">
            <w:pPr>
              <w:widowControl w:val="0"/>
              <w:jc w:val="left"/>
              <w:rPr>
                <w:rFonts w:hint="eastAsia" w:ascii="宋体" w:hAnsi="宋体" w:eastAsia="宋体" w:cs="宋体"/>
                <w:i w:val="0"/>
                <w:iCs w:val="0"/>
                <w:color w:val="000000"/>
                <w:sz w:val="21"/>
                <w:szCs w:val="21"/>
                <w:u w:val="none"/>
              </w:rPr>
            </w:pPr>
          </w:p>
        </w:tc>
      </w:tr>
      <w:tr w14:paraId="5F6473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1E975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4368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教师摄像机图像处理系统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F5256">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1.支持设置摄像机分辨率、帧率、码率；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2.支持设置摄像机亮度、饱和度、对比度、锐度、色度、快门速度；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3.图像支持左右镜像、上下翻转，默认不开启；</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4.支持对摄像机网络进行管理，包括设置IP地址/网关/DNS等，支持组播协议搜索IP地址，并修改摄像机IP；</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5.支持至少1个矩形导播跟踪区划定，至少2个导播屏蔽区划定；</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6.支持跟踪灵敏度设置，可适配不同的灵敏度要求场景</w:t>
            </w:r>
            <w:r>
              <w:rPr>
                <w:rFonts w:hint="eastAsia" w:ascii="宋体" w:hAnsi="宋体" w:cs="宋体"/>
                <w:b w:val="0"/>
                <w:bCs w:val="0"/>
                <w:sz w:val="21"/>
                <w:szCs w:val="21"/>
                <w:lang w:val="en-US" w:eastAsia="zh-CN"/>
              </w:rPr>
              <w:t>。</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EEFCC">
            <w:pPr>
              <w:widowControl w:val="0"/>
              <w:jc w:val="left"/>
              <w:rPr>
                <w:rFonts w:hint="eastAsia" w:ascii="宋体" w:hAnsi="宋体" w:eastAsia="宋体" w:cs="宋体"/>
                <w:i w:val="0"/>
                <w:iCs w:val="0"/>
                <w:color w:val="000000"/>
                <w:sz w:val="21"/>
                <w:szCs w:val="21"/>
                <w:u w:val="none"/>
              </w:rPr>
            </w:pPr>
          </w:p>
        </w:tc>
      </w:tr>
      <w:tr w14:paraId="5A301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7A54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23C3F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学生定位辅助摄像机</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DED44">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1.镜头水平视场角≥90°；</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2.一体化集成设计，支持4K超高清，最大可提供4K图像编码输出，同时向下兼容1080p，720p等分辨率；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3.内置图像识别跟踪算法，无需物理转动，即可实现平滑自然的跟踪效果，避免干扰课堂教学。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4.全景画面支持畸变矫正功能；</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5.全景画面与特写画面必须采用相同图像传感器和图像处理器，确保两者图像输出亮度、颜色、风格等保持一致；</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6.整机接口:≥1路RJ45，支持POE有线网络供电，只需要1路网线，即可实现供电及信号传输；</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7.传感器尺寸：≥CMOS 1/2.8英寸，有效像素≥800万。</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442ED6">
            <w:pPr>
              <w:widowControl w:val="0"/>
              <w:jc w:val="left"/>
              <w:rPr>
                <w:rFonts w:hint="eastAsia" w:ascii="宋体" w:hAnsi="宋体" w:eastAsia="宋体" w:cs="宋体"/>
                <w:i w:val="0"/>
                <w:iCs w:val="0"/>
                <w:color w:val="000000"/>
                <w:sz w:val="21"/>
                <w:szCs w:val="21"/>
                <w:u w:val="none"/>
              </w:rPr>
            </w:pPr>
          </w:p>
        </w:tc>
      </w:tr>
      <w:tr w14:paraId="0396ED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5564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2686B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学生摄像机图像处理系统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6AAE4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1.4K学生摄像机内嵌智能跟踪算法，无需单独安装定位跟踪主机及其他任何辅助拍摄设备，即可实现跟踪定位控制功能；</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2.支持设置摄像机分辨率、帧率、码率；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3.支持设置摄像机亮度、饱和度、对比度、锐度、色度、快门速度；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4.图像支持左右镜像、上下翻转，默认不开启；</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5.支持对摄像机网络进行管理，包括设置IP地址/网关/DNS等，支持组播协议搜索IP地址，并修改摄像机IP。</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A5D99A">
            <w:pPr>
              <w:widowControl w:val="0"/>
              <w:jc w:val="left"/>
              <w:rPr>
                <w:rFonts w:hint="eastAsia" w:ascii="宋体" w:hAnsi="宋体" w:eastAsia="宋体" w:cs="宋体"/>
                <w:i w:val="0"/>
                <w:iCs w:val="0"/>
                <w:color w:val="000000"/>
                <w:sz w:val="21"/>
                <w:szCs w:val="21"/>
                <w:u w:val="none"/>
              </w:rPr>
            </w:pPr>
          </w:p>
        </w:tc>
      </w:tr>
      <w:tr w14:paraId="4B127A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C6F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206E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机械云台摄像机</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F10A4">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lang w:val="en-US" w:eastAsia="zh-CN"/>
              </w:rPr>
              <w:t>1.△传感</w:t>
            </w:r>
            <w:r>
              <w:rPr>
                <w:rFonts w:hint="eastAsia" w:ascii="宋体" w:hAnsi="宋体" w:eastAsia="宋体" w:cs="宋体"/>
                <w:b w:val="0"/>
                <w:bCs w:val="0"/>
                <w:sz w:val="21"/>
                <w:szCs w:val="21"/>
                <w:lang w:val="en-US" w:eastAsia="zh-CN"/>
              </w:rPr>
              <w:t>器尺寸：≥CMOS 1/1.8英寸，有效像素≥800万；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2.支持不少于40倍变焦；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3.扫描方式：逐行；</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4.支持畸变矫正功能，畸变＜1.5%，校正后可实现视觉无畸变；</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5.最低照度： 0.5Lux @ (F1.8, AGC ON)；</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6.镜头： F1.58 ~ F3.95；</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7.快门： 1/30s ~ 1/10000s；</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8.支持自动白平衡功能、背光补偿功能、图像冻结功能、POE供电；</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9.支持水平翻转、垂直翻转，水平转动范围：±170°，垂直转动范围：-30°~+90°；</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10.支持最大水平视场角≥60°，最大垂直视场角≥35°；</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11.为确保运行稳定，使用平均无故障运行时间(MTBF)应≥22万小时。</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898AC">
            <w:pPr>
              <w:widowControl w:val="0"/>
              <w:jc w:val="left"/>
              <w:rPr>
                <w:rFonts w:hint="eastAsia" w:ascii="宋体" w:hAnsi="宋体" w:eastAsia="宋体" w:cs="宋体"/>
                <w:i w:val="0"/>
                <w:iCs w:val="0"/>
                <w:color w:val="000000"/>
                <w:sz w:val="21"/>
                <w:szCs w:val="21"/>
                <w:u w:val="none"/>
              </w:rPr>
            </w:pPr>
          </w:p>
        </w:tc>
      </w:tr>
      <w:tr w14:paraId="29899C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FF273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1653F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云台摄像机图像处理系统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6B7326">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1.设备采用ARM硬件架构，linux操作系统；</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2.支持自动白平衡、背光补偿功能、2D、3D数字降噪；</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3.支持不少于4种编码等级，包含baseline、mainprofile、highprofile、svc-t；</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4.支持AAC、G711A两种音频编码格式；</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5.支持TCP/IP, HTTP, RTSP, RTMP, Onvif, DHCP, 组播等网络协议；</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6.支持设置摄像机分辨率、帧率、码率；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7.支持设置摄像机亮度、饱和度、对比度、锐度、色度、快门速度；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8.图像支持左右镜像、上下翻转，默认不开启；</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9.支持对摄像机网络进行管理，包括设置IP地址/网关/DNS等，支持组播协议搜索IP地址，并修改摄像机IP。</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6E424">
            <w:pPr>
              <w:widowControl w:val="0"/>
              <w:jc w:val="left"/>
              <w:rPr>
                <w:rFonts w:hint="eastAsia" w:ascii="宋体" w:hAnsi="宋体" w:eastAsia="宋体" w:cs="宋体"/>
                <w:i w:val="0"/>
                <w:iCs w:val="0"/>
                <w:color w:val="000000"/>
                <w:sz w:val="21"/>
                <w:szCs w:val="21"/>
                <w:u w:val="none"/>
              </w:rPr>
            </w:pPr>
          </w:p>
        </w:tc>
      </w:tr>
      <w:tr w14:paraId="42495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D6022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263D7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阵列麦克风</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14C53">
            <w:pPr>
              <w:widowControl/>
              <w:jc w:val="left"/>
              <w:rPr>
                <w:rFonts w:hint="eastAsia" w:ascii="宋体" w:hAnsi="宋体" w:eastAsia="宋体" w:cs="宋体"/>
                <w:b w:val="0"/>
                <w:bCs w:val="0"/>
                <w:sz w:val="21"/>
                <w:szCs w:val="21"/>
                <w:highlight w:val="none"/>
                <w:lang w:val="en-US" w:eastAsia="zh-CN"/>
              </w:rPr>
            </w:pPr>
            <w:r>
              <w:rPr>
                <w:rFonts w:hint="eastAsia" w:ascii="宋体" w:hAnsi="宋体" w:cs="宋体"/>
                <w:b w:val="0"/>
                <w:bCs w:val="0"/>
                <w:sz w:val="21"/>
                <w:szCs w:val="21"/>
                <w:highlight w:val="none"/>
                <w:lang w:val="en-US" w:eastAsia="zh-CN"/>
              </w:rPr>
              <w:t>1.</w:t>
            </w:r>
            <w:r>
              <w:rPr>
                <w:rFonts w:hint="eastAsia" w:ascii="宋体" w:hAnsi="宋体" w:eastAsia="宋体" w:cs="宋体"/>
                <w:b w:val="0"/>
                <w:bCs w:val="0"/>
                <w:sz w:val="21"/>
                <w:szCs w:val="21"/>
                <w:highlight w:val="none"/>
                <w:lang w:val="en-US" w:eastAsia="zh-CN"/>
              </w:rPr>
              <w:t>麦克风采用≥4核的国产音频芯片。</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2.麦克风频率响应范围不低于50Hz~16KHz。</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3.麦克风拾音半径≥8m，信噪比≥68dB，声压级≥130dBSPL，10%THD@1 KHz。</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4.麦克风无需额外适配器供电，能够通过网线实现麦克风供电、音频信号传输、参数调整。</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5.麦克风具备≥1个状态指示灯，可显示麦克风工作状态，蓝灯表示工作状态正常，红灯表示无法正常拾音。</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6.麦克风采用标准1/4吋螺口，适配各种类型标准吊杆。</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7.△麦克风支持≥2个数字音频接口，支持盲插。</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8.麦克风内置≥8个传感器单元。</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9.麦克风支持降噪、回声抵消、混响抑制、自动增益控制、多麦融合多种音频算法。</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10.麦克风支持数字音频传输。</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48789">
            <w:pPr>
              <w:widowControl w:val="0"/>
              <w:jc w:val="left"/>
              <w:rPr>
                <w:rFonts w:hint="eastAsia" w:ascii="宋体" w:hAnsi="宋体" w:eastAsia="宋体" w:cs="宋体"/>
                <w:i w:val="0"/>
                <w:iCs w:val="0"/>
                <w:color w:val="000000"/>
                <w:sz w:val="21"/>
                <w:szCs w:val="21"/>
                <w:u w:val="none"/>
              </w:rPr>
            </w:pPr>
          </w:p>
        </w:tc>
      </w:tr>
      <w:tr w14:paraId="5A4E2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5338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93C8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有线麦克风音频处理系统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195EB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1.支持全频带全双工自适应回声消除算法。</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2.支持全频自适应AI降噪技术，降噪电平≥24dB。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3.支持自动增益控制。</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4.支持啸叫抑制。</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5.支持智能混音，可智能选择最佳麦克风采集音频。</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6.支持多通道音频矩阵，可根据场景需求进行相应设置。</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7.支持音频参数调节。</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8.支持连接录播主机作为录播音频输入设备使用，也可连接Windows系统，并为其提供音频输入。</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2887E9">
            <w:pPr>
              <w:widowControl w:val="0"/>
              <w:jc w:val="left"/>
              <w:rPr>
                <w:rFonts w:hint="eastAsia" w:ascii="宋体" w:hAnsi="宋体" w:eastAsia="宋体" w:cs="宋体"/>
                <w:i w:val="0"/>
                <w:iCs w:val="0"/>
                <w:color w:val="000000"/>
                <w:sz w:val="21"/>
                <w:szCs w:val="21"/>
                <w:u w:val="none"/>
              </w:rPr>
            </w:pPr>
          </w:p>
        </w:tc>
      </w:tr>
      <w:tr w14:paraId="536D00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94B9D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73A8E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无线麦克风</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786F8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1、麦克风支持≥1个Pogo pin接口，支持通过Pogo pin接口进行充电。</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2、麦克风支持≥1个三合一按键，可控制麦克风的开关机、静音和配对。</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3、麦克风充电仓支持电量指示，通过灯珠亮灭数量充电仓剩余电量及充电状态。</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4、麦克风领夹角度支持调节，调节角度≥±90°；麦克风与</w:t>
            </w:r>
            <w:r>
              <w:rPr>
                <w:rFonts w:hint="eastAsia" w:ascii="宋体" w:hAnsi="宋体" w:eastAsia="宋体" w:cs="宋体"/>
                <w:b w:val="0"/>
                <w:bCs w:val="0"/>
                <w:sz w:val="21"/>
                <w:szCs w:val="21"/>
                <w:highlight w:val="none"/>
                <w:lang w:val="en-US" w:eastAsia="zh-CN"/>
              </w:rPr>
              <w:t>领夹夹角相对0°位置具备限位功能。</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5、整机标配两个无线麦克风，且两个麦克风支持同时工作。</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6、麦克风支持一键开启静音模式。</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7、△麦克风支持通过音量调节按钮调节输出音量；音量调节过程中通过麦克风一体化屏幕动态提示当前音量等级。</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8、麦克风采用心</w:t>
            </w:r>
            <w:r>
              <w:rPr>
                <w:rFonts w:hint="eastAsia" w:ascii="宋体" w:hAnsi="宋体" w:eastAsia="宋体" w:cs="宋体"/>
                <w:b w:val="0"/>
                <w:bCs w:val="0"/>
                <w:sz w:val="21"/>
                <w:szCs w:val="21"/>
                <w:lang w:val="en-US" w:eastAsia="zh-CN"/>
              </w:rPr>
              <w:t>型指向，信噪比≥95dB，音频采样率≥48kHz，音频采样精度≥16bit。</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9、麦克风工作频段为2.4G。</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10、支持抗干扰能力，支持自动跳频技术，避免同频干扰问题，同一空间内有多个无线麦克风不会产生相互干扰。</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11、支持红外和无线同时配对。</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D7E27A">
            <w:pPr>
              <w:widowControl w:val="0"/>
              <w:jc w:val="left"/>
              <w:rPr>
                <w:rFonts w:hint="eastAsia" w:ascii="宋体" w:hAnsi="宋体" w:eastAsia="宋体" w:cs="宋体"/>
                <w:i w:val="0"/>
                <w:iCs w:val="0"/>
                <w:color w:val="000000"/>
                <w:sz w:val="21"/>
                <w:szCs w:val="21"/>
                <w:u w:val="none"/>
              </w:rPr>
            </w:pPr>
          </w:p>
        </w:tc>
      </w:tr>
      <w:tr w14:paraId="445F16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8AE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903E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无线麦克风音频处理系统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C5089A">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1.麦克风音频编码方式采用LC3 plus。</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2.支持啸叫抑制算法，本地扩声时不产生啸叫现象。</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3.支持降噪功能设置。</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4.支持多通道输入混音。</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776CC7">
            <w:pPr>
              <w:widowControl w:val="0"/>
              <w:jc w:val="left"/>
              <w:rPr>
                <w:rFonts w:hint="eastAsia" w:ascii="宋体" w:hAnsi="宋体" w:eastAsia="宋体" w:cs="宋体"/>
                <w:i w:val="0"/>
                <w:iCs w:val="0"/>
                <w:color w:val="000000"/>
                <w:sz w:val="21"/>
                <w:szCs w:val="21"/>
                <w:u w:val="none"/>
              </w:rPr>
            </w:pPr>
          </w:p>
        </w:tc>
      </w:tr>
      <w:tr w14:paraId="66D749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B46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39B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专业功放</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6CA30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1.支持LINE IN接口≥2个，类型为 3.5mm线性输入接口。</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2.支持麦克风输入接口≥4个，类型为 6.5mm麦克风音频输入接口。</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3.支持音频输出接口≥4个，类型为香蕉端子类型。</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4.支持RS232接口≥1个 ，具备输出音量调节，远程控制开关机功能。</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5.输出功率8Ω 300W*2。</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6.MIC输入灵敏度50mV。</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146D22">
            <w:pPr>
              <w:widowControl w:val="0"/>
              <w:jc w:val="left"/>
              <w:rPr>
                <w:rFonts w:hint="eastAsia" w:ascii="宋体" w:hAnsi="宋体" w:eastAsia="宋体" w:cs="宋体"/>
                <w:i w:val="0"/>
                <w:iCs w:val="0"/>
                <w:color w:val="000000"/>
                <w:sz w:val="21"/>
                <w:szCs w:val="21"/>
                <w:u w:val="none"/>
              </w:rPr>
            </w:pPr>
          </w:p>
        </w:tc>
      </w:tr>
      <w:tr w14:paraId="524B82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BB33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5B6C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专业音响</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F6EA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1.音柱型设计，使用专业功放搭配音柱实现音量扩声。</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2.单音柱具备≥4个3”喇叭单元。</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3.标准阻抗：8Ω。</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4.频率响应：20Hz～20KHz。</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5.单音柱额定功率(RWS)≥120W。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6.单音柱最大功率(PEAK)≥240W。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7.灵敏度：95dB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8.最大声压级：120dB。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9.单音柱覆盖角度：水平120°、垂直120°。</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491B3">
            <w:pPr>
              <w:widowControl w:val="0"/>
              <w:jc w:val="left"/>
              <w:rPr>
                <w:rFonts w:hint="eastAsia" w:ascii="宋体" w:hAnsi="宋体" w:eastAsia="宋体" w:cs="宋体"/>
                <w:i w:val="0"/>
                <w:iCs w:val="0"/>
                <w:color w:val="000000"/>
                <w:sz w:val="21"/>
                <w:szCs w:val="21"/>
                <w:u w:val="none"/>
              </w:rPr>
            </w:pPr>
          </w:p>
        </w:tc>
      </w:tr>
      <w:tr w14:paraId="5AEE7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F9F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4ED6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录播资源管理平台</w:t>
            </w:r>
            <w:r>
              <w:rPr>
                <w:rFonts w:hint="eastAsia" w:ascii="宋体" w:hAnsi="宋体" w:eastAsia="宋体" w:cs="宋体"/>
                <w:color w:val="000000"/>
                <w:sz w:val="21"/>
                <w:szCs w:val="21"/>
                <w:highlight w:val="none"/>
                <w:u w:val="none"/>
                <w:lang w:val="en-US" w:eastAsia="zh-CN" w:bidi="ar"/>
              </w:rPr>
              <w:t xml:space="preserve"> </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120D7">
            <w:pPr>
              <w:widowControl/>
              <w:jc w:val="left"/>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系统采用模块化的架构设计B/S架构，支持管理员根据不同教师的工作需求创建角色，自定义该角色的名称和可使用的功能权限；</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2.教师可以通过自主账号登录平台，根据教师个人学习需求对全校的视频课程进行筛选、点播观看、在线学习。</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课程评论：支持用户对已发布视频进行视频打点并插入课堂评价，所评论内容需关联视频对应时间点。平台支持用户在线对课堂视频进行评论，所评论内容支持以新消息提示方式自动提醒授课教师。支持管理员对用户评论进行信息管理，可选择性删除评论内容，管控评论秩序。</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4.公网直播：学校管理员可设置录播设备的直播模式为公网直播，自由发起公网直播活动，方便举办公开课、校园培训等活动。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5.直播工作台：创建直播时支持添加直播助教；助教进入工作台可进行直播间秩序维护。</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6.直播分享：用户可一键生成链接并进行分享，其他用户通过打开链接的方式，可登录观看直播视频。</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活动预告：支持PC端、移动端通过分享链接地址，查看直播活动的相关信息，包括封面、活动名称、学校名称、活动开始时间、简介、预览课件等；在预览课件时，用户可在课件上进行书写、擦除、移动图片素材等操作，且操作不影响原课件内容，方便评课老师在直播开始前，预览主讲老师的课件。</w:t>
            </w:r>
          </w:p>
          <w:p w14:paraId="7B0ED0FA">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8.△活动课件：教师可选择云课件与直播关联，无需耗时上传本地文件；课件与直播关联后，支持用户在活动开始时间前查看云课件；活动开始后，用户可在观看直播视频的同时，在线查看已关联的云课件。</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9.直播数据：直播开始后，支持查看直播的人气峰值、观看人次、累计点赞、观众发言次数、签到人数等数据，随时掌握直播情况。</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10.分组管理：教师可将多场已创建的直播、互动课堂、互动教研、课例评课等活动，添加至同一直播分组；每个分组自动生成分享二维码和链接，方便观众在一个分组链接中选择不同活动进行观看。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11.课程搜索：支持用户通过课程、教师、学校名称等关键词快速搜索已发布的课程资源，支持用户查看最近搜索关键词记录，方便用户再次快速查找相关课程。</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12.用户可在教师空间中，查看该教师上传的全部课程、个人简介、所属学校以及个人成就，个人成就包含上传课程的总数、课程播放总次数等。</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13.教研评课：支持教师创建教研活动，并通过链接或海报分享给其他用户看课评课；支持教师在教研活动中查看活动简介、查看资料、发表点评、评课表打分。</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highlight w:val="none"/>
                <w:lang w:val="en-US" w:eastAsia="zh-CN"/>
              </w:rPr>
              <w:t>4.△教</w:t>
            </w:r>
            <w:r>
              <w:rPr>
                <w:rFonts w:hint="eastAsia" w:ascii="宋体" w:hAnsi="宋体" w:eastAsia="宋体" w:cs="宋体"/>
                <w:b w:val="0"/>
                <w:bCs w:val="0"/>
                <w:sz w:val="21"/>
                <w:szCs w:val="21"/>
                <w:lang w:val="en-US" w:eastAsia="zh-CN"/>
              </w:rPr>
              <w:t xml:space="preserve">研数据：自动统计教研的点评次数、评课表平均分、观看人数等数据，支持查看文字点评的详情记录、评课表题目的客观题评分、主观题回答情况、教师评课记录。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15.评课表管理：支持管理员创建多张评课表，并自定义评课表的标题、引导语、评分标准、题目分数、主观评价。至少提供一份评课表模板，方便用户快捷创建评课表。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16.用户访问平台网页观看线上课程时，可直接在平台网页中参与知识配对、选词填空、趣味分类等在线互动答题，加深对知识点的理解；完成后，可直接查看答题用时与答题排行榜，并可选择继续观看视频或再玩一次。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17.视频在线剪辑</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①支持用户对本地上传或录播机录制的视频，通过浏览器完成在线剪辑，将视频的无效内容删除，保留课堂中的重难点和精彩部分。</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②效果预览：进行剪辑操作后，支持用户通过在线预览窗口，实时查看剪辑后的内容，确保视频效果。</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③插入课堂活动：支持用户在平台上查看已上传的云课件，并选择课件中的课堂活动插入视频中，设置为课程的互动答题环节；课程发布后，用户观看到所对应的课程时间点时，系统将自动弹出课堂活动，需要完成互动答题才可进入下一阶段的知识点学习。</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④视频截取：支持用户通过拖拽视频起点与终点，快速去除头部或尾部的无效内容，截取保留视频中的重点部分。</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⑤视频分割与删除：支持基于时间刻度，将视频分割成若干个片段，并把无效片段删除。</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D7C09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云空间标配</w:t>
            </w:r>
            <w:r>
              <w:rPr>
                <w:rFonts w:hint="eastAsia" w:ascii="宋体" w:hAnsi="宋体" w:cs="宋体"/>
                <w:i w:val="0"/>
                <w:iCs w:val="0"/>
                <w:color w:val="000000"/>
                <w:kern w:val="0"/>
                <w:sz w:val="21"/>
                <w:szCs w:val="21"/>
                <w:u w:val="none"/>
                <w:lang w:val="en-US" w:eastAsia="zh-CN" w:bidi="ar"/>
              </w:rPr>
              <w:t>不小于</w:t>
            </w:r>
            <w:r>
              <w:rPr>
                <w:rFonts w:hint="eastAsia" w:ascii="宋体" w:hAnsi="宋体" w:eastAsia="宋体" w:cs="宋体"/>
                <w:i w:val="0"/>
                <w:iCs w:val="0"/>
                <w:color w:val="000000"/>
                <w:kern w:val="0"/>
                <w:sz w:val="21"/>
                <w:szCs w:val="21"/>
                <w:u w:val="none"/>
                <w:lang w:val="en-US" w:eastAsia="zh-CN" w:bidi="ar"/>
              </w:rPr>
              <w:t>50G</w:t>
            </w:r>
          </w:p>
        </w:tc>
      </w:tr>
      <w:tr w14:paraId="19242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EC5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19</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5CEE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控制面板</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6C4BF9">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1.支持≥1个RS232接口，≥1个RS422接口，≥1个RS485接口，支持≥1个USB接口。</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2.整机为可嵌入式设计，可嵌入讲台、墙壁内安装。</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3.支持控制录播主机开关机、支持控制录播开启录制、直播和结束录播、直播。</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4.支持手动切换教师全景、教师特写、学生全景、学生特写、多媒体画面和板书画面，方便老师自由的切换需要的录制/直播画面。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5.支持通过控制面板和远端建立远程连接，实现远程互动。</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5F70E">
            <w:pPr>
              <w:widowControl w:val="0"/>
              <w:jc w:val="left"/>
              <w:rPr>
                <w:rFonts w:hint="eastAsia" w:ascii="宋体" w:hAnsi="宋体" w:eastAsia="宋体" w:cs="宋体"/>
                <w:i w:val="0"/>
                <w:iCs w:val="0"/>
                <w:color w:val="FF0000"/>
                <w:sz w:val="21"/>
                <w:szCs w:val="21"/>
                <w:u w:val="none"/>
              </w:rPr>
            </w:pPr>
          </w:p>
        </w:tc>
      </w:tr>
      <w:tr w14:paraId="0A36D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17C0217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511" w:type="dxa"/>
            <w:tcBorders>
              <w:top w:val="single" w:color="000000" w:sz="4" w:space="0"/>
              <w:left w:val="single" w:color="000000" w:sz="4" w:space="0"/>
              <w:bottom w:val="single" w:color="auto" w:sz="4" w:space="0"/>
              <w:right w:val="single" w:color="000000" w:sz="4" w:space="0"/>
            </w:tcBorders>
            <w:shd w:val="clear" w:color="auto" w:fill="FFFFFF"/>
            <w:noWrap w:val="0"/>
            <w:vAlign w:val="center"/>
          </w:tcPr>
          <w:p w14:paraId="6C8687D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交换机</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3786AC">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十六口POE交换机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566FA">
            <w:pPr>
              <w:widowControl w:val="0"/>
              <w:jc w:val="left"/>
              <w:rPr>
                <w:rFonts w:hint="eastAsia" w:ascii="宋体" w:hAnsi="宋体" w:eastAsia="宋体" w:cs="宋体"/>
                <w:i w:val="0"/>
                <w:iCs w:val="0"/>
                <w:color w:val="000000"/>
                <w:sz w:val="21"/>
                <w:szCs w:val="21"/>
                <w:u w:val="none"/>
              </w:rPr>
            </w:pPr>
          </w:p>
        </w:tc>
      </w:tr>
      <w:tr w14:paraId="4BD55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17D83653">
            <w:pPr>
              <w:widowControl w:val="0"/>
              <w:jc w:val="left"/>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21</w:t>
            </w:r>
          </w:p>
        </w:tc>
        <w:tc>
          <w:tcPr>
            <w:tcW w:w="1511" w:type="dxa"/>
            <w:tcBorders>
              <w:top w:val="single" w:color="auto" w:sz="4" w:space="0"/>
              <w:left w:val="single" w:color="auto" w:sz="4" w:space="0"/>
              <w:bottom w:val="single" w:color="auto" w:sz="4" w:space="0"/>
              <w:right w:val="single" w:color="auto" w:sz="4" w:space="0"/>
            </w:tcBorders>
            <w:shd w:val="clear" w:color="auto" w:fill="FFFFFF"/>
            <w:noWrap w:val="0"/>
            <w:vAlign w:val="center"/>
          </w:tcPr>
          <w:p w14:paraId="681C4980">
            <w:pPr>
              <w:widowControl w:val="0"/>
              <w:jc w:val="left"/>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互动电视</w:t>
            </w:r>
          </w:p>
        </w:tc>
        <w:tc>
          <w:tcPr>
            <w:tcW w:w="5436" w:type="dxa"/>
            <w:tcBorders>
              <w:top w:val="single" w:color="000000" w:sz="4" w:space="0"/>
              <w:left w:val="single" w:color="auto" w:sz="4" w:space="0"/>
              <w:bottom w:val="single" w:color="000000" w:sz="4" w:space="0"/>
              <w:right w:val="single" w:color="000000" w:sz="4" w:space="0"/>
            </w:tcBorders>
            <w:shd w:val="clear" w:color="auto" w:fill="FFFFFF"/>
            <w:noWrap w:val="0"/>
            <w:vAlign w:val="center"/>
          </w:tcPr>
          <w:p w14:paraId="3414786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1.屏幕物理尺寸≥55吋，屏幕分辨率≥3840*2160，屏幕刷新率≥60Hz，屏幕可视角度≥±176度。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2.整机功耗≤120W，待机功耗≤0.5W。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3.内置喇叭个数≥2，喇叭总功率≥16W。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4.USB通道支持播放不少于10种文件格式，USB接口数量≥2，HDMI输入通道数量≥3，模拟RF接口≥1，AV接口≥1。</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5.标配遥控器和配套电池。</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6.支持HDMI接入检测开机，HDMI有输入信号后，可自动开机。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AF33D">
            <w:pPr>
              <w:widowControl w:val="0"/>
              <w:jc w:val="left"/>
              <w:rPr>
                <w:rFonts w:hint="eastAsia" w:ascii="宋体" w:hAnsi="宋体" w:eastAsia="宋体" w:cs="宋体"/>
                <w:i w:val="0"/>
                <w:iCs w:val="0"/>
                <w:color w:val="000000"/>
                <w:sz w:val="21"/>
                <w:szCs w:val="21"/>
                <w:u w:val="none"/>
                <w:lang w:val="en-US" w:eastAsia="zh-CN"/>
              </w:rPr>
            </w:pPr>
          </w:p>
        </w:tc>
      </w:tr>
      <w:tr w14:paraId="0E8B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3199F367">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22</w:t>
            </w:r>
          </w:p>
        </w:tc>
        <w:tc>
          <w:tcPr>
            <w:tcW w:w="1511" w:type="dxa"/>
            <w:tcBorders>
              <w:top w:val="single" w:color="auto" w:sz="4" w:space="0"/>
              <w:left w:val="single" w:color="000000" w:sz="4" w:space="0"/>
              <w:bottom w:val="single" w:color="000000" w:sz="4" w:space="0"/>
              <w:right w:val="single" w:color="000000" w:sz="4" w:space="0"/>
            </w:tcBorders>
            <w:shd w:val="clear" w:color="auto" w:fill="FFFFFF"/>
            <w:noWrap w:val="0"/>
            <w:vAlign w:val="center"/>
          </w:tcPr>
          <w:p w14:paraId="6DB707AE">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有源音箱</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766B98">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1.采用功放与互动音箱一体化设计，帮助教师实现多媒体扩音以及本地扩声功能。</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2.双音箱有线连接，机箱采用塑胶材质，保护设备免受环境影响。</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3.输出额定功率≥2*15W。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4.配置独立音频数字信号处理芯片，支持啸叫抑制功能。</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5.支持教师扩声和输入音源叠加输出。</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E81E56">
            <w:pPr>
              <w:widowControl w:val="0"/>
              <w:jc w:val="left"/>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sz w:val="21"/>
                <w:szCs w:val="21"/>
                <w:u w:val="none"/>
                <w:lang w:val="en-US" w:eastAsia="zh-CN"/>
              </w:rPr>
              <w:t>观摩室</w:t>
            </w:r>
          </w:p>
        </w:tc>
      </w:tr>
      <w:tr w14:paraId="45B70E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CA3D39">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4A0CF">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录播主机桌面支架</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33181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1.支架采用高强度合金钢材，坚固耐用。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2.支架材料厚度≥2.0mm。</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3.支架底部自带防滑硅胶垫。</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4.支架配备主机≥7个锁付孔，可用于固定主机。</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5.支架自带倾斜角，与桌面夹角充分考虑人机工学，可更加广泛适应不同身高人群。</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6.支架具备理线机构，让设备走线更加整齐有序。</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39980">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p>
        </w:tc>
      </w:tr>
      <w:tr w14:paraId="4999C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A006EF">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24</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0482F3">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专业导播台</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D218D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1.整机采用纯金属材质，全铝机身，CNC工艺，坚固耐用，质感十足，底部配备≥4个硅胶垫，桌面使用更加稳固。</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highlight w:val="none"/>
                <w:lang w:val="en-US" w:eastAsia="zh-CN"/>
              </w:rPr>
              <w:t>.△采</w:t>
            </w:r>
            <w:r>
              <w:rPr>
                <w:rFonts w:hint="eastAsia" w:ascii="宋体" w:hAnsi="宋体" w:eastAsia="宋体" w:cs="宋体"/>
                <w:b w:val="0"/>
                <w:bCs w:val="0"/>
                <w:sz w:val="21"/>
                <w:szCs w:val="21"/>
                <w:lang w:val="en-US" w:eastAsia="zh-CN"/>
              </w:rPr>
              <w:t>用彩色背光按键，按键数量≥29个，背光颜色≥3种，可通过不同颜色表征不同的工作状态，简化老师理解，支持背光亮度调节，可以根据教室光线环境和用户喜好自行调节背光亮度，满足不同场景和用户使用需求。</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3.整机配备云台操纵杆，通过整机摇杆操作，支持不少于8个方向的云台控制，可通过操纵杆的倾斜程度实现对云台摄像机的转动速度控制，同时可通过操纵杆实现ZOOM拉进拉远控制，满足精准的拍摄取景。</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4.支持一键复位功能，可通过云台操纵杆，快速将摄像机复位到开机预置位画面。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为满足用户在导播过程中对声音控制的诉求，整机支持≥3个音量控制旋钮，可实现对录播主机的实时音量、教师麦克风音量、学生麦克风音量的控制，控制旋钮采用无极编码器，转动顺滑无限位，旋钮表面采用条纹设计，操控触感一流；</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6.整机支持≥2种通信方式，可使用USB或RS422进行通信，为保证控制实时性，不接受使用TCP/UDP通信方式；</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7.整机通信接口≥2个，支持至少一个USB2.0接口，至少一个RS422接口。</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5DD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p>
        </w:tc>
      </w:tr>
      <w:tr w14:paraId="7030F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653153">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25</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FA2DA">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导播控制台应用系统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EAD8A">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1.整机支持不少于5个预置位，支持云台预置位设定，预置位设定无需打开其他设置软件，可直接通过键盘完成预置位设定，设定后预置位即刻生效，用户设定预置位过程有灯光提示，减少用户误操作的概率。</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w:t>
            </w:r>
            <w:r>
              <w:rPr>
                <w:rFonts w:hint="eastAsia" w:ascii="宋体" w:hAnsi="宋体" w:eastAsia="宋体" w:cs="宋体"/>
                <w:b w:val="0"/>
                <w:bCs w:val="0"/>
                <w:sz w:val="21"/>
                <w:szCs w:val="21"/>
                <w:highlight w:val="none"/>
                <w:lang w:val="en-US" w:eastAsia="zh-CN"/>
              </w:rPr>
              <w:t>云台摄像机控制选择，用户可以通过整机按键操作，支持≥5个摄像机通道选择，通道选择完成后，键盘操控命令仅对选中摄像机生效，不会产生串码。</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3.△整机与录播主机操作同步，用户通过导播键盘，可以实现开始、暂停、停止、三种录制状态控制，控制实时性良好，能够做</w:t>
            </w:r>
            <w:r>
              <w:rPr>
                <w:rFonts w:hint="eastAsia" w:ascii="宋体" w:hAnsi="宋体" w:eastAsia="宋体" w:cs="宋体"/>
                <w:b w:val="0"/>
                <w:bCs w:val="0"/>
                <w:sz w:val="21"/>
                <w:szCs w:val="21"/>
                <w:lang w:val="en-US" w:eastAsia="zh-CN"/>
              </w:rPr>
              <w:t>到即点即录，无需等待，控制过程导播键盘提供灯光颜色变化提示+蜂鸣器提示，给用户最准确的操控反馈。</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4.支持导播模式控制，用户可根据使用场景需要，设置当前的导播模式，整机可设置录播主机为自动导播模式和手动导播模式，满足不同场景需求。</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5.支持≥6种画面布局，包含单画面、双画面、画中画、三画面、四画面、自定义布局；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6.支持导播控制，用户可通过整机按键操作实现导播画面选择，选中通道能够高亮显示，支持≥6个导播通道控制。</w:t>
            </w:r>
          </w:p>
        </w:tc>
        <w:tc>
          <w:tcPr>
            <w:tcW w:w="131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E59AB">
            <w:pPr>
              <w:widowControl w:val="0"/>
              <w:jc w:val="left"/>
              <w:rPr>
                <w:rFonts w:hint="eastAsia" w:ascii="宋体" w:hAnsi="宋体" w:eastAsia="宋体" w:cs="宋体"/>
                <w:i w:val="0"/>
                <w:iCs w:val="0"/>
                <w:color w:val="000000"/>
                <w:sz w:val="21"/>
                <w:szCs w:val="21"/>
                <w:u w:val="none"/>
              </w:rPr>
            </w:pPr>
          </w:p>
        </w:tc>
      </w:tr>
      <w:tr w14:paraId="7209BD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4BCC97">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26</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05B19">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导播终端</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AD9D9">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CPU：处理器核数≥12，线程数≥16，主频≥1.7GHz，最大睿频≥4.4GHz 、三级缓存≥12MB；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2.内存：8G DDR4 3200MT/s 内存或以上，硬盘：≥256G M.2 SSD硬盘；</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3.网络通信：集成1000M以太网卡，支持wake on LAN。</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4.接口：USB≥5个；Type-C≥1个。接口（USB、Type-C）支持关机充电；</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5.显示屏幕≥23.8英寸，分辨率≥1920×1080，屏幕亮度≥300cd/m2；</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6.具备防眩光功能，钢化玻璃表面硬度≥7H。屏体部分最大厚度≤16.5mm；</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7.整机集成2*2W扬声器，双阵列麦克风。</w:t>
            </w:r>
          </w:p>
        </w:tc>
        <w:tc>
          <w:tcPr>
            <w:tcW w:w="131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7DD3E">
            <w:pPr>
              <w:widowControl w:val="0"/>
              <w:jc w:val="left"/>
              <w:rPr>
                <w:rFonts w:hint="eastAsia" w:ascii="宋体" w:hAnsi="宋体" w:eastAsia="宋体" w:cs="宋体"/>
                <w:i w:val="0"/>
                <w:iCs w:val="0"/>
                <w:color w:val="000000"/>
                <w:sz w:val="21"/>
                <w:szCs w:val="21"/>
                <w:u w:val="none"/>
              </w:rPr>
            </w:pPr>
          </w:p>
        </w:tc>
      </w:tr>
      <w:tr w14:paraId="6607D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494E53">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27</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51B57">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边缘服务器</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65DE52">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1.处理器： </w:t>
            </w:r>
            <w:r>
              <w:rPr>
                <w:rFonts w:hint="eastAsia" w:ascii="宋体" w:hAnsi="宋体" w:cs="宋体"/>
                <w:b w:val="0"/>
                <w:bCs w:val="0"/>
                <w:sz w:val="21"/>
                <w:szCs w:val="21"/>
                <w:lang w:val="en-US" w:eastAsia="zh-CN"/>
              </w:rPr>
              <w:t>不低于</w:t>
            </w:r>
            <w:r>
              <w:rPr>
                <w:rFonts w:hint="eastAsia" w:ascii="宋体" w:hAnsi="宋体" w:eastAsia="宋体" w:cs="宋体"/>
                <w:b w:val="0"/>
                <w:bCs w:val="0"/>
                <w:sz w:val="21"/>
                <w:szCs w:val="21"/>
                <w:lang w:val="en-US" w:eastAsia="zh-CN"/>
              </w:rPr>
              <w:t>E3-1245</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2.内存类型：DDR4</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3.内存空间：不小于16GB</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4.硬盘接口：SATA</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5.硬盘类型：3.5英吋HDD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6.硬盘空间：物理空间不小于25TB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7.设备高度：≤1U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8.USB：USB2.0≥4、USB3.0≥2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9.点播流媒体服务：支持不少于200个点同时内网点播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10.直播流媒体服务：支持不少于500个点同时内网直播 </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62B042">
            <w:pPr>
              <w:widowControl w:val="0"/>
              <w:jc w:val="left"/>
              <w:rPr>
                <w:rFonts w:hint="eastAsia" w:ascii="宋体" w:hAnsi="宋体" w:eastAsia="宋体" w:cs="宋体"/>
                <w:i w:val="0"/>
                <w:iCs w:val="0"/>
                <w:color w:val="000000"/>
                <w:sz w:val="21"/>
                <w:szCs w:val="21"/>
                <w:u w:val="none"/>
              </w:rPr>
            </w:pPr>
          </w:p>
        </w:tc>
      </w:tr>
      <w:tr w14:paraId="71D68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7FC34D">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sz w:val="21"/>
                <w:szCs w:val="21"/>
                <w:u w:val="none"/>
                <w:lang w:val="en-US" w:eastAsia="zh-CN"/>
              </w:rPr>
              <w:t>28</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6D919D">
            <w:pPr>
              <w:keepNext w:val="0"/>
              <w:keepLines w:val="0"/>
              <w:widowControl/>
              <w:suppressLineNumbers w:val="0"/>
              <w:jc w:val="left"/>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kern w:val="0"/>
                <w:sz w:val="21"/>
                <w:szCs w:val="21"/>
                <w:u w:val="none"/>
                <w:lang w:val="en-US" w:eastAsia="zh-CN" w:bidi="ar"/>
              </w:rPr>
              <w:t>操作台</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404515">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1.机架全钢，布置机柜（高度13U），具有合理的走线槽、全尺寸键盘抽屉；</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2.面板：材质为防滑、耐磨防火板，边沿前鸭嘴、后圆角式样；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3.尺寸：</w:t>
            </w:r>
            <w:r>
              <w:rPr>
                <w:rFonts w:hint="eastAsia" w:ascii="宋体" w:hAnsi="宋体" w:cs="宋体"/>
                <w:b w:val="0"/>
                <w:bCs w:val="0"/>
                <w:sz w:val="21"/>
                <w:szCs w:val="21"/>
                <w:lang w:val="en-US" w:eastAsia="zh-CN"/>
              </w:rPr>
              <w:t>不低于</w:t>
            </w:r>
            <w:r>
              <w:rPr>
                <w:rFonts w:hint="eastAsia" w:ascii="宋体" w:hAnsi="宋体" w:eastAsia="宋体" w:cs="宋体"/>
                <w:b w:val="0"/>
                <w:bCs w:val="0"/>
                <w:sz w:val="21"/>
                <w:szCs w:val="21"/>
                <w:lang w:val="en-US" w:eastAsia="zh-CN"/>
              </w:rPr>
              <w:t xml:space="preserve">1800mm*750mm*800mm；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4.为方便设备检修维护，底部带4个耐磨轮子；</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5.根据用户现场需求可以进行适当的变更。</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66C083">
            <w:pPr>
              <w:widowControl w:val="0"/>
              <w:jc w:val="left"/>
              <w:rPr>
                <w:rFonts w:hint="eastAsia" w:ascii="宋体" w:hAnsi="宋体" w:eastAsia="宋体" w:cs="宋体"/>
                <w:i w:val="0"/>
                <w:iCs w:val="0"/>
                <w:color w:val="FF0000"/>
                <w:sz w:val="21"/>
                <w:szCs w:val="21"/>
                <w:u w:val="none"/>
              </w:rPr>
            </w:pPr>
          </w:p>
        </w:tc>
      </w:tr>
      <w:tr w14:paraId="7A94C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A66AC9">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2、智能教学与辅助系统</w:t>
            </w:r>
          </w:p>
        </w:tc>
      </w:tr>
      <w:tr w14:paraId="0172D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D2788A">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304A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shd w:val="clear"/>
                <w:lang w:val="en-US" w:eastAsia="zh-CN" w:bidi="ar"/>
              </w:rPr>
              <w:t>课堂智能反馈系统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C3886">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highlight w:val="none"/>
                <w:lang w:val="en-US" w:eastAsia="zh-CN"/>
              </w:rPr>
              <w:t>1.△系统支持对教室环境的3D还原重建，形成桌椅、讲台、一体机的真实环境建模，采集到的师生互动行为自动对应到具体课桌位置；支持≥5种视角转换，正前方、左前方、右前方、左后方、右后方。</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 xml:space="preserve">2.△在3D课堂孪生界面中，通过课桌的颜色深浅表示学生参与互动的活跃程度，基于学生上台次数、举手次数、问答次数计算学生活跃程度，颜色越深则代表越活跃。 </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3.在3D课堂孪生界面中，支持点击课堂活跃热力图中的学生头像，查看该学生的师生互动视频片段，统计该学生在本节课的上台互动、举手次数、问答次数。</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4.△在3D课堂孪生界面中，支持在地面上显示教师的巡堂轨迹，颜色越深代表停留时间越长。</w:t>
            </w:r>
            <w:r>
              <w:rPr>
                <w:rFonts w:hint="eastAsia" w:ascii="宋体" w:hAnsi="宋体" w:eastAsia="宋体" w:cs="宋体"/>
                <w:b w:val="0"/>
                <w:bCs w:val="0"/>
                <w:sz w:val="21"/>
                <w:szCs w:val="21"/>
                <w:highlight w:val="none"/>
                <w:lang w:val="en-US" w:eastAsia="zh-CN"/>
              </w:rPr>
              <w:br w:type="textWrapping"/>
            </w:r>
            <w:r>
              <w:rPr>
                <w:rFonts w:hint="eastAsia" w:ascii="宋体" w:hAnsi="宋体" w:eastAsia="宋体" w:cs="宋体"/>
                <w:b w:val="0"/>
                <w:bCs w:val="0"/>
                <w:sz w:val="21"/>
                <w:szCs w:val="21"/>
                <w:highlight w:val="none"/>
                <w:lang w:val="en-US" w:eastAsia="zh-CN"/>
              </w:rPr>
              <w:t>5.系统根据教学内容自动生成师生问答、课堂互动、新课标落实三个维度</w:t>
            </w:r>
            <w:r>
              <w:rPr>
                <w:rFonts w:hint="eastAsia" w:ascii="宋体" w:hAnsi="宋体" w:eastAsia="宋体" w:cs="宋体"/>
                <w:b w:val="0"/>
                <w:bCs w:val="0"/>
                <w:sz w:val="21"/>
                <w:szCs w:val="21"/>
                <w:lang w:val="en-US" w:eastAsia="zh-CN"/>
              </w:rPr>
              <w:t>的课堂反馈建议，可查看全部提问、符合知识性目标的提问、不合适的提问、提问优化建议、课堂互动建议、基于新课标的亮点和改进建议。</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6.系统支持统计课程时长、课堂中教师讲授时长、教师讲授字数、教师授课平均语速。</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7.系统自动统计教师授课、师生互动、小组讨论、课堂练习的时间分布情况，支持图形可视化展示不同课堂行为的整体时间占比。</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8.系统自动统计教师授课、师生互动、小组讨论、课堂练习的时间分布情况，支持按照时序图样式展示，展示不同课堂行为发生的顺序、时长。</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9.系统将课堂中老师和学生的声音转写为文字，按照前后文逻辑关系自动切割为不同的片段；片段支持展开查看详细文字，支持跳转到文字段落对应的视频片段。</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10.系统支持对语音转写中的师生问答进行自动识别，将提问内容自动高亮显示，支持将识别出的问答实录一键导出为云文档。</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A3982C">
            <w:pPr>
              <w:widowControl w:val="0"/>
              <w:jc w:val="left"/>
              <w:rPr>
                <w:rFonts w:hint="eastAsia" w:ascii="宋体" w:hAnsi="宋体" w:eastAsia="宋体" w:cs="宋体"/>
                <w:i w:val="0"/>
                <w:iCs w:val="0"/>
                <w:color w:val="000000"/>
                <w:sz w:val="21"/>
                <w:szCs w:val="21"/>
                <w:u w:val="none"/>
              </w:rPr>
            </w:pPr>
          </w:p>
        </w:tc>
      </w:tr>
      <w:tr w14:paraId="415882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3EFAB8">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3016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智能抠像系统</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D947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highlight w:val="none"/>
                <w:lang w:val="en-US" w:eastAsia="zh-CN"/>
              </w:rPr>
              <w:t xml:space="preserve"> △支</w:t>
            </w:r>
            <w:r>
              <w:rPr>
                <w:rFonts w:hint="eastAsia" w:ascii="宋体" w:hAnsi="宋体" w:eastAsia="宋体" w:cs="宋体"/>
                <w:b w:val="0"/>
                <w:bCs w:val="0"/>
                <w:sz w:val="21"/>
                <w:szCs w:val="21"/>
                <w:lang w:val="en-US" w:eastAsia="zh-CN"/>
              </w:rPr>
              <w:t>持任选两路通道作为前景和背景，实现对前景画面的实时抠像并叠加到背景画面，叠加后的画面通过合成通道输出并可实时预览。</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2.支持≥2种抠像背景颜色，可自由切换。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3.支持通过嵌入式录播主机实现独立抠像，通过主机自带屏幕调节抠像参数。</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4.支持通过嵌入式录播主机一键进入智能抠像模式，交互式智能平板可开启绿幕，无需通过录播主机环出虚拟幕布，即可实现交互式智能平板蒙绿，不影响交互式智能平板所有正常触控操作。</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5.支持通过嵌入式录播主机自带屏幕或翻页笔切换人像显示或隐藏。</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6.支持通过嵌入式录播主机自带屏幕调整切换效果，可选淡入淡出和无特效。</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7.支持通过嵌入式录播主机自带屏幕调节抠像强度。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8.支持通过嵌入式录播主机自带屏幕控制抠像边缘羽化功能，使抠像边缘平滑、无毛刺。</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9.支持设置抠像预置位，开启抠像功能时自动调用。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10.支持通过嵌入式录播主机的HDMI、UVC输出抠像后的合成画面，可以将抠像处理后的画面实时推流直播。</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11.支持抠像拍摄和实景拍摄同步进行，并可实时进行虚拟场景画面和实景拍摄画面的切换录制。</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E76197">
            <w:pPr>
              <w:widowControl w:val="0"/>
              <w:jc w:val="left"/>
              <w:rPr>
                <w:rFonts w:hint="eastAsia" w:ascii="宋体" w:hAnsi="宋体" w:eastAsia="宋体" w:cs="宋体"/>
                <w:i w:val="0"/>
                <w:iCs w:val="0"/>
                <w:color w:val="000000"/>
                <w:sz w:val="21"/>
                <w:szCs w:val="21"/>
                <w:u w:val="none"/>
              </w:rPr>
            </w:pPr>
          </w:p>
        </w:tc>
      </w:tr>
      <w:tr w14:paraId="034B1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0E53DB">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2AC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实体绿幕（含翻页笔）</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0F4CC">
            <w:pPr>
              <w:widowControl/>
              <w:numPr>
                <w:ilvl w:val="0"/>
                <w:numId w:val="0"/>
              </w:numPr>
              <w:jc w:val="left"/>
              <w:rPr>
                <w:rFonts w:hint="default" w:ascii="Times New Roman" w:hAnsi="Times New Roman" w:cs="Times New Roman"/>
                <w:szCs w:val="20"/>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材质：牛津布</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2.尺寸：宽度≥2.5米，高度≥2.5米</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3.外壳材质：铝合金，长度≤235cm</w:t>
            </w:r>
          </w:p>
          <w:p w14:paraId="30F0CB8D">
            <w:pPr>
              <w:widowControl/>
              <w:numPr>
                <w:ilvl w:val="0"/>
                <w:numId w:val="0"/>
              </w:numPr>
              <w:jc w:val="left"/>
              <w:rPr>
                <w:rFonts w:hint="default" w:ascii="Times New Roman" w:hAnsi="Times New Roman" w:cs="Times New Roman"/>
                <w:szCs w:val="20"/>
                <w:lang w:val="en-US" w:eastAsia="zh-CN"/>
              </w:rPr>
            </w:pPr>
            <w:r>
              <w:rPr>
                <w:rFonts w:hint="eastAsia" w:ascii="宋体" w:hAnsi="宋体" w:eastAsia="宋体" w:cs="宋体"/>
                <w:b w:val="0"/>
                <w:bCs w:val="0"/>
                <w:sz w:val="21"/>
                <w:szCs w:val="21"/>
                <w:lang w:val="en-US" w:eastAsia="zh-CN"/>
              </w:rPr>
              <w:t>4.</w:t>
            </w:r>
            <w:r>
              <w:rPr>
                <w:rFonts w:hint="eastAsia" w:ascii="宋体" w:hAnsi="宋体" w:cs="宋体"/>
                <w:b w:val="0"/>
                <w:bCs w:val="0"/>
                <w:sz w:val="21"/>
                <w:szCs w:val="21"/>
                <w:lang w:val="en-US" w:eastAsia="zh-CN"/>
              </w:rPr>
              <w:t>配备翻页笔</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C1FA95">
            <w:pPr>
              <w:widowControl w:val="0"/>
              <w:jc w:val="left"/>
              <w:rPr>
                <w:rFonts w:hint="eastAsia" w:ascii="宋体" w:hAnsi="宋体" w:eastAsia="宋体" w:cs="宋体"/>
                <w:i w:val="0"/>
                <w:iCs w:val="0"/>
                <w:color w:val="FF0000"/>
                <w:sz w:val="21"/>
                <w:szCs w:val="21"/>
                <w:u w:val="none"/>
              </w:rPr>
            </w:pPr>
          </w:p>
        </w:tc>
      </w:tr>
      <w:tr w14:paraId="37F01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779" w:type="dxa"/>
            <w:gridSpan w:val="4"/>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4E4B7">
            <w:pPr>
              <w:widowControl/>
              <w:jc w:val="left"/>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3、多媒体系统</w:t>
            </w:r>
          </w:p>
        </w:tc>
      </w:tr>
      <w:tr w14:paraId="2D6A5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BB9B72">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F0085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讲台</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627345">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1、钢木多媒体讲台，选用1.0mm优质冷轧钢板，分体式设计；</w:t>
            </w:r>
          </w:p>
          <w:p w14:paraId="166AC32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2、讲台尺寸：1150x700x950mm；</w:t>
            </w:r>
          </w:p>
          <w:p w14:paraId="005F7E5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3、表面采用整体酸洗磷化及防静电喷塑处理，讲台桌边、桌角采用平滑圆弧、去毛刺；</w:t>
            </w:r>
          </w:p>
          <w:p w14:paraId="2AF6FE5D">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4、桌面为耐刮木饰面板，两侧木饰扶手。</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8EC86B">
            <w:pPr>
              <w:widowControl w:val="0"/>
              <w:jc w:val="left"/>
              <w:rPr>
                <w:rFonts w:hint="eastAsia" w:ascii="宋体" w:hAnsi="宋体" w:eastAsia="宋体" w:cs="宋体"/>
                <w:i w:val="0"/>
                <w:iCs w:val="0"/>
                <w:color w:val="FF0000"/>
                <w:sz w:val="21"/>
                <w:szCs w:val="21"/>
                <w:u w:val="none"/>
              </w:rPr>
            </w:pPr>
          </w:p>
        </w:tc>
      </w:tr>
      <w:tr w14:paraId="1524D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24DB52">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rPr>
            </w:pPr>
            <w:r>
              <w:rPr>
                <w:rFonts w:hint="eastAsia" w:ascii="宋体" w:hAnsi="宋体" w:eastAsia="宋体" w:cs="宋体"/>
                <w:i w:val="0"/>
                <w:iCs w:val="0"/>
                <w:color w:val="000000"/>
                <w:kern w:val="0"/>
                <w:sz w:val="21"/>
                <w:szCs w:val="21"/>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BA3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1.2米机柜</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66B6B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参数同：（三、大会议室1、广播系统：1.2米机柜）</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09AADB">
            <w:pPr>
              <w:widowControl w:val="0"/>
              <w:jc w:val="left"/>
              <w:rPr>
                <w:rFonts w:hint="eastAsia" w:ascii="宋体" w:hAnsi="宋体" w:eastAsia="宋体" w:cs="宋体"/>
                <w:i w:val="0"/>
                <w:iCs w:val="0"/>
                <w:color w:val="FF0000"/>
                <w:sz w:val="21"/>
                <w:szCs w:val="21"/>
                <w:u w:val="none"/>
              </w:rPr>
            </w:pPr>
          </w:p>
        </w:tc>
      </w:tr>
      <w:tr w14:paraId="4F07E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2" w:hRule="atLeast"/>
        </w:trPr>
        <w:tc>
          <w:tcPr>
            <w:tcW w:w="51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73CD4A">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BB870A">
            <w:pPr>
              <w:keepNext w:val="0"/>
              <w:keepLines w:val="0"/>
              <w:widowControl/>
              <w:suppressLineNumbers w:val="0"/>
              <w:jc w:val="left"/>
              <w:textAlignment w:val="center"/>
              <w:rPr>
                <w:rFonts w:hint="default" w:ascii="宋体" w:hAnsi="宋体" w:eastAsia="宋体" w:cs="宋体"/>
                <w:i w:val="0"/>
                <w:iCs w:val="0"/>
                <w:color w:val="000000"/>
                <w:sz w:val="21"/>
                <w:szCs w:val="21"/>
                <w:highlight w:val="none"/>
                <w:u w:val="none"/>
                <w:lang w:val="en-US"/>
              </w:rPr>
            </w:pPr>
            <w:r>
              <w:rPr>
                <w:rFonts w:hint="eastAsia" w:ascii="宋体" w:hAnsi="宋体" w:eastAsia="宋体" w:cs="宋体"/>
                <w:i w:val="0"/>
                <w:iCs w:val="0"/>
                <w:color w:val="000000"/>
                <w:kern w:val="0"/>
                <w:sz w:val="21"/>
                <w:szCs w:val="21"/>
                <w:highlight w:val="none"/>
                <w:u w:val="none"/>
                <w:lang w:val="en-US" w:eastAsia="zh-CN" w:bidi="ar"/>
              </w:rPr>
              <w:t>智慧黑板</w:t>
            </w:r>
            <w:r>
              <w:rPr>
                <w:rFonts w:hint="eastAsia" w:ascii="宋体" w:hAnsi="宋体" w:cs="宋体"/>
                <w:i w:val="0"/>
                <w:iCs w:val="0"/>
                <w:color w:val="000000"/>
                <w:kern w:val="0"/>
                <w:sz w:val="21"/>
                <w:szCs w:val="21"/>
                <w:highlight w:val="none"/>
                <w:u w:val="none"/>
                <w:lang w:val="en-US" w:eastAsia="zh-CN" w:bidi="ar"/>
              </w:rPr>
              <w:t>（智慧屏+光能黑板）</w:t>
            </w:r>
          </w:p>
        </w:tc>
        <w:tc>
          <w:tcPr>
            <w:tcW w:w="5436"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9EDA54">
            <w:pPr>
              <w:widowControl w:val="0"/>
              <w:jc w:val="both"/>
              <w:rPr>
                <w:rFonts w:hint="default"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（一）智慧屏：</w:t>
            </w:r>
          </w:p>
          <w:p w14:paraId="69B6110A">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一、系统集成与运行环境</w:t>
            </w:r>
          </w:p>
          <w:p w14:paraId="1A03146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1、系统内嵌安卓平台，版本不低于Android 14，具备≥2GB运行内存和≥8GB存储容量，可在无PC模块状态下独立运行白板书写、WPS、网页浏览等教学应用。</w:t>
            </w:r>
          </w:p>
          <w:p w14:paraId="4C5751E7">
            <w:pPr>
              <w:widowControl w:val="0"/>
              <w:jc w:val="both"/>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2、整机支持双系统协同运行，Windows通道具备文件互传能力，可支持多人同时将移动端文件投送至设备端展示。</w:t>
            </w:r>
          </w:p>
          <w:p w14:paraId="37E63BAD">
            <w:pPr>
              <w:widowControl w:val="0"/>
              <w:jc w:val="both"/>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二、音视频能力</w:t>
            </w:r>
          </w:p>
          <w:p w14:paraId="6227968F">
            <w:pPr>
              <w:widowControl w:val="0"/>
              <w:jc w:val="both"/>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1、</w:t>
            </w:r>
            <w:r>
              <w:rPr>
                <w:rFonts w:hint="eastAsia" w:ascii="宋体" w:hAnsi="宋体" w:eastAsia="宋体" w:cs="宋体"/>
                <w:b w:val="0"/>
                <w:bCs w:val="0"/>
                <w:sz w:val="21"/>
                <w:szCs w:val="21"/>
                <w:highlight w:val="none"/>
                <w:lang w:val="en-US" w:eastAsia="zh-CN"/>
              </w:rPr>
              <w:t>△</w:t>
            </w:r>
            <w:r>
              <w:rPr>
                <w:rFonts w:hint="eastAsia" w:ascii="Times New Roman" w:hAnsi="Times New Roman" w:eastAsia="宋体" w:cs="Times New Roman"/>
                <w:szCs w:val="20"/>
                <w:highlight w:val="none"/>
                <w:lang w:val="en-US" w:eastAsia="zh-CN"/>
              </w:rPr>
              <w:t>设备顶部集成式布置≥4个非独立摄像头模组，其中≥3个为智能拼接摄像头，支持最高8192×2048分辨率图像输出与画面畸变矫正，单张图像拍摄像素不低于1600万像素。</w:t>
            </w:r>
          </w:p>
          <w:p w14:paraId="5360A878">
            <w:pPr>
              <w:widowControl w:val="0"/>
              <w:jc w:val="both"/>
              <w:rPr>
                <w:rFonts w:hint="eastAsia" w:ascii="Times New Roman" w:hAnsi="Times New Roman" w:eastAsia="宋体" w:cs="Times New Roman"/>
                <w:szCs w:val="20"/>
                <w:highlight w:val="none"/>
                <w:lang w:val="en-US" w:eastAsia="zh-CN"/>
              </w:rPr>
            </w:pPr>
            <w:r>
              <w:rPr>
                <w:rFonts w:hint="eastAsia" w:ascii="Times New Roman" w:hAnsi="Times New Roman" w:eastAsia="宋体" w:cs="Times New Roman"/>
                <w:szCs w:val="20"/>
                <w:highlight w:val="none"/>
                <w:lang w:val="en-US" w:eastAsia="zh-CN"/>
              </w:rPr>
              <w:t>2、内置广角高清摄像头模块，满足教室全景拍摄需要，支持多路视频流并发输出，支持课堂远程巡课、教学数据采集和本地录制。</w:t>
            </w:r>
          </w:p>
          <w:p w14:paraId="1BC7352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highlight w:val="none"/>
                <w:lang w:val="en-US" w:eastAsia="zh-CN"/>
              </w:rPr>
              <w:t>3、</w:t>
            </w:r>
            <w:r>
              <w:rPr>
                <w:rFonts w:hint="eastAsia" w:ascii="宋体" w:hAnsi="宋体" w:eastAsia="宋体" w:cs="宋体"/>
                <w:b w:val="0"/>
                <w:bCs w:val="0"/>
                <w:sz w:val="21"/>
                <w:szCs w:val="21"/>
                <w:highlight w:val="none"/>
                <w:lang w:val="en-US" w:eastAsia="zh-CN"/>
              </w:rPr>
              <w:t>△</w:t>
            </w:r>
            <w:r>
              <w:rPr>
                <w:rFonts w:hint="eastAsia" w:ascii="Times New Roman" w:hAnsi="Times New Roman" w:eastAsia="宋体" w:cs="Times New Roman"/>
                <w:szCs w:val="20"/>
                <w:highlight w:val="none"/>
                <w:lang w:val="en-US" w:eastAsia="zh-CN"/>
              </w:rPr>
              <w:t>整机内置自习工具，通过整机麦克风监测教室中学生音量大小</w:t>
            </w:r>
            <w:r>
              <w:rPr>
                <w:rFonts w:hint="eastAsia" w:ascii="Times New Roman" w:hAnsi="Times New Roman" w:eastAsia="宋体" w:cs="Times New Roman"/>
                <w:szCs w:val="20"/>
                <w:lang w:val="en-US" w:eastAsia="zh-CN"/>
              </w:rPr>
              <w:t>，当学生音量大于阈值时，屏幕自动弹窗提醒进行自习纪律干预。</w:t>
            </w:r>
          </w:p>
          <w:p w14:paraId="1635436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4、音频系统采用2.2声道扬声器布置，顶部前向高音扬声器2个（功率10W），上向中低音扬声器2个（功率20W），总输出功率不低于60W。</w:t>
            </w:r>
          </w:p>
          <w:p w14:paraId="09EF57AB">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5、内置8阵列拾音麦克风，采集角度≥180°，有效拾音距离≥12米，支持空间音效采集与动态均衡调节、AI混响控制及噪音抑制优化。</w:t>
            </w:r>
          </w:p>
          <w:p w14:paraId="78D695BD">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6、支持人工智能画质调节模式，启用后当屏幕出现人物、建筑、夜景等元素时，自动调整画质参数；支持人工智能空间感知音效模式，通过内置麦克风采集环境声音自动生成符合当前环境的音量、音效。</w:t>
            </w:r>
          </w:p>
          <w:p w14:paraId="1CD8BDA2">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三、屏幕显示与护眼性能</w:t>
            </w:r>
          </w:p>
          <w:p w14:paraId="1BCD2B8B">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1、屏幕显示不小于86寸，显示面板为UHD超高清液晶屏，显示比例为16:9，物理分辨率为3840×2160。</w:t>
            </w:r>
          </w:p>
          <w:p w14:paraId="25FFDE7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2、背光模组采用DC调光方式，支持亮度多级可调，在白色背景下最低亮度≤100nit，有效提升对比度及暗态舒适性。</w:t>
            </w:r>
          </w:p>
          <w:p w14:paraId="5BB3CCE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3、屏幕采用硬件级低蓝光技术，减少有害蓝光波段能量输出，提升护眼效果。</w:t>
            </w:r>
          </w:p>
          <w:p w14:paraId="321224D6">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4、设备具备全通道“纸感护眼”模式，可根据显示画面实时进行纹理优化；同时支持环境亮度感应并自动调节显示亮度，用户可自主开启/关闭该功能。</w:t>
            </w:r>
          </w:p>
          <w:p w14:paraId="50B516A5">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四、无线连接与互动功能</w:t>
            </w:r>
          </w:p>
          <w:p w14:paraId="3ED216A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1、整机集成双频WiFi 6无线网络模组（Android与Windows系统下均可使用），不接受外置接入方式，具备AP热点功能。</w:t>
            </w:r>
          </w:p>
          <w:p w14:paraId="6D3157FD">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2、支持蓝牙Bluetooth 标准协议，PC端可主动发现并连接蓝牙外设（无需整机进入发现模式），支持与外部蓝牙音响等设备配对。</w:t>
            </w:r>
          </w:p>
          <w:p w14:paraId="6167F375">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五、人机交互与输入输出</w:t>
            </w:r>
          </w:p>
          <w:p w14:paraId="66025BF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1、整体触控系统采用红外触控方案，触控分辨率不低于32768×32768，响应时间≤4ms，识别高度≤1.5mm。</w:t>
            </w:r>
          </w:p>
          <w:p w14:paraId="26B249F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2、整机接口配置如下：</w:t>
            </w:r>
          </w:p>
          <w:p w14:paraId="4A5738A9">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侧置输入端口：≥2路HDMI、≥1路RS232、≥1路USB接口；</w:t>
            </w:r>
          </w:p>
          <w:p w14:paraId="05DC6E5F">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侧置输出端口：≥1路音频输出、≥1路触控USB输出；</w:t>
            </w:r>
          </w:p>
          <w:p w14:paraId="3C794EB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前置输入端口：≥3路USB（含1路Type-C接口）。</w:t>
            </w:r>
          </w:p>
          <w:p w14:paraId="41CE53C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3、整机两侧副屏支持板书或互动展示，可通过多种媒介进行书写，满足课堂完整内容展示需求。</w:t>
            </w:r>
          </w:p>
          <w:p w14:paraId="28DF9E2D">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六、结构设计与制造工艺</w:t>
            </w:r>
          </w:p>
          <w:p w14:paraId="0FA6063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1、整机采用一体化设计，外部无任何可见内部功能模块连接线。整机采用全金属外壳设计，边角采用弧形设计，表面无尖锐边缘或凸起。</w:t>
            </w:r>
          </w:p>
          <w:p w14:paraId="5CA9C936">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2、整机外壳边缘采用金属圆角包边结构，背板整体为金属材质设计，具备良好的电磁屏蔽能力。</w:t>
            </w:r>
          </w:p>
          <w:p w14:paraId="348D278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3、整机嵌入式芯片内置2TOPS AI算力，可用于AI图像、音频处理。</w:t>
            </w:r>
          </w:p>
          <w:p w14:paraId="41CF62B2">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七、计算模块与性能配置</w:t>
            </w:r>
          </w:p>
          <w:p w14:paraId="66E813DF">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1、PC部分采用模块化嵌入设计，具备防尘结构，可抽拉安装且无需工具拆卸（按压式卡扣设计）。</w:t>
            </w:r>
          </w:p>
          <w:p w14:paraId="5030D578">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2、与整机的连接采用万兆传输通道，数据传输速率≥10Gbps，确保高效交互。</w:t>
            </w:r>
          </w:p>
          <w:p w14:paraId="62A8688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3、PC模块核心配置如下：</w:t>
            </w:r>
          </w:p>
          <w:p w14:paraId="38C939F5">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处理器：性能不低于四核八线或以上，主频2.0或以上，或同等或更高性能的其他处理器。</w:t>
            </w:r>
          </w:p>
          <w:p w14:paraId="6FCF52D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内存：≥8GB DDR4；</w:t>
            </w:r>
          </w:p>
          <w:p w14:paraId="7197D5F8">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硬盘：≥256GB SSD；</w:t>
            </w:r>
          </w:p>
          <w:p w14:paraId="017F1712">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4、主板支持集成计算、音频及扩展模块，并可通过处理器或交换电路进行拓扑互联。</w:t>
            </w:r>
          </w:p>
          <w:p w14:paraId="0A2BB73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5、在配置管理平台使用终端设备时，支持统一互通的用户身份认证服务，账号登录进入云桌面镜像后，打开教学白板软件、学生行为评价软件的教学应用工具时无需再次输入账号密码重复登录</w:t>
            </w:r>
          </w:p>
          <w:p w14:paraId="3747EE9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为了方便维护，支持当使用桌面镜像功能时发生系统无法启动、系统异常等情况，可通过手势在屏幕上调取触摸中控菜单，进行系统恢复至出厂默认状态，无需连接网络、无需连接管理平台、无需额外工具辅助</w:t>
            </w:r>
          </w:p>
          <w:p w14:paraId="4D91507F">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7、支持交互大屏在系统恢复后，公共数据分区（如D盘等非系统分区）的数据能够得到保留，不受还原影响，从而不影响教学使用</w:t>
            </w:r>
          </w:p>
          <w:p w14:paraId="1E14F41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8、简化运维管理与网络规划复杂度，支持终端设备运行时无需运行独立的虚拟化系统，终端设备配置的IP与进入云桌面镜像后的IP能够保持一致，同一个终端无需使用多个IP。</w:t>
            </w:r>
          </w:p>
          <w:p w14:paraId="47E762CE">
            <w:pPr>
              <w:widowControl w:val="0"/>
              <w:jc w:val="both"/>
              <w:rPr>
                <w:rFonts w:hint="default" w:ascii="Times New Roman" w:hAnsi="Times New Roman" w:cs="Times New Roman"/>
                <w:b/>
                <w:bCs/>
                <w:szCs w:val="20"/>
                <w:lang w:val="en-US" w:eastAsia="zh-CN"/>
              </w:rPr>
            </w:pPr>
            <w:r>
              <w:rPr>
                <w:rFonts w:hint="eastAsia" w:ascii="Times New Roman" w:hAnsi="Times New Roman" w:cs="Times New Roman"/>
                <w:b/>
                <w:bCs/>
                <w:szCs w:val="20"/>
                <w:lang w:val="en-US" w:eastAsia="zh-CN"/>
              </w:rPr>
              <w:t>系统功能：</w:t>
            </w:r>
          </w:p>
          <w:p w14:paraId="37AB8E5A">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b/>
                <w:bCs/>
                <w:szCs w:val="20"/>
                <w:lang w:val="en-US" w:eastAsia="zh-CN"/>
              </w:rPr>
              <w:t>智能书写与交互工具：</w:t>
            </w:r>
          </w:p>
          <w:p w14:paraId="670419B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1、多样化笔触支持：提供硬笔、毛笔、荧光笔、智能笔、激光笔、竹笔、对象笔、纹理笔，支持压感识别和侧锋/倾斜书写。</w:t>
            </w:r>
          </w:p>
          <w:p w14:paraId="1F8F1841">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2、智能擦除机制：支持点擦除、区域擦除及全部擦除（清页操作）,并可支持在选择笔工具状态下直接通过手势识别动作实现擦除。</w:t>
            </w:r>
          </w:p>
          <w:p w14:paraId="1E4AC3F9">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3、多点操作能力：支持同时对两个或以上的图片、音视频、图形对象进行多点缩放与旋转功能，支持三点以上同时书写操作。</w:t>
            </w:r>
          </w:p>
          <w:p w14:paraId="39C583F8">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4、多点操作能力：支持两到三个人在选择书写工具的状态下同时书写和擦除，互不影响，方便不同学生在屏幕上同时书写。</w:t>
            </w:r>
          </w:p>
          <w:p w14:paraId="2BA71C1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5、多模式文本录入：提供键盘输入文本，并可对文本内容统一编辑与排版。</w:t>
            </w:r>
          </w:p>
          <w:p w14:paraId="7DE6755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6、手写文字识别：支持手写中文与英文自动识别。</w:t>
            </w:r>
          </w:p>
          <w:p w14:paraId="60AA6139">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7、多手势交互支持：在书写状态下，支持多种手势的快捷操作，如选择对象、漫游、擦除等。</w:t>
            </w:r>
          </w:p>
          <w:p w14:paraId="42347FD1">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8、学科化教学场景模式：提供语文、数学、英语、物理、化学教学场景，在各学科教学场景中提供相应的教学工具。</w:t>
            </w:r>
          </w:p>
          <w:p w14:paraId="0878996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9、教学辅助工具集成：提供遮幕、日历、时钟、聚光灯、屏幕截图、放大镜、计算器、屏幕录制、板中板、实物展台等教学展示的辅助功能；屏幕截图提供全屏截图、矩形截图、任意区域截图。</w:t>
            </w:r>
          </w:p>
          <w:p w14:paraId="55C81BF3">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10、Office文档嵌入与批注：提供PPT、Word、Excel文档的嵌入打开，演示、批注，及批注保存功能。</w:t>
            </w:r>
          </w:p>
          <w:p w14:paraId="77042C0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11、教学资源标准化：资源必须符合新课程标准，涵盖新课标多种教材版本，根据学科知识点教学要求，规范分类各教学资源素材。</w:t>
            </w:r>
          </w:p>
          <w:p w14:paraId="59B4EF8F">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12、教学数据留痕与导出：支持书写轨迹保存导出、教案自动归档。</w:t>
            </w:r>
          </w:p>
          <w:p w14:paraId="78B05531">
            <w:pPr>
              <w:widowControl w:val="0"/>
              <w:jc w:val="both"/>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远程互动教学支持：</w:t>
            </w:r>
          </w:p>
          <w:p w14:paraId="51D0894A">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1、软件支持微信扫码登录，无需输入帐号密码即可实现登录互动课堂。</w:t>
            </w:r>
          </w:p>
          <w:p w14:paraId="7199247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2、支持按键拨号形式，直接拨号呼叫连接动课堂连，实现远程教学。</w:t>
            </w:r>
          </w:p>
          <w:p w14:paraId="38C15452">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3、互动课堂视频界面支持至少两种画面设置，适应不同场景画面布局需求。</w:t>
            </w:r>
          </w:p>
          <w:p w14:paraId="22EEA19A">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4、线上教学应用提供不少于9个学科工具，支持语文、数学、英语等。</w:t>
            </w:r>
          </w:p>
          <w:p w14:paraId="3DC56421">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5、支持用户在线打开云课件，无需下载，即可在线打开并展示课件及讲授。</w:t>
            </w:r>
          </w:p>
          <w:p w14:paraId="4B43BAF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6、班级竞赛：支持互动课堂中可对本地班级、听课班级中表现好的班级发送点评奖励，每堂课可统计各班点评总分，并在课上一键展示最高得分的班级进行表扬。</w:t>
            </w:r>
          </w:p>
          <w:p w14:paraId="2B5834FB">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7、支持用户无需通过平台，直接创建网络教研，即时生成教研二维码，扫码可进行查看教研简介、发送点评等。</w:t>
            </w:r>
          </w:p>
          <w:p w14:paraId="1EDACA6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 xml:space="preserve">8、具有多系统兼容性。除适配Windows操作系统外，至少能与主流国产操作系统（鸿蒙、UOS、麒麟、深度）其中一个适配并正常安装运行。 </w:t>
            </w:r>
          </w:p>
          <w:p w14:paraId="4C2768A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9、具有互动式教学课件资源，包含学科教育各学段教材版本全部教学章节、专题教育多个主题教育、特殊教育3大分类。</w:t>
            </w:r>
          </w:p>
          <w:p w14:paraId="755B1611">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10、课件定向分享：互动教学课件支持定向分享，分享者可将互动课件、课件组推送至指定接收方账号云空间，接收方可在云空间接收并打开分享课件。</w:t>
            </w:r>
          </w:p>
          <w:p w14:paraId="2D92614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11、支持电子化听评课，支持在授课模式中发起授课评价，根据课程和评课表生成二维码，可选择是否分享课件，若选择分享课件，评课人通过扫码即可参与评课并获取课件。</w:t>
            </w:r>
          </w:p>
          <w:p w14:paraId="5FA5115B">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13、为节约用电，具备自动待机功能，在无操作或无信号输入时，自动进入待机节能状态，时间间隔可自定义。</w:t>
            </w:r>
          </w:p>
          <w:p w14:paraId="113DF836">
            <w:pPr>
              <w:widowControl w:val="0"/>
              <w:jc w:val="both"/>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终端集中管控：</w:t>
            </w:r>
          </w:p>
          <w:p w14:paraId="36CA8268">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1、后台控制端采用B/S架构设计，可在Windows、Linux、Android、IOS等多种不同的操作系统上通过网页浏览器登陆进行操作，可控制在局域网或互联网内的一体机终端设备。</w:t>
            </w:r>
          </w:p>
          <w:p w14:paraId="170A8E16">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2、教室受控端：使用校园集控系统的每个学校/区域拥有专属代码，该学校/区域的一体机设备只需接入互联网，并在受控端输入该代码进行连接，管理员即可在后台对设备进行远程管理。</w:t>
            </w:r>
          </w:p>
          <w:p w14:paraId="701A2319">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3、支持按照一体机安装的年级、班级，设置教室受控端的名称，方便管理员对应管理。</w:t>
            </w:r>
          </w:p>
          <w:p w14:paraId="70AAA40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4、支持远程升级，及时给用户推送新版应用。</w:t>
            </w:r>
          </w:p>
          <w:p w14:paraId="604B0FC1">
            <w:pPr>
              <w:widowControl w:val="0"/>
              <w:jc w:val="both"/>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校园数字化设备管理：</w:t>
            </w:r>
          </w:p>
          <w:p w14:paraId="1D931909">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1、远程监控：在控制端网页可实时监控已连接的一体机，可远程查看开关机状态、使用状态评估、整机温度、以及系统内存、硬盘空间等设备信息。</w:t>
            </w:r>
          </w:p>
          <w:p w14:paraId="4FD3F2E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2、远程设备控制：在控制端网页可对已连接的一体机进行实时控制，包括开关机、切换通道、更改图像及声音模式。</w:t>
            </w:r>
          </w:p>
          <w:p w14:paraId="2C68C638">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3.为方便管理，智能交互黑板具备锁屏功能，支持不少于密码锁屏、二维码锁屏2种及以上方式。</w:t>
            </w:r>
          </w:p>
          <w:p w14:paraId="75D75A11">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4、弹窗AI拦截：支持一键开启全校班班通设备的不良弹窗AI拦截过滤能力，设备辅助管理软件实时监测弹出窗口。</w:t>
            </w:r>
          </w:p>
          <w:p w14:paraId="13B45736">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5、领导视窗：支持同时查看8个教室的实时摄像头画面、设备屏幕画面；并支持在一个显示界面同时查看单个教室内所有屏幕、所有摄像头的实时画面，以及所有麦克风的声音，完整还原课堂全貌。</w:t>
            </w:r>
          </w:p>
          <w:p w14:paraId="32FB823F">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6、管理员分组：系统可将管理权限分配给多个管理员，共同管理受控范围内设备；顶级管理员可查看普通管理员进行的操作，并可对普通管理员进行权限管理，根据不同管理员职责开放适当权限。</w:t>
            </w:r>
          </w:p>
          <w:p w14:paraId="5A81AE02">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7、支持电子化听评课，支持在授课模式中发起授课评价，根据课程和评课表生成二维码，可选择是否分享课件，若选择分享课件，评课人通过扫码即可参与评课并获取课件。</w:t>
            </w:r>
          </w:p>
          <w:p w14:paraId="70E6BC2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8、支持用户无需通过平台，直接创建网络教研，即时生成教研二维码，扫码可进行查看教研简介、发送点评等。</w:t>
            </w:r>
          </w:p>
          <w:p w14:paraId="21C0F4A5">
            <w:pPr>
              <w:widowControl w:val="0"/>
              <w:jc w:val="both"/>
              <w:rPr>
                <w:rFonts w:hint="eastAsia" w:ascii="Times New Roman" w:hAnsi="Times New Roman" w:eastAsia="宋体" w:cs="Times New Roman"/>
                <w:b/>
                <w:bCs/>
                <w:szCs w:val="20"/>
                <w:lang w:val="en-US" w:eastAsia="zh-CN"/>
              </w:rPr>
            </w:pPr>
            <w:r>
              <w:rPr>
                <w:rFonts w:hint="eastAsia" w:ascii="Times New Roman" w:hAnsi="Times New Roman" w:eastAsia="宋体" w:cs="Times New Roman"/>
                <w:b/>
                <w:bCs/>
                <w:szCs w:val="20"/>
                <w:lang w:val="en-US" w:eastAsia="zh-CN"/>
              </w:rPr>
              <w:t>（2）光能黑板：</w:t>
            </w:r>
          </w:p>
          <w:p w14:paraId="00A4FC5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1、整体采用ABA样式，左、右光能黑板+中间触控智慧屏的安装方式。单块光能黑板≥1140（长）*1165（高）mm。下边框具有可调节平台，尺寸可根据触控一体机高度进行调整，兼具置物功能。</w:t>
            </w:r>
          </w:p>
          <w:p w14:paraId="54703A8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2、采用任何硬度适中的工具均可在板面进行书写，无需专用耗材，消除了粉笔粉尘对师生构成的健康隐患。单点书写、可擦次数达10万次。</w:t>
            </w:r>
          </w:p>
          <w:p w14:paraId="7081AF4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3、光能黑板应无频闪、无背光，上膜不应产生眩光。板书笔迹可视距离40米，可视角度≥150°，对比度≥150:1。</w:t>
            </w:r>
          </w:p>
          <w:p w14:paraId="3A2ED7A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4、光能黑板的光泽度不高于30光泽单位。</w:t>
            </w:r>
          </w:p>
          <w:p w14:paraId="3213911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5、书写膜的透光率不低于87%，雾度不高于40%。</w:t>
            </w:r>
          </w:p>
          <w:p w14:paraId="33B2B38B">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6、一键擦除：按下一键擦除按键，可实现板书的全部擦除，擦除后无明显残留痕迹。</w:t>
            </w:r>
          </w:p>
          <w:p w14:paraId="699EA333">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7、局部擦除：可使用板擦和手势对板书进行局部擦除。擦除精度小于10mm*10mm，擦除延时＜60ms。光能板具有独立供电装置，可在液晶屏关机的情况下独立使用，不影响局部擦除功能。</w:t>
            </w:r>
          </w:p>
          <w:p w14:paraId="05E7D53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8、板内设有电压补偿机制，可以通过手势按压书写板板面的特定位置，控制书写板内部电压高低，以调节擦除灵敏度。</w:t>
            </w:r>
          </w:p>
          <w:p w14:paraId="29EB51D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9、设备内提供的电池组保护电路，符合标准要求，并通过带二次锂电池的设备的充电安全防护。黑板通过恒定力和冲击试验，机械强度符合标准要求。</w:t>
            </w:r>
          </w:p>
          <w:p w14:paraId="43B02536">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10、黑板表面具有暗格，用以提供给师生在书写板书时的直线参照，可避免板书歪斜。黑板表面可吸附磁贴、磁扣等教学工具，便于老师教学使用。</w:t>
            </w:r>
          </w:p>
          <w:p w14:paraId="57905C9C">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11、光能黑板通过低温-30℃，高温80℃，恒定湿热40℃、95%RH测试，产品外观无变形、损坏等现象，通电运行正常。</w:t>
            </w:r>
          </w:p>
          <w:p w14:paraId="583DBE43">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12、边框采用铝合金材质，坚固耐用，具有较好的耐腐蚀特性。</w:t>
            </w:r>
          </w:p>
          <w:p w14:paraId="53B8F844">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13、采用一体式按键指示灯，可通过不同颜色、闪烁等方式表示擦除、电量不足等工作状态。每块光能黑板具备DC接口*2和USB接口*2，方便用户使用。</w:t>
            </w:r>
          </w:p>
          <w:p w14:paraId="7A192011">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14、光能黑板通过抗电强度1500V试验，无击穿现象，符合GB4943的安全要求。</w:t>
            </w:r>
          </w:p>
          <w:p w14:paraId="30F0247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二、教学软件要求</w:t>
            </w:r>
          </w:p>
          <w:p w14:paraId="07B2A4B3">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1、左、右光能黑板可与触控一体机进行互动，将光能黑板的内容与触控一体机无缝连接，教师在光能黑板上的书写内容可同步显示在触控一体机上。</w:t>
            </w:r>
          </w:p>
          <w:p w14:paraId="6B65097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2、为便于老师记忆和操作，板书界面与电脑桌面/PPT课件之间，采用同一个按键来回切换，方便快捷。</w:t>
            </w:r>
          </w:p>
          <w:p w14:paraId="1E2A15E5">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3、光能黑板具有两种书写记录模式，支持单板书写记录内容为一个单页面，也可以支持多板同时书写时记录在一个页面上；</w:t>
            </w:r>
          </w:p>
          <w:p w14:paraId="4F96B40E">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4、当不需要板书传输到软件显示界面时，可以使用分屏功能，断开黑板与大屏的传输，使其成为互不影响的多块黑板。</w:t>
            </w:r>
          </w:p>
          <w:p w14:paraId="638649F6">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5、设置不同的软件端笔迹颜色，可实现老师对于教学重点的标识及批注；</w:t>
            </w:r>
          </w:p>
          <w:p w14:paraId="31D04A25">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6、在保存的板书当中进行翻页，查找已经存储的板书内容。</w:t>
            </w:r>
            <w:r>
              <w:rPr>
                <w:rFonts w:hint="eastAsia" w:ascii="Times New Roman" w:hAnsi="Times New Roman" w:eastAsia="宋体" w:cs="Times New Roman"/>
                <w:szCs w:val="20"/>
                <w:lang w:val="en-US" w:eastAsia="zh-CN"/>
              </w:rPr>
              <w:br w:type="textWrapping"/>
            </w:r>
            <w:r>
              <w:rPr>
                <w:rFonts w:hint="eastAsia" w:ascii="Times New Roman" w:hAnsi="Times New Roman" w:eastAsia="宋体" w:cs="Times New Roman"/>
                <w:szCs w:val="20"/>
                <w:lang w:val="en-US" w:eastAsia="zh-CN"/>
              </w:rPr>
              <w:t>7、能直接预览所有存储的板书；</w:t>
            </w:r>
          </w:p>
          <w:p w14:paraId="1EB936E0">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8、黑板的板书即时保存到软件当中，通过翻页可找回并显示，保存时不清除黑板的板书内容。</w:t>
            </w:r>
          </w:p>
          <w:p w14:paraId="427AE327">
            <w:pPr>
              <w:widowControl w:val="0"/>
              <w:jc w:val="both"/>
              <w:rPr>
                <w:rFonts w:hint="eastAsia"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9、对板书的电子文档进行分享，可以存储在本地PC端，同时生产二维码，便于师生扫码获取。</w:t>
            </w:r>
          </w:p>
          <w:p w14:paraId="77747F41">
            <w:pPr>
              <w:widowControl w:val="0"/>
              <w:jc w:val="both"/>
              <w:rPr>
                <w:rFonts w:hint="default" w:ascii="Times New Roman" w:hAnsi="Times New Roman" w:eastAsia="宋体" w:cs="Times New Roman"/>
                <w:szCs w:val="20"/>
                <w:lang w:val="en-US" w:eastAsia="zh-CN"/>
              </w:rPr>
            </w:pPr>
            <w:r>
              <w:rPr>
                <w:rFonts w:hint="eastAsia" w:ascii="Times New Roman" w:hAnsi="Times New Roman" w:eastAsia="宋体" w:cs="Times New Roman"/>
                <w:szCs w:val="20"/>
                <w:lang w:val="en-US" w:eastAsia="zh-CN"/>
              </w:rPr>
              <w:t>10、可以对课堂的板书和讲解进行录制，生成视频文档，利于学生课后复习回放。</w:t>
            </w:r>
          </w:p>
        </w:tc>
        <w:tc>
          <w:tcPr>
            <w:tcW w:w="13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0B0CA">
            <w:pPr>
              <w:widowControl w:val="0"/>
              <w:jc w:val="left"/>
              <w:rPr>
                <w:rFonts w:hint="eastAsia" w:ascii="宋体" w:hAnsi="宋体" w:eastAsia="宋体" w:cs="宋体"/>
                <w:i w:val="0"/>
                <w:iCs w:val="0"/>
                <w:color w:val="000000"/>
                <w:sz w:val="21"/>
                <w:szCs w:val="21"/>
                <w:u w:val="none"/>
              </w:rPr>
            </w:pPr>
          </w:p>
        </w:tc>
      </w:tr>
      <w:tr w14:paraId="5836FC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18"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E1CB03">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4</w:t>
            </w:r>
          </w:p>
        </w:tc>
        <w:tc>
          <w:tcPr>
            <w:tcW w:w="151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62D51D1">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高清展台</w:t>
            </w:r>
          </w:p>
        </w:tc>
        <w:tc>
          <w:tcPr>
            <w:tcW w:w="543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33092D">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bCs/>
                <w:sz w:val="21"/>
                <w:szCs w:val="21"/>
                <w:highlight w:val="none"/>
                <w:lang w:val="en-US" w:eastAsia="zh-CN"/>
              </w:rPr>
              <w:t>硬件</w:t>
            </w:r>
            <w:r>
              <w:rPr>
                <w:rFonts w:hint="eastAsia" w:ascii="宋体" w:hAnsi="宋体" w:cs="宋体"/>
                <w:b/>
                <w:bCs/>
                <w:sz w:val="21"/>
                <w:szCs w:val="21"/>
                <w:highlight w:val="none"/>
                <w:lang w:val="en-US" w:eastAsia="zh-CN"/>
              </w:rPr>
              <w:t>参数：</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1、整机结构与制造工艺：</w:t>
            </w:r>
          </w:p>
          <w:p w14:paraId="5967C576">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1）采用高强度铝合金外壳，边角圆润无锐角，确保师生使用安全。</w:t>
            </w:r>
          </w:p>
          <w:p w14:paraId="2A565796">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2）支持壁挂式安装，具备防盗、防破坏设计，适用于教室环境。</w:t>
            </w:r>
          </w:p>
          <w:p w14:paraId="0D99A80D">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3）三折叠开合式托板，展开后尺寸不小于A4纸张面积，收起后体积小巧，节省空间。</w:t>
            </w:r>
          </w:p>
          <w:p w14:paraId="6C303A91">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4）模块化设计，便于安装和维护，支持快速更换部件，减少维护时间。</w:t>
            </w:r>
          </w:p>
          <w:p w14:paraId="09E3360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2、影像采集与图像清晰度：</w:t>
            </w:r>
          </w:p>
          <w:p w14:paraId="59C3A911">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1）内置≥1200万像素自动对焦摄像头，支持4K超高清分辨率，适用于高精度教学展示。</w:t>
            </w:r>
          </w:p>
          <w:p w14:paraId="2A62E05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2）中心区域解析度不低于1600线，边缘区域不低于1400线，满足高清展示需求。</w:t>
            </w:r>
          </w:p>
          <w:p w14:paraId="778D736D">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3）图像色彩：24位及以上。</w:t>
            </w:r>
          </w:p>
          <w:p w14:paraId="4ABEDAC2">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4）变焦：12倍数字变焦。</w:t>
            </w:r>
          </w:p>
          <w:p w14:paraId="02209ED5">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3、智能光照与成像补光：</w:t>
            </w:r>
          </w:p>
          <w:p w14:paraId="6094387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1）内置可调节亮度的LED补光灯，支持多级亮度调节，满足不同环境下的照明需求。</w:t>
            </w:r>
          </w:p>
          <w:p w14:paraId="00D04A9C">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4、人机交互与控制方式：</w:t>
            </w:r>
          </w:p>
          <w:p w14:paraId="67692FB8">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1）采用电容式触摸按键，支持一键启动、画面放大/缩小、旋转、拍照截图等功能。</w:t>
            </w:r>
          </w:p>
          <w:p w14:paraId="109926B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5、数据连接与系统适配：</w:t>
            </w:r>
          </w:p>
          <w:p w14:paraId="73DD0EE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1）配备高速USB接口，单根USB线实现供电与高清数据传输，支持USB 2.0及以上标准。</w:t>
            </w:r>
          </w:p>
          <w:p w14:paraId="4C0A9B8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6、智能化拓展与多场景：</w:t>
            </w:r>
          </w:p>
          <w:p w14:paraId="2C61193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1）支持AI降噪、自动旋转等智能功能，提升远程教学和互动体验。</w:t>
            </w:r>
          </w:p>
          <w:p w14:paraId="7A450B15">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2）采用高灵敏度CMOS传感器，支持低照度环境下的清晰成像，提升在不同光线条件下的适应性。</w:t>
            </w:r>
          </w:p>
          <w:p w14:paraId="3CCC427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3）支持360度旋转摄像头，方便从不同角度拍摄教学材料。</w:t>
            </w:r>
          </w:p>
          <w:p w14:paraId="7CEA2DF9">
            <w:pPr>
              <w:keepNext/>
              <w:keepLines/>
              <w:widowControl w:val="0"/>
              <w:spacing w:before="260" w:after="260" w:line="240" w:lineRule="auto"/>
              <w:jc w:val="both"/>
              <w:outlineLvl w:val="1"/>
              <w:rPr>
                <w:rFonts w:hint="default" w:ascii="宋体" w:hAnsi="宋体" w:eastAsia="宋体" w:cs="宋体"/>
                <w:b/>
                <w:bCs/>
                <w:kern w:val="2"/>
                <w:sz w:val="21"/>
                <w:szCs w:val="21"/>
                <w:highlight w:val="none"/>
                <w:lang w:val="en-US" w:eastAsia="zh-CN" w:bidi="ar-SA"/>
              </w:rPr>
            </w:pPr>
            <w:r>
              <w:rPr>
                <w:rFonts w:hint="eastAsia" w:ascii="宋体" w:hAnsi="宋体" w:eastAsia="宋体" w:cs="宋体"/>
                <w:b/>
                <w:bCs/>
                <w:kern w:val="2"/>
                <w:sz w:val="21"/>
                <w:szCs w:val="21"/>
                <w:highlight w:val="none"/>
                <w:lang w:val="en-US" w:eastAsia="zh-CN" w:bidi="ar-SA"/>
              </w:rPr>
              <w:t>系统功能：</w:t>
            </w:r>
          </w:p>
          <w:p w14:paraId="79B92190">
            <w:pPr>
              <w:widowControl/>
              <w:jc w:val="left"/>
              <w:rPr>
                <w:rFonts w:hint="eastAsia" w:ascii="宋体" w:hAnsi="宋体" w:eastAsia="宋体" w:cs="宋体"/>
                <w:b w:val="0"/>
                <w:bCs w:val="0"/>
                <w:sz w:val="21"/>
                <w:szCs w:val="21"/>
                <w:highlight w:val="none"/>
                <w:lang w:val="en-US" w:eastAsia="zh-CN"/>
              </w:rPr>
            </w:pPr>
            <w:r>
              <w:rPr>
                <w:rFonts w:hint="eastAsia" w:ascii="宋体" w:hAnsi="宋体" w:eastAsia="宋体" w:cs="宋体"/>
                <w:b w:val="0"/>
                <w:bCs w:val="0"/>
                <w:sz w:val="21"/>
                <w:szCs w:val="21"/>
                <w:highlight w:val="none"/>
                <w:lang w:val="en-US" w:eastAsia="zh-CN"/>
              </w:rPr>
              <w:t>1、多样化画面操作：支持对实时画面进行放大、缩小、旋转、自适应、冻结等操作，提升教学灵活性。</w:t>
            </w:r>
          </w:p>
          <w:p w14:paraId="65E01A41">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2、互动批注功能：支持展台画面实时批注，预设多种笔划粗细及颜色供选择，且支持+H8对展台画面联同批注内容进行同步缩放、移动。</w:t>
            </w:r>
          </w:p>
          <w:p w14:paraId="1D7BB44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3、多手势交互操作:支持5指长按屏幕实现漫游，手背擦除，两指捏合放大缩小等多种手势操作，方便使用。</w:t>
            </w:r>
          </w:p>
          <w:p w14:paraId="60FC1066">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4、图像采集与预览：支持展台画面拍照截图并进行多图预览，可对任一图片进行全屏显示。</w:t>
            </w:r>
          </w:p>
          <w:p w14:paraId="0A59BAE4">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5、智能延时拍摄：老师可在一体机或电脑上选择延时拍照功能，支持不小于5秒或10秒延时模式，预留充足时间以便调整拍摄内容。</w:t>
            </w:r>
          </w:p>
          <w:p w14:paraId="07E3C96C">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6、多场景展示模式：可选择图像、文本或动态等多种情景模式，适应不同展示内容。</w:t>
            </w:r>
          </w:p>
          <w:p w14:paraId="75EA5627">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7、图像清晰化处理：具备图像增强功能，可自动裁剪背景并增强文字显示，使文档画面更清晰。</w:t>
            </w:r>
          </w:p>
          <w:p w14:paraId="48C096A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8、智能故障诊断：支持故障自动检测，在软件无法出现展台拍摄画面时，自动出现检测链接，帮助用户检测“无画面”的原因，并给出引导性解决方案。</w:t>
            </w:r>
          </w:p>
          <w:p w14:paraId="3A85AEB1">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9、便捷资源获取：支持二维码扫码功能：打开扫一扫功能后，将书本上的二维码放入扫描框内即可自动扫描，并进入系统浏览器获取二维码的链接内容，帮助老师快速获取电子教学资源。</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F0D0C74">
            <w:pPr>
              <w:widowControl w:val="0"/>
              <w:jc w:val="left"/>
              <w:rPr>
                <w:rFonts w:hint="eastAsia" w:ascii="宋体" w:hAnsi="宋体" w:eastAsia="宋体" w:cs="宋体"/>
                <w:i w:val="0"/>
                <w:iCs w:val="0"/>
                <w:color w:val="000000"/>
                <w:sz w:val="21"/>
                <w:szCs w:val="21"/>
                <w:u w:val="none"/>
              </w:rPr>
            </w:pPr>
          </w:p>
        </w:tc>
      </w:tr>
      <w:tr w14:paraId="40654D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DD84D77">
            <w:pPr>
              <w:keepNext w:val="0"/>
              <w:keepLines w:val="0"/>
              <w:widowControl/>
              <w:suppressLineNumbers w:val="0"/>
              <w:jc w:val="left"/>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5</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3AC8FF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观摩区椅子</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092B358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1、产品外形尺寸及靠背是根据人体形态工程学曲线原理设计，椅背和座垫之弧度完全符合人体曲线，能最大限度地贴和人体靠背，外形美观、漂亮、座垫高度和靠背深度合理，座感舒适，外观时尚，坚固耐用 S型逍遥靠背。</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2、靠背：靠背框架采用pp+20%材质，质地轻、抗裂性强、耐腐蚀、耐老化、无毒环保。</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3、扶手：活动扶手采用PP材质。</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4、坐垫：坐垫定型海绵采用聚合物多元醇二苯基甲烷二异氰酸酯，不易变形。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5、铁框架：椅架采用33mmX20mm壁厚1.5MM优质冷轧钢管，椅架中间采用直径19圆管壁厚1.5mm做横梁连接，使椅架更加牢固稳定，安装坐垫时，不易变形；。</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6、尺寸规格：W630*D630*H810。</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7、靠背网布可选绿色/黑色/蓝色/橙色，框架可选白色/黑色，椅子固定（配固定脚），加配写字板椅架可折叠。</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2EECD498">
            <w:pPr>
              <w:widowControl w:val="0"/>
              <w:jc w:val="left"/>
              <w:rPr>
                <w:rFonts w:hint="eastAsia" w:ascii="宋体" w:hAnsi="宋体" w:eastAsia="宋体" w:cs="宋体"/>
                <w:i w:val="0"/>
                <w:iCs w:val="0"/>
                <w:color w:val="000000"/>
                <w:sz w:val="21"/>
                <w:szCs w:val="21"/>
                <w:u w:val="none"/>
              </w:rPr>
            </w:pPr>
          </w:p>
        </w:tc>
      </w:tr>
      <w:tr w14:paraId="1E4AC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3" w:hRule="atLeast"/>
        </w:trPr>
        <w:tc>
          <w:tcPr>
            <w:tcW w:w="8779" w:type="dxa"/>
            <w:gridSpan w:val="4"/>
            <w:tcBorders>
              <w:top w:val="single" w:color="000000" w:sz="4" w:space="0"/>
              <w:left w:val="single" w:color="000000" w:sz="4" w:space="0"/>
              <w:bottom w:val="single" w:color="000000" w:sz="4" w:space="0"/>
              <w:right w:val="single" w:color="000000" w:sz="4" w:space="0"/>
            </w:tcBorders>
            <w:noWrap w:val="0"/>
            <w:vAlign w:val="center"/>
          </w:tcPr>
          <w:p w14:paraId="7AAEC4BB">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4、红领巾电视台</w:t>
            </w:r>
          </w:p>
        </w:tc>
      </w:tr>
      <w:tr w14:paraId="235CE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CC03FF7">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D567C57">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互动录播电脑主机</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3B8ADBB9">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1、精品录播：互动录播电脑主机）</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3FCD8196">
            <w:pPr>
              <w:widowControl w:val="0"/>
              <w:jc w:val="left"/>
              <w:rPr>
                <w:rFonts w:hint="eastAsia" w:ascii="宋体" w:hAnsi="宋体" w:eastAsia="宋体" w:cs="宋体"/>
                <w:i w:val="0"/>
                <w:iCs w:val="0"/>
                <w:color w:val="000000"/>
                <w:sz w:val="21"/>
                <w:szCs w:val="21"/>
                <w:u w:val="none"/>
              </w:rPr>
            </w:pPr>
          </w:p>
        </w:tc>
      </w:tr>
      <w:tr w14:paraId="32682A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7B8B9435">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2</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61048E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主机导播系统</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58BFC311">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1、精品录播：主机导播系统）</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1C51BB5">
            <w:pPr>
              <w:widowControl w:val="0"/>
              <w:jc w:val="left"/>
              <w:rPr>
                <w:rFonts w:hint="eastAsia" w:ascii="宋体" w:hAnsi="宋体" w:eastAsia="宋体" w:cs="宋体"/>
                <w:i w:val="0"/>
                <w:iCs w:val="0"/>
                <w:color w:val="000000"/>
                <w:sz w:val="21"/>
                <w:szCs w:val="21"/>
                <w:u w:val="none"/>
              </w:rPr>
            </w:pPr>
          </w:p>
        </w:tc>
      </w:tr>
      <w:tr w14:paraId="2B44AE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44466516">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3</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C1CD3E3">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主机互动系统</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21FAEF3C">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1、精品录播：主机互动系统）</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4D87AB95">
            <w:pPr>
              <w:widowControl w:val="0"/>
              <w:jc w:val="left"/>
              <w:rPr>
                <w:rFonts w:hint="eastAsia" w:ascii="宋体" w:hAnsi="宋体" w:eastAsia="宋体" w:cs="宋体"/>
                <w:i w:val="0"/>
                <w:iCs w:val="0"/>
                <w:color w:val="000000"/>
                <w:sz w:val="21"/>
                <w:szCs w:val="21"/>
                <w:u w:val="none"/>
              </w:rPr>
            </w:pPr>
          </w:p>
        </w:tc>
      </w:tr>
      <w:tr w14:paraId="4CC33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EB8A19E">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4</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44DC851">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主机视频处理系统</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27F58AB2">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1、精品录播：主机视频处理系统）</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7E85C6E8">
            <w:pPr>
              <w:widowControl w:val="0"/>
              <w:jc w:val="left"/>
              <w:rPr>
                <w:rFonts w:hint="eastAsia" w:ascii="宋体" w:hAnsi="宋体" w:eastAsia="宋体" w:cs="宋体"/>
                <w:i w:val="0"/>
                <w:iCs w:val="0"/>
                <w:color w:val="000000"/>
                <w:sz w:val="21"/>
                <w:szCs w:val="21"/>
                <w:u w:val="none"/>
              </w:rPr>
            </w:pPr>
          </w:p>
        </w:tc>
      </w:tr>
      <w:tr w14:paraId="11B20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74A3D11D">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5</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CB1C4E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机械云台摄像机</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5C6181F4">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1、精品录播：机械云台摄像机）</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A6DC485">
            <w:pPr>
              <w:widowControl w:val="0"/>
              <w:jc w:val="left"/>
              <w:rPr>
                <w:rFonts w:hint="eastAsia" w:ascii="宋体" w:hAnsi="宋体" w:eastAsia="宋体" w:cs="宋体"/>
                <w:i w:val="0"/>
                <w:iCs w:val="0"/>
                <w:color w:val="000000"/>
                <w:sz w:val="21"/>
                <w:szCs w:val="21"/>
                <w:u w:val="none"/>
              </w:rPr>
            </w:pPr>
          </w:p>
        </w:tc>
      </w:tr>
      <w:tr w14:paraId="134F0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727747E">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6</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6D0DCBA">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云台摄像机图像处理系统</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13F1480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1、精品录播：云台摄像机图像处理系统）</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EE63A8E">
            <w:pPr>
              <w:widowControl w:val="0"/>
              <w:jc w:val="left"/>
              <w:rPr>
                <w:rFonts w:hint="eastAsia" w:ascii="宋体" w:hAnsi="宋体" w:eastAsia="宋体" w:cs="宋体"/>
                <w:i w:val="0"/>
                <w:iCs w:val="0"/>
                <w:color w:val="000000"/>
                <w:sz w:val="21"/>
                <w:szCs w:val="21"/>
                <w:u w:val="none"/>
              </w:rPr>
            </w:pPr>
          </w:p>
        </w:tc>
      </w:tr>
      <w:tr w14:paraId="5314F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44ACC69">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7</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9FC60F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阵列麦克风</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5220688F">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1、精品录播：阵列麦克风）</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7DE4883">
            <w:pPr>
              <w:widowControl w:val="0"/>
              <w:jc w:val="left"/>
              <w:rPr>
                <w:rFonts w:hint="eastAsia" w:ascii="宋体" w:hAnsi="宋体" w:eastAsia="宋体" w:cs="宋体"/>
                <w:i w:val="0"/>
                <w:iCs w:val="0"/>
                <w:color w:val="000000"/>
                <w:sz w:val="21"/>
                <w:szCs w:val="21"/>
                <w:u w:val="none"/>
              </w:rPr>
            </w:pPr>
          </w:p>
        </w:tc>
      </w:tr>
      <w:tr w14:paraId="3823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1"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12F7A5F2">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8</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9E5E02F">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有线麦克风音频处理系统</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00612D14">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1、精品录播：有线麦克风音频处理系统）</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1F9D66C">
            <w:pPr>
              <w:widowControl w:val="0"/>
              <w:jc w:val="left"/>
              <w:rPr>
                <w:rFonts w:hint="eastAsia" w:ascii="宋体" w:hAnsi="宋体" w:eastAsia="宋体" w:cs="宋体"/>
                <w:i w:val="0"/>
                <w:iCs w:val="0"/>
                <w:color w:val="000000"/>
                <w:sz w:val="21"/>
                <w:szCs w:val="21"/>
                <w:u w:val="none"/>
              </w:rPr>
            </w:pPr>
          </w:p>
        </w:tc>
      </w:tr>
      <w:tr w14:paraId="521B7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2A1D1F7B">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9</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224907B5">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无线麦克风</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0BA7B2D2">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1、精品录播：无线麦克风）</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205F679">
            <w:pPr>
              <w:widowControl w:val="0"/>
              <w:jc w:val="left"/>
              <w:rPr>
                <w:rFonts w:hint="eastAsia" w:ascii="宋体" w:hAnsi="宋体" w:eastAsia="宋体" w:cs="宋体"/>
                <w:i w:val="0"/>
                <w:iCs w:val="0"/>
                <w:color w:val="000000"/>
                <w:sz w:val="21"/>
                <w:szCs w:val="21"/>
                <w:u w:val="none"/>
              </w:rPr>
            </w:pPr>
          </w:p>
        </w:tc>
      </w:tr>
      <w:tr w14:paraId="76F60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C51DB3D">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10</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5AD4728C">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无线麦克风音频处理系统</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7F5214F1">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1、精品录播：无线麦克风音频处理系统）</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2215871D">
            <w:pPr>
              <w:widowControl w:val="0"/>
              <w:jc w:val="left"/>
              <w:rPr>
                <w:rFonts w:hint="eastAsia" w:ascii="宋体" w:hAnsi="宋体" w:eastAsia="宋体" w:cs="宋体"/>
                <w:i w:val="0"/>
                <w:iCs w:val="0"/>
                <w:color w:val="000000"/>
                <w:sz w:val="21"/>
                <w:szCs w:val="21"/>
                <w:u w:val="none"/>
              </w:rPr>
            </w:pPr>
          </w:p>
        </w:tc>
      </w:tr>
      <w:tr w14:paraId="4EAC53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F5CAB87">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11</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163A6E44">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LED柔光灯</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722C4A03">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1、输入电压：AC220V。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2、额定功率：≤100w。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3、色温：5600K/3200K可调。</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 xml:space="preserve">4、显色指数：Ra≥95％。   </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5、亮度调节：支持无极调光。</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115E1889">
            <w:pPr>
              <w:widowControl w:val="0"/>
              <w:jc w:val="left"/>
              <w:rPr>
                <w:rFonts w:hint="eastAsia" w:ascii="宋体" w:hAnsi="宋体" w:eastAsia="宋体" w:cs="宋体"/>
                <w:i w:val="0"/>
                <w:iCs w:val="0"/>
                <w:color w:val="000000"/>
                <w:sz w:val="21"/>
                <w:szCs w:val="21"/>
                <w:u w:val="none"/>
              </w:rPr>
            </w:pPr>
          </w:p>
        </w:tc>
      </w:tr>
      <w:tr w14:paraId="44CC1B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0500632A">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12</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C25FF9E">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互动电视</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1B4B93FC">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参数同：（五、报告厅 1、精品录播：互动电视）</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0668E7CF">
            <w:pPr>
              <w:widowControl w:val="0"/>
              <w:jc w:val="left"/>
              <w:rPr>
                <w:rFonts w:hint="eastAsia" w:ascii="宋体" w:hAnsi="宋体" w:eastAsia="宋体" w:cs="宋体"/>
                <w:i w:val="0"/>
                <w:iCs w:val="0"/>
                <w:color w:val="000000"/>
                <w:sz w:val="21"/>
                <w:szCs w:val="21"/>
                <w:u w:val="none"/>
              </w:rPr>
            </w:pPr>
          </w:p>
        </w:tc>
      </w:tr>
      <w:tr w14:paraId="5FD84B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7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19797A9">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13</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7706A52D">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监视器</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05E17C53">
            <w:pPr>
              <w:widowControl/>
              <w:jc w:val="left"/>
              <w:rPr>
                <w:rFonts w:hint="eastAsia" w:ascii="宋体" w:hAnsi="宋体" w:eastAsia="宋体" w:cs="宋体"/>
                <w:b w:val="0"/>
                <w:bCs w:val="0"/>
                <w:sz w:val="21"/>
                <w:szCs w:val="21"/>
                <w:lang w:val="en-US" w:eastAsia="zh-CN"/>
              </w:rPr>
            </w:pPr>
            <w:r>
              <w:rPr>
                <w:rFonts w:hint="eastAsia" w:ascii="宋体" w:hAnsi="宋体" w:cs="宋体"/>
                <w:b w:val="0"/>
                <w:bCs w:val="0"/>
                <w:sz w:val="21"/>
                <w:szCs w:val="21"/>
                <w:lang w:val="en-US" w:eastAsia="zh-CN"/>
              </w:rPr>
              <w:t>1.</w:t>
            </w:r>
            <w:r>
              <w:rPr>
                <w:rFonts w:hint="eastAsia" w:ascii="宋体" w:hAnsi="宋体" w:eastAsia="宋体" w:cs="宋体"/>
                <w:b w:val="0"/>
                <w:bCs w:val="0"/>
                <w:sz w:val="21"/>
                <w:szCs w:val="21"/>
                <w:lang w:val="en-US" w:eastAsia="zh-CN"/>
              </w:rPr>
              <w:t>屏幕物理尺寸≥65吋，屏幕分辨率≥3840*2160，屏幕刷新率≥60Hz，屏幕可视角度≥±176度。</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2.整机功耗≤120W，待机功耗≤0.5W。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3.内置喇叭个数≥2，喇叭总功率≥16W。</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4.USB通道支持播放不少于10种文件格式，USB接口数量≥2，HDMI输入通道数量≥3，模拟RF接口≥1，AV接口≥1。</w:t>
            </w:r>
            <w:r>
              <w:rPr>
                <w:rFonts w:hint="eastAsia" w:ascii="宋体" w:hAnsi="宋体" w:eastAsia="宋体" w:cs="宋体"/>
                <w:b w:val="0"/>
                <w:bCs w:val="0"/>
                <w:sz w:val="21"/>
                <w:szCs w:val="21"/>
                <w:lang w:val="en-US" w:eastAsia="zh-CN"/>
              </w:rPr>
              <w:br w:type="textWrapping"/>
            </w:r>
            <w:r>
              <w:rPr>
                <w:rFonts w:hint="eastAsia" w:ascii="宋体" w:hAnsi="宋体" w:eastAsia="宋体" w:cs="宋体"/>
                <w:b w:val="0"/>
                <w:bCs w:val="0"/>
                <w:sz w:val="21"/>
                <w:szCs w:val="21"/>
                <w:lang w:val="en-US" w:eastAsia="zh-CN"/>
              </w:rPr>
              <w:t>5.标配遥控器和配套电池。</w:t>
            </w:r>
          </w:p>
          <w:p w14:paraId="342DC4A8">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6.支持HDMI接入检测开机，HDMI有输入信号后，可自动开机，至少有3个HDMI接口支持该功能，支持HDMI接入检测关机，HDMI输入信号消失后，可自动进入关机状态，至少有3个HDMI接口支持该功能。</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4C1ED717">
            <w:pPr>
              <w:widowControl w:val="0"/>
              <w:jc w:val="left"/>
              <w:rPr>
                <w:rFonts w:hint="eastAsia" w:ascii="宋体" w:hAnsi="宋体" w:eastAsia="宋体" w:cs="宋体"/>
                <w:i w:val="0"/>
                <w:iCs w:val="0"/>
                <w:color w:val="000000"/>
                <w:sz w:val="21"/>
                <w:szCs w:val="21"/>
                <w:u w:val="none"/>
              </w:rPr>
            </w:pPr>
          </w:p>
        </w:tc>
      </w:tr>
      <w:tr w14:paraId="3665F3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74767150">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14</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42ECD96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演播台</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39D7EA5C">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定制（尺寸功能需符合业主实际需求）</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EB7FBB4">
            <w:pPr>
              <w:widowControl w:val="0"/>
              <w:jc w:val="left"/>
              <w:rPr>
                <w:rFonts w:hint="eastAsia" w:ascii="宋体" w:hAnsi="宋体" w:eastAsia="宋体" w:cs="宋体"/>
                <w:i w:val="0"/>
                <w:iCs w:val="0"/>
                <w:color w:val="000000"/>
                <w:sz w:val="21"/>
                <w:szCs w:val="21"/>
                <w:u w:val="none"/>
              </w:rPr>
            </w:pPr>
          </w:p>
        </w:tc>
      </w:tr>
      <w:tr w14:paraId="575D2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7" w:hRule="atLeast"/>
        </w:trPr>
        <w:tc>
          <w:tcPr>
            <w:tcW w:w="518" w:type="dxa"/>
            <w:tcBorders>
              <w:top w:val="single" w:color="000000" w:sz="4" w:space="0"/>
              <w:left w:val="single" w:color="000000" w:sz="4" w:space="0"/>
              <w:bottom w:val="single" w:color="000000" w:sz="4" w:space="0"/>
              <w:right w:val="single" w:color="000000" w:sz="4" w:space="0"/>
            </w:tcBorders>
            <w:noWrap w:val="0"/>
            <w:vAlign w:val="center"/>
          </w:tcPr>
          <w:p w14:paraId="6F85B6B5">
            <w:pPr>
              <w:keepNext w:val="0"/>
              <w:keepLines w:val="0"/>
              <w:widowControl/>
              <w:suppressLineNumbers w:val="0"/>
              <w:jc w:val="left"/>
              <w:textAlignment w:val="center"/>
              <w:rPr>
                <w:rFonts w:hint="eastAsia" w:ascii="宋体" w:hAnsi="宋体" w:cs="宋体"/>
                <w:i w:val="0"/>
                <w:iCs w:val="0"/>
                <w:color w:val="000000"/>
                <w:sz w:val="21"/>
                <w:szCs w:val="21"/>
                <w:u w:val="none"/>
                <w:lang w:val="en-US" w:eastAsia="zh-CN"/>
              </w:rPr>
            </w:pPr>
            <w:r>
              <w:rPr>
                <w:rFonts w:hint="eastAsia" w:ascii="宋体" w:hAnsi="宋体" w:eastAsia="宋体" w:cs="宋体"/>
                <w:i w:val="0"/>
                <w:iCs w:val="0"/>
                <w:color w:val="000000"/>
                <w:kern w:val="0"/>
                <w:sz w:val="22"/>
                <w:szCs w:val="22"/>
                <w:u w:val="none"/>
                <w:lang w:val="en-US" w:eastAsia="zh-CN" w:bidi="ar"/>
              </w:rPr>
              <w:t>15</w:t>
            </w:r>
          </w:p>
        </w:tc>
        <w:tc>
          <w:tcPr>
            <w:tcW w:w="1511" w:type="dxa"/>
            <w:tcBorders>
              <w:top w:val="single" w:color="000000" w:sz="4" w:space="0"/>
              <w:left w:val="single" w:color="000000" w:sz="4" w:space="0"/>
              <w:bottom w:val="single" w:color="000000" w:sz="4" w:space="0"/>
              <w:right w:val="single" w:color="000000" w:sz="4" w:space="0"/>
            </w:tcBorders>
            <w:noWrap w:val="0"/>
            <w:vAlign w:val="center"/>
          </w:tcPr>
          <w:p w14:paraId="3EF95DAB">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2"/>
                <w:szCs w:val="22"/>
                <w:u w:val="none"/>
                <w:lang w:val="en-US" w:eastAsia="zh-CN" w:bidi="ar"/>
              </w:rPr>
              <w:t>设备台</w:t>
            </w:r>
          </w:p>
        </w:tc>
        <w:tc>
          <w:tcPr>
            <w:tcW w:w="5436" w:type="dxa"/>
            <w:tcBorders>
              <w:top w:val="single" w:color="000000" w:sz="4" w:space="0"/>
              <w:left w:val="single" w:color="000000" w:sz="4" w:space="0"/>
              <w:bottom w:val="single" w:color="000000" w:sz="4" w:space="0"/>
              <w:right w:val="single" w:color="000000" w:sz="4" w:space="0"/>
            </w:tcBorders>
            <w:noWrap w:val="0"/>
            <w:vAlign w:val="center"/>
          </w:tcPr>
          <w:p w14:paraId="2A14C848">
            <w:pPr>
              <w:widowControl/>
              <w:jc w:val="lef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定制（尺寸功能需符合业主实际需求）</w:t>
            </w:r>
          </w:p>
        </w:tc>
        <w:tc>
          <w:tcPr>
            <w:tcW w:w="1314" w:type="dxa"/>
            <w:tcBorders>
              <w:top w:val="single" w:color="000000" w:sz="4" w:space="0"/>
              <w:left w:val="single" w:color="000000" w:sz="4" w:space="0"/>
              <w:bottom w:val="single" w:color="000000" w:sz="4" w:space="0"/>
              <w:right w:val="single" w:color="000000" w:sz="4" w:space="0"/>
            </w:tcBorders>
            <w:noWrap w:val="0"/>
            <w:vAlign w:val="center"/>
          </w:tcPr>
          <w:p w14:paraId="5A3D64A8">
            <w:pPr>
              <w:widowControl w:val="0"/>
              <w:jc w:val="left"/>
              <w:rPr>
                <w:rFonts w:hint="eastAsia" w:ascii="宋体" w:hAnsi="宋体" w:eastAsia="宋体" w:cs="宋体"/>
                <w:i w:val="0"/>
                <w:iCs w:val="0"/>
                <w:color w:val="000000"/>
                <w:sz w:val="21"/>
                <w:szCs w:val="21"/>
                <w:u w:val="none"/>
              </w:rPr>
            </w:pPr>
          </w:p>
        </w:tc>
      </w:tr>
    </w:tbl>
    <w:p w14:paraId="5228E5A2">
      <w:pPr>
        <w:widowControl w:val="0"/>
        <w:ind w:firstLine="211" w:firstLineChars="100"/>
        <w:jc w:val="both"/>
        <w:rPr>
          <w:rFonts w:hint="eastAsia" w:ascii="宋体" w:hAnsi="宋体" w:cs="宋体"/>
          <w:b/>
          <w:bCs/>
          <w:sz w:val="21"/>
          <w:szCs w:val="21"/>
          <w:lang w:val="en-US" w:eastAsia="zh-CN"/>
        </w:rPr>
      </w:pPr>
    </w:p>
    <w:p w14:paraId="29D429CB">
      <w:pPr>
        <w:keepNext w:val="0"/>
        <w:keepLines/>
        <w:widowControl w:val="0"/>
        <w:numPr>
          <w:ilvl w:val="0"/>
          <w:numId w:val="4"/>
        </w:numPr>
        <w:tabs>
          <w:tab w:val="left" w:pos="-420"/>
        </w:tabs>
        <w:spacing w:before="0" w:after="0" w:line="360" w:lineRule="exact"/>
        <w:ind w:firstLine="422" w:firstLineChars="200"/>
        <w:jc w:val="both"/>
        <w:outlineLvl w:val="1"/>
        <w:rPr>
          <w:rFonts w:hint="eastAsia" w:ascii="宋体" w:hAnsi="宋体" w:eastAsia="宋体" w:cs="宋体"/>
          <w:b/>
          <w:kern w:val="2"/>
          <w:sz w:val="21"/>
          <w:szCs w:val="21"/>
          <w:highlight w:val="none"/>
          <w:lang w:val="en-US" w:eastAsia="zh-CN" w:bidi="ar-SA"/>
        </w:rPr>
      </w:pPr>
      <w:r>
        <w:rPr>
          <w:rFonts w:hint="eastAsia" w:ascii="宋体" w:hAnsi="宋体" w:eastAsia="宋体" w:cs="宋体"/>
          <w:b/>
          <w:kern w:val="2"/>
          <w:sz w:val="21"/>
          <w:szCs w:val="21"/>
          <w:highlight w:val="none"/>
          <w:lang w:val="en-US" w:eastAsia="zh-CN" w:bidi="ar-SA"/>
        </w:rPr>
        <w:t>项目要求</w:t>
      </w:r>
    </w:p>
    <w:p w14:paraId="00EB1A25">
      <w:pPr>
        <w:widowControl w:val="0"/>
        <w:jc w:val="both"/>
        <w:rPr>
          <w:rFonts w:hint="eastAsia" w:ascii="宋体" w:hAnsi="宋体" w:cs="宋体"/>
          <w:sz w:val="21"/>
          <w:szCs w:val="21"/>
          <w:highlight w:val="none"/>
          <w:lang w:val="en-US" w:eastAsia="zh-CN"/>
        </w:rPr>
      </w:pPr>
    </w:p>
    <w:p w14:paraId="63CFADA3">
      <w:pPr>
        <w:widowControl w:val="0"/>
        <w:ind w:firstLine="211" w:firstLineChars="100"/>
        <w:jc w:val="both"/>
        <w:rPr>
          <w:rFonts w:hint="default" w:ascii="Times New Roman" w:hAnsi="Times New Roman" w:eastAsia="宋体" w:cs="Times New Roman"/>
          <w:b/>
          <w:bCs/>
          <w:szCs w:val="20"/>
          <w:lang w:val="en-US" w:eastAsia="zh-CN"/>
        </w:rPr>
      </w:pPr>
      <w:r>
        <w:rPr>
          <w:rFonts w:hint="eastAsia" w:ascii="宋体" w:hAnsi="宋体" w:cs="宋体"/>
          <w:b/>
          <w:bCs/>
          <w:sz w:val="21"/>
          <w:szCs w:val="21"/>
          <w:highlight w:val="none"/>
          <w:lang w:val="en-US" w:eastAsia="zh-CN"/>
        </w:rPr>
        <w:t>（一）服务要求</w:t>
      </w:r>
    </w:p>
    <w:p w14:paraId="3B6CDCAF">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1.采购文件（附件）中标有“▲”的技术指标不容许发生偏离，投标人需提供具有CMA标识第三方检测机构检测报告复印件或功能截图或产品彩页等证明材料并加盖公章；</w:t>
      </w:r>
    </w:p>
    <w:p w14:paraId="226FB033">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采购文件（附件）中标有“△”的技术指标需提供具有CMA标识第三方检测机构检测报告复印件或功能截图或产品彩页等证明材料并加盖公章；</w:t>
      </w:r>
    </w:p>
    <w:p w14:paraId="5EB5ABEC">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2.合同期内，中标单位应成立专门的团队，负责运维服务。指定专门的负责人负责与用户的对接及协调。设立专门的工作热线，接受用户的咨询。</w:t>
      </w:r>
    </w:p>
    <w:p w14:paraId="5602B57A">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提供7*24小时不间断电话服务，提供现场运维服务；在使用过程中接到一般故障报修通知应在10分钟内响应，紧急故障报修5分钟内响应，并开始故障处理，根据发生故障程度作出相应的措施，可通过远程指导解决及2小时内到现场进行处置，并提供不间断连续处理直至故障排除。</w:t>
      </w:r>
    </w:p>
    <w:p w14:paraId="39291509">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4.建立良好的故障申报流程，能顺利进行故障申告和故障监控，对每个故障能进行全程监控和管理。</w:t>
      </w:r>
    </w:p>
    <w:p w14:paraId="4FF1E0D6">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5.同时中标人应提供以下服务项目（不限于此）：</w:t>
      </w:r>
    </w:p>
    <w:p w14:paraId="3DF559A8">
      <w:pPr>
        <w:widowControl w:val="0"/>
        <w:spacing w:line="440" w:lineRule="exact"/>
        <w:ind w:firstLine="420"/>
        <w:jc w:val="both"/>
        <w:rPr>
          <w:rFonts w:hint="eastAsia" w:ascii="宋体" w:hAnsi="宋体" w:eastAsia="宋体" w:cs="宋体"/>
          <w:b w:val="0"/>
          <w:bCs/>
          <w:kern w:val="2"/>
          <w:sz w:val="21"/>
          <w:szCs w:val="21"/>
          <w:highlight w:val="red"/>
          <w:lang w:val="en-US" w:eastAsia="zh-CN" w:bidi="ar-SA"/>
        </w:rPr>
      </w:pPr>
      <w:r>
        <w:rPr>
          <w:rFonts w:hint="eastAsia" w:ascii="宋体" w:hAnsi="宋体" w:eastAsia="宋体" w:cs="宋体"/>
          <w:bCs/>
          <w:kern w:val="2"/>
          <w:sz w:val="21"/>
          <w:szCs w:val="21"/>
          <w:lang w:val="en-US" w:eastAsia="zh-CN" w:bidi="ar-SA"/>
        </w:rPr>
        <w:t>（1）投标人应提供完善的设备安装、调试服务。包括但不仅限于：免费</w:t>
      </w:r>
      <w:r>
        <w:rPr>
          <w:rFonts w:hint="eastAsia" w:ascii="宋体" w:hAnsi="宋体" w:eastAsia="宋体" w:cs="宋体"/>
          <w:b w:val="0"/>
          <w:bCs/>
          <w:kern w:val="2"/>
          <w:sz w:val="21"/>
          <w:szCs w:val="21"/>
          <w:highlight w:val="none"/>
          <w:lang w:val="en-US" w:eastAsia="zh-CN" w:bidi="ar-SA"/>
        </w:rPr>
        <w:t>提供安装、调试并提供在施工过程中所需的所有线缆及相关辅材配件；</w:t>
      </w:r>
    </w:p>
    <w:p w14:paraId="4233E53A">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（2）对采购人的验收工作，中标人须按采购人要求进行配合工作；</w:t>
      </w:r>
    </w:p>
    <w:p w14:paraId="7DDE94AB">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（3）施工期间，中标人应遵守有关部门的管理，并遵照相关的规定；</w:t>
      </w:r>
    </w:p>
    <w:p w14:paraId="21CAD585">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（4）提供相应的操作培训。</w:t>
      </w:r>
    </w:p>
    <w:p w14:paraId="64C27FCD">
      <w:pPr>
        <w:widowControl w:val="0"/>
        <w:spacing w:line="440" w:lineRule="exact"/>
        <w:ind w:firstLine="420"/>
        <w:jc w:val="both"/>
        <w:rPr>
          <w:rFonts w:hint="default"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（二）安装、验收、服务期限</w:t>
      </w:r>
    </w:p>
    <w:p w14:paraId="00B1C7E9">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w:t>
      </w:r>
      <w:r>
        <w:rPr>
          <w:rFonts w:hint="eastAsia" w:ascii="宋体" w:hAnsi="宋体" w:cs="宋体"/>
          <w:bCs/>
          <w:kern w:val="2"/>
          <w:sz w:val="21"/>
          <w:szCs w:val="21"/>
          <w:lang w:val="en-US" w:eastAsia="zh-CN" w:bidi="ar-SA"/>
        </w:rPr>
        <w:t>.</w:t>
      </w:r>
      <w:r>
        <w:rPr>
          <w:rFonts w:hint="eastAsia" w:ascii="宋体" w:hAnsi="宋体" w:eastAsia="宋体" w:cs="宋体"/>
          <w:bCs/>
          <w:kern w:val="2"/>
          <w:sz w:val="21"/>
          <w:szCs w:val="21"/>
          <w:lang w:val="en-US" w:eastAsia="zh-CN" w:bidi="ar-SA"/>
        </w:rPr>
        <w:t>建设周期：合同签订之日起60天内完成项目安装调试及初验，初验结束后项目进入试运行阶段，试运行时间不少于3个月，3个月后进行终验。本项目要求2025年10月底前通过项目终验。</w:t>
      </w:r>
    </w:p>
    <w:p w14:paraId="0E8C0A5A">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w:t>
      </w:r>
      <w:r>
        <w:rPr>
          <w:rFonts w:hint="eastAsia" w:ascii="宋体" w:hAnsi="宋体" w:cs="宋体"/>
          <w:bCs/>
          <w:kern w:val="2"/>
          <w:sz w:val="21"/>
          <w:szCs w:val="21"/>
          <w:lang w:val="en-US" w:eastAsia="zh-CN" w:bidi="ar-SA"/>
        </w:rPr>
        <w:t>.</w:t>
      </w:r>
      <w:r>
        <w:rPr>
          <w:rFonts w:hint="eastAsia" w:ascii="宋体" w:hAnsi="宋体" w:eastAsia="宋体" w:cs="宋体"/>
          <w:bCs/>
          <w:kern w:val="2"/>
          <w:sz w:val="21"/>
          <w:szCs w:val="21"/>
          <w:lang w:val="en-US" w:eastAsia="zh-CN" w:bidi="ar-SA"/>
        </w:rPr>
        <w:t>施工及验收要求：</w:t>
      </w:r>
    </w:p>
    <w:p w14:paraId="1F1E6533">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1）施工期间，中标人应遵守有关部门的管理，并遵照相关的规定。系统设备安装（包括所使用的设备、材料、布线方法、安装工艺、调试开通等）必须符合国家、行业法规和规范要求。在施工中应做好对其他设施的保护，凡造成其它设施、设备损坏的，一律由中标单位负责赔偿。</w:t>
      </w:r>
    </w:p>
    <w:p w14:paraId="0AB92487">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（2）投标人需派出3人及以上的项目团队人员（含项目经理1名）。项目经理对项目的总体实施进行管控，投标人应根据采购人需求安排专业技术人员完成指定时间内相关设备安装、运行情况分析等工作。</w:t>
      </w:r>
    </w:p>
    <w:p w14:paraId="5C904252">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（3）采购人、监理单位和中标人须按照相关法律法规及招标文件要求、投标文件及承诺进行验收，中标人须按要求提供相应的验收资料。</w:t>
      </w:r>
    </w:p>
    <w:p w14:paraId="2711DE31">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w:t>
      </w:r>
      <w:r>
        <w:rPr>
          <w:rFonts w:hint="eastAsia" w:ascii="宋体" w:hAnsi="宋体" w:cs="宋体"/>
          <w:bCs/>
          <w:kern w:val="2"/>
          <w:sz w:val="21"/>
          <w:szCs w:val="21"/>
          <w:lang w:val="en-US" w:eastAsia="zh-CN" w:bidi="ar-SA"/>
        </w:rPr>
        <w:t>.</w:t>
      </w:r>
      <w:r>
        <w:rPr>
          <w:rFonts w:hint="eastAsia" w:ascii="宋体" w:hAnsi="宋体" w:eastAsia="宋体" w:cs="宋体"/>
          <w:bCs/>
          <w:kern w:val="2"/>
          <w:sz w:val="21"/>
          <w:szCs w:val="21"/>
          <w:lang w:val="en-US" w:eastAsia="zh-CN" w:bidi="ar-SA"/>
        </w:rPr>
        <w:t>售中、售后服务要求：</w:t>
      </w:r>
    </w:p>
    <w:p w14:paraId="7414E58D">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 xml:space="preserve">（1）中标人应在合同签订之日起5日内，需至少指派1名项目经理（需具备3年及以上相应项目管理经验，提供相应社保证明）对项目的总体实施进行施工现场管控；配置相应的实施团队驻守项目现场负责项目实施工作，确保项目正常运行，直至服务周期满。期间应服从采购人管理人员管理，并遵守现场的各项规章制度。 </w:t>
      </w:r>
    </w:p>
    <w:p w14:paraId="13252767">
      <w:pPr>
        <w:widowControl w:val="0"/>
        <w:spacing w:line="440" w:lineRule="exact"/>
        <w:ind w:firstLine="420"/>
        <w:jc w:val="both"/>
        <w:rPr>
          <w:rFonts w:hint="eastAsia" w:ascii="宋体" w:hAnsi="宋体" w:eastAsia="宋体" w:cs="宋体"/>
          <w:b/>
          <w:bCs w:val="0"/>
          <w:kern w:val="2"/>
          <w:sz w:val="21"/>
          <w:szCs w:val="21"/>
          <w:lang w:val="en-US" w:eastAsia="zh-CN" w:bidi="ar-SA"/>
        </w:rPr>
      </w:pPr>
      <w:r>
        <w:rPr>
          <w:rFonts w:hint="eastAsia" w:ascii="宋体" w:hAnsi="宋体" w:eastAsia="宋体" w:cs="宋体"/>
          <w:b/>
          <w:bCs w:val="0"/>
          <w:kern w:val="2"/>
          <w:sz w:val="21"/>
          <w:szCs w:val="21"/>
          <w:lang w:val="en-US" w:eastAsia="zh-CN" w:bidi="ar-SA"/>
        </w:rPr>
        <w:t>（2）质保要求：投标人须提供针对本项目不少于三年保修承诺（项目终验通过之日起计算）。</w:t>
      </w:r>
    </w:p>
    <w:p w14:paraId="7B8EC84E">
      <w:pPr>
        <w:widowControl w:val="0"/>
        <w:spacing w:line="440" w:lineRule="exact"/>
        <w:ind w:firstLine="420"/>
        <w:jc w:val="both"/>
        <w:rPr>
          <w:rFonts w:hint="eastAsia" w:ascii="宋体" w:hAnsi="宋体" w:eastAsia="宋体" w:cs="宋体"/>
          <w:b/>
          <w:bCs w:val="0"/>
          <w:kern w:val="2"/>
          <w:sz w:val="21"/>
          <w:szCs w:val="21"/>
          <w:lang w:val="en-US" w:eastAsia="zh-CN" w:bidi="ar-SA"/>
        </w:rPr>
      </w:pPr>
      <w:r>
        <w:rPr>
          <w:rFonts w:hint="eastAsia" w:ascii="宋体" w:hAnsi="宋体" w:cs="宋体"/>
          <w:b/>
          <w:bCs w:val="0"/>
          <w:kern w:val="2"/>
          <w:sz w:val="21"/>
          <w:szCs w:val="21"/>
          <w:lang w:val="en-US" w:eastAsia="zh-CN" w:bidi="ar-SA"/>
        </w:rPr>
        <w:t>七、</w:t>
      </w:r>
      <w:r>
        <w:rPr>
          <w:rFonts w:hint="eastAsia" w:ascii="宋体" w:hAnsi="宋体" w:eastAsia="宋体" w:cs="宋体"/>
          <w:b/>
          <w:bCs w:val="0"/>
          <w:kern w:val="2"/>
          <w:sz w:val="21"/>
          <w:szCs w:val="21"/>
          <w:lang w:val="en-US" w:eastAsia="zh-CN" w:bidi="ar-SA"/>
        </w:rPr>
        <w:t>培训</w:t>
      </w:r>
    </w:p>
    <w:p w14:paraId="4EFC6C62">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中标人应免费提供技术培训服务（包括授课费、资料费、参加培训人员的差旅食宿费）。投标人需在标书中列出详细的技术培训计划，包括培训课程、参加培训的人数、培训时间、培训地点等。</w:t>
      </w:r>
    </w:p>
    <w:p w14:paraId="1A298950">
      <w:pPr>
        <w:widowControl w:val="0"/>
        <w:spacing w:line="440" w:lineRule="exact"/>
        <w:ind w:firstLine="420"/>
        <w:jc w:val="both"/>
        <w:rPr>
          <w:rFonts w:hint="default" w:ascii="宋体" w:hAnsi="宋体" w:eastAsia="宋体" w:cs="宋体"/>
          <w:b/>
          <w:bCs w:val="0"/>
          <w:kern w:val="2"/>
          <w:sz w:val="21"/>
          <w:szCs w:val="21"/>
          <w:lang w:val="en-US" w:eastAsia="zh-CN" w:bidi="ar-SA"/>
        </w:rPr>
      </w:pPr>
      <w:r>
        <w:rPr>
          <w:rFonts w:hint="eastAsia" w:ascii="宋体" w:hAnsi="宋体" w:cs="宋体"/>
          <w:b/>
          <w:bCs w:val="0"/>
          <w:kern w:val="2"/>
          <w:sz w:val="21"/>
          <w:szCs w:val="21"/>
          <w:lang w:val="en-US" w:eastAsia="zh-CN" w:bidi="ar-SA"/>
        </w:rPr>
        <w:t>八、</w:t>
      </w:r>
      <w:r>
        <w:rPr>
          <w:rFonts w:hint="eastAsia" w:ascii="宋体" w:hAnsi="宋体" w:eastAsia="宋体" w:cs="宋体"/>
          <w:b/>
          <w:bCs w:val="0"/>
          <w:kern w:val="2"/>
          <w:sz w:val="21"/>
          <w:szCs w:val="21"/>
          <w:lang w:val="en-US" w:eastAsia="zh-CN" w:bidi="ar-SA"/>
        </w:rPr>
        <w:t>付款方式</w:t>
      </w:r>
    </w:p>
    <w:p w14:paraId="631C7D6E">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w:t>
      </w:r>
      <w:r>
        <w:rPr>
          <w:rFonts w:hint="eastAsia" w:ascii="宋体" w:hAnsi="宋体" w:eastAsia="宋体" w:cs="宋体"/>
          <w:bCs/>
          <w:kern w:val="2"/>
          <w:sz w:val="21"/>
          <w:szCs w:val="21"/>
          <w:lang w:val="en-US" w:eastAsia="zh-CN" w:bidi="ar-SA"/>
        </w:rPr>
        <w:t>预付款：在合同生效后以及具备实施条件后的</w:t>
      </w:r>
      <w:r>
        <w:rPr>
          <w:rFonts w:hint="eastAsia" w:ascii="宋体" w:hAnsi="宋体" w:cs="宋体"/>
          <w:bCs/>
          <w:kern w:val="2"/>
          <w:sz w:val="21"/>
          <w:szCs w:val="21"/>
          <w:lang w:val="en-US" w:eastAsia="zh-CN" w:bidi="ar-SA"/>
        </w:rPr>
        <w:t>7</w:t>
      </w:r>
      <w:r>
        <w:rPr>
          <w:rFonts w:hint="eastAsia" w:ascii="宋体" w:hAnsi="宋体" w:eastAsia="宋体" w:cs="宋体"/>
          <w:bCs/>
          <w:kern w:val="2"/>
          <w:sz w:val="21"/>
          <w:szCs w:val="21"/>
          <w:lang w:val="en-US" w:eastAsia="zh-CN" w:bidi="ar-SA"/>
        </w:rPr>
        <w:t>个工作日内，采购人根据供应商提供的正规发票，按财政部门规定的支付方式支付合同金额的40%给供应商。</w:t>
      </w:r>
    </w:p>
    <w:p w14:paraId="1CEE5BED">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2、</w:t>
      </w:r>
      <w:r>
        <w:rPr>
          <w:rFonts w:hint="eastAsia" w:ascii="宋体" w:hAnsi="宋体" w:eastAsia="宋体" w:cs="宋体"/>
          <w:bCs/>
          <w:kern w:val="2"/>
          <w:sz w:val="21"/>
          <w:szCs w:val="21"/>
          <w:lang w:val="en-US" w:eastAsia="zh-CN" w:bidi="ar-SA"/>
        </w:rPr>
        <w:t>剩余款项：项目通过终验后</w:t>
      </w:r>
      <w:r>
        <w:rPr>
          <w:rFonts w:hint="eastAsia" w:ascii="宋体" w:hAnsi="宋体" w:cs="宋体"/>
          <w:bCs/>
          <w:kern w:val="2"/>
          <w:sz w:val="21"/>
          <w:szCs w:val="21"/>
          <w:lang w:val="en-US" w:eastAsia="zh-CN" w:bidi="ar-SA"/>
        </w:rPr>
        <w:t>7</w:t>
      </w:r>
      <w:r>
        <w:rPr>
          <w:rFonts w:hint="eastAsia" w:ascii="宋体" w:hAnsi="宋体" w:eastAsia="宋体" w:cs="宋体"/>
          <w:bCs/>
          <w:kern w:val="2"/>
          <w:sz w:val="21"/>
          <w:szCs w:val="21"/>
          <w:lang w:val="en-US" w:eastAsia="zh-CN" w:bidi="ar-SA"/>
        </w:rPr>
        <w:t>个工作日内，采购人根据供应商提供的正规发票，按财政部门规定的支付方式支付合同金额的60%。</w:t>
      </w:r>
    </w:p>
    <w:p w14:paraId="627BC690">
      <w:pPr>
        <w:widowControl w:val="0"/>
        <w:spacing w:line="440" w:lineRule="exact"/>
        <w:ind w:firstLine="420"/>
        <w:jc w:val="both"/>
        <w:rPr>
          <w:rFonts w:hint="eastAsia" w:ascii="宋体" w:hAnsi="宋体" w:eastAsia="宋体" w:cs="宋体"/>
          <w:b/>
          <w:bCs w:val="0"/>
          <w:kern w:val="2"/>
          <w:sz w:val="21"/>
          <w:szCs w:val="21"/>
          <w:lang w:val="en-US" w:eastAsia="zh-CN" w:bidi="ar-SA"/>
        </w:rPr>
      </w:pPr>
      <w:r>
        <w:rPr>
          <w:rFonts w:hint="eastAsia" w:ascii="宋体" w:hAnsi="宋体" w:cs="宋体"/>
          <w:b/>
          <w:bCs w:val="0"/>
          <w:kern w:val="2"/>
          <w:sz w:val="21"/>
          <w:szCs w:val="21"/>
          <w:lang w:val="en-US" w:eastAsia="zh-CN" w:bidi="ar-SA"/>
        </w:rPr>
        <w:t>九、</w:t>
      </w:r>
      <w:r>
        <w:rPr>
          <w:rFonts w:hint="eastAsia" w:ascii="宋体" w:hAnsi="宋体" w:eastAsia="宋体" w:cs="宋体"/>
          <w:b/>
          <w:bCs w:val="0"/>
          <w:kern w:val="2"/>
          <w:sz w:val="21"/>
          <w:szCs w:val="21"/>
          <w:lang w:val="en-US" w:eastAsia="zh-CN" w:bidi="ar-SA"/>
        </w:rPr>
        <w:t>其他说明</w:t>
      </w:r>
    </w:p>
    <w:p w14:paraId="22788F6D">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1、</w:t>
      </w:r>
      <w:r>
        <w:rPr>
          <w:rFonts w:hint="eastAsia" w:ascii="宋体" w:hAnsi="宋体" w:eastAsia="宋体" w:cs="宋体"/>
          <w:bCs/>
          <w:kern w:val="2"/>
          <w:sz w:val="21"/>
          <w:szCs w:val="21"/>
          <w:lang w:val="en-US" w:eastAsia="zh-CN" w:bidi="ar-SA"/>
        </w:rPr>
        <w:t>中标方提供的所有硬件设备等所涉及到的知识产权和所提供的技术资料是合法取得，并享有完整的知识产权，不会因为采购方的使用而被责令停止使用、追偿或者要求赔偿，如出现上述问题，一切经济损失和法律责任均由中标方承担。</w:t>
      </w:r>
    </w:p>
    <w:p w14:paraId="4F696D39">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cs="宋体"/>
          <w:bCs/>
          <w:kern w:val="2"/>
          <w:sz w:val="21"/>
          <w:szCs w:val="21"/>
          <w:lang w:val="en-US" w:eastAsia="zh-CN" w:bidi="ar-SA"/>
        </w:rPr>
        <w:t>2、</w:t>
      </w:r>
      <w:r>
        <w:rPr>
          <w:rFonts w:hint="eastAsia" w:ascii="宋体" w:hAnsi="宋体" w:eastAsia="宋体" w:cs="宋体"/>
          <w:bCs/>
          <w:kern w:val="2"/>
          <w:sz w:val="21"/>
          <w:szCs w:val="21"/>
          <w:lang w:val="en-US" w:eastAsia="zh-CN" w:bidi="ar-SA"/>
        </w:rPr>
        <w:t>保密：中标单位应保证严守在履行本合同中以任何方式知悉的采购单位的商业、技术秘密和其他商业及技术信息，不得泄露、不正当使用或允许他人使用，项目团队应签订保密责任书。</w:t>
      </w:r>
    </w:p>
    <w:p w14:paraId="7C7D5001">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3、扩展性要求：确保在用户需求变更或增加时硬件设备可以灵活地扩展，随着业务需求的不断增长，系统能够通过硬件扩容或增加节点达到客户的性能指标要求，在免费运维期内二次建设不予收费。</w:t>
      </w:r>
    </w:p>
    <w:p w14:paraId="30D79A15">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4、本项目如后续已建设功能有拓展升级需要，中标人须无条件配合升级。</w:t>
      </w:r>
    </w:p>
    <w:p w14:paraId="63ABDACB">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5、采购人认为响应人提供的产品和服务不能满足需求，可否决、终止本次采购。</w:t>
      </w:r>
    </w:p>
    <w:p w14:paraId="2C6FB646">
      <w:pPr>
        <w:widowControl w:val="0"/>
        <w:spacing w:line="440" w:lineRule="exact"/>
        <w:ind w:firstLine="420"/>
        <w:jc w:val="both"/>
        <w:rPr>
          <w:rFonts w:hint="default"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6、本项目中的所配置的灯光设备和音响设备等须完全符合业务场所功能需求。</w:t>
      </w:r>
    </w:p>
    <w:p w14:paraId="4307BB3F">
      <w:pPr>
        <w:widowControl w:val="0"/>
        <w:spacing w:line="440" w:lineRule="exact"/>
        <w:ind w:firstLine="420"/>
        <w:jc w:val="both"/>
        <w:rPr>
          <w:rFonts w:hint="eastAsia" w:ascii="宋体" w:hAnsi="宋体" w:eastAsia="宋体" w:cs="宋体"/>
          <w:bCs/>
          <w:kern w:val="2"/>
          <w:sz w:val="21"/>
          <w:szCs w:val="21"/>
          <w:lang w:val="en-US" w:eastAsia="zh-CN" w:bidi="ar-SA"/>
        </w:rPr>
      </w:pPr>
      <w:r>
        <w:rPr>
          <w:rFonts w:hint="eastAsia" w:ascii="宋体" w:hAnsi="宋体" w:eastAsia="宋体" w:cs="宋体"/>
          <w:bCs/>
          <w:kern w:val="2"/>
          <w:sz w:val="21"/>
          <w:szCs w:val="21"/>
          <w:lang w:val="en-US" w:eastAsia="zh-CN" w:bidi="ar-SA"/>
        </w:rPr>
        <w:t>7、本项目招标代理服务费由中标单位支付。中标单位在领取中标通知书前向采购代理机构支付招标代理费。</w:t>
      </w:r>
    </w:p>
    <w:p w14:paraId="46134C3D">
      <w:pPr>
        <w:rPr>
          <w:rFonts w:hint="eastAsia"/>
        </w:rPr>
      </w:pPr>
    </w:p>
    <w:p w14:paraId="5C50490D">
      <w:pPr>
        <w:rPr>
          <w:rFonts w:hint="eastAsia"/>
        </w:rPr>
      </w:pPr>
    </w:p>
    <w:p w14:paraId="21626223">
      <w:pPr>
        <w:rPr>
          <w:rFonts w:hint="eastAsia"/>
        </w:rPr>
      </w:pPr>
    </w:p>
    <w:p w14:paraId="5D71766E">
      <w:pPr>
        <w:rPr>
          <w:rFonts w:hint="eastAsia"/>
        </w:rPr>
      </w:pPr>
    </w:p>
    <w:bookmarkEnd w:id="1"/>
    <w:p w14:paraId="5BFD41B8">
      <w:pPr>
        <w:pStyle w:val="12"/>
        <w:pageBreakBefore/>
        <w:snapToGrid w:val="0"/>
        <w:spacing w:before="120" w:line="360" w:lineRule="auto"/>
        <w:jc w:val="center"/>
        <w:outlineLvl w:val="0"/>
        <w:rPr>
          <w:rFonts w:ascii="黑体" w:hAnsi="宋体" w:eastAsia="黑体"/>
        </w:rPr>
      </w:pPr>
      <w:r>
        <w:rPr>
          <w:rFonts w:hint="eastAsia" w:ascii="黑体" w:hAnsi="宋体" w:eastAsia="黑体"/>
        </w:rPr>
        <w:t>第三章 投标人须知</w:t>
      </w:r>
    </w:p>
    <w:p w14:paraId="41DECBF5">
      <w:pPr>
        <w:spacing w:line="360" w:lineRule="auto"/>
        <w:jc w:val="center"/>
        <w:rPr>
          <w:rFonts w:hint="eastAsia" w:ascii="黑体" w:hAnsi="宋体" w:eastAsia="黑体" w:cs="Times New Roman"/>
          <w:kern w:val="2"/>
          <w:sz w:val="30"/>
          <w:szCs w:val="24"/>
          <w:lang w:val="en-US" w:eastAsia="zh-CN" w:bidi="ar-SA"/>
        </w:rPr>
      </w:pPr>
      <w:r>
        <w:rPr>
          <w:rFonts w:hint="eastAsia" w:ascii="黑体" w:hAnsi="宋体" w:eastAsia="黑体" w:cs="Times New Roman"/>
          <w:kern w:val="2"/>
          <w:sz w:val="30"/>
          <w:szCs w:val="24"/>
          <w:lang w:val="en-US" w:eastAsia="zh-CN" w:bidi="ar-SA"/>
        </w:rPr>
        <w:t>前附表</w:t>
      </w:r>
    </w:p>
    <w:tbl>
      <w:tblPr>
        <w:tblStyle w:val="28"/>
        <w:tblW w:w="10059" w:type="dxa"/>
        <w:jc w:val="center"/>
        <w:tblCellSpacing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619"/>
        <w:gridCol w:w="1473"/>
        <w:gridCol w:w="4495"/>
        <w:gridCol w:w="1170"/>
        <w:gridCol w:w="2302"/>
      </w:tblGrid>
      <w:tr w14:paraId="66F66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F1C387E">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9419" w:type="dxa"/>
            <w:gridSpan w:val="4"/>
            <w:shd w:val="clear" w:color="auto" w:fill="E0E0E0"/>
            <w:vAlign w:val="center"/>
          </w:tcPr>
          <w:p w14:paraId="7323D578">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内容说明及要求</w:t>
            </w:r>
          </w:p>
        </w:tc>
      </w:tr>
      <w:tr w14:paraId="629A5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7" w:hRule="atLeast"/>
          <w:tblCellSpacing w:w="7" w:type="dxa"/>
          <w:jc w:val="center"/>
        </w:trPr>
        <w:tc>
          <w:tcPr>
            <w:tcW w:w="598" w:type="dxa"/>
            <w:shd w:val="clear" w:color="auto" w:fill="E0E0E0"/>
            <w:vAlign w:val="center"/>
          </w:tcPr>
          <w:p w14:paraId="7FD83EB1">
            <w:pPr>
              <w:jc w:val="center"/>
              <w:rPr>
                <w:rFonts w:asciiTheme="minorEastAsia" w:hAnsiTheme="minorEastAsia" w:eastAsiaTheme="minorEastAsia"/>
                <w:b/>
                <w:szCs w:val="21"/>
              </w:rPr>
            </w:pPr>
            <w:r>
              <w:rPr>
                <w:rFonts w:asciiTheme="minorEastAsia" w:hAnsiTheme="minorEastAsia" w:eastAsiaTheme="minorEastAsia"/>
                <w:b/>
                <w:szCs w:val="21"/>
              </w:rPr>
              <w:t>1</w:t>
            </w:r>
          </w:p>
        </w:tc>
        <w:tc>
          <w:tcPr>
            <w:tcW w:w="1459" w:type="dxa"/>
            <w:shd w:val="clear" w:color="auto" w:fill="E0E0E0"/>
            <w:vAlign w:val="center"/>
          </w:tcPr>
          <w:p w14:paraId="70BF9819">
            <w:pPr>
              <w:jc w:val="center"/>
              <w:rPr>
                <w:rFonts w:asciiTheme="minorEastAsia" w:hAnsiTheme="minorEastAsia" w:eastAsiaTheme="minorEastAsia"/>
                <w:b/>
                <w:szCs w:val="21"/>
              </w:rPr>
            </w:pPr>
            <w:r>
              <w:rPr>
                <w:rFonts w:asciiTheme="minorEastAsia" w:hAnsiTheme="minorEastAsia" w:eastAsiaTheme="minorEastAsia"/>
                <w:b/>
                <w:szCs w:val="21"/>
              </w:rPr>
              <w:t>项目名称</w:t>
            </w:r>
          </w:p>
        </w:tc>
        <w:tc>
          <w:tcPr>
            <w:tcW w:w="4481" w:type="dxa"/>
            <w:shd w:val="clear" w:color="auto" w:fill="FFFFFF"/>
            <w:vAlign w:val="center"/>
          </w:tcPr>
          <w:p w14:paraId="5A15FA5E">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sz w:val="21"/>
                <w:szCs w:val="21"/>
                <w:shd w:val="clear" w:color="auto" w:fill="FFFFFF"/>
              </w:rPr>
              <w:t>舟山第一小学勾山校区新建学校报告厅、录播室、会议室、室外舞台音响灯光设备设施采购项目</w:t>
            </w:r>
          </w:p>
        </w:tc>
        <w:tc>
          <w:tcPr>
            <w:tcW w:w="1156" w:type="dxa"/>
            <w:shd w:val="clear" w:color="auto" w:fill="E0E0E0"/>
            <w:vAlign w:val="center"/>
          </w:tcPr>
          <w:p w14:paraId="7C4CC8B7">
            <w:pPr>
              <w:jc w:val="center"/>
              <w:rPr>
                <w:rFonts w:hint="eastAsia" w:asciiTheme="minorEastAsia" w:hAnsiTheme="minorEastAsia" w:eastAsiaTheme="minorEastAsia"/>
                <w:b/>
                <w:szCs w:val="21"/>
                <w:lang w:eastAsia="zh-CN"/>
              </w:rPr>
            </w:pPr>
            <w:r>
              <w:rPr>
                <w:rFonts w:hint="eastAsia" w:asciiTheme="minorEastAsia" w:hAnsiTheme="minorEastAsia" w:eastAsiaTheme="minorEastAsia"/>
                <w:b/>
                <w:szCs w:val="21"/>
                <w:lang w:eastAsia="zh-CN"/>
              </w:rPr>
              <w:t>项目编号</w:t>
            </w:r>
          </w:p>
        </w:tc>
        <w:tc>
          <w:tcPr>
            <w:tcW w:w="2281" w:type="dxa"/>
            <w:shd w:val="clear" w:color="auto" w:fill="FFFFFF"/>
            <w:vAlign w:val="center"/>
          </w:tcPr>
          <w:p w14:paraId="55833336">
            <w:pPr>
              <w:rPr>
                <w:rFonts w:asciiTheme="minorEastAsia" w:hAnsiTheme="minorEastAsia" w:eastAsiaTheme="minorEastAsia"/>
                <w:b/>
                <w:szCs w:val="21"/>
              </w:rPr>
            </w:pPr>
            <w:r>
              <w:rPr>
                <w:rFonts w:hint="eastAsia" w:asciiTheme="minorEastAsia" w:hAnsiTheme="minorEastAsia" w:eastAsiaTheme="minorEastAsia"/>
                <w:szCs w:val="21"/>
                <w:shd w:val="clear" w:color="auto" w:fill="FFFFFF"/>
              </w:rPr>
              <w:t>ZSJY202</w:t>
            </w:r>
            <w:r>
              <w:rPr>
                <w:rFonts w:hint="eastAsia" w:asciiTheme="minorEastAsia" w:hAnsiTheme="minorEastAsia" w:eastAsiaTheme="minorEastAsia"/>
                <w:szCs w:val="21"/>
                <w:shd w:val="clear" w:color="auto" w:fill="FFFFFF"/>
                <w:lang w:val="en-US" w:eastAsia="zh-CN"/>
              </w:rPr>
              <w:t>5</w:t>
            </w:r>
            <w:r>
              <w:rPr>
                <w:rFonts w:hint="eastAsia" w:asciiTheme="minorEastAsia" w:hAnsiTheme="minorEastAsia" w:eastAsiaTheme="minorEastAsia"/>
                <w:szCs w:val="21"/>
                <w:shd w:val="clear" w:color="auto" w:fill="FFFFFF"/>
              </w:rPr>
              <w:t>-ZFCG-</w:t>
            </w:r>
            <w:r>
              <w:rPr>
                <w:rFonts w:hint="eastAsia" w:asciiTheme="minorEastAsia" w:hAnsiTheme="minorEastAsia" w:eastAsiaTheme="minorEastAsia"/>
                <w:szCs w:val="21"/>
                <w:shd w:val="clear" w:color="auto" w:fill="FFFFFF"/>
                <w:lang w:val="en-US" w:eastAsia="zh-CN"/>
              </w:rPr>
              <w:t>153</w:t>
            </w:r>
            <w:r>
              <w:rPr>
                <w:rFonts w:hint="eastAsia" w:asciiTheme="minorEastAsia" w:hAnsiTheme="minorEastAsia" w:eastAsiaTheme="minorEastAsia"/>
                <w:szCs w:val="21"/>
                <w:shd w:val="clear" w:color="auto" w:fill="FFFFFF"/>
              </w:rPr>
              <w:t>#</w:t>
            </w:r>
          </w:p>
        </w:tc>
      </w:tr>
      <w:tr w14:paraId="0F66C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56FAFC8F">
            <w:pPr>
              <w:spacing w:line="360" w:lineRule="auto"/>
              <w:jc w:val="center"/>
              <w:rPr>
                <w:rFonts w:asciiTheme="minorEastAsia" w:hAnsiTheme="minorEastAsia" w:eastAsiaTheme="minorEastAsia"/>
                <w:b/>
                <w:szCs w:val="21"/>
              </w:rPr>
            </w:pPr>
            <w:r>
              <w:rPr>
                <w:rFonts w:asciiTheme="minorEastAsia" w:hAnsiTheme="minorEastAsia" w:eastAsiaTheme="minorEastAsia"/>
                <w:b/>
                <w:szCs w:val="21"/>
              </w:rPr>
              <w:t>2</w:t>
            </w:r>
          </w:p>
        </w:tc>
        <w:tc>
          <w:tcPr>
            <w:tcW w:w="1459" w:type="dxa"/>
            <w:shd w:val="clear" w:color="auto" w:fill="E0E0E0"/>
            <w:vAlign w:val="center"/>
          </w:tcPr>
          <w:p w14:paraId="04B395A5">
            <w:pPr>
              <w:jc w:val="center"/>
              <w:rPr>
                <w:rFonts w:asciiTheme="minorEastAsia" w:hAnsiTheme="minorEastAsia" w:eastAsiaTheme="minorEastAsia"/>
                <w:b/>
                <w:szCs w:val="21"/>
              </w:rPr>
            </w:pPr>
            <w:r>
              <w:rPr>
                <w:rFonts w:asciiTheme="minorEastAsia" w:hAnsiTheme="minorEastAsia" w:eastAsiaTheme="minorEastAsia"/>
                <w:b/>
                <w:szCs w:val="21"/>
              </w:rPr>
              <w:t>采购内容</w:t>
            </w:r>
          </w:p>
        </w:tc>
        <w:tc>
          <w:tcPr>
            <w:tcW w:w="4481" w:type="dxa"/>
            <w:tcBorders>
              <w:right w:val="single" w:color="auto" w:sz="4" w:space="0"/>
            </w:tcBorders>
            <w:shd w:val="clear" w:color="auto" w:fill="FFFFFF"/>
            <w:vAlign w:val="center"/>
          </w:tcPr>
          <w:p w14:paraId="0E2DBC91">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详见第二章采购需求</w:t>
            </w:r>
          </w:p>
        </w:tc>
        <w:tc>
          <w:tcPr>
            <w:tcW w:w="1156" w:type="dxa"/>
            <w:tcBorders>
              <w:left w:val="single" w:color="auto" w:sz="4" w:space="0"/>
              <w:right w:val="single" w:color="auto" w:sz="4" w:space="0"/>
            </w:tcBorders>
            <w:shd w:val="clear" w:color="auto" w:fill="FFFFFF"/>
            <w:vAlign w:val="center"/>
          </w:tcPr>
          <w:p w14:paraId="23A2F2B6">
            <w:pPr>
              <w:jc w:val="center"/>
              <w:rPr>
                <w:rFonts w:asciiTheme="minorEastAsia" w:hAnsiTheme="minorEastAsia" w:eastAsiaTheme="minorEastAsia"/>
                <w:b/>
                <w:szCs w:val="21"/>
              </w:rPr>
            </w:pPr>
            <w:r>
              <w:rPr>
                <w:rFonts w:asciiTheme="minorEastAsia" w:hAnsiTheme="minorEastAsia" w:eastAsiaTheme="minorEastAsia"/>
                <w:b/>
                <w:szCs w:val="21"/>
              </w:rPr>
              <w:t>资金来源</w:t>
            </w:r>
          </w:p>
        </w:tc>
        <w:tc>
          <w:tcPr>
            <w:tcW w:w="2281" w:type="dxa"/>
            <w:tcBorders>
              <w:left w:val="single" w:color="auto" w:sz="4" w:space="0"/>
            </w:tcBorders>
            <w:shd w:val="clear" w:color="auto" w:fill="FFFFFF"/>
            <w:vAlign w:val="center"/>
          </w:tcPr>
          <w:p w14:paraId="18D36966">
            <w:pPr>
              <w:spacing w:line="276" w:lineRule="auto"/>
              <w:rPr>
                <w:rFonts w:asciiTheme="minorEastAsia" w:hAnsiTheme="minorEastAsia" w:eastAsiaTheme="minorEastAsia"/>
                <w:color w:val="000000" w:themeColor="text1"/>
                <w:szCs w:val="21"/>
                <w:shd w:val="clear" w:color="auto" w:fill="FFFFFF"/>
                <w14:textFill>
                  <w14:solidFill>
                    <w14:schemeClr w14:val="tx1"/>
                  </w14:solidFill>
                </w14:textFill>
              </w:rPr>
            </w:pPr>
            <w:r>
              <w:rPr>
                <w:rFonts w:asciiTheme="minorEastAsia" w:hAnsiTheme="minorEastAsia" w:eastAsiaTheme="minorEastAsia"/>
                <w:color w:val="000000" w:themeColor="text1"/>
                <w:szCs w:val="21"/>
                <w14:textFill>
                  <w14:solidFill>
                    <w14:schemeClr w14:val="tx1"/>
                  </w14:solidFill>
                </w14:textFill>
              </w:rPr>
              <w:t>财政性</w:t>
            </w:r>
            <w:r>
              <w:rPr>
                <w:rFonts w:hint="eastAsia" w:asciiTheme="minorEastAsia" w:hAnsiTheme="minorEastAsia" w:eastAsiaTheme="minorEastAsia"/>
                <w:szCs w:val="21"/>
                <w:shd w:val="clear" w:color="auto" w:fill="FFFFFF"/>
              </w:rPr>
              <w:t>资金</w:t>
            </w:r>
          </w:p>
        </w:tc>
      </w:tr>
      <w:tr w14:paraId="3E7FC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5389931">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3</w:t>
            </w:r>
          </w:p>
        </w:tc>
        <w:tc>
          <w:tcPr>
            <w:tcW w:w="1459" w:type="dxa"/>
            <w:shd w:val="clear" w:color="auto" w:fill="E0E0E0"/>
            <w:vAlign w:val="center"/>
          </w:tcPr>
          <w:p w14:paraId="784A92A6">
            <w:pPr>
              <w:jc w:val="center"/>
              <w:rPr>
                <w:rFonts w:asciiTheme="minorEastAsia" w:hAnsiTheme="minorEastAsia" w:eastAsiaTheme="minorEastAsia"/>
                <w:b/>
                <w:szCs w:val="21"/>
              </w:rPr>
            </w:pPr>
            <w:r>
              <w:rPr>
                <w:rFonts w:asciiTheme="minorEastAsia" w:hAnsiTheme="minorEastAsia" w:eastAsiaTheme="minorEastAsia"/>
                <w:b/>
                <w:szCs w:val="21"/>
              </w:rPr>
              <w:t>项目预算</w:t>
            </w:r>
          </w:p>
        </w:tc>
        <w:tc>
          <w:tcPr>
            <w:tcW w:w="7946" w:type="dxa"/>
            <w:gridSpan w:val="3"/>
            <w:shd w:val="clear" w:color="auto" w:fill="FFFFFF"/>
            <w:vAlign w:val="center"/>
          </w:tcPr>
          <w:p w14:paraId="1930FB5C">
            <w:pPr>
              <w:spacing w:line="320" w:lineRule="exact"/>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850000元</w:t>
            </w:r>
            <w:r>
              <w:rPr>
                <w:rFonts w:hint="eastAsia" w:asciiTheme="minorEastAsia" w:hAnsiTheme="minorEastAsia" w:eastAsiaTheme="minorEastAsia"/>
                <w:color w:val="auto"/>
                <w:sz w:val="21"/>
                <w:szCs w:val="21"/>
                <w:u w:val="none"/>
                <w:shd w:val="clear" w:color="auto" w:fill="FFFFFF"/>
                <w:lang w:val="en-US" w:eastAsia="zh-CN"/>
              </w:rPr>
              <w:t>。</w:t>
            </w:r>
          </w:p>
        </w:tc>
      </w:tr>
      <w:tr w14:paraId="1048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288764F5">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4</w:t>
            </w:r>
          </w:p>
        </w:tc>
        <w:tc>
          <w:tcPr>
            <w:tcW w:w="1459" w:type="dxa"/>
            <w:shd w:val="clear" w:color="auto" w:fill="E0E0E0"/>
            <w:vAlign w:val="center"/>
          </w:tcPr>
          <w:p w14:paraId="1D429DAE">
            <w:pPr>
              <w:jc w:val="center"/>
              <w:rPr>
                <w:rFonts w:asciiTheme="minorEastAsia" w:hAnsiTheme="minorEastAsia" w:eastAsiaTheme="minorEastAsia"/>
                <w:b/>
                <w:szCs w:val="21"/>
              </w:rPr>
            </w:pPr>
            <w:r>
              <w:rPr>
                <w:rFonts w:asciiTheme="minorEastAsia" w:hAnsiTheme="minorEastAsia" w:eastAsiaTheme="minorEastAsia"/>
                <w:b/>
                <w:szCs w:val="21"/>
              </w:rPr>
              <w:t>踏勘现场</w:t>
            </w:r>
          </w:p>
        </w:tc>
        <w:tc>
          <w:tcPr>
            <w:tcW w:w="7946" w:type="dxa"/>
            <w:gridSpan w:val="3"/>
            <w:shd w:val="clear" w:color="auto" w:fill="FFFFFF"/>
            <w:vAlign w:val="center"/>
          </w:tcPr>
          <w:p w14:paraId="586F4575">
            <w:pPr>
              <w:spacing w:line="320" w:lineRule="exact"/>
              <w:rPr>
                <w:rFonts w:asciiTheme="minorEastAsia" w:hAnsiTheme="minorEastAsia" w:eastAsiaTheme="minorEastAsia"/>
                <w:color w:val="auto"/>
                <w:szCs w:val="21"/>
              </w:rPr>
            </w:pPr>
            <w:r>
              <w:rPr>
                <w:rFonts w:hint="eastAsia" w:asciiTheme="minorEastAsia" w:hAnsiTheme="minorEastAsia" w:eastAsiaTheme="minorEastAsia"/>
                <w:color w:val="auto"/>
                <w:szCs w:val="21"/>
                <w:lang w:eastAsia="zh-CN"/>
              </w:rPr>
              <w:t>采购代理机构</w:t>
            </w:r>
            <w:r>
              <w:rPr>
                <w:rFonts w:asciiTheme="minorEastAsia" w:hAnsiTheme="minorEastAsia" w:eastAsiaTheme="minorEastAsia"/>
                <w:color w:val="auto"/>
                <w:szCs w:val="21"/>
              </w:rPr>
              <w:t>不组织踏勘，如</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需进行现场踏勘的，须跟</w:t>
            </w:r>
            <w:r>
              <w:rPr>
                <w:rFonts w:hint="eastAsia" w:asciiTheme="minorEastAsia" w:hAnsiTheme="minorEastAsia" w:eastAsiaTheme="minorEastAsia"/>
                <w:color w:val="auto"/>
                <w:szCs w:val="21"/>
              </w:rPr>
              <w:t>采购人</w:t>
            </w:r>
            <w:r>
              <w:rPr>
                <w:rFonts w:asciiTheme="minorEastAsia" w:hAnsiTheme="minorEastAsia" w:eastAsiaTheme="minorEastAsia"/>
                <w:color w:val="auto"/>
                <w:szCs w:val="21"/>
              </w:rPr>
              <w:t>进行协商。但</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不得因此使</w:t>
            </w:r>
            <w:r>
              <w:rPr>
                <w:rFonts w:hint="eastAsia" w:asciiTheme="minorEastAsia" w:hAnsiTheme="minorEastAsia" w:eastAsiaTheme="minorEastAsia"/>
                <w:color w:val="auto"/>
                <w:szCs w:val="21"/>
              </w:rPr>
              <w:t>采购人</w:t>
            </w:r>
            <w:r>
              <w:rPr>
                <w:rFonts w:asciiTheme="minorEastAsia" w:hAnsiTheme="minorEastAsia" w:eastAsiaTheme="minorEastAsia"/>
                <w:color w:val="auto"/>
                <w:szCs w:val="21"/>
              </w:rPr>
              <w:t>承担有关责任和蒙受损失，</w:t>
            </w:r>
            <w:r>
              <w:rPr>
                <w:rFonts w:hint="eastAsia" w:asciiTheme="minorEastAsia" w:hAnsiTheme="minorEastAsia" w:eastAsiaTheme="minorEastAsia"/>
                <w:color w:val="auto"/>
                <w:szCs w:val="21"/>
              </w:rPr>
              <w:t>投标人</w:t>
            </w:r>
            <w:r>
              <w:rPr>
                <w:rFonts w:asciiTheme="minorEastAsia" w:hAnsiTheme="minorEastAsia" w:eastAsiaTheme="minorEastAsia"/>
                <w:color w:val="auto"/>
                <w:szCs w:val="21"/>
              </w:rPr>
              <w:t>应承担踏勘现场的责任和风险。</w:t>
            </w:r>
          </w:p>
        </w:tc>
      </w:tr>
      <w:tr w14:paraId="5F9A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EFBE537">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5</w:t>
            </w:r>
          </w:p>
        </w:tc>
        <w:tc>
          <w:tcPr>
            <w:tcW w:w="1459" w:type="dxa"/>
            <w:shd w:val="clear" w:color="auto" w:fill="E0E0E0"/>
            <w:vAlign w:val="center"/>
          </w:tcPr>
          <w:p w14:paraId="322A961F">
            <w:pPr>
              <w:jc w:val="center"/>
              <w:rPr>
                <w:rFonts w:hint="default" w:asciiTheme="minorEastAsia" w:hAnsiTheme="minorEastAsia" w:eastAsiaTheme="minorEastAsia"/>
                <w:b/>
                <w:szCs w:val="21"/>
                <w:lang w:val="en-US" w:eastAsia="zh-CN"/>
              </w:rPr>
            </w:pPr>
            <w:r>
              <w:rPr>
                <w:rFonts w:hint="eastAsia" w:asciiTheme="minorEastAsia" w:hAnsiTheme="minorEastAsia" w:eastAsiaTheme="minorEastAsia"/>
                <w:b/>
                <w:szCs w:val="21"/>
                <w:lang w:val="en-US" w:eastAsia="zh-CN"/>
              </w:rPr>
              <w:t>建设周期</w:t>
            </w:r>
          </w:p>
        </w:tc>
        <w:tc>
          <w:tcPr>
            <w:tcW w:w="7946" w:type="dxa"/>
            <w:gridSpan w:val="3"/>
            <w:shd w:val="clear" w:color="auto" w:fill="FFFFFF"/>
            <w:vAlign w:val="center"/>
          </w:tcPr>
          <w:p w14:paraId="00DAE1EC">
            <w:pPr>
              <w:spacing w:line="320" w:lineRule="exac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t>合同签订之日起60天内完成项目安装调试及初验，初验结束后项目进入试运行阶段，试运行时间不少于3个月，3个月后进行终验。本项目要求2025年10月底前通过项目终验。</w:t>
            </w:r>
          </w:p>
        </w:tc>
      </w:tr>
      <w:tr w14:paraId="7F092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1A596F94">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6</w:t>
            </w:r>
          </w:p>
        </w:tc>
        <w:tc>
          <w:tcPr>
            <w:tcW w:w="1459" w:type="dxa"/>
            <w:shd w:val="clear" w:color="auto" w:fill="E0E0E0"/>
            <w:vAlign w:val="center"/>
          </w:tcPr>
          <w:p w14:paraId="3F504217">
            <w:pPr>
              <w:jc w:val="center"/>
              <w:rPr>
                <w:rFonts w:asciiTheme="minorEastAsia" w:hAnsiTheme="minorEastAsia" w:eastAsiaTheme="minorEastAsia"/>
                <w:b/>
                <w:szCs w:val="21"/>
              </w:rPr>
            </w:pPr>
            <w:r>
              <w:rPr>
                <w:rFonts w:hint="eastAsia" w:asciiTheme="minorEastAsia" w:hAnsiTheme="minorEastAsia" w:eastAsiaTheme="minorEastAsia"/>
                <w:b/>
                <w:szCs w:val="21"/>
              </w:rPr>
              <w:t>质保期</w:t>
            </w:r>
          </w:p>
        </w:tc>
        <w:tc>
          <w:tcPr>
            <w:tcW w:w="7946" w:type="dxa"/>
            <w:gridSpan w:val="3"/>
            <w:shd w:val="clear" w:color="auto" w:fill="FFFFFF"/>
            <w:vAlign w:val="center"/>
          </w:tcPr>
          <w:p w14:paraId="7B8FABC9">
            <w:pPr>
              <w:widowControl w:val="0"/>
              <w:spacing w:line="440" w:lineRule="exact"/>
              <w:jc w:val="both"/>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ascii="宋体" w:hAnsi="宋体" w:eastAsia="宋体" w:cs="Times New Roman"/>
                <w:color w:val="000000"/>
                <w:kern w:val="2"/>
                <w:sz w:val="21"/>
                <w:szCs w:val="21"/>
                <w:highlight w:val="none"/>
                <w:lang w:val="en-US" w:eastAsia="zh-CN" w:bidi="ar-SA"/>
              </w:rPr>
              <w:t>投标人须提供针对本项目不少于三年保修承诺（项目终验通过之日起计算）。</w:t>
            </w:r>
          </w:p>
        </w:tc>
      </w:tr>
      <w:tr w14:paraId="1A90F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6EE42B3">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7</w:t>
            </w:r>
          </w:p>
        </w:tc>
        <w:tc>
          <w:tcPr>
            <w:tcW w:w="1459" w:type="dxa"/>
            <w:shd w:val="clear" w:color="auto" w:fill="E0E0E0"/>
            <w:vAlign w:val="center"/>
          </w:tcPr>
          <w:p w14:paraId="23B493DB">
            <w:pPr>
              <w:jc w:val="center"/>
              <w:rPr>
                <w:rFonts w:asciiTheme="minorEastAsia" w:hAnsiTheme="minorEastAsia" w:eastAsiaTheme="minorEastAsia"/>
                <w:b/>
                <w:szCs w:val="21"/>
              </w:rPr>
            </w:pPr>
            <w:r>
              <w:rPr>
                <w:rFonts w:asciiTheme="minorEastAsia" w:hAnsiTheme="minorEastAsia" w:eastAsiaTheme="minorEastAsia"/>
                <w:b/>
                <w:szCs w:val="21"/>
              </w:rPr>
              <w:t>投标有效期</w:t>
            </w:r>
          </w:p>
        </w:tc>
        <w:tc>
          <w:tcPr>
            <w:tcW w:w="7946" w:type="dxa"/>
            <w:gridSpan w:val="3"/>
            <w:shd w:val="clear" w:color="auto" w:fill="FFFFFF"/>
            <w:vAlign w:val="center"/>
          </w:tcPr>
          <w:p w14:paraId="11365927">
            <w:pPr>
              <w:spacing w:line="320" w:lineRule="exact"/>
              <w:rPr>
                <w:rFonts w:asciiTheme="minorEastAsia" w:hAnsiTheme="minorEastAsia" w:eastAsiaTheme="minorEastAsia"/>
                <w:szCs w:val="21"/>
                <w:shd w:val="clear" w:color="auto" w:fill="FFFFFF"/>
              </w:rPr>
            </w:pPr>
            <w:r>
              <w:rPr>
                <w:rFonts w:asciiTheme="minorEastAsia" w:hAnsiTheme="minorEastAsia" w:eastAsiaTheme="minorEastAsia"/>
                <w:szCs w:val="21"/>
                <w:shd w:val="clear" w:color="auto" w:fill="FFFFFF"/>
              </w:rPr>
              <w:t>90日历天。（从开标截止之日起）</w:t>
            </w:r>
          </w:p>
        </w:tc>
      </w:tr>
      <w:tr w14:paraId="2D27D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31B7842C">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8</w:t>
            </w:r>
          </w:p>
        </w:tc>
        <w:tc>
          <w:tcPr>
            <w:tcW w:w="1459" w:type="dxa"/>
            <w:shd w:val="clear" w:color="auto" w:fill="E0E0E0"/>
            <w:vAlign w:val="center"/>
          </w:tcPr>
          <w:p w14:paraId="214174BC">
            <w:pPr>
              <w:jc w:val="center"/>
              <w:rPr>
                <w:rFonts w:asciiTheme="minorEastAsia" w:hAnsiTheme="minorEastAsia" w:eastAsiaTheme="minorEastAsia"/>
                <w:b/>
                <w:szCs w:val="21"/>
              </w:rPr>
            </w:pPr>
            <w:r>
              <w:rPr>
                <w:rFonts w:asciiTheme="minorEastAsia" w:hAnsiTheme="minorEastAsia" w:eastAsiaTheme="minorEastAsia"/>
                <w:b/>
                <w:szCs w:val="21"/>
              </w:rPr>
              <w:t>评标办法</w:t>
            </w:r>
          </w:p>
        </w:tc>
        <w:tc>
          <w:tcPr>
            <w:tcW w:w="7946" w:type="dxa"/>
            <w:gridSpan w:val="3"/>
            <w:shd w:val="clear" w:color="auto" w:fill="FFFFFF"/>
            <w:vAlign w:val="center"/>
          </w:tcPr>
          <w:p w14:paraId="32F13311">
            <w:pPr>
              <w:spacing w:line="276" w:lineRule="auto"/>
              <w:rPr>
                <w:rFonts w:asciiTheme="minorEastAsia" w:hAnsiTheme="minorEastAsia" w:eastAsiaTheme="minorEastAsia"/>
                <w:szCs w:val="21"/>
              </w:rPr>
            </w:pPr>
            <w:r>
              <w:rPr>
                <w:rFonts w:asciiTheme="minorEastAsia" w:hAnsiTheme="minorEastAsia" w:eastAsiaTheme="minorEastAsia"/>
                <w:szCs w:val="21"/>
              </w:rPr>
              <w:t>综合评分法</w:t>
            </w:r>
          </w:p>
        </w:tc>
      </w:tr>
      <w:tr w14:paraId="2224D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25" w:hRule="atLeast"/>
          <w:tblCellSpacing w:w="7" w:type="dxa"/>
          <w:jc w:val="center"/>
        </w:trPr>
        <w:tc>
          <w:tcPr>
            <w:tcW w:w="598" w:type="dxa"/>
            <w:shd w:val="clear" w:color="auto" w:fill="E0E0E0"/>
            <w:vAlign w:val="center"/>
          </w:tcPr>
          <w:p w14:paraId="5DC501CC">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9</w:t>
            </w:r>
          </w:p>
        </w:tc>
        <w:tc>
          <w:tcPr>
            <w:tcW w:w="1459" w:type="dxa"/>
            <w:shd w:val="clear" w:color="auto" w:fill="E0E0E0"/>
            <w:vAlign w:val="center"/>
          </w:tcPr>
          <w:p w14:paraId="253BEA4A">
            <w:pPr>
              <w:jc w:val="center"/>
              <w:rPr>
                <w:rFonts w:asciiTheme="minorEastAsia" w:hAnsiTheme="minorEastAsia" w:eastAsiaTheme="minorEastAsia"/>
                <w:b/>
                <w:szCs w:val="21"/>
              </w:rPr>
            </w:pPr>
            <w:r>
              <w:rPr>
                <w:rFonts w:asciiTheme="minorEastAsia" w:hAnsiTheme="minorEastAsia" w:eastAsiaTheme="minorEastAsia"/>
                <w:b/>
                <w:szCs w:val="21"/>
              </w:rPr>
              <w:t>签订合同</w:t>
            </w:r>
          </w:p>
        </w:tc>
        <w:tc>
          <w:tcPr>
            <w:tcW w:w="7946" w:type="dxa"/>
            <w:gridSpan w:val="3"/>
            <w:shd w:val="clear" w:color="auto" w:fill="FFFFFF"/>
            <w:vAlign w:val="center"/>
          </w:tcPr>
          <w:p w14:paraId="1314DFCE">
            <w:pPr>
              <w:spacing w:line="276" w:lineRule="auto"/>
              <w:rPr>
                <w:rFonts w:asciiTheme="minorEastAsia" w:hAnsiTheme="minorEastAsia" w:eastAsiaTheme="minorEastAsia"/>
                <w:szCs w:val="21"/>
              </w:rPr>
            </w:pPr>
            <w:r>
              <w:rPr>
                <w:rFonts w:asciiTheme="minorEastAsia" w:hAnsiTheme="minorEastAsia" w:eastAsiaTheme="minorEastAsia"/>
                <w:szCs w:val="21"/>
              </w:rPr>
              <w:t>中标通知书发出后</w:t>
            </w:r>
            <w:r>
              <w:rPr>
                <w:rFonts w:asciiTheme="minorEastAsia" w:hAnsiTheme="minorEastAsia" w:eastAsiaTheme="minorEastAsia"/>
                <w:szCs w:val="21"/>
                <w:u w:val="single"/>
              </w:rPr>
              <w:t xml:space="preserve"> 30 </w:t>
            </w:r>
            <w:r>
              <w:rPr>
                <w:rFonts w:asciiTheme="minorEastAsia" w:hAnsiTheme="minorEastAsia" w:eastAsiaTheme="minorEastAsia"/>
                <w:szCs w:val="21"/>
              </w:rPr>
              <w:t>天内。</w:t>
            </w:r>
          </w:p>
        </w:tc>
      </w:tr>
      <w:tr w14:paraId="5F454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1" w:hRule="atLeast"/>
          <w:tblCellSpacing w:w="7" w:type="dxa"/>
          <w:jc w:val="center"/>
        </w:trPr>
        <w:tc>
          <w:tcPr>
            <w:tcW w:w="598" w:type="dxa"/>
            <w:shd w:val="clear" w:color="auto" w:fill="E0E0E0"/>
            <w:vAlign w:val="center"/>
          </w:tcPr>
          <w:p w14:paraId="76AEC479">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10</w:t>
            </w:r>
          </w:p>
        </w:tc>
        <w:tc>
          <w:tcPr>
            <w:tcW w:w="1459" w:type="dxa"/>
            <w:shd w:val="clear" w:color="auto" w:fill="E0E0E0"/>
            <w:vAlign w:val="center"/>
          </w:tcPr>
          <w:p w14:paraId="48A05E8C">
            <w:pPr>
              <w:jc w:val="center"/>
              <w:rPr>
                <w:rFonts w:asciiTheme="minorEastAsia" w:hAnsiTheme="minorEastAsia" w:eastAsiaTheme="minorEastAsia"/>
                <w:b/>
                <w:szCs w:val="21"/>
              </w:rPr>
            </w:pPr>
            <w:r>
              <w:rPr>
                <w:rFonts w:asciiTheme="minorEastAsia" w:hAnsiTheme="minorEastAsia" w:eastAsiaTheme="minorEastAsia"/>
                <w:b/>
                <w:szCs w:val="21"/>
              </w:rPr>
              <w:t>资金结算</w:t>
            </w:r>
          </w:p>
        </w:tc>
        <w:tc>
          <w:tcPr>
            <w:tcW w:w="7946" w:type="dxa"/>
            <w:gridSpan w:val="3"/>
            <w:shd w:val="clear" w:color="auto" w:fill="FFFFFF"/>
            <w:vAlign w:val="center"/>
          </w:tcPr>
          <w:p w14:paraId="7BD8E40A">
            <w:pPr>
              <w:wordWrap w:val="0"/>
              <w:spacing w:line="360" w:lineRule="exact"/>
              <w:rPr>
                <w:rFonts w:asciiTheme="minorEastAsia" w:hAnsiTheme="minorEastAsia" w:eastAsiaTheme="minorEastAsia"/>
                <w:color w:val="000000" w:themeColor="text1"/>
                <w:highlight w:val="none"/>
                <w14:textFill>
                  <w14:solidFill>
                    <w14:schemeClr w14:val="tx1"/>
                  </w14:solidFill>
                </w14:textFill>
              </w:rPr>
            </w:pPr>
            <w:r>
              <w:rPr>
                <w:rFonts w:hint="eastAsia" w:asciiTheme="minorEastAsia" w:hAnsiTheme="minorEastAsia" w:eastAsiaTheme="minorEastAsia"/>
                <w:color w:val="000000" w:themeColor="text1"/>
                <w:highlight w:val="none"/>
                <w14:textFill>
                  <w14:solidFill>
                    <w14:schemeClr w14:val="tx1"/>
                  </w14:solidFill>
                </w14:textFill>
              </w:rPr>
              <w:t>详见第二章采购需求</w:t>
            </w:r>
          </w:p>
        </w:tc>
      </w:tr>
      <w:tr w14:paraId="4737E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18" w:hRule="atLeast"/>
          <w:tblCellSpacing w:w="7" w:type="dxa"/>
          <w:jc w:val="center"/>
        </w:trPr>
        <w:tc>
          <w:tcPr>
            <w:tcW w:w="598" w:type="dxa"/>
            <w:shd w:val="clear" w:color="auto" w:fill="E0E0E0"/>
            <w:vAlign w:val="center"/>
          </w:tcPr>
          <w:p w14:paraId="0415BBE5">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11</w:t>
            </w:r>
          </w:p>
        </w:tc>
        <w:tc>
          <w:tcPr>
            <w:tcW w:w="1459" w:type="dxa"/>
            <w:shd w:val="clear" w:color="auto" w:fill="E0E0E0"/>
            <w:vAlign w:val="center"/>
          </w:tcPr>
          <w:p w14:paraId="39E6A23B">
            <w:pPr>
              <w:jc w:val="center"/>
              <w:rPr>
                <w:rFonts w:asciiTheme="minorEastAsia" w:hAnsiTheme="minorEastAsia" w:eastAsiaTheme="minorEastAsia"/>
                <w:b/>
                <w:szCs w:val="21"/>
              </w:rPr>
            </w:pPr>
            <w:r>
              <w:rPr>
                <w:rFonts w:asciiTheme="minorEastAsia" w:hAnsiTheme="minorEastAsia" w:eastAsiaTheme="minorEastAsia"/>
                <w:b/>
                <w:szCs w:val="21"/>
              </w:rPr>
              <w:t>投标报价</w:t>
            </w:r>
          </w:p>
          <w:p w14:paraId="5F1A88AA">
            <w:pPr>
              <w:jc w:val="center"/>
              <w:rPr>
                <w:rFonts w:asciiTheme="minorEastAsia" w:hAnsiTheme="minorEastAsia" w:eastAsiaTheme="minorEastAsia"/>
                <w:b/>
                <w:szCs w:val="21"/>
              </w:rPr>
            </w:pPr>
            <w:r>
              <w:rPr>
                <w:rFonts w:asciiTheme="minorEastAsia" w:hAnsiTheme="minorEastAsia" w:eastAsiaTheme="minorEastAsia"/>
                <w:b/>
                <w:szCs w:val="21"/>
              </w:rPr>
              <w:t>与费用</w:t>
            </w:r>
          </w:p>
        </w:tc>
        <w:tc>
          <w:tcPr>
            <w:tcW w:w="7946" w:type="dxa"/>
            <w:gridSpan w:val="3"/>
            <w:shd w:val="clear" w:color="auto" w:fill="FFFFFF"/>
            <w:vAlign w:val="center"/>
          </w:tcPr>
          <w:p w14:paraId="58C40ADA">
            <w:pPr>
              <w:wordWrap w:val="0"/>
              <w:spacing w:line="360" w:lineRule="exact"/>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1、投标人所投报的投标报价为投标人所能承受的整个项目的一次性最终合同总价，包括完成本项目工作内容所需的一切费用。合同总价不得超过本项目对应的预算金额。</w:t>
            </w:r>
          </w:p>
          <w:p w14:paraId="0DDCB8D0">
            <w:pPr>
              <w:wordWrap w:val="0"/>
              <w:spacing w:line="360" w:lineRule="exact"/>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2、按国家规定由中标人缴纳的各种税收已包含在投标总价内，由中标人向税务机关缴纳相关费用。</w:t>
            </w:r>
          </w:p>
          <w:p w14:paraId="50D33C71">
            <w:pPr>
              <w:wordWrap w:val="0"/>
              <w:spacing w:line="360" w:lineRule="exact"/>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3、投标人应承担其参加本招标活动自身所发生的费用。</w:t>
            </w:r>
          </w:p>
          <w:p w14:paraId="2E3B53DB">
            <w:pPr>
              <w:wordWrap w:val="0"/>
              <w:spacing w:line="360" w:lineRule="exact"/>
              <w:rPr>
                <w:rFonts w:hint="eastAsia" w:cs="Times New Roman" w:asciiTheme="minorEastAsia" w:hAnsiTheme="minorEastAsia" w:eastAsiaTheme="minorEastAsia"/>
                <w:color w:val="000000" w:themeColor="text1"/>
                <w:highlight w:val="none"/>
                <w:lang w:val="zh-CN"/>
                <w14:textFill>
                  <w14:solidFill>
                    <w14:schemeClr w14:val="tx1"/>
                  </w14:solidFill>
                </w14:textFill>
              </w:rPr>
            </w:pP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4</w:t>
            </w:r>
            <w:r>
              <w:rPr>
                <w:rFonts w:hint="eastAsia" w:cs="Times New Roman" w:asciiTheme="minorEastAsia" w:hAnsiTheme="minorEastAsia" w:eastAsiaTheme="minorEastAsia"/>
                <w:color w:val="000000" w:themeColor="text1"/>
                <w:highlight w:val="none"/>
                <w:lang w:val="zh-CN" w:eastAsia="zh-CN"/>
                <w14:textFill>
                  <w14:solidFill>
                    <w14:schemeClr w14:val="tx1"/>
                  </w14:solidFill>
                </w14:textFill>
              </w:rPr>
              <w:t>、</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本项目的采购代理</w:t>
            </w:r>
            <w:r>
              <w:rPr>
                <w:rFonts w:hint="eastAsia" w:cs="Times New Roman" w:asciiTheme="minorEastAsia" w:hAnsiTheme="minorEastAsia" w:eastAsiaTheme="minorEastAsia"/>
                <w:color w:val="000000" w:themeColor="text1"/>
                <w:highlight w:val="none"/>
                <w14:textFill>
                  <w14:solidFill>
                    <w14:schemeClr w14:val="tx1"/>
                  </w14:solidFill>
                </w14:textFill>
              </w:rPr>
              <w:t>费由中标方支付，收费金额为</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10000</w:t>
            </w:r>
            <w:r>
              <w:rPr>
                <w:rFonts w:hint="eastAsia" w:cs="Times New Roman" w:asciiTheme="minorEastAsia" w:hAnsiTheme="minorEastAsia" w:eastAsiaTheme="minorEastAsia"/>
                <w:color w:val="000000" w:themeColor="text1"/>
                <w:highlight w:val="none"/>
                <w14:textFill>
                  <w14:solidFill>
                    <w14:schemeClr w14:val="tx1"/>
                  </w14:solidFill>
                </w14:textFill>
              </w:rPr>
              <w:t>元。</w:t>
            </w:r>
          </w:p>
          <w:p w14:paraId="54AF8EA1">
            <w:pPr>
              <w:wordWrap w:val="0"/>
              <w:spacing w:line="360" w:lineRule="exact"/>
              <w:rPr>
                <w:rFonts w:hint="eastAsia"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lang w:val="zh-CN"/>
                <w14:textFill>
                  <w14:solidFill>
                    <w14:schemeClr w14:val="tx1"/>
                  </w14:solidFill>
                </w14:textFill>
              </w:rPr>
              <w:t>支</w:t>
            </w:r>
            <w:r>
              <w:rPr>
                <w:rFonts w:hint="eastAsia" w:cs="Times New Roman" w:asciiTheme="minorEastAsia" w:hAnsiTheme="minorEastAsia" w:eastAsiaTheme="minorEastAsia"/>
                <w:color w:val="000000" w:themeColor="text1"/>
                <w:highlight w:val="none"/>
                <w14:textFill>
                  <w14:solidFill>
                    <w14:schemeClr w14:val="tx1"/>
                  </w14:solidFill>
                </w14:textFill>
              </w:rPr>
              <w:t>结算方式及时间为：</w:t>
            </w:r>
            <w:r>
              <w:rPr>
                <w:rFonts w:hint="eastAsia" w:cs="Times New Roman" w:asciiTheme="minorEastAsia" w:hAnsiTheme="minorEastAsia" w:eastAsiaTheme="minorEastAsia"/>
                <w:color w:val="000000" w:themeColor="text1"/>
                <w:highlight w:val="none"/>
                <w:lang w:val="en-US" w:eastAsia="zh-CN"/>
                <w14:textFill>
                  <w14:solidFill>
                    <w14:schemeClr w14:val="tx1"/>
                  </w14:solidFill>
                </w14:textFill>
              </w:rPr>
              <w:t>中标单位在领取中标通知书前向采购代理机构支付招标代理费</w:t>
            </w:r>
            <w:r>
              <w:rPr>
                <w:rFonts w:hint="eastAsia" w:cs="Times New Roman" w:asciiTheme="minorEastAsia" w:hAnsiTheme="minorEastAsia" w:eastAsiaTheme="minorEastAsia"/>
                <w:color w:val="000000" w:themeColor="text1"/>
                <w:highlight w:val="none"/>
                <w14:textFill>
                  <w14:solidFill>
                    <w14:schemeClr w14:val="tx1"/>
                  </w14:solidFill>
                </w14:textFill>
              </w:rPr>
              <w:t>。</w:t>
            </w:r>
          </w:p>
          <w:p w14:paraId="468C3313">
            <w:pPr>
              <w:wordWrap w:val="0"/>
              <w:spacing w:line="360" w:lineRule="exact"/>
              <w:rPr>
                <w:rFonts w:hint="eastAsia"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14:textFill>
                  <w14:solidFill>
                    <w14:schemeClr w14:val="tx1"/>
                  </w14:solidFill>
                </w14:textFill>
              </w:rPr>
              <w:t>收款单位名称：舟山建银工程造价审查中心有限公司</w:t>
            </w:r>
          </w:p>
          <w:p w14:paraId="53971061">
            <w:pPr>
              <w:wordWrap w:val="0"/>
              <w:spacing w:line="360" w:lineRule="exact"/>
              <w:rPr>
                <w:rFonts w:hint="eastAsia" w:cs="Times New Roman" w:asciiTheme="minorEastAsia" w:hAnsiTheme="minorEastAsia" w:eastAsiaTheme="minorEastAsia"/>
                <w:color w:val="000000" w:themeColor="text1"/>
                <w:highlight w:val="none"/>
                <w14:textFill>
                  <w14:solidFill>
                    <w14:schemeClr w14:val="tx1"/>
                  </w14:solidFill>
                </w14:textFill>
              </w:rPr>
            </w:pPr>
            <w:r>
              <w:rPr>
                <w:rFonts w:hint="eastAsia" w:cs="Times New Roman" w:asciiTheme="minorEastAsia" w:hAnsiTheme="minorEastAsia" w:eastAsiaTheme="minorEastAsia"/>
                <w:color w:val="000000" w:themeColor="text1"/>
                <w:highlight w:val="none"/>
                <w14:textFill>
                  <w14:solidFill>
                    <w14:schemeClr w14:val="tx1"/>
                  </w14:solidFill>
                </w14:textFill>
              </w:rPr>
              <w:t>开户银行：舟山市建行营业部</w:t>
            </w:r>
          </w:p>
          <w:p w14:paraId="18734BB1">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cs="Times New Roman" w:asciiTheme="minorEastAsia" w:hAnsiTheme="minorEastAsia" w:eastAsiaTheme="minorEastAsia"/>
                <w:color w:val="000000" w:themeColor="text1"/>
                <w:highlight w:val="none"/>
                <w14:textFill>
                  <w14:solidFill>
                    <w14:schemeClr w14:val="tx1"/>
                  </w14:solidFill>
                </w14:textFill>
              </w:rPr>
              <w:t>银行账号：33001706260050001984</w:t>
            </w:r>
          </w:p>
        </w:tc>
      </w:tr>
      <w:tr w14:paraId="7103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88" w:hRule="atLeast"/>
          <w:tblCellSpacing w:w="7" w:type="dxa"/>
          <w:jc w:val="center"/>
        </w:trPr>
        <w:tc>
          <w:tcPr>
            <w:tcW w:w="598" w:type="dxa"/>
            <w:shd w:val="clear" w:color="auto" w:fill="E0E0E0"/>
            <w:vAlign w:val="center"/>
          </w:tcPr>
          <w:p w14:paraId="5193E4E1">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12</w:t>
            </w:r>
          </w:p>
        </w:tc>
        <w:tc>
          <w:tcPr>
            <w:tcW w:w="1459" w:type="dxa"/>
            <w:shd w:val="clear" w:color="auto" w:fill="E0E0E0"/>
            <w:vAlign w:val="center"/>
          </w:tcPr>
          <w:p w14:paraId="3B3D2289">
            <w:pPr>
              <w:jc w:val="center"/>
              <w:rPr>
                <w:rFonts w:asciiTheme="minorEastAsia" w:hAnsiTheme="minorEastAsia" w:eastAsiaTheme="minorEastAsia"/>
                <w:b/>
                <w:color w:val="auto"/>
                <w:szCs w:val="21"/>
              </w:rPr>
            </w:pPr>
            <w:r>
              <w:rPr>
                <w:rFonts w:asciiTheme="minorEastAsia" w:hAnsiTheme="minorEastAsia" w:eastAsiaTheme="minorEastAsia"/>
                <w:b/>
                <w:color w:val="auto"/>
                <w:szCs w:val="21"/>
              </w:rPr>
              <w:t>履约保证金</w:t>
            </w:r>
          </w:p>
        </w:tc>
        <w:tc>
          <w:tcPr>
            <w:tcW w:w="7946" w:type="dxa"/>
            <w:gridSpan w:val="3"/>
            <w:shd w:val="clear" w:color="auto" w:fill="FFFFFF"/>
            <w:vAlign w:val="center"/>
          </w:tcPr>
          <w:p w14:paraId="429F8F82">
            <w:pPr>
              <w:rPr>
                <w:rFonts w:asciiTheme="minorEastAsia" w:hAnsiTheme="minorEastAsia" w:eastAsiaTheme="minorEastAsia"/>
                <w:color w:val="auto"/>
              </w:rPr>
            </w:pPr>
            <w:r>
              <w:rPr>
                <w:rFonts w:hint="eastAsia" w:ascii="宋体" w:hAnsi="宋体"/>
                <w:color w:val="auto"/>
                <w:szCs w:val="21"/>
              </w:rPr>
              <w:t>履约保证金金额为</w:t>
            </w:r>
            <w:r>
              <w:rPr>
                <w:rFonts w:hint="eastAsia" w:ascii="宋体" w:hAnsi="宋体"/>
                <w:color w:val="auto"/>
              </w:rPr>
              <w:t>签约合同价的</w:t>
            </w:r>
            <w:r>
              <w:rPr>
                <w:rFonts w:hint="eastAsia" w:ascii="宋体" w:hAnsi="宋体"/>
                <w:color w:val="auto"/>
                <w:lang w:val="en-US" w:eastAsia="zh-CN"/>
              </w:rPr>
              <w:t>1</w:t>
            </w:r>
            <w:r>
              <w:rPr>
                <w:rFonts w:hint="eastAsia" w:ascii="宋体" w:hAnsi="宋体"/>
                <w:color w:val="auto"/>
              </w:rPr>
              <w:t>%。（接受以电汇、转账、银行或保险公司出具履约保函形式提交履约保证金）</w:t>
            </w:r>
          </w:p>
        </w:tc>
      </w:tr>
      <w:tr w14:paraId="3A1F9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30" w:hRule="atLeast"/>
          <w:tblCellSpacing w:w="7" w:type="dxa"/>
          <w:jc w:val="center"/>
        </w:trPr>
        <w:tc>
          <w:tcPr>
            <w:tcW w:w="598" w:type="dxa"/>
            <w:shd w:val="clear" w:color="auto" w:fill="E0E0E0"/>
            <w:vAlign w:val="center"/>
          </w:tcPr>
          <w:p w14:paraId="27883C8B">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13</w:t>
            </w:r>
          </w:p>
        </w:tc>
        <w:tc>
          <w:tcPr>
            <w:tcW w:w="1459" w:type="dxa"/>
            <w:shd w:val="clear" w:color="auto" w:fill="E0E0E0"/>
            <w:vAlign w:val="center"/>
          </w:tcPr>
          <w:p w14:paraId="034CDC06">
            <w:pPr>
              <w:jc w:val="center"/>
              <w:rPr>
                <w:rFonts w:asciiTheme="minorEastAsia" w:hAnsiTheme="minorEastAsia" w:eastAsiaTheme="minorEastAsia"/>
                <w:b/>
                <w:szCs w:val="21"/>
              </w:rPr>
            </w:pPr>
            <w:r>
              <w:rPr>
                <w:rFonts w:asciiTheme="minorEastAsia" w:hAnsiTheme="minorEastAsia" w:eastAsiaTheme="minorEastAsia"/>
                <w:b/>
                <w:szCs w:val="21"/>
              </w:rPr>
              <w:t>投标文件</w:t>
            </w:r>
          </w:p>
          <w:p w14:paraId="38458AD6">
            <w:pPr>
              <w:jc w:val="center"/>
              <w:rPr>
                <w:rFonts w:asciiTheme="minorEastAsia" w:hAnsiTheme="minorEastAsia" w:eastAsiaTheme="minorEastAsia"/>
                <w:b/>
                <w:szCs w:val="21"/>
              </w:rPr>
            </w:pPr>
            <w:r>
              <w:rPr>
                <w:rFonts w:asciiTheme="minorEastAsia" w:hAnsiTheme="minorEastAsia" w:eastAsiaTheme="minorEastAsia"/>
                <w:b/>
                <w:szCs w:val="21"/>
              </w:rPr>
              <w:t>的组成</w:t>
            </w:r>
          </w:p>
        </w:tc>
        <w:tc>
          <w:tcPr>
            <w:tcW w:w="7946" w:type="dxa"/>
            <w:gridSpan w:val="3"/>
            <w:shd w:val="clear" w:color="auto" w:fill="FFFFFF"/>
            <w:vAlign w:val="center"/>
          </w:tcPr>
          <w:p w14:paraId="55F6F7CA">
            <w:pPr>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投标文件由资格证明文件、商务及技术文件、投标报价文件三</w:t>
            </w:r>
            <w:r>
              <w:rPr>
                <w:rFonts w:hint="eastAsia" w:asciiTheme="minorEastAsia" w:hAnsiTheme="minorEastAsia" w:eastAsiaTheme="minorEastAsia"/>
                <w:color w:val="000000" w:themeColor="text1"/>
                <w:lang w:val="en-US" w:eastAsia="zh-CN"/>
                <w14:textFill>
                  <w14:solidFill>
                    <w14:schemeClr w14:val="tx1"/>
                  </w14:solidFill>
                </w14:textFill>
              </w:rPr>
              <w:t>部分</w:t>
            </w:r>
            <w:r>
              <w:rPr>
                <w:rFonts w:hint="eastAsia" w:asciiTheme="minorEastAsia" w:hAnsiTheme="minorEastAsia" w:eastAsiaTheme="minorEastAsia"/>
                <w:color w:val="000000" w:themeColor="text1"/>
                <w14:textFill>
                  <w14:solidFill>
                    <w14:schemeClr w14:val="tx1"/>
                  </w14:solidFill>
                </w14:textFill>
              </w:rPr>
              <w:t>组成。</w:t>
            </w:r>
          </w:p>
        </w:tc>
      </w:tr>
      <w:tr w14:paraId="7B5616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671" w:hRule="atLeast"/>
          <w:tblCellSpacing w:w="7" w:type="dxa"/>
          <w:jc w:val="center"/>
        </w:trPr>
        <w:tc>
          <w:tcPr>
            <w:tcW w:w="598" w:type="dxa"/>
            <w:shd w:val="clear" w:color="auto" w:fill="E0E0E0"/>
            <w:vAlign w:val="center"/>
          </w:tcPr>
          <w:p w14:paraId="41DBDF24">
            <w:pPr>
              <w:spacing w:line="276" w:lineRule="auto"/>
              <w:jc w:val="center"/>
              <w:rPr>
                <w:rFonts w:asciiTheme="minorEastAsia" w:hAnsiTheme="minorEastAsia" w:eastAsiaTheme="minorEastAsia"/>
                <w:b/>
              </w:rPr>
            </w:pPr>
            <w:r>
              <w:rPr>
                <w:rFonts w:asciiTheme="minorEastAsia" w:hAnsiTheme="minorEastAsia" w:eastAsiaTheme="minorEastAsia"/>
                <w:b/>
                <w:szCs w:val="21"/>
              </w:rPr>
              <w:t>14</w:t>
            </w:r>
          </w:p>
        </w:tc>
        <w:tc>
          <w:tcPr>
            <w:tcW w:w="1459" w:type="dxa"/>
            <w:shd w:val="clear" w:color="auto" w:fill="E0E0E0"/>
            <w:vAlign w:val="center"/>
          </w:tcPr>
          <w:p w14:paraId="2D42975A">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7E79A5C7">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的递交</w:t>
            </w:r>
          </w:p>
        </w:tc>
        <w:tc>
          <w:tcPr>
            <w:tcW w:w="7946" w:type="dxa"/>
            <w:gridSpan w:val="3"/>
            <w:shd w:val="clear" w:color="auto" w:fill="FFFFFF"/>
            <w:vAlign w:val="center"/>
          </w:tcPr>
          <w:p w14:paraId="5417A728">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在开标截至时间前须在政采云系统里上传加密的电子版投标文件。同时还须在开标现场递交一份未加密的电子版投标文件，该电子投标文件应为政采云投标客户端生成的电子标书（后缀名为.bfbs）,投标人解密异常或未按时解密时应急使用），介质可以是U盘或DVD光盘。</w:t>
            </w:r>
          </w:p>
          <w:p w14:paraId="3428B53F">
            <w:pPr>
              <w:ind w:firstLine="420" w:firstLineChars="200"/>
              <w:rPr>
                <w:rFonts w:asciiTheme="minorEastAsia" w:hAnsiTheme="minorEastAsia" w:eastAsiaTheme="minorEastAsia"/>
                <w:b/>
                <w:bCs/>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投标人递交备份投标文件时，如出现下列情况之一的，</w:t>
            </w:r>
            <w:r>
              <w:rPr>
                <w:rFonts w:hint="eastAsia" w:asciiTheme="minorEastAsia" w:hAnsiTheme="minorEastAsia" w:eastAsiaTheme="minorEastAsia"/>
                <w:b/>
                <w:bCs/>
                <w:color w:val="000000" w:themeColor="text1"/>
                <w:szCs w:val="22"/>
                <w14:textFill>
                  <w14:solidFill>
                    <w14:schemeClr w14:val="tx1"/>
                  </w14:solidFill>
                </w14:textFill>
              </w:rPr>
              <w:t>将被拒收：</w:t>
            </w:r>
          </w:p>
          <w:p w14:paraId="089325E2">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1、未按规定密封或标记的投标文件；</w:t>
            </w:r>
          </w:p>
          <w:p w14:paraId="4CE5CB2D">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2、由于包装不妥，在送交途中严重损坏的；</w:t>
            </w:r>
          </w:p>
          <w:p w14:paraId="6FFEE1DC">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3、超过规定时间送达的；</w:t>
            </w:r>
          </w:p>
          <w:p w14:paraId="5B9F1D61">
            <w:pPr>
              <w:ind w:firstLine="420" w:firstLineChars="200"/>
              <w:rPr>
                <w:rFonts w:asciiTheme="minorEastAsia" w:hAnsiTheme="minorEastAsia" w:eastAsiaTheme="minorEastAsia"/>
                <w:color w:val="000000" w:themeColor="text1"/>
                <w:szCs w:val="22"/>
                <w14:textFill>
                  <w14:solidFill>
                    <w14:schemeClr w14:val="tx1"/>
                  </w14:solidFill>
                </w14:textFill>
              </w:rPr>
            </w:pPr>
            <w:r>
              <w:rPr>
                <w:rFonts w:hint="eastAsia" w:asciiTheme="minorEastAsia" w:hAnsiTheme="minorEastAsia" w:eastAsiaTheme="minorEastAsia"/>
                <w:color w:val="000000" w:themeColor="text1"/>
                <w:szCs w:val="22"/>
                <w14:textFill>
                  <w14:solidFill>
                    <w14:schemeClr w14:val="tx1"/>
                  </w14:solidFill>
                </w14:textFill>
              </w:rPr>
              <w:t>4、仅提供备份投标文件的，投标无效。</w:t>
            </w:r>
          </w:p>
          <w:p w14:paraId="4449A117">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当发生解密失败或未按时解密的，如投标人未按要求提交备份电子投标文件的，造成项目开评标活动无法进行下去的，投标无效，</w:t>
            </w:r>
            <w:r>
              <w:rPr>
                <w:rFonts w:hint="eastAsia" w:asciiTheme="minorEastAsia" w:hAnsiTheme="minorEastAsia" w:eastAsiaTheme="minorEastAsia"/>
                <w:color w:val="000000" w:themeColor="text1"/>
                <w:szCs w:val="22"/>
                <w14:textFill>
                  <w14:solidFill>
                    <w14:schemeClr w14:val="tx1"/>
                  </w14:solidFill>
                </w14:textFill>
              </w:rPr>
              <w:t>相关风险由投标人自行承担。</w:t>
            </w:r>
          </w:p>
        </w:tc>
      </w:tr>
      <w:tr w14:paraId="2E9F7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35" w:hRule="atLeast"/>
          <w:tblCellSpacing w:w="7" w:type="dxa"/>
          <w:jc w:val="center"/>
        </w:trPr>
        <w:tc>
          <w:tcPr>
            <w:tcW w:w="598" w:type="dxa"/>
            <w:shd w:val="clear" w:color="auto" w:fill="E0E0E0"/>
            <w:vAlign w:val="center"/>
          </w:tcPr>
          <w:p w14:paraId="5A0E8E68">
            <w:pPr>
              <w:spacing w:line="276" w:lineRule="auto"/>
              <w:jc w:val="center"/>
              <w:rPr>
                <w:rFonts w:asciiTheme="minorEastAsia" w:hAnsiTheme="minorEastAsia" w:eastAsiaTheme="minorEastAsia"/>
                <w:b/>
                <w:szCs w:val="21"/>
              </w:rPr>
            </w:pPr>
            <w:r>
              <w:rPr>
                <w:rFonts w:asciiTheme="minorEastAsia" w:hAnsiTheme="minorEastAsia" w:eastAsiaTheme="minorEastAsia"/>
                <w:b/>
                <w:szCs w:val="21"/>
              </w:rPr>
              <w:t>15</w:t>
            </w:r>
          </w:p>
        </w:tc>
        <w:tc>
          <w:tcPr>
            <w:tcW w:w="1459" w:type="dxa"/>
            <w:shd w:val="clear" w:color="auto" w:fill="E0E0E0"/>
            <w:vAlign w:val="center"/>
          </w:tcPr>
          <w:p w14:paraId="15E99D79">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投标文件</w:t>
            </w:r>
          </w:p>
          <w:p w14:paraId="5E4CD3E9">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的密封要求</w:t>
            </w:r>
          </w:p>
        </w:tc>
        <w:tc>
          <w:tcPr>
            <w:tcW w:w="7946" w:type="dxa"/>
            <w:gridSpan w:val="3"/>
            <w:shd w:val="clear" w:color="auto" w:fill="FFFFFF"/>
            <w:vAlign w:val="center"/>
          </w:tcPr>
          <w:p w14:paraId="5778816A">
            <w:pPr>
              <w:wordWrap w:val="0"/>
              <w:spacing w:line="360" w:lineRule="exact"/>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投标人线上制作投标文件并采用CA数字证书进行电子签章及加密。</w:t>
            </w:r>
          </w:p>
          <w:p w14:paraId="5E5A7C63">
            <w:pPr>
              <w:pStyle w:val="9"/>
              <w:rPr>
                <w:rFonts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sz w:val="21"/>
                <w:szCs w:val="21"/>
                <w14:textFill>
                  <w14:solidFill>
                    <w14:schemeClr w14:val="tx1"/>
                  </w14:solidFill>
                </w14:textFill>
              </w:rPr>
              <w:t>投标人备份投标文件应密封封装，注明投标人名称、项目名称并封口处加盖公章。</w:t>
            </w:r>
          </w:p>
        </w:tc>
      </w:tr>
      <w:tr w14:paraId="34C2C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E972715">
            <w:pPr>
              <w:spacing w:line="276" w:lineRule="auto"/>
              <w:jc w:val="center"/>
              <w:rPr>
                <w:rFonts w:asciiTheme="minorEastAsia" w:hAnsiTheme="minorEastAsia" w:eastAsiaTheme="minorEastAsia"/>
                <w:b/>
              </w:rPr>
            </w:pPr>
            <w:r>
              <w:rPr>
                <w:rFonts w:asciiTheme="minorEastAsia" w:hAnsiTheme="minorEastAsia" w:eastAsiaTheme="minorEastAsia"/>
                <w:b/>
                <w:szCs w:val="21"/>
              </w:rPr>
              <w:t>16</w:t>
            </w:r>
          </w:p>
        </w:tc>
        <w:tc>
          <w:tcPr>
            <w:tcW w:w="1459" w:type="dxa"/>
            <w:shd w:val="clear" w:color="auto" w:fill="E0E0E0"/>
            <w:vAlign w:val="center"/>
          </w:tcPr>
          <w:p w14:paraId="188705B3">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投标文件提交</w:t>
            </w:r>
            <w:r>
              <w:rPr>
                <w:rFonts w:hint="eastAsia" w:asciiTheme="minorEastAsia" w:hAnsiTheme="minorEastAsia" w:eastAsiaTheme="minorEastAsia"/>
                <w:b/>
                <w:color w:val="000000" w:themeColor="text1"/>
                <w:szCs w:val="21"/>
                <w14:textFill>
                  <w14:solidFill>
                    <w14:schemeClr w14:val="tx1"/>
                  </w14:solidFill>
                </w14:textFill>
              </w:rPr>
              <w:t>/开标</w:t>
            </w:r>
            <w:r>
              <w:rPr>
                <w:rFonts w:asciiTheme="minorEastAsia" w:hAnsiTheme="minorEastAsia" w:eastAsiaTheme="minorEastAsia"/>
                <w:b/>
                <w:color w:val="000000" w:themeColor="text1"/>
                <w:szCs w:val="21"/>
                <w14:textFill>
                  <w14:solidFill>
                    <w14:schemeClr w14:val="tx1"/>
                  </w14:solidFill>
                </w14:textFill>
              </w:rPr>
              <w:t>截止时间</w:t>
            </w:r>
          </w:p>
        </w:tc>
        <w:tc>
          <w:tcPr>
            <w:tcW w:w="7946" w:type="dxa"/>
            <w:gridSpan w:val="3"/>
            <w:shd w:val="clear" w:color="auto" w:fill="FFFFFF"/>
            <w:vAlign w:val="center"/>
          </w:tcPr>
          <w:p w14:paraId="287A0F4D">
            <w:pPr>
              <w:pStyle w:val="23"/>
              <w:spacing w:before="0" w:beforeAutospacing="0" w:after="0" w:afterAutospacing="0" w:line="360" w:lineRule="auto"/>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kern w:val="2"/>
                <w:sz w:val="21"/>
                <w:szCs w:val="21"/>
                <w:lang w:val="en-US" w:eastAsia="zh-CN" w:bidi="ar-SA"/>
                <w14:textFill>
                  <w14:solidFill>
                    <w14:schemeClr w14:val="tx1"/>
                  </w14:solidFill>
                </w14:textFill>
              </w:rPr>
              <w:t>2025年07月14日09:00（北京时间）</w:t>
            </w:r>
          </w:p>
        </w:tc>
      </w:tr>
      <w:tr w14:paraId="45115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2875114">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17</w:t>
            </w:r>
          </w:p>
        </w:tc>
        <w:tc>
          <w:tcPr>
            <w:tcW w:w="1459" w:type="dxa"/>
            <w:shd w:val="clear" w:color="auto" w:fill="E0E0E0"/>
            <w:vAlign w:val="center"/>
          </w:tcPr>
          <w:p w14:paraId="66A00F3D">
            <w:pPr>
              <w:spacing w:line="276" w:lineRule="auto"/>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答疑与澄清</w:t>
            </w:r>
          </w:p>
        </w:tc>
        <w:tc>
          <w:tcPr>
            <w:tcW w:w="7946" w:type="dxa"/>
            <w:gridSpan w:val="3"/>
            <w:shd w:val="clear" w:color="auto" w:fill="FFFFFF"/>
            <w:vAlign w:val="center"/>
          </w:tcPr>
          <w:p w14:paraId="5AC913B3">
            <w:pPr>
              <w:spacing w:line="276" w:lineRule="auto"/>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供应商认为采购文件使自己的权益受到损害的，可以自收到采购文件之日（发售截止日之后收到采购文件的，以发售截止日为准）或者采购文件公告期限届满之日（公告发布后的第6个工作日）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tc>
      </w:tr>
      <w:tr w14:paraId="38443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4B740D62">
            <w:pPr>
              <w:spacing w:line="276" w:lineRule="auto"/>
              <w:jc w:val="center"/>
              <w:rPr>
                <w:rFonts w:asciiTheme="minorEastAsia" w:hAnsiTheme="minorEastAsia" w:eastAsiaTheme="minorEastAsia"/>
                <w:b/>
                <w:szCs w:val="21"/>
              </w:rPr>
            </w:pPr>
            <w:r>
              <w:rPr>
                <w:rFonts w:hint="eastAsia" w:asciiTheme="minorEastAsia" w:hAnsiTheme="minorEastAsia" w:eastAsiaTheme="minorEastAsia"/>
                <w:b/>
                <w:szCs w:val="21"/>
              </w:rPr>
              <w:t>18</w:t>
            </w:r>
          </w:p>
        </w:tc>
        <w:tc>
          <w:tcPr>
            <w:tcW w:w="1459" w:type="dxa"/>
            <w:shd w:val="clear" w:color="auto" w:fill="E0E0E0"/>
            <w:vAlign w:val="center"/>
          </w:tcPr>
          <w:p w14:paraId="14EB5FA3">
            <w:pPr>
              <w:spacing w:line="360" w:lineRule="auto"/>
              <w:jc w:val="center"/>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投标人</w:t>
            </w:r>
            <w:r>
              <w:rPr>
                <w:rFonts w:asciiTheme="minorEastAsia" w:hAnsiTheme="minorEastAsia" w:eastAsiaTheme="minorEastAsia"/>
                <w:b/>
                <w:color w:val="000000" w:themeColor="text1"/>
                <w:szCs w:val="21"/>
                <w14:textFill>
                  <w14:solidFill>
                    <w14:schemeClr w14:val="tx1"/>
                  </w14:solidFill>
                </w14:textFill>
              </w:rPr>
              <w:t>注册</w:t>
            </w:r>
          </w:p>
        </w:tc>
        <w:tc>
          <w:tcPr>
            <w:tcW w:w="7946" w:type="dxa"/>
            <w:gridSpan w:val="3"/>
            <w:shd w:val="clear" w:color="auto" w:fill="FFFFFF"/>
            <w:vAlign w:val="center"/>
          </w:tcPr>
          <w:p w14:paraId="510232E4">
            <w:pPr>
              <w:spacing w:line="320" w:lineRule="exact"/>
              <w:jc w:val="left"/>
              <w:rPr>
                <w:rFonts w:ascii="宋体" w:hAnsi="宋体" w:eastAsia="宋体" w:cs="宋体"/>
                <w:color w:val="000000"/>
                <w:szCs w:val="21"/>
              </w:rPr>
            </w:pPr>
            <w:r>
              <w:rPr>
                <w:rFonts w:hint="eastAsia" w:ascii="宋体" w:hAnsi="宋体" w:eastAsia="宋体" w:cs="宋体"/>
                <w:color w:val="000000"/>
                <w:szCs w:val="21"/>
              </w:rPr>
              <w:t>各投标人须在投标截止时间前根据浙江省财政厅《</w:t>
            </w:r>
            <w:r>
              <w:rPr>
                <w:rFonts w:ascii="宋体" w:hAnsi="宋体" w:eastAsia="宋体" w:cs="宋体"/>
                <w:color w:val="000000"/>
                <w:szCs w:val="21"/>
              </w:rPr>
              <w:t>关于开展政府采购供应商网上注册登记和诚信管理工作的通知</w:t>
            </w:r>
            <w:r>
              <w:rPr>
                <w:rFonts w:hint="eastAsia" w:ascii="宋体" w:hAnsi="宋体" w:eastAsia="宋体" w:cs="宋体"/>
                <w:color w:val="000000"/>
                <w:szCs w:val="21"/>
              </w:rPr>
              <w:t>》（浙财采监【2010】8号文）的要求，通过浙江政府采购网申请注册加入政府采购投标人库。以免影响享受相关政策优惠及成交后的款项支付。</w:t>
            </w:r>
          </w:p>
          <w:p w14:paraId="62CEC179">
            <w:pPr>
              <w:spacing w:line="320" w:lineRule="exact"/>
              <w:jc w:val="left"/>
              <w:rPr>
                <w:rFonts w:asciiTheme="minorEastAsia" w:hAnsiTheme="minorEastAsia" w:eastAsiaTheme="minorEastAsia"/>
                <w:color w:val="000000" w:themeColor="text1"/>
                <w:szCs w:val="21"/>
                <w14:textFill>
                  <w14:solidFill>
                    <w14:schemeClr w14:val="tx1"/>
                  </w14:solidFill>
                </w14:textFill>
              </w:rPr>
            </w:pPr>
            <w:r>
              <w:rPr>
                <w:rFonts w:hint="eastAsia" w:ascii="宋体" w:hAnsi="宋体" w:eastAsia="宋体" w:cs="宋体"/>
                <w:color w:val="000000"/>
                <w:szCs w:val="21"/>
              </w:rPr>
              <w:t>投标人在申请注册前，请认真阅读，学习《中华人民共和国政府采购法》等相关法规规定。</w:t>
            </w:r>
          </w:p>
        </w:tc>
      </w:tr>
      <w:tr w14:paraId="23F4C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7DAE479E">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19</w:t>
            </w:r>
          </w:p>
        </w:tc>
        <w:tc>
          <w:tcPr>
            <w:tcW w:w="1459" w:type="dxa"/>
            <w:shd w:val="clear" w:color="auto" w:fill="E0E0E0"/>
            <w:vAlign w:val="center"/>
          </w:tcPr>
          <w:p w14:paraId="4B5729C5">
            <w:pPr>
              <w:jc w:val="center"/>
              <w:rPr>
                <w:rFonts w:asciiTheme="minorEastAsia" w:hAnsiTheme="minorEastAsia" w:eastAsiaTheme="minorEastAsia"/>
                <w:b/>
                <w:color w:val="000000" w:themeColor="text1"/>
                <w:szCs w:val="2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不良信用记录查询</w:t>
            </w:r>
          </w:p>
        </w:tc>
        <w:tc>
          <w:tcPr>
            <w:tcW w:w="7946" w:type="dxa"/>
            <w:gridSpan w:val="3"/>
            <w:shd w:val="clear" w:color="auto" w:fill="FFFFFF"/>
            <w:vAlign w:val="center"/>
          </w:tcPr>
          <w:p w14:paraId="69EB5671">
            <w:pPr>
              <w:spacing w:line="320" w:lineRule="exact"/>
              <w:jc w:val="left"/>
              <w:rPr>
                <w:rFonts w:ascii="宋体" w:hAnsi="宋体" w:eastAsia="宋体" w:cs="宋体"/>
                <w:color w:val="000000"/>
                <w:szCs w:val="21"/>
              </w:rPr>
            </w:pPr>
            <w:r>
              <w:rPr>
                <w:rFonts w:hint="eastAsia" w:ascii="宋体" w:hAnsi="宋体" w:eastAsia="宋体" w:cs="宋体"/>
                <w:color w:val="000000"/>
                <w:szCs w:val="21"/>
              </w:rPr>
              <w:t>根据财库〔2016〕125号《关于在政府采购活动中查询及使用信用记录有关问题的通知》要求，采购代理机构将对投标人信用记录进行查询并甄别。</w:t>
            </w:r>
          </w:p>
          <w:p w14:paraId="33C324AF">
            <w:pPr>
              <w:spacing w:line="320" w:lineRule="exact"/>
              <w:jc w:val="left"/>
              <w:rPr>
                <w:rFonts w:ascii="宋体" w:hAnsi="宋体" w:eastAsia="宋体" w:cs="宋体"/>
                <w:color w:val="000000"/>
                <w:szCs w:val="21"/>
              </w:rPr>
            </w:pPr>
            <w:r>
              <w:rPr>
                <w:rFonts w:hint="eastAsia" w:ascii="宋体" w:hAnsi="宋体" w:eastAsia="宋体" w:cs="宋体"/>
                <w:color w:val="000000"/>
                <w:szCs w:val="21"/>
              </w:rPr>
              <w:t>1.信用信息查询的截止时点：投标截止日；</w:t>
            </w:r>
          </w:p>
          <w:p w14:paraId="7B03C618">
            <w:pPr>
              <w:spacing w:line="320" w:lineRule="exact"/>
              <w:jc w:val="left"/>
              <w:rPr>
                <w:rFonts w:ascii="宋体" w:hAnsi="宋体" w:eastAsia="宋体" w:cs="宋体"/>
                <w:color w:val="000000"/>
                <w:szCs w:val="21"/>
              </w:rPr>
            </w:pPr>
            <w:r>
              <w:rPr>
                <w:rFonts w:hint="eastAsia" w:ascii="宋体" w:hAnsi="宋体" w:eastAsia="宋体" w:cs="宋体"/>
                <w:color w:val="000000"/>
                <w:szCs w:val="21"/>
              </w:rPr>
              <w:t>2.查询渠道：“信用中国”（www.creditchina.gov.cn）、“中国政府采购网”（www.ccgp.gov.cn）；</w:t>
            </w:r>
          </w:p>
          <w:p w14:paraId="7803432B">
            <w:pPr>
              <w:spacing w:line="320" w:lineRule="exact"/>
              <w:jc w:val="left"/>
              <w:rPr>
                <w:rFonts w:ascii="宋体" w:hAnsi="宋体" w:eastAsia="宋体" w:cs="宋体"/>
                <w:color w:val="000000"/>
                <w:szCs w:val="21"/>
              </w:rPr>
            </w:pPr>
            <w:r>
              <w:rPr>
                <w:rFonts w:hint="eastAsia" w:ascii="宋体" w:hAnsi="宋体" w:eastAsia="宋体" w:cs="宋体"/>
                <w:color w:val="000000"/>
                <w:szCs w:val="21"/>
              </w:rPr>
              <w:t>3.信用信息查询记录和证据留存具体方式：采购代理机构将查询网页打印并保存；</w:t>
            </w:r>
          </w:p>
          <w:p w14:paraId="04FBDE37">
            <w:pPr>
              <w:spacing w:line="320" w:lineRule="exact"/>
              <w:jc w:val="left"/>
              <w:rPr>
                <w:rFonts w:ascii="宋体" w:hAnsi="宋体" w:eastAsia="宋体" w:cs="宋体"/>
                <w:color w:val="000000"/>
                <w:szCs w:val="21"/>
              </w:rPr>
            </w:pPr>
            <w:r>
              <w:rPr>
                <w:rFonts w:hint="eastAsia" w:ascii="宋体" w:hAnsi="宋体" w:eastAsia="宋体" w:cs="宋体"/>
                <w:color w:val="000000"/>
                <w:szCs w:val="21"/>
              </w:rPr>
              <w:t>4.信用信息的使用规则：对列入失信被执行人、重大税收违法案件当事人名单、政府采购严重违法失信行为记录名单及其他不符合《中华人民共和国政府采购法》第二十二条规定条件的投标人，将拒绝其参与政府采购活动；</w:t>
            </w:r>
          </w:p>
          <w:p w14:paraId="1B8EA221">
            <w:pPr>
              <w:spacing w:line="320" w:lineRule="exact"/>
              <w:jc w:val="left"/>
              <w:rPr>
                <w:rFonts w:ascii="宋体" w:hAnsi="宋体" w:eastAsia="宋体" w:cs="宋体"/>
                <w:color w:val="000000"/>
                <w:szCs w:val="21"/>
              </w:rPr>
            </w:pPr>
            <w:r>
              <w:rPr>
                <w:rFonts w:hint="eastAsia" w:ascii="宋体" w:hAnsi="宋体" w:eastAsia="宋体" w:cs="宋体"/>
                <w:color w:val="000000"/>
                <w:szCs w:val="21"/>
              </w:rPr>
              <w:t>5.行政处罚较大数额罚款标准认定：按照《财库[2022]3号文件》进行认定。</w:t>
            </w:r>
          </w:p>
          <w:p w14:paraId="0A4C8BE2">
            <w:pPr>
              <w:widowControl/>
              <w:jc w:val="left"/>
              <w:rPr>
                <w:rFonts w:asciiTheme="minorEastAsia" w:hAnsiTheme="minorEastAsia" w:eastAsiaTheme="minorEastAsia"/>
                <w:color w:val="000000" w:themeColor="text1"/>
                <w14:textFill>
                  <w14:solidFill>
                    <w14:schemeClr w14:val="tx1"/>
                  </w14:solidFill>
                </w14:textFill>
              </w:rPr>
            </w:pPr>
            <w:r>
              <w:rPr>
                <w:rFonts w:hint="eastAsia" w:ascii="宋体" w:hAnsi="宋体" w:eastAsia="宋体" w:cs="宋体"/>
                <w:color w:val="000000"/>
                <w:szCs w:val="21"/>
              </w:rPr>
              <w:t>6.若联合体成员存在不良信用记录的，视同联合体存在不良信用记录。</w:t>
            </w:r>
          </w:p>
        </w:tc>
      </w:tr>
      <w:tr w14:paraId="4ED5E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restart"/>
            <w:shd w:val="clear" w:color="auto" w:fill="E0E0E0"/>
            <w:vAlign w:val="center"/>
          </w:tcPr>
          <w:p w14:paraId="0DF59D53">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20</w:t>
            </w:r>
          </w:p>
        </w:tc>
        <w:tc>
          <w:tcPr>
            <w:tcW w:w="1459" w:type="dxa"/>
            <w:vMerge w:val="restart"/>
            <w:shd w:val="clear" w:color="auto" w:fill="E0E0E0"/>
            <w:vAlign w:val="center"/>
          </w:tcPr>
          <w:p w14:paraId="3E7AFAA8">
            <w:pPr>
              <w:jc w:val="center"/>
              <w:rPr>
                <w:rFonts w:asciiTheme="minorEastAsia" w:hAnsiTheme="minorEastAsia" w:eastAsiaTheme="minorEastAsia"/>
                <w:b/>
                <w:szCs w:val="21"/>
              </w:rPr>
            </w:pPr>
            <w:r>
              <w:rPr>
                <w:rFonts w:hint="eastAsia" w:asciiTheme="minorEastAsia" w:hAnsiTheme="minorEastAsia" w:eastAsiaTheme="minorEastAsia"/>
                <w:b/>
                <w:szCs w:val="21"/>
              </w:rPr>
              <w:t>小微企业有关政策</w:t>
            </w:r>
          </w:p>
        </w:tc>
        <w:tc>
          <w:tcPr>
            <w:tcW w:w="7946" w:type="dxa"/>
            <w:gridSpan w:val="3"/>
            <w:shd w:val="clear" w:color="auto" w:fill="FFFFFF"/>
            <w:vAlign w:val="center"/>
          </w:tcPr>
          <w:p w14:paraId="04C46636">
            <w:pPr>
              <w:rPr>
                <w:rFonts w:asciiTheme="minorEastAsia" w:hAnsiTheme="minorEastAsia" w:eastAsiaTheme="minorEastAsia"/>
                <w:color w:val="auto"/>
              </w:rPr>
            </w:pPr>
            <w:r>
              <w:rPr>
                <w:rFonts w:hint="eastAsia" w:hAnsi="宋体" w:cs="宋体"/>
                <w:b/>
                <w:color w:val="auto"/>
                <w:kern w:val="0"/>
                <w:szCs w:val="21"/>
              </w:rPr>
              <w:t>本项目专门面向中小企业采购，供应商应为中小企业（监狱企业、残疾人福利性单位视同小型、微型企业）。</w:t>
            </w:r>
          </w:p>
        </w:tc>
      </w:tr>
      <w:tr w14:paraId="32A22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0553A975">
            <w:pPr>
              <w:spacing w:line="360" w:lineRule="auto"/>
              <w:jc w:val="center"/>
              <w:rPr>
                <w:rFonts w:asciiTheme="minorEastAsia" w:hAnsiTheme="minorEastAsia" w:eastAsiaTheme="minorEastAsia"/>
                <w:b/>
                <w:szCs w:val="21"/>
              </w:rPr>
            </w:pPr>
          </w:p>
        </w:tc>
        <w:tc>
          <w:tcPr>
            <w:tcW w:w="1459" w:type="dxa"/>
            <w:vMerge w:val="continue"/>
            <w:shd w:val="clear" w:color="auto" w:fill="E0E0E0"/>
            <w:vAlign w:val="center"/>
          </w:tcPr>
          <w:p w14:paraId="6E48695A">
            <w:pPr>
              <w:jc w:val="center"/>
              <w:rPr>
                <w:rFonts w:asciiTheme="minorEastAsia" w:hAnsiTheme="minorEastAsia" w:eastAsiaTheme="minorEastAsia"/>
                <w:b/>
                <w:color w:val="000000" w:themeColor="text1"/>
                <w:szCs w:val="21"/>
                <w14:textFill>
                  <w14:solidFill>
                    <w14:schemeClr w14:val="tx1"/>
                  </w14:solidFill>
                </w14:textFill>
              </w:rPr>
            </w:pPr>
          </w:p>
        </w:tc>
        <w:tc>
          <w:tcPr>
            <w:tcW w:w="7946" w:type="dxa"/>
            <w:gridSpan w:val="3"/>
            <w:shd w:val="clear" w:color="auto" w:fill="FFFFFF"/>
            <w:vAlign w:val="center"/>
          </w:tcPr>
          <w:p w14:paraId="1B24D457">
            <w:pPr>
              <w:rPr>
                <w:rFonts w:hint="eastAsia" w:eastAsia="宋体" w:asciiTheme="minorEastAsia" w:hAnsiTheme="minorEastAsia"/>
                <w:color w:val="auto"/>
                <w:highlight w:val="none"/>
                <w:lang w:val="en-US" w:eastAsia="zh-CN"/>
              </w:rPr>
            </w:pPr>
            <w:r>
              <w:rPr>
                <w:rFonts w:hint="eastAsia" w:ascii="宋体" w:hAnsi="宋体" w:cs="宋体"/>
                <w:b/>
                <w:color w:val="auto"/>
                <w:kern w:val="0"/>
                <w:szCs w:val="21"/>
                <w:highlight w:val="none"/>
              </w:rPr>
              <w:t>本项目采购标的对应的中小企业划分标准所属行业：</w:t>
            </w:r>
            <w:r>
              <w:rPr>
                <w:rFonts w:hint="eastAsia" w:ascii="宋体" w:hAnsi="宋体" w:cs="宋体"/>
                <w:b/>
                <w:color w:val="auto"/>
                <w:kern w:val="0"/>
                <w:szCs w:val="21"/>
                <w:highlight w:val="none"/>
                <w:lang w:val="en-US" w:eastAsia="zh-CN"/>
              </w:rPr>
              <w:t>工业</w:t>
            </w:r>
          </w:p>
        </w:tc>
      </w:tr>
      <w:tr w14:paraId="0E70D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601574D1">
            <w:pPr>
              <w:spacing w:line="360" w:lineRule="auto"/>
              <w:jc w:val="center"/>
              <w:rPr>
                <w:rFonts w:asciiTheme="minorEastAsia" w:hAnsiTheme="minorEastAsia" w:eastAsiaTheme="minorEastAsia"/>
                <w:b/>
                <w:szCs w:val="21"/>
              </w:rPr>
            </w:pPr>
          </w:p>
        </w:tc>
        <w:tc>
          <w:tcPr>
            <w:tcW w:w="1459" w:type="dxa"/>
            <w:vMerge w:val="continue"/>
            <w:shd w:val="clear" w:color="auto" w:fill="E0E0E0"/>
            <w:vAlign w:val="center"/>
          </w:tcPr>
          <w:p w14:paraId="0660B3CB">
            <w:pPr>
              <w:jc w:val="center"/>
              <w:rPr>
                <w:rFonts w:asciiTheme="minorEastAsia" w:hAnsiTheme="minorEastAsia" w:eastAsiaTheme="minorEastAsia"/>
                <w:b/>
                <w:color w:val="000000" w:themeColor="text1"/>
                <w:szCs w:val="21"/>
                <w14:textFill>
                  <w14:solidFill>
                    <w14:schemeClr w14:val="tx1"/>
                  </w14:solidFill>
                </w14:textFill>
              </w:rPr>
            </w:pPr>
          </w:p>
        </w:tc>
        <w:tc>
          <w:tcPr>
            <w:tcW w:w="7946" w:type="dxa"/>
            <w:gridSpan w:val="3"/>
            <w:shd w:val="clear" w:color="auto" w:fill="FFFFFF"/>
            <w:vAlign w:val="center"/>
          </w:tcPr>
          <w:p w14:paraId="1B2AC17D">
            <w:pPr>
              <w:rPr>
                <w:rFonts w:asciiTheme="minorEastAsia" w:hAnsiTheme="minorEastAsia" w:eastAsiaTheme="minorEastAsia"/>
                <w:color w:val="auto"/>
                <w:highlight w:val="none"/>
              </w:rPr>
            </w:pPr>
            <w:r>
              <w:rPr>
                <w:rFonts w:hint="eastAsia" w:ascii="宋体" w:hAnsi="宋体" w:cs="宋体"/>
                <w:b/>
                <w:color w:val="auto"/>
                <w:kern w:val="0"/>
                <w:szCs w:val="21"/>
                <w:highlight w:val="none"/>
              </w:rPr>
              <w:t>本项目为</w:t>
            </w:r>
            <w:r>
              <w:rPr>
                <w:rFonts w:hint="eastAsia" w:ascii="宋体" w:hAnsi="宋体" w:cs="宋体"/>
                <w:b/>
                <w:color w:val="auto"/>
                <w:kern w:val="0"/>
                <w:szCs w:val="21"/>
                <w:highlight w:val="none"/>
                <w:lang w:val="en-US" w:eastAsia="zh-CN"/>
              </w:rPr>
              <w:t>货物</w:t>
            </w:r>
            <w:r>
              <w:rPr>
                <w:rFonts w:hint="eastAsia" w:ascii="宋体" w:hAnsi="宋体" w:cs="宋体"/>
                <w:b/>
                <w:color w:val="auto"/>
                <w:kern w:val="0"/>
                <w:szCs w:val="21"/>
                <w:highlight w:val="none"/>
              </w:rPr>
              <w:t>类采购项目。</w:t>
            </w:r>
          </w:p>
        </w:tc>
      </w:tr>
      <w:tr w14:paraId="168C5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vMerge w:val="continue"/>
            <w:shd w:val="clear" w:color="auto" w:fill="E0E0E0"/>
            <w:vAlign w:val="center"/>
          </w:tcPr>
          <w:p w14:paraId="78CBA425">
            <w:pPr>
              <w:spacing w:line="360" w:lineRule="auto"/>
              <w:jc w:val="center"/>
              <w:rPr>
                <w:rFonts w:asciiTheme="minorEastAsia" w:hAnsiTheme="minorEastAsia" w:eastAsiaTheme="minorEastAsia"/>
                <w:b/>
                <w:szCs w:val="21"/>
              </w:rPr>
            </w:pPr>
          </w:p>
        </w:tc>
        <w:tc>
          <w:tcPr>
            <w:tcW w:w="1459" w:type="dxa"/>
            <w:vMerge w:val="continue"/>
            <w:shd w:val="clear" w:color="auto" w:fill="E0E0E0"/>
            <w:vAlign w:val="center"/>
          </w:tcPr>
          <w:p w14:paraId="53CC1FE2">
            <w:pPr>
              <w:jc w:val="center"/>
              <w:rPr>
                <w:rFonts w:asciiTheme="minorEastAsia" w:hAnsiTheme="minorEastAsia" w:eastAsiaTheme="minorEastAsia"/>
                <w:b/>
                <w:szCs w:val="21"/>
              </w:rPr>
            </w:pPr>
          </w:p>
        </w:tc>
        <w:tc>
          <w:tcPr>
            <w:tcW w:w="7946" w:type="dxa"/>
            <w:gridSpan w:val="3"/>
            <w:shd w:val="clear" w:color="auto" w:fill="FFFFFF"/>
            <w:vAlign w:val="center"/>
          </w:tcPr>
          <w:p w14:paraId="7C8C2D2D">
            <w:pPr>
              <w:spacing w:line="300" w:lineRule="auto"/>
              <w:ind w:firstLine="420"/>
              <w:jc w:val="left"/>
              <w:rPr>
                <w:rFonts w:hAnsi="宋体" w:cs="宋体"/>
                <w:bCs/>
                <w:kern w:val="0"/>
                <w:szCs w:val="21"/>
              </w:rPr>
            </w:pPr>
            <w:r>
              <w:rPr>
                <w:rFonts w:hint="eastAsia" w:hAnsi="宋体" w:cs="宋体"/>
                <w:bCs/>
                <w:kern w:val="0"/>
                <w:szCs w:val="21"/>
              </w:rPr>
              <w:t>根据《政府采购促进中小企业发展管理办法》（财库[2020]46号）规定：</w:t>
            </w:r>
          </w:p>
          <w:p w14:paraId="77EAB7BF">
            <w:pPr>
              <w:spacing w:line="300" w:lineRule="auto"/>
              <w:ind w:firstLine="420"/>
              <w:jc w:val="left"/>
              <w:rPr>
                <w:rFonts w:hAnsi="宋体" w:cs="宋体"/>
                <w:bCs/>
                <w:kern w:val="0"/>
                <w:szCs w:val="21"/>
              </w:rPr>
            </w:pPr>
            <w:r>
              <w:rPr>
                <w:rFonts w:hint="eastAsia" w:hAnsi="宋体" w:cs="宋体"/>
                <w:bCs/>
                <w:kern w:val="0"/>
                <w:szCs w:val="21"/>
              </w:rPr>
              <w:t xml:space="preserve">1.本办法所称中小企业，是指在中华人民共和国境内依法设立，依据国务院批准的中小企业划分标准确定的中型企业、小型企业和微型企业，但与大企业的负责人为同一人，或者与大企业存在直接控股、管理关系的除外。 </w:t>
            </w:r>
          </w:p>
          <w:p w14:paraId="2A676BFB">
            <w:pPr>
              <w:spacing w:line="300" w:lineRule="auto"/>
              <w:ind w:firstLine="420"/>
              <w:jc w:val="left"/>
              <w:rPr>
                <w:rFonts w:hAnsi="宋体" w:cs="宋体"/>
                <w:bCs/>
                <w:kern w:val="0"/>
                <w:szCs w:val="21"/>
              </w:rPr>
            </w:pPr>
            <w:r>
              <w:rPr>
                <w:rFonts w:hint="eastAsia" w:hAnsi="宋体" w:cs="宋体"/>
                <w:bCs/>
                <w:kern w:val="0"/>
                <w:szCs w:val="21"/>
              </w:rPr>
              <w:t>符合中小企业划分标准的个体工商户，在政府采购活动中视同中小企业。</w:t>
            </w:r>
          </w:p>
          <w:p w14:paraId="0558CFB6">
            <w:pPr>
              <w:spacing w:line="300" w:lineRule="auto"/>
              <w:ind w:firstLine="420"/>
              <w:jc w:val="left"/>
              <w:rPr>
                <w:rFonts w:hAnsi="宋体" w:cs="宋体"/>
                <w:bCs/>
                <w:kern w:val="0"/>
                <w:szCs w:val="21"/>
              </w:rPr>
            </w:pPr>
            <w:r>
              <w:rPr>
                <w:rFonts w:hint="eastAsia" w:hAnsi="宋体" w:cs="宋体"/>
                <w:bCs/>
                <w:kern w:val="0"/>
                <w:szCs w:val="21"/>
              </w:rPr>
              <w:t>2.在政府采购活动中，供应商提供的货物、工程或者服务符合下列情形的，享受本办法规定的中小企业扶持政策：</w:t>
            </w:r>
          </w:p>
          <w:p w14:paraId="14A81D52">
            <w:pPr>
              <w:spacing w:line="300" w:lineRule="auto"/>
              <w:ind w:firstLine="420"/>
              <w:jc w:val="left"/>
              <w:rPr>
                <w:rFonts w:hAnsi="宋体" w:cs="宋体"/>
                <w:bCs/>
                <w:kern w:val="0"/>
                <w:szCs w:val="21"/>
              </w:rPr>
            </w:pPr>
            <w:r>
              <w:rPr>
                <w:rFonts w:hint="eastAsia" w:hAnsi="宋体" w:cs="宋体"/>
                <w:bCs/>
                <w:kern w:val="0"/>
                <w:szCs w:val="21"/>
              </w:rPr>
              <w:t xml:space="preserve">（1）在货物采购项目中，货物由中小企业制造，即货物由中小企业生产且使用该中小企业商号或者注册商标； </w:t>
            </w:r>
          </w:p>
          <w:p w14:paraId="3CFCF873">
            <w:pPr>
              <w:spacing w:line="300" w:lineRule="auto"/>
              <w:ind w:firstLine="420"/>
              <w:jc w:val="left"/>
              <w:rPr>
                <w:rFonts w:hAnsi="宋体" w:cs="宋体"/>
                <w:bCs/>
                <w:kern w:val="0"/>
                <w:szCs w:val="21"/>
              </w:rPr>
            </w:pPr>
            <w:r>
              <w:rPr>
                <w:rFonts w:hint="eastAsia" w:hAnsi="宋体" w:cs="宋体"/>
                <w:bCs/>
                <w:kern w:val="0"/>
                <w:szCs w:val="21"/>
              </w:rPr>
              <w:t xml:space="preserve">（2）在工程采购项目中，工程由中小企业承建，即工程施工单位为中小企业； </w:t>
            </w:r>
          </w:p>
          <w:p w14:paraId="1C755780">
            <w:pPr>
              <w:spacing w:line="300" w:lineRule="auto"/>
              <w:ind w:firstLine="420"/>
              <w:jc w:val="left"/>
              <w:rPr>
                <w:rFonts w:hAnsi="宋体" w:cs="宋体"/>
                <w:bCs/>
                <w:kern w:val="0"/>
                <w:szCs w:val="21"/>
              </w:rPr>
            </w:pPr>
            <w:r>
              <w:rPr>
                <w:rFonts w:hint="eastAsia" w:hAnsi="宋体" w:cs="宋体"/>
                <w:bCs/>
                <w:kern w:val="0"/>
                <w:szCs w:val="21"/>
              </w:rPr>
              <w:t xml:space="preserve">（3）在服务采购项目中，服务由中小企业承接，即提供服务的人员为中小企业依照《中华人民共和国劳动合同法》订立劳动合同的从业人员。 </w:t>
            </w:r>
          </w:p>
          <w:p w14:paraId="4CA0A9CD">
            <w:pPr>
              <w:spacing w:line="300" w:lineRule="auto"/>
              <w:ind w:firstLine="420"/>
              <w:jc w:val="left"/>
              <w:rPr>
                <w:rFonts w:hAnsi="宋体" w:cs="宋体"/>
                <w:bCs/>
                <w:kern w:val="0"/>
                <w:szCs w:val="21"/>
              </w:rPr>
            </w:pPr>
            <w:r>
              <w:rPr>
                <w:rFonts w:hint="eastAsia" w:hAnsi="宋体" w:cs="宋体"/>
                <w:bCs/>
                <w:kern w:val="0"/>
                <w:szCs w:val="21"/>
              </w:rPr>
              <w:t>在货物采购项目中，供应商提供的货物既有中小企业制造货物，也有大型企业制造货物的，不享受本办法规定的中小企业扶持政策。</w:t>
            </w:r>
          </w:p>
          <w:p w14:paraId="1CEEBC0A">
            <w:pPr>
              <w:spacing w:line="300" w:lineRule="auto"/>
              <w:ind w:firstLine="420"/>
              <w:jc w:val="left"/>
              <w:rPr>
                <w:rFonts w:hAnsi="宋体" w:cs="宋体"/>
                <w:bCs/>
                <w:kern w:val="0"/>
                <w:szCs w:val="21"/>
              </w:rPr>
            </w:pPr>
            <w:r>
              <w:rPr>
                <w:rFonts w:hint="eastAsia" w:hAnsi="宋体" w:cs="宋体"/>
                <w:bCs/>
                <w:kern w:val="0"/>
                <w:szCs w:val="21"/>
              </w:rPr>
              <w:t>3.在政府采购活动中，监狱企业、残疾人福利性单位视同小型、微型企业，享受本办法规定的中小企业扶持政策；监狱企业、残疾人福利性单位属于小型、微型企业的，不重复享受政策。</w:t>
            </w:r>
          </w:p>
          <w:p w14:paraId="0CAA3AB4">
            <w:pPr>
              <w:spacing w:line="300" w:lineRule="auto"/>
              <w:ind w:firstLine="420"/>
              <w:jc w:val="left"/>
              <w:rPr>
                <w:rFonts w:hAnsi="宋体" w:cs="宋体"/>
                <w:bCs/>
                <w:kern w:val="0"/>
                <w:szCs w:val="21"/>
              </w:rPr>
            </w:pPr>
            <w:r>
              <w:rPr>
                <w:rFonts w:hint="eastAsia" w:hAnsi="宋体" w:cs="宋体"/>
                <w:bCs/>
                <w:kern w:val="0"/>
                <w:szCs w:val="21"/>
              </w:rPr>
              <w:t>本项目中小企业扶持政策：</w:t>
            </w:r>
          </w:p>
          <w:p w14:paraId="3BDABF27">
            <w:pPr>
              <w:spacing w:line="300" w:lineRule="auto"/>
              <w:ind w:firstLine="420"/>
              <w:jc w:val="left"/>
              <w:rPr>
                <w:rFonts w:hAnsi="宋体" w:cs="宋体"/>
                <w:bCs/>
                <w:kern w:val="0"/>
                <w:szCs w:val="21"/>
              </w:rPr>
            </w:pPr>
            <w:r>
              <w:rPr>
                <w:rFonts w:hint="eastAsia" w:hAnsi="宋体" w:cs="宋体"/>
                <w:bCs/>
                <w:kern w:val="0"/>
                <w:szCs w:val="21"/>
              </w:rPr>
              <w:t>1.【预留份额政策】本项目专门面向中小企业采购，供应商应为中小企业（监狱企业、残疾人福利性单位视同小型、微型企业）：</w:t>
            </w:r>
          </w:p>
          <w:p w14:paraId="37E859B0">
            <w:pPr>
              <w:spacing w:line="300" w:lineRule="auto"/>
              <w:ind w:firstLine="420"/>
              <w:jc w:val="left"/>
              <w:rPr>
                <w:rFonts w:hAnsi="宋体" w:cs="宋体"/>
                <w:bCs/>
                <w:kern w:val="0"/>
                <w:szCs w:val="21"/>
              </w:rPr>
            </w:pPr>
            <w:r>
              <w:rPr>
                <w:rFonts w:hint="eastAsia" w:hAnsi="宋体" w:cs="宋体"/>
                <w:bCs/>
                <w:kern w:val="0"/>
                <w:szCs w:val="21"/>
              </w:rPr>
              <w:t>（1）中小企业须提供《中小企业声明函》，附在资格证明文件内，否则不享受预留份额政策；</w:t>
            </w:r>
          </w:p>
          <w:p w14:paraId="228519FB">
            <w:pPr>
              <w:spacing w:line="300" w:lineRule="auto"/>
              <w:ind w:firstLine="420"/>
              <w:jc w:val="left"/>
              <w:rPr>
                <w:rFonts w:hAnsi="宋体" w:cs="宋体"/>
                <w:bCs/>
                <w:kern w:val="0"/>
                <w:szCs w:val="21"/>
              </w:rPr>
            </w:pPr>
            <w:r>
              <w:rPr>
                <w:rFonts w:hint="eastAsia" w:hAnsi="宋体" w:cs="宋体"/>
                <w:bCs/>
                <w:kern w:val="0"/>
                <w:szCs w:val="21"/>
              </w:rPr>
              <w:t>（2）监狱企业须提供由省级以上监狱管理局、戒毒管理局（含新疆生产建设兵团）出具的属于监狱企业的证明文件，附在资格证明文件内，否则不享受预留份额政策；</w:t>
            </w:r>
          </w:p>
          <w:p w14:paraId="27C39648">
            <w:pPr>
              <w:spacing w:line="260" w:lineRule="exact"/>
              <w:ind w:firstLine="420" w:firstLineChars="200"/>
              <w:rPr>
                <w:rFonts w:asciiTheme="minorEastAsia" w:hAnsiTheme="minorEastAsia" w:eastAsiaTheme="minorEastAsia"/>
                <w:szCs w:val="21"/>
              </w:rPr>
            </w:pPr>
            <w:r>
              <w:rPr>
                <w:rFonts w:hint="eastAsia" w:hAnsi="宋体" w:cs="宋体"/>
                <w:bCs/>
                <w:kern w:val="0"/>
                <w:szCs w:val="21"/>
              </w:rPr>
              <w:t>（3）残疾人福利性单位须提供《残疾人福利性单位声明函》，附在资格证明文件内，否则不享受预留份额政策。</w:t>
            </w:r>
          </w:p>
        </w:tc>
      </w:tr>
      <w:tr w14:paraId="31422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5" w:hRule="atLeast"/>
          <w:tblCellSpacing w:w="7" w:type="dxa"/>
          <w:jc w:val="center"/>
        </w:trPr>
        <w:tc>
          <w:tcPr>
            <w:tcW w:w="598" w:type="dxa"/>
            <w:shd w:val="clear" w:color="auto" w:fill="E0E0E0"/>
            <w:vAlign w:val="center"/>
          </w:tcPr>
          <w:p w14:paraId="6119BD08">
            <w:pPr>
              <w:spacing w:line="360" w:lineRule="auto"/>
              <w:jc w:val="center"/>
              <w:rPr>
                <w:rFonts w:asciiTheme="minorEastAsia" w:hAnsiTheme="minorEastAsia" w:eastAsiaTheme="minorEastAsia"/>
                <w:b/>
                <w:szCs w:val="21"/>
              </w:rPr>
            </w:pPr>
            <w:r>
              <w:rPr>
                <w:rFonts w:hint="eastAsia" w:asciiTheme="minorEastAsia" w:hAnsiTheme="minorEastAsia" w:eastAsiaTheme="minorEastAsia"/>
                <w:b/>
                <w:szCs w:val="21"/>
              </w:rPr>
              <w:t>21</w:t>
            </w:r>
          </w:p>
        </w:tc>
        <w:tc>
          <w:tcPr>
            <w:tcW w:w="1459" w:type="dxa"/>
            <w:shd w:val="clear" w:color="auto" w:fill="E0E0E0"/>
            <w:vAlign w:val="center"/>
          </w:tcPr>
          <w:p w14:paraId="618741C2">
            <w:pPr>
              <w:jc w:val="center"/>
              <w:rPr>
                <w:rFonts w:asciiTheme="minorEastAsia" w:hAnsiTheme="minorEastAsia" w:eastAsiaTheme="minorEastAsia"/>
                <w:b/>
                <w:color w:val="000000" w:themeColor="text1"/>
                <w:szCs w:val="21"/>
                <w14:textFill>
                  <w14:solidFill>
                    <w14:schemeClr w14:val="tx1"/>
                  </w14:solidFill>
                </w14:textFill>
              </w:rPr>
            </w:pPr>
            <w:r>
              <w:rPr>
                <w:rFonts w:hint="eastAsia" w:cs="宋体" w:asciiTheme="minorEastAsia" w:hAnsiTheme="minorEastAsia" w:eastAsiaTheme="minorEastAsia"/>
                <w:b/>
                <w:color w:val="000000" w:themeColor="text1"/>
                <w:szCs w:val="21"/>
                <w14:textFill>
                  <w14:solidFill>
                    <w14:schemeClr w14:val="tx1"/>
                  </w14:solidFill>
                </w14:textFill>
              </w:rPr>
              <w:t>信贷政策</w:t>
            </w:r>
          </w:p>
        </w:tc>
        <w:tc>
          <w:tcPr>
            <w:tcW w:w="7946" w:type="dxa"/>
            <w:gridSpan w:val="3"/>
            <w:shd w:val="clear" w:color="auto" w:fill="FFFFFF"/>
            <w:vAlign w:val="center"/>
          </w:tcPr>
          <w:p w14:paraId="413B6778">
            <w:pPr>
              <w:jc w:val="left"/>
              <w:rPr>
                <w:rFonts w:ascii="宋体" w:hAnsi="宋体" w:cs="宋体"/>
                <w:szCs w:val="21"/>
              </w:rPr>
            </w:pPr>
            <w:r>
              <w:rPr>
                <w:rFonts w:hint="eastAsia" w:ascii="宋体" w:hAnsi="宋体" w:cs="宋体"/>
                <w:szCs w:val="21"/>
              </w:rPr>
              <w:t>1</w:t>
            </w:r>
            <w:r>
              <w:rPr>
                <w:rFonts w:hint="eastAsia" w:ascii="宋体" w:hAnsi="宋体" w:cs="宋体"/>
                <w:szCs w:val="21"/>
                <w:lang w:val="en-US" w:eastAsia="zh-CN"/>
              </w:rPr>
              <w:t>.</w:t>
            </w:r>
            <w:r>
              <w:rPr>
                <w:rFonts w:hint="eastAsia" w:ascii="宋体" w:hAnsi="宋体" w:cs="宋体"/>
                <w:szCs w:val="21"/>
              </w:rPr>
              <w:t>为有效破解当前中小微企业面临的“融资难、融资贵”困局，充分发挥好政府采购扶持小微企业发展的政策功能，属于舟山市内的各中小企业可凭政府采购项目中标通知书等材料向舟山市政府采购信用融资合作银行申请相关融资产品，有关的合作银行详见下表：</w:t>
            </w:r>
          </w:p>
          <w:tbl>
            <w:tblPr>
              <w:tblStyle w:val="2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8"/>
              <w:gridCol w:w="4111"/>
              <w:gridCol w:w="850"/>
              <w:gridCol w:w="2418"/>
            </w:tblGrid>
            <w:tr w14:paraId="6CDF6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97" w:type="dxa"/>
                  <w:gridSpan w:val="4"/>
                  <w:shd w:val="clear" w:color="auto" w:fill="auto"/>
                </w:tcPr>
                <w:p w14:paraId="7A030FCC">
                  <w:pPr>
                    <w:jc w:val="center"/>
                    <w:rPr>
                      <w:rFonts w:ascii="宋体" w:hAnsi="宋体" w:cs="宋体"/>
                      <w:szCs w:val="21"/>
                    </w:rPr>
                  </w:pPr>
                  <w:r>
                    <w:rPr>
                      <w:rFonts w:hint="eastAsia" w:ascii="宋体" w:hAnsi="宋体" w:cs="宋体"/>
                      <w:szCs w:val="21"/>
                    </w:rPr>
                    <w:t>舟山市政府采购信用融资合作银行</w:t>
                  </w:r>
                </w:p>
              </w:tc>
            </w:tr>
            <w:tr w14:paraId="1C585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518" w:type="dxa"/>
                  <w:shd w:val="clear" w:color="auto" w:fill="auto"/>
                  <w:vAlign w:val="center"/>
                </w:tcPr>
                <w:p w14:paraId="5D036CE6">
                  <w:pPr>
                    <w:jc w:val="center"/>
                    <w:rPr>
                      <w:rFonts w:ascii="宋体" w:hAnsi="宋体" w:cs="宋体"/>
                      <w:szCs w:val="21"/>
                    </w:rPr>
                  </w:pPr>
                  <w:r>
                    <w:rPr>
                      <w:rFonts w:hint="eastAsia" w:ascii="宋体" w:hAnsi="宋体" w:cs="宋体"/>
                      <w:szCs w:val="21"/>
                    </w:rPr>
                    <w:t>银行名称</w:t>
                  </w:r>
                </w:p>
              </w:tc>
              <w:tc>
                <w:tcPr>
                  <w:tcW w:w="4111" w:type="dxa"/>
                  <w:shd w:val="clear" w:color="auto" w:fill="auto"/>
                  <w:vAlign w:val="center"/>
                </w:tcPr>
                <w:p w14:paraId="2A618291">
                  <w:pPr>
                    <w:jc w:val="center"/>
                    <w:rPr>
                      <w:rFonts w:ascii="宋体" w:hAnsi="宋体" w:cs="宋体"/>
                      <w:szCs w:val="21"/>
                    </w:rPr>
                  </w:pPr>
                  <w:r>
                    <w:rPr>
                      <w:rFonts w:hint="eastAsia" w:ascii="宋体" w:hAnsi="宋体" w:cs="宋体"/>
                      <w:szCs w:val="21"/>
                    </w:rPr>
                    <w:t>产品特点</w:t>
                  </w:r>
                </w:p>
              </w:tc>
              <w:tc>
                <w:tcPr>
                  <w:tcW w:w="850" w:type="dxa"/>
                  <w:shd w:val="clear" w:color="auto" w:fill="auto"/>
                  <w:vAlign w:val="center"/>
                </w:tcPr>
                <w:p w14:paraId="0114E623">
                  <w:pPr>
                    <w:jc w:val="center"/>
                    <w:rPr>
                      <w:rFonts w:ascii="宋体" w:hAnsi="宋体" w:cs="宋体"/>
                      <w:szCs w:val="21"/>
                    </w:rPr>
                  </w:pPr>
                  <w:r>
                    <w:rPr>
                      <w:rFonts w:hint="eastAsia" w:ascii="宋体" w:hAnsi="宋体" w:cs="宋体"/>
                      <w:szCs w:val="21"/>
                    </w:rPr>
                    <w:t>经办人</w:t>
                  </w:r>
                </w:p>
              </w:tc>
              <w:tc>
                <w:tcPr>
                  <w:tcW w:w="2418" w:type="dxa"/>
                  <w:shd w:val="clear" w:color="auto" w:fill="auto"/>
                  <w:vAlign w:val="center"/>
                </w:tcPr>
                <w:p w14:paraId="35AB8F48">
                  <w:pPr>
                    <w:ind w:firstLine="210" w:firstLineChars="100"/>
                    <w:rPr>
                      <w:rFonts w:ascii="宋体" w:hAnsi="宋体" w:cs="宋体"/>
                      <w:szCs w:val="21"/>
                    </w:rPr>
                  </w:pPr>
                  <w:r>
                    <w:rPr>
                      <w:rFonts w:hint="eastAsia" w:ascii="宋体" w:hAnsi="宋体" w:cs="宋体"/>
                      <w:szCs w:val="21"/>
                    </w:rPr>
                    <w:t>联系方式</w:t>
                  </w:r>
                </w:p>
              </w:tc>
            </w:tr>
            <w:tr w14:paraId="48830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2713963A">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中国工商银行股份有限公司舟山分行</w:t>
                  </w:r>
                </w:p>
              </w:tc>
              <w:tc>
                <w:tcPr>
                  <w:tcW w:w="4111" w:type="dxa"/>
                  <w:shd w:val="clear" w:color="auto" w:fill="auto"/>
                </w:tcPr>
                <w:p w14:paraId="68ADA401">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融资额度高，融资金额最高可至订单金额70%，线上申请，随借随还。2.融资利率低，最低可至当期LPR利率。</w:t>
                  </w:r>
                </w:p>
                <w:p w14:paraId="7B95BB71">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3.担保方式灵活，以政府采购合同进行融资，无需另外抵押。</w:t>
                  </w:r>
                </w:p>
              </w:tc>
              <w:tc>
                <w:tcPr>
                  <w:tcW w:w="850" w:type="dxa"/>
                  <w:shd w:val="clear" w:color="auto" w:fill="auto"/>
                  <w:vAlign w:val="center"/>
                </w:tcPr>
                <w:p w14:paraId="662D1E0D">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柳超颖</w:t>
                  </w:r>
                </w:p>
              </w:tc>
              <w:tc>
                <w:tcPr>
                  <w:tcW w:w="2418" w:type="dxa"/>
                  <w:shd w:val="clear" w:color="auto" w:fill="auto"/>
                  <w:vAlign w:val="center"/>
                </w:tcPr>
                <w:p w14:paraId="74A6DF6C">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0580-2166242,</w:t>
                  </w:r>
                </w:p>
                <w:p w14:paraId="2C1BE850">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 xml:space="preserve"> 15858076468</w:t>
                  </w:r>
                </w:p>
              </w:tc>
            </w:tr>
            <w:tr w14:paraId="6099B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18" w:type="dxa"/>
                  <w:shd w:val="clear" w:color="auto" w:fill="auto"/>
                  <w:vAlign w:val="center"/>
                </w:tcPr>
                <w:p w14:paraId="1DEE6D1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中国建设银行股份有限公司舟山分行</w:t>
                  </w:r>
                </w:p>
              </w:tc>
              <w:tc>
                <w:tcPr>
                  <w:tcW w:w="4111" w:type="dxa"/>
                  <w:shd w:val="clear" w:color="auto" w:fill="auto"/>
                </w:tcPr>
                <w:p w14:paraId="2227497F">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快速便捷：全流程线上操作，通过浙江省政府采购网数据审核信用额度，建行供应链平台快速放款。</w:t>
                  </w:r>
                </w:p>
                <w:p w14:paraId="02338D56">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申请额度高：单笔融资额度最高可达政府采购合同金额的90%，单户额度最高可达3000万。</w:t>
                  </w:r>
                </w:p>
                <w:p w14:paraId="000BD90C">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无需额外抵押：以浙江省政府采购网备案公示的政府采购合同进行融资，无需额外抵押担保。</w:t>
                  </w:r>
                </w:p>
                <w:p w14:paraId="18F87C01">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利率优惠：给予流动资金贷款最优惠利率。</w:t>
                  </w:r>
                </w:p>
              </w:tc>
              <w:tc>
                <w:tcPr>
                  <w:tcW w:w="850" w:type="dxa"/>
                  <w:shd w:val="clear" w:color="auto" w:fill="auto"/>
                  <w:vAlign w:val="center"/>
                </w:tcPr>
                <w:p w14:paraId="643713A1">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普陀片区：蔡妮妮</w:t>
                  </w:r>
                </w:p>
                <w:p w14:paraId="3487BA58">
                  <w:pPr>
                    <w:jc w:val="cente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定海片区：杨莹</w:t>
                  </w:r>
                </w:p>
                <w:p w14:paraId="1D7B45DB">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自贸区片区：方晓</w:t>
                  </w:r>
                </w:p>
              </w:tc>
              <w:tc>
                <w:tcPr>
                  <w:tcW w:w="2418" w:type="dxa"/>
                  <w:shd w:val="clear" w:color="auto" w:fill="auto"/>
                  <w:vAlign w:val="center"/>
                </w:tcPr>
                <w:p w14:paraId="7A73435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普陀片区：</w:t>
                  </w:r>
                </w:p>
                <w:p w14:paraId="17BC3493">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13957201791</w:t>
                  </w:r>
                </w:p>
                <w:p w14:paraId="6E5689D2">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定海片区：</w:t>
                  </w:r>
                </w:p>
                <w:p w14:paraId="126E2DC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13655803997</w:t>
                  </w:r>
                </w:p>
                <w:p w14:paraId="2B9DC820">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自贸区片区：</w:t>
                  </w:r>
                </w:p>
                <w:p w14:paraId="1409ADB0">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13587086324</w:t>
                  </w:r>
                </w:p>
              </w:tc>
            </w:tr>
            <w:tr w14:paraId="4C48D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3C05BBD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杭州银行股份有限公司舟山市分行</w:t>
                  </w:r>
                </w:p>
              </w:tc>
              <w:tc>
                <w:tcPr>
                  <w:tcW w:w="4111" w:type="dxa"/>
                  <w:shd w:val="clear" w:color="auto" w:fill="auto"/>
                </w:tcPr>
                <w:p w14:paraId="148F14E8">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云采贷”是杭州银行为政府采购供应商提供的纯信用贷款产品。客户申请、签约、放款全流程线上化，平台注册入库并取得采购合同即可申请，融资比例最高达采购订单的80%，单户、单笔最高可达3000万，最长期限一年。</w:t>
                  </w:r>
                </w:p>
              </w:tc>
              <w:tc>
                <w:tcPr>
                  <w:tcW w:w="850" w:type="dxa"/>
                  <w:shd w:val="clear" w:color="auto" w:fill="auto"/>
                  <w:vAlign w:val="center"/>
                </w:tcPr>
                <w:p w14:paraId="1CFC947A">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方经理</w:t>
                  </w:r>
                </w:p>
              </w:tc>
              <w:tc>
                <w:tcPr>
                  <w:tcW w:w="2418" w:type="dxa"/>
                  <w:shd w:val="clear" w:color="auto" w:fill="auto"/>
                  <w:vAlign w:val="center"/>
                </w:tcPr>
                <w:p w14:paraId="48E8C8D7">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0580-2185201，</w:t>
                  </w:r>
                </w:p>
                <w:p w14:paraId="341575A5">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18205800451</w:t>
                  </w:r>
                </w:p>
              </w:tc>
            </w:tr>
            <w:tr w14:paraId="0411F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5F52B761">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招商银行股份有限公司浙江自贸试验区舟山分行</w:t>
                  </w:r>
                </w:p>
              </w:tc>
              <w:tc>
                <w:tcPr>
                  <w:tcW w:w="4111" w:type="dxa"/>
                  <w:shd w:val="clear" w:color="auto" w:fill="auto"/>
                </w:tcPr>
                <w:p w14:paraId="507534E9">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小企业政采贷是招商银行为政府采购成交供应商提供的用于履行政府采购合同的专属融资产品。优势：一、额度高。根据企业上一年或近一年获得政府采购成交及成交通知的一定比例给予额度，最高可达3000万元，单笔提款金额最高至合同金额的90%。二、操作简便、模式丰富。客户通过我行一网通等渠道在线申请。支持线上用款，按日计息，随借随还，利率最低至当期LPR。三、担保方式灵活。实际控制人夫妇担保＋融资项下应收账款质押作为辅助，无需抵押，一次性签署合作协议。</w:t>
                  </w:r>
                </w:p>
              </w:tc>
              <w:tc>
                <w:tcPr>
                  <w:tcW w:w="850" w:type="dxa"/>
                  <w:shd w:val="clear" w:color="auto" w:fill="auto"/>
                  <w:vAlign w:val="center"/>
                </w:tcPr>
                <w:p w14:paraId="1DA4230E">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李玲</w:t>
                  </w:r>
                </w:p>
              </w:tc>
              <w:tc>
                <w:tcPr>
                  <w:tcW w:w="2418" w:type="dxa"/>
                  <w:shd w:val="clear" w:color="auto" w:fill="auto"/>
                  <w:vAlign w:val="center"/>
                </w:tcPr>
                <w:p w14:paraId="5FCB923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0580-2061710，</w:t>
                  </w:r>
                </w:p>
                <w:p w14:paraId="35E40786">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13957227971</w:t>
                  </w:r>
                </w:p>
              </w:tc>
            </w:tr>
            <w:tr w14:paraId="322FB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8" w:hRule="atLeast"/>
              </w:trPr>
              <w:tc>
                <w:tcPr>
                  <w:tcW w:w="1518" w:type="dxa"/>
                  <w:shd w:val="clear" w:color="auto" w:fill="auto"/>
                  <w:vAlign w:val="center"/>
                </w:tcPr>
                <w:p w14:paraId="124490B3">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温州银行股份有限公司舟山市分行</w:t>
                  </w:r>
                </w:p>
              </w:tc>
              <w:tc>
                <w:tcPr>
                  <w:tcW w:w="4111" w:type="dxa"/>
                  <w:shd w:val="clear" w:color="auto" w:fill="auto"/>
                </w:tcPr>
                <w:p w14:paraId="65A15CCF">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单户授信敞口最高不超过1000万元，且最高额度核定一般不超过借款人（含实际控制人控制的其他经营实体）最近13个月合计有效中标合同金额的70%。</w:t>
                  </w:r>
                </w:p>
                <w:p w14:paraId="1D13B664">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单笔借款额度最高不超过1000万元，单笔业务授信额度不超过“政采云平台”提供的中标通知书承载的中标金额或本次申请授信提供的采购合同金额的80%，且用信金额不超过采购合同未付金额的80%。</w:t>
                  </w:r>
                </w:p>
                <w:p w14:paraId="78A2C81B">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借款人中标采购人自行采购项目并向我行发起授信申请的，单笔业务授信敞口不超500万元，且不超过借款人中标通知书承载的中标金额或本次申请授信提供的采购合同的80%。</w:t>
                  </w:r>
                </w:p>
                <w:p w14:paraId="0958FBF6">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符合我行采购人资质的，且负债率不超75%，配合应收账款质押登记确认的，并可出具确认函，单笔借款额度可按不超过采购合同的90%办理。</w:t>
                  </w:r>
                </w:p>
              </w:tc>
              <w:tc>
                <w:tcPr>
                  <w:tcW w:w="850" w:type="dxa"/>
                  <w:shd w:val="clear" w:color="auto" w:fill="auto"/>
                  <w:vAlign w:val="center"/>
                </w:tcPr>
                <w:p w14:paraId="1EBE11B6">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郑贤栋</w:t>
                  </w:r>
                </w:p>
              </w:tc>
              <w:tc>
                <w:tcPr>
                  <w:tcW w:w="2418" w:type="dxa"/>
                  <w:shd w:val="clear" w:color="auto" w:fill="auto"/>
                  <w:vAlign w:val="center"/>
                </w:tcPr>
                <w:p w14:paraId="0E0DA3DD">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058—8866086</w:t>
                  </w:r>
                </w:p>
              </w:tc>
            </w:tr>
            <w:tr w14:paraId="1FD80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8" w:type="dxa"/>
                  <w:shd w:val="clear" w:color="auto" w:fill="auto"/>
                  <w:vAlign w:val="center"/>
                </w:tcPr>
                <w:p w14:paraId="5FF8CF3C">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交通银行股份有限公司舟山分行</w:t>
                  </w:r>
                </w:p>
              </w:tc>
              <w:tc>
                <w:tcPr>
                  <w:tcW w:w="4111" w:type="dxa"/>
                  <w:shd w:val="clear" w:color="auto" w:fill="auto"/>
                </w:tcPr>
                <w:p w14:paraId="5FF085EF">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交通银行政采贷，线上版本最长期限1年，融资金额一般不超过1000万；线下版本期限最长两年，额度最高2,000万，单笔提款金额最高至采购合同金额的70%。担保方式为信用（附加该笔业务项下未来应收账款质押、实际控制人及配偶个人保证），随借随还，利率最低至当期LPR。</w:t>
                  </w:r>
                </w:p>
              </w:tc>
              <w:tc>
                <w:tcPr>
                  <w:tcW w:w="850" w:type="dxa"/>
                  <w:shd w:val="clear" w:color="auto" w:fill="auto"/>
                  <w:vAlign w:val="center"/>
                </w:tcPr>
                <w:p w14:paraId="6EBB1608">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赵争艳</w:t>
                  </w:r>
                </w:p>
              </w:tc>
              <w:tc>
                <w:tcPr>
                  <w:tcW w:w="2418" w:type="dxa"/>
                  <w:shd w:val="clear" w:color="auto" w:fill="auto"/>
                  <w:vAlign w:val="center"/>
                </w:tcPr>
                <w:p w14:paraId="3BFD9060">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0580-2260728</w:t>
                  </w:r>
                </w:p>
                <w:p w14:paraId="21CFB17C">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13758007280</w:t>
                  </w:r>
                </w:p>
              </w:tc>
            </w:tr>
            <w:tr w14:paraId="2F7F9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7F2F5287">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中信银行股份有限公司舟山分行</w:t>
                  </w:r>
                </w:p>
              </w:tc>
              <w:tc>
                <w:tcPr>
                  <w:tcW w:w="4111" w:type="dxa"/>
                  <w:shd w:val="clear" w:color="auto" w:fill="auto"/>
                </w:tcPr>
                <w:p w14:paraId="36DF191B">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信银行“政采e贷”产品特点：根据政府采购成交通知书或合同，以政府财政支付资金为主要还款来源，为成交小微企业提供流动资金贷款。产品实现预授信、贷款申请、应收账款质押、授信审批、自助提款等环节的线上化、自动化处理，操作便利，授信额度最高不超过1000万元，贷款期限最长1年，利率低。</w:t>
                  </w:r>
                </w:p>
              </w:tc>
              <w:tc>
                <w:tcPr>
                  <w:tcW w:w="850" w:type="dxa"/>
                  <w:shd w:val="clear" w:color="auto" w:fill="auto"/>
                  <w:vAlign w:val="center"/>
                </w:tcPr>
                <w:p w14:paraId="395AE747">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黄丽</w:t>
                  </w:r>
                </w:p>
              </w:tc>
              <w:tc>
                <w:tcPr>
                  <w:tcW w:w="2418" w:type="dxa"/>
                  <w:shd w:val="clear" w:color="auto" w:fill="auto"/>
                  <w:vAlign w:val="center"/>
                </w:tcPr>
                <w:p w14:paraId="0A24C156">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13905808032</w:t>
                  </w:r>
                </w:p>
              </w:tc>
            </w:tr>
            <w:tr w14:paraId="38789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2D5996D3">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泰隆银行舟山市分行</w:t>
                  </w:r>
                </w:p>
              </w:tc>
              <w:tc>
                <w:tcPr>
                  <w:tcW w:w="4111" w:type="dxa"/>
                  <w:shd w:val="clear" w:color="auto" w:fill="auto"/>
                </w:tcPr>
                <w:p w14:paraId="26046D80">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符合我行基本准入，期限对照订单最长不超过1年，额度最高1000万，担保方式享受信用贷款执行，可由成交企业或其实际控制人出面申请，利率最低可至当期LPR ，对于合同期限确实超过一年的，可享受无还本续贷至合同付款日。</w:t>
                  </w:r>
                </w:p>
              </w:tc>
              <w:tc>
                <w:tcPr>
                  <w:tcW w:w="850" w:type="dxa"/>
                  <w:shd w:val="clear" w:color="auto" w:fill="auto"/>
                  <w:vAlign w:val="center"/>
                </w:tcPr>
                <w:p w14:paraId="279EE23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胡亢宇</w:t>
                  </w:r>
                </w:p>
              </w:tc>
              <w:tc>
                <w:tcPr>
                  <w:tcW w:w="2418" w:type="dxa"/>
                  <w:shd w:val="clear" w:color="auto" w:fill="auto"/>
                  <w:vAlign w:val="center"/>
                </w:tcPr>
                <w:p w14:paraId="70CE1961">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17605868703</w:t>
                  </w:r>
                </w:p>
              </w:tc>
            </w:tr>
            <w:tr w14:paraId="322D7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558BE349">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中国农业银行股份有限公司舟山分行</w:t>
                  </w:r>
                </w:p>
              </w:tc>
              <w:tc>
                <w:tcPr>
                  <w:tcW w:w="4111" w:type="dxa"/>
                  <w:shd w:val="clear" w:color="auto" w:fill="auto"/>
                </w:tcPr>
                <w:p w14:paraId="15376E59">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政采贷”业务原则上不超过政府采购合同实有金额的80%，单户借款额度不超过500万元。借款到期日不晚于合同约定付款日后90天，原则上不超过1年，最长可放宽至2年。应收账款形成前，可采用信用方式用信并追加供应商法定代表人或实际控制人连带责任保证担保；应收账款形成后，信用方式用信需变更为应收账款质押担保。</w:t>
                  </w:r>
                </w:p>
              </w:tc>
              <w:tc>
                <w:tcPr>
                  <w:tcW w:w="850" w:type="dxa"/>
                  <w:shd w:val="clear" w:color="auto" w:fill="auto"/>
                  <w:vAlign w:val="center"/>
                </w:tcPr>
                <w:p w14:paraId="0F32B77C">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苏华瞻</w:t>
                  </w:r>
                </w:p>
              </w:tc>
              <w:tc>
                <w:tcPr>
                  <w:tcW w:w="2418" w:type="dxa"/>
                  <w:shd w:val="clear" w:color="auto" w:fill="auto"/>
                  <w:vAlign w:val="center"/>
                </w:tcPr>
                <w:p w14:paraId="7E41D848">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13967228926</w:t>
                  </w:r>
                </w:p>
              </w:tc>
            </w:tr>
            <w:tr w14:paraId="4E951A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518" w:type="dxa"/>
                  <w:shd w:val="clear" w:color="auto" w:fill="auto"/>
                  <w:vAlign w:val="center"/>
                </w:tcPr>
                <w:p w14:paraId="1FD16CA6">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中国邮政储蓄银行股份有限公司舟山市分行</w:t>
                  </w:r>
                </w:p>
              </w:tc>
              <w:tc>
                <w:tcPr>
                  <w:tcW w:w="4111" w:type="dxa"/>
                  <w:shd w:val="clear" w:color="auto" w:fill="auto"/>
                </w:tcPr>
                <w:p w14:paraId="669A5834">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符合我行基本准入，授信额度使用期最高为2年，单户授信最高为500万，担保方式享受信用贷款执行，利率最低可至当期LPR ，有无还本续贷，12月份线上产品可以自主自贷。</w:t>
                  </w:r>
                </w:p>
              </w:tc>
              <w:tc>
                <w:tcPr>
                  <w:tcW w:w="850" w:type="dxa"/>
                  <w:shd w:val="clear" w:color="auto" w:fill="auto"/>
                  <w:vAlign w:val="center"/>
                </w:tcPr>
                <w:p w14:paraId="775E70B6">
                  <w:pPr>
                    <w:jc w:val="cente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蒋志燕</w:t>
                  </w:r>
                </w:p>
              </w:tc>
              <w:tc>
                <w:tcPr>
                  <w:tcW w:w="2418" w:type="dxa"/>
                  <w:shd w:val="clear" w:color="auto" w:fill="auto"/>
                  <w:vAlign w:val="center"/>
                </w:tcPr>
                <w:p w14:paraId="61DD5DF2">
                  <w:pPr>
                    <w:rPr>
                      <w:rFonts w:ascii="宋体" w:hAnsi="宋体" w:cs="宋体"/>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13732527321</w:t>
                  </w:r>
                </w:p>
              </w:tc>
            </w:tr>
          </w:tbl>
          <w:p w14:paraId="11DF61FA">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2.一般步骤</w:t>
            </w:r>
          </w:p>
          <w:p w14:paraId="523E37F7">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（1）供应商先与银行对接，办理融资前期手续；</w:t>
            </w:r>
          </w:p>
          <w:p w14:paraId="0DEBFCA7">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（2）供应商中标后，凭中标通知书等材料，向相关合作银行发出融资申请；</w:t>
            </w:r>
          </w:p>
          <w:p w14:paraId="03C76945">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（3）银行、供应商线上办理审批、放贷事宜。</w:t>
            </w:r>
          </w:p>
          <w:p w14:paraId="52165B3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3.注意事项</w:t>
            </w:r>
          </w:p>
          <w:p w14:paraId="73634124">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（1）中标供应商需确保政府采购合同的收款账户与融资银行开户账户一致。</w:t>
            </w:r>
          </w:p>
          <w:p w14:paraId="691A67B9">
            <w:pPr>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（2）用于政府采购信用融资的政府采购合同，应当包含如下条款：“第   条：政府采购合同贷款</w:t>
            </w:r>
          </w:p>
          <w:p w14:paraId="12A1E445">
            <w:pPr>
              <w:ind w:firstLine="210" w:firstLineChars="100"/>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本合同同时用于乙方向      银行（金融机构）申请政府采购信用贷款。</w:t>
            </w:r>
          </w:p>
          <w:p w14:paraId="66A880F5">
            <w:pPr>
              <w:spacing w:line="260" w:lineRule="exact"/>
              <w:rPr>
                <w:rFonts w:cs="宋体" w:asciiTheme="minorEastAsia" w:hAnsiTheme="minorEastAsia" w:eastAsiaTheme="minorEastAsia"/>
                <w:color w:val="000000" w:themeColor="text1"/>
                <w:szCs w:val="21"/>
                <w14:textFill>
                  <w14:solidFill>
                    <w14:schemeClr w14:val="tx1"/>
                  </w14:solidFill>
                </w14:textFill>
              </w:rPr>
            </w:pPr>
            <w:r>
              <w:rPr>
                <w:rFonts w:hint="eastAsia" w:cs="宋体" w:asciiTheme="minorEastAsia" w:hAnsiTheme="minorEastAsia" w:eastAsiaTheme="minorEastAsia"/>
                <w:color w:val="000000" w:themeColor="text1"/>
                <w:szCs w:val="21"/>
                <w14:textFill>
                  <w14:solidFill>
                    <w14:schemeClr w14:val="tx1"/>
                  </w14:solidFill>
                </w14:textFill>
              </w:rPr>
              <w:t>本</w:t>
            </w:r>
            <w:r>
              <w:rPr>
                <w:rFonts w:cs="宋体" w:asciiTheme="minorEastAsia" w:hAnsiTheme="minorEastAsia" w:eastAsiaTheme="minorEastAsia"/>
                <w:color w:val="000000" w:themeColor="text1"/>
                <w:szCs w:val="21"/>
                <w14:textFill>
                  <w14:solidFill>
                    <w14:schemeClr w14:val="tx1"/>
                  </w14:solidFill>
                </w14:textFill>
              </w:rPr>
              <w:t>合同一经签订，原则上不得更改</w:t>
            </w:r>
            <w:r>
              <w:rPr>
                <w:rFonts w:hint="eastAsia" w:cs="宋体" w:asciiTheme="minorEastAsia" w:hAnsiTheme="minorEastAsia" w:eastAsiaTheme="minorEastAsia"/>
                <w:color w:val="000000" w:themeColor="text1"/>
                <w:szCs w:val="21"/>
                <w14:textFill>
                  <w14:solidFill>
                    <w14:schemeClr w14:val="tx1"/>
                  </w14:solidFill>
                </w14:textFill>
              </w:rPr>
              <w:t>乙方收</w:t>
            </w:r>
            <w:r>
              <w:rPr>
                <w:rFonts w:cs="宋体" w:asciiTheme="minorEastAsia" w:hAnsiTheme="minorEastAsia" w:eastAsiaTheme="minorEastAsia"/>
                <w:color w:val="000000" w:themeColor="text1"/>
                <w:szCs w:val="21"/>
                <w14:textFill>
                  <w14:solidFill>
                    <w14:schemeClr w14:val="tx1"/>
                  </w14:solidFill>
                </w14:textFill>
              </w:rPr>
              <w:t>款</w:t>
            </w:r>
            <w:r>
              <w:rPr>
                <w:rFonts w:hint="eastAsia" w:cs="宋体" w:asciiTheme="minorEastAsia" w:hAnsiTheme="minorEastAsia" w:eastAsiaTheme="minorEastAsia"/>
                <w:color w:val="000000" w:themeColor="text1"/>
                <w:szCs w:val="21"/>
                <w14:textFill>
                  <w14:solidFill>
                    <w14:schemeClr w14:val="tx1"/>
                  </w14:solidFill>
                </w14:textFill>
              </w:rPr>
              <w:t>账户</w:t>
            </w:r>
            <w:r>
              <w:rPr>
                <w:rFonts w:cs="宋体" w:asciiTheme="minorEastAsia" w:hAnsiTheme="minorEastAsia" w:eastAsiaTheme="minorEastAsia"/>
                <w:color w:val="000000" w:themeColor="text1"/>
                <w:szCs w:val="21"/>
                <w14:textFill>
                  <w14:solidFill>
                    <w14:schemeClr w14:val="tx1"/>
                  </w14:solidFill>
                </w14:textFill>
              </w:rPr>
              <w:t>信息</w:t>
            </w:r>
            <w:r>
              <w:rPr>
                <w:rFonts w:hint="eastAsia" w:cs="宋体" w:asciiTheme="minorEastAsia" w:hAnsiTheme="minorEastAsia" w:eastAsiaTheme="minorEastAsia"/>
                <w:color w:val="000000" w:themeColor="text1"/>
                <w:szCs w:val="21"/>
                <w14:textFill>
                  <w14:solidFill>
                    <w14:schemeClr w14:val="tx1"/>
                  </w14:solidFill>
                </w14:textFill>
              </w:rPr>
              <w:t>。确</w:t>
            </w:r>
            <w:r>
              <w:rPr>
                <w:rFonts w:cs="宋体" w:asciiTheme="minorEastAsia" w:hAnsiTheme="minorEastAsia" w:eastAsiaTheme="minorEastAsia"/>
                <w:color w:val="000000" w:themeColor="text1"/>
                <w:szCs w:val="21"/>
                <w14:textFill>
                  <w14:solidFill>
                    <w14:schemeClr w14:val="tx1"/>
                  </w14:solidFill>
                </w14:textFill>
              </w:rPr>
              <w:t>须更改的，</w:t>
            </w:r>
            <w:r>
              <w:rPr>
                <w:rFonts w:hint="eastAsia" w:cs="宋体" w:asciiTheme="minorEastAsia" w:hAnsiTheme="minorEastAsia" w:eastAsiaTheme="minorEastAsia"/>
                <w:color w:val="000000" w:themeColor="text1"/>
                <w:szCs w:val="21"/>
                <w14:textFill>
                  <w14:solidFill>
                    <w14:schemeClr w14:val="tx1"/>
                  </w14:solidFill>
                </w14:textFill>
              </w:rPr>
              <w:t>乙方应</w:t>
            </w:r>
            <w:r>
              <w:rPr>
                <w:rFonts w:cs="宋体" w:asciiTheme="minorEastAsia" w:hAnsiTheme="minorEastAsia" w:eastAsiaTheme="minorEastAsia"/>
                <w:color w:val="000000" w:themeColor="text1"/>
                <w:szCs w:val="21"/>
                <w14:textFill>
                  <w14:solidFill>
                    <w14:schemeClr w14:val="tx1"/>
                  </w14:solidFill>
                </w14:textFill>
              </w:rPr>
              <w:t>取得</w:t>
            </w:r>
            <w:r>
              <w:rPr>
                <w:rFonts w:hint="eastAsia" w:cs="宋体" w:asciiTheme="minorEastAsia" w:hAnsiTheme="minorEastAsia" w:eastAsiaTheme="minorEastAsia"/>
                <w:color w:val="000000" w:themeColor="text1"/>
                <w:szCs w:val="21"/>
                <w14:textFill>
                  <w14:solidFill>
                    <w14:schemeClr w14:val="tx1"/>
                  </w14:solidFill>
                </w14:textFill>
              </w:rPr>
              <w:t>原</w:t>
            </w:r>
            <w:r>
              <w:rPr>
                <w:rFonts w:cs="宋体" w:asciiTheme="minorEastAsia" w:hAnsiTheme="minorEastAsia" w:eastAsiaTheme="minorEastAsia"/>
                <w:color w:val="000000" w:themeColor="text1"/>
                <w:szCs w:val="21"/>
                <w14:textFill>
                  <w14:solidFill>
                    <w14:schemeClr w14:val="tx1"/>
                  </w14:solidFill>
                </w14:textFill>
              </w:rPr>
              <w:t>合同收款账户开户银行书面同意，</w:t>
            </w:r>
            <w:r>
              <w:rPr>
                <w:rFonts w:hint="eastAsia" w:cs="宋体" w:asciiTheme="minorEastAsia" w:hAnsiTheme="minorEastAsia" w:eastAsiaTheme="minorEastAsia"/>
                <w:color w:val="000000" w:themeColor="text1"/>
                <w:szCs w:val="21"/>
                <w14:textFill>
                  <w14:solidFill>
                    <w14:schemeClr w14:val="tx1"/>
                  </w14:solidFill>
                </w14:textFill>
              </w:rPr>
              <w:t>否则修改后</w:t>
            </w:r>
            <w:r>
              <w:rPr>
                <w:rFonts w:cs="宋体" w:asciiTheme="minorEastAsia" w:hAnsiTheme="minorEastAsia" w:eastAsiaTheme="minorEastAsia"/>
                <w:color w:val="000000" w:themeColor="text1"/>
                <w:szCs w:val="21"/>
                <w14:textFill>
                  <w14:solidFill>
                    <w14:schemeClr w14:val="tx1"/>
                  </w14:solidFill>
                </w14:textFill>
              </w:rPr>
              <w:t>的合同不予</w:t>
            </w:r>
            <w:r>
              <w:rPr>
                <w:rFonts w:hint="eastAsia" w:cs="宋体" w:asciiTheme="minorEastAsia" w:hAnsiTheme="minorEastAsia" w:eastAsiaTheme="minorEastAsia"/>
                <w:color w:val="000000" w:themeColor="text1"/>
                <w:szCs w:val="21"/>
                <w14:textFill>
                  <w14:solidFill>
                    <w14:schemeClr w14:val="tx1"/>
                  </w14:solidFill>
                </w14:textFill>
              </w:rPr>
              <w:t>备案</w:t>
            </w:r>
            <w:r>
              <w:rPr>
                <w:rFonts w:cs="宋体" w:asciiTheme="minorEastAsia" w:hAnsiTheme="minorEastAsia" w:eastAsiaTheme="minorEastAsia"/>
                <w:color w:val="000000" w:themeColor="text1"/>
                <w:szCs w:val="21"/>
                <w14:textFill>
                  <w14:solidFill>
                    <w14:schemeClr w14:val="tx1"/>
                  </w14:solidFill>
                </w14:textFill>
              </w:rPr>
              <w:t>，采购资金不予</w:t>
            </w:r>
            <w:r>
              <w:rPr>
                <w:rFonts w:hint="eastAsia" w:cs="宋体" w:asciiTheme="minorEastAsia" w:hAnsiTheme="minorEastAsia" w:eastAsiaTheme="minorEastAsia"/>
                <w:color w:val="000000" w:themeColor="text1"/>
                <w:szCs w:val="21"/>
                <w14:textFill>
                  <w14:solidFill>
                    <w14:schemeClr w14:val="tx1"/>
                  </w14:solidFill>
                </w14:textFill>
              </w:rPr>
              <w:t>支付。</w:t>
            </w:r>
            <w:r>
              <w:rPr>
                <w:rFonts w:hint="eastAsia" w:ascii="宋体" w:hAnsi="宋体" w:cs="宋体"/>
                <w:szCs w:val="21"/>
              </w:rPr>
              <w:t>”</w:t>
            </w:r>
          </w:p>
        </w:tc>
      </w:tr>
    </w:tbl>
    <w:p w14:paraId="08F70050">
      <w:pPr>
        <w:pStyle w:val="52"/>
        <w:snapToGrid w:val="0"/>
        <w:spacing w:before="120" w:after="120"/>
        <w:ind w:firstLine="3626" w:firstLineChars="1290"/>
        <w:rPr>
          <w:rFonts w:asciiTheme="minorEastAsia" w:hAnsiTheme="minorEastAsia" w:eastAsiaTheme="minorEastAsia"/>
          <w:b/>
          <w:bCs/>
          <w:sz w:val="28"/>
        </w:rPr>
      </w:pPr>
    </w:p>
    <w:p w14:paraId="51F6B26E">
      <w:pPr>
        <w:pStyle w:val="52"/>
        <w:snapToGrid w:val="0"/>
        <w:spacing w:before="120" w:after="120"/>
        <w:ind w:firstLine="3626" w:firstLineChars="1290"/>
        <w:rPr>
          <w:rFonts w:asciiTheme="minorEastAsia" w:hAnsiTheme="minorEastAsia" w:eastAsiaTheme="minorEastAsia"/>
          <w:b/>
          <w:bCs/>
          <w:sz w:val="28"/>
        </w:rPr>
      </w:pPr>
      <w:r>
        <w:rPr>
          <w:rFonts w:asciiTheme="minorEastAsia" w:hAnsiTheme="minorEastAsia" w:eastAsiaTheme="minorEastAsia"/>
          <w:b/>
          <w:bCs/>
          <w:sz w:val="28"/>
        </w:rPr>
        <w:t>一</w:t>
      </w:r>
      <w:r>
        <w:rPr>
          <w:rFonts w:hint="eastAsia" w:asciiTheme="minorEastAsia" w:hAnsiTheme="minorEastAsia" w:eastAsiaTheme="minorEastAsia"/>
          <w:b/>
          <w:bCs/>
          <w:sz w:val="28"/>
        </w:rPr>
        <w:t>．</w:t>
      </w:r>
      <w:r>
        <w:rPr>
          <w:rFonts w:asciiTheme="minorEastAsia" w:hAnsiTheme="minorEastAsia" w:eastAsiaTheme="minorEastAsia"/>
          <w:b/>
          <w:bCs/>
          <w:sz w:val="28"/>
        </w:rPr>
        <w:t>总  则</w:t>
      </w:r>
    </w:p>
    <w:p w14:paraId="6DAE2DBD">
      <w:pPr>
        <w:pStyle w:val="52"/>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（一）适用范围</w:t>
      </w:r>
    </w:p>
    <w:p w14:paraId="049887F3">
      <w:pPr>
        <w:snapToGrid w:val="0"/>
        <w:spacing w:line="360" w:lineRule="auto"/>
        <w:ind w:right="-506" w:rightChars="-241" w:firstLine="420" w:firstLineChars="200"/>
        <w:rPr>
          <w:rFonts w:asciiTheme="minorEastAsia" w:hAnsiTheme="minorEastAsia" w:eastAsiaTheme="minorEastAsia"/>
        </w:rPr>
      </w:pPr>
      <w:r>
        <w:rPr>
          <w:rFonts w:asciiTheme="minorEastAsia" w:hAnsiTheme="minorEastAsia" w:eastAsiaTheme="minorEastAsia"/>
        </w:rPr>
        <w:t>本</w:t>
      </w:r>
      <w:r>
        <w:rPr>
          <w:rFonts w:hint="eastAsia" w:asciiTheme="minorEastAsia" w:hAnsiTheme="minorEastAsia" w:eastAsiaTheme="minorEastAsia"/>
        </w:rPr>
        <w:t>采购</w:t>
      </w:r>
      <w:r>
        <w:rPr>
          <w:rFonts w:asciiTheme="minorEastAsia" w:hAnsiTheme="minorEastAsia" w:eastAsiaTheme="minorEastAsia"/>
        </w:rPr>
        <w:t>文件适用</w:t>
      </w:r>
      <w:r>
        <w:rPr>
          <w:rFonts w:asciiTheme="minorEastAsia" w:hAnsiTheme="minorEastAsia" w:eastAsiaTheme="minorEastAsia"/>
          <w:u w:val="none"/>
        </w:rPr>
        <w:t>于</w:t>
      </w:r>
      <w:r>
        <w:rPr>
          <w:rFonts w:hint="eastAsia" w:asciiTheme="minorEastAsia" w:hAnsiTheme="minorEastAsia" w:eastAsiaTheme="minorEastAsia"/>
          <w:u w:val="single"/>
          <w:lang w:val="en-US" w:eastAsia="zh-CN"/>
        </w:rPr>
        <w:t xml:space="preserve"> </w:t>
      </w:r>
      <w:r>
        <w:rPr>
          <w:rFonts w:hint="eastAsia" w:asciiTheme="minorEastAsia" w:hAnsiTheme="minorEastAsia" w:eastAsiaTheme="minorEastAsia"/>
          <w:u w:val="single"/>
        </w:rPr>
        <w:t xml:space="preserve">舟山第一小学勾山校区新建学校报告厅、录播室、会议室、室外舞台音响灯光设备设施采购项目 </w:t>
      </w:r>
      <w:r>
        <w:rPr>
          <w:rFonts w:asciiTheme="minorEastAsia" w:hAnsiTheme="minorEastAsia" w:eastAsiaTheme="minorEastAsia"/>
        </w:rPr>
        <w:t>的招标、投标、评标、定标、验收、合同履约、付款等行为（法律、法规另有规定的，从其规定）。</w:t>
      </w:r>
    </w:p>
    <w:p w14:paraId="57066904">
      <w:pPr>
        <w:pStyle w:val="52"/>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（二）定义</w:t>
      </w:r>
    </w:p>
    <w:p w14:paraId="0986A970">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1.</w:t>
      </w:r>
      <w:r>
        <w:rPr>
          <w:rFonts w:hint="eastAsia" w:asciiTheme="minorEastAsia" w:hAnsiTheme="minorEastAsia" w:eastAsiaTheme="minorEastAsia"/>
          <w:szCs w:val="21"/>
        </w:rPr>
        <w:t xml:space="preserve"> </w:t>
      </w:r>
      <w:r>
        <w:rPr>
          <w:rFonts w:asciiTheme="minorEastAsia" w:hAnsiTheme="minorEastAsia" w:eastAsiaTheme="minorEastAsia"/>
          <w:szCs w:val="21"/>
        </w:rPr>
        <w:t>招标采购单位系指组织本次招标的</w:t>
      </w:r>
      <w:r>
        <w:rPr>
          <w:rFonts w:hint="eastAsia" w:asciiTheme="minorEastAsia" w:hAnsiTheme="minorEastAsia" w:eastAsiaTheme="minorEastAsia"/>
          <w:szCs w:val="21"/>
        </w:rPr>
        <w:t>采购人</w:t>
      </w:r>
      <w:r>
        <w:rPr>
          <w:rFonts w:asciiTheme="minorEastAsia" w:hAnsiTheme="minorEastAsia" w:eastAsiaTheme="minorEastAsia"/>
          <w:szCs w:val="21"/>
        </w:rPr>
        <w:t>和采购</w:t>
      </w:r>
      <w:r>
        <w:rPr>
          <w:rFonts w:hint="eastAsia" w:asciiTheme="minorEastAsia" w:hAnsiTheme="minorEastAsia" w:eastAsiaTheme="minorEastAsia"/>
          <w:szCs w:val="21"/>
          <w:lang w:val="en-US" w:eastAsia="zh-CN"/>
        </w:rPr>
        <w:t>代理机构</w:t>
      </w:r>
      <w:r>
        <w:rPr>
          <w:rFonts w:asciiTheme="minorEastAsia" w:hAnsiTheme="minorEastAsia" w:eastAsiaTheme="minorEastAsia"/>
          <w:szCs w:val="21"/>
        </w:rPr>
        <w:t>。</w:t>
      </w:r>
    </w:p>
    <w:p w14:paraId="3ABD7003">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w:t>
      </w:r>
      <w:r>
        <w:rPr>
          <w:rFonts w:asciiTheme="minorEastAsia" w:hAnsiTheme="minorEastAsia" w:eastAsiaTheme="minorEastAsia"/>
          <w:szCs w:val="21"/>
        </w:rPr>
        <w:t>”系指向</w:t>
      </w:r>
      <w:r>
        <w:rPr>
          <w:rFonts w:hint="eastAsia" w:asciiTheme="minorEastAsia" w:hAnsiTheme="minorEastAsia" w:eastAsiaTheme="minorEastAsia"/>
          <w:szCs w:val="21"/>
        </w:rPr>
        <w:t>采购人</w:t>
      </w:r>
      <w:r>
        <w:rPr>
          <w:rFonts w:asciiTheme="minorEastAsia" w:hAnsiTheme="minorEastAsia" w:eastAsiaTheme="minorEastAsia"/>
          <w:szCs w:val="21"/>
        </w:rPr>
        <w:t>提交</w:t>
      </w:r>
      <w:r>
        <w:rPr>
          <w:rFonts w:hint="eastAsia" w:asciiTheme="minorEastAsia" w:hAnsiTheme="minorEastAsia" w:eastAsiaTheme="minorEastAsia"/>
          <w:szCs w:val="21"/>
        </w:rPr>
        <w:t>投标文件</w:t>
      </w:r>
      <w:r>
        <w:rPr>
          <w:rFonts w:asciiTheme="minorEastAsia" w:hAnsiTheme="minorEastAsia" w:eastAsiaTheme="minorEastAsia"/>
          <w:szCs w:val="21"/>
        </w:rPr>
        <w:t>的单位或个人。</w:t>
      </w:r>
    </w:p>
    <w:p w14:paraId="2512C7C6">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3.“产品”系指供方按</w:t>
      </w:r>
      <w:r>
        <w:rPr>
          <w:rFonts w:hint="eastAsia" w:asciiTheme="minorEastAsia" w:hAnsiTheme="minorEastAsia" w:eastAsiaTheme="minorEastAsia"/>
          <w:szCs w:val="21"/>
        </w:rPr>
        <w:t>采购文件</w:t>
      </w:r>
      <w:r>
        <w:rPr>
          <w:rFonts w:asciiTheme="minorEastAsia" w:hAnsiTheme="minorEastAsia" w:eastAsiaTheme="minorEastAsia"/>
          <w:szCs w:val="21"/>
        </w:rPr>
        <w:t>规定，须向采购人提供的一切设备、保险、税金、备品备件、工具、手册及其它有关技术资料和材料。</w:t>
      </w:r>
    </w:p>
    <w:p w14:paraId="60D822C0">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4.“服务”系指</w:t>
      </w:r>
      <w:r>
        <w:rPr>
          <w:rFonts w:hint="eastAsia" w:asciiTheme="minorEastAsia" w:hAnsiTheme="minorEastAsia" w:eastAsiaTheme="minorEastAsia"/>
          <w:szCs w:val="21"/>
        </w:rPr>
        <w:t>采购文件</w:t>
      </w:r>
      <w:r>
        <w:rPr>
          <w:rFonts w:asciiTheme="minorEastAsia" w:hAnsiTheme="minorEastAsia" w:eastAsiaTheme="minorEastAsia"/>
          <w:szCs w:val="21"/>
        </w:rPr>
        <w:t>规定</w:t>
      </w:r>
      <w:r>
        <w:rPr>
          <w:rFonts w:hint="eastAsia" w:asciiTheme="minorEastAsia" w:hAnsiTheme="minorEastAsia" w:eastAsiaTheme="minorEastAsia"/>
          <w:szCs w:val="21"/>
        </w:rPr>
        <w:t>投标人</w:t>
      </w:r>
      <w:r>
        <w:rPr>
          <w:rFonts w:asciiTheme="minorEastAsia" w:hAnsiTheme="minorEastAsia" w:eastAsiaTheme="minorEastAsia"/>
          <w:szCs w:val="21"/>
        </w:rPr>
        <w:t>须承担的安装、调试、技术协助、校准、培训、技术指导以及其他类似的义务。</w:t>
      </w:r>
    </w:p>
    <w:p w14:paraId="00F2AF13">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5.“项目”系指</w:t>
      </w:r>
      <w:r>
        <w:rPr>
          <w:rFonts w:hint="eastAsia" w:asciiTheme="minorEastAsia" w:hAnsiTheme="minorEastAsia" w:eastAsiaTheme="minorEastAsia"/>
          <w:szCs w:val="21"/>
        </w:rPr>
        <w:t>投标人</w:t>
      </w:r>
      <w:r>
        <w:rPr>
          <w:rFonts w:asciiTheme="minorEastAsia" w:hAnsiTheme="minorEastAsia" w:eastAsiaTheme="minorEastAsia"/>
          <w:szCs w:val="21"/>
        </w:rPr>
        <w:t>按</w:t>
      </w:r>
      <w:r>
        <w:rPr>
          <w:rFonts w:hint="eastAsia" w:asciiTheme="minorEastAsia" w:hAnsiTheme="minorEastAsia" w:eastAsiaTheme="minorEastAsia"/>
          <w:szCs w:val="21"/>
        </w:rPr>
        <w:t>采购文件</w:t>
      </w:r>
      <w:r>
        <w:rPr>
          <w:rFonts w:asciiTheme="minorEastAsia" w:hAnsiTheme="minorEastAsia" w:eastAsiaTheme="minorEastAsia"/>
          <w:szCs w:val="21"/>
        </w:rPr>
        <w:t>规定向采购人提供的产品和服务。</w:t>
      </w:r>
    </w:p>
    <w:p w14:paraId="7BFB2124">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6.“中标人”是指经审查通过，并经公示无异议的投标人。</w:t>
      </w:r>
    </w:p>
    <w:p w14:paraId="1444606E">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7</w:t>
      </w:r>
      <w:r>
        <w:rPr>
          <w:rFonts w:asciiTheme="minorEastAsia" w:hAnsiTheme="minorEastAsia" w:eastAsiaTheme="minorEastAsia"/>
          <w:szCs w:val="21"/>
        </w:rPr>
        <w:t>.“</w:t>
      </w:r>
      <w:r>
        <w:rPr>
          <w:rFonts w:hint="eastAsia" w:asciiTheme="minorEastAsia" w:hAnsiTheme="minorEastAsia" w:eastAsiaTheme="minorEastAsia"/>
          <w:szCs w:val="21"/>
        </w:rPr>
        <w:t>投标人代表”是指投标人法定代表人或被投标人法定代表人授权委托的人。</w:t>
      </w:r>
    </w:p>
    <w:p w14:paraId="71979619">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8</w:t>
      </w:r>
      <w:r>
        <w:rPr>
          <w:rFonts w:asciiTheme="minorEastAsia" w:hAnsiTheme="minorEastAsia" w:eastAsiaTheme="minorEastAsia"/>
          <w:szCs w:val="21"/>
        </w:rPr>
        <w:t>.“书面形式”包括信函、传真、电报、电子文档等。</w:t>
      </w:r>
    </w:p>
    <w:p w14:paraId="1239977A">
      <w:pPr>
        <w:pStyle w:val="52"/>
        <w:snapToGrid w:val="0"/>
        <w:spacing w:before="120" w:after="120" w:line="360" w:lineRule="auto"/>
        <w:ind w:firstLine="422" w:firstLineChars="200"/>
        <w:rPr>
          <w:rFonts w:asciiTheme="minorEastAsia" w:hAnsiTheme="minorEastAsia" w:eastAsiaTheme="minorEastAsia"/>
          <w:b/>
          <w:bCs/>
          <w:sz w:val="21"/>
          <w:szCs w:val="21"/>
        </w:rPr>
      </w:pPr>
      <w:r>
        <w:rPr>
          <w:rFonts w:asciiTheme="minorEastAsia" w:hAnsiTheme="minorEastAsia" w:eastAsiaTheme="minorEastAsia"/>
          <w:b/>
          <w:bCs/>
          <w:sz w:val="21"/>
          <w:szCs w:val="21"/>
        </w:rPr>
        <w:t>（三）采购方式</w:t>
      </w:r>
    </w:p>
    <w:p w14:paraId="56310AE4">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本次采购采用</w:t>
      </w:r>
      <w:r>
        <w:rPr>
          <w:rFonts w:hint="eastAsia" w:asciiTheme="minorEastAsia" w:hAnsiTheme="minorEastAsia" w:eastAsiaTheme="minorEastAsia"/>
          <w:szCs w:val="21"/>
        </w:rPr>
        <w:t>公开采购方</w:t>
      </w:r>
      <w:r>
        <w:rPr>
          <w:rFonts w:asciiTheme="minorEastAsia" w:hAnsiTheme="minorEastAsia" w:eastAsiaTheme="minorEastAsia"/>
          <w:szCs w:val="21"/>
        </w:rPr>
        <w:t>式进行。</w:t>
      </w:r>
    </w:p>
    <w:p w14:paraId="0077F23E">
      <w:pPr>
        <w:pStyle w:val="52"/>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（四）采购预算</w:t>
      </w:r>
    </w:p>
    <w:p w14:paraId="61393E16">
      <w:pPr>
        <w:pStyle w:val="9"/>
        <w:spacing w:after="0" w:line="360" w:lineRule="auto"/>
        <w:ind w:firstLine="420" w:firstLineChars="200"/>
        <w:rPr>
          <w:rFonts w:asciiTheme="minorEastAsia" w:hAnsiTheme="minorEastAsia" w:eastAsiaTheme="minorEastAsia"/>
          <w:sz w:val="21"/>
          <w:szCs w:val="21"/>
        </w:rPr>
      </w:pPr>
      <w:r>
        <w:rPr>
          <w:rFonts w:asciiTheme="minorEastAsia" w:hAnsiTheme="minorEastAsia" w:eastAsiaTheme="minorEastAsia"/>
          <w:sz w:val="21"/>
          <w:szCs w:val="21"/>
        </w:rPr>
        <w:t>本次采购以</w:t>
      </w:r>
      <w:r>
        <w:rPr>
          <w:rFonts w:hint="eastAsia" w:asciiTheme="minorEastAsia" w:hAnsiTheme="minorEastAsia" w:eastAsiaTheme="minorEastAsia"/>
          <w:sz w:val="21"/>
          <w:szCs w:val="21"/>
          <w:lang w:val="en-US" w:eastAsia="zh-CN"/>
        </w:rPr>
        <w:t>最高限</w:t>
      </w:r>
      <w:r>
        <w:rPr>
          <w:rFonts w:asciiTheme="minorEastAsia" w:hAnsiTheme="minorEastAsia" w:eastAsiaTheme="minorEastAsia"/>
          <w:sz w:val="21"/>
          <w:szCs w:val="21"/>
        </w:rPr>
        <w:t>价</w:t>
      </w:r>
      <w:r>
        <w:rPr>
          <w:rFonts w:hint="eastAsia" w:asciiTheme="minorEastAsia" w:hAnsiTheme="minorEastAsia" w:eastAsiaTheme="minorEastAsia"/>
          <w:color w:val="000000" w:themeColor="text1"/>
          <w:sz w:val="21"/>
          <w:szCs w:val="21"/>
          <w:u w:val="single"/>
          <w:lang w:val="en-US" w:eastAsia="zh-CN"/>
          <w14:textFill>
            <w14:solidFill>
              <w14:schemeClr w14:val="tx1"/>
            </w14:solidFill>
          </w14:textFill>
        </w:rPr>
        <w:t xml:space="preserve"> 850000 </w:t>
      </w:r>
      <w:r>
        <w:rPr>
          <w:rFonts w:hint="eastAsia" w:asciiTheme="minorEastAsia" w:hAnsiTheme="minorEastAsia" w:eastAsiaTheme="minorEastAsia"/>
          <w:b w:val="0"/>
          <w:bCs w:val="0"/>
          <w:color w:val="000000" w:themeColor="text1"/>
          <w:sz w:val="21"/>
          <w:szCs w:val="21"/>
          <w14:textFill>
            <w14:solidFill>
              <w14:schemeClr w14:val="tx1"/>
            </w14:solidFill>
          </w14:textFill>
        </w:rPr>
        <w:t>元</w:t>
      </w:r>
      <w:r>
        <w:rPr>
          <w:rFonts w:asciiTheme="minorEastAsia" w:hAnsiTheme="minorEastAsia" w:eastAsiaTheme="minorEastAsia"/>
          <w:color w:val="000000" w:themeColor="text1"/>
          <w:sz w:val="21"/>
          <w:szCs w:val="21"/>
          <w14:textFill>
            <w14:solidFill>
              <w14:schemeClr w14:val="tx1"/>
            </w14:solidFill>
          </w14:textFill>
        </w:rPr>
        <w:t>作为</w:t>
      </w:r>
      <w:r>
        <w:rPr>
          <w:rFonts w:asciiTheme="minorEastAsia" w:hAnsiTheme="minorEastAsia" w:eastAsiaTheme="minorEastAsia"/>
          <w:sz w:val="21"/>
          <w:szCs w:val="21"/>
        </w:rPr>
        <w:t>上限价</w:t>
      </w:r>
      <w:r>
        <w:rPr>
          <w:rFonts w:hint="eastAsia" w:asciiTheme="minorEastAsia" w:hAnsiTheme="minorEastAsia" w:eastAsiaTheme="minorEastAsia"/>
          <w:sz w:val="21"/>
          <w:szCs w:val="21"/>
        </w:rPr>
        <w:t>，超过作无效标处理</w:t>
      </w:r>
      <w:r>
        <w:rPr>
          <w:rFonts w:asciiTheme="minorEastAsia" w:hAnsiTheme="minorEastAsia" w:eastAsiaTheme="minorEastAsia"/>
          <w:sz w:val="21"/>
          <w:szCs w:val="21"/>
        </w:rPr>
        <w:t>。</w:t>
      </w:r>
    </w:p>
    <w:p w14:paraId="41096E89">
      <w:pPr>
        <w:pStyle w:val="52"/>
        <w:numPr>
          <w:ilvl w:val="0"/>
          <w:numId w:val="5"/>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投标委托</w:t>
      </w:r>
    </w:p>
    <w:p w14:paraId="3F2379E9">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如</w:t>
      </w:r>
      <w:r>
        <w:rPr>
          <w:rFonts w:hint="eastAsia" w:asciiTheme="minorEastAsia" w:hAnsiTheme="minorEastAsia" w:eastAsiaTheme="minorEastAsia"/>
          <w:szCs w:val="21"/>
        </w:rPr>
        <w:t>投标人</w:t>
      </w:r>
      <w:r>
        <w:rPr>
          <w:rFonts w:asciiTheme="minorEastAsia" w:hAnsiTheme="minorEastAsia" w:eastAsiaTheme="minorEastAsia"/>
          <w:szCs w:val="21"/>
        </w:rPr>
        <w:t>代表不是法定代表人，须有法定代表人出具的授权委托书（格式见第六章）。</w:t>
      </w:r>
    </w:p>
    <w:p w14:paraId="151A04FA">
      <w:pPr>
        <w:pStyle w:val="52"/>
        <w:numPr>
          <w:ilvl w:val="0"/>
          <w:numId w:val="5"/>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费用</w:t>
      </w:r>
    </w:p>
    <w:p w14:paraId="385FC9B9">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不论</w:t>
      </w:r>
      <w:r>
        <w:rPr>
          <w:rFonts w:hint="eastAsia" w:asciiTheme="minorEastAsia" w:hAnsiTheme="minorEastAsia" w:eastAsiaTheme="minorEastAsia"/>
          <w:szCs w:val="21"/>
        </w:rPr>
        <w:t>采购</w:t>
      </w:r>
      <w:r>
        <w:rPr>
          <w:rFonts w:asciiTheme="minorEastAsia" w:hAnsiTheme="minorEastAsia" w:eastAsiaTheme="minorEastAsia"/>
          <w:szCs w:val="21"/>
        </w:rPr>
        <w:t>结果如何，</w:t>
      </w:r>
      <w:r>
        <w:rPr>
          <w:rFonts w:hint="eastAsia" w:asciiTheme="minorEastAsia" w:hAnsiTheme="minorEastAsia" w:eastAsiaTheme="minorEastAsia"/>
          <w:szCs w:val="21"/>
        </w:rPr>
        <w:t>投标人</w:t>
      </w:r>
      <w:r>
        <w:rPr>
          <w:rFonts w:asciiTheme="minorEastAsia" w:hAnsiTheme="minorEastAsia" w:eastAsiaTheme="minorEastAsia"/>
          <w:szCs w:val="21"/>
        </w:rPr>
        <w:t>均应自行承担所有与投标有关的全部费用（</w:t>
      </w:r>
      <w:r>
        <w:rPr>
          <w:rFonts w:hint="eastAsia" w:asciiTheme="minorEastAsia" w:hAnsiTheme="minorEastAsia" w:eastAsiaTheme="minorEastAsia"/>
          <w:szCs w:val="21"/>
        </w:rPr>
        <w:t>采购</w:t>
      </w:r>
      <w:r>
        <w:rPr>
          <w:rFonts w:asciiTheme="minorEastAsia" w:hAnsiTheme="minorEastAsia" w:eastAsiaTheme="minorEastAsia"/>
          <w:szCs w:val="21"/>
        </w:rPr>
        <w:t>文件另有规定除外）。</w:t>
      </w:r>
    </w:p>
    <w:p w14:paraId="7E80DC24">
      <w:pPr>
        <w:pStyle w:val="52"/>
        <w:numPr>
          <w:ilvl w:val="0"/>
          <w:numId w:val="5"/>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联合体投标</w:t>
      </w:r>
    </w:p>
    <w:p w14:paraId="0ECD6DA7">
      <w:pPr>
        <w:snapToGrid w:val="0"/>
        <w:spacing w:line="360" w:lineRule="auto"/>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本项目不接受联合体投标。</w:t>
      </w:r>
    </w:p>
    <w:p w14:paraId="4BBE8B9F">
      <w:pPr>
        <w:pStyle w:val="52"/>
        <w:numPr>
          <w:ilvl w:val="0"/>
          <w:numId w:val="5"/>
        </w:numPr>
        <w:snapToGrid w:val="0"/>
        <w:spacing w:before="120" w:after="120" w:line="360" w:lineRule="auto"/>
        <w:ind w:firstLine="417" w:firstLineChars="198"/>
        <w:rPr>
          <w:rFonts w:asciiTheme="minorEastAsia" w:hAnsiTheme="minorEastAsia" w:eastAsiaTheme="minorEastAsia"/>
          <w:b/>
          <w:sz w:val="21"/>
          <w:szCs w:val="21"/>
        </w:rPr>
      </w:pPr>
      <w:r>
        <w:rPr>
          <w:rFonts w:asciiTheme="minorEastAsia" w:hAnsiTheme="minorEastAsia" w:eastAsiaTheme="minorEastAsia"/>
          <w:b/>
          <w:sz w:val="21"/>
          <w:szCs w:val="21"/>
        </w:rPr>
        <w:t>转包与分包</w:t>
      </w:r>
    </w:p>
    <w:p w14:paraId="2BDCE294">
      <w:pPr>
        <w:snapToGrid w:val="0"/>
        <w:spacing w:line="360" w:lineRule="auto"/>
        <w:ind w:right="-506" w:rightChars="-241" w:firstLine="420" w:firstLineChars="200"/>
        <w:rPr>
          <w:rFonts w:asciiTheme="minorEastAsia" w:hAnsiTheme="minorEastAsia" w:eastAsiaTheme="minorEastAsia"/>
          <w:szCs w:val="21"/>
        </w:rPr>
      </w:pPr>
      <w:r>
        <w:rPr>
          <w:rFonts w:hint="eastAsia" w:asciiTheme="minorEastAsia" w:hAnsiTheme="minorEastAsia" w:eastAsiaTheme="minorEastAsia"/>
          <w:szCs w:val="21"/>
        </w:rPr>
        <w:t>本项目不允许转包。</w:t>
      </w:r>
    </w:p>
    <w:p w14:paraId="70274336">
      <w:pPr>
        <w:snapToGrid w:val="0"/>
        <w:spacing w:line="360" w:lineRule="auto"/>
        <w:ind w:right="-506" w:rightChars="-241" w:firstLine="420" w:firstLineChars="200"/>
        <w:rPr>
          <w:rFonts w:asciiTheme="minorEastAsia" w:hAnsiTheme="minorEastAsia" w:eastAsiaTheme="minorEastAsia"/>
          <w:b/>
          <w:sz w:val="21"/>
          <w:szCs w:val="21"/>
        </w:rPr>
      </w:pPr>
      <w:r>
        <w:rPr>
          <w:rFonts w:hint="eastAsia" w:asciiTheme="minorEastAsia" w:hAnsiTheme="minorEastAsia" w:eastAsiaTheme="minorEastAsia"/>
          <w:szCs w:val="21"/>
        </w:rPr>
        <w:t>本项目不允许分包（除合同条款约定的允许内容除外）。</w:t>
      </w:r>
    </w:p>
    <w:p w14:paraId="2216DB5F">
      <w:pPr>
        <w:pStyle w:val="52"/>
        <w:snapToGrid w:val="0"/>
        <w:spacing w:before="120" w:after="120" w:line="360" w:lineRule="auto"/>
        <w:ind w:left="0" w:leftChars="0" w:firstLine="843" w:firstLineChars="400"/>
        <w:rPr>
          <w:rFonts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九</w:t>
      </w:r>
      <w:r>
        <w:rPr>
          <w:rFonts w:asciiTheme="minorEastAsia" w:hAnsiTheme="minorEastAsia" w:eastAsiaTheme="minorEastAsia"/>
          <w:b/>
          <w:sz w:val="21"/>
          <w:szCs w:val="21"/>
        </w:rPr>
        <w:t>）特别说明：</w:t>
      </w:r>
    </w:p>
    <w:p w14:paraId="7E02C26D">
      <w:pPr>
        <w:pStyle w:val="9"/>
        <w:spacing w:after="0" w:line="380" w:lineRule="exact"/>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1.对投标人的限制</w:t>
      </w:r>
    </w:p>
    <w:p w14:paraId="1379B0FC">
      <w:pPr>
        <w:snapToGrid w:val="0"/>
        <w:spacing w:line="380" w:lineRule="exact"/>
        <w:ind w:firstLine="422" w:firstLineChars="200"/>
        <w:rPr>
          <w:rFonts w:asciiTheme="minorEastAsia" w:hAnsiTheme="minorEastAsia" w:eastAsiaTheme="minorEastAsia"/>
          <w:b/>
          <w:bCs/>
          <w:color w:val="0000FF"/>
          <w:szCs w:val="21"/>
        </w:rPr>
      </w:pPr>
      <w:r>
        <w:rPr>
          <w:rFonts w:hint="eastAsia" w:asciiTheme="minorEastAsia" w:hAnsiTheme="minorEastAsia" w:eastAsiaTheme="minorEastAsia"/>
          <w:b/>
          <w:bCs/>
          <w:snapToGrid w:val="0"/>
          <w:color w:val="000000" w:themeColor="text1"/>
          <w:kern w:val="0"/>
          <w:szCs w:val="21"/>
          <w14:textFill>
            <w14:solidFill>
              <w14:schemeClr w14:val="tx1"/>
            </w14:solidFill>
          </w14:textFill>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投标。</w:t>
      </w:r>
    </w:p>
    <w:p w14:paraId="7149AAE5">
      <w:pPr>
        <w:snapToGrid w:val="0"/>
        <w:spacing w:line="380" w:lineRule="exact"/>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2.</w:t>
      </w:r>
      <w:r>
        <w:rPr>
          <w:rFonts w:hint="eastAsia" w:asciiTheme="minorEastAsia" w:hAnsiTheme="minorEastAsia" w:eastAsiaTheme="minorEastAsia"/>
          <w:szCs w:val="21"/>
        </w:rPr>
        <w:t>投标人投标</w:t>
      </w:r>
      <w:r>
        <w:rPr>
          <w:rFonts w:asciiTheme="minorEastAsia" w:hAnsiTheme="minorEastAsia" w:eastAsiaTheme="minorEastAsia"/>
          <w:szCs w:val="21"/>
        </w:rPr>
        <w:t>所使用的资格、信誉、荣誉、业绩与企业认证必须为本法人所拥有。</w:t>
      </w:r>
      <w:r>
        <w:rPr>
          <w:rFonts w:hint="eastAsia" w:asciiTheme="minorEastAsia" w:hAnsiTheme="minorEastAsia" w:eastAsiaTheme="minorEastAsia"/>
          <w:szCs w:val="21"/>
        </w:rPr>
        <w:t>投标人</w:t>
      </w:r>
      <w:r>
        <w:rPr>
          <w:rFonts w:asciiTheme="minorEastAsia" w:hAnsiTheme="minorEastAsia" w:eastAsiaTheme="minorEastAsia"/>
          <w:szCs w:val="21"/>
        </w:rPr>
        <w:t>投标所使用的采购项目实施人员必须为本法人员工（或必须为本法人或控股公司正式员工）。</w:t>
      </w:r>
    </w:p>
    <w:p w14:paraId="122D3FA8">
      <w:pPr>
        <w:snapToGrid w:val="0"/>
        <w:spacing w:line="380" w:lineRule="exact"/>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投标人</w:t>
      </w:r>
      <w:r>
        <w:rPr>
          <w:rFonts w:asciiTheme="minorEastAsia" w:hAnsiTheme="minorEastAsia" w:eastAsiaTheme="minorEastAsia"/>
          <w:szCs w:val="21"/>
        </w:rPr>
        <w:t>应仔细阅读</w:t>
      </w:r>
      <w:r>
        <w:rPr>
          <w:rFonts w:hint="eastAsia" w:asciiTheme="minorEastAsia" w:hAnsiTheme="minorEastAsia" w:eastAsiaTheme="minorEastAsia"/>
          <w:szCs w:val="21"/>
        </w:rPr>
        <w:t>采购</w:t>
      </w:r>
      <w:r>
        <w:rPr>
          <w:rFonts w:asciiTheme="minorEastAsia" w:hAnsiTheme="minorEastAsia" w:eastAsiaTheme="minorEastAsia"/>
          <w:szCs w:val="21"/>
        </w:rPr>
        <w:t>文件的所有内容，按照</w:t>
      </w:r>
      <w:r>
        <w:rPr>
          <w:rFonts w:hint="eastAsia" w:asciiTheme="minorEastAsia" w:hAnsiTheme="minorEastAsia" w:eastAsiaTheme="minorEastAsia"/>
          <w:szCs w:val="21"/>
        </w:rPr>
        <w:t>采购文件</w:t>
      </w:r>
      <w:r>
        <w:rPr>
          <w:rFonts w:asciiTheme="minorEastAsia" w:hAnsiTheme="minorEastAsia" w:eastAsiaTheme="minorEastAsia"/>
          <w:szCs w:val="21"/>
        </w:rPr>
        <w:t>的要求提交</w:t>
      </w:r>
      <w:r>
        <w:rPr>
          <w:rFonts w:hint="eastAsia" w:asciiTheme="minorEastAsia" w:hAnsiTheme="minorEastAsia" w:eastAsiaTheme="minorEastAsia"/>
          <w:szCs w:val="21"/>
        </w:rPr>
        <w:t>投标投标文件</w:t>
      </w:r>
      <w:r>
        <w:rPr>
          <w:rFonts w:asciiTheme="minorEastAsia" w:hAnsiTheme="minorEastAsia" w:eastAsiaTheme="minorEastAsia"/>
          <w:szCs w:val="21"/>
        </w:rPr>
        <w:t>，并对所提供的全部资料的真实性承担法律责任。</w:t>
      </w:r>
    </w:p>
    <w:p w14:paraId="0438086E">
      <w:pPr>
        <w:snapToGrid w:val="0"/>
        <w:spacing w:line="380" w:lineRule="exact"/>
        <w:ind w:right="-506" w:rightChars="-241" w:firstLine="420" w:firstLineChars="200"/>
        <w:rPr>
          <w:rFonts w:asciiTheme="minorEastAsia" w:hAnsiTheme="minorEastAsia" w:eastAsiaTheme="minorEastAsia"/>
          <w:szCs w:val="21"/>
        </w:rPr>
      </w:pPr>
      <w:r>
        <w:rPr>
          <w:rFonts w:asciiTheme="minorEastAsia" w:hAnsiTheme="minorEastAsia" w:eastAsiaTheme="minorEastAsia"/>
          <w:szCs w:val="21"/>
        </w:rPr>
        <w:t>4.</w:t>
      </w:r>
      <w:r>
        <w:rPr>
          <w:rFonts w:hint="eastAsia" w:asciiTheme="minorEastAsia" w:hAnsiTheme="minorEastAsia" w:eastAsiaTheme="minorEastAsia"/>
          <w:szCs w:val="21"/>
        </w:rPr>
        <w:t>投标人</w:t>
      </w:r>
      <w:r>
        <w:rPr>
          <w:rFonts w:asciiTheme="minorEastAsia" w:hAnsiTheme="minorEastAsia" w:eastAsiaTheme="minorEastAsia"/>
          <w:szCs w:val="21"/>
        </w:rPr>
        <w:t>在投标活动中提供任何虚假材料,其投标无效，并报监管部门查处；中标后发现的,中标人须依照《中华人民共和国消费者权益保护法》第49条之规定双倍赔偿采购人，且民事赔偿并不免除违法</w:t>
      </w:r>
      <w:r>
        <w:rPr>
          <w:rFonts w:hint="eastAsia" w:asciiTheme="minorEastAsia" w:hAnsiTheme="minorEastAsia" w:eastAsiaTheme="minorEastAsia"/>
          <w:szCs w:val="21"/>
        </w:rPr>
        <w:t>投标人</w:t>
      </w:r>
      <w:r>
        <w:rPr>
          <w:rFonts w:asciiTheme="minorEastAsia" w:hAnsiTheme="minorEastAsia" w:eastAsiaTheme="minorEastAsia"/>
          <w:szCs w:val="21"/>
        </w:rPr>
        <w:t>的行政与刑事责任。</w:t>
      </w:r>
    </w:p>
    <w:p w14:paraId="3092C7AA">
      <w:pPr>
        <w:pStyle w:val="52"/>
        <w:snapToGrid w:val="0"/>
        <w:spacing w:before="120" w:after="120" w:line="380" w:lineRule="exact"/>
        <w:ind w:left="416" w:leftChars="198"/>
        <w:rPr>
          <w:rFonts w:asciiTheme="minorEastAsia" w:hAnsiTheme="minorEastAsia" w:eastAsiaTheme="minorEastAsia"/>
          <w:b/>
          <w:sz w:val="21"/>
          <w:szCs w:val="21"/>
        </w:rPr>
      </w:pPr>
      <w:r>
        <w:rPr>
          <w:rFonts w:asciiTheme="minorEastAsia" w:hAnsiTheme="minorEastAsia" w:eastAsiaTheme="minorEastAsia"/>
          <w:b/>
          <w:sz w:val="21"/>
          <w:szCs w:val="21"/>
        </w:rPr>
        <w:t>（</w:t>
      </w:r>
      <w:r>
        <w:rPr>
          <w:rFonts w:hint="eastAsia" w:asciiTheme="minorEastAsia" w:hAnsiTheme="minorEastAsia" w:eastAsiaTheme="minorEastAsia"/>
          <w:b/>
          <w:sz w:val="21"/>
          <w:szCs w:val="21"/>
          <w:lang w:val="en-US" w:eastAsia="zh-CN"/>
        </w:rPr>
        <w:t>十</w:t>
      </w:r>
      <w:r>
        <w:rPr>
          <w:rFonts w:asciiTheme="minorEastAsia" w:hAnsiTheme="minorEastAsia" w:eastAsiaTheme="minorEastAsia"/>
          <w:b/>
          <w:sz w:val="21"/>
          <w:szCs w:val="21"/>
        </w:rPr>
        <w:t>）质疑和投诉</w:t>
      </w:r>
    </w:p>
    <w:p w14:paraId="4DAD7540">
      <w:pPr>
        <w:pStyle w:val="52"/>
        <w:snapToGrid w:val="0"/>
        <w:spacing w:before="120" w:after="120" w:line="380" w:lineRule="exact"/>
        <w:ind w:firstLine="413" w:firstLineChars="196"/>
        <w:rPr>
          <w:rFonts w:asciiTheme="minorEastAsia" w:hAnsiTheme="minorEastAsia" w:eastAsiaTheme="minorEastAsia"/>
          <w:b/>
          <w:bCs/>
          <w:sz w:val="21"/>
          <w:szCs w:val="21"/>
        </w:rPr>
      </w:pPr>
      <w:r>
        <w:rPr>
          <w:rFonts w:asciiTheme="minorEastAsia" w:hAnsiTheme="minorEastAsia" w:eastAsiaTheme="minorEastAsia"/>
          <w:b/>
          <w:sz w:val="21"/>
          <w:szCs w:val="21"/>
        </w:rPr>
        <w:t>1、</w:t>
      </w:r>
      <w:r>
        <w:rPr>
          <w:rFonts w:asciiTheme="minorEastAsia" w:hAnsiTheme="minorEastAsia" w:eastAsiaTheme="minorEastAsia"/>
          <w:b/>
          <w:bCs/>
          <w:sz w:val="21"/>
          <w:szCs w:val="21"/>
        </w:rPr>
        <w:t>质疑</w:t>
      </w:r>
    </w:p>
    <w:p w14:paraId="2B747896">
      <w:pPr>
        <w:spacing w:line="360" w:lineRule="auto"/>
        <w:ind w:firstLine="420"/>
        <w:rPr>
          <w:rFonts w:asciiTheme="minorEastAsia" w:hAnsiTheme="minorEastAsia" w:eastAsiaTheme="minorEastAsia"/>
        </w:rPr>
      </w:pPr>
      <w:r>
        <w:rPr>
          <w:rFonts w:asciiTheme="minorEastAsia" w:hAnsiTheme="minorEastAsia" w:eastAsiaTheme="minorEastAsia"/>
        </w:rPr>
        <w:t>1.1</w:t>
      </w:r>
      <w:r>
        <w:rPr>
          <w:rFonts w:asciiTheme="minorEastAsia" w:hAnsiTheme="minorEastAsia" w:eastAsiaTheme="minorEastAsia"/>
          <w:kern w:val="0"/>
          <w:szCs w:val="21"/>
        </w:rPr>
        <w:t>根据财政部94号令（《政府采购质疑和投诉办法》）的规定，</w:t>
      </w:r>
      <w:r>
        <w:rPr>
          <w:rFonts w:asciiTheme="minorEastAsia" w:hAnsiTheme="minorEastAsia" w:eastAsiaTheme="minorEastAsia"/>
        </w:rPr>
        <w:t>投标人认为</w:t>
      </w:r>
      <w:r>
        <w:rPr>
          <w:rFonts w:hint="eastAsia" w:asciiTheme="minorEastAsia" w:hAnsiTheme="minorEastAsia" w:eastAsiaTheme="minorEastAsia"/>
        </w:rPr>
        <w:t>采购文件</w:t>
      </w:r>
      <w:r>
        <w:rPr>
          <w:rFonts w:asciiTheme="minorEastAsia" w:hAnsiTheme="minorEastAsia" w:eastAsiaTheme="minorEastAsia"/>
        </w:rPr>
        <w:t>、招标过程和中标、成交结果使自己的权益受到损害的，可以在知道或者应知其权益受到损害之日起七个工作日内，以书面形式向招标代理机构提出质疑，</w:t>
      </w:r>
      <w:r>
        <w:rPr>
          <w:rFonts w:hint="eastAsia" w:asciiTheme="minorEastAsia" w:hAnsiTheme="minorEastAsia" w:eastAsiaTheme="minorEastAsia"/>
        </w:rPr>
        <w:t>投标人</w:t>
      </w:r>
      <w:r>
        <w:rPr>
          <w:rFonts w:asciiTheme="minorEastAsia" w:hAnsiTheme="minorEastAsia" w:eastAsiaTheme="minorEastAsia"/>
        </w:rPr>
        <w:t>在法定质疑期内一次性提出针对同一采购程序环节的质疑。</w:t>
      </w:r>
    </w:p>
    <w:p w14:paraId="4439C66E">
      <w:pPr>
        <w:spacing w:line="360" w:lineRule="auto"/>
        <w:ind w:firstLine="420"/>
        <w:rPr>
          <w:rFonts w:asciiTheme="minorEastAsia" w:hAnsiTheme="minorEastAsia" w:eastAsiaTheme="minorEastAsia"/>
        </w:rPr>
      </w:pPr>
      <w:r>
        <w:rPr>
          <w:rFonts w:asciiTheme="minorEastAsia" w:hAnsiTheme="minorEastAsia" w:eastAsiaTheme="minorEastAsia"/>
        </w:rPr>
        <w:t>（1）</w:t>
      </w:r>
      <w:r>
        <w:rPr>
          <w:rFonts w:hint="eastAsia" w:ascii="宋体" w:hAnsi="宋体"/>
        </w:rPr>
        <w:t>投标人如认为招标公告信息使自身的合法权益受到损害的，应于自招标公告期限届满之日起七个工作日内以书面形式向招标代理机构提出质疑</w:t>
      </w:r>
      <w:r>
        <w:rPr>
          <w:rFonts w:ascii="宋体" w:hAnsi="宋体"/>
        </w:rPr>
        <w:t>；</w:t>
      </w:r>
    </w:p>
    <w:p w14:paraId="65AA15E7">
      <w:pPr>
        <w:spacing w:line="360" w:lineRule="auto"/>
        <w:ind w:firstLine="420"/>
        <w:rPr>
          <w:rFonts w:asciiTheme="minorEastAsia" w:hAnsiTheme="minorEastAsia" w:eastAsiaTheme="minorEastAsia"/>
        </w:rPr>
      </w:pPr>
      <w:r>
        <w:rPr>
          <w:rFonts w:asciiTheme="minorEastAsia" w:hAnsiTheme="minorEastAsia" w:eastAsiaTheme="minorEastAsia"/>
        </w:rPr>
        <w:t>（2）投标人如认为</w:t>
      </w:r>
      <w:r>
        <w:rPr>
          <w:rFonts w:hint="eastAsia" w:asciiTheme="minorEastAsia" w:hAnsiTheme="minorEastAsia" w:eastAsiaTheme="minorEastAsia"/>
        </w:rPr>
        <w:t>采购</w:t>
      </w:r>
      <w:r>
        <w:rPr>
          <w:rFonts w:asciiTheme="minorEastAsia" w:hAnsiTheme="minorEastAsia" w:eastAsiaTheme="minorEastAsia"/>
        </w:rPr>
        <w:t>文件使自身的合法权益受到损害的，应按投标人须知前附表中质疑一栏中规定时间内提出要求；</w:t>
      </w:r>
    </w:p>
    <w:p w14:paraId="777214E9">
      <w:pPr>
        <w:spacing w:line="360" w:lineRule="auto"/>
        <w:ind w:firstLine="420"/>
        <w:rPr>
          <w:rFonts w:asciiTheme="minorEastAsia" w:hAnsiTheme="minorEastAsia" w:eastAsiaTheme="minorEastAsia"/>
        </w:rPr>
      </w:pPr>
      <w:r>
        <w:rPr>
          <w:rFonts w:asciiTheme="minorEastAsia" w:hAnsiTheme="minorEastAsia" w:eastAsiaTheme="minorEastAsia"/>
        </w:rPr>
        <w:t>（3）对采购过程提出质疑的，为各采购程序环节结束之日；</w:t>
      </w:r>
    </w:p>
    <w:p w14:paraId="41AE1215">
      <w:pPr>
        <w:spacing w:line="360" w:lineRule="auto"/>
        <w:ind w:firstLine="420"/>
        <w:rPr>
          <w:rFonts w:asciiTheme="minorEastAsia" w:hAnsiTheme="minorEastAsia" w:eastAsiaTheme="minorEastAsia"/>
        </w:rPr>
      </w:pPr>
      <w:r>
        <w:rPr>
          <w:rFonts w:asciiTheme="minorEastAsia" w:hAnsiTheme="minorEastAsia" w:eastAsiaTheme="minorEastAsia"/>
        </w:rPr>
        <w:t>（4）投标人如认为招标过程和中标结果使自身的合法权益受到损害的，应于中标结果公告</w:t>
      </w:r>
      <w:r>
        <w:rPr>
          <w:rFonts w:hint="eastAsia" w:asciiTheme="minorEastAsia" w:hAnsiTheme="minorEastAsia" w:eastAsiaTheme="minorEastAsia"/>
        </w:rPr>
        <w:t>期限届满</w:t>
      </w:r>
      <w:r>
        <w:rPr>
          <w:rFonts w:asciiTheme="minorEastAsia" w:hAnsiTheme="minorEastAsia" w:eastAsiaTheme="minorEastAsia"/>
        </w:rPr>
        <w:t>之日起七个工作日内以书面形式向招标代理机构一次性提出针对同一采购程序环节的质疑。</w:t>
      </w:r>
    </w:p>
    <w:p w14:paraId="33F634E9">
      <w:pPr>
        <w:spacing w:line="360" w:lineRule="auto"/>
        <w:ind w:firstLine="420"/>
        <w:rPr>
          <w:rFonts w:asciiTheme="minorEastAsia" w:hAnsiTheme="minorEastAsia" w:eastAsiaTheme="minorEastAsia"/>
        </w:rPr>
      </w:pPr>
      <w:r>
        <w:rPr>
          <w:rFonts w:asciiTheme="minorEastAsia" w:hAnsiTheme="minorEastAsia" w:eastAsiaTheme="minorEastAsia"/>
        </w:rPr>
        <w:t>1.2提出质疑的</w:t>
      </w:r>
      <w:r>
        <w:rPr>
          <w:rFonts w:hint="eastAsia" w:asciiTheme="minorEastAsia" w:hAnsiTheme="minorEastAsia" w:eastAsiaTheme="minorEastAsia"/>
        </w:rPr>
        <w:t>投标人</w:t>
      </w:r>
      <w:r>
        <w:rPr>
          <w:rFonts w:asciiTheme="minorEastAsia" w:hAnsiTheme="minorEastAsia" w:eastAsiaTheme="minorEastAsia"/>
        </w:rPr>
        <w:t>（以下简称质疑</w:t>
      </w:r>
      <w:r>
        <w:rPr>
          <w:rFonts w:hint="eastAsia" w:asciiTheme="minorEastAsia" w:hAnsiTheme="minorEastAsia" w:eastAsiaTheme="minorEastAsia"/>
        </w:rPr>
        <w:t>投标人</w:t>
      </w:r>
      <w:r>
        <w:rPr>
          <w:rFonts w:asciiTheme="minorEastAsia" w:hAnsiTheme="minorEastAsia" w:eastAsiaTheme="minorEastAsia"/>
        </w:rPr>
        <w:t>）应当是参与所质疑项目采购活动的</w:t>
      </w:r>
      <w:r>
        <w:rPr>
          <w:rFonts w:hint="eastAsia" w:asciiTheme="minorEastAsia" w:hAnsiTheme="minorEastAsia" w:eastAsiaTheme="minorEastAsia"/>
        </w:rPr>
        <w:t>投标人</w:t>
      </w:r>
      <w:r>
        <w:rPr>
          <w:rFonts w:asciiTheme="minorEastAsia" w:hAnsiTheme="minorEastAsia" w:eastAsiaTheme="minorEastAsia"/>
        </w:rPr>
        <w:t>。</w:t>
      </w:r>
    </w:p>
    <w:p w14:paraId="5CBE3DA6">
      <w:pPr>
        <w:spacing w:line="360" w:lineRule="auto"/>
        <w:ind w:firstLine="420"/>
        <w:rPr>
          <w:rFonts w:asciiTheme="minorEastAsia" w:hAnsiTheme="minorEastAsia" w:eastAsiaTheme="minorEastAsia"/>
        </w:rPr>
      </w:pPr>
      <w:r>
        <w:rPr>
          <w:rFonts w:asciiTheme="minorEastAsia" w:hAnsiTheme="minorEastAsia" w:eastAsiaTheme="minorEastAsia"/>
        </w:rPr>
        <w:t>1.3</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为法人或者其他组织的，应当由法定代表人、主要负责人，或者其授权代表签字或者盖章，并加盖公章。</w:t>
      </w:r>
    </w:p>
    <w:p w14:paraId="52530390">
      <w:pPr>
        <w:spacing w:line="360" w:lineRule="auto"/>
        <w:ind w:firstLine="420"/>
        <w:rPr>
          <w:rFonts w:asciiTheme="minorEastAsia" w:hAnsiTheme="minorEastAsia" w:eastAsiaTheme="minorEastAsia"/>
        </w:rPr>
      </w:pPr>
      <w:r>
        <w:rPr>
          <w:rFonts w:hint="eastAsia" w:asciiTheme="minorEastAsia" w:hAnsiTheme="minorEastAsia" w:eastAsiaTheme="minorEastAsia"/>
        </w:rPr>
        <w:t>投标人</w:t>
      </w:r>
      <w:r>
        <w:rPr>
          <w:rFonts w:asciiTheme="minorEastAsia" w:hAnsiTheme="minorEastAsia" w:eastAsiaTheme="minorEastAsia"/>
        </w:rPr>
        <w:t>可以委托代理人进行质疑和投诉。其授权委托书应当载明代理人的姓名或者名称、代理事项、具体权限、期限和相关事项。</w:t>
      </w:r>
      <w:r>
        <w:rPr>
          <w:rFonts w:hint="eastAsia" w:asciiTheme="minorEastAsia" w:hAnsiTheme="minorEastAsia" w:eastAsiaTheme="minorEastAsia"/>
        </w:rPr>
        <w:t>投标人</w:t>
      </w:r>
      <w:r>
        <w:rPr>
          <w:rFonts w:asciiTheme="minorEastAsia" w:hAnsiTheme="minorEastAsia" w:eastAsiaTheme="minorEastAsia"/>
        </w:rPr>
        <w:t>为自然人的，应当由本人签字；</w:t>
      </w:r>
      <w:r>
        <w:rPr>
          <w:rFonts w:hint="eastAsia" w:asciiTheme="minorEastAsia" w:hAnsiTheme="minorEastAsia" w:eastAsiaTheme="minorEastAsia"/>
        </w:rPr>
        <w:t>投标人</w:t>
      </w:r>
      <w:r>
        <w:rPr>
          <w:rFonts w:asciiTheme="minorEastAsia" w:hAnsiTheme="minorEastAsia" w:eastAsiaTheme="minorEastAsia"/>
        </w:rPr>
        <w:t>为法人或者其他组织的，应当由法定代表人、主要负责人签字或者盖章，并加盖公章。代理人提出质疑和投诉，应当提交</w:t>
      </w:r>
      <w:r>
        <w:rPr>
          <w:rFonts w:hint="eastAsia" w:asciiTheme="minorEastAsia" w:hAnsiTheme="minorEastAsia" w:eastAsiaTheme="minorEastAsia"/>
        </w:rPr>
        <w:t>投标人</w:t>
      </w:r>
      <w:r>
        <w:rPr>
          <w:rFonts w:asciiTheme="minorEastAsia" w:hAnsiTheme="minorEastAsia" w:eastAsiaTheme="minorEastAsia"/>
        </w:rPr>
        <w:t>签署的授权委托书。</w:t>
      </w:r>
    </w:p>
    <w:p w14:paraId="5772E30E">
      <w:pPr>
        <w:spacing w:line="360" w:lineRule="auto"/>
        <w:ind w:firstLine="420"/>
        <w:rPr>
          <w:rFonts w:asciiTheme="minorEastAsia" w:hAnsiTheme="minorEastAsia" w:eastAsiaTheme="minorEastAsia"/>
        </w:rPr>
      </w:pPr>
      <w:r>
        <w:rPr>
          <w:rFonts w:asciiTheme="minorEastAsia" w:hAnsiTheme="minorEastAsia" w:eastAsiaTheme="minorEastAsia"/>
        </w:rPr>
        <w:t>以联合体形式参加政府采购活动的，其投诉应当由组成联合体的所有</w:t>
      </w:r>
      <w:r>
        <w:rPr>
          <w:rFonts w:hint="eastAsia" w:asciiTheme="minorEastAsia" w:hAnsiTheme="minorEastAsia" w:eastAsiaTheme="minorEastAsia"/>
        </w:rPr>
        <w:t>投标人</w:t>
      </w:r>
      <w:r>
        <w:rPr>
          <w:rFonts w:asciiTheme="minorEastAsia" w:hAnsiTheme="minorEastAsia" w:eastAsiaTheme="minorEastAsia"/>
        </w:rPr>
        <w:t>共同提出。</w:t>
      </w:r>
    </w:p>
    <w:p w14:paraId="06EF8776">
      <w:pPr>
        <w:spacing w:line="360" w:lineRule="auto"/>
        <w:ind w:firstLine="420"/>
        <w:rPr>
          <w:rFonts w:asciiTheme="minorEastAsia" w:hAnsiTheme="minorEastAsia" w:eastAsiaTheme="minorEastAsia"/>
        </w:rPr>
      </w:pPr>
      <w:r>
        <w:rPr>
          <w:rFonts w:asciiTheme="minorEastAsia" w:hAnsiTheme="minorEastAsia" w:eastAsiaTheme="minorEastAsia"/>
        </w:rPr>
        <w:t>1.4投标人提交的质疑书需一式三份，质疑书至少应包括下列主要内容：</w:t>
      </w:r>
    </w:p>
    <w:p w14:paraId="2301BF31">
      <w:pPr>
        <w:spacing w:line="360" w:lineRule="auto"/>
        <w:ind w:firstLine="420"/>
        <w:rPr>
          <w:rFonts w:asciiTheme="minorEastAsia" w:hAnsiTheme="minorEastAsia" w:eastAsiaTheme="minorEastAsia"/>
        </w:rPr>
      </w:pPr>
      <w:r>
        <w:rPr>
          <w:rFonts w:asciiTheme="minorEastAsia" w:hAnsiTheme="minorEastAsia" w:eastAsiaTheme="minorEastAsia"/>
        </w:rPr>
        <w:t>（一）</w:t>
      </w:r>
      <w:r>
        <w:rPr>
          <w:rFonts w:hint="eastAsia" w:asciiTheme="minorEastAsia" w:hAnsiTheme="minorEastAsia" w:eastAsiaTheme="minorEastAsia"/>
        </w:rPr>
        <w:t>投标人</w:t>
      </w:r>
      <w:r>
        <w:rPr>
          <w:rFonts w:asciiTheme="minorEastAsia" w:hAnsiTheme="minorEastAsia" w:eastAsiaTheme="minorEastAsia"/>
        </w:rPr>
        <w:t>的姓名或者名称、地址、邮编、联系人及联系电话；</w:t>
      </w:r>
    </w:p>
    <w:p w14:paraId="5393238A">
      <w:pPr>
        <w:spacing w:line="360" w:lineRule="auto"/>
        <w:ind w:firstLine="420"/>
        <w:rPr>
          <w:rFonts w:asciiTheme="minorEastAsia" w:hAnsiTheme="minorEastAsia" w:eastAsiaTheme="minorEastAsia"/>
        </w:rPr>
      </w:pPr>
      <w:r>
        <w:rPr>
          <w:rFonts w:asciiTheme="minorEastAsia" w:hAnsiTheme="minorEastAsia" w:eastAsiaTheme="minorEastAsia"/>
        </w:rPr>
        <w:t>（二）质疑项目的名称、编号；</w:t>
      </w:r>
    </w:p>
    <w:p w14:paraId="69992032">
      <w:pPr>
        <w:spacing w:line="360" w:lineRule="auto"/>
        <w:ind w:firstLine="420"/>
        <w:rPr>
          <w:rFonts w:asciiTheme="minorEastAsia" w:hAnsiTheme="minorEastAsia" w:eastAsiaTheme="minorEastAsia"/>
        </w:rPr>
      </w:pPr>
      <w:r>
        <w:rPr>
          <w:rFonts w:asciiTheme="minorEastAsia" w:hAnsiTheme="minorEastAsia" w:eastAsiaTheme="minorEastAsia"/>
        </w:rPr>
        <w:t>（三）具体、明确的质疑事项和与质疑事项相关的请求；</w:t>
      </w:r>
    </w:p>
    <w:p w14:paraId="7085A5DB">
      <w:pPr>
        <w:spacing w:line="360" w:lineRule="auto"/>
        <w:ind w:firstLine="420"/>
        <w:rPr>
          <w:rFonts w:asciiTheme="minorEastAsia" w:hAnsiTheme="minorEastAsia" w:eastAsiaTheme="minorEastAsia"/>
        </w:rPr>
      </w:pPr>
      <w:r>
        <w:rPr>
          <w:rFonts w:asciiTheme="minorEastAsia" w:hAnsiTheme="minorEastAsia" w:eastAsiaTheme="minorEastAsia"/>
        </w:rPr>
        <w:t>（四）事实依据；</w:t>
      </w:r>
    </w:p>
    <w:p w14:paraId="29FC9382">
      <w:pPr>
        <w:spacing w:line="360" w:lineRule="auto"/>
        <w:ind w:firstLine="420"/>
        <w:rPr>
          <w:rFonts w:asciiTheme="minorEastAsia" w:hAnsiTheme="minorEastAsia" w:eastAsiaTheme="minorEastAsia"/>
        </w:rPr>
      </w:pPr>
      <w:r>
        <w:rPr>
          <w:rFonts w:asciiTheme="minorEastAsia" w:hAnsiTheme="minorEastAsia" w:eastAsiaTheme="minorEastAsia"/>
        </w:rPr>
        <w:t>（五）必要的法律依据；</w:t>
      </w:r>
    </w:p>
    <w:p w14:paraId="72C12134">
      <w:pPr>
        <w:spacing w:line="360" w:lineRule="auto"/>
        <w:ind w:firstLine="420"/>
        <w:rPr>
          <w:rFonts w:asciiTheme="minorEastAsia" w:hAnsiTheme="minorEastAsia" w:eastAsiaTheme="minorEastAsia"/>
        </w:rPr>
      </w:pPr>
      <w:r>
        <w:rPr>
          <w:rFonts w:asciiTheme="minorEastAsia" w:hAnsiTheme="minorEastAsia" w:eastAsiaTheme="minorEastAsia"/>
        </w:rPr>
        <w:t>（六）提出质疑的日期。</w:t>
      </w:r>
    </w:p>
    <w:p w14:paraId="59A33E2F">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rPr>
        <w:t>1.5</w:t>
      </w:r>
      <w:r>
        <w:rPr>
          <w:rFonts w:asciiTheme="minorEastAsia" w:hAnsiTheme="minorEastAsia" w:eastAsiaTheme="minorEastAsia"/>
          <w:shd w:val="clear" w:color="auto" w:fill="FFFFFF"/>
        </w:rPr>
        <w:t>采购人、采购代理机构不得拒收质疑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在法定质疑期内发出的质疑函，应当在收到质疑函后7个工作日内作出答复，质疑答复的内容不得涉及商业秘密，并以书面形式通知质疑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和其他有关</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w:t>
      </w:r>
    </w:p>
    <w:p w14:paraId="66D1292F">
      <w:pPr>
        <w:pStyle w:val="52"/>
        <w:snapToGrid w:val="0"/>
        <w:spacing w:before="120" w:after="120" w:line="360" w:lineRule="auto"/>
        <w:ind w:firstLine="413" w:firstLineChars="196"/>
        <w:rPr>
          <w:rFonts w:asciiTheme="minorEastAsia" w:hAnsiTheme="minorEastAsia" w:eastAsiaTheme="minorEastAsia"/>
          <w:b/>
          <w:bCs/>
          <w:sz w:val="21"/>
          <w:szCs w:val="21"/>
        </w:rPr>
      </w:pPr>
      <w:r>
        <w:rPr>
          <w:rFonts w:asciiTheme="minorEastAsia" w:hAnsiTheme="minorEastAsia" w:eastAsiaTheme="minorEastAsia"/>
          <w:b/>
          <w:bCs/>
          <w:sz w:val="21"/>
          <w:szCs w:val="21"/>
        </w:rPr>
        <w:t>2、投诉</w:t>
      </w:r>
    </w:p>
    <w:p w14:paraId="30A9510B">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2.1质疑</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对采购人、采购代理机构的答复不满意，或者采购人、采购代理机构未在规定时间内作出答复的，可以在答复期满后15个工作日内向</w:t>
      </w:r>
      <w:r>
        <w:rPr>
          <w:rFonts w:asciiTheme="minorEastAsia" w:hAnsiTheme="minorEastAsia" w:eastAsiaTheme="minorEastAsia"/>
          <w:kern w:val="0"/>
          <w:szCs w:val="21"/>
        </w:rPr>
        <w:t>《政府采购质疑和投诉办法》</w:t>
      </w:r>
      <w:r>
        <w:rPr>
          <w:rFonts w:asciiTheme="minorEastAsia" w:hAnsiTheme="minorEastAsia" w:eastAsiaTheme="minorEastAsia"/>
          <w:shd w:val="clear" w:color="auto" w:fill="FFFFFF"/>
        </w:rPr>
        <w:t>第六条规定的财政部门提起投诉。</w:t>
      </w:r>
    </w:p>
    <w:p w14:paraId="60A71FAE">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2.2</w:t>
      </w:r>
      <w:r>
        <w:rPr>
          <w:rFonts w:hint="eastAsia" w:asciiTheme="minorEastAsia" w:hAnsiTheme="minorEastAsia" w:eastAsiaTheme="minorEastAsia"/>
          <w:shd w:val="clear" w:color="auto" w:fill="FFFFFF"/>
        </w:rPr>
        <w:t>投标人</w:t>
      </w:r>
      <w:r>
        <w:rPr>
          <w:rFonts w:asciiTheme="minorEastAsia" w:hAnsiTheme="minorEastAsia" w:eastAsiaTheme="minorEastAsia"/>
          <w:shd w:val="clear" w:color="auto" w:fill="FFFFFF"/>
        </w:rPr>
        <w:t>投诉的事项不得超出已质疑事项的范围，但基于质疑答复内容提出的投诉事项除外。</w:t>
      </w:r>
    </w:p>
    <w:p w14:paraId="0EA07A00">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2.3投诉人提起投诉应当符合下列条件：</w:t>
      </w:r>
    </w:p>
    <w:p w14:paraId="4308304C">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（一）提起投诉前已依法进行质疑；</w:t>
      </w:r>
    </w:p>
    <w:p w14:paraId="1C2F2290">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（二）投诉书内容符合本办法的规定；</w:t>
      </w:r>
    </w:p>
    <w:p w14:paraId="3002BAFB">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（三）在投诉有效期限内提起投诉；</w:t>
      </w:r>
    </w:p>
    <w:p w14:paraId="67F43AEE">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（四）同一投诉事项未经财政部门投诉处理；</w:t>
      </w:r>
    </w:p>
    <w:p w14:paraId="354C218D">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（五）财政部规定的其他条件。</w:t>
      </w:r>
    </w:p>
    <w:p w14:paraId="1BDF548C">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2.4投诉人在全国范围12个月内三次以上投诉查无实据的，由财政部门列入不良行为记录名单。</w:t>
      </w:r>
    </w:p>
    <w:p w14:paraId="5B76EDDB">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2.5投诉人有下列行为之一的，属于虚假、恶意投诉，由财政部门列入不良行为记录名单，禁止其1至3年内参加政府采购活动：</w:t>
      </w:r>
    </w:p>
    <w:p w14:paraId="2CC5227A">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（一）捏造事实</w:t>
      </w:r>
      <w:r>
        <w:rPr>
          <w:rFonts w:hint="eastAsia" w:asciiTheme="minorEastAsia" w:hAnsiTheme="minorEastAsia" w:eastAsiaTheme="minorEastAsia"/>
          <w:shd w:val="clear" w:color="auto" w:fill="FFFFFF"/>
        </w:rPr>
        <w:t>；</w:t>
      </w:r>
    </w:p>
    <w:p w14:paraId="6DFDFEE8">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（二）提供虚假材料</w:t>
      </w:r>
      <w:r>
        <w:rPr>
          <w:rFonts w:hint="eastAsia" w:asciiTheme="minorEastAsia" w:hAnsiTheme="minorEastAsia" w:eastAsiaTheme="minorEastAsia"/>
          <w:shd w:val="clear" w:color="auto" w:fill="FFFFFF"/>
        </w:rPr>
        <w:t>；</w:t>
      </w:r>
    </w:p>
    <w:p w14:paraId="451A6D38">
      <w:pPr>
        <w:spacing w:line="360" w:lineRule="auto"/>
        <w:ind w:firstLine="420"/>
        <w:rPr>
          <w:rFonts w:asciiTheme="minorEastAsia" w:hAnsiTheme="minorEastAsia" w:eastAsiaTheme="minorEastAsia"/>
          <w:shd w:val="clear" w:color="auto" w:fill="FFFFFF"/>
        </w:rPr>
      </w:pPr>
      <w:r>
        <w:rPr>
          <w:rFonts w:asciiTheme="minorEastAsia" w:hAnsiTheme="minorEastAsia" w:eastAsiaTheme="minorEastAsia"/>
          <w:shd w:val="clear" w:color="auto" w:fill="FFFFFF"/>
        </w:rPr>
        <w:t>（三）以非法手段取得证明材料。证据来源的合法性存在明显疑问，投诉人无法证明其取得方式合法的，视为以非法手段取得证明材料。</w:t>
      </w:r>
    </w:p>
    <w:p w14:paraId="5D88B6F7">
      <w:pPr>
        <w:spacing w:line="360" w:lineRule="auto"/>
        <w:ind w:firstLine="420"/>
        <w:rPr>
          <w:rFonts w:hint="eastAsia" w:asciiTheme="minorEastAsia" w:hAnsiTheme="minorEastAsia" w:eastAsiaTheme="minorEastAsia"/>
          <w:bCs/>
          <w:szCs w:val="21"/>
          <w:shd w:val="clear" w:color="auto" w:fill="FFFFFF"/>
          <w:lang w:eastAsia="zh-CN"/>
        </w:rPr>
      </w:pPr>
      <w:r>
        <w:rPr>
          <w:rFonts w:asciiTheme="minorEastAsia" w:hAnsiTheme="minorEastAsia" w:eastAsiaTheme="minorEastAsia"/>
          <w:shd w:val="clear" w:color="auto" w:fill="FFFFFF"/>
        </w:rPr>
        <w:t>2.6</w:t>
      </w:r>
      <w:r>
        <w:rPr>
          <w:rFonts w:asciiTheme="minorEastAsia" w:hAnsiTheme="minorEastAsia" w:eastAsiaTheme="minorEastAsia"/>
          <w:bCs/>
          <w:kern w:val="0"/>
          <w:szCs w:val="21"/>
        </w:rPr>
        <w:t>政府采购</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质疑函范</w:t>
      </w:r>
      <w:r>
        <w:rPr>
          <w:rFonts w:asciiTheme="minorEastAsia" w:hAnsiTheme="minorEastAsia" w:eastAsiaTheme="minorEastAsia"/>
          <w:bCs/>
          <w:color w:val="000000" w:themeColor="text1"/>
          <w:kern w:val="0"/>
          <w:szCs w:val="21"/>
          <w14:textFill>
            <w14:solidFill>
              <w14:schemeClr w14:val="tx1"/>
            </w14:solidFill>
          </w14:textFill>
        </w:rPr>
        <w:t>本，详见附件</w:t>
      </w:r>
      <w:r>
        <w:rPr>
          <w:rFonts w:hint="eastAsia" w:asciiTheme="minorEastAsia" w:hAnsiTheme="minorEastAsia" w:eastAsiaTheme="minorEastAsia"/>
          <w:bCs/>
          <w:color w:val="000000" w:themeColor="text1"/>
          <w:kern w:val="0"/>
          <w:szCs w:val="21"/>
          <w:lang w:eastAsia="zh-CN"/>
          <w14:textFill>
            <w14:solidFill>
              <w14:schemeClr w14:val="tx1"/>
            </w14:solidFill>
          </w14:textFill>
        </w:rPr>
        <w:t>。</w:t>
      </w:r>
    </w:p>
    <w:p w14:paraId="47BC6B7A">
      <w:pPr>
        <w:pStyle w:val="52"/>
        <w:snapToGrid w:val="0"/>
        <w:spacing w:before="120" w:after="120" w:line="360" w:lineRule="auto"/>
        <w:ind w:right="-506" w:rightChars="-241"/>
        <w:jc w:val="center"/>
        <w:rPr>
          <w:rFonts w:asciiTheme="minorEastAsia" w:hAnsiTheme="minorEastAsia" w:eastAsiaTheme="minorEastAsia"/>
          <w:b/>
          <w:sz w:val="28"/>
          <w:szCs w:val="28"/>
        </w:rPr>
      </w:pPr>
      <w:r>
        <w:rPr>
          <w:rFonts w:asciiTheme="minorEastAsia" w:hAnsiTheme="minorEastAsia" w:eastAsiaTheme="minorEastAsia"/>
          <w:b/>
          <w:sz w:val="28"/>
          <w:szCs w:val="28"/>
        </w:rPr>
        <w:t>二</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w:t>
      </w:r>
    </w:p>
    <w:p w14:paraId="27400656">
      <w:pPr>
        <w:snapToGrid w:val="0"/>
        <w:spacing w:line="360" w:lineRule="auto"/>
        <w:ind w:right="-241"/>
        <w:rPr>
          <w:rFonts w:asciiTheme="minorEastAsia" w:hAnsiTheme="minorEastAsia" w:eastAsiaTheme="minorEastAsia"/>
          <w:b/>
          <w:szCs w:val="21"/>
        </w:rPr>
      </w:pPr>
      <w:r>
        <w:rPr>
          <w:rFonts w:asciiTheme="minorEastAsia" w:hAnsiTheme="minorEastAsia" w:eastAsiaTheme="minorEastAsia"/>
          <w:b/>
          <w:szCs w:val="21"/>
        </w:rPr>
        <w:t>（一）</w:t>
      </w:r>
      <w:r>
        <w:rPr>
          <w:rFonts w:hint="eastAsia" w:asciiTheme="minorEastAsia" w:hAnsiTheme="minorEastAsia" w:eastAsiaTheme="minorEastAsia"/>
          <w:b/>
          <w:szCs w:val="21"/>
        </w:rPr>
        <w:t>采购文件</w:t>
      </w:r>
      <w:r>
        <w:rPr>
          <w:rFonts w:asciiTheme="minorEastAsia" w:hAnsiTheme="minorEastAsia" w:eastAsiaTheme="minorEastAsia"/>
          <w:b/>
          <w:szCs w:val="21"/>
        </w:rPr>
        <w:t>的构成。本</w:t>
      </w:r>
      <w:r>
        <w:rPr>
          <w:rFonts w:hint="eastAsia" w:asciiTheme="minorEastAsia" w:hAnsiTheme="minorEastAsia" w:eastAsiaTheme="minorEastAsia"/>
          <w:b/>
          <w:szCs w:val="21"/>
        </w:rPr>
        <w:t>采购文件</w:t>
      </w:r>
      <w:r>
        <w:rPr>
          <w:rFonts w:asciiTheme="minorEastAsia" w:hAnsiTheme="minorEastAsia" w:eastAsiaTheme="minorEastAsia"/>
          <w:b/>
          <w:szCs w:val="21"/>
        </w:rPr>
        <w:t>由以下</w:t>
      </w:r>
      <w:r>
        <w:rPr>
          <w:rFonts w:hint="eastAsia" w:asciiTheme="minorEastAsia" w:hAnsiTheme="minorEastAsia" w:eastAsiaTheme="minorEastAsia"/>
          <w:b/>
          <w:szCs w:val="21"/>
          <w:lang w:val="en-US" w:eastAsia="zh-CN"/>
        </w:rPr>
        <w:t>部分</w:t>
      </w:r>
      <w:r>
        <w:rPr>
          <w:rFonts w:asciiTheme="minorEastAsia" w:hAnsiTheme="minorEastAsia" w:eastAsiaTheme="minorEastAsia"/>
          <w:b/>
          <w:szCs w:val="21"/>
        </w:rPr>
        <w:t>组成：</w:t>
      </w:r>
    </w:p>
    <w:p w14:paraId="33D82B08">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第一章  </w:t>
      </w:r>
      <w:r>
        <w:rPr>
          <w:rFonts w:hint="eastAsia" w:asciiTheme="minorEastAsia" w:hAnsiTheme="minorEastAsia" w:eastAsiaTheme="minorEastAsia"/>
        </w:rPr>
        <w:t>采购</w:t>
      </w:r>
      <w:r>
        <w:rPr>
          <w:rFonts w:asciiTheme="minorEastAsia" w:hAnsiTheme="minorEastAsia" w:eastAsiaTheme="minorEastAsia"/>
        </w:rPr>
        <w:t>公告</w:t>
      </w:r>
    </w:p>
    <w:p w14:paraId="12F2AEAA">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第二章  采购需求</w:t>
      </w:r>
    </w:p>
    <w:p w14:paraId="10C0C57D">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第三章  </w:t>
      </w:r>
      <w:r>
        <w:rPr>
          <w:rFonts w:hint="eastAsia" w:asciiTheme="minorEastAsia" w:hAnsiTheme="minorEastAsia" w:eastAsiaTheme="minorEastAsia"/>
        </w:rPr>
        <w:t>投标人</w:t>
      </w:r>
      <w:r>
        <w:rPr>
          <w:rFonts w:asciiTheme="minorEastAsia" w:hAnsiTheme="minorEastAsia" w:eastAsiaTheme="minorEastAsia"/>
        </w:rPr>
        <w:t>须知</w:t>
      </w:r>
    </w:p>
    <w:p w14:paraId="049E58D5">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第四章  </w:t>
      </w:r>
      <w:r>
        <w:rPr>
          <w:rFonts w:hint="eastAsia" w:asciiTheme="minorEastAsia" w:hAnsiTheme="minorEastAsia" w:eastAsiaTheme="minorEastAsia"/>
        </w:rPr>
        <w:t>评标</w:t>
      </w:r>
      <w:r>
        <w:rPr>
          <w:rFonts w:asciiTheme="minorEastAsia" w:hAnsiTheme="minorEastAsia" w:eastAsiaTheme="minorEastAsia"/>
        </w:rPr>
        <w:t>办法及标准</w:t>
      </w:r>
    </w:p>
    <w:p w14:paraId="5E920195">
      <w:pPr>
        <w:spacing w:line="360" w:lineRule="auto"/>
        <w:ind w:firstLine="420" w:firstLineChars="200"/>
        <w:rPr>
          <w:rFonts w:asciiTheme="minorEastAsia" w:hAnsiTheme="minorEastAsia" w:eastAsiaTheme="minorEastAsia"/>
        </w:rPr>
      </w:pPr>
      <w:r>
        <w:rPr>
          <w:rFonts w:asciiTheme="minorEastAsia" w:hAnsiTheme="minorEastAsia" w:eastAsiaTheme="minorEastAsia"/>
        </w:rPr>
        <w:t>第五章  合同主要条款</w:t>
      </w:r>
    </w:p>
    <w:p w14:paraId="31648864">
      <w:pPr>
        <w:spacing w:line="360" w:lineRule="auto"/>
        <w:ind w:firstLine="420" w:firstLineChars="200"/>
        <w:rPr>
          <w:rFonts w:asciiTheme="minorEastAsia" w:hAnsiTheme="minorEastAsia" w:eastAsiaTheme="minorEastAsia"/>
        </w:rPr>
      </w:pPr>
      <w:r>
        <w:rPr>
          <w:rFonts w:asciiTheme="minorEastAsia" w:hAnsiTheme="minorEastAsia" w:eastAsiaTheme="minorEastAsia"/>
        </w:rPr>
        <w:t xml:space="preserve">第六章  </w:t>
      </w:r>
      <w:r>
        <w:rPr>
          <w:rFonts w:hint="eastAsia" w:asciiTheme="minorEastAsia" w:hAnsiTheme="minorEastAsia" w:eastAsiaTheme="minorEastAsia"/>
        </w:rPr>
        <w:t>投标文件相关格式</w:t>
      </w:r>
    </w:p>
    <w:p w14:paraId="21089F20">
      <w:pPr>
        <w:snapToGrid w:val="0"/>
        <w:spacing w:line="360" w:lineRule="auto"/>
        <w:ind w:right="-238"/>
        <w:rPr>
          <w:rFonts w:asciiTheme="minorEastAsia" w:hAnsiTheme="minorEastAsia" w:eastAsiaTheme="minorEastAsia"/>
          <w:b/>
          <w:szCs w:val="21"/>
        </w:rPr>
      </w:pPr>
      <w:r>
        <w:rPr>
          <w:rFonts w:asciiTheme="minorEastAsia" w:hAnsiTheme="minorEastAsia" w:eastAsiaTheme="minorEastAsia"/>
          <w:b/>
          <w:szCs w:val="21"/>
        </w:rPr>
        <w:t>（二）</w:t>
      </w:r>
      <w:r>
        <w:rPr>
          <w:rFonts w:hint="eastAsia" w:asciiTheme="minorEastAsia" w:hAnsiTheme="minorEastAsia" w:eastAsiaTheme="minorEastAsia"/>
          <w:b/>
          <w:szCs w:val="21"/>
        </w:rPr>
        <w:t>投标人</w:t>
      </w:r>
      <w:r>
        <w:rPr>
          <w:rFonts w:asciiTheme="minorEastAsia" w:hAnsiTheme="minorEastAsia" w:eastAsiaTheme="minorEastAsia"/>
          <w:b/>
          <w:szCs w:val="21"/>
        </w:rPr>
        <w:t>的风险</w:t>
      </w:r>
    </w:p>
    <w:p w14:paraId="2819CB5C">
      <w:pPr>
        <w:spacing w:line="360" w:lineRule="auto"/>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投标人</w:t>
      </w:r>
      <w:r>
        <w:rPr>
          <w:rFonts w:asciiTheme="minorEastAsia" w:hAnsiTheme="minorEastAsia" w:eastAsiaTheme="minorEastAsia"/>
          <w:szCs w:val="21"/>
        </w:rPr>
        <w:t>没有按照</w:t>
      </w:r>
      <w:r>
        <w:rPr>
          <w:rFonts w:hint="eastAsia" w:asciiTheme="minorEastAsia" w:hAnsiTheme="minorEastAsia" w:eastAsiaTheme="minorEastAsia"/>
          <w:szCs w:val="21"/>
        </w:rPr>
        <w:t>采购文件</w:t>
      </w:r>
      <w:r>
        <w:rPr>
          <w:rFonts w:asciiTheme="minorEastAsia" w:hAnsiTheme="minorEastAsia" w:eastAsiaTheme="minorEastAsia"/>
          <w:szCs w:val="21"/>
        </w:rPr>
        <w:t>要求提供全部资料，或者</w:t>
      </w:r>
      <w:r>
        <w:rPr>
          <w:rFonts w:hint="eastAsia" w:asciiTheme="minorEastAsia" w:hAnsiTheme="minorEastAsia" w:eastAsiaTheme="minorEastAsia"/>
          <w:szCs w:val="21"/>
        </w:rPr>
        <w:t>投标人</w:t>
      </w:r>
      <w:r>
        <w:rPr>
          <w:rFonts w:asciiTheme="minorEastAsia" w:hAnsiTheme="minorEastAsia" w:eastAsiaTheme="minorEastAsia"/>
          <w:szCs w:val="21"/>
        </w:rPr>
        <w:t>没有对</w:t>
      </w:r>
      <w:r>
        <w:rPr>
          <w:rFonts w:hint="eastAsia" w:asciiTheme="minorEastAsia" w:hAnsiTheme="minorEastAsia" w:eastAsiaTheme="minorEastAsia"/>
          <w:szCs w:val="21"/>
        </w:rPr>
        <w:t>采购文件</w:t>
      </w:r>
      <w:r>
        <w:rPr>
          <w:rFonts w:asciiTheme="minorEastAsia" w:hAnsiTheme="minorEastAsia" w:eastAsiaTheme="minorEastAsia"/>
          <w:szCs w:val="21"/>
        </w:rPr>
        <w:t>在各方面作出实质性响应是</w:t>
      </w:r>
      <w:r>
        <w:rPr>
          <w:rFonts w:hint="eastAsia" w:asciiTheme="minorEastAsia" w:hAnsiTheme="minorEastAsia" w:eastAsiaTheme="minorEastAsia"/>
          <w:szCs w:val="21"/>
        </w:rPr>
        <w:t>投标人</w:t>
      </w:r>
      <w:r>
        <w:rPr>
          <w:rFonts w:asciiTheme="minorEastAsia" w:hAnsiTheme="minorEastAsia" w:eastAsiaTheme="minorEastAsia"/>
          <w:szCs w:val="21"/>
        </w:rPr>
        <w:t>的风险，</w:t>
      </w:r>
      <w:r>
        <w:rPr>
          <w:rFonts w:hint="eastAsia" w:cs="宋体" w:asciiTheme="minorEastAsia" w:hAnsiTheme="minorEastAsia" w:eastAsiaTheme="minorEastAsia"/>
          <w:szCs w:val="21"/>
        </w:rPr>
        <w:t>责任自负</w:t>
      </w:r>
      <w:r>
        <w:rPr>
          <w:rFonts w:asciiTheme="minorEastAsia" w:hAnsiTheme="minorEastAsia" w:eastAsiaTheme="minorEastAsia"/>
          <w:szCs w:val="21"/>
        </w:rPr>
        <w:t>。</w:t>
      </w:r>
    </w:p>
    <w:p w14:paraId="47BCDE7C">
      <w:pPr>
        <w:snapToGrid w:val="0"/>
        <w:spacing w:line="360" w:lineRule="auto"/>
        <w:ind w:right="-238"/>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采购文件</w:t>
      </w:r>
      <w:r>
        <w:rPr>
          <w:rFonts w:asciiTheme="minorEastAsia" w:hAnsiTheme="minorEastAsia" w:eastAsiaTheme="minorEastAsia"/>
          <w:b/>
          <w:szCs w:val="21"/>
        </w:rPr>
        <w:t xml:space="preserve">的澄清与修改 </w:t>
      </w:r>
    </w:p>
    <w:p w14:paraId="09BC96C2">
      <w:pPr>
        <w:pStyle w:val="52"/>
        <w:snapToGrid w:val="0"/>
        <w:spacing w:before="120" w:after="120" w:line="360" w:lineRule="auto"/>
        <w:ind w:right="-87" w:firstLine="415" w:firstLineChars="198"/>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投标人应认真阅读本</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，发现其中有误或有要求不合理的，投标人须</w:t>
      </w:r>
      <w:r>
        <w:rPr>
          <w:rFonts w:hint="eastAsia" w:asciiTheme="minorEastAsia" w:hAnsiTheme="minorEastAsia" w:eastAsiaTheme="minorEastAsia"/>
          <w:sz w:val="21"/>
          <w:szCs w:val="21"/>
        </w:rPr>
        <w:t>在</w:t>
      </w:r>
      <w:r>
        <w:rPr>
          <w:rFonts w:asciiTheme="minorEastAsia" w:hAnsiTheme="minorEastAsia" w:eastAsiaTheme="minorEastAsia"/>
          <w:sz w:val="21"/>
          <w:szCs w:val="21"/>
        </w:rPr>
        <w:t>采购公告期限届满之日起7个工作日内，以书面形式一次性向采购人和采购代理机构提出。招标</w:t>
      </w:r>
      <w:r>
        <w:rPr>
          <w:rFonts w:hint="eastAsia" w:asciiTheme="minorEastAsia" w:hAnsiTheme="minorEastAsia" w:eastAsiaTheme="minorEastAsia"/>
          <w:sz w:val="21"/>
          <w:szCs w:val="21"/>
        </w:rPr>
        <w:t>、</w:t>
      </w:r>
      <w:r>
        <w:rPr>
          <w:rFonts w:asciiTheme="minorEastAsia" w:hAnsiTheme="minorEastAsia" w:eastAsiaTheme="minorEastAsia"/>
          <w:sz w:val="21"/>
          <w:szCs w:val="21"/>
        </w:rPr>
        <w:t>采购单位对已发出的</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进行必要澄清、答复、修改或补充的，应当在</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要求提交投标文件截止时间15天前，在财政部门指定的政府采购信息发布媒体上发布更正公告，并通知所有已报名的潜在投标人。</w:t>
      </w:r>
    </w:p>
    <w:p w14:paraId="75120D73">
      <w:pPr>
        <w:pStyle w:val="52"/>
        <w:snapToGrid w:val="0"/>
        <w:spacing w:before="120" w:after="120" w:line="360" w:lineRule="auto"/>
        <w:ind w:right="-87" w:firstLine="415" w:firstLineChars="198"/>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的答复、澄清、修改、补充通知实质上改变采购需求相关内容，且自</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发出之日起至投标截止时间止不足15天的，招标采购单位可视情况推迟投标截止时间和开标时间，按规定在财政部门指定的政府采购信息发布媒体上发布变更公告，并将变更后的时间通知所有已报名的潜在投标人。</w:t>
      </w:r>
    </w:p>
    <w:p w14:paraId="5444D9E1">
      <w:pPr>
        <w:pStyle w:val="52"/>
        <w:snapToGrid w:val="0"/>
        <w:spacing w:before="120" w:after="120" w:line="360" w:lineRule="auto"/>
        <w:ind w:right="-87" w:firstLine="415" w:firstLineChars="198"/>
        <w:rPr>
          <w:rFonts w:asciiTheme="minorEastAsia" w:hAnsiTheme="minorEastAsia" w:eastAsiaTheme="minorEastAsia"/>
          <w:sz w:val="21"/>
          <w:szCs w:val="21"/>
        </w:rPr>
      </w:pPr>
      <w:r>
        <w:rPr>
          <w:rFonts w:asciiTheme="minorEastAsia" w:hAnsiTheme="minorEastAsia" w:eastAsiaTheme="minorEastAsia"/>
          <w:sz w:val="21"/>
          <w:szCs w:val="21"/>
        </w:rPr>
        <w:t>3</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澄清、答复、修改、补充的内容为采购文件的组成部分。当</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与</w:t>
      </w:r>
      <w:r>
        <w:rPr>
          <w:rFonts w:hint="eastAsia" w:asciiTheme="minorEastAsia" w:hAnsiTheme="minorEastAsia" w:eastAsiaTheme="minorEastAsia"/>
          <w:sz w:val="21"/>
          <w:szCs w:val="21"/>
        </w:rPr>
        <w:t>采购文件</w:t>
      </w:r>
      <w:r>
        <w:rPr>
          <w:rFonts w:asciiTheme="minorEastAsia" w:hAnsiTheme="minorEastAsia" w:eastAsiaTheme="minorEastAsia"/>
          <w:sz w:val="21"/>
          <w:szCs w:val="21"/>
        </w:rPr>
        <w:t>的答复、澄清、修改、补充通知就同一内容的表述不一致时，以最后发出的变更公告为准。</w:t>
      </w:r>
    </w:p>
    <w:p w14:paraId="027923F3">
      <w:pPr>
        <w:pStyle w:val="52"/>
        <w:snapToGrid w:val="0"/>
        <w:spacing w:before="120" w:after="120" w:line="360" w:lineRule="auto"/>
        <w:ind w:right="-506" w:rightChars="-241" w:firstLine="420" w:firstLineChars="200"/>
        <w:rPr>
          <w:rFonts w:asciiTheme="minorEastAsia" w:hAnsiTheme="minorEastAsia" w:eastAsiaTheme="minorEastAsia"/>
          <w:b/>
          <w:sz w:val="28"/>
          <w:szCs w:val="28"/>
        </w:rPr>
      </w:pPr>
      <w:r>
        <w:rPr>
          <w:rFonts w:hint="eastAsia" w:asciiTheme="minorEastAsia" w:hAnsiTheme="minorEastAsia" w:eastAsiaTheme="minorEastAsia"/>
          <w:sz w:val="21"/>
          <w:szCs w:val="21"/>
        </w:rPr>
        <w:t>4.采购文件的澄清、答复、修改或补充都应该通过本</w:t>
      </w:r>
      <w:r>
        <w:rPr>
          <w:rFonts w:hint="eastAsia" w:asciiTheme="minorEastAsia" w:hAnsiTheme="minorEastAsia" w:eastAsiaTheme="minorEastAsia"/>
          <w:sz w:val="21"/>
          <w:szCs w:val="21"/>
          <w:lang w:eastAsia="zh-CN"/>
        </w:rPr>
        <w:t>采购代理机构</w:t>
      </w:r>
      <w:r>
        <w:rPr>
          <w:rFonts w:hint="eastAsia" w:asciiTheme="minorEastAsia" w:hAnsiTheme="minorEastAsia" w:eastAsiaTheme="minorEastAsia"/>
          <w:sz w:val="21"/>
          <w:szCs w:val="21"/>
        </w:rPr>
        <w:t>以法定形式发布。</w:t>
      </w:r>
    </w:p>
    <w:p w14:paraId="5AEC40E2">
      <w:pPr>
        <w:pStyle w:val="52"/>
        <w:snapToGrid w:val="0"/>
        <w:spacing w:before="120" w:after="120" w:line="360" w:lineRule="auto"/>
        <w:ind w:right="-506" w:rightChars="-241"/>
        <w:jc w:val="center"/>
        <w:rPr>
          <w:rFonts w:asciiTheme="minorEastAsia" w:hAnsiTheme="minorEastAsia" w:eastAsiaTheme="minorEastAsia"/>
          <w:b/>
          <w:sz w:val="28"/>
          <w:szCs w:val="28"/>
        </w:rPr>
      </w:pPr>
      <w:r>
        <w:rPr>
          <w:rFonts w:asciiTheme="minorEastAsia" w:hAnsiTheme="minorEastAsia" w:eastAsiaTheme="minorEastAsia"/>
          <w:b/>
          <w:sz w:val="28"/>
          <w:szCs w:val="28"/>
        </w:rPr>
        <w:t>三</w:t>
      </w:r>
      <w:r>
        <w:rPr>
          <w:rFonts w:hint="eastAsia" w:asciiTheme="minorEastAsia" w:hAnsiTheme="minorEastAsia" w:eastAsiaTheme="minorEastAsia"/>
          <w:b/>
          <w:sz w:val="28"/>
          <w:szCs w:val="28"/>
        </w:rPr>
        <w:t>．投标</w:t>
      </w:r>
      <w:r>
        <w:rPr>
          <w:rFonts w:asciiTheme="minorEastAsia" w:hAnsiTheme="minorEastAsia" w:eastAsiaTheme="minorEastAsia"/>
          <w:b/>
          <w:sz w:val="28"/>
          <w:szCs w:val="28"/>
        </w:rPr>
        <w:t>文件的编制</w:t>
      </w:r>
    </w:p>
    <w:p w14:paraId="7E246658">
      <w:pPr>
        <w:pStyle w:val="9"/>
        <w:spacing w:after="0" w:line="360" w:lineRule="auto"/>
        <w:ind w:firstLine="211" w:firstLineChars="100"/>
        <w:rPr>
          <w:rFonts w:asciiTheme="minorEastAsia" w:hAnsiTheme="minorEastAsia" w:eastAsiaTheme="minorEastAsia"/>
          <w:b/>
          <w:sz w:val="21"/>
          <w:szCs w:val="21"/>
        </w:rPr>
      </w:pPr>
      <w:r>
        <w:rPr>
          <w:rFonts w:hint="eastAsia" w:asciiTheme="minorEastAsia" w:hAnsiTheme="minorEastAsia" w:eastAsiaTheme="minorEastAsia"/>
          <w:b/>
          <w:sz w:val="21"/>
          <w:szCs w:val="21"/>
        </w:rPr>
        <w:t>（一）投标文件的签署</w:t>
      </w:r>
    </w:p>
    <w:p w14:paraId="0E3FE30C">
      <w:pPr>
        <w:pStyle w:val="9"/>
        <w:spacing w:after="0" w:line="360" w:lineRule="auto"/>
        <w:ind w:firstLine="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1.1电子投标文件部分：</w:t>
      </w:r>
    </w:p>
    <w:p w14:paraId="77F00E27">
      <w:pPr>
        <w:pStyle w:val="9"/>
        <w:spacing w:after="0" w:line="360" w:lineRule="auto"/>
        <w:ind w:firstLine="420"/>
        <w:rPr>
          <w:rFonts w:asciiTheme="minorEastAsia" w:hAnsiTheme="minorEastAsia" w:eastAsiaTheme="minorEastAsia"/>
          <w:sz w:val="21"/>
          <w:szCs w:val="21"/>
        </w:rPr>
      </w:pPr>
      <w:r>
        <w:rPr>
          <w:rFonts w:hint="eastAsia" w:asciiTheme="minorEastAsia" w:hAnsiTheme="minorEastAsia" w:eastAsiaTheme="minorEastAsia"/>
          <w:sz w:val="21"/>
          <w:szCs w:val="21"/>
        </w:rPr>
        <w:t>投标人应根据“政采云投标人项目采购-电子交易操作指南”及本招标文件规定的格式和顺序编制电子投标文件并进行关联定位。</w:t>
      </w:r>
    </w:p>
    <w:p w14:paraId="67A2F369">
      <w:pPr>
        <w:pStyle w:val="9"/>
        <w:spacing w:after="0" w:line="360" w:lineRule="auto"/>
        <w:ind w:firstLine="42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1.2备份投标文件部分：</w:t>
      </w:r>
    </w:p>
    <w:p w14:paraId="65915A61">
      <w:pPr>
        <w:pStyle w:val="52"/>
        <w:snapToGrid w:val="0"/>
        <w:spacing w:beforeLines="0" w:afterLines="0" w:line="360" w:lineRule="auto"/>
        <w:ind w:left="0" w:leftChars="0" w:right="-506" w:rightChars="-241" w:firstLine="420" w:firstLineChars="200"/>
        <w:rPr>
          <w:rFonts w:asciiTheme="minorEastAsia" w:hAnsiTheme="minorEastAsia" w:eastAsiaTheme="minorEastAsia"/>
          <w:b/>
          <w:sz w:val="28"/>
          <w:szCs w:val="28"/>
        </w:rPr>
      </w:pPr>
      <w:r>
        <w:rPr>
          <w:rFonts w:hint="eastAsia" w:asciiTheme="minorEastAsia" w:hAnsiTheme="minorEastAsia" w:eastAsiaTheme="minorEastAsia"/>
          <w:sz w:val="21"/>
          <w:szCs w:val="21"/>
        </w:rPr>
        <w:t>电子投标文件的备份文件，以DVD光盘或U盘形式存储，并单独密封递交。</w:t>
      </w:r>
    </w:p>
    <w:p w14:paraId="0DC00CAE">
      <w:pPr>
        <w:tabs>
          <w:tab w:val="left" w:pos="0"/>
        </w:tabs>
        <w:spacing w:line="360" w:lineRule="auto"/>
        <w:ind w:firstLine="211" w:firstLineChars="100"/>
        <w:rPr>
          <w:rFonts w:asciiTheme="minorEastAsia" w:hAnsiTheme="minorEastAsia" w:eastAsiaTheme="minorEastAsia"/>
          <w:b/>
          <w:szCs w:val="21"/>
        </w:rPr>
      </w:pPr>
      <w:r>
        <w:rPr>
          <w:rFonts w:hint="eastAsia" w:asciiTheme="minorEastAsia" w:hAnsiTheme="minorEastAsia" w:eastAsiaTheme="minorEastAsia"/>
          <w:b/>
          <w:szCs w:val="21"/>
        </w:rPr>
        <w:t>（二）投标文件</w:t>
      </w:r>
      <w:r>
        <w:rPr>
          <w:rFonts w:asciiTheme="minorEastAsia" w:hAnsiTheme="minorEastAsia" w:eastAsiaTheme="minorEastAsia"/>
          <w:b/>
          <w:szCs w:val="21"/>
        </w:rPr>
        <w:t>的组成</w:t>
      </w:r>
    </w:p>
    <w:p w14:paraId="0123C761">
      <w:pPr>
        <w:tabs>
          <w:tab w:val="left" w:pos="0"/>
        </w:tabs>
        <w:spacing w:line="360" w:lineRule="auto"/>
        <w:ind w:firstLine="422" w:firstLineChars="200"/>
        <w:rPr>
          <w:rFonts w:asciiTheme="minorEastAsia" w:hAnsiTheme="minorEastAsia" w:eastAsiaTheme="minorEastAsia"/>
          <w:b/>
          <w:bCs/>
          <w:color w:val="000000" w:themeColor="text1"/>
          <w:szCs w:val="21"/>
          <w14:textFill>
            <w14:solidFill>
              <w14:schemeClr w14:val="tx1"/>
            </w14:solidFill>
          </w14:textFill>
        </w:rPr>
      </w:pPr>
      <w:r>
        <w:rPr>
          <w:rFonts w:hint="eastAsia" w:asciiTheme="minorEastAsia" w:hAnsiTheme="minorEastAsia" w:eastAsiaTheme="minorEastAsia"/>
          <w:b/>
          <w:bCs/>
          <w:szCs w:val="21"/>
        </w:rPr>
        <w:t>投标</w:t>
      </w:r>
      <w:r>
        <w:rPr>
          <w:rFonts w:asciiTheme="minorEastAsia" w:hAnsiTheme="minorEastAsia" w:eastAsiaTheme="minorEastAsia"/>
          <w:b/>
          <w:bCs/>
          <w:szCs w:val="21"/>
        </w:rPr>
        <w:t>文件由</w:t>
      </w:r>
      <w:r>
        <w:rPr>
          <w:rFonts w:hint="eastAsia" w:asciiTheme="minorEastAsia" w:hAnsiTheme="minorEastAsia" w:eastAsiaTheme="minorEastAsia"/>
          <w:b/>
          <w:bCs/>
          <w:szCs w:val="21"/>
        </w:rPr>
        <w:t>资格证明文件</w:t>
      </w:r>
      <w:r>
        <w:rPr>
          <w:rFonts w:asciiTheme="minorEastAsia" w:hAnsiTheme="minorEastAsia" w:eastAsiaTheme="minorEastAsia"/>
          <w:b/>
          <w:bCs/>
          <w:szCs w:val="21"/>
        </w:rPr>
        <w:t>、</w:t>
      </w:r>
      <w:r>
        <w:rPr>
          <w:rFonts w:hint="eastAsia" w:asciiTheme="minorEastAsia" w:hAnsiTheme="minorEastAsia" w:eastAsiaTheme="minorEastAsia"/>
          <w:b/>
          <w:bCs/>
          <w:szCs w:val="21"/>
        </w:rPr>
        <w:t>商务及技术文件</w:t>
      </w:r>
      <w:r>
        <w:rPr>
          <w:rFonts w:asciiTheme="minorEastAsia" w:hAnsiTheme="minorEastAsia" w:eastAsiaTheme="minorEastAsia"/>
          <w:b/>
          <w:bCs/>
          <w:szCs w:val="21"/>
        </w:rPr>
        <w:t>、</w:t>
      </w:r>
      <w:r>
        <w:rPr>
          <w:rFonts w:hint="eastAsia" w:asciiTheme="minorEastAsia" w:hAnsiTheme="minorEastAsia" w:eastAsiaTheme="minorEastAsia"/>
          <w:b/>
          <w:bCs/>
          <w:szCs w:val="21"/>
        </w:rPr>
        <w:t>投标</w:t>
      </w:r>
      <w:r>
        <w:rPr>
          <w:rFonts w:asciiTheme="minorEastAsia" w:hAnsiTheme="minorEastAsia" w:eastAsiaTheme="minorEastAsia"/>
          <w:b/>
          <w:bCs/>
          <w:szCs w:val="21"/>
        </w:rPr>
        <w:t>报价</w:t>
      </w:r>
      <w:r>
        <w:rPr>
          <w:rFonts w:hint="eastAsia" w:asciiTheme="minorEastAsia" w:hAnsiTheme="minorEastAsia" w:eastAsiaTheme="minorEastAsia"/>
          <w:b/>
          <w:bCs/>
          <w:szCs w:val="21"/>
        </w:rPr>
        <w:t>文件三</w:t>
      </w:r>
      <w:r>
        <w:rPr>
          <w:rFonts w:hint="eastAsia" w:asciiTheme="minorEastAsia" w:hAnsiTheme="minorEastAsia" w:eastAsiaTheme="minorEastAsia"/>
          <w:b/>
          <w:bCs/>
          <w:szCs w:val="21"/>
          <w:lang w:val="en-US" w:eastAsia="zh-CN"/>
        </w:rPr>
        <w:t>部分</w:t>
      </w:r>
      <w:r>
        <w:rPr>
          <w:rFonts w:asciiTheme="minorEastAsia" w:hAnsiTheme="minorEastAsia" w:eastAsiaTheme="minorEastAsia"/>
          <w:b/>
          <w:bCs/>
          <w:color w:val="000000" w:themeColor="text1"/>
          <w:szCs w:val="21"/>
          <w14:textFill>
            <w14:solidFill>
              <w14:schemeClr w14:val="tx1"/>
            </w14:solidFill>
          </w14:textFill>
        </w:rPr>
        <w:t>组成。</w:t>
      </w:r>
      <w:r>
        <w:rPr>
          <w:rFonts w:hint="eastAsia" w:asciiTheme="minorEastAsia" w:hAnsiTheme="minorEastAsia" w:eastAsiaTheme="minorEastAsia"/>
          <w:color w:val="000000" w:themeColor="text1"/>
          <w:szCs w:val="21"/>
          <w14:textFill>
            <w14:solidFill>
              <w14:schemeClr w14:val="tx1"/>
            </w14:solidFill>
          </w14:textFill>
        </w:rPr>
        <w:t>电子投标文件中所须加盖公章部分均采用CA签章。</w:t>
      </w:r>
    </w:p>
    <w:p w14:paraId="5676152A">
      <w:pPr>
        <w:pStyle w:val="12"/>
        <w:snapToGrid w:val="0"/>
        <w:spacing w:line="360" w:lineRule="auto"/>
        <w:ind w:left="417"/>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1.</w:t>
      </w:r>
      <w:r>
        <w:rPr>
          <w:rFonts w:asciiTheme="minorEastAsia" w:hAnsiTheme="minorEastAsia" w:eastAsiaTheme="minorEastAsia"/>
          <w:b/>
          <w:color w:val="000000" w:themeColor="text1"/>
          <w:sz w:val="21"/>
          <w:szCs w:val="21"/>
          <w14:textFill>
            <w14:solidFill>
              <w14:schemeClr w14:val="tx1"/>
            </w14:solidFill>
          </w14:textFill>
        </w:rPr>
        <w:t>资格</w:t>
      </w:r>
      <w:r>
        <w:rPr>
          <w:rFonts w:hint="eastAsia" w:asciiTheme="minorEastAsia" w:hAnsiTheme="minorEastAsia" w:eastAsiaTheme="minorEastAsia"/>
          <w:b/>
          <w:color w:val="000000" w:themeColor="text1"/>
          <w:sz w:val="21"/>
          <w:szCs w:val="21"/>
          <w14:textFill>
            <w14:solidFill>
              <w14:schemeClr w14:val="tx1"/>
            </w14:solidFill>
          </w14:textFill>
        </w:rPr>
        <w:t>证明文件</w:t>
      </w:r>
      <w:r>
        <w:rPr>
          <w:rFonts w:asciiTheme="minorEastAsia" w:hAnsiTheme="minorEastAsia" w:eastAsiaTheme="minorEastAsia"/>
          <w:b/>
          <w:color w:val="000000" w:themeColor="text1"/>
          <w:sz w:val="21"/>
          <w:szCs w:val="21"/>
          <w14:textFill>
            <w14:solidFill>
              <w14:schemeClr w14:val="tx1"/>
            </w14:solidFill>
          </w14:textFill>
        </w:rPr>
        <w:t>：</w:t>
      </w:r>
    </w:p>
    <w:p w14:paraId="6A952EE0">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1.1投标人有效的法人或者其他组织的营业执照等证明文件，自然人的身份证明（复印件）</w:t>
      </w:r>
    </w:p>
    <w:p w14:paraId="4ED2CF55">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①如投标人是企业（包括合伙企业），提供在工商部门注册的有效“企业法人营业执照”或“营业执照”；②如投标人是事业单位，提供有效的“事业单位法人证书”；③如投标人是非企业专业服务机构的，提供执业许可证、非企业登记证书等证明文件；④如投标人是个体工商户，提供有效的“个体工商户营业执照”；⑤如投标人是自然人，提供有效的自然人身份证明。]</w:t>
      </w:r>
    </w:p>
    <w:p w14:paraId="09B1BC3D">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1.2投标人法定代表人（或单位负责人）身份证复印件；</w:t>
      </w:r>
    </w:p>
    <w:p w14:paraId="43D62F9B">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1.3符合参加政府采购活动应当具备的一般条件的承诺函；（格式见附件）</w:t>
      </w:r>
    </w:p>
    <w:p w14:paraId="76037B5C">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1.4投标函；（格式见附件）</w:t>
      </w:r>
    </w:p>
    <w:p w14:paraId="79F79727">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1.5声明函；（格式见附件）</w:t>
      </w:r>
    </w:p>
    <w:p w14:paraId="5C563B56">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1.6法定代表人（或单位负责人）授权函，非法定代表人（或单位负责人）参加投标时提供；（（格式见附件））</w:t>
      </w:r>
    </w:p>
    <w:p w14:paraId="3804F25E">
      <w:pPr>
        <w:widowControl w:val="0"/>
        <w:wordWrap w:val="0"/>
        <w:adjustRightInd w:val="0"/>
        <w:snapToGrid w:val="0"/>
        <w:spacing w:line="360" w:lineRule="auto"/>
        <w:ind w:firstLine="420" w:firstLineChars="200"/>
        <w:jc w:val="left"/>
        <w:rPr>
          <w:rFonts w:ascii="宋体" w:hAnsi="Calibri" w:eastAsia="宋体" w:cs="Times New Roman"/>
          <w:szCs w:val="22"/>
        </w:rPr>
      </w:pPr>
      <w:r>
        <w:rPr>
          <w:rFonts w:hint="eastAsia" w:ascii="宋体" w:hAnsi="Calibri" w:eastAsia="宋体" w:cs="Times New Roman"/>
          <w:szCs w:val="22"/>
        </w:rPr>
        <w:t>1.7投标人代表身份证复印件，非法定代表人（或单位负责人）参加投标时提供。</w:t>
      </w:r>
    </w:p>
    <w:p w14:paraId="71CDB57B">
      <w:pPr>
        <w:widowControl w:val="0"/>
        <w:spacing w:line="360" w:lineRule="auto"/>
        <w:ind w:firstLine="420" w:firstLineChars="200"/>
        <w:jc w:val="both"/>
        <w:rPr>
          <w:rFonts w:ascii="宋体" w:hAnsi="宋体" w:eastAsia="宋体" w:cs="Times New Roman"/>
        </w:rPr>
      </w:pPr>
      <w:r>
        <w:rPr>
          <w:rFonts w:hint="eastAsia" w:ascii="宋体" w:hAnsi="宋体" w:eastAsia="宋体" w:cs="Times New Roman"/>
          <w:szCs w:val="21"/>
        </w:rPr>
        <w:t>1.</w:t>
      </w:r>
      <w:r>
        <w:rPr>
          <w:rFonts w:hint="eastAsia" w:ascii="宋体" w:hAnsi="宋体" w:eastAsia="宋体" w:cs="Times New Roman"/>
          <w:szCs w:val="21"/>
          <w:lang w:val="en-US" w:eastAsia="zh-CN"/>
        </w:rPr>
        <w:t>8</w:t>
      </w:r>
      <w:r>
        <w:rPr>
          <w:rFonts w:hint="eastAsia" w:ascii="宋体" w:hAnsi="宋体" w:eastAsia="宋体" w:cs="Times New Roman"/>
        </w:rPr>
        <w:t>中小企业身份证明文件（符合以下任意一项要求即可）；</w:t>
      </w:r>
    </w:p>
    <w:p w14:paraId="576736EE">
      <w:pPr>
        <w:widowControl w:val="0"/>
        <w:spacing w:line="360" w:lineRule="auto"/>
        <w:ind w:firstLine="420" w:firstLineChars="200"/>
        <w:jc w:val="both"/>
        <w:rPr>
          <w:rFonts w:ascii="宋体" w:hAnsi="宋体" w:eastAsia="宋体" w:cs="Times New Roman"/>
        </w:rPr>
      </w:pPr>
      <w:r>
        <w:rPr>
          <w:rFonts w:hint="eastAsia" w:ascii="宋体" w:hAnsi="宋体" w:eastAsia="宋体" w:cs="Times New Roman"/>
        </w:rPr>
        <w:t>（1）中小企业（符合中小企业划分标准的个体工商户，在政府采购活动中视同中小企业）：《中小企业声明函》；</w:t>
      </w:r>
    </w:p>
    <w:p w14:paraId="0E3ABF1A">
      <w:pPr>
        <w:widowControl w:val="0"/>
        <w:spacing w:line="360" w:lineRule="auto"/>
        <w:ind w:firstLine="420" w:firstLineChars="200"/>
        <w:jc w:val="both"/>
        <w:rPr>
          <w:rFonts w:ascii="宋体" w:hAnsi="宋体" w:eastAsia="宋体" w:cs="Times New Roman"/>
        </w:rPr>
      </w:pPr>
      <w:r>
        <w:rPr>
          <w:rFonts w:hint="eastAsia" w:ascii="宋体" w:hAnsi="宋体" w:eastAsia="宋体" w:cs="Times New Roman"/>
        </w:rPr>
        <w:t>（2）监狱企业（视同小微企业）：由省级以上监狱管理局、戒毒管理局（含新疆生产建设兵团）出具的属于监狱企业的证明文件；</w:t>
      </w:r>
    </w:p>
    <w:p w14:paraId="6F03B872">
      <w:pPr>
        <w:widowControl w:val="0"/>
        <w:spacing w:line="360" w:lineRule="auto"/>
        <w:ind w:firstLine="420" w:firstLineChars="200"/>
        <w:jc w:val="both"/>
        <w:rPr>
          <w:rFonts w:ascii="Calibri" w:hAnsi="Calibri" w:eastAsia="宋体" w:cs="Times New Roman"/>
        </w:rPr>
      </w:pPr>
      <w:r>
        <w:rPr>
          <w:rFonts w:hint="eastAsia" w:ascii="宋体" w:hAnsi="宋体" w:eastAsia="宋体" w:cs="Times New Roman"/>
        </w:rPr>
        <w:t>（3）残疾人福利性单位（视同小微企业）：《残疾人福利性单位声明函》；</w:t>
      </w:r>
    </w:p>
    <w:p w14:paraId="1C4C609E">
      <w:pPr>
        <w:widowControl w:val="0"/>
        <w:wordWrap w:val="0"/>
        <w:spacing w:line="360" w:lineRule="auto"/>
        <w:ind w:firstLine="422" w:firstLineChars="200"/>
        <w:jc w:val="both"/>
        <w:rPr>
          <w:rFonts w:ascii="宋体" w:hAnsi="Calibri" w:eastAsia="宋体" w:cs="Times New Roman"/>
          <w:szCs w:val="22"/>
        </w:rPr>
      </w:pPr>
      <w:r>
        <w:rPr>
          <w:rFonts w:hint="eastAsia" w:ascii="宋体" w:hAnsi="宋体" w:eastAsia="宋体" w:cs="Times New Roman"/>
          <w:b/>
          <w:bCs/>
          <w:szCs w:val="21"/>
        </w:rPr>
        <w:t>1.</w:t>
      </w:r>
      <w:r>
        <w:rPr>
          <w:rFonts w:hint="eastAsia" w:ascii="宋体" w:hAnsi="宋体" w:eastAsia="宋体" w:cs="Times New Roman"/>
          <w:b/>
          <w:bCs/>
          <w:szCs w:val="21"/>
          <w:lang w:val="en-US" w:eastAsia="zh-CN"/>
        </w:rPr>
        <w:t>9</w:t>
      </w:r>
      <w:r>
        <w:rPr>
          <w:rFonts w:hint="eastAsia" w:ascii="宋体" w:hAnsi="宋体" w:eastAsia="宋体" w:cs="Times New Roman"/>
          <w:b/>
          <w:bCs/>
          <w:szCs w:val="21"/>
        </w:rPr>
        <w:t>政府采购活动现场确认声明书（本表在解密后,尽快填写完整发至495302826@qq.com邮箱）</w:t>
      </w:r>
    </w:p>
    <w:p w14:paraId="27948561">
      <w:pPr>
        <w:pStyle w:val="52"/>
        <w:snapToGrid w:val="0"/>
        <w:spacing w:before="120" w:after="120" w:line="320" w:lineRule="exact"/>
        <w:ind w:left="0" w:leftChars="0" w:firstLine="422" w:firstLineChars="20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2.商务技术文件：</w:t>
      </w:r>
    </w:p>
    <w:p w14:paraId="11BF22C8">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以下涉及的有关内容均须提供合法有效的证明材料复印件。（特别注明的除外）</w:t>
      </w:r>
    </w:p>
    <w:p w14:paraId="24B70C2D">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2.1</w:t>
      </w:r>
      <w:r>
        <w:rPr>
          <w:rFonts w:hint="eastAsia" w:ascii="宋体" w:hAnsi="Calibri" w:eastAsia="宋体" w:cs="Times New Roman"/>
          <w:szCs w:val="22"/>
          <w:lang w:val="en-GB"/>
        </w:rPr>
        <w:t>技术参数要求</w:t>
      </w:r>
      <w:r>
        <w:rPr>
          <w:rFonts w:hint="eastAsia" w:ascii="宋体" w:hAnsi="Calibri" w:eastAsia="宋体" w:cs="Times New Roman"/>
          <w:szCs w:val="22"/>
        </w:rPr>
        <w:t>响应；</w:t>
      </w:r>
    </w:p>
    <w:p w14:paraId="4F02F202">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2.2组织实施方案；</w:t>
      </w:r>
    </w:p>
    <w:p w14:paraId="38C388F7">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2.3整体供货方案及保证措施；</w:t>
      </w:r>
    </w:p>
    <w:p w14:paraId="4580B181">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2.4培训方案；</w:t>
      </w:r>
    </w:p>
    <w:p w14:paraId="26EEA703">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2.5演示部分（提供演示视频）；</w:t>
      </w:r>
    </w:p>
    <w:p w14:paraId="06AB51E1">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2.6企业业绩；</w:t>
      </w:r>
    </w:p>
    <w:p w14:paraId="5E53A8F8">
      <w:pPr>
        <w:widowControl w:val="0"/>
        <w:wordWrap w:val="0"/>
        <w:adjustRightInd w:val="0"/>
        <w:snapToGrid w:val="0"/>
        <w:spacing w:line="360" w:lineRule="auto"/>
        <w:ind w:firstLine="420" w:firstLineChars="200"/>
        <w:jc w:val="left"/>
        <w:rPr>
          <w:rFonts w:hint="eastAsia" w:ascii="宋体" w:hAnsi="Calibri" w:eastAsia="宋体" w:cs="Times New Roman"/>
          <w:szCs w:val="22"/>
          <w:lang w:eastAsia="zh-CN"/>
        </w:rPr>
      </w:pPr>
      <w:r>
        <w:rPr>
          <w:rFonts w:hint="eastAsia" w:ascii="宋体" w:hAnsi="Calibri" w:eastAsia="宋体" w:cs="Times New Roman"/>
          <w:szCs w:val="22"/>
          <w:lang w:val="en-US" w:eastAsia="zh-CN"/>
        </w:rPr>
        <w:t>2.7</w:t>
      </w:r>
      <w:r>
        <w:rPr>
          <w:rFonts w:hint="eastAsia" w:ascii="宋体" w:hAnsi="Calibri" w:eastAsia="宋体" w:cs="Times New Roman"/>
          <w:szCs w:val="22"/>
        </w:rPr>
        <w:t>企业</w:t>
      </w:r>
      <w:r>
        <w:rPr>
          <w:rFonts w:hint="eastAsia" w:ascii="宋体" w:hAnsi="Calibri" w:eastAsia="宋体" w:cs="Times New Roman"/>
          <w:szCs w:val="22"/>
          <w:lang w:eastAsia="zh-CN"/>
        </w:rPr>
        <w:t>综合实力；</w:t>
      </w:r>
    </w:p>
    <w:p w14:paraId="2FABE3C7">
      <w:pPr>
        <w:widowControl w:val="0"/>
        <w:wordWrap w:val="0"/>
        <w:adjustRightInd w:val="0"/>
        <w:snapToGrid w:val="0"/>
        <w:spacing w:line="360" w:lineRule="auto"/>
        <w:ind w:firstLine="420" w:firstLineChars="200"/>
        <w:jc w:val="left"/>
        <w:rPr>
          <w:rFonts w:hint="eastAsia" w:ascii="宋体" w:hAnsi="Calibri" w:eastAsia="宋体" w:cs="Times New Roman"/>
          <w:szCs w:val="22"/>
          <w:lang w:eastAsia="zh-CN"/>
        </w:rPr>
      </w:pPr>
      <w:r>
        <w:rPr>
          <w:rFonts w:hint="eastAsia" w:ascii="宋体" w:hAnsi="Calibri" w:eastAsia="宋体" w:cs="Times New Roman"/>
          <w:szCs w:val="22"/>
          <w:lang w:val="en-US" w:eastAsia="zh-CN"/>
        </w:rPr>
        <w:t>2.8</w:t>
      </w:r>
      <w:r>
        <w:rPr>
          <w:rFonts w:hint="eastAsia" w:ascii="宋体" w:hAnsi="Calibri" w:eastAsia="宋体" w:cs="Times New Roman"/>
          <w:szCs w:val="22"/>
        </w:rPr>
        <w:t>售后服务</w:t>
      </w:r>
      <w:r>
        <w:rPr>
          <w:rFonts w:hint="eastAsia" w:ascii="宋体" w:hAnsi="Calibri" w:eastAsia="宋体" w:cs="Times New Roman"/>
          <w:szCs w:val="22"/>
          <w:lang w:eastAsia="zh-CN"/>
        </w:rPr>
        <w:t>；</w:t>
      </w:r>
    </w:p>
    <w:p w14:paraId="39F514B2">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w:t>
      </w:r>
      <w:r>
        <w:rPr>
          <w:rFonts w:hint="eastAsia" w:ascii="宋体" w:hAnsi="Calibri" w:eastAsia="宋体" w:cs="Times New Roman"/>
          <w:szCs w:val="22"/>
          <w:lang w:val="en-US" w:eastAsia="zh-CN"/>
        </w:rPr>
        <w:t>9</w:t>
      </w:r>
      <w:r>
        <w:rPr>
          <w:rFonts w:hint="eastAsia" w:ascii="宋体" w:hAnsi="Calibri" w:eastAsia="宋体" w:cs="Times New Roman"/>
          <w:szCs w:val="22"/>
        </w:rPr>
        <w:t>本招标文件要求提供的和投标人认为需要提供的其它说明和资料/文件。</w:t>
      </w:r>
    </w:p>
    <w:p w14:paraId="6978779D">
      <w:pPr>
        <w:widowControl w:val="0"/>
        <w:wordWrap w:val="0"/>
        <w:adjustRightInd w:val="0"/>
        <w:snapToGrid w:val="0"/>
        <w:spacing w:line="360" w:lineRule="auto"/>
        <w:ind w:firstLine="422" w:firstLineChars="200"/>
        <w:jc w:val="left"/>
        <w:rPr>
          <w:rFonts w:hint="eastAsia" w:ascii="宋体" w:hAnsi="Calibri" w:eastAsia="宋体" w:cs="Times New Roman"/>
          <w:b/>
          <w:bCs/>
          <w:szCs w:val="22"/>
        </w:rPr>
      </w:pPr>
      <w:r>
        <w:rPr>
          <w:rFonts w:hint="eastAsia" w:ascii="宋体" w:hAnsi="Calibri" w:eastAsia="宋体" w:cs="Times New Roman"/>
          <w:b/>
          <w:bCs/>
          <w:szCs w:val="22"/>
        </w:rPr>
        <w:t>3.投标报价文件：</w:t>
      </w:r>
    </w:p>
    <w:p w14:paraId="0E536823">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3.1投标报价一览表（格式见附件）；</w:t>
      </w:r>
    </w:p>
    <w:p w14:paraId="3C6C0149">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3.2投标报价明细表（格式见附件）；</w:t>
      </w:r>
    </w:p>
    <w:p w14:paraId="0E242C43">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3.</w:t>
      </w:r>
      <w:r>
        <w:rPr>
          <w:rFonts w:hint="eastAsia" w:ascii="宋体" w:hAnsi="Calibri" w:eastAsia="宋体" w:cs="Times New Roman"/>
          <w:szCs w:val="22"/>
          <w:lang w:val="en-US" w:eastAsia="zh-CN"/>
        </w:rPr>
        <w:t>3</w:t>
      </w:r>
      <w:r>
        <w:rPr>
          <w:rFonts w:hint="eastAsia" w:ascii="宋体" w:hAnsi="Calibri" w:eastAsia="宋体" w:cs="Times New Roman"/>
          <w:szCs w:val="22"/>
        </w:rPr>
        <w:t>投标人针对报价需要说明的其他文件和说明（如有，格式自拟）。</w:t>
      </w:r>
    </w:p>
    <w:p w14:paraId="516C5BF9">
      <w:pPr>
        <w:widowControl w:val="0"/>
        <w:wordWrap w:val="0"/>
        <w:adjustRightInd w:val="0"/>
        <w:snapToGrid w:val="0"/>
        <w:spacing w:line="360" w:lineRule="auto"/>
        <w:ind w:firstLine="422" w:firstLineChars="200"/>
        <w:jc w:val="left"/>
        <w:rPr>
          <w:rFonts w:hint="eastAsia" w:ascii="宋体" w:hAnsi="Calibri" w:eastAsia="宋体" w:cs="Times New Roman"/>
          <w:b/>
          <w:bCs/>
          <w:szCs w:val="22"/>
        </w:rPr>
      </w:pPr>
      <w:r>
        <w:rPr>
          <w:rFonts w:hint="eastAsia" w:ascii="宋体" w:hAnsi="Calibri" w:eastAsia="宋体" w:cs="Times New Roman"/>
          <w:b/>
          <w:bCs/>
          <w:szCs w:val="22"/>
        </w:rPr>
        <w:t>（二）投标文件的语言及计量</w:t>
      </w:r>
    </w:p>
    <w:p w14:paraId="79EE5E97">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1.投标文件以及投标人与采购人就有关投标事宜的所有来往函电，均应以中文汉语书写。除签名、盖章、专用名称等特殊情形外，以中文汉语以外的文字表述的投标文件视同未提供。</w:t>
      </w:r>
    </w:p>
    <w:p w14:paraId="3DC20F08">
      <w:pPr>
        <w:widowControl w:val="0"/>
        <w:wordWrap w:val="0"/>
        <w:adjustRightInd w:val="0"/>
        <w:snapToGrid w:val="0"/>
        <w:spacing w:line="360" w:lineRule="auto"/>
        <w:ind w:firstLine="420" w:firstLineChars="200"/>
        <w:jc w:val="left"/>
        <w:rPr>
          <w:rFonts w:hint="eastAsia" w:ascii="宋体" w:hAnsi="Calibri" w:eastAsia="宋体" w:cs="Times New Roman"/>
          <w:szCs w:val="22"/>
        </w:rPr>
      </w:pPr>
      <w:r>
        <w:rPr>
          <w:rFonts w:hint="eastAsia" w:ascii="宋体" w:hAnsi="Calibri" w:eastAsia="宋体" w:cs="Times New Roman"/>
          <w:szCs w:val="22"/>
        </w:rPr>
        <w:t>2.投标计量单位，采购文件已有明确规定的，使用采购文件规定的计量单位；采购文件没有规定的，应采用中华人民共和国法定计量单位（货币单位：人民币元），否则视同未响应。</w:t>
      </w:r>
    </w:p>
    <w:p w14:paraId="6C495D53">
      <w:pPr>
        <w:tabs>
          <w:tab w:val="left" w:pos="0"/>
        </w:tabs>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（三）</w:t>
      </w:r>
      <w:r>
        <w:rPr>
          <w:rFonts w:hint="eastAsia" w:asciiTheme="minorEastAsia" w:hAnsiTheme="minorEastAsia" w:eastAsiaTheme="minorEastAsia"/>
          <w:b/>
          <w:szCs w:val="21"/>
        </w:rPr>
        <w:t>投标</w:t>
      </w:r>
      <w:r>
        <w:rPr>
          <w:rFonts w:asciiTheme="minorEastAsia" w:hAnsiTheme="minorEastAsia" w:eastAsiaTheme="minorEastAsia"/>
          <w:b/>
          <w:szCs w:val="21"/>
        </w:rPr>
        <w:t>报价</w:t>
      </w:r>
    </w:p>
    <w:p w14:paraId="1E365A2E">
      <w:pPr>
        <w:pStyle w:val="5"/>
        <w:numPr>
          <w:ilvl w:val="0"/>
          <w:numId w:val="0"/>
        </w:numPr>
        <w:tabs>
          <w:tab w:val="left" w:pos="720"/>
          <w:tab w:val="clear" w:pos="360"/>
        </w:tabs>
        <w:snapToGrid w:val="0"/>
        <w:spacing w:line="360" w:lineRule="auto"/>
        <w:ind w:firstLine="422" w:firstLineChars="200"/>
        <w:rPr>
          <w:rFonts w:hint="eastAsia" w:cs="宋体" w:asciiTheme="minorEastAsia" w:hAnsiTheme="minorEastAsia" w:eastAsiaTheme="minorEastAsia"/>
          <w:b/>
          <w:bCs/>
          <w:szCs w:val="21"/>
        </w:rPr>
      </w:pPr>
      <w:r>
        <w:rPr>
          <w:rFonts w:hint="eastAsia" w:cs="宋体" w:asciiTheme="minorEastAsia" w:hAnsiTheme="minorEastAsia" w:eastAsiaTheme="minorEastAsia"/>
          <w:b/>
          <w:bCs/>
          <w:szCs w:val="21"/>
        </w:rPr>
        <w:t>1</w:t>
      </w:r>
      <w:r>
        <w:rPr>
          <w:rFonts w:hint="eastAsia" w:cs="宋体" w:asciiTheme="minorEastAsia" w:hAnsiTheme="minorEastAsia" w:eastAsiaTheme="minorEastAsia"/>
          <w:b/>
          <w:bCs/>
          <w:szCs w:val="21"/>
          <w:lang w:val="en-US" w:eastAsia="zh-CN"/>
        </w:rPr>
        <w:t>.</w:t>
      </w:r>
      <w:r>
        <w:rPr>
          <w:rFonts w:hint="eastAsia" w:cs="宋体" w:asciiTheme="minorEastAsia" w:hAnsiTheme="minorEastAsia" w:eastAsiaTheme="minorEastAsia"/>
          <w:b/>
          <w:bCs/>
          <w:szCs w:val="21"/>
        </w:rPr>
        <w:t>投标报价应以人民币报价，本项目为“交钥匙”项目，采购内容包括</w:t>
      </w:r>
      <w:r>
        <w:rPr>
          <w:rFonts w:hint="eastAsia" w:cs="宋体" w:asciiTheme="minorEastAsia" w:hAnsiTheme="minorEastAsia" w:eastAsiaTheme="minorEastAsia"/>
          <w:b/>
          <w:bCs/>
          <w:szCs w:val="21"/>
          <w:lang w:val="en-US" w:eastAsia="zh-CN"/>
        </w:rPr>
        <w:t>本项目</w:t>
      </w:r>
      <w:r>
        <w:rPr>
          <w:rFonts w:hint="eastAsia" w:cs="宋体" w:asciiTheme="minorEastAsia" w:hAnsiTheme="minorEastAsia" w:eastAsiaTheme="minorEastAsia"/>
          <w:b/>
          <w:bCs/>
          <w:szCs w:val="21"/>
        </w:rPr>
        <w:t>的采购、运输、安装、调试、培训和相关维护等。投标报价包括设备费、样品费、材料费、保管费、安装调试费、培训、税收、售后服务、招标代理费、检测费、验收费、采购需求中未提到但在实际采购和安装过程中需要配置的各种设备、材料及其他费用等须由</w:t>
      </w:r>
      <w:r>
        <w:rPr>
          <w:rFonts w:hint="eastAsia" w:cs="宋体" w:asciiTheme="minorEastAsia" w:hAnsiTheme="minorEastAsia" w:eastAsiaTheme="minorEastAsia"/>
          <w:b/>
          <w:bCs/>
          <w:szCs w:val="21"/>
          <w:lang w:val="en-US" w:eastAsia="zh-CN"/>
        </w:rPr>
        <w:t>中</w:t>
      </w:r>
      <w:r>
        <w:rPr>
          <w:rFonts w:hint="eastAsia" w:cs="宋体" w:asciiTheme="minorEastAsia" w:hAnsiTheme="minorEastAsia" w:eastAsiaTheme="minorEastAsia"/>
          <w:b/>
          <w:bCs/>
          <w:szCs w:val="21"/>
        </w:rPr>
        <w:t>标人支付的所有费用。</w:t>
      </w:r>
    </w:p>
    <w:p w14:paraId="0876C25B">
      <w:pPr>
        <w:spacing w:line="360" w:lineRule="auto"/>
        <w:ind w:firstLine="420"/>
        <w:rPr>
          <w:rFonts w:asciiTheme="minorEastAsia" w:hAnsiTheme="minorEastAsia" w:eastAsiaTheme="minorEastAsia"/>
        </w:rPr>
      </w:pPr>
      <w:r>
        <w:rPr>
          <w:rFonts w:cs="宋体" w:asciiTheme="minorEastAsia" w:hAnsiTheme="minorEastAsia" w:eastAsiaTheme="minorEastAsia"/>
          <w:b/>
          <w:bCs/>
          <w:szCs w:val="21"/>
        </w:rPr>
        <w:t>2.</w:t>
      </w:r>
      <w:r>
        <w:rPr>
          <w:rFonts w:hint="eastAsia" w:cs="宋体" w:asciiTheme="minorEastAsia" w:hAnsiTheme="minorEastAsia" w:eastAsiaTheme="minorEastAsia"/>
          <w:b/>
          <w:bCs/>
          <w:szCs w:val="21"/>
        </w:rPr>
        <w:t>投标文件针对同一内容只允许有一个报价，有选择的或有条件的报价将不予接受。</w:t>
      </w:r>
    </w:p>
    <w:p w14:paraId="752D4212">
      <w:pPr>
        <w:tabs>
          <w:tab w:val="left" w:pos="0"/>
        </w:tabs>
        <w:spacing w:line="360" w:lineRule="auto"/>
        <w:ind w:firstLine="422" w:firstLineChars="200"/>
        <w:rPr>
          <w:rFonts w:asciiTheme="minorEastAsia" w:hAnsiTheme="minorEastAsia" w:eastAsiaTheme="minorEastAsia"/>
          <w:b/>
          <w:szCs w:val="21"/>
        </w:rPr>
      </w:pPr>
      <w:r>
        <w:rPr>
          <w:rFonts w:asciiTheme="minorEastAsia" w:hAnsiTheme="minorEastAsia" w:eastAsiaTheme="minorEastAsia"/>
          <w:b/>
          <w:szCs w:val="21"/>
        </w:rPr>
        <w:t>（四）</w:t>
      </w:r>
      <w:r>
        <w:rPr>
          <w:rFonts w:hint="eastAsia" w:asciiTheme="minorEastAsia" w:hAnsiTheme="minorEastAsia" w:eastAsiaTheme="minorEastAsia"/>
          <w:b/>
          <w:szCs w:val="21"/>
        </w:rPr>
        <w:t>投标</w:t>
      </w:r>
      <w:r>
        <w:rPr>
          <w:rFonts w:asciiTheme="minorEastAsia" w:hAnsiTheme="minorEastAsia" w:eastAsiaTheme="minorEastAsia"/>
          <w:b/>
          <w:szCs w:val="21"/>
        </w:rPr>
        <w:t>文件的有效期</w:t>
      </w:r>
    </w:p>
    <w:p w14:paraId="6E3370EB">
      <w:pPr>
        <w:pStyle w:val="5"/>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1.自投标截止日起</w:t>
      </w:r>
      <w:r>
        <w:rPr>
          <w:rFonts w:hint="eastAsia" w:asciiTheme="minorEastAsia" w:hAnsiTheme="minorEastAsia" w:eastAsiaTheme="minorEastAsia"/>
          <w:b/>
          <w:u w:val="single"/>
        </w:rPr>
        <w:t xml:space="preserve">90 </w:t>
      </w:r>
      <w:r>
        <w:rPr>
          <w:rFonts w:hint="eastAsia" w:asciiTheme="minorEastAsia" w:hAnsiTheme="minorEastAsia" w:eastAsiaTheme="minorEastAsia"/>
          <w:b/>
        </w:rPr>
        <w:t>天</w:t>
      </w:r>
      <w:r>
        <w:rPr>
          <w:rFonts w:hint="eastAsia" w:asciiTheme="minorEastAsia" w:hAnsiTheme="minorEastAsia" w:eastAsiaTheme="minorEastAsia"/>
        </w:rPr>
        <w:t>投标文件应保持有效。有效期不足的投标文件将被拒绝。</w:t>
      </w:r>
    </w:p>
    <w:p w14:paraId="3D649415">
      <w:pPr>
        <w:pStyle w:val="5"/>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2.在特殊情况下，采购人可与投标人协商延长投标书的有效期，这种要求和答复均以书面形式进行。</w:t>
      </w:r>
    </w:p>
    <w:p w14:paraId="359498ED">
      <w:pPr>
        <w:pStyle w:val="5"/>
        <w:numPr>
          <w:ilvl w:val="0"/>
          <w:numId w:val="0"/>
        </w:numPr>
        <w:tabs>
          <w:tab w:val="left" w:pos="454"/>
          <w:tab w:val="left" w:pos="720"/>
          <w:tab w:val="left" w:pos="900"/>
        </w:tabs>
        <w:snapToGrid w:val="0"/>
        <w:spacing w:line="360" w:lineRule="auto"/>
        <w:ind w:right="-506" w:rightChars="-241" w:firstLine="420" w:firstLineChars="200"/>
        <w:rPr>
          <w:rFonts w:asciiTheme="minorEastAsia" w:hAnsiTheme="minorEastAsia" w:eastAsiaTheme="minorEastAsia"/>
        </w:rPr>
      </w:pPr>
      <w:r>
        <w:rPr>
          <w:rFonts w:hint="eastAsia" w:asciiTheme="minorEastAsia" w:hAnsiTheme="minorEastAsia" w:eastAsiaTheme="minorEastAsia"/>
        </w:rPr>
        <w:t>3.中标人的投标文件自开标之日起至合同履行完毕止均应保持有效。</w:t>
      </w:r>
    </w:p>
    <w:p w14:paraId="133736B1">
      <w:pPr>
        <w:snapToGrid w:val="0"/>
        <w:spacing w:line="360" w:lineRule="auto"/>
        <w:ind w:firstLine="413" w:firstLineChars="196"/>
        <w:rPr>
          <w:rFonts w:asciiTheme="minorEastAsia" w:hAnsiTheme="minorEastAsia" w:eastAsiaTheme="minorEastAsia"/>
          <w:b/>
          <w:szCs w:val="21"/>
        </w:rPr>
      </w:pPr>
      <w:r>
        <w:rPr>
          <w:rFonts w:asciiTheme="minorEastAsia" w:hAnsiTheme="minorEastAsia" w:eastAsiaTheme="minorEastAsia"/>
          <w:b/>
          <w:szCs w:val="21"/>
        </w:rPr>
        <w:t>（</w:t>
      </w:r>
      <w:r>
        <w:rPr>
          <w:rFonts w:hint="eastAsia" w:asciiTheme="minorEastAsia" w:hAnsiTheme="minorEastAsia" w:eastAsiaTheme="minorEastAsia"/>
          <w:b/>
          <w:szCs w:val="21"/>
        </w:rPr>
        <w:t>五</w:t>
      </w:r>
      <w:r>
        <w:rPr>
          <w:rFonts w:asciiTheme="minorEastAsia" w:hAnsiTheme="minorEastAsia" w:eastAsiaTheme="minorEastAsia"/>
          <w:b/>
          <w:szCs w:val="21"/>
        </w:rPr>
        <w:t>）</w:t>
      </w:r>
      <w:r>
        <w:rPr>
          <w:rFonts w:hint="eastAsia" w:asciiTheme="minorEastAsia" w:hAnsiTheme="minorEastAsia" w:eastAsiaTheme="minorEastAsia"/>
          <w:b/>
          <w:szCs w:val="21"/>
        </w:rPr>
        <w:t>投标文件的包装、递交、修改和撤回</w:t>
      </w:r>
    </w:p>
    <w:p w14:paraId="47840B13">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送达的投标、响应文件，将被政采云平台拒收。</w:t>
      </w:r>
    </w:p>
    <w:p w14:paraId="0D2A72A8">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2、投标人应当在投标截止时间前</w:t>
      </w:r>
      <w:r>
        <w:rPr>
          <w:rFonts w:hint="eastAsia" w:asciiTheme="minorEastAsia" w:hAnsiTheme="minorEastAsia" w:eastAsiaTheme="minorEastAsia"/>
          <w:color w:val="000000" w:themeColor="text1"/>
          <w:lang w:val="en-US" w:eastAsia="zh-CN"/>
          <w14:textFill>
            <w14:solidFill>
              <w14:schemeClr w14:val="tx1"/>
            </w14:solidFill>
          </w14:textFill>
        </w:rPr>
        <w:t>一天</w:t>
      </w:r>
      <w:r>
        <w:rPr>
          <w:rFonts w:hint="eastAsia" w:asciiTheme="minorEastAsia" w:hAnsiTheme="minorEastAsia" w:eastAsiaTheme="minorEastAsia"/>
          <w:color w:val="000000" w:themeColor="text1"/>
          <w14:textFill>
            <w14:solidFill>
              <w14:schemeClr w14:val="tx1"/>
            </w14:solidFill>
          </w14:textFill>
        </w:rPr>
        <w:t>将以介质存储的数据电文形式的备份投标文件</w:t>
      </w:r>
      <w:r>
        <w:rPr>
          <w:rFonts w:hint="eastAsia" w:cs="宋体" w:asciiTheme="minorEastAsia" w:hAnsiTheme="minorEastAsia" w:eastAsiaTheme="minorEastAsia"/>
          <w:color w:val="000000" w:themeColor="text1"/>
          <w:szCs w:val="21"/>
          <w14:textFill>
            <w14:solidFill>
              <w14:schemeClr w14:val="tx1"/>
            </w14:solidFill>
          </w14:textFill>
        </w:rPr>
        <w:t>寄到或送达采购代理公司。地址：舟山市定海区临城街道建设大厦D座11楼代理部，舟山建银工程造价审查中心有限公司。也可</w:t>
      </w:r>
      <w:r>
        <w:rPr>
          <w:rFonts w:hint="eastAsia" w:cs="宋体" w:asciiTheme="minorEastAsia" w:hAnsiTheme="minorEastAsia" w:eastAsiaTheme="minorEastAsia"/>
          <w:color w:val="000000" w:themeColor="text1"/>
          <w:szCs w:val="21"/>
          <w:lang w:val="en-US" w:eastAsia="zh-CN"/>
          <w14:textFill>
            <w14:solidFill>
              <w14:schemeClr w14:val="tx1"/>
            </w14:solidFill>
          </w14:textFill>
        </w:rPr>
        <w:t>开标</w:t>
      </w:r>
      <w:r>
        <w:rPr>
          <w:rFonts w:hint="eastAsia" w:cs="宋体" w:asciiTheme="minorEastAsia" w:hAnsiTheme="minorEastAsia" w:eastAsiaTheme="minorEastAsia"/>
          <w:color w:val="000000" w:themeColor="text1"/>
          <w:szCs w:val="21"/>
          <w14:textFill>
            <w14:solidFill>
              <w14:schemeClr w14:val="tx1"/>
            </w14:solidFill>
          </w14:textFill>
        </w:rPr>
        <w:t>现场递交</w:t>
      </w:r>
      <w:r>
        <w:rPr>
          <w:rFonts w:hint="eastAsia" w:asciiTheme="minorEastAsia" w:hAnsiTheme="minorEastAsia" w:eastAsiaTheme="minorEastAsia"/>
          <w:color w:val="000000" w:themeColor="text1"/>
          <w14:textFill>
            <w14:solidFill>
              <w14:schemeClr w14:val="tx1"/>
            </w14:solidFill>
          </w14:textFill>
        </w:rPr>
        <w:t>，逾期送达或未密封将被拒收。</w:t>
      </w:r>
    </w:p>
    <w:p w14:paraId="64A4D3D7">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投标人递交以介质存储的数据电文形式的备份投标文件和纸质备份投标文件时，如出现下列情况之一的，将被拒收：</w:t>
      </w:r>
    </w:p>
    <w:p w14:paraId="2048F62E">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（1）未按规定密封或标记的投标文件；</w:t>
      </w:r>
    </w:p>
    <w:p w14:paraId="3CB4D7A1">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（2）由于包装不妥，在送交途中严重破损或失散的；</w:t>
      </w:r>
    </w:p>
    <w:p w14:paraId="33244CD7">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（3）未成功办理投标人报名手续的；</w:t>
      </w:r>
    </w:p>
    <w:p w14:paraId="0E8A69B5">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（4）超过投标截止时间送达的；</w:t>
      </w:r>
    </w:p>
    <w:p w14:paraId="049D2DD5">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仅提供备份投标文件的，投标无效。</w:t>
      </w:r>
    </w:p>
    <w:p w14:paraId="651A89BA">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仅提供其中一种形式的备份投标文件，造成项目开评标活动无法进行下去的，投标无效，相关风险由投标人自行承担。</w:t>
      </w:r>
    </w:p>
    <w:p w14:paraId="2FDE1ABE">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3、响应文件未按时解密，投标人提供了备份响应文件的，以备份响应文件作为依据，否则视为响应文件撤回。</w:t>
      </w:r>
    </w:p>
    <w:p w14:paraId="29059F48">
      <w:pPr>
        <w:snapToGrid w:val="0"/>
        <w:spacing w:line="360" w:lineRule="auto"/>
        <w:ind w:right="-86" w:rightChars="-41" w:firstLine="420" w:firstLineChars="200"/>
        <w:rPr>
          <w:rFonts w:asciiTheme="minorEastAsia" w:hAnsiTheme="minorEastAsia" w:eastAsiaTheme="minorEastAsia"/>
          <w:color w:val="000000" w:themeColor="text1"/>
          <w14:textFill>
            <w14:solidFill>
              <w14:schemeClr w14:val="tx1"/>
            </w14:solidFill>
          </w14:textFill>
        </w:rPr>
      </w:pPr>
      <w:r>
        <w:rPr>
          <w:rFonts w:hint="eastAsia" w:asciiTheme="minorEastAsia" w:hAnsiTheme="minorEastAsia" w:eastAsiaTheme="minorEastAsia"/>
          <w:color w:val="000000" w:themeColor="text1"/>
          <w14:textFill>
            <w14:solidFill>
              <w14:schemeClr w14:val="tx1"/>
            </w14:solidFill>
          </w14:textFill>
        </w:rPr>
        <w:t>4、备份投标文件须密封封装。包装封面上应注明投标人名称，封口处加盖投标人公章。</w:t>
      </w:r>
    </w:p>
    <w:p w14:paraId="5A44CDA1">
      <w:pPr>
        <w:spacing w:line="360" w:lineRule="auto"/>
        <w:ind w:firstLine="42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b/>
          <w:color w:val="000000" w:themeColor="text1"/>
          <w:szCs w:val="21"/>
          <w14:textFill>
            <w14:solidFill>
              <w14:schemeClr w14:val="tx1"/>
            </w14:solidFill>
          </w14:textFill>
        </w:rPr>
        <w:t>（</w:t>
      </w:r>
      <w:r>
        <w:rPr>
          <w:rFonts w:hint="eastAsia" w:asciiTheme="minorEastAsia" w:hAnsiTheme="minorEastAsia" w:eastAsiaTheme="minorEastAsia"/>
          <w:b/>
          <w:color w:val="000000" w:themeColor="text1"/>
          <w:szCs w:val="21"/>
          <w14:textFill>
            <w14:solidFill>
              <w14:schemeClr w14:val="tx1"/>
            </w14:solidFill>
          </w14:textFill>
        </w:rPr>
        <w:t>六</w:t>
      </w:r>
      <w:r>
        <w:rPr>
          <w:rFonts w:asciiTheme="minorEastAsia" w:hAnsiTheme="minorEastAsia" w:eastAsiaTheme="minorEastAsia"/>
          <w:b/>
          <w:color w:val="000000" w:themeColor="text1"/>
          <w:szCs w:val="21"/>
          <w14:textFill>
            <w14:solidFill>
              <w14:schemeClr w14:val="tx1"/>
            </w14:solidFill>
          </w14:textFill>
        </w:rPr>
        <w:t>）投标无效的情形</w:t>
      </w:r>
    </w:p>
    <w:p w14:paraId="70DD2661">
      <w:pPr>
        <w:pStyle w:val="52"/>
        <w:snapToGrid w:val="0"/>
        <w:spacing w:beforeLines="0" w:afterLines="0" w:line="360" w:lineRule="auto"/>
        <w:ind w:right="-86" w:rightChars="-41" w:firstLine="415" w:firstLineChars="198"/>
        <w:rPr>
          <w:rFonts w:asciiTheme="minorEastAsia" w:hAnsiTheme="minorEastAsia" w:eastAsiaTheme="minorEastAsia"/>
          <w:sz w:val="21"/>
          <w:szCs w:val="21"/>
        </w:rPr>
      </w:pPr>
      <w:r>
        <w:rPr>
          <w:rFonts w:hint="eastAsia" w:asciiTheme="minorEastAsia" w:hAnsiTheme="minorEastAsia" w:eastAsiaTheme="minorEastAsia"/>
          <w:sz w:val="21"/>
          <w:szCs w:val="21"/>
        </w:rPr>
        <w:t>实质上没有响应采购文件要求的投标将被视为无效投标。投标人不得通过修正或撤消不合要求的偏离或保留从而使其投标成为实质上响应的投标。经评标委员会认定属于投标人疏忽、笔误所造成的差错，应当允许其在评标结束之前进行修改或者补正（评审小组和投标人通过电子交易平台交换数据电文）。修改或者补正投标文件必须以书面形式进行，并应在中标结果公告之前查核原件。限期内不补正或经补正后仍不符合采购文件要求的，应认定其投标无效。投标人修改、补正投标文件后，不影响评标委员会对其投标文件所作的评价和评分结果。</w:t>
      </w:r>
    </w:p>
    <w:p w14:paraId="12DD96E1">
      <w:pPr>
        <w:pStyle w:val="61"/>
        <w:snapToGrid w:val="0"/>
        <w:spacing w:line="360" w:lineRule="auto"/>
        <w:ind w:right="-86" w:rightChars="-41" w:firstLine="441" w:firstLineChars="209"/>
        <w:rPr>
          <w:rFonts w:hint="eastAsia" w:cs="Times New Roman" w:asciiTheme="minorEastAsia" w:hAnsiTheme="minorEastAsia" w:eastAsiaTheme="minorEastAsia"/>
          <w:b/>
          <w:bCs/>
        </w:rPr>
      </w:pPr>
      <w:r>
        <w:rPr>
          <w:rFonts w:hint="eastAsia" w:cs="Times New Roman" w:asciiTheme="minorEastAsia" w:hAnsiTheme="minorEastAsia" w:eastAsiaTheme="minorEastAsia"/>
          <w:b/>
          <w:bCs/>
        </w:rPr>
        <w:t>1.在符合性审查和商务评审时，如发现下列情形之一的，投标文件将被视为无效投标：</w:t>
      </w:r>
    </w:p>
    <w:p w14:paraId="4C1D565D">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1.1投标文件未按采购文件要求签字、盖章的；</w:t>
      </w:r>
    </w:p>
    <w:p w14:paraId="7389920E">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1.2资格证明文件不全的，或者不符合采购文件标明的资格要求的；</w:t>
      </w:r>
    </w:p>
    <w:p w14:paraId="00801D5E">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1.3投标文件组成不全的；</w:t>
      </w:r>
    </w:p>
    <w:p w14:paraId="7222D646">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1.4投标文件无法定代表人或授权人签字；或未提供法定代表人授权委托书；</w:t>
      </w:r>
    </w:p>
    <w:p w14:paraId="624275A5">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1.5投标代表人未能出具身份证明或与法定代表人授权委托人身份不符的；</w:t>
      </w:r>
    </w:p>
    <w:p w14:paraId="7F5D4DC8">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1.6投标文件的实质性内容未使用中文表述、意思表述不明确、前后矛盾或者使用计量单位不符合采购文件要求的；（经评审小组认定允许其在线更正的笔误除外）</w:t>
      </w:r>
    </w:p>
    <w:p w14:paraId="168FC645">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1.7投标文件的关键内容字迹模糊、无法辨认的，或者投标文件中经修正的内容字迹模糊难以辩认或者修改处未按规定签名盖章的；</w:t>
      </w:r>
    </w:p>
    <w:p w14:paraId="221637A4">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1.8投标有效期、交货时间、质保期等商务条款不能满足采购文件要求的；</w:t>
      </w:r>
    </w:p>
    <w:p w14:paraId="3CFFD30F">
      <w:pPr>
        <w:pStyle w:val="61"/>
        <w:snapToGrid w:val="0"/>
        <w:spacing w:line="360" w:lineRule="auto"/>
        <w:ind w:right="-86" w:rightChars="-41" w:firstLine="438" w:firstLineChars="209"/>
        <w:rPr>
          <w:rFonts w:hint="eastAsia" w:cs="Times New Roman" w:asciiTheme="minorEastAsia" w:hAnsiTheme="minorEastAsia" w:eastAsiaTheme="minorEastAsia"/>
        </w:rPr>
      </w:pPr>
      <w:r>
        <w:rPr>
          <w:rFonts w:hint="eastAsia" w:cs="Times New Roman" w:asciiTheme="minorEastAsia" w:hAnsiTheme="minorEastAsia" w:eastAsiaTheme="minorEastAsia"/>
        </w:rPr>
        <w:t>1.9未响应采购文件实质性要求或者投标文件有采购人不能接受的附加条件的；</w:t>
      </w:r>
    </w:p>
    <w:p w14:paraId="1F0CE940">
      <w:pPr>
        <w:widowControl w:val="0"/>
        <w:snapToGrid w:val="0"/>
        <w:spacing w:line="360" w:lineRule="auto"/>
        <w:ind w:firstLine="422" w:firstLineChars="200"/>
        <w:jc w:val="left"/>
        <w:rPr>
          <w:rFonts w:asciiTheme="minorEastAsia" w:hAnsiTheme="minorEastAsia" w:eastAsiaTheme="minorEastAsia"/>
          <w:b/>
          <w:bCs/>
        </w:rPr>
      </w:pPr>
      <w:r>
        <w:rPr>
          <w:rFonts w:hint="eastAsia" w:cs="宋体" w:asciiTheme="minorEastAsia" w:hAnsiTheme="minorEastAsia" w:eastAsiaTheme="minorEastAsia"/>
          <w:b/>
          <w:bCs/>
          <w:color w:val="auto"/>
          <w:szCs w:val="21"/>
        </w:rPr>
        <w:t>1.</w:t>
      </w:r>
      <w:r>
        <w:rPr>
          <w:rFonts w:hint="eastAsia" w:cs="宋体" w:asciiTheme="minorEastAsia" w:hAnsiTheme="minorEastAsia" w:eastAsiaTheme="minorEastAsia"/>
          <w:b/>
          <w:bCs/>
          <w:color w:val="auto"/>
          <w:szCs w:val="21"/>
          <w:lang w:val="en-US" w:eastAsia="zh-CN"/>
        </w:rPr>
        <w:t>10</w:t>
      </w:r>
      <w:r>
        <w:rPr>
          <w:rFonts w:hint="eastAsia" w:cs="Times New Roman"/>
          <w:b/>
          <w:bCs/>
          <w:color w:val="auto"/>
        </w:rPr>
        <w:t>除政府采购法律法规规章规定的属于恶意串通、视为串通投标情形外，在不影响公平竞争的前提下，采购人在采购文件中明确规定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w:t>
      </w:r>
      <w:bookmarkStart w:id="3" w:name="_GoBack"/>
      <w:bookmarkEnd w:id="3"/>
    </w:p>
    <w:p w14:paraId="31D35392">
      <w:pPr>
        <w:spacing w:line="360" w:lineRule="auto"/>
        <w:ind w:firstLine="420"/>
        <w:rPr>
          <w:rFonts w:asciiTheme="minorEastAsia" w:hAnsiTheme="minorEastAsia" w:eastAsiaTheme="minorEastAsia"/>
          <w:szCs w:val="21"/>
        </w:rPr>
      </w:pPr>
      <w:r>
        <w:rPr>
          <w:rFonts w:asciiTheme="minorEastAsia" w:hAnsiTheme="minorEastAsia" w:eastAsiaTheme="minorEastAsia"/>
          <w:b/>
          <w:bCs/>
        </w:rPr>
        <w:t>2</w:t>
      </w:r>
      <w:r>
        <w:rPr>
          <w:rFonts w:hint="eastAsia" w:asciiTheme="minorEastAsia" w:hAnsiTheme="minorEastAsia" w:eastAsiaTheme="minorEastAsia"/>
          <w:b/>
          <w:bCs/>
        </w:rPr>
        <w:t>.</w:t>
      </w:r>
      <w:r>
        <w:rPr>
          <w:rFonts w:asciiTheme="minorEastAsia" w:hAnsiTheme="minorEastAsia" w:eastAsiaTheme="minorEastAsia"/>
          <w:b/>
          <w:bCs/>
        </w:rPr>
        <w:t>在技术评审时，如发现下列情形之一的，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1BC77A2C">
      <w:pPr>
        <w:spacing w:line="360" w:lineRule="auto"/>
        <w:ind w:firstLine="420"/>
        <w:rPr>
          <w:rFonts w:asciiTheme="minorEastAsia" w:hAnsiTheme="minorEastAsia" w:eastAsiaTheme="minorEastAsia"/>
          <w:szCs w:val="21"/>
        </w:rPr>
      </w:pPr>
      <w:r>
        <w:rPr>
          <w:rFonts w:asciiTheme="minorEastAsia" w:hAnsiTheme="minorEastAsia" w:eastAsiaTheme="minorEastAsia"/>
          <w:szCs w:val="21"/>
        </w:rPr>
        <w:t>2.1</w:t>
      </w:r>
      <w:r>
        <w:rPr>
          <w:rFonts w:hint="eastAsia" w:cs="宋体" w:asciiTheme="minorEastAsia" w:hAnsiTheme="minorEastAsia" w:eastAsiaTheme="minorEastAsia"/>
          <w:szCs w:val="21"/>
        </w:rPr>
        <w:t>投标文件标明的响应或偏离与事实不符或虚假投标的</w:t>
      </w:r>
      <w:r>
        <w:rPr>
          <w:rFonts w:asciiTheme="minorEastAsia" w:hAnsiTheme="minorEastAsia" w:eastAsiaTheme="minorEastAsia"/>
          <w:szCs w:val="21"/>
        </w:rPr>
        <w:t>；</w:t>
      </w:r>
    </w:p>
    <w:p w14:paraId="36D9D97C">
      <w:pPr>
        <w:spacing w:line="360" w:lineRule="auto"/>
        <w:ind w:firstLine="420"/>
        <w:rPr>
          <w:rFonts w:asciiTheme="minorEastAsia" w:hAnsiTheme="minorEastAsia" w:eastAsiaTheme="minorEastAsia"/>
        </w:rPr>
      </w:pPr>
      <w:r>
        <w:rPr>
          <w:rFonts w:hint="eastAsia" w:asciiTheme="minorEastAsia" w:hAnsiTheme="minorEastAsia" w:eastAsiaTheme="minorEastAsia"/>
          <w:szCs w:val="21"/>
        </w:rPr>
        <w:t>2.</w:t>
      </w:r>
      <w:r>
        <w:rPr>
          <w:rFonts w:hint="eastAsia" w:asciiTheme="minorEastAsia" w:hAnsiTheme="minorEastAsia" w:eastAsiaTheme="minorEastAsia"/>
          <w:szCs w:val="21"/>
          <w:lang w:val="en-US" w:eastAsia="zh-CN"/>
        </w:rPr>
        <w:t>2</w:t>
      </w:r>
      <w:r>
        <w:rPr>
          <w:rFonts w:hint="eastAsia" w:asciiTheme="minorEastAsia" w:hAnsiTheme="minorEastAsia" w:eastAsiaTheme="minorEastAsia"/>
          <w:szCs w:val="21"/>
        </w:rPr>
        <w:t>投标技术方案不明确，存在一个或一个以上备选（替代）投标方案的；</w:t>
      </w:r>
    </w:p>
    <w:p w14:paraId="06891EC6">
      <w:pPr>
        <w:spacing w:line="360" w:lineRule="auto"/>
        <w:ind w:firstLine="420"/>
        <w:rPr>
          <w:rFonts w:asciiTheme="minorEastAsia" w:hAnsiTheme="minorEastAsia" w:eastAsiaTheme="minorEastAsia"/>
          <w:szCs w:val="21"/>
        </w:rPr>
      </w:pPr>
      <w:r>
        <w:rPr>
          <w:rFonts w:asciiTheme="minorEastAsia" w:hAnsiTheme="minorEastAsia" w:eastAsiaTheme="minorEastAsia"/>
          <w:b/>
          <w:bCs/>
        </w:rPr>
        <w:t>3</w:t>
      </w:r>
      <w:r>
        <w:rPr>
          <w:rFonts w:hint="eastAsia" w:asciiTheme="minorEastAsia" w:hAnsiTheme="minorEastAsia" w:eastAsiaTheme="minorEastAsia"/>
          <w:b/>
          <w:bCs/>
        </w:rPr>
        <w:t>.</w:t>
      </w:r>
      <w:r>
        <w:rPr>
          <w:rFonts w:hint="eastAsia" w:cs="宋体" w:asciiTheme="minorEastAsia" w:hAnsiTheme="minorEastAsia" w:eastAsiaTheme="minorEastAsia"/>
          <w:b/>
          <w:szCs w:val="21"/>
        </w:rPr>
        <w:t>在投标报价文件评审时</w:t>
      </w:r>
      <w:r>
        <w:rPr>
          <w:rFonts w:asciiTheme="minorEastAsia" w:hAnsiTheme="minorEastAsia" w:eastAsiaTheme="minorEastAsia"/>
          <w:b/>
          <w:bCs/>
        </w:rPr>
        <w:t>，如发现下列情形之一的，</w:t>
      </w:r>
      <w:r>
        <w:rPr>
          <w:rFonts w:hint="eastAsia" w:asciiTheme="minorEastAsia" w:hAnsiTheme="minorEastAsia" w:eastAsiaTheme="minorEastAsia"/>
          <w:b/>
          <w:bCs/>
        </w:rPr>
        <w:t>投标文件</w:t>
      </w:r>
      <w:r>
        <w:rPr>
          <w:rFonts w:asciiTheme="minorEastAsia" w:hAnsiTheme="minorEastAsia" w:eastAsiaTheme="minorEastAsia"/>
          <w:b/>
          <w:bCs/>
        </w:rPr>
        <w:t>将被视为无效响应：</w:t>
      </w:r>
    </w:p>
    <w:p w14:paraId="1C183677">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3.1未采用人民币报价或者未按照采购文件标明的币种报价的；</w:t>
      </w:r>
    </w:p>
    <w:p w14:paraId="1F2EAAD8">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3.2报价超出最高限价，或者超出采购预算金额，采购人不能支付的；投标人的投标报价经评标委员会审定认为存在不合理的、恶性的低价竞争的，且投标人又不能提供出有效证明的作无效标处理。</w:t>
      </w:r>
    </w:p>
    <w:p w14:paraId="24A53326">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3.3投标报价具有选择性，或者开标价格与投标文件承诺的优惠（折扣）价格不一致的；</w:t>
      </w:r>
    </w:p>
    <w:p w14:paraId="3C5B6793">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 xml:space="preserve">3.4投标报价明细表总金额与开标一览表总价不一致。  </w:t>
      </w:r>
    </w:p>
    <w:p w14:paraId="36CCF54A">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3.5投标报价文件在投标文件商务技术部分中出现投标报价信息的。</w:t>
      </w:r>
    </w:p>
    <w:p w14:paraId="22CE3411">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3.6.法律、法规和采购文件规定的其他无效情形。</w:t>
      </w:r>
    </w:p>
    <w:p w14:paraId="3DC6B453">
      <w:pPr>
        <w:spacing w:line="360" w:lineRule="auto"/>
        <w:ind w:firstLine="420"/>
        <w:rPr>
          <w:rFonts w:asciiTheme="minorEastAsia" w:hAnsiTheme="minorEastAsia" w:eastAsiaTheme="minorEastAsia"/>
          <w:b/>
          <w:color w:val="000000" w:themeColor="text1"/>
          <w:szCs w:val="21"/>
          <w14:textFill>
            <w14:solidFill>
              <w14:schemeClr w14:val="tx1"/>
            </w14:solidFill>
          </w14:textFill>
        </w:rPr>
      </w:pPr>
      <w:r>
        <w:rPr>
          <w:rFonts w:hint="eastAsia" w:asciiTheme="minorEastAsia" w:hAnsiTheme="minorEastAsia" w:eastAsiaTheme="minorEastAsia"/>
          <w:b/>
          <w:color w:val="000000" w:themeColor="text1"/>
          <w:szCs w:val="21"/>
          <w14:textFill>
            <w14:solidFill>
              <w14:schemeClr w14:val="tx1"/>
            </w14:solidFill>
          </w14:textFill>
        </w:rPr>
        <w:t>（七）出现以下情形，导致电子交易平台无法正常运行，或者无法保证电子交易的公平、公正和安全时，中止电子交易活动：</w:t>
      </w:r>
    </w:p>
    <w:p w14:paraId="312F72FB">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1.电子交易平台发生故障而无法登录访问的；</w:t>
      </w:r>
    </w:p>
    <w:p w14:paraId="0E0ACE89">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2.电子交易平台应用或数据库出现错误，不能进行正常操作的；</w:t>
      </w:r>
    </w:p>
    <w:p w14:paraId="39F20106">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3.电子交易平台发现严重安全漏洞，有潜在泄密危险的；</w:t>
      </w:r>
    </w:p>
    <w:p w14:paraId="6A3BC48C">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4.病毒发作导致不能进行正常操作的；</w:t>
      </w:r>
    </w:p>
    <w:p w14:paraId="7F8AB780">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5.其他无法保证电子交易的公平、公正和安全的情况。</w:t>
      </w:r>
    </w:p>
    <w:p w14:paraId="5A763CA4">
      <w:pPr>
        <w:pStyle w:val="61"/>
        <w:snapToGrid w:val="0"/>
        <w:spacing w:line="360" w:lineRule="auto"/>
        <w:ind w:right="-86" w:rightChars="-41" w:firstLine="438" w:firstLineChars="209"/>
        <w:rPr>
          <w:rFonts w:asciiTheme="minorEastAsia" w:hAnsiTheme="minorEastAsia" w:eastAsiaTheme="minorEastAsia"/>
        </w:rPr>
      </w:pPr>
      <w:r>
        <w:rPr>
          <w:rFonts w:hint="eastAsia" w:asciiTheme="minorEastAsia" w:hAnsiTheme="minorEastAsia" w:eastAsiaTheme="minorEastAsia"/>
        </w:rPr>
        <w:t>出现前款规定情形，不影响采购公平、公正性的，</w:t>
      </w:r>
      <w:r>
        <w:rPr>
          <w:rFonts w:hint="eastAsia" w:asciiTheme="minorEastAsia" w:hAnsiTheme="minorEastAsia" w:eastAsiaTheme="minorEastAsia"/>
          <w:lang w:eastAsia="zh-CN"/>
        </w:rPr>
        <w:t>采购代理机构</w:t>
      </w:r>
      <w:r>
        <w:rPr>
          <w:rFonts w:hint="eastAsia" w:asciiTheme="minorEastAsia" w:hAnsiTheme="minorEastAsia" w:eastAsiaTheme="minorEastAsia"/>
        </w:rPr>
        <w:t>可以待上述情形消除后继续组织电子交易活动，也可以决定某些环节以纸质形式进行；影响或可能影响采购公平、公正性的，重新采购。</w:t>
      </w:r>
    </w:p>
    <w:p w14:paraId="34E10902">
      <w:pPr>
        <w:pStyle w:val="66"/>
        <w:snapToGrid w:val="0"/>
        <w:spacing w:before="120" w:after="120" w:line="360" w:lineRule="auto"/>
        <w:ind w:right="55" w:firstLine="470"/>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（八）被拒绝的投标文件为无效。</w:t>
      </w:r>
    </w:p>
    <w:p w14:paraId="408CAAFD">
      <w:pPr>
        <w:pStyle w:val="52"/>
        <w:snapToGrid w:val="0"/>
        <w:spacing w:before="120" w:after="120" w:line="360" w:lineRule="auto"/>
        <w:ind w:left="0" w:leftChars="0" w:right="-506" w:rightChars="-241" w:firstLine="0" w:firstLineChars="0"/>
        <w:jc w:val="center"/>
        <w:rPr>
          <w:rFonts w:asciiTheme="minorEastAsia" w:hAnsiTheme="minorEastAsia" w:eastAsiaTheme="minorEastAsia"/>
          <w:b/>
          <w:color w:val="000000" w:themeColor="text1"/>
          <w:sz w:val="28"/>
          <w:szCs w:val="28"/>
          <w14:textFill>
            <w14:solidFill>
              <w14:schemeClr w14:val="tx1"/>
            </w14:solidFill>
          </w14:textFill>
        </w:rPr>
      </w:pPr>
      <w:r>
        <w:rPr>
          <w:rFonts w:hint="eastAsia" w:asciiTheme="minorEastAsia" w:hAnsiTheme="minorEastAsia" w:eastAsiaTheme="minorEastAsia"/>
          <w:b/>
          <w:color w:val="000000" w:themeColor="text1"/>
          <w:sz w:val="28"/>
          <w:szCs w:val="28"/>
          <w14:textFill>
            <w14:solidFill>
              <w14:schemeClr w14:val="tx1"/>
            </w14:solidFill>
          </w14:textFill>
        </w:rPr>
        <w:t>四．开标</w:t>
      </w:r>
    </w:p>
    <w:p w14:paraId="675DA285">
      <w:pPr>
        <w:pStyle w:val="9"/>
        <w:spacing w:line="360" w:lineRule="auto"/>
        <w:ind w:firstLine="422" w:firstLineChars="200"/>
        <w:rPr>
          <w:rFonts w:asciiTheme="minorEastAsia" w:hAnsiTheme="minorEastAsia" w:eastAsiaTheme="minorEastAsia"/>
          <w:b/>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电子招投标开标及评审程序</w:t>
      </w:r>
    </w:p>
    <w:p w14:paraId="40CA2BF0">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1.采购组织机构按照规定的时间通过政采云系统组织开标、开启投标文件，所有投标人均应当准时在线参加。</w:t>
      </w:r>
    </w:p>
    <w:p w14:paraId="37578E64">
      <w:pPr>
        <w:adjustRightInd w:val="0"/>
        <w:snapToGrid w:val="0"/>
        <w:spacing w:line="360" w:lineRule="auto"/>
        <w:ind w:firstLine="420" w:firstLineChars="200"/>
        <w:rPr>
          <w:rFonts w:asciiTheme="minorEastAsia" w:hAnsiTheme="minorEastAsia" w:eastAsiaTheme="minorEastAsia"/>
          <w:color w:val="000000" w:themeColor="text1"/>
          <w:szCs w:val="21"/>
          <w14:textFill>
            <w14:solidFill>
              <w14:schemeClr w14:val="tx1"/>
            </w14:solidFill>
          </w14:textFill>
        </w:rPr>
      </w:pPr>
      <w:r>
        <w:rPr>
          <w:rFonts w:hint="eastAsia" w:asciiTheme="minorEastAsia" w:hAnsiTheme="minorEastAsia" w:eastAsiaTheme="minorEastAsia"/>
          <w:color w:val="000000" w:themeColor="text1"/>
          <w:szCs w:val="21"/>
          <w14:textFill>
            <w14:solidFill>
              <w14:schemeClr w14:val="tx1"/>
            </w14:solidFill>
          </w14:textFill>
        </w:rPr>
        <w:t>2.投标截止时间后，投标人登录政采云平台，用“项目采购-开标评标”功能对电子投标文件进行</w:t>
      </w:r>
      <w:r>
        <w:rPr>
          <w:rFonts w:hint="eastAsia" w:asciiTheme="minorEastAsia" w:hAnsiTheme="minorEastAsia" w:eastAsiaTheme="minorEastAsia"/>
          <w:b/>
          <w:bCs/>
          <w:color w:val="000000" w:themeColor="text1"/>
          <w:szCs w:val="21"/>
          <w14:textFill>
            <w14:solidFill>
              <w14:schemeClr w14:val="tx1"/>
            </w14:solidFill>
          </w14:textFill>
        </w:rPr>
        <w:t>在线解密。</w:t>
      </w:r>
      <w:r>
        <w:rPr>
          <w:rFonts w:hint="eastAsia" w:asciiTheme="minorEastAsia" w:hAnsiTheme="minorEastAsia" w:eastAsiaTheme="minorEastAsia"/>
          <w:color w:val="000000" w:themeColor="text1"/>
          <w:szCs w:val="21"/>
          <w14:textFill>
            <w14:solidFill>
              <w14:schemeClr w14:val="tx1"/>
            </w14:solidFill>
          </w14:textFill>
        </w:rPr>
        <w:t>在线解密电子投标文件时间</w:t>
      </w:r>
      <w:r>
        <w:rPr>
          <w:rFonts w:hint="eastAsia" w:asciiTheme="minorEastAsia" w:hAnsiTheme="minorEastAsia" w:eastAsiaTheme="minorEastAsia"/>
          <w:b/>
          <w:bCs/>
          <w:color w:val="000000" w:themeColor="text1"/>
          <w:szCs w:val="21"/>
          <w14:textFill>
            <w14:solidFill>
              <w14:schemeClr w14:val="tx1"/>
            </w14:solidFill>
          </w14:textFill>
        </w:rPr>
        <w:t>为开标时间起半个小时内（投标人需自备电脑在线解密）；</w:t>
      </w:r>
    </w:p>
    <w:p w14:paraId="7FA61EC5">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3、各投标人的资格由采购单位人员负责审核；评标委员会对符合性和商务技术响应文件进行评审；</w:t>
      </w:r>
    </w:p>
    <w:p w14:paraId="14908FCD">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4、在系统上公开资格和商务技术评审结果；</w:t>
      </w:r>
    </w:p>
    <w:p w14:paraId="2BEBB3EA">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5、在系统上公开报价开标情况；</w:t>
      </w:r>
    </w:p>
    <w:p w14:paraId="32378FD7">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6、评标委员会对报价情况进行评审；</w:t>
      </w:r>
    </w:p>
    <w:p w14:paraId="4292A6DD">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7、在系统上公布评审结果。</w:t>
      </w:r>
    </w:p>
    <w:p w14:paraId="227E58F6">
      <w:pPr>
        <w:adjustRightInd w:val="0"/>
        <w:snapToGrid w:val="0"/>
        <w:spacing w:line="360" w:lineRule="auto"/>
        <w:ind w:firstLine="420" w:firstLineChars="200"/>
        <w:rPr>
          <w:rFonts w:hint="eastAsia" w:asciiTheme="minorEastAsia" w:hAnsiTheme="minorEastAsia" w:eastAsiaTheme="minorEastAsia"/>
          <w:szCs w:val="21"/>
        </w:rPr>
      </w:pPr>
      <w:r>
        <w:rPr>
          <w:rFonts w:hint="eastAsia" w:asciiTheme="minorEastAsia" w:hAnsiTheme="minorEastAsia" w:eastAsiaTheme="minorEastAsia"/>
          <w:szCs w:val="21"/>
        </w:rPr>
        <w:t>特别说明：政采云公司如对电子化开标及评审程序有调整的，按调整后的程序操作。</w:t>
      </w:r>
    </w:p>
    <w:p w14:paraId="3B1CA671">
      <w:pPr>
        <w:pStyle w:val="52"/>
        <w:snapToGrid w:val="0"/>
        <w:spacing w:before="120" w:after="120" w:line="360" w:lineRule="auto"/>
        <w:ind w:left="0" w:leftChars="0" w:right="-506" w:rightChars="-241"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五．评标</w:t>
      </w:r>
    </w:p>
    <w:p w14:paraId="4A09054A">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（一）组建评标委员会</w:t>
      </w:r>
    </w:p>
    <w:p w14:paraId="178E5D04">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评标委员会由采购人代表和评审专家组成，成员人数为5人（含）以上单数，其中评审专家不得少于成员总数的三分之二。</w:t>
      </w:r>
    </w:p>
    <w:p w14:paraId="09D63901">
      <w:pPr>
        <w:spacing w:line="360" w:lineRule="auto"/>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（二）评标程序</w:t>
      </w:r>
    </w:p>
    <w:p w14:paraId="1A6B7968">
      <w:pPr>
        <w:snapToGrid w:val="0"/>
        <w:spacing w:line="360" w:lineRule="auto"/>
        <w:ind w:right="-87"/>
        <w:rPr>
          <w:rFonts w:asciiTheme="minorEastAsia" w:hAnsiTheme="minorEastAsia" w:eastAsiaTheme="minorEastAsia"/>
          <w:szCs w:val="21"/>
        </w:rPr>
      </w:pPr>
      <w:r>
        <w:rPr>
          <w:rFonts w:hint="eastAsia" w:asciiTheme="minorEastAsia" w:hAnsiTheme="minorEastAsia" w:eastAsiaTheme="minorEastAsia"/>
          <w:b/>
          <w:szCs w:val="21"/>
        </w:rPr>
        <w:t>1.</w:t>
      </w:r>
      <w:r>
        <w:rPr>
          <w:rFonts w:asciiTheme="minorEastAsia" w:hAnsiTheme="minorEastAsia" w:eastAsiaTheme="minorEastAsia"/>
          <w:b/>
          <w:szCs w:val="21"/>
        </w:rPr>
        <w:t>投标文件初审</w:t>
      </w:r>
    </w:p>
    <w:p w14:paraId="2C7ED04A">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初审分为资格性检查和符合性检查。</w:t>
      </w:r>
    </w:p>
    <w:p w14:paraId="37916E69">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1.1资格性检查。依据法律法规和采购文件的规定，对投标文件中的资格证明等进行审查，以确定投标人是否具备投标资格。</w:t>
      </w:r>
    </w:p>
    <w:p w14:paraId="6680EB6F">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1.2符合性检查。依据采购文件的规定，从投标文件的有效性、完整性和对采购文件的响应程度进行审查，以确定是否对采购文件的实质性要求作出响应。</w:t>
      </w:r>
    </w:p>
    <w:p w14:paraId="78013B44">
      <w:pPr>
        <w:snapToGrid w:val="0"/>
        <w:spacing w:line="360" w:lineRule="exact"/>
        <w:ind w:right="-87"/>
        <w:rPr>
          <w:rFonts w:asciiTheme="minorEastAsia" w:hAnsiTheme="minorEastAsia" w:eastAsiaTheme="minorEastAsia"/>
          <w:b/>
          <w:sz w:val="24"/>
        </w:rPr>
      </w:pPr>
      <w:r>
        <w:rPr>
          <w:rFonts w:hint="eastAsia" w:asciiTheme="minorEastAsia" w:hAnsiTheme="minorEastAsia" w:eastAsiaTheme="minorEastAsia"/>
          <w:b/>
          <w:sz w:val="24"/>
        </w:rPr>
        <w:t>2</w:t>
      </w:r>
      <w:r>
        <w:rPr>
          <w:rFonts w:hint="eastAsia" w:asciiTheme="minorEastAsia" w:hAnsiTheme="minorEastAsia" w:eastAsiaTheme="minorEastAsia"/>
          <w:b/>
          <w:szCs w:val="21"/>
        </w:rPr>
        <w:t>.实质审查</w:t>
      </w:r>
    </w:p>
    <w:p w14:paraId="1659C0EC">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2.1评标委员会审查投标文件的实质性内容是否符合采购文件的实质性要求。</w:t>
      </w:r>
    </w:p>
    <w:p w14:paraId="57CC1341">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2.2评标委员会将根据投标人的投标文件进行审查、核对，如有疑问，将对投标人通过电子系统进行询标，投标人向评标委员会澄清有关问题，并最终以电子形式进行答复。投标人拒绝澄清或者澄清的内容改变了投标文件的实质性内容的，评标委员会有权对该投标文件作出不利于投标人的评判。</w:t>
      </w:r>
    </w:p>
    <w:p w14:paraId="4EF53D9B">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2.3评审小组商务、技术方案响应性评定；</w:t>
      </w:r>
    </w:p>
    <w:p w14:paraId="08ACD9EF">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2.4各投标人的技术得分为所有评委的有效评分的算术平均数，由指定专人进行计算复核。</w:t>
      </w:r>
    </w:p>
    <w:p w14:paraId="1C0D9DA5">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2.5评标委员会完成评标后，评委对各部分得分汇总，计算出本项目综合评估分。评标委员会按评标原则通过电子系统向采购人及采购代理机构提交评审报告。</w:t>
      </w:r>
    </w:p>
    <w:p w14:paraId="4F3264AC">
      <w:pPr>
        <w:spacing w:line="36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（三）澄清问题的形式</w:t>
      </w:r>
    </w:p>
    <w:p w14:paraId="37ECB831">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对投标文件中含义不明确、同类问题表述不一致或者有明显文字和计算错误的内容，评标委员会可要求投标人作出必要的澄清、说明或者纠正。投标人与评审小组通过电子交易平台交换数据电文的形式进行，给予投标人提交澄清说明或补正的时间不少于半个小时，投标人已经明确表示澄清说明或补正完毕的除外。不得超出投标文件的范围或者改变投标文件的实质性内容。</w:t>
      </w:r>
    </w:p>
    <w:p w14:paraId="396B3558">
      <w:pPr>
        <w:pStyle w:val="52"/>
        <w:snapToGrid w:val="0"/>
        <w:spacing w:before="120" w:after="120" w:line="360" w:lineRule="exact"/>
        <w:ind w:left="0" w:leftChars="0" w:right="-87"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（四）错误修正</w:t>
      </w:r>
    </w:p>
    <w:p w14:paraId="68BEF20A">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投标文件如果出现计算或表达上的错误，修正错误的原则如下：</w:t>
      </w:r>
    </w:p>
    <w:p w14:paraId="3A56E0FC">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1.如果用数字表示的数额与文字表示的数额不一致的，以文字数额为准；</w:t>
      </w:r>
    </w:p>
    <w:p w14:paraId="24A2BC44">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2.当单价和数量的乘积与合价不一致时，通常以标出的单价为准。除非评审小组认为单价属明显的小数点错误，此时应以标出的合价为准，并修改单价。</w:t>
      </w:r>
    </w:p>
    <w:p w14:paraId="2B800993">
      <w:pPr>
        <w:adjustRightInd w:val="0"/>
        <w:snapToGrid w:val="0"/>
        <w:spacing w:line="360" w:lineRule="auto"/>
        <w:ind w:firstLine="420" w:firstLineChars="200"/>
        <w:rPr>
          <w:rFonts w:hint="eastAsia" w:cs="Times New Roman" w:asciiTheme="minorEastAsia" w:hAnsiTheme="minorEastAsia" w:eastAsiaTheme="minorEastAsia"/>
          <w:szCs w:val="21"/>
        </w:rPr>
      </w:pPr>
      <w:r>
        <w:rPr>
          <w:rFonts w:hint="eastAsia" w:cs="Times New Roman" w:asciiTheme="minorEastAsia" w:hAnsiTheme="minorEastAsia" w:eastAsiaTheme="minorEastAsia"/>
          <w:szCs w:val="21"/>
        </w:rPr>
        <w:t>3.按上述修改错误的方法，调整投标文件中的投标报价文件，经投标人确认后，调整后的投标报价对投标人起约束作用。</w:t>
      </w:r>
    </w:p>
    <w:p w14:paraId="36E36DAE">
      <w:pPr>
        <w:pStyle w:val="12"/>
        <w:snapToGrid w:val="0"/>
        <w:spacing w:line="360" w:lineRule="exact"/>
        <w:ind w:firstLine="417" w:firstLineChars="198"/>
        <w:rPr>
          <w:rFonts w:cs="宋体" w:asciiTheme="minorEastAsia" w:hAnsiTheme="minorEastAsia" w:eastAsiaTheme="minorEastAsia"/>
          <w:sz w:val="21"/>
          <w:szCs w:val="21"/>
        </w:rPr>
      </w:pPr>
      <w:r>
        <w:rPr>
          <w:rFonts w:hint="eastAsia" w:cs="宋体" w:asciiTheme="minorEastAsia" w:hAnsiTheme="minorEastAsia" w:eastAsiaTheme="minorEastAsia"/>
          <w:b/>
          <w:sz w:val="21"/>
          <w:szCs w:val="21"/>
        </w:rPr>
        <w:t>按上述修正错误的原则及方法调整或修正投标文件的投标报价，投标人通过电文并签章确认后，调整后的投标报价对投标人具有约束作用。如果投标人不接受修正后的报价，则其投标将作为无效投标处理。</w:t>
      </w:r>
    </w:p>
    <w:p w14:paraId="642BD531">
      <w:pPr>
        <w:pStyle w:val="52"/>
        <w:snapToGrid w:val="0"/>
        <w:spacing w:before="120" w:after="120" w:line="360" w:lineRule="exact"/>
        <w:ind w:left="0" w:leftChars="0" w:right="-87" w:firstLine="422" w:firstLineChars="200"/>
        <w:rPr>
          <w:rFonts w:asciiTheme="minorEastAsia" w:hAnsiTheme="minorEastAsia" w:eastAsiaTheme="minorEastAsia"/>
          <w:b/>
          <w:sz w:val="21"/>
          <w:szCs w:val="21"/>
        </w:rPr>
      </w:pPr>
      <w:r>
        <w:rPr>
          <w:rFonts w:hint="eastAsia" w:asciiTheme="minorEastAsia" w:hAnsiTheme="minorEastAsia" w:eastAsiaTheme="minorEastAsia"/>
          <w:b/>
          <w:sz w:val="21"/>
          <w:szCs w:val="21"/>
        </w:rPr>
        <w:t>（五）评标原则和评标办法</w:t>
      </w:r>
    </w:p>
    <w:p w14:paraId="200EC08F">
      <w:pPr>
        <w:pStyle w:val="12"/>
        <w:snapToGrid w:val="0"/>
        <w:spacing w:line="360" w:lineRule="exact"/>
        <w:ind w:firstLine="420" w:firstLineChars="200"/>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1.评标委员会必须公平、公正、客观，不带任何倾向性和启发性；不得向外界透露任何与评标有关的内容；任何单位和个人不得干扰、影响评标的正常进行；评标委员会及有关工作人员不得私下与投标人接触。</w:t>
      </w:r>
    </w:p>
    <w:p w14:paraId="7ECB1AA9">
      <w:pPr>
        <w:pStyle w:val="12"/>
        <w:snapToGrid w:val="0"/>
        <w:spacing w:line="360" w:lineRule="exact"/>
        <w:ind w:firstLine="520" w:firstLineChars="248"/>
        <w:rPr>
          <w:rFonts w:cs="宋体" w:asciiTheme="minorEastAsia" w:hAnsiTheme="minorEastAsia" w:eastAsiaTheme="minorEastAsia"/>
        </w:rPr>
      </w:pPr>
      <w:r>
        <w:rPr>
          <w:rFonts w:hint="eastAsia" w:cs="宋体" w:asciiTheme="minorEastAsia" w:hAnsiTheme="minorEastAsia" w:eastAsiaTheme="minorEastAsia"/>
          <w:sz w:val="21"/>
          <w:szCs w:val="21"/>
        </w:rPr>
        <w:t>2.评标办法。本项目评标办法是</w:t>
      </w:r>
      <w:r>
        <w:rPr>
          <w:rFonts w:hint="eastAsia" w:cs="宋体" w:asciiTheme="minorEastAsia" w:hAnsiTheme="minorEastAsia" w:eastAsiaTheme="minorEastAsia"/>
          <w:sz w:val="21"/>
          <w:szCs w:val="21"/>
          <w:u w:val="single"/>
        </w:rPr>
        <w:t>综合评分法</w:t>
      </w:r>
      <w:r>
        <w:rPr>
          <w:rFonts w:hint="eastAsia" w:cs="宋体" w:asciiTheme="minorEastAsia" w:hAnsiTheme="minorEastAsia" w:eastAsiaTheme="minorEastAsia"/>
          <w:sz w:val="21"/>
          <w:szCs w:val="21"/>
        </w:rPr>
        <w:t>，具体评标内容及评分标准等详见《第四章：评标办法及评分标准》。</w:t>
      </w:r>
    </w:p>
    <w:p w14:paraId="7BB83C05">
      <w:pPr>
        <w:pStyle w:val="12"/>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3、《政府采购货物和服务招标投标管理办法》</w:t>
      </w:r>
    </w:p>
    <w:p w14:paraId="7F4EF779">
      <w:pPr>
        <w:pStyle w:val="12"/>
        <w:snapToGrid w:val="0"/>
        <w:spacing w:line="400" w:lineRule="exact"/>
        <w:ind w:firstLine="420" w:firstLineChars="200"/>
        <w:rPr>
          <w:rFonts w:hint="eastAsia" w:ascii="宋体" w:hAnsi="宋体" w:eastAsia="宋体" w:cs="宋体"/>
          <w:color w:val="000000"/>
          <w:sz w:val="21"/>
          <w:szCs w:val="21"/>
        </w:rPr>
      </w:pPr>
      <w:r>
        <w:rPr>
          <w:rFonts w:hint="eastAsia" w:ascii="宋体" w:hAnsi="宋体" w:eastAsia="宋体" w:cs="宋体"/>
          <w:color w:val="000000"/>
          <w:sz w:val="21"/>
          <w:szCs w:val="21"/>
        </w:rPr>
        <w:t>第三十一条</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2AC86C2">
      <w:pPr>
        <w:pStyle w:val="12"/>
        <w:snapToGrid w:val="0"/>
        <w:spacing w:line="400" w:lineRule="exact"/>
        <w:ind w:firstLine="422" w:firstLineChars="200"/>
        <w:rPr>
          <w:rFonts w:hint="eastAsia" w:ascii="宋体" w:hAnsi="宋体" w:eastAsia="宋体" w:cs="宋体"/>
          <w:b/>
          <w:bCs/>
          <w:color w:val="000000"/>
          <w:sz w:val="21"/>
          <w:szCs w:val="21"/>
          <w:highlight w:val="none"/>
        </w:rPr>
      </w:pPr>
      <w:r>
        <w:rPr>
          <w:rFonts w:hint="eastAsia" w:ascii="宋体" w:hAnsi="宋体" w:eastAsia="宋体" w:cs="宋体"/>
          <w:b/>
          <w:bCs/>
          <w:color w:val="000000"/>
          <w:sz w:val="21"/>
          <w:szCs w:val="21"/>
          <w:highlight w:val="none"/>
        </w:rPr>
        <w:t>本项目核心产品：</w:t>
      </w:r>
      <w:r>
        <w:rPr>
          <w:rFonts w:hint="eastAsia" w:ascii="宋体" w:hAnsi="宋体" w:eastAsia="宋体" w:cs="宋体"/>
          <w:b/>
          <w:bCs/>
          <w:color w:val="000000"/>
          <w:sz w:val="21"/>
          <w:szCs w:val="21"/>
          <w:highlight w:val="none"/>
          <w:u w:val="single"/>
          <w:lang w:val="en-US" w:eastAsia="zh-CN"/>
        </w:rPr>
        <w:t>双8"线性阵列无源音箱、线性阵列次低音无源音箱、互动录播电脑主机</w:t>
      </w:r>
      <w:r>
        <w:rPr>
          <w:rFonts w:hint="eastAsia" w:ascii="宋体" w:hAnsi="宋体" w:eastAsia="宋体" w:cs="宋体"/>
          <w:b/>
          <w:bCs/>
          <w:color w:val="000000"/>
          <w:sz w:val="21"/>
          <w:szCs w:val="21"/>
          <w:highlight w:val="none"/>
        </w:rPr>
        <w:t>。核心产品同时为相同品牌时，符合第三十一条的规定。</w:t>
      </w:r>
    </w:p>
    <w:p w14:paraId="18996FF4">
      <w:pPr>
        <w:pStyle w:val="12"/>
        <w:snapToGrid w:val="0"/>
        <w:spacing w:line="400" w:lineRule="exact"/>
        <w:ind w:firstLine="420" w:firstLineChars="200"/>
        <w:rPr>
          <w:rFonts w:hAnsi="宋体" w:eastAsia="宋体" w:cs="宋体"/>
          <w:color w:val="000000"/>
          <w:sz w:val="21"/>
          <w:szCs w:val="21"/>
        </w:rPr>
      </w:pPr>
      <w:r>
        <w:rPr>
          <w:rFonts w:hint="eastAsia" w:ascii="宋体" w:hAnsi="宋体" w:eastAsia="宋体" w:cs="宋体"/>
          <w:color w:val="000000"/>
          <w:sz w:val="21"/>
          <w:szCs w:val="21"/>
        </w:rPr>
        <w:t>第四十三条：公</w:t>
      </w:r>
      <w:r>
        <w:rPr>
          <w:rFonts w:hint="eastAsia" w:hAnsi="宋体" w:eastAsia="宋体" w:cs="宋体"/>
          <w:color w:val="000000"/>
          <w:sz w:val="21"/>
          <w:szCs w:val="21"/>
        </w:rPr>
        <w:t>开招标数额标准以上的采购项目，投标截止后投标人不足3家或者通过资格审查或符合性审查的投标人不足3家的，除采购任务取消情形外，按照以下方式处理：</w:t>
      </w:r>
    </w:p>
    <w:p w14:paraId="76A37098">
      <w:pPr>
        <w:pStyle w:val="12"/>
        <w:snapToGrid w:val="0"/>
        <w:spacing w:line="400" w:lineRule="exact"/>
        <w:ind w:firstLine="420" w:firstLineChars="200"/>
        <w:rPr>
          <w:rFonts w:hAnsi="宋体" w:eastAsia="宋体" w:cs="宋体"/>
          <w:sz w:val="21"/>
          <w:szCs w:val="21"/>
        </w:rPr>
      </w:pPr>
      <w:r>
        <w:rPr>
          <w:rFonts w:hint="eastAsia" w:hAnsi="宋体" w:eastAsia="宋体" w:cs="宋体"/>
          <w:color w:val="000000"/>
          <w:sz w:val="21"/>
          <w:szCs w:val="21"/>
        </w:rPr>
        <w:t>（一）招标文件存在不合理条款或者招</w:t>
      </w:r>
      <w:r>
        <w:rPr>
          <w:rFonts w:hint="eastAsia" w:hAnsi="宋体" w:eastAsia="宋体" w:cs="宋体"/>
          <w:sz w:val="21"/>
          <w:szCs w:val="21"/>
        </w:rPr>
        <w:t>标程序不符合规定的，采购人、采购代理机构改正后依法重新招标；</w:t>
      </w:r>
    </w:p>
    <w:p w14:paraId="39CB77F5">
      <w:pPr>
        <w:pStyle w:val="12"/>
        <w:snapToGrid w:val="0"/>
        <w:spacing w:line="400" w:lineRule="exact"/>
        <w:ind w:firstLine="420" w:firstLineChars="200"/>
        <w:rPr>
          <w:rFonts w:hAnsi="宋体" w:eastAsia="宋体" w:cs="宋体"/>
          <w:sz w:val="21"/>
          <w:szCs w:val="21"/>
        </w:rPr>
      </w:pPr>
      <w:r>
        <w:rPr>
          <w:rFonts w:hint="eastAsia" w:hAnsi="宋体" w:eastAsia="宋体" w:cs="宋体"/>
          <w:sz w:val="21"/>
          <w:szCs w:val="21"/>
        </w:rPr>
        <w:t>（二）招标文件没有不合理条款、招标程序符合规定，需要采用其他采购人式采购的，采购人应当依法报财政部门批准。</w:t>
      </w:r>
    </w:p>
    <w:p w14:paraId="573E4587">
      <w:pPr>
        <w:snapToGrid w:val="0"/>
        <w:spacing w:line="360" w:lineRule="auto"/>
        <w:ind w:right="-87" w:firstLine="422" w:firstLineChars="200"/>
        <w:rPr>
          <w:rFonts w:hint="eastAsia" w:asciiTheme="minorEastAsia" w:hAnsiTheme="minorEastAsia" w:eastAsiaTheme="minorEastAsia"/>
          <w:b/>
          <w:szCs w:val="21"/>
        </w:rPr>
      </w:pPr>
    </w:p>
    <w:p w14:paraId="2617AAC9">
      <w:pPr>
        <w:snapToGrid w:val="0"/>
        <w:spacing w:line="360" w:lineRule="auto"/>
        <w:ind w:right="-87"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（六）评标过程的监控</w:t>
      </w:r>
    </w:p>
    <w:p w14:paraId="760038B9">
      <w:pPr>
        <w:pStyle w:val="52"/>
        <w:snapToGrid w:val="0"/>
        <w:spacing w:before="120" w:after="120" w:line="360" w:lineRule="auto"/>
        <w:ind w:left="0" w:leftChars="0" w:right="-87" w:firstLine="630" w:firstLineChars="300"/>
        <w:rPr>
          <w:rFonts w:cs="宋体" w:asciiTheme="minorEastAsia" w:hAnsiTheme="minorEastAsia" w:eastAsiaTheme="minorEastAsia"/>
          <w:sz w:val="21"/>
        </w:rPr>
      </w:pPr>
      <w:r>
        <w:rPr>
          <w:rFonts w:hint="eastAsia" w:cs="宋体" w:asciiTheme="minorEastAsia" w:hAnsiTheme="minorEastAsia" w:eastAsiaTheme="minorEastAsia"/>
          <w:sz w:val="21"/>
        </w:rPr>
        <w:t>本项目评标过程实行全程录音、录像监控。</w:t>
      </w:r>
    </w:p>
    <w:p w14:paraId="1210C966">
      <w:pPr>
        <w:pStyle w:val="52"/>
        <w:snapToGrid w:val="0"/>
        <w:spacing w:before="120" w:after="120" w:line="360" w:lineRule="auto"/>
        <w:ind w:left="0" w:leftChars="0" w:right="-506" w:rightChars="-241" w:firstLine="0" w:firstLineChars="0"/>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六．定标</w:t>
      </w:r>
    </w:p>
    <w:p w14:paraId="720B0D7A">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（一）确定中标人。本项目由采购人事先授权评审小组确定中标候选人3名。推荐第一名中标候选人为中标人，经采购人确认后，确定项目中标人，同时发布采购结果公告，发出中标通知书。</w:t>
      </w:r>
    </w:p>
    <w:p w14:paraId="6E0867E7">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1.采购代理机构在评标结束后在2个工作日内将评审报告交采购人确认。</w:t>
      </w:r>
    </w:p>
    <w:p w14:paraId="20380BD7">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2.投标人对评审结果无异议的，采购人应在收到评审报告后5个工作日内对评审结果进行确认。如有投标人对评审结果提出质疑的，采购人可在质疑处理完毕后确定中标人。</w:t>
      </w:r>
    </w:p>
    <w:p w14:paraId="470C862F">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3.采购人依法确定中标人后2个工作日内，采购代理机构以书面形式发出《中标通知书》,并同时在相关网站上发布中标公告。</w:t>
      </w:r>
    </w:p>
    <w:p w14:paraId="2F9B0195">
      <w:pPr>
        <w:pStyle w:val="12"/>
        <w:snapToGrid w:val="0"/>
        <w:spacing w:line="360" w:lineRule="auto"/>
        <w:ind w:firstLine="415" w:firstLineChars="198"/>
        <w:rPr>
          <w:rFonts w:asciiTheme="minorEastAsia" w:hAnsiTheme="minorEastAsia" w:eastAsiaTheme="minorEastAsia"/>
          <w:b/>
          <w:sz w:val="28"/>
        </w:rPr>
      </w:pPr>
      <w:r>
        <w:rPr>
          <w:rFonts w:hint="eastAsia" w:cs="宋体" w:asciiTheme="minorEastAsia" w:hAnsiTheme="minorEastAsia" w:eastAsiaTheme="minorEastAsia"/>
          <w:sz w:val="21"/>
          <w:szCs w:val="21"/>
        </w:rPr>
        <w:t>（二）中标人因自身原因放弃中标或因不可抗力不能履行合同的；经质疑，采购代理机构审查确认因中标人在本次采购活动中存在违法违规行为或其他原因使质疑成立的，如发生上述两种情况的，采购人可以与排位在中标人之后第一位的中标候选人签订采购合同，以此类推。</w:t>
      </w:r>
    </w:p>
    <w:p w14:paraId="0EE7C59D">
      <w:pPr>
        <w:pStyle w:val="52"/>
        <w:snapToGrid w:val="0"/>
        <w:spacing w:before="120" w:after="120" w:line="360" w:lineRule="auto"/>
        <w:ind w:right="-506" w:rightChars="-241" w:firstLine="3584" w:firstLineChars="1275"/>
        <w:jc w:val="both"/>
        <w:rPr>
          <w:rFonts w:asciiTheme="minorEastAsia" w:hAnsiTheme="minorEastAsia" w:eastAsiaTheme="minorEastAsia"/>
          <w:b/>
          <w:sz w:val="28"/>
          <w:szCs w:val="28"/>
        </w:rPr>
      </w:pPr>
      <w:r>
        <w:rPr>
          <w:rFonts w:hint="eastAsia" w:asciiTheme="minorEastAsia" w:hAnsiTheme="minorEastAsia" w:eastAsiaTheme="minorEastAsia"/>
          <w:b/>
          <w:sz w:val="28"/>
          <w:szCs w:val="28"/>
        </w:rPr>
        <w:t>七．合同授予</w:t>
      </w:r>
    </w:p>
    <w:p w14:paraId="70929925">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（一）签订合同</w:t>
      </w:r>
    </w:p>
    <w:p w14:paraId="1BAD4749">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1.中标人应自接到中标通知书后30日内与采购人签定合同。同时，采购代理机构对合同内容进行审查，如发现与采购结果和投标承诺内容不一致的，应予以纠正。</w:t>
      </w:r>
    </w:p>
    <w:p w14:paraId="0DEDC939">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2.中标人拖延、拒签合同的，将上报监管部门并取消中标资格。</w:t>
      </w:r>
    </w:p>
    <w:p w14:paraId="48640458">
      <w:pPr>
        <w:pStyle w:val="12"/>
        <w:snapToGrid w:val="0"/>
        <w:spacing w:line="360" w:lineRule="auto"/>
        <w:ind w:firstLine="415" w:firstLineChars="198"/>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（二）合同公告</w:t>
      </w:r>
    </w:p>
    <w:p w14:paraId="014E8D54">
      <w:pPr>
        <w:pStyle w:val="12"/>
        <w:snapToGrid w:val="0"/>
        <w:spacing w:line="360" w:lineRule="auto"/>
        <w:ind w:firstLine="415" w:firstLineChars="198"/>
        <w:rPr>
          <w:rFonts w:asciiTheme="minorEastAsia" w:hAnsiTheme="minorEastAsia" w:eastAsiaTheme="minorEastAsia"/>
          <w:sz w:val="21"/>
        </w:rPr>
      </w:pPr>
      <w:r>
        <w:rPr>
          <w:rFonts w:hint="eastAsia" w:cs="宋体" w:asciiTheme="minorEastAsia" w:hAnsiTheme="minorEastAsia" w:eastAsiaTheme="minorEastAsia"/>
          <w:sz w:val="21"/>
          <w:szCs w:val="21"/>
        </w:rPr>
        <w:t>采购人应当自政府采购合同签订之日起2个工作日内，将政府采购合同在省级以上人民政府财政部门指定的媒体上公告，但政府采购合同中涉及国家秘密、商业秘密的内容除外。</w:t>
      </w:r>
    </w:p>
    <w:p w14:paraId="27B9BBAC">
      <w:pPr>
        <w:pStyle w:val="52"/>
        <w:snapToGrid w:val="0"/>
        <w:spacing w:before="120" w:after="120" w:line="360" w:lineRule="auto"/>
        <w:ind w:right="-506" w:rightChars="-24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八．招标代理服务费</w:t>
      </w:r>
    </w:p>
    <w:p w14:paraId="03122DDF">
      <w:pPr>
        <w:pStyle w:val="52"/>
        <w:snapToGrid w:val="0"/>
        <w:spacing w:before="120" w:after="120" w:line="360" w:lineRule="auto"/>
        <w:ind w:firstLine="413" w:firstLineChars="196"/>
        <w:rPr>
          <w:rFonts w:asciiTheme="minorEastAsia" w:hAnsiTheme="minorEastAsia" w:eastAsiaTheme="minorEastAsia"/>
          <w:b/>
          <w:sz w:val="21"/>
          <w:szCs w:val="21"/>
        </w:rPr>
      </w:pPr>
      <w:r>
        <w:rPr>
          <w:rFonts w:hint="eastAsia" w:asciiTheme="minorEastAsia" w:hAnsiTheme="minorEastAsia" w:eastAsiaTheme="minorEastAsia"/>
          <w:b/>
          <w:sz w:val="21"/>
          <w:szCs w:val="21"/>
        </w:rPr>
        <w:t>（一）招标代理服务费</w:t>
      </w:r>
    </w:p>
    <w:p w14:paraId="351B3A90">
      <w:pPr>
        <w:pStyle w:val="12"/>
        <w:snapToGrid w:val="0"/>
        <w:spacing w:line="360" w:lineRule="auto"/>
        <w:ind w:firstLine="415" w:firstLineChars="198"/>
        <w:rPr>
          <w:rFonts w:hint="eastAsia" w:cs="宋体" w:asciiTheme="minorEastAsia" w:hAnsiTheme="minorEastAsia" w:eastAsiaTheme="minorEastAsia"/>
          <w:sz w:val="21"/>
          <w:szCs w:val="21"/>
          <w:highlight w:val="none"/>
          <w:lang w:val="zh-CN"/>
        </w:rPr>
      </w:pPr>
      <w:bookmarkStart w:id="2" w:name="_Toc480187579"/>
      <w:r>
        <w:rPr>
          <w:rFonts w:hint="eastAsia" w:cs="宋体" w:asciiTheme="minorEastAsia" w:hAnsiTheme="minorEastAsia" w:eastAsiaTheme="minorEastAsia"/>
          <w:sz w:val="21"/>
          <w:szCs w:val="21"/>
          <w:highlight w:val="none"/>
        </w:rPr>
        <w:t>本项目的采购代理费由中标方支付，收费金额为</w:t>
      </w:r>
      <w:r>
        <w:rPr>
          <w:rFonts w:hint="eastAsia" w:cs="宋体" w:asciiTheme="minorEastAsia" w:hAnsiTheme="minorEastAsia" w:eastAsiaTheme="minorEastAsia"/>
          <w:sz w:val="21"/>
          <w:szCs w:val="21"/>
          <w:highlight w:val="none"/>
          <w:lang w:val="en-US" w:eastAsia="zh-CN"/>
        </w:rPr>
        <w:t>10000</w:t>
      </w:r>
      <w:r>
        <w:rPr>
          <w:rFonts w:hint="eastAsia" w:cs="宋体" w:asciiTheme="minorEastAsia" w:hAnsiTheme="minorEastAsia" w:eastAsiaTheme="minorEastAsia"/>
          <w:sz w:val="21"/>
          <w:szCs w:val="21"/>
          <w:highlight w:val="none"/>
        </w:rPr>
        <w:t>元。</w:t>
      </w:r>
    </w:p>
    <w:p w14:paraId="659535D6">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lang w:val="zh-CN"/>
        </w:rPr>
        <w:t>支</w:t>
      </w:r>
      <w:r>
        <w:rPr>
          <w:rFonts w:hint="eastAsia" w:cs="宋体" w:asciiTheme="minorEastAsia" w:hAnsiTheme="minorEastAsia" w:eastAsiaTheme="minorEastAsia"/>
          <w:sz w:val="21"/>
          <w:szCs w:val="21"/>
        </w:rPr>
        <w:t>结算方式及时间为：在领取中标通知书之前由中标单位向</w:t>
      </w:r>
      <w:r>
        <w:rPr>
          <w:rFonts w:hint="eastAsia" w:cs="宋体" w:asciiTheme="minorEastAsia" w:hAnsiTheme="minorEastAsia" w:eastAsiaTheme="minorEastAsia"/>
          <w:sz w:val="21"/>
          <w:szCs w:val="21"/>
          <w:lang w:eastAsia="zh-CN"/>
        </w:rPr>
        <w:t>采购代理机构</w:t>
      </w:r>
      <w:r>
        <w:rPr>
          <w:rFonts w:hint="eastAsia" w:cs="宋体" w:asciiTheme="minorEastAsia" w:hAnsiTheme="minorEastAsia" w:eastAsiaTheme="minorEastAsia"/>
          <w:sz w:val="21"/>
          <w:szCs w:val="21"/>
        </w:rPr>
        <w:t>一次性付清。</w:t>
      </w:r>
    </w:p>
    <w:p w14:paraId="6677BDD4">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收款单位名称：舟山建银工程造价审查中心有限公司</w:t>
      </w:r>
    </w:p>
    <w:p w14:paraId="232B62BB">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开户银行：舟山市建行营业部</w:t>
      </w:r>
    </w:p>
    <w:p w14:paraId="710793FD">
      <w:pPr>
        <w:pStyle w:val="12"/>
        <w:snapToGrid w:val="0"/>
        <w:spacing w:line="360" w:lineRule="auto"/>
        <w:ind w:firstLine="415" w:firstLineChars="198"/>
        <w:rPr>
          <w:rFonts w:hint="eastAsia" w:cs="宋体" w:asciiTheme="minorEastAsia" w:hAnsiTheme="minorEastAsia" w:eastAsiaTheme="minorEastAsia"/>
          <w:sz w:val="21"/>
          <w:szCs w:val="21"/>
        </w:rPr>
      </w:pPr>
      <w:r>
        <w:rPr>
          <w:rFonts w:hint="eastAsia" w:cs="宋体" w:asciiTheme="minorEastAsia" w:hAnsiTheme="minorEastAsia" w:eastAsiaTheme="minorEastAsia"/>
          <w:sz w:val="21"/>
          <w:szCs w:val="21"/>
        </w:rPr>
        <w:t>银行账号：33001706260050001984</w:t>
      </w:r>
    </w:p>
    <w:p w14:paraId="5ECB1F62">
      <w:pPr>
        <w:pStyle w:val="12"/>
        <w:snapToGrid w:val="0"/>
        <w:spacing w:line="360" w:lineRule="auto"/>
        <w:ind w:firstLine="557" w:firstLineChars="198"/>
        <w:jc w:val="center"/>
        <w:rPr>
          <w:rFonts w:hint="eastAsia" w:asciiTheme="minorEastAsia" w:hAnsiTheme="minorEastAsia" w:eastAsiaTheme="minorEastAsia"/>
          <w:b/>
          <w:sz w:val="28"/>
          <w:szCs w:val="28"/>
        </w:rPr>
      </w:pPr>
    </w:p>
    <w:p w14:paraId="1C1E58C4">
      <w:pPr>
        <w:pStyle w:val="12"/>
        <w:snapToGrid w:val="0"/>
        <w:spacing w:line="360" w:lineRule="auto"/>
        <w:ind w:firstLine="557" w:firstLineChars="198"/>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九．解释权</w:t>
      </w:r>
      <w:bookmarkEnd w:id="2"/>
    </w:p>
    <w:p w14:paraId="1D799CC1">
      <w:pPr>
        <w:spacing w:line="360" w:lineRule="auto"/>
        <w:ind w:firstLine="420"/>
        <w:rPr>
          <w:rFonts w:asciiTheme="minorEastAsia" w:hAnsiTheme="minorEastAsia" w:eastAsiaTheme="minorEastAsia"/>
          <w:b/>
          <w:bCs/>
          <w:shd w:val="clear" w:color="auto" w:fill="FFFFFF"/>
        </w:rPr>
      </w:pPr>
      <w:r>
        <w:rPr>
          <w:rFonts w:hint="eastAsia" w:asciiTheme="minorEastAsia" w:hAnsiTheme="minorEastAsia" w:eastAsiaTheme="minorEastAsia"/>
          <w:b/>
          <w:bCs/>
          <w:shd w:val="clear" w:color="auto" w:fill="FFFFFF"/>
        </w:rPr>
        <w:t>1.解释权</w:t>
      </w:r>
    </w:p>
    <w:p w14:paraId="75A48192">
      <w:pPr>
        <w:adjustRightInd w:val="0"/>
        <w:snapToGrid w:val="0"/>
        <w:spacing w:line="360" w:lineRule="auto"/>
        <w:ind w:firstLine="420" w:firstLineChars="200"/>
        <w:rPr>
          <w:rFonts w:asciiTheme="minorEastAsia" w:hAnsiTheme="minorEastAsia" w:eastAsiaTheme="minorEastAsia"/>
          <w:snapToGrid w:val="0"/>
          <w:kern w:val="0"/>
          <w:szCs w:val="21"/>
        </w:rPr>
      </w:pPr>
      <w:r>
        <w:rPr>
          <w:rFonts w:hint="eastAsia" w:asciiTheme="minorEastAsia" w:hAnsiTheme="minorEastAsia" w:eastAsiaTheme="minorEastAsia"/>
          <w:snapToGrid w:val="0"/>
          <w:kern w:val="0"/>
          <w:szCs w:val="21"/>
        </w:rPr>
        <w:t>凡涉及本次采购文件的解释权均属于舟山建银工程造价审查中心有限公司。</w:t>
      </w:r>
    </w:p>
    <w:p w14:paraId="1D821C9B">
      <w:pPr>
        <w:pStyle w:val="52"/>
        <w:snapToGrid w:val="0"/>
        <w:spacing w:before="120" w:after="120" w:line="360" w:lineRule="auto"/>
        <w:ind w:right="-87"/>
        <w:rPr>
          <w:rFonts w:asciiTheme="minorEastAsia" w:hAnsiTheme="minorEastAsia" w:eastAsiaTheme="minorEastAsia"/>
        </w:rPr>
        <w:sectPr>
          <w:pgSz w:w="11906" w:h="16838"/>
          <w:pgMar w:top="1104" w:right="1531" w:bottom="1304" w:left="1531" w:header="1304" w:footer="1304" w:gutter="0"/>
          <w:cols w:space="720" w:num="1"/>
        </w:sectPr>
      </w:pPr>
    </w:p>
    <w:p w14:paraId="5B77ABF2">
      <w:pPr>
        <w:pStyle w:val="12"/>
        <w:pageBreakBefore/>
        <w:snapToGrid w:val="0"/>
        <w:spacing w:before="120" w:line="360" w:lineRule="auto"/>
        <w:jc w:val="center"/>
        <w:outlineLvl w:val="0"/>
        <w:rPr>
          <w:rFonts w:ascii="黑体" w:hAnsi="宋体" w:eastAsia="黑体"/>
        </w:rPr>
      </w:pPr>
      <w:r>
        <w:rPr>
          <w:rFonts w:hint="eastAsia" w:ascii="黑体" w:hAnsi="宋体" w:eastAsia="黑体"/>
        </w:rPr>
        <w:t>第四章  评标办法及评分标准</w:t>
      </w:r>
    </w:p>
    <w:p w14:paraId="61940BB5">
      <w:pPr>
        <w:pStyle w:val="12"/>
        <w:snapToGrid w:val="0"/>
        <w:spacing w:before="120" w:line="336" w:lineRule="auto"/>
        <w:ind w:right="-87" w:firstLine="148" w:firstLineChars="49"/>
        <w:jc w:val="center"/>
        <w:rPr>
          <w:rFonts w:asciiTheme="minorEastAsia" w:hAnsiTheme="minorEastAsia" w:eastAsiaTheme="minorEastAsia"/>
        </w:rPr>
      </w:pPr>
      <w:r>
        <w:rPr>
          <w:rFonts w:hint="eastAsia" w:asciiTheme="minorEastAsia" w:hAnsiTheme="minorEastAsia" w:eastAsiaTheme="minorEastAsia"/>
          <w:b/>
        </w:rPr>
        <w:t>综合评分法</w:t>
      </w:r>
    </w:p>
    <w:p w14:paraId="141879B2">
      <w:pPr>
        <w:keepNext w:val="0"/>
        <w:keepLines w:val="0"/>
        <w:pageBreakBefore w:val="0"/>
        <w:kinsoku/>
        <w:wordWrap/>
        <w:overflowPunct/>
        <w:topLinePunct w:val="0"/>
        <w:bidi w:val="0"/>
        <w:snapToGrid w:val="0"/>
        <w:spacing w:line="400" w:lineRule="exact"/>
        <w:ind w:right="-87" w:firstLine="420"/>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为公正、公平、科学地选择中标人，根据《中华人民共和国政府采购法》等有关法律法规的规定，并结合本项目的实际，制定本办法。</w:t>
      </w:r>
    </w:p>
    <w:p w14:paraId="4EFDEEEB">
      <w:pPr>
        <w:keepNext w:val="0"/>
        <w:keepLines w:val="0"/>
        <w:pageBreakBefore w:val="0"/>
        <w:kinsoku/>
        <w:wordWrap/>
        <w:overflowPunct/>
        <w:topLinePunct w:val="0"/>
        <w:bidi w:val="0"/>
        <w:snapToGrid w:val="0"/>
        <w:spacing w:line="400" w:lineRule="exact"/>
        <w:ind w:right="-87" w:firstLine="420" w:firstLineChars="200"/>
        <w:textAlignment w:val="auto"/>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本办法适用于</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sz w:val="21"/>
          <w:szCs w:val="21"/>
          <w:u w:val="single"/>
          <w:shd w:val="clear" w:color="auto" w:fill="FFFFFF"/>
        </w:rPr>
        <w:t>舟山第一小学勾山校区新建学校报告厅、录播室、会议室、室外舞台音响灯光设备设施采购项目</w:t>
      </w:r>
      <w:r>
        <w:rPr>
          <w:rFonts w:hint="eastAsia" w:asciiTheme="minorEastAsia" w:hAnsiTheme="minorEastAsia" w:eastAsiaTheme="minorEastAsia" w:cstheme="minorEastAsia"/>
          <w:u w:val="single"/>
        </w:rPr>
        <w:t xml:space="preserve"> </w:t>
      </w:r>
      <w:r>
        <w:rPr>
          <w:rFonts w:hint="eastAsia" w:asciiTheme="minorEastAsia" w:hAnsiTheme="minorEastAsia" w:eastAsiaTheme="minorEastAsia" w:cstheme="minorEastAsia"/>
          <w:szCs w:val="21"/>
        </w:rPr>
        <w:t>。</w:t>
      </w:r>
    </w:p>
    <w:p w14:paraId="118B0D69">
      <w:pPr>
        <w:keepNext w:val="0"/>
        <w:keepLines w:val="0"/>
        <w:pageBreakBefore w:val="0"/>
        <w:kinsoku/>
        <w:wordWrap/>
        <w:overflowPunct/>
        <w:topLinePunct w:val="0"/>
        <w:bidi w:val="0"/>
        <w:snapToGrid w:val="0"/>
        <w:spacing w:line="400" w:lineRule="exact"/>
        <w:ind w:left="756" w:leftChars="114" w:right="-87" w:hanging="517" w:hangingChars="245"/>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rPr>
        <w:t>中标依据：</w:t>
      </w:r>
      <w:r>
        <w:rPr>
          <w:rFonts w:hint="eastAsia" w:asciiTheme="minorEastAsia" w:hAnsiTheme="minorEastAsia" w:eastAsiaTheme="minorEastAsia" w:cstheme="minorEastAsia"/>
        </w:rPr>
        <w:t>在不高于</w:t>
      </w:r>
      <w:r>
        <w:rPr>
          <w:rFonts w:hint="eastAsia" w:asciiTheme="minorEastAsia" w:hAnsiTheme="minorEastAsia" w:eastAsiaTheme="minorEastAsia" w:cstheme="minorEastAsia"/>
          <w:u w:val="single"/>
        </w:rPr>
        <w:t>最高限价</w:t>
      </w:r>
      <w:r>
        <w:rPr>
          <w:rFonts w:hint="eastAsia" w:asciiTheme="minorEastAsia" w:hAnsiTheme="minorEastAsia" w:eastAsiaTheme="minorEastAsia" w:cstheme="minorEastAsia"/>
        </w:rPr>
        <w:t>的前提下，</w:t>
      </w:r>
      <w:r>
        <w:rPr>
          <w:rFonts w:hint="eastAsia" w:asciiTheme="minorEastAsia" w:hAnsiTheme="minorEastAsia" w:eastAsiaTheme="minorEastAsia" w:cstheme="minorEastAsia"/>
          <w:u w:val="single"/>
        </w:rPr>
        <w:t>综合评分</w:t>
      </w:r>
      <w:r>
        <w:rPr>
          <w:rFonts w:hint="eastAsia" w:asciiTheme="minorEastAsia" w:hAnsiTheme="minorEastAsia" w:eastAsiaTheme="minorEastAsia" w:cstheme="minorEastAsia"/>
        </w:rPr>
        <w:t xml:space="preserve">最高者为中标候选人。 </w:t>
      </w:r>
    </w:p>
    <w:p w14:paraId="3FE782AF">
      <w:pPr>
        <w:keepNext w:val="0"/>
        <w:keepLines w:val="0"/>
        <w:pageBreakBefore w:val="0"/>
        <w:kinsoku/>
        <w:wordWrap/>
        <w:overflowPunct/>
        <w:topLinePunct w:val="0"/>
        <w:bidi w:val="0"/>
        <w:snapToGrid w:val="0"/>
        <w:spacing w:line="400" w:lineRule="exact"/>
        <w:ind w:left="756" w:leftChars="114" w:right="-87" w:hanging="517" w:hangingChars="245"/>
        <w:textAlignment w:val="auto"/>
        <w:rPr>
          <w:rFonts w:asciiTheme="minorEastAsia" w:hAnsiTheme="minorEastAsia" w:eastAsiaTheme="minorEastAsia" w:cstheme="minorEastAsia"/>
        </w:rPr>
      </w:pPr>
      <w:r>
        <w:rPr>
          <w:rFonts w:hint="eastAsia" w:asciiTheme="minorEastAsia" w:hAnsiTheme="minorEastAsia" w:eastAsiaTheme="minorEastAsia" w:cstheme="minorEastAsia"/>
          <w:b/>
          <w:u w:val="none"/>
        </w:rPr>
        <w:t>最高限价：</w:t>
      </w:r>
      <w:r>
        <w:rPr>
          <w:rFonts w:hint="eastAsia" w:asciiTheme="minorEastAsia" w:hAnsiTheme="minorEastAsia" w:eastAsiaTheme="minorEastAsia" w:cstheme="minorEastAsia"/>
          <w:b/>
          <w:u w:val="single"/>
          <w:lang w:val="en-US" w:eastAsia="zh-CN"/>
        </w:rPr>
        <w:t>850000</w:t>
      </w:r>
      <w:r>
        <w:rPr>
          <w:rFonts w:hint="eastAsia" w:asciiTheme="minorEastAsia" w:hAnsiTheme="minorEastAsia" w:eastAsiaTheme="minorEastAsia" w:cstheme="minorEastAsia"/>
          <w:b/>
          <w:u w:val="single"/>
        </w:rPr>
        <w:t>元。</w:t>
      </w:r>
    </w:p>
    <w:p w14:paraId="77673EAD">
      <w:pPr>
        <w:keepNext w:val="0"/>
        <w:keepLines w:val="0"/>
        <w:pageBreakBefore w:val="0"/>
        <w:widowControl w:val="0"/>
        <w:kinsoku/>
        <w:wordWrap/>
        <w:overflowPunct/>
        <w:topLinePunct w:val="0"/>
        <w:autoSpaceDE w:val="0"/>
        <w:autoSpaceDN w:val="0"/>
        <w:bidi w:val="0"/>
        <w:adjustRightInd w:val="0"/>
        <w:spacing w:line="400" w:lineRule="exact"/>
        <w:jc w:val="both"/>
        <w:textAlignment w:val="auto"/>
        <w:rPr>
          <w:rFonts w:ascii="宋体" w:hAnsi="宋体" w:cs="宋体"/>
          <w:b/>
          <w:szCs w:val="21"/>
        </w:rPr>
      </w:pPr>
      <w:r>
        <w:rPr>
          <w:rFonts w:hint="eastAsia" w:ascii="宋体" w:hAnsi="宋体" w:cs="宋体"/>
          <w:b/>
          <w:szCs w:val="21"/>
        </w:rPr>
        <w:t>一、资格审查</w:t>
      </w:r>
    </w:p>
    <w:p w14:paraId="4DDB6945">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lang w:val="zh-CN"/>
        </w:rPr>
      </w:pPr>
      <w:r>
        <w:rPr>
          <w:rFonts w:hint="eastAsia" w:ascii="宋体" w:hAnsi="宋体" w:cs="宋体"/>
          <w:szCs w:val="21"/>
          <w:lang w:val="zh-CN"/>
        </w:rPr>
        <w:t>1、由采购代理机构对投标人的资格进行审查。</w:t>
      </w:r>
    </w:p>
    <w:p w14:paraId="10EA5A72">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hint="eastAsia" w:ascii="宋体" w:hAnsi="宋体" w:cs="宋体"/>
          <w:szCs w:val="21"/>
          <w:lang w:val="zh-CN"/>
        </w:rPr>
      </w:pPr>
      <w:r>
        <w:rPr>
          <w:rFonts w:hint="eastAsia" w:ascii="宋体" w:hAnsi="宋体" w:cs="宋体"/>
          <w:szCs w:val="21"/>
          <w:lang w:val="zh-CN"/>
        </w:rPr>
        <w:t>2、按以下内容审核投标文件是否符合招标文件的资格文件要求。</w:t>
      </w:r>
    </w:p>
    <w:tbl>
      <w:tblPr>
        <w:tblStyle w:val="28"/>
        <w:tblpPr w:leftFromText="180" w:rightFromText="180" w:vertAnchor="text" w:tblpXSpec="center" w:tblpY="1"/>
        <w:tblOverlap w:val="never"/>
        <w:tblW w:w="8996" w:type="dxa"/>
        <w:tblInd w:w="26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7"/>
        <w:gridCol w:w="6675"/>
        <w:gridCol w:w="1264"/>
      </w:tblGrid>
      <w:tr w14:paraId="0E1D5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1057" w:type="dxa"/>
            <w:vAlign w:val="center"/>
          </w:tcPr>
          <w:p w14:paraId="6B5EEF11">
            <w:pPr>
              <w:widowControl w:val="0"/>
              <w:spacing w:line="400" w:lineRule="exact"/>
              <w:jc w:val="center"/>
              <w:rPr>
                <w:rFonts w:ascii="宋体" w:hAnsi="宋体" w:eastAsia="宋体" w:cs="宋体"/>
                <w:b/>
                <w:szCs w:val="21"/>
              </w:rPr>
            </w:pPr>
            <w:r>
              <w:rPr>
                <w:rFonts w:hint="eastAsia" w:ascii="宋体" w:hAnsi="宋体" w:eastAsia="宋体" w:cs="宋体"/>
                <w:b/>
                <w:szCs w:val="21"/>
              </w:rPr>
              <w:t>序号</w:t>
            </w:r>
          </w:p>
        </w:tc>
        <w:tc>
          <w:tcPr>
            <w:tcW w:w="6675" w:type="dxa"/>
            <w:tcBorders>
              <w:tl2br w:val="single" w:color="auto" w:sz="4" w:space="0"/>
            </w:tcBorders>
          </w:tcPr>
          <w:p w14:paraId="46552C48">
            <w:pPr>
              <w:widowControl w:val="0"/>
              <w:spacing w:line="400" w:lineRule="exact"/>
              <w:jc w:val="right"/>
              <w:rPr>
                <w:rFonts w:ascii="宋体" w:hAnsi="宋体" w:eastAsia="宋体" w:cs="宋体"/>
                <w:b/>
                <w:szCs w:val="21"/>
              </w:rPr>
            </w:pPr>
            <w:r>
              <w:rPr>
                <w:rFonts w:hint="eastAsia" w:ascii="宋体" w:hAnsi="宋体" w:eastAsia="宋体" w:cs="宋体"/>
                <w:b/>
                <w:szCs w:val="21"/>
              </w:rPr>
              <w:t>投标人</w:t>
            </w:r>
          </w:p>
          <w:p w14:paraId="339DA908">
            <w:pPr>
              <w:widowControl w:val="0"/>
              <w:spacing w:line="400" w:lineRule="exact"/>
              <w:jc w:val="both"/>
              <w:rPr>
                <w:rFonts w:ascii="宋体" w:hAnsi="宋体" w:eastAsia="宋体" w:cs="宋体"/>
                <w:b/>
                <w:szCs w:val="21"/>
              </w:rPr>
            </w:pPr>
            <w:r>
              <w:rPr>
                <w:rFonts w:hint="eastAsia" w:ascii="宋体" w:hAnsi="宋体" w:eastAsia="宋体" w:cs="宋体"/>
                <w:b/>
                <w:szCs w:val="21"/>
              </w:rPr>
              <w:t>内容</w:t>
            </w:r>
          </w:p>
        </w:tc>
        <w:tc>
          <w:tcPr>
            <w:tcW w:w="1264" w:type="dxa"/>
            <w:vAlign w:val="center"/>
          </w:tcPr>
          <w:p w14:paraId="55642478">
            <w:pPr>
              <w:widowControl w:val="0"/>
              <w:spacing w:line="400" w:lineRule="exact"/>
              <w:jc w:val="center"/>
              <w:rPr>
                <w:rFonts w:ascii="宋体" w:hAnsi="宋体" w:eastAsia="宋体" w:cs="宋体"/>
                <w:b/>
                <w:szCs w:val="21"/>
              </w:rPr>
            </w:pPr>
            <w:r>
              <w:rPr>
                <w:rFonts w:hint="eastAsia" w:ascii="宋体" w:hAnsi="宋体" w:eastAsia="宋体" w:cs="宋体"/>
                <w:b/>
                <w:szCs w:val="21"/>
              </w:rPr>
              <w:t>审核标准</w:t>
            </w:r>
          </w:p>
        </w:tc>
      </w:tr>
      <w:tr w14:paraId="17953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35D6871E">
            <w:pPr>
              <w:widowControl w:val="0"/>
              <w:spacing w:line="400" w:lineRule="exact"/>
              <w:jc w:val="center"/>
              <w:rPr>
                <w:rFonts w:ascii="宋体" w:hAnsi="宋体" w:eastAsia="宋体" w:cs="宋体"/>
                <w:szCs w:val="21"/>
              </w:rPr>
            </w:pPr>
            <w:r>
              <w:rPr>
                <w:rFonts w:hint="eastAsia" w:ascii="宋体" w:hAnsi="宋体" w:eastAsia="宋体" w:cs="宋体"/>
                <w:szCs w:val="21"/>
              </w:rPr>
              <w:t>1</w:t>
            </w:r>
          </w:p>
        </w:tc>
        <w:tc>
          <w:tcPr>
            <w:tcW w:w="6675" w:type="dxa"/>
            <w:vAlign w:val="center"/>
          </w:tcPr>
          <w:p w14:paraId="223237A8">
            <w:pPr>
              <w:widowControl w:val="0"/>
              <w:spacing w:line="400" w:lineRule="exact"/>
              <w:jc w:val="both"/>
              <w:rPr>
                <w:rFonts w:ascii="宋体" w:hAnsi="宋体" w:eastAsia="宋体" w:cs="宋体"/>
                <w:szCs w:val="21"/>
              </w:rPr>
            </w:pPr>
            <w:r>
              <w:rPr>
                <w:rFonts w:hint="eastAsia" w:ascii="Calibri" w:hAnsi="Calibri" w:eastAsia="宋体" w:cs="Times New Roman"/>
              </w:rPr>
              <w:t>符合《中华人民共和国政府采购法》第22条规定的要求；</w:t>
            </w:r>
          </w:p>
        </w:tc>
        <w:tc>
          <w:tcPr>
            <w:tcW w:w="1264" w:type="dxa"/>
            <w:vAlign w:val="center"/>
          </w:tcPr>
          <w:p w14:paraId="4C9A0AFA">
            <w:pPr>
              <w:widowControl w:val="0"/>
              <w:spacing w:line="400" w:lineRule="exact"/>
              <w:jc w:val="center"/>
              <w:rPr>
                <w:rFonts w:ascii="宋体" w:hAnsi="宋体" w:eastAsia="宋体" w:cs="宋体"/>
                <w:szCs w:val="21"/>
              </w:rPr>
            </w:pPr>
          </w:p>
        </w:tc>
      </w:tr>
      <w:tr w14:paraId="3F8F2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17865B6A">
            <w:pPr>
              <w:widowControl w:val="0"/>
              <w:spacing w:line="400" w:lineRule="exact"/>
              <w:jc w:val="center"/>
              <w:rPr>
                <w:rFonts w:ascii="宋体" w:hAnsi="宋体" w:eastAsia="宋体" w:cs="宋体"/>
                <w:szCs w:val="21"/>
              </w:rPr>
            </w:pPr>
            <w:r>
              <w:rPr>
                <w:rFonts w:hint="eastAsia" w:ascii="宋体" w:hAnsi="宋体" w:eastAsia="宋体" w:cs="宋体"/>
                <w:szCs w:val="21"/>
              </w:rPr>
              <w:t>2</w:t>
            </w:r>
          </w:p>
        </w:tc>
        <w:tc>
          <w:tcPr>
            <w:tcW w:w="6675" w:type="dxa"/>
            <w:vAlign w:val="center"/>
          </w:tcPr>
          <w:p w14:paraId="54EF4ED3">
            <w:pPr>
              <w:widowControl w:val="0"/>
              <w:spacing w:line="400" w:lineRule="exact"/>
              <w:jc w:val="both"/>
              <w:rPr>
                <w:rFonts w:ascii="宋体" w:hAnsi="宋体" w:eastAsia="宋体" w:cs="宋体"/>
                <w:szCs w:val="21"/>
              </w:rPr>
            </w:pPr>
            <w:r>
              <w:rPr>
                <w:rFonts w:hint="eastAsia" w:ascii="宋体" w:hAnsi="Calibri" w:eastAsia="宋体" w:cs="Times New Roman"/>
                <w:szCs w:val="22"/>
              </w:rPr>
              <w:t>符合参加政府采购活动应当具备的一般条件的承诺函；</w:t>
            </w:r>
          </w:p>
        </w:tc>
        <w:tc>
          <w:tcPr>
            <w:tcW w:w="1264" w:type="dxa"/>
            <w:vAlign w:val="center"/>
          </w:tcPr>
          <w:p w14:paraId="69A328C0">
            <w:pPr>
              <w:widowControl w:val="0"/>
              <w:spacing w:line="400" w:lineRule="exact"/>
              <w:jc w:val="center"/>
              <w:rPr>
                <w:rFonts w:ascii="宋体" w:hAnsi="宋体" w:eastAsia="宋体" w:cs="宋体"/>
                <w:szCs w:val="21"/>
              </w:rPr>
            </w:pPr>
          </w:p>
        </w:tc>
      </w:tr>
      <w:tr w14:paraId="7F27E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2A017D4F">
            <w:pPr>
              <w:widowControl w:val="0"/>
              <w:spacing w:line="400" w:lineRule="exact"/>
              <w:jc w:val="center"/>
              <w:rPr>
                <w:rFonts w:ascii="宋体" w:hAnsi="宋体" w:eastAsia="宋体" w:cs="宋体"/>
                <w:szCs w:val="21"/>
              </w:rPr>
            </w:pPr>
            <w:r>
              <w:rPr>
                <w:rFonts w:hint="eastAsia" w:ascii="宋体" w:hAnsi="宋体" w:eastAsia="宋体" w:cs="宋体"/>
                <w:szCs w:val="21"/>
              </w:rPr>
              <w:t>3</w:t>
            </w:r>
          </w:p>
        </w:tc>
        <w:tc>
          <w:tcPr>
            <w:tcW w:w="6675" w:type="dxa"/>
            <w:vAlign w:val="center"/>
          </w:tcPr>
          <w:p w14:paraId="32504B0A">
            <w:pPr>
              <w:widowControl w:val="0"/>
              <w:spacing w:line="400" w:lineRule="exact"/>
              <w:jc w:val="both"/>
              <w:rPr>
                <w:rFonts w:ascii="宋体" w:hAnsi="Calibri" w:eastAsia="宋体" w:cs="Times New Roman"/>
                <w:szCs w:val="22"/>
              </w:rPr>
            </w:pPr>
            <w:r>
              <w:rPr>
                <w:rFonts w:hint="eastAsia" w:ascii="Calibri" w:hAnsi="宋体" w:eastAsia="宋体" w:cs="宋体"/>
                <w:szCs w:val="21"/>
              </w:rPr>
              <w:t>投标函；</w:t>
            </w:r>
          </w:p>
        </w:tc>
        <w:tc>
          <w:tcPr>
            <w:tcW w:w="1264" w:type="dxa"/>
            <w:vAlign w:val="center"/>
          </w:tcPr>
          <w:p w14:paraId="3B0F51F9">
            <w:pPr>
              <w:widowControl w:val="0"/>
              <w:spacing w:line="400" w:lineRule="exact"/>
              <w:jc w:val="center"/>
              <w:rPr>
                <w:rFonts w:ascii="宋体" w:hAnsi="宋体" w:eastAsia="宋体" w:cs="宋体"/>
                <w:szCs w:val="21"/>
              </w:rPr>
            </w:pPr>
          </w:p>
        </w:tc>
      </w:tr>
      <w:tr w14:paraId="2CDA22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9" w:hRule="atLeast"/>
        </w:trPr>
        <w:tc>
          <w:tcPr>
            <w:tcW w:w="1057" w:type="dxa"/>
            <w:vAlign w:val="center"/>
          </w:tcPr>
          <w:p w14:paraId="20F12C1F">
            <w:pPr>
              <w:widowControl w:val="0"/>
              <w:spacing w:line="400" w:lineRule="exact"/>
              <w:jc w:val="center"/>
              <w:rPr>
                <w:rFonts w:ascii="宋体" w:hAnsi="宋体" w:eastAsia="宋体" w:cs="宋体"/>
                <w:szCs w:val="21"/>
              </w:rPr>
            </w:pPr>
            <w:r>
              <w:rPr>
                <w:rFonts w:hint="eastAsia" w:ascii="宋体" w:hAnsi="宋体" w:eastAsia="宋体" w:cs="宋体"/>
                <w:szCs w:val="21"/>
              </w:rPr>
              <w:t>4</w:t>
            </w:r>
          </w:p>
        </w:tc>
        <w:tc>
          <w:tcPr>
            <w:tcW w:w="6675" w:type="dxa"/>
            <w:vAlign w:val="center"/>
          </w:tcPr>
          <w:p w14:paraId="3180DFF4">
            <w:pPr>
              <w:widowControl w:val="0"/>
              <w:spacing w:line="400" w:lineRule="exact"/>
              <w:jc w:val="both"/>
              <w:rPr>
                <w:rFonts w:ascii="宋体" w:hAnsi="Calibri" w:eastAsia="宋体" w:cs="Times New Roman"/>
                <w:szCs w:val="22"/>
              </w:rPr>
            </w:pPr>
            <w:r>
              <w:rPr>
                <w:rFonts w:hint="eastAsia" w:ascii="宋体" w:hAnsi="Calibri" w:eastAsia="宋体" w:cs="Times New Roman"/>
                <w:szCs w:val="22"/>
              </w:rPr>
              <w:t>声明函；</w:t>
            </w:r>
          </w:p>
        </w:tc>
        <w:tc>
          <w:tcPr>
            <w:tcW w:w="1264" w:type="dxa"/>
            <w:vAlign w:val="center"/>
          </w:tcPr>
          <w:p w14:paraId="57B494FD">
            <w:pPr>
              <w:widowControl w:val="0"/>
              <w:spacing w:line="400" w:lineRule="exact"/>
              <w:jc w:val="center"/>
              <w:rPr>
                <w:rFonts w:ascii="宋体" w:hAnsi="宋体" w:eastAsia="宋体" w:cs="宋体"/>
                <w:szCs w:val="21"/>
              </w:rPr>
            </w:pPr>
          </w:p>
        </w:tc>
      </w:tr>
      <w:tr w14:paraId="30E30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7" w:type="dxa"/>
            <w:vAlign w:val="center"/>
          </w:tcPr>
          <w:p w14:paraId="3ADBCE64">
            <w:pPr>
              <w:widowControl w:val="0"/>
              <w:spacing w:line="400" w:lineRule="exact"/>
              <w:jc w:val="center"/>
              <w:rPr>
                <w:rFonts w:ascii="宋体" w:hAnsi="宋体" w:eastAsia="宋体" w:cs="宋体"/>
                <w:szCs w:val="21"/>
              </w:rPr>
            </w:pPr>
            <w:r>
              <w:rPr>
                <w:rFonts w:hint="eastAsia" w:ascii="宋体" w:hAnsi="宋体" w:eastAsia="宋体" w:cs="宋体"/>
                <w:szCs w:val="21"/>
              </w:rPr>
              <w:t>5</w:t>
            </w:r>
          </w:p>
        </w:tc>
        <w:tc>
          <w:tcPr>
            <w:tcW w:w="6675" w:type="dxa"/>
            <w:vAlign w:val="center"/>
          </w:tcPr>
          <w:p w14:paraId="51084860">
            <w:pPr>
              <w:widowControl w:val="0"/>
              <w:spacing w:line="400" w:lineRule="exact"/>
              <w:jc w:val="both"/>
              <w:rPr>
                <w:rFonts w:ascii="宋体" w:hAnsi="宋体" w:eastAsia="宋体" w:cs="宋体"/>
                <w:szCs w:val="21"/>
              </w:rPr>
            </w:pPr>
            <w:r>
              <w:rPr>
                <w:rFonts w:hint="eastAsia" w:ascii="宋体" w:hAnsi="宋体" w:eastAsia="宋体" w:cs="宋体"/>
                <w:szCs w:val="21"/>
              </w:rPr>
              <w:t>投标人法定代表人身份证复印件；</w:t>
            </w:r>
          </w:p>
        </w:tc>
        <w:tc>
          <w:tcPr>
            <w:tcW w:w="1264" w:type="dxa"/>
            <w:vAlign w:val="center"/>
          </w:tcPr>
          <w:p w14:paraId="288D5EFE">
            <w:pPr>
              <w:widowControl w:val="0"/>
              <w:spacing w:line="400" w:lineRule="exact"/>
              <w:jc w:val="center"/>
              <w:rPr>
                <w:rFonts w:ascii="宋体" w:hAnsi="宋体" w:eastAsia="宋体" w:cs="宋体"/>
                <w:szCs w:val="21"/>
              </w:rPr>
            </w:pPr>
          </w:p>
        </w:tc>
      </w:tr>
      <w:tr w14:paraId="7AB0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57" w:type="dxa"/>
            <w:vAlign w:val="center"/>
          </w:tcPr>
          <w:p w14:paraId="77F74AAD">
            <w:pPr>
              <w:widowControl w:val="0"/>
              <w:spacing w:line="400" w:lineRule="exact"/>
              <w:jc w:val="center"/>
              <w:rPr>
                <w:rFonts w:ascii="宋体" w:hAnsi="宋体" w:eastAsia="宋体" w:cs="宋体"/>
                <w:szCs w:val="21"/>
              </w:rPr>
            </w:pPr>
            <w:r>
              <w:rPr>
                <w:rFonts w:hint="eastAsia" w:ascii="宋体" w:hAnsi="宋体" w:eastAsia="宋体" w:cs="宋体"/>
                <w:szCs w:val="21"/>
              </w:rPr>
              <w:t>6</w:t>
            </w:r>
          </w:p>
        </w:tc>
        <w:tc>
          <w:tcPr>
            <w:tcW w:w="6675" w:type="dxa"/>
            <w:vAlign w:val="center"/>
          </w:tcPr>
          <w:p w14:paraId="3119C863">
            <w:pPr>
              <w:widowControl w:val="0"/>
              <w:spacing w:line="400" w:lineRule="exact"/>
              <w:jc w:val="both"/>
              <w:rPr>
                <w:rFonts w:ascii="宋体" w:hAnsi="宋体" w:eastAsia="宋体" w:cs="宋体"/>
                <w:szCs w:val="21"/>
              </w:rPr>
            </w:pPr>
            <w:r>
              <w:rPr>
                <w:rFonts w:hint="eastAsia" w:ascii="宋体" w:hAnsi="宋体" w:eastAsia="宋体" w:cs="宋体"/>
                <w:szCs w:val="21"/>
              </w:rPr>
              <w:t>法定代表人授权函，非法定代表人参加投标时提供；</w:t>
            </w:r>
          </w:p>
        </w:tc>
        <w:tc>
          <w:tcPr>
            <w:tcW w:w="1264" w:type="dxa"/>
            <w:vAlign w:val="center"/>
          </w:tcPr>
          <w:p w14:paraId="445807CD">
            <w:pPr>
              <w:widowControl w:val="0"/>
              <w:spacing w:line="400" w:lineRule="exact"/>
              <w:jc w:val="center"/>
              <w:rPr>
                <w:rFonts w:ascii="宋体" w:hAnsi="宋体" w:eastAsia="宋体" w:cs="宋体"/>
                <w:szCs w:val="21"/>
              </w:rPr>
            </w:pPr>
          </w:p>
        </w:tc>
      </w:tr>
      <w:tr w14:paraId="3A37A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57" w:type="dxa"/>
            <w:vAlign w:val="center"/>
          </w:tcPr>
          <w:p w14:paraId="4AB1B8C3">
            <w:pPr>
              <w:widowControl w:val="0"/>
              <w:spacing w:line="400" w:lineRule="exact"/>
              <w:jc w:val="center"/>
              <w:rPr>
                <w:rFonts w:ascii="宋体" w:hAnsi="宋体" w:eastAsia="宋体" w:cs="宋体"/>
                <w:szCs w:val="21"/>
              </w:rPr>
            </w:pPr>
            <w:r>
              <w:rPr>
                <w:rFonts w:hint="eastAsia" w:ascii="宋体" w:hAnsi="宋体" w:eastAsia="宋体" w:cs="宋体"/>
                <w:szCs w:val="21"/>
              </w:rPr>
              <w:t>7</w:t>
            </w:r>
          </w:p>
        </w:tc>
        <w:tc>
          <w:tcPr>
            <w:tcW w:w="6675" w:type="dxa"/>
            <w:vAlign w:val="center"/>
          </w:tcPr>
          <w:p w14:paraId="2912381A">
            <w:pPr>
              <w:widowControl w:val="0"/>
              <w:spacing w:line="400" w:lineRule="exact"/>
              <w:jc w:val="both"/>
              <w:rPr>
                <w:rFonts w:ascii="Calibri" w:hAnsi="宋体" w:eastAsia="宋体" w:cs="宋体"/>
                <w:szCs w:val="21"/>
              </w:rPr>
            </w:pPr>
            <w:r>
              <w:rPr>
                <w:rFonts w:hint="eastAsia" w:ascii="宋体" w:hAnsi="宋体" w:eastAsia="宋体" w:cs="宋体"/>
                <w:szCs w:val="21"/>
              </w:rPr>
              <w:t>投标人代表身份证复印件，非法定代表人参加投标时提供；</w:t>
            </w:r>
          </w:p>
        </w:tc>
        <w:tc>
          <w:tcPr>
            <w:tcW w:w="1264" w:type="dxa"/>
            <w:vAlign w:val="center"/>
          </w:tcPr>
          <w:p w14:paraId="5DCEB007">
            <w:pPr>
              <w:widowControl w:val="0"/>
              <w:spacing w:line="400" w:lineRule="exact"/>
              <w:jc w:val="center"/>
              <w:rPr>
                <w:rFonts w:ascii="宋体" w:hAnsi="宋体" w:eastAsia="宋体" w:cs="宋体"/>
                <w:szCs w:val="21"/>
              </w:rPr>
            </w:pPr>
          </w:p>
        </w:tc>
      </w:tr>
      <w:tr w14:paraId="6D6DD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9" w:hRule="atLeast"/>
        </w:trPr>
        <w:tc>
          <w:tcPr>
            <w:tcW w:w="1057" w:type="dxa"/>
            <w:vAlign w:val="center"/>
          </w:tcPr>
          <w:p w14:paraId="63FE791E">
            <w:pPr>
              <w:widowControl w:val="0"/>
              <w:spacing w:line="400" w:lineRule="exact"/>
              <w:jc w:val="center"/>
              <w:rPr>
                <w:rFonts w:ascii="宋体" w:hAnsi="宋体" w:eastAsia="宋体" w:cs="宋体"/>
                <w:szCs w:val="21"/>
              </w:rPr>
            </w:pPr>
            <w:r>
              <w:rPr>
                <w:rFonts w:hint="eastAsia" w:ascii="宋体" w:hAnsi="宋体" w:eastAsia="宋体" w:cs="宋体"/>
                <w:szCs w:val="21"/>
              </w:rPr>
              <w:t>8</w:t>
            </w:r>
          </w:p>
        </w:tc>
        <w:tc>
          <w:tcPr>
            <w:tcW w:w="6675" w:type="dxa"/>
            <w:vAlign w:val="center"/>
          </w:tcPr>
          <w:p w14:paraId="0495AB74">
            <w:pPr>
              <w:widowControl w:val="0"/>
              <w:spacing w:line="400" w:lineRule="exact"/>
              <w:jc w:val="both"/>
              <w:rPr>
                <w:rFonts w:ascii="宋体" w:hAnsi="宋体" w:eastAsia="宋体" w:cs="宋体"/>
                <w:szCs w:val="21"/>
              </w:rPr>
            </w:pPr>
            <w:r>
              <w:rPr>
                <w:rFonts w:hint="eastAsia" w:ascii="宋体" w:hAnsi="宋体" w:eastAsia="宋体" w:cs="Times New Roman"/>
              </w:rPr>
              <w:t>中小企业身份证明文件；</w:t>
            </w:r>
          </w:p>
        </w:tc>
        <w:tc>
          <w:tcPr>
            <w:tcW w:w="1264" w:type="dxa"/>
            <w:vAlign w:val="center"/>
          </w:tcPr>
          <w:p w14:paraId="68E96E56">
            <w:pPr>
              <w:widowControl w:val="0"/>
              <w:spacing w:line="400" w:lineRule="exact"/>
              <w:jc w:val="center"/>
              <w:rPr>
                <w:rFonts w:ascii="宋体" w:hAnsi="宋体" w:eastAsia="宋体" w:cs="宋体"/>
                <w:szCs w:val="21"/>
              </w:rPr>
            </w:pPr>
          </w:p>
        </w:tc>
      </w:tr>
      <w:tr w14:paraId="52508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 w:hRule="atLeast"/>
        </w:trPr>
        <w:tc>
          <w:tcPr>
            <w:tcW w:w="7732" w:type="dxa"/>
            <w:gridSpan w:val="2"/>
          </w:tcPr>
          <w:p w14:paraId="223FC23F">
            <w:pPr>
              <w:widowControl w:val="0"/>
              <w:snapToGrid w:val="0"/>
              <w:spacing w:line="400" w:lineRule="exact"/>
              <w:jc w:val="center"/>
              <w:rPr>
                <w:rFonts w:ascii="宋体" w:hAnsi="宋体" w:eastAsia="宋体" w:cs="宋体"/>
                <w:b/>
                <w:kern w:val="0"/>
                <w:szCs w:val="21"/>
              </w:rPr>
            </w:pPr>
            <w:r>
              <w:rPr>
                <w:rFonts w:hint="eastAsia" w:ascii="宋体" w:hAnsi="宋体" w:eastAsia="宋体" w:cs="宋体"/>
                <w:b/>
                <w:kern w:val="0"/>
                <w:szCs w:val="21"/>
              </w:rPr>
              <w:t>结   论</w:t>
            </w:r>
          </w:p>
        </w:tc>
        <w:tc>
          <w:tcPr>
            <w:tcW w:w="1264" w:type="dxa"/>
            <w:vAlign w:val="center"/>
          </w:tcPr>
          <w:p w14:paraId="34444BCA">
            <w:pPr>
              <w:widowControl w:val="0"/>
              <w:spacing w:line="400" w:lineRule="exact"/>
              <w:ind w:left="180"/>
              <w:jc w:val="center"/>
              <w:rPr>
                <w:rFonts w:ascii="宋体" w:hAnsi="宋体" w:eastAsia="宋体" w:cs="宋体"/>
                <w:b/>
                <w:szCs w:val="21"/>
              </w:rPr>
            </w:pPr>
          </w:p>
        </w:tc>
      </w:tr>
    </w:tbl>
    <w:p w14:paraId="25B20C71">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rPr>
      </w:pPr>
      <w:r>
        <w:rPr>
          <w:rFonts w:hint="eastAsia" w:ascii="宋体" w:hAnsi="宋体" w:cs="宋体"/>
          <w:szCs w:val="21"/>
          <w:lang w:val="zh-CN"/>
        </w:rPr>
        <w:t>注：1、表中只需填写“√”或“×”；</w:t>
      </w:r>
      <w:r>
        <w:rPr>
          <w:rFonts w:hint="eastAsia" w:ascii="宋体" w:hAnsi="宋体" w:cs="宋体"/>
          <w:szCs w:val="21"/>
        </w:rPr>
        <w:t xml:space="preserve"> </w:t>
      </w:r>
      <w:r>
        <w:rPr>
          <w:rFonts w:hint="eastAsia" w:ascii="宋体" w:hAnsi="宋体" w:cs="宋体"/>
          <w:szCs w:val="21"/>
          <w:lang w:val="zh-CN"/>
        </w:rPr>
        <w:t>2、在结论栏中填写“合格”或“不合格”。</w:t>
      </w:r>
    </w:p>
    <w:p w14:paraId="6B001FCF">
      <w:pPr>
        <w:keepNext w:val="0"/>
        <w:keepLines w:val="0"/>
        <w:pageBreakBefore w:val="0"/>
        <w:widowControl w:val="0"/>
        <w:kinsoku/>
        <w:wordWrap/>
        <w:overflowPunct/>
        <w:topLinePunct w:val="0"/>
        <w:autoSpaceDE w:val="0"/>
        <w:autoSpaceDN w:val="0"/>
        <w:bidi w:val="0"/>
        <w:adjustRightInd w:val="0"/>
        <w:spacing w:line="400" w:lineRule="exact"/>
        <w:jc w:val="both"/>
        <w:textAlignment w:val="auto"/>
        <w:rPr>
          <w:rFonts w:ascii="宋体" w:hAnsi="宋体" w:cs="宋体"/>
          <w:b/>
          <w:szCs w:val="21"/>
        </w:rPr>
      </w:pPr>
      <w:r>
        <w:rPr>
          <w:rFonts w:hint="eastAsia" w:ascii="宋体" w:hAnsi="宋体" w:cs="宋体"/>
          <w:b/>
          <w:szCs w:val="21"/>
        </w:rPr>
        <w:t>二、中标候选人的选取</w:t>
      </w:r>
    </w:p>
    <w:p w14:paraId="7B908937">
      <w:pPr>
        <w:keepNext w:val="0"/>
        <w:keepLines w:val="0"/>
        <w:pageBreakBefore w:val="0"/>
        <w:widowControl w:val="0"/>
        <w:kinsoku/>
        <w:wordWrap/>
        <w:overflowPunct/>
        <w:topLinePunct w:val="0"/>
        <w:bidi w:val="0"/>
        <w:spacing w:line="400" w:lineRule="exact"/>
        <w:ind w:firstLine="420" w:firstLineChars="200"/>
        <w:jc w:val="both"/>
        <w:textAlignment w:val="auto"/>
        <w:rPr>
          <w:rFonts w:ascii="宋体" w:hAnsi="宋体" w:cs="宋体"/>
          <w:b/>
          <w:szCs w:val="21"/>
          <w:lang w:val="zh-CN"/>
        </w:rPr>
      </w:pPr>
      <w:r>
        <w:rPr>
          <w:rFonts w:hint="eastAsia" w:ascii="宋体" w:hAnsi="宋体" w:cs="宋体"/>
          <w:szCs w:val="21"/>
        </w:rPr>
        <w:t>将综合评分从高到低排序，得出投标人名次,按照综合评分名次推荐中标候选人3名。综合评分相同时，按投标报价由低到高顺序排列，综合评分且投标报价相同的，抽签决定排序（弃权视为自动放弃中标资格）。</w:t>
      </w:r>
    </w:p>
    <w:p w14:paraId="785F4FB3">
      <w:pPr>
        <w:keepNext w:val="0"/>
        <w:keepLines w:val="0"/>
        <w:pageBreakBefore w:val="0"/>
        <w:widowControl w:val="0"/>
        <w:kinsoku/>
        <w:wordWrap/>
        <w:overflowPunct/>
        <w:topLinePunct w:val="0"/>
        <w:bidi w:val="0"/>
        <w:spacing w:line="400" w:lineRule="exact"/>
        <w:jc w:val="both"/>
        <w:textAlignment w:val="auto"/>
        <w:rPr>
          <w:rFonts w:ascii="宋体" w:hAnsi="宋体" w:cs="宋体"/>
          <w:b/>
          <w:szCs w:val="21"/>
        </w:rPr>
      </w:pPr>
      <w:r>
        <w:rPr>
          <w:rFonts w:hint="eastAsia" w:ascii="宋体" w:hAnsi="宋体" w:cs="宋体"/>
          <w:b/>
          <w:szCs w:val="21"/>
        </w:rPr>
        <w:t>三、中标人选取依据</w:t>
      </w:r>
    </w:p>
    <w:p w14:paraId="47CD4DAB">
      <w:pPr>
        <w:keepNext w:val="0"/>
        <w:keepLines w:val="0"/>
        <w:pageBreakBefore w:val="0"/>
        <w:widowControl w:val="0"/>
        <w:kinsoku/>
        <w:wordWrap/>
        <w:overflowPunct/>
        <w:topLinePunct w:val="0"/>
        <w:bidi w:val="0"/>
        <w:spacing w:line="400" w:lineRule="exact"/>
        <w:ind w:firstLine="420" w:firstLineChars="200"/>
        <w:jc w:val="both"/>
        <w:textAlignment w:val="auto"/>
        <w:rPr>
          <w:rFonts w:ascii="宋体" w:hAnsi="宋体" w:cs="宋体"/>
          <w:szCs w:val="21"/>
        </w:rPr>
      </w:pPr>
      <w:r>
        <w:rPr>
          <w:rFonts w:hint="eastAsia" w:ascii="宋体" w:hAnsi="宋体" w:cs="宋体"/>
          <w:szCs w:val="21"/>
        </w:rPr>
        <w:t>评审小组根据综合评分得分排序，推荐第一名中标候选人为中标人，经采购人确认后，确定项目中标人，同时发布采购结果公告，发出中标通知书。</w:t>
      </w:r>
    </w:p>
    <w:p w14:paraId="364641FC">
      <w:pPr>
        <w:keepNext w:val="0"/>
        <w:keepLines w:val="0"/>
        <w:pageBreakBefore w:val="0"/>
        <w:widowControl w:val="0"/>
        <w:kinsoku/>
        <w:wordWrap/>
        <w:overflowPunct/>
        <w:topLinePunct w:val="0"/>
        <w:bidi w:val="0"/>
        <w:spacing w:line="400" w:lineRule="exact"/>
        <w:jc w:val="both"/>
        <w:textAlignment w:val="auto"/>
        <w:rPr>
          <w:rFonts w:ascii="宋体" w:hAnsi="宋体" w:cs="宋体"/>
          <w:b/>
          <w:szCs w:val="21"/>
        </w:rPr>
      </w:pPr>
      <w:r>
        <w:rPr>
          <w:rFonts w:hint="eastAsia" w:ascii="宋体" w:hAnsi="宋体" w:cs="宋体"/>
          <w:b/>
          <w:szCs w:val="21"/>
        </w:rPr>
        <w:t>四、综合评估分计分方法</w:t>
      </w:r>
    </w:p>
    <w:p w14:paraId="1E94A8B3">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lang w:val="zh-CN"/>
        </w:rPr>
      </w:pPr>
      <w:r>
        <w:rPr>
          <w:rFonts w:hint="eastAsia" w:ascii="宋体" w:hAnsi="宋体" w:cs="宋体"/>
          <w:szCs w:val="21"/>
          <w:lang w:val="zh-CN"/>
        </w:rPr>
        <w:t>满足招标文件要求且投标价格最低的投标报价为评标基准价，其价格分为满分，其他投标人的价格分按下列公式计算：投标报价得分＝（评标基准价/投标报价）×</w:t>
      </w:r>
      <w:r>
        <w:rPr>
          <w:rFonts w:hint="eastAsia" w:ascii="宋体" w:hAnsi="宋体" w:cs="宋体"/>
          <w:szCs w:val="21"/>
          <w:lang w:val="en-US" w:eastAsia="zh-CN"/>
        </w:rPr>
        <w:t>30</w:t>
      </w:r>
      <w:r>
        <w:rPr>
          <w:rFonts w:hint="eastAsia" w:ascii="宋体" w:hAnsi="宋体" w:cs="宋体"/>
          <w:szCs w:val="21"/>
          <w:lang w:val="zh-CN"/>
        </w:rPr>
        <w:t>。</w:t>
      </w:r>
    </w:p>
    <w:p w14:paraId="76F760A3">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szCs w:val="21"/>
        </w:rPr>
      </w:pPr>
      <w:r>
        <w:rPr>
          <w:rFonts w:hint="eastAsia" w:ascii="宋体" w:hAnsi="宋体"/>
          <w:szCs w:val="21"/>
        </w:rPr>
        <w:t>根据《中华人民共和国财政部令第87号--政府采购货物和服务招标投标管理办法》第六十条的规定：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B078A6C">
      <w:pPr>
        <w:keepNext w:val="0"/>
        <w:keepLines w:val="0"/>
        <w:pageBreakBefore w:val="0"/>
        <w:widowControl w:val="0"/>
        <w:kinsoku/>
        <w:wordWrap/>
        <w:overflowPunct/>
        <w:topLinePunct w:val="0"/>
        <w:autoSpaceDE w:val="0"/>
        <w:autoSpaceDN w:val="0"/>
        <w:bidi w:val="0"/>
        <w:adjustRightInd w:val="0"/>
        <w:spacing w:line="400" w:lineRule="exact"/>
        <w:ind w:firstLine="420" w:firstLineChars="200"/>
        <w:jc w:val="both"/>
        <w:textAlignment w:val="auto"/>
        <w:rPr>
          <w:rFonts w:ascii="宋体" w:hAnsi="宋体" w:cs="宋体"/>
          <w:szCs w:val="21"/>
          <w:lang w:val="zh-CN"/>
        </w:rPr>
      </w:pPr>
      <w:r>
        <w:rPr>
          <w:rFonts w:ascii="宋体" w:hAnsi="宋体"/>
          <w:szCs w:val="21"/>
        </w:rPr>
        <w:t>在评分时，各投标人投标报价得分保留小数点后二位，第三位四舍五入。</w:t>
      </w:r>
      <w:r>
        <w:rPr>
          <w:rFonts w:hint="eastAsia" w:ascii="宋体" w:hAnsi="宋体"/>
          <w:szCs w:val="21"/>
        </w:rPr>
        <w:t>评审专家打分准确到小数点后一位，</w:t>
      </w:r>
      <w:r>
        <w:rPr>
          <w:rFonts w:hint="eastAsia" w:ascii="宋体" w:hAnsi="宋体" w:cs="宋体"/>
          <w:szCs w:val="21"/>
        </w:rPr>
        <w:t>综合评估分=商务技术部分得分＋投标报价得分，商务技术部分得分为所有评委评分的算术平均值，</w:t>
      </w:r>
      <w:r>
        <w:rPr>
          <w:rFonts w:ascii="宋体" w:hAnsi="宋体" w:cs="宋体"/>
          <w:szCs w:val="21"/>
        </w:rPr>
        <w:t>得分保留小数点后二位。</w:t>
      </w:r>
      <w:r>
        <w:rPr>
          <w:rFonts w:hint="eastAsia" w:ascii="宋体" w:hAnsi="宋体" w:cs="宋体"/>
          <w:szCs w:val="21"/>
        </w:rPr>
        <w:t xml:space="preserve"> </w:t>
      </w:r>
    </w:p>
    <w:p w14:paraId="34D042EC">
      <w:pPr>
        <w:keepNext w:val="0"/>
        <w:keepLines w:val="0"/>
        <w:pageBreakBefore w:val="0"/>
        <w:kinsoku/>
        <w:wordWrap/>
        <w:overflowPunct/>
        <w:topLinePunct w:val="0"/>
        <w:bidi w:val="0"/>
        <w:snapToGrid w:val="0"/>
        <w:spacing w:line="400" w:lineRule="exact"/>
        <w:ind w:right="-87" w:firstLine="517" w:firstLineChars="245"/>
        <w:textAlignment w:val="auto"/>
        <w:rPr>
          <w:rFonts w:asciiTheme="minorEastAsia" w:hAnsiTheme="minorEastAsia" w:eastAsiaTheme="minorEastAsia" w:cstheme="minorEastAsia"/>
          <w:b/>
        </w:rPr>
      </w:pPr>
      <w:r>
        <w:rPr>
          <w:rFonts w:hint="eastAsia" w:asciiTheme="minorEastAsia" w:hAnsiTheme="minorEastAsia" w:eastAsiaTheme="minorEastAsia" w:cstheme="minorEastAsia"/>
          <w:b/>
        </w:rPr>
        <w:t>评标指标：</w:t>
      </w:r>
    </w:p>
    <w:tbl>
      <w:tblPr>
        <w:tblStyle w:val="28"/>
        <w:tblW w:w="8040"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40"/>
        <w:gridCol w:w="3000"/>
      </w:tblGrid>
      <w:tr w14:paraId="623B6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040" w:type="dxa"/>
            <w:tcBorders>
              <w:top w:val="single" w:color="auto" w:sz="4" w:space="0"/>
              <w:left w:val="single" w:color="auto" w:sz="4" w:space="0"/>
              <w:bottom w:val="single" w:color="auto" w:sz="4" w:space="0"/>
              <w:right w:val="single" w:color="auto" w:sz="4" w:space="0"/>
            </w:tcBorders>
            <w:vAlign w:val="center"/>
          </w:tcPr>
          <w:p w14:paraId="3CE93B5C">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lang w:val="zh-CN"/>
              </w:rPr>
              <w:t>评价指标</w:t>
            </w:r>
          </w:p>
        </w:tc>
        <w:tc>
          <w:tcPr>
            <w:tcW w:w="3000" w:type="dxa"/>
            <w:tcBorders>
              <w:top w:val="single" w:color="auto" w:sz="4" w:space="0"/>
              <w:left w:val="single" w:color="auto" w:sz="4" w:space="0"/>
              <w:bottom w:val="single" w:color="auto" w:sz="4" w:space="0"/>
              <w:right w:val="single" w:color="auto" w:sz="4" w:space="0"/>
            </w:tcBorders>
            <w:vAlign w:val="center"/>
          </w:tcPr>
          <w:p w14:paraId="367808F9">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分值</w:t>
            </w:r>
          </w:p>
        </w:tc>
      </w:tr>
      <w:tr w14:paraId="65EFE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040" w:type="dxa"/>
            <w:tcBorders>
              <w:top w:val="single" w:color="auto" w:sz="4" w:space="0"/>
              <w:left w:val="single" w:color="auto" w:sz="4" w:space="0"/>
              <w:right w:val="single" w:color="auto" w:sz="4" w:space="0"/>
            </w:tcBorders>
            <w:vAlign w:val="center"/>
          </w:tcPr>
          <w:p w14:paraId="12F4DD63">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商务、技术部分</w:t>
            </w:r>
          </w:p>
        </w:tc>
        <w:tc>
          <w:tcPr>
            <w:tcW w:w="3000" w:type="dxa"/>
            <w:tcBorders>
              <w:top w:val="single" w:color="auto" w:sz="4" w:space="0"/>
              <w:left w:val="single" w:color="auto" w:sz="4" w:space="0"/>
              <w:right w:val="single" w:color="auto" w:sz="4" w:space="0"/>
            </w:tcBorders>
            <w:vAlign w:val="center"/>
          </w:tcPr>
          <w:p w14:paraId="6F543384">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70</w:t>
            </w:r>
          </w:p>
        </w:tc>
      </w:tr>
      <w:tr w14:paraId="76D8F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040" w:type="dxa"/>
            <w:tcBorders>
              <w:top w:val="single" w:color="auto" w:sz="4" w:space="0"/>
              <w:left w:val="single" w:color="auto" w:sz="4" w:space="0"/>
              <w:bottom w:val="single" w:color="auto" w:sz="4" w:space="0"/>
              <w:right w:val="single" w:color="auto" w:sz="4" w:space="0"/>
            </w:tcBorders>
            <w:vAlign w:val="center"/>
          </w:tcPr>
          <w:p w14:paraId="72020E4D">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投标报价</w:t>
            </w:r>
          </w:p>
        </w:tc>
        <w:tc>
          <w:tcPr>
            <w:tcW w:w="3000" w:type="dxa"/>
            <w:tcBorders>
              <w:top w:val="single" w:color="auto" w:sz="4" w:space="0"/>
              <w:left w:val="single" w:color="auto" w:sz="4" w:space="0"/>
              <w:bottom w:val="single" w:color="auto" w:sz="4" w:space="0"/>
              <w:right w:val="single" w:color="auto" w:sz="4" w:space="0"/>
            </w:tcBorders>
            <w:vAlign w:val="center"/>
          </w:tcPr>
          <w:p w14:paraId="349A69F1">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30</w:t>
            </w:r>
          </w:p>
        </w:tc>
      </w:tr>
      <w:tr w14:paraId="3B2E8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5040" w:type="dxa"/>
            <w:tcBorders>
              <w:top w:val="single" w:color="auto" w:sz="4" w:space="0"/>
              <w:left w:val="single" w:color="auto" w:sz="4" w:space="0"/>
              <w:bottom w:val="single" w:color="auto" w:sz="4" w:space="0"/>
              <w:right w:val="single" w:color="auto" w:sz="4" w:space="0"/>
            </w:tcBorders>
            <w:vAlign w:val="center"/>
          </w:tcPr>
          <w:p w14:paraId="3BC26E2F">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合计</w:t>
            </w:r>
          </w:p>
        </w:tc>
        <w:tc>
          <w:tcPr>
            <w:tcW w:w="3000" w:type="dxa"/>
            <w:tcBorders>
              <w:top w:val="single" w:color="auto" w:sz="4" w:space="0"/>
              <w:left w:val="single" w:color="auto" w:sz="4" w:space="0"/>
              <w:bottom w:val="single" w:color="auto" w:sz="4" w:space="0"/>
              <w:right w:val="single" w:color="auto" w:sz="4" w:space="0"/>
            </w:tcBorders>
            <w:vAlign w:val="center"/>
          </w:tcPr>
          <w:p w14:paraId="4DEC45AC">
            <w:pPr>
              <w:keepNext w:val="0"/>
              <w:keepLines w:val="0"/>
              <w:pageBreakBefore w:val="0"/>
              <w:kinsoku/>
              <w:wordWrap/>
              <w:overflowPunct/>
              <w:topLinePunct w:val="0"/>
              <w:bidi w:val="0"/>
              <w:spacing w:line="400" w:lineRule="exact"/>
              <w:ind w:right="-341"/>
              <w:jc w:val="center"/>
              <w:textAlignment w:val="auto"/>
              <w:rPr>
                <w:rFonts w:asciiTheme="minorEastAsia" w:hAnsiTheme="minorEastAsia" w:eastAsiaTheme="minorEastAsia" w:cstheme="minorEastAsia"/>
              </w:rPr>
            </w:pPr>
            <w:r>
              <w:rPr>
                <w:rFonts w:hint="eastAsia" w:asciiTheme="minorEastAsia" w:hAnsiTheme="minorEastAsia" w:eastAsiaTheme="minorEastAsia" w:cstheme="minorEastAsia"/>
              </w:rPr>
              <w:t>100</w:t>
            </w:r>
          </w:p>
        </w:tc>
      </w:tr>
    </w:tbl>
    <w:p w14:paraId="56B07BD7">
      <w:pPr>
        <w:rPr>
          <w:rFonts w:asciiTheme="minorEastAsia" w:hAnsiTheme="minorEastAsia" w:eastAsiaTheme="minorEastAsia"/>
          <w:b/>
          <w:szCs w:val="21"/>
        </w:rPr>
      </w:pPr>
      <w:r>
        <w:rPr>
          <w:rFonts w:hint="eastAsia" w:asciiTheme="minorEastAsia" w:hAnsiTheme="minorEastAsia" w:eastAsiaTheme="minorEastAsia" w:cstheme="minorEastAsia"/>
          <w:b/>
        </w:rPr>
        <w:t xml:space="preserve"> </w:t>
      </w:r>
    </w:p>
    <w:p w14:paraId="7D069F93">
      <w:pPr>
        <w:spacing w:line="480" w:lineRule="auto"/>
        <w:ind w:right="-340"/>
        <w:jc w:val="center"/>
        <w:rPr>
          <w:rFonts w:hint="eastAsia" w:asciiTheme="minorEastAsia" w:hAnsiTheme="minorEastAsia" w:eastAsiaTheme="minorEastAsia"/>
          <w:b/>
          <w:color w:val="auto"/>
          <w:szCs w:val="21"/>
        </w:rPr>
      </w:pPr>
      <w:r>
        <w:rPr>
          <w:rFonts w:hint="eastAsia" w:asciiTheme="minorEastAsia" w:hAnsiTheme="minorEastAsia" w:eastAsiaTheme="minorEastAsia"/>
          <w:b/>
          <w:color w:val="auto"/>
          <w:szCs w:val="21"/>
        </w:rPr>
        <w:t>项目评分表</w:t>
      </w:r>
    </w:p>
    <w:tbl>
      <w:tblPr>
        <w:tblStyle w:val="28"/>
        <w:tblW w:w="9420" w:type="dxa"/>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0"/>
        <w:gridCol w:w="1110"/>
        <w:gridCol w:w="1076"/>
        <w:gridCol w:w="548"/>
        <w:gridCol w:w="6056"/>
      </w:tblGrid>
      <w:tr w14:paraId="4DC58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630" w:type="dxa"/>
            <w:tcBorders>
              <w:top w:val="single" w:color="000000" w:sz="4" w:space="0"/>
              <w:left w:val="single" w:color="000000" w:sz="4" w:space="0"/>
              <w:bottom w:val="single" w:color="000000" w:sz="4" w:space="0"/>
              <w:right w:val="single" w:color="000000" w:sz="4" w:space="0"/>
            </w:tcBorders>
            <w:noWrap w:val="0"/>
            <w:vAlign w:val="center"/>
          </w:tcPr>
          <w:p w14:paraId="7E7E86E9">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序号</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1E516EEA">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项目</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477D7DB">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评分因素</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66A735FE">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分值</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324045CE">
            <w:pPr>
              <w:widowControl w:val="0"/>
              <w:spacing w:line="340" w:lineRule="exact"/>
              <w:jc w:val="center"/>
              <w:rPr>
                <w:rFonts w:hint="eastAsia" w:ascii="宋体" w:hAnsi="宋体" w:eastAsia="宋体" w:cs="宋体"/>
                <w:szCs w:val="21"/>
                <w:lang w:val="en-US" w:eastAsia="zh-CN"/>
              </w:rPr>
            </w:pPr>
            <w:r>
              <w:rPr>
                <w:rFonts w:hint="eastAsia" w:ascii="宋体" w:hAnsi="宋体" w:eastAsia="宋体" w:cs="宋体"/>
                <w:szCs w:val="21"/>
                <w:lang w:val="en-US" w:eastAsia="zh-CN"/>
              </w:rPr>
              <w:t>评分标准</w:t>
            </w:r>
          </w:p>
        </w:tc>
      </w:tr>
      <w:tr w14:paraId="37E02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0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55C9FCB6">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1</w:t>
            </w:r>
          </w:p>
        </w:tc>
        <w:tc>
          <w:tcPr>
            <w:tcW w:w="1110" w:type="dxa"/>
            <w:tcBorders>
              <w:top w:val="single" w:color="000000" w:sz="4" w:space="0"/>
              <w:left w:val="single" w:color="000000" w:sz="4" w:space="0"/>
              <w:bottom w:val="single" w:color="000000" w:sz="4" w:space="0"/>
              <w:right w:val="single" w:color="000000" w:sz="4" w:space="0"/>
            </w:tcBorders>
            <w:noWrap w:val="0"/>
            <w:vAlign w:val="center"/>
          </w:tcPr>
          <w:p w14:paraId="689C1F4A">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投标报价(30分）</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50A2F11">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报价</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3794F48C">
            <w:pPr>
              <w:widowControl w:val="0"/>
              <w:spacing w:line="340" w:lineRule="exact"/>
              <w:jc w:val="center"/>
              <w:rPr>
                <w:rFonts w:hint="eastAsia" w:ascii="宋体" w:hAnsi="宋体" w:eastAsia="宋体" w:cs="宋体"/>
                <w:szCs w:val="21"/>
              </w:rPr>
            </w:pPr>
            <w:r>
              <w:rPr>
                <w:rFonts w:hint="eastAsia" w:ascii="宋体" w:hAnsi="宋体" w:eastAsia="宋体" w:cs="宋体"/>
                <w:szCs w:val="21"/>
                <w:lang w:val="en-US" w:eastAsia="zh-CN"/>
              </w:rPr>
              <w:t>30</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75DD441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zh-CN" w:eastAsia="zh-CN"/>
              </w:rPr>
            </w:pPr>
            <w:r>
              <w:rPr>
                <w:rFonts w:hint="eastAsia" w:ascii="宋体" w:hAnsi="宋体" w:eastAsia="宋体" w:cs="宋体"/>
                <w:szCs w:val="21"/>
                <w:lang w:val="zh-CN" w:eastAsia="zh-CN"/>
              </w:rPr>
              <w:t>满足招标文件要求且投标价格最低的投标报价为评标基准价，其价格分为满分，其他投标人的价格分按下列公式计算：投标报价得分＝（评标基准价/投标报价）×</w:t>
            </w:r>
            <w:r>
              <w:rPr>
                <w:rFonts w:hint="eastAsia" w:ascii="宋体" w:hAnsi="宋体" w:eastAsia="宋体" w:cs="宋体"/>
                <w:szCs w:val="21"/>
                <w:lang w:val="en-US" w:eastAsia="zh-CN"/>
              </w:rPr>
              <w:t>30</w:t>
            </w:r>
            <w:r>
              <w:rPr>
                <w:rFonts w:hint="eastAsia" w:ascii="宋体" w:hAnsi="宋体" w:eastAsia="宋体" w:cs="宋体"/>
                <w:szCs w:val="21"/>
                <w:lang w:val="zh-CN" w:eastAsia="zh-CN"/>
              </w:rPr>
              <w:t>。</w:t>
            </w:r>
          </w:p>
          <w:p w14:paraId="3B0A680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因落实政府采购政策需要进行价格调整的，以调整后的价格计算评标基准价和投标报价。</w:t>
            </w:r>
          </w:p>
        </w:tc>
      </w:tr>
      <w:tr w14:paraId="0D598F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6FBA862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1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4CAA8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商务部分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（12分）</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65B01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投标人综合能力</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6D028F3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171E7CA1">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1、投标人具有有效期内质量管理体系认证证书得1分；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2、投标人具有有效期内信息技术服务管理体系认证证书得1分。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注：</w:t>
            </w:r>
            <w:r>
              <w:rPr>
                <w:rFonts w:hint="eastAsia" w:ascii="宋体" w:hAnsi="宋体" w:cs="宋体"/>
                <w:szCs w:val="21"/>
                <w:lang w:val="en-US" w:eastAsia="zh-CN"/>
              </w:rPr>
              <w:t>以上证书</w:t>
            </w:r>
            <w:r>
              <w:rPr>
                <w:rFonts w:hint="eastAsia" w:ascii="宋体" w:hAnsi="宋体" w:eastAsia="宋体" w:cs="宋体"/>
                <w:szCs w:val="21"/>
                <w:lang w:val="en-US" w:eastAsia="zh-CN"/>
              </w:rPr>
              <w:t>认证范围：安防系统、灯光音响系统、信息系统集成及应用软件开发</w:t>
            </w:r>
            <w:r>
              <w:rPr>
                <w:rFonts w:hint="eastAsia" w:ascii="宋体" w:hAnsi="宋体" w:cs="宋体"/>
                <w:szCs w:val="21"/>
                <w:lang w:val="en-US" w:eastAsia="zh-CN"/>
              </w:rPr>
              <w:t>，</w:t>
            </w:r>
            <w:r>
              <w:rPr>
                <w:rFonts w:hint="eastAsia" w:ascii="宋体" w:hAnsi="宋体" w:eastAsia="宋体" w:cs="宋体"/>
                <w:szCs w:val="21"/>
                <w:lang w:val="en-US" w:eastAsia="zh-CN"/>
              </w:rPr>
              <w:t>提供证书复印件证明材料，未提供不得分。</w:t>
            </w:r>
          </w:p>
        </w:tc>
      </w:tr>
      <w:tr w14:paraId="6210B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140992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748E4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1F17EC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相关业绩</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791315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69623F1C">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投标人2022年1月1日以来（以合同签订时间为准）承接过智慧校园类信息化项目案例，每个得1分，最多得3分。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注：提供合同复印件，否则不得分。</w:t>
            </w:r>
          </w:p>
        </w:tc>
      </w:tr>
      <w:tr w14:paraId="2033F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4BD47A0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180E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vMerge w:val="restart"/>
            <w:tcBorders>
              <w:top w:val="single" w:color="000000" w:sz="4" w:space="0"/>
              <w:left w:val="single" w:color="000000" w:sz="4" w:space="0"/>
              <w:bottom w:val="single" w:color="000000" w:sz="4" w:space="0"/>
              <w:right w:val="single" w:color="000000" w:sz="4" w:space="0"/>
            </w:tcBorders>
            <w:noWrap w:val="0"/>
            <w:vAlign w:val="center"/>
          </w:tcPr>
          <w:p w14:paraId="27E271E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拟派本项目团队</w:t>
            </w:r>
          </w:p>
        </w:tc>
        <w:tc>
          <w:tcPr>
            <w:tcW w:w="54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8A2E4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056EE40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项目经理（1名）：</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项目经理具备人社部颁发的信息系统项目管理师（软考高级）证书的得2分；</w:t>
            </w:r>
          </w:p>
          <w:p w14:paraId="48BC9E9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具备人社部颁发的系统规划与管理师（软考高级）证书的得1分；</w:t>
            </w:r>
          </w:p>
          <w:p w14:paraId="58FBBCA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注：提供人员证书复印件及近三个月任意一个月的本单位社保缴纳证明材料，否则不得分。</w:t>
            </w:r>
          </w:p>
        </w:tc>
      </w:tr>
      <w:tr w14:paraId="63D69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3218BE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1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70733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3535F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54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28AD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18C2C89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项目团队（除项目经理外）：</w:t>
            </w:r>
          </w:p>
          <w:p w14:paraId="517A9680">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团队成员具有人社部颁发的系统集成项目管理工程师、网络工程师、信息安全工程师、系统分析师中级及以上证书的，每具备1种证书得1分，最高得4分，同种证书不重复计分。</w:t>
            </w:r>
          </w:p>
          <w:p w14:paraId="3FEF42D3">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注：提供人员证书复印件及近三个月任意一个月的本单位社保缴纳证明材料，否则不得分。一人多证或多人一证不重复得分。</w:t>
            </w:r>
          </w:p>
        </w:tc>
      </w:tr>
      <w:tr w14:paraId="60B75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7C8AB42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1110" w:type="dxa"/>
            <w:vMerge w:val="restart"/>
            <w:tcBorders>
              <w:top w:val="single" w:color="000000" w:sz="4" w:space="0"/>
              <w:left w:val="single" w:color="000000" w:sz="4" w:space="0"/>
              <w:right w:val="single" w:color="000000" w:sz="4" w:space="0"/>
            </w:tcBorders>
            <w:noWrap w:val="0"/>
            <w:vAlign w:val="center"/>
          </w:tcPr>
          <w:p w14:paraId="1ADB890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技术部分（58分）</w:t>
            </w: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49FA1E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产品技术参数偏离</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280E7C5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19</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778F489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根据投标人提供的产品技术参数偏离情况进行打分：基础分19分。标“▲”参数负偏离将导致投标无效；标“△”参数每负偏离一项扣0.5分；扣完为止。</w:t>
            </w:r>
            <w:r>
              <w:rPr>
                <w:rFonts w:hint="eastAsia" w:ascii="宋体" w:hAnsi="宋体" w:eastAsia="宋体" w:cs="宋体"/>
                <w:szCs w:val="21"/>
              </w:rPr>
              <w:t>（共</w:t>
            </w:r>
            <w:r>
              <w:rPr>
                <w:rFonts w:hint="eastAsia" w:ascii="宋体" w:hAnsi="宋体" w:eastAsia="宋体" w:cs="宋体"/>
                <w:szCs w:val="21"/>
                <w:lang w:val="en-US" w:eastAsia="zh-CN"/>
              </w:rPr>
              <w:t>38</w:t>
            </w:r>
            <w:r>
              <w:rPr>
                <w:rFonts w:hint="eastAsia" w:ascii="宋体" w:hAnsi="宋体" w:eastAsia="宋体" w:cs="宋体"/>
                <w:szCs w:val="21"/>
              </w:rPr>
              <w:t>项）</w:t>
            </w:r>
          </w:p>
          <w:p w14:paraId="707E375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注：要求提供相关证明材料的，以证明材料为准，不提供或不符合要求的视作负偏离。</w:t>
            </w:r>
          </w:p>
        </w:tc>
      </w:tr>
      <w:tr w14:paraId="274E2B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7"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36C5D1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7</w:t>
            </w:r>
          </w:p>
        </w:tc>
        <w:tc>
          <w:tcPr>
            <w:tcW w:w="1110" w:type="dxa"/>
            <w:vMerge w:val="continue"/>
            <w:tcBorders>
              <w:left w:val="single" w:color="000000" w:sz="4" w:space="0"/>
              <w:right w:val="single" w:color="000000" w:sz="4" w:space="0"/>
            </w:tcBorders>
            <w:noWrap w:val="0"/>
            <w:vAlign w:val="center"/>
          </w:tcPr>
          <w:p w14:paraId="23F3C82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62F32A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产品创新性</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6336E5C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131208A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 xml:space="preserve">投标人所投的录播系统设备及智慧黑板具有软件著作证书的，每种产品有一种的，得1分；本项最高得2分。  </w:t>
            </w:r>
          </w:p>
        </w:tc>
      </w:tr>
      <w:tr w14:paraId="23A95F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510C78B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1110" w:type="dxa"/>
            <w:vMerge w:val="continue"/>
            <w:tcBorders>
              <w:left w:val="single" w:color="000000" w:sz="4" w:space="0"/>
              <w:right w:val="single" w:color="000000" w:sz="4" w:space="0"/>
            </w:tcBorders>
            <w:noWrap w:val="0"/>
            <w:vAlign w:val="center"/>
          </w:tcPr>
          <w:p w14:paraId="09CA068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A73CC3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项目现状及需求理解</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18C603F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2723EF9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投标人对本项目实施前，通过智慧校园分析，针对舟山第一小学勾山校区新建校区的现状情况、学校信息化教学需要、教室功能区划分情况等需求情况熟悉程度进行打分：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1）对舟山第一小学勾山校区新建校区现状、学校信息化教学需要（如备课、授课、设备管理）、教室功能区划分等情况非常熟悉，对本次项目相关建设需求理解深刻的，得5分；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2）对舟山第一小学勾山校区新建校区现状、学校信息化教学需要（如备课、授课、设备管理）、教室功能区划分等情况一般熟悉，对本次项目相关建设需求理解一般的，得3分；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 xml:space="preserve">3）对舟山第一小学勾山校区新建校区现状、学校信息化教学需要（如备课、授课、设备管理）、教室功能区划分等情况不熟悉，对本次项目相关建设需求理解差的，得1分； </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4）未做相关描述的不得分。</w:t>
            </w:r>
          </w:p>
        </w:tc>
      </w:tr>
      <w:tr w14:paraId="0815AA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75ECF5A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1110" w:type="dxa"/>
            <w:vMerge w:val="continue"/>
            <w:tcBorders>
              <w:left w:val="single" w:color="000000" w:sz="4" w:space="0"/>
              <w:right w:val="single" w:color="000000" w:sz="4" w:space="0"/>
            </w:tcBorders>
            <w:noWrap w:val="0"/>
            <w:vAlign w:val="center"/>
          </w:tcPr>
          <w:p w14:paraId="1E43412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264239F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整体技术方案</w:t>
            </w:r>
          </w:p>
        </w:tc>
        <w:tc>
          <w:tcPr>
            <w:tcW w:w="548" w:type="dxa"/>
            <w:tcBorders>
              <w:top w:val="single" w:color="000000" w:sz="4" w:space="0"/>
              <w:left w:val="single" w:color="000000" w:sz="4" w:space="0"/>
              <w:bottom w:val="single" w:color="auto" w:sz="4" w:space="0"/>
              <w:right w:val="single" w:color="000000" w:sz="4" w:space="0"/>
            </w:tcBorders>
            <w:noWrap w:val="0"/>
            <w:vAlign w:val="center"/>
          </w:tcPr>
          <w:p w14:paraId="79FE760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6056" w:type="dxa"/>
            <w:tcBorders>
              <w:top w:val="single" w:color="000000" w:sz="4" w:space="0"/>
              <w:left w:val="single" w:color="000000" w:sz="4" w:space="0"/>
              <w:bottom w:val="single" w:color="auto" w:sz="4" w:space="0"/>
              <w:right w:val="single" w:color="000000" w:sz="4" w:space="0"/>
            </w:tcBorders>
            <w:noWrap w:val="0"/>
            <w:vAlign w:val="center"/>
          </w:tcPr>
          <w:p w14:paraId="3F0D778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根据投标人对项目整体架构、产品功能设计、学校信息化教学需要的匹配性等描述，是否符合本项目的建设要求进行打分：</w:t>
            </w:r>
          </w:p>
          <w:p w14:paraId="6FAD7D3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方案整体架构清晰，产品功能设计科学合理，全面契合学校信息化教学和教学管理双重需求，产品具有明显特色或亮点功能，能够切实提升教师授课效率、学生课堂参与度和管理便捷性，完全符合本项目建设要求，得 5分；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2）方案架构较合理，产品功能较完善，能够满足主要教学与管理需求，产品设计具备一定亮点，如部分功能优化或智能化手段，但整体创新性或教学实用性一般，基本符合本项目建设要求，得 3分；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3）方案存在结构或逻辑问题，产品功能缺失或设计不合理，难以有效支撑课堂教学或管理工作，对教师或学生使用存在障碍，缺乏教学友好性或明显亮点，不符合项目要求，得 1 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4）未对方案架构、产品功能或匹配性进行有效描述，或内容与项目需求无关，得 0 分。</w:t>
            </w:r>
          </w:p>
        </w:tc>
      </w:tr>
      <w:tr w14:paraId="7106B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5" w:hRule="atLeast"/>
        </w:trPr>
        <w:tc>
          <w:tcPr>
            <w:tcW w:w="630" w:type="dxa"/>
            <w:tcBorders>
              <w:top w:val="single" w:color="000000" w:sz="4" w:space="0"/>
              <w:left w:val="single" w:color="000000" w:sz="4" w:space="0"/>
              <w:right w:val="single" w:color="000000" w:sz="4" w:space="0"/>
            </w:tcBorders>
            <w:noWrap/>
            <w:vAlign w:val="center"/>
          </w:tcPr>
          <w:p w14:paraId="7FE0970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6BABD5D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2FC5D6C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50AAF1A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048ADEE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0F3112B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57FE098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212375D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650A88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09C9BC1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10</w:t>
            </w:r>
          </w:p>
        </w:tc>
        <w:tc>
          <w:tcPr>
            <w:tcW w:w="1110" w:type="dxa"/>
            <w:vMerge w:val="continue"/>
            <w:tcBorders>
              <w:left w:val="single" w:color="000000" w:sz="4" w:space="0"/>
              <w:right w:val="single" w:color="000000" w:sz="4" w:space="0"/>
            </w:tcBorders>
            <w:noWrap w:val="0"/>
            <w:vAlign w:val="center"/>
          </w:tcPr>
          <w:p w14:paraId="22BD62A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right w:val="single" w:color="auto" w:sz="4" w:space="0"/>
            </w:tcBorders>
            <w:noWrap w:val="0"/>
            <w:vAlign w:val="center"/>
          </w:tcPr>
          <w:p w14:paraId="0F95C75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4B19CE8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76FA31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55C5EC4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088DBFF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7D666C21">
            <w:pPr>
              <w:keepNext w:val="0"/>
              <w:keepLines w:val="0"/>
              <w:pageBreakBefore w:val="0"/>
              <w:widowControl w:val="0"/>
              <w:kinsoku/>
              <w:wordWrap/>
              <w:overflowPunct/>
              <w:topLinePunct w:val="0"/>
              <w:autoSpaceDE/>
              <w:autoSpaceDN/>
              <w:bidi w:val="0"/>
              <w:adjustRightInd/>
              <w:snapToGrid/>
              <w:spacing w:line="300" w:lineRule="exact"/>
              <w:jc w:val="both"/>
              <w:textAlignment w:val="auto"/>
              <w:rPr>
                <w:rFonts w:hint="eastAsia" w:ascii="宋体" w:hAnsi="宋体" w:eastAsia="宋体" w:cs="宋体"/>
                <w:szCs w:val="21"/>
                <w:lang w:val="en-US" w:eastAsia="zh-CN"/>
              </w:rPr>
            </w:pPr>
          </w:p>
          <w:p w14:paraId="3CA2E7B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31A30FD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功能演示</w:t>
            </w:r>
          </w:p>
          <w:p w14:paraId="7A6FC9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p>
        </w:tc>
        <w:tc>
          <w:tcPr>
            <w:tcW w:w="548" w:type="dxa"/>
            <w:tcBorders>
              <w:top w:val="single" w:color="auto" w:sz="4" w:space="0"/>
              <w:left w:val="single" w:color="auto" w:sz="4" w:space="0"/>
              <w:right w:val="single" w:color="auto" w:sz="4" w:space="0"/>
            </w:tcBorders>
            <w:noWrap w:val="0"/>
            <w:vAlign w:val="center"/>
          </w:tcPr>
          <w:p w14:paraId="638DD4E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2949182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7B71FA7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64DAE0E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72176CD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63D937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7767476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186932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p w14:paraId="353782C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14</w:t>
            </w:r>
          </w:p>
        </w:tc>
        <w:tc>
          <w:tcPr>
            <w:tcW w:w="6056" w:type="dxa"/>
            <w:tcBorders>
              <w:top w:val="single" w:color="auto" w:sz="4" w:space="0"/>
              <w:left w:val="single" w:color="auto" w:sz="4" w:space="0"/>
              <w:bottom w:val="single" w:color="000000" w:sz="4" w:space="0"/>
              <w:right w:val="single" w:color="auto" w:sz="4" w:space="0"/>
            </w:tcBorders>
            <w:noWrap w:val="0"/>
            <w:vAlign w:val="center"/>
          </w:tcPr>
          <w:p w14:paraId="174CCDE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招标需求中所列的设备清单，需为录播室智能教学与辅助系统提供有效的硬件支撑，根据投标人的对录播室核心设备功能要求，评估其对教学互动、信息呈现与操作便捷性的支持能力进行综合打分。</w:t>
            </w:r>
          </w:p>
          <w:p w14:paraId="6C03A0B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录播室主要功能演示项主要分以下7点：</w:t>
            </w:r>
          </w:p>
          <w:p w14:paraId="46E40B8D">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演示录播主机采用高清液晶触控屏，非外接触控屏，通过触控屏可直接预监到导播画面；录播主机上具有三合一按键，短按息屏，长按系统可弹出10秒关机确认对话框，点击确认后系统执行关机命令，避免用户误操作；若倒计时内未确认或取消，系统自动关机；同时支持用户自设置息屏时间，可支持 1min、3min、5min、10min 多种时间选择；录制支持录播倒计时，3秒、5秒、8秒、10秒，点击录制，倒计时结束后自动开启录制。</w:t>
            </w:r>
          </w:p>
          <w:p w14:paraId="02ABFC3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演示直接在录播主机触控屏幕上，无需安装第三方软件，进行一键网络测速，针对服务联通性、网络稳定性、上行速度、下行速度、网络追踪性、网卡信息实时检测，检测结果以折线图方式实时呈现网络稳定性、上行速度和下行速度。</w:t>
            </w:r>
          </w:p>
          <w:p w14:paraId="1C974ED7">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3、演示录播主机无需通过第三方采集卡或者编码设备，只需一根USB线，连接机身上的TYPE-C接口与电脑USB接口，实现与视频会议软件对接，视频会议软件可调用录播主机的音视频信号；</w:t>
            </w:r>
          </w:p>
          <w:p w14:paraId="60B8B3D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演示无线麦克风采用领夹式双麦克风充电仓设计，方便收纳、使用；录播主机内置无线麦克风接收模块，无线麦克风从充电仓取出后，可实现自动与主机匹配连接；无线麦克风机身自带彩色显示屏，支持显示音量、电量、一键静音状态，录播主机屏幕可同步显示麦克风的信号强度与电量。</w:t>
            </w:r>
          </w:p>
          <w:p w14:paraId="62FB478E">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5、演示录播主机内置扬声器，无需外接音频外放设备情况下，可直接在录播主机一体化触控屏上播放已录制好的音视频文件；</w:t>
            </w:r>
          </w:p>
          <w:p w14:paraId="078DEB68">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6、演示通过访问录播主机序列号或者录播主机ip两种方式即可实现录播互联网远程运维能力，实现对主机系统MCU、音频处理器、麦克风、摄像机等所有设备版本的远程一键升级、3路高清接口和1路UVC接口的自定义画面输出设置、AI降噪等级低、中、高、关闭等设置和以姓名、手机号检索访问操作记录等操作，方便用户远程管控设备。</w:t>
            </w:r>
          </w:p>
          <w:p w14:paraId="301956C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7、演示录播主机支持2种录制视频自动分段模式：支持按照文件大小分段，可选择500MB，1GB，2GB进行分段录制；支持按照录制时长分段，可选择30分钟、60分钟；录播主机支持录制时长设定，支持设定时长包括 40 分钟、1 小时、2 小时、6小时、12 小时，用户可根据需要提前结束录制。</w:t>
            </w:r>
          </w:p>
          <w:p w14:paraId="35768B3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（本项总分14分，共包含7项考核内容，每项内容确认满足要求后得2分。）</w:t>
            </w:r>
          </w:p>
          <w:p w14:paraId="7E16BF1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注：以上演示功能提供录制视频形式，时长时间15分钟以内；“演示视频”以U盘为存储介质。在投标截止时间前邮寄或送至。供应商提供的演示视频如需专业软件播放的，投标供应商须同时提供安装包，否则出现无法正常读取、播出等情况，风险由投标供应商自行承担。U盘需密封包装且加盖公章。未提供U盘演示或者提供格式无法播放的不得分。</w:t>
            </w:r>
          </w:p>
        </w:tc>
      </w:tr>
      <w:tr w14:paraId="6409D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4"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58ABC04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11</w:t>
            </w:r>
          </w:p>
        </w:tc>
        <w:tc>
          <w:tcPr>
            <w:tcW w:w="1110" w:type="dxa"/>
            <w:vMerge w:val="continue"/>
            <w:tcBorders>
              <w:left w:val="single" w:color="000000" w:sz="4" w:space="0"/>
              <w:right w:val="single" w:color="000000" w:sz="4" w:space="0"/>
            </w:tcBorders>
            <w:noWrap w:val="0"/>
            <w:vAlign w:val="center"/>
          </w:tcPr>
          <w:p w14:paraId="015AD3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4601885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施工组织计划</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2C278EF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45D10C3A">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根据投标人的施工组织计划打分：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1）施工组织计划合理，能有效提高项目建设进度的，得2分；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2）施工组织计划较为合理，能较好地提高项目建设进度的，得1分；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3）施工组织计划不合理，无法提高项目建设进度的，0分。</w:t>
            </w:r>
          </w:p>
        </w:tc>
      </w:tr>
      <w:tr w14:paraId="73B33A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8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0C2D92D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12</w:t>
            </w:r>
          </w:p>
        </w:tc>
        <w:tc>
          <w:tcPr>
            <w:tcW w:w="1110" w:type="dxa"/>
            <w:vMerge w:val="continue"/>
            <w:tcBorders>
              <w:left w:val="single" w:color="000000" w:sz="4" w:space="0"/>
              <w:right w:val="single" w:color="000000" w:sz="4" w:space="0"/>
            </w:tcBorders>
            <w:noWrap w:val="0"/>
            <w:vAlign w:val="center"/>
          </w:tcPr>
          <w:p w14:paraId="5EBDB5D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0AECED3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安全保障措施</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4DFF092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0E339999">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根据投标人对本项目施工时的安全保障措施进行打分：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1）投标人具有明确的施工安全管理制度且合理的，得2分；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2）安全管理制度较为完善且较为合理的，得1分；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3）投标人无安全管理制度且对安全施工问题管力度不高的不得分。</w:t>
            </w:r>
          </w:p>
        </w:tc>
      </w:tr>
      <w:tr w14:paraId="2E3D0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1529FB6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13</w:t>
            </w:r>
          </w:p>
        </w:tc>
        <w:tc>
          <w:tcPr>
            <w:tcW w:w="1110" w:type="dxa"/>
            <w:vMerge w:val="continue"/>
            <w:tcBorders>
              <w:left w:val="single" w:color="000000" w:sz="4" w:space="0"/>
              <w:right w:val="single" w:color="000000" w:sz="4" w:space="0"/>
            </w:tcBorders>
            <w:noWrap w:val="0"/>
            <w:vAlign w:val="center"/>
          </w:tcPr>
          <w:p w14:paraId="5AAC4E9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3AC43EE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响应</w:t>
            </w:r>
          </w:p>
          <w:p w14:paraId="2366B92B">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及时性</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5397C0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4B9B6894">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投标人承诺的故障响应时间：</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1）电话即时响应，1小时内能到达现场处理故障的得3分；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2）电话即时响应，2小时内能到达现场处理故障的得2分；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3）电话非即时响应或2小时外到达现场处理故障的得1分。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注：供应商须提供服务网点到采购人项目实施场所（舟山第一小学勾山校区（新）——浙江省舟山市定海区临城工业园区四道1号）导航路线截图（承诺中标后成立服务网点的，须在合同签订前成立服务网点），不提供或评审小组认定承诺不合理的不得分。</w:t>
            </w:r>
          </w:p>
        </w:tc>
      </w:tr>
      <w:tr w14:paraId="07F85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02F234B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14</w:t>
            </w:r>
          </w:p>
        </w:tc>
        <w:tc>
          <w:tcPr>
            <w:tcW w:w="1110" w:type="dxa"/>
            <w:vMerge w:val="continue"/>
            <w:tcBorders>
              <w:left w:val="single" w:color="000000" w:sz="4" w:space="0"/>
              <w:right w:val="single" w:color="000000" w:sz="4" w:space="0"/>
            </w:tcBorders>
            <w:noWrap w:val="0"/>
            <w:vAlign w:val="center"/>
          </w:tcPr>
          <w:p w14:paraId="2391434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5D58235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服务期限</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52757F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1A59ADA6">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宋体" w:hAnsi="宋体" w:eastAsia="宋体" w:cs="宋体"/>
                <w:szCs w:val="21"/>
                <w:lang w:val="en-US" w:eastAsia="zh-CN"/>
              </w:rPr>
            </w:pPr>
            <w:r>
              <w:rPr>
                <w:rFonts w:hint="eastAsia" w:ascii="宋体" w:hAnsi="宋体" w:eastAsia="宋体" w:cs="宋体"/>
                <w:szCs w:val="21"/>
                <w:lang w:val="en-US" w:eastAsia="zh-CN"/>
              </w:rPr>
              <w:t>投标人须提供针对本项目不少于三年保修承诺，在3年基础上每增加一年服务期限得1分，总分最高不超过2分</w:t>
            </w:r>
            <w:r>
              <w:rPr>
                <w:rFonts w:hint="eastAsia" w:ascii="宋体" w:hAnsi="宋体" w:cs="宋体"/>
                <w:szCs w:val="21"/>
                <w:lang w:val="en-US" w:eastAsia="zh-CN"/>
              </w:rPr>
              <w:t>。</w:t>
            </w:r>
          </w:p>
        </w:tc>
      </w:tr>
      <w:tr w14:paraId="2E4D09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20E370E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15</w:t>
            </w:r>
          </w:p>
        </w:tc>
        <w:tc>
          <w:tcPr>
            <w:tcW w:w="1110" w:type="dxa"/>
            <w:vMerge w:val="continue"/>
            <w:tcBorders>
              <w:left w:val="single" w:color="000000" w:sz="4" w:space="0"/>
              <w:right w:val="single" w:color="000000" w:sz="4" w:space="0"/>
            </w:tcBorders>
            <w:noWrap w:val="0"/>
            <w:vAlign w:val="center"/>
          </w:tcPr>
          <w:p w14:paraId="13145E16">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0"/>
            <w:vAlign w:val="center"/>
          </w:tcPr>
          <w:p w14:paraId="60975A9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售后服务方案</w:t>
            </w:r>
          </w:p>
        </w:tc>
        <w:tc>
          <w:tcPr>
            <w:tcW w:w="548" w:type="dxa"/>
            <w:tcBorders>
              <w:top w:val="single" w:color="000000" w:sz="4" w:space="0"/>
              <w:left w:val="single" w:color="000000" w:sz="4" w:space="0"/>
              <w:bottom w:val="single" w:color="000000" w:sz="4" w:space="0"/>
              <w:right w:val="single" w:color="000000" w:sz="4" w:space="0"/>
            </w:tcBorders>
            <w:noWrap w:val="0"/>
            <w:vAlign w:val="center"/>
          </w:tcPr>
          <w:p w14:paraId="3442BA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6056" w:type="dxa"/>
            <w:tcBorders>
              <w:top w:val="single" w:color="000000" w:sz="4" w:space="0"/>
              <w:left w:val="single" w:color="000000" w:sz="4" w:space="0"/>
              <w:bottom w:val="single" w:color="000000" w:sz="4" w:space="0"/>
              <w:right w:val="single" w:color="000000" w:sz="4" w:space="0"/>
            </w:tcBorders>
            <w:noWrap w:val="0"/>
            <w:vAlign w:val="center"/>
          </w:tcPr>
          <w:p w14:paraId="79C00EA2">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根据投标人为本项目提供的售后服务方案进行打分：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1)售后服务方案完整，服务团队人员齐全，备品备件充足的，得4分；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2）售后服务方案较为完整，服务团队人员较为齐全，备品备件较为充足的，得2分；</w:t>
            </w:r>
            <w:r>
              <w:rPr>
                <w:rFonts w:hint="eastAsia" w:ascii="宋体" w:hAnsi="宋体" w:eastAsia="宋体" w:cs="宋体"/>
                <w:szCs w:val="21"/>
                <w:lang w:val="en-US" w:eastAsia="zh-CN"/>
              </w:rPr>
              <w:br w:type="textWrapping"/>
            </w:r>
            <w:r>
              <w:rPr>
                <w:rFonts w:hint="eastAsia" w:ascii="宋体" w:hAnsi="宋体" w:eastAsia="宋体" w:cs="宋体"/>
                <w:szCs w:val="21"/>
                <w:lang w:val="en-US" w:eastAsia="zh-CN"/>
              </w:rPr>
              <w:t>3）售后服务方案不完整，人员不齐，备品备件不足的，得0分</w:t>
            </w:r>
            <w:r>
              <w:rPr>
                <w:rFonts w:hint="eastAsia" w:ascii="宋体" w:hAnsi="宋体" w:cs="宋体"/>
                <w:szCs w:val="21"/>
                <w:lang w:val="en-US" w:eastAsia="zh-CN"/>
              </w:rPr>
              <w:t>。</w:t>
            </w:r>
          </w:p>
        </w:tc>
      </w:tr>
      <w:tr w14:paraId="11445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30" w:type="dxa"/>
            <w:tcBorders>
              <w:top w:val="single" w:color="000000" w:sz="4" w:space="0"/>
              <w:left w:val="single" w:color="000000" w:sz="4" w:space="0"/>
              <w:bottom w:val="single" w:color="000000" w:sz="4" w:space="0"/>
              <w:right w:val="single" w:color="000000" w:sz="4" w:space="0"/>
            </w:tcBorders>
            <w:noWrap/>
            <w:vAlign w:val="center"/>
          </w:tcPr>
          <w:p w14:paraId="271BCD3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16</w:t>
            </w:r>
          </w:p>
        </w:tc>
        <w:tc>
          <w:tcPr>
            <w:tcW w:w="1110" w:type="dxa"/>
            <w:vMerge w:val="continue"/>
            <w:tcBorders>
              <w:left w:val="single" w:color="000000" w:sz="4" w:space="0"/>
              <w:bottom w:val="single" w:color="000000" w:sz="4" w:space="0"/>
              <w:right w:val="single" w:color="000000" w:sz="4" w:space="0"/>
            </w:tcBorders>
            <w:noWrap/>
            <w:vAlign w:val="center"/>
          </w:tcPr>
          <w:p w14:paraId="25F19F5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14:paraId="1988B970">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合计</w:t>
            </w:r>
          </w:p>
        </w:tc>
        <w:tc>
          <w:tcPr>
            <w:tcW w:w="548" w:type="dxa"/>
            <w:tcBorders>
              <w:top w:val="single" w:color="000000" w:sz="4" w:space="0"/>
              <w:left w:val="single" w:color="000000" w:sz="4" w:space="0"/>
              <w:bottom w:val="single" w:color="000000" w:sz="4" w:space="0"/>
              <w:right w:val="single" w:color="000000" w:sz="4" w:space="0"/>
            </w:tcBorders>
            <w:noWrap/>
            <w:vAlign w:val="center"/>
          </w:tcPr>
          <w:p w14:paraId="313D16D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r>
              <w:rPr>
                <w:rFonts w:hint="eastAsia" w:ascii="宋体" w:hAnsi="宋体" w:eastAsia="宋体" w:cs="宋体"/>
                <w:szCs w:val="21"/>
                <w:lang w:val="en-US" w:eastAsia="zh-CN"/>
              </w:rPr>
              <w:t>100</w:t>
            </w:r>
          </w:p>
        </w:tc>
        <w:tc>
          <w:tcPr>
            <w:tcW w:w="6056" w:type="dxa"/>
            <w:tcBorders>
              <w:top w:val="single" w:color="000000" w:sz="4" w:space="0"/>
              <w:left w:val="single" w:color="000000" w:sz="4" w:space="0"/>
              <w:bottom w:val="single" w:color="000000" w:sz="4" w:space="0"/>
              <w:right w:val="single" w:color="000000" w:sz="4" w:space="0"/>
            </w:tcBorders>
            <w:noWrap/>
            <w:vAlign w:val="center"/>
          </w:tcPr>
          <w:p w14:paraId="73F7A84F">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Cs w:val="21"/>
                <w:lang w:val="en-US" w:eastAsia="zh-CN"/>
              </w:rPr>
            </w:pPr>
          </w:p>
        </w:tc>
      </w:tr>
    </w:tbl>
    <w:p w14:paraId="1A1D31DA">
      <w:pPr>
        <w:tabs>
          <w:tab w:val="left" w:pos="8280"/>
        </w:tabs>
        <w:spacing w:line="400" w:lineRule="exact"/>
        <w:jc w:val="left"/>
        <w:rPr>
          <w:rFonts w:hint="eastAsia" w:ascii="宋体" w:hAnsi="宋体" w:eastAsia="宋体" w:cs="宋体"/>
          <w:b/>
          <w:bCs w:val="0"/>
          <w:sz w:val="24"/>
          <w:szCs w:val="24"/>
        </w:rPr>
      </w:pPr>
    </w:p>
    <w:p w14:paraId="20119ABB">
      <w:pPr>
        <w:tabs>
          <w:tab w:val="left" w:pos="8280"/>
        </w:tabs>
        <w:spacing w:line="400" w:lineRule="exact"/>
        <w:jc w:val="left"/>
        <w:rPr>
          <w:rFonts w:hint="eastAsia" w:ascii="宋体" w:hAnsi="宋体" w:eastAsia="宋体" w:cs="宋体"/>
          <w:b/>
          <w:bCs w:val="0"/>
          <w:sz w:val="21"/>
          <w:szCs w:val="21"/>
        </w:rPr>
      </w:pPr>
      <w:r>
        <w:rPr>
          <w:rFonts w:hint="eastAsia" w:ascii="宋体" w:hAnsi="宋体" w:eastAsia="宋体" w:cs="宋体"/>
          <w:b/>
          <w:bCs w:val="0"/>
          <w:sz w:val="21"/>
          <w:szCs w:val="21"/>
        </w:rPr>
        <w:t>注：供应商应提供以上相关材料的复印件并加盖公章。</w:t>
      </w:r>
    </w:p>
    <w:p w14:paraId="23E361A6">
      <w:pPr>
        <w:pStyle w:val="12"/>
        <w:pageBreakBefore/>
        <w:snapToGrid w:val="0"/>
        <w:spacing w:before="120" w:line="360" w:lineRule="auto"/>
        <w:jc w:val="center"/>
        <w:outlineLvl w:val="0"/>
        <w:rPr>
          <w:rFonts w:ascii="黑体" w:hAnsi="宋体" w:eastAsia="黑体"/>
        </w:rPr>
      </w:pPr>
      <w:r>
        <w:rPr>
          <w:rFonts w:hint="eastAsia" w:ascii="黑体" w:hAnsi="宋体" w:eastAsia="黑体"/>
        </w:rPr>
        <w:t>第五章  合同主要条款</w:t>
      </w:r>
    </w:p>
    <w:p w14:paraId="38ABC6B8">
      <w:pPr>
        <w:spacing w:line="360" w:lineRule="auto"/>
        <w:jc w:val="center"/>
        <w:rPr>
          <w:rFonts w:ascii="宋体" w:hAnsi="宋体"/>
          <w:b/>
          <w:sz w:val="24"/>
        </w:rPr>
      </w:pPr>
      <w:r>
        <w:rPr>
          <w:rFonts w:hint="eastAsia" w:ascii="宋体" w:hAnsi="宋体"/>
          <w:b/>
          <w:sz w:val="24"/>
        </w:rPr>
        <w:t>合同主要条款（本合同为合同样稿，最终稿由双方协商后确定）</w:t>
      </w:r>
    </w:p>
    <w:p w14:paraId="67C53CC5">
      <w:pPr>
        <w:pStyle w:val="12"/>
        <w:keepNext w:val="0"/>
        <w:keepLines w:val="0"/>
        <w:pageBreakBefore w:val="0"/>
        <w:widowControl/>
        <w:kinsoku/>
        <w:wordWrap/>
        <w:overflowPunct/>
        <w:topLinePunct w:val="0"/>
        <w:autoSpaceDE/>
        <w:autoSpaceDN/>
        <w:bidi w:val="0"/>
        <w:snapToGrid w:val="0"/>
        <w:spacing w:line="360" w:lineRule="auto"/>
        <w:rPr>
          <w:rFonts w:hint="eastAsia" w:hAnsi="宋体" w:eastAsia="宋体" w:cs="宋体"/>
          <w:sz w:val="21"/>
          <w:szCs w:val="21"/>
        </w:rPr>
      </w:pPr>
    </w:p>
    <w:p w14:paraId="7FDB9F14">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项目名称：                                       项目编号：</w:t>
      </w:r>
    </w:p>
    <w:p w14:paraId="0AA9EEDD">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甲方：（买方）</w:t>
      </w:r>
    </w:p>
    <w:p w14:paraId="4DE64516">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乙方：（卖方）</w:t>
      </w:r>
    </w:p>
    <w:p w14:paraId="1110DD4A">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甲、乙双方关于</w:t>
      </w:r>
      <w:r>
        <w:rPr>
          <w:rFonts w:hint="eastAsia" w:hAnsi="宋体" w:eastAsia="宋体" w:cs="宋体"/>
          <w:sz w:val="21"/>
          <w:szCs w:val="21"/>
          <w:u w:val="single"/>
        </w:rPr>
        <w:t xml:space="preserve">       </w:t>
      </w:r>
      <w:r>
        <w:rPr>
          <w:rFonts w:hint="eastAsia" w:hAnsi="宋体" w:eastAsia="宋体" w:cs="宋体"/>
          <w:sz w:val="21"/>
          <w:szCs w:val="21"/>
          <w:u w:val="single"/>
          <w:lang w:val="en-US" w:eastAsia="zh-CN"/>
        </w:rPr>
        <w:t xml:space="preserve">  </w:t>
      </w:r>
      <w:r>
        <w:rPr>
          <w:rFonts w:hint="eastAsia" w:hAnsi="宋体" w:eastAsia="宋体" w:cs="宋体"/>
          <w:sz w:val="21"/>
          <w:szCs w:val="21"/>
          <w:u w:val="single"/>
        </w:rPr>
        <w:t xml:space="preserve">          </w:t>
      </w:r>
      <w:r>
        <w:rPr>
          <w:rFonts w:hint="eastAsia" w:hAnsi="宋体" w:eastAsia="宋体" w:cs="宋体"/>
          <w:sz w:val="21"/>
          <w:szCs w:val="21"/>
        </w:rPr>
        <w:t>项目（项目编号：</w:t>
      </w:r>
      <w:r>
        <w:rPr>
          <w:rFonts w:hint="eastAsia" w:hAnsi="宋体" w:eastAsia="宋体" w:cs="宋体"/>
          <w:sz w:val="21"/>
          <w:szCs w:val="21"/>
          <w:u w:val="single"/>
        </w:rPr>
        <w:t xml:space="preserve">    </w:t>
      </w:r>
      <w:r>
        <w:rPr>
          <w:rFonts w:hint="eastAsia" w:hAnsi="宋体" w:eastAsia="宋体" w:cs="宋体"/>
          <w:sz w:val="21"/>
          <w:szCs w:val="21"/>
          <w:u w:val="single"/>
          <w:lang w:val="en-US" w:eastAsia="zh-CN"/>
        </w:rPr>
        <w:t xml:space="preserve">  </w:t>
      </w:r>
      <w:r>
        <w:rPr>
          <w:rFonts w:hint="eastAsia" w:hAnsi="宋体" w:eastAsia="宋体" w:cs="宋体"/>
          <w:sz w:val="21"/>
          <w:szCs w:val="21"/>
          <w:u w:val="single"/>
        </w:rPr>
        <w:t xml:space="preserve">    </w:t>
      </w:r>
      <w:r>
        <w:rPr>
          <w:rFonts w:hint="eastAsia" w:hAnsi="宋体" w:eastAsia="宋体" w:cs="宋体"/>
          <w:sz w:val="21"/>
          <w:szCs w:val="21"/>
        </w:rPr>
        <w:t>）公开招标采购的结果，签署本合同。</w:t>
      </w:r>
    </w:p>
    <w:p w14:paraId="211CB9D1">
      <w:pPr>
        <w:keepNext w:val="0"/>
        <w:keepLines w:val="0"/>
        <w:pageBreakBefore w:val="0"/>
        <w:widowControl/>
        <w:kinsoku/>
        <w:wordWrap/>
        <w:overflowPunct/>
        <w:topLinePunct w:val="0"/>
        <w:autoSpaceDE/>
        <w:autoSpaceDN/>
        <w:bidi w:val="0"/>
        <w:spacing w:line="360" w:lineRule="auto"/>
        <w:ind w:firstLine="420"/>
        <w:rPr>
          <w:rFonts w:ascii="宋体" w:hAnsi="宋体" w:cs="宋体"/>
          <w:szCs w:val="21"/>
        </w:rPr>
      </w:pPr>
      <w:r>
        <w:rPr>
          <w:rFonts w:hint="eastAsia" w:ascii="宋体" w:hAnsi="宋体" w:cs="宋体"/>
          <w:szCs w:val="21"/>
        </w:rPr>
        <w:t>下列文件构成本合同的组成部分：</w:t>
      </w:r>
    </w:p>
    <w:p w14:paraId="79577C51">
      <w:pPr>
        <w:keepNext w:val="0"/>
        <w:keepLines w:val="0"/>
        <w:pageBreakBefore w:val="0"/>
        <w:widowControl/>
        <w:numPr>
          <w:ilvl w:val="0"/>
          <w:numId w:val="6"/>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合同条款</w:t>
      </w:r>
    </w:p>
    <w:p w14:paraId="56DA9ED0">
      <w:pPr>
        <w:keepNext w:val="0"/>
        <w:keepLines w:val="0"/>
        <w:pageBreakBefore w:val="0"/>
        <w:widowControl/>
        <w:numPr>
          <w:ilvl w:val="0"/>
          <w:numId w:val="6"/>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公开招标采购文件</w:t>
      </w:r>
    </w:p>
    <w:p w14:paraId="43672ADA">
      <w:pPr>
        <w:keepNext w:val="0"/>
        <w:keepLines w:val="0"/>
        <w:pageBreakBefore w:val="0"/>
        <w:widowControl/>
        <w:numPr>
          <w:ilvl w:val="0"/>
          <w:numId w:val="6"/>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有关补充文件</w:t>
      </w:r>
    </w:p>
    <w:p w14:paraId="63E6D4F2">
      <w:pPr>
        <w:keepNext w:val="0"/>
        <w:keepLines w:val="0"/>
        <w:pageBreakBefore w:val="0"/>
        <w:widowControl/>
        <w:numPr>
          <w:ilvl w:val="0"/>
          <w:numId w:val="6"/>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投标文件</w:t>
      </w:r>
    </w:p>
    <w:p w14:paraId="2138E0E4">
      <w:pPr>
        <w:keepNext w:val="0"/>
        <w:keepLines w:val="0"/>
        <w:pageBreakBefore w:val="0"/>
        <w:widowControl/>
        <w:numPr>
          <w:ilvl w:val="0"/>
          <w:numId w:val="6"/>
        </w:numPr>
        <w:kinsoku/>
        <w:wordWrap/>
        <w:overflowPunct/>
        <w:topLinePunct w:val="0"/>
        <w:autoSpaceDE/>
        <w:autoSpaceDN/>
        <w:bidi w:val="0"/>
        <w:adjustRightInd w:val="0"/>
        <w:spacing w:line="360" w:lineRule="auto"/>
        <w:textAlignment w:val="baseline"/>
        <w:rPr>
          <w:rFonts w:ascii="宋体" w:hAnsi="宋体" w:cs="宋体"/>
          <w:szCs w:val="21"/>
        </w:rPr>
      </w:pPr>
      <w:r>
        <w:rPr>
          <w:rFonts w:hint="eastAsia" w:ascii="宋体" w:hAnsi="宋体" w:cs="宋体"/>
          <w:szCs w:val="21"/>
        </w:rPr>
        <w:t>现场的书面承诺</w:t>
      </w:r>
    </w:p>
    <w:p w14:paraId="6B78F297">
      <w:pPr>
        <w:keepNext w:val="0"/>
        <w:keepLines w:val="0"/>
        <w:pageBreakBefore w:val="0"/>
        <w:widowControl/>
        <w:kinsoku/>
        <w:wordWrap/>
        <w:overflowPunct/>
        <w:topLinePunct w:val="0"/>
        <w:autoSpaceDE/>
        <w:autoSpaceDN/>
        <w:bidi w:val="0"/>
        <w:spacing w:line="360" w:lineRule="auto"/>
        <w:ind w:firstLine="420" w:firstLineChars="200"/>
        <w:rPr>
          <w:rFonts w:ascii="宋体" w:hAnsi="宋体" w:cs="宋体"/>
          <w:szCs w:val="21"/>
        </w:rPr>
      </w:pPr>
      <w:r>
        <w:rPr>
          <w:rFonts w:hint="eastAsia" w:ascii="宋体" w:hAnsi="宋体" w:cs="宋体"/>
          <w:szCs w:val="21"/>
        </w:rPr>
        <w:t>本合同的范围和条件应与上述文件内容一致。</w:t>
      </w:r>
    </w:p>
    <w:p w14:paraId="40454CAE">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一、货物内容</w:t>
      </w:r>
    </w:p>
    <w:p w14:paraId="5988DB0D">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附件：设备详细技术参数</w:t>
      </w:r>
    </w:p>
    <w:p w14:paraId="577D13B5">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二、合同金额</w:t>
      </w:r>
    </w:p>
    <w:p w14:paraId="338F97E7">
      <w:pPr>
        <w:pStyle w:val="12"/>
        <w:keepNext w:val="0"/>
        <w:keepLines w:val="0"/>
        <w:pageBreakBefore w:val="0"/>
        <w:widowControl/>
        <w:kinsoku/>
        <w:wordWrap/>
        <w:overflowPunct/>
        <w:topLinePunct w:val="0"/>
        <w:autoSpaceDE/>
        <w:autoSpaceDN/>
        <w:bidi w:val="0"/>
        <w:snapToGrid w:val="0"/>
        <w:spacing w:line="360" w:lineRule="auto"/>
        <w:ind w:left="359" w:hanging="359" w:hangingChars="171"/>
        <w:rPr>
          <w:rFonts w:hAnsi="宋体" w:eastAsia="宋体" w:cs="宋体"/>
          <w:sz w:val="21"/>
          <w:szCs w:val="21"/>
        </w:rPr>
      </w:pPr>
      <w:r>
        <w:rPr>
          <w:rFonts w:hint="eastAsia" w:hAnsi="宋体" w:eastAsia="宋体" w:cs="宋体"/>
          <w:sz w:val="21"/>
          <w:szCs w:val="21"/>
        </w:rPr>
        <w:t xml:space="preserve"> 本合同金额为（大写）：_______________元（￥___________元）人民币。</w:t>
      </w:r>
    </w:p>
    <w:p w14:paraId="48B7FE60">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三、技术资料</w:t>
      </w:r>
    </w:p>
    <w:p w14:paraId="67F3F0F2">
      <w:pPr>
        <w:pStyle w:val="12"/>
        <w:keepNext w:val="0"/>
        <w:keepLines w:val="0"/>
        <w:pageBreakBefore w:val="0"/>
        <w:widowControl/>
        <w:kinsoku/>
        <w:wordWrap/>
        <w:overflowPunct/>
        <w:topLinePunct w:val="0"/>
        <w:autoSpaceDE/>
        <w:autoSpaceDN/>
        <w:bidi w:val="0"/>
        <w:snapToGrid w:val="0"/>
        <w:spacing w:line="360" w:lineRule="auto"/>
        <w:ind w:left="359" w:hanging="359" w:hangingChars="171"/>
        <w:rPr>
          <w:rFonts w:hAnsi="宋体" w:eastAsia="宋体" w:cs="宋体"/>
          <w:sz w:val="21"/>
          <w:szCs w:val="21"/>
        </w:rPr>
      </w:pPr>
      <w:r>
        <w:rPr>
          <w:rFonts w:hint="eastAsia" w:hAnsi="宋体" w:eastAsia="宋体" w:cs="宋体"/>
          <w:sz w:val="21"/>
          <w:szCs w:val="21"/>
        </w:rPr>
        <w:t>1.乙方应按招标文件规定的时间向甲方提供使用货物的有关技术资料。</w:t>
      </w:r>
    </w:p>
    <w:p w14:paraId="38235612">
      <w:pPr>
        <w:pStyle w:val="12"/>
        <w:keepNext w:val="0"/>
        <w:keepLines w:val="0"/>
        <w:pageBreakBefore w:val="0"/>
        <w:widowControl/>
        <w:kinsoku/>
        <w:wordWrap/>
        <w:overflowPunct/>
        <w:topLinePunct w:val="0"/>
        <w:autoSpaceDE/>
        <w:autoSpaceDN/>
        <w:bidi w:val="0"/>
        <w:snapToGrid w:val="0"/>
        <w:spacing w:line="360" w:lineRule="auto"/>
        <w:ind w:left="1" w:right="-535"/>
        <w:rPr>
          <w:rFonts w:hAnsi="宋体" w:eastAsia="宋体" w:cs="宋体"/>
          <w:sz w:val="21"/>
          <w:szCs w:val="21"/>
        </w:rPr>
      </w:pPr>
      <w:r>
        <w:rPr>
          <w:rFonts w:hint="eastAsia" w:hAnsi="宋体" w:eastAsia="宋体" w:cs="宋体"/>
          <w:sz w:val="21"/>
          <w:szCs w:val="21"/>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5AA57D6">
      <w:pPr>
        <w:pStyle w:val="12"/>
        <w:keepNext w:val="0"/>
        <w:keepLines w:val="0"/>
        <w:pageBreakBefore w:val="0"/>
        <w:widowControl/>
        <w:kinsoku/>
        <w:wordWrap/>
        <w:overflowPunct/>
        <w:topLinePunct w:val="0"/>
        <w:autoSpaceDE/>
        <w:autoSpaceDN/>
        <w:bidi w:val="0"/>
        <w:snapToGrid w:val="0"/>
        <w:spacing w:line="360" w:lineRule="auto"/>
        <w:ind w:left="360" w:hanging="361" w:hangingChars="171"/>
        <w:rPr>
          <w:rFonts w:hAnsi="宋体" w:eastAsia="宋体" w:cs="宋体"/>
          <w:b/>
          <w:sz w:val="21"/>
          <w:szCs w:val="21"/>
        </w:rPr>
      </w:pPr>
      <w:r>
        <w:rPr>
          <w:rFonts w:hint="eastAsia" w:hAnsi="宋体" w:eastAsia="宋体" w:cs="宋体"/>
          <w:b/>
          <w:sz w:val="21"/>
          <w:szCs w:val="21"/>
        </w:rPr>
        <w:t>四、知识产权</w:t>
      </w:r>
    </w:p>
    <w:p w14:paraId="02EDF59B">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Cs/>
          <w:sz w:val="21"/>
          <w:szCs w:val="21"/>
        </w:rPr>
      </w:pPr>
      <w:r>
        <w:rPr>
          <w:rFonts w:hint="eastAsia" w:hAnsi="宋体" w:eastAsia="宋体" w:cs="宋体"/>
          <w:sz w:val="21"/>
          <w:szCs w:val="21"/>
        </w:rPr>
        <w:t>乙方应保证所提供的货物或其任何一部分均不会侵犯任何第三方的知识产权</w:t>
      </w:r>
      <w:r>
        <w:rPr>
          <w:rFonts w:hint="eastAsia" w:hAnsi="宋体" w:eastAsia="宋体" w:cs="宋体"/>
          <w:bCs/>
          <w:sz w:val="21"/>
          <w:szCs w:val="21"/>
        </w:rPr>
        <w:t>。</w:t>
      </w:r>
    </w:p>
    <w:p w14:paraId="601DB852">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u w:val="single"/>
        </w:rPr>
      </w:pPr>
      <w:r>
        <w:rPr>
          <w:rFonts w:hint="eastAsia" w:hAnsi="宋体" w:eastAsia="宋体" w:cs="宋体"/>
          <w:b/>
          <w:sz w:val="21"/>
          <w:szCs w:val="21"/>
        </w:rPr>
        <w:t>五、产权担保</w:t>
      </w:r>
    </w:p>
    <w:p w14:paraId="14AEB34F">
      <w:pPr>
        <w:pStyle w:val="12"/>
        <w:keepNext w:val="0"/>
        <w:keepLines w:val="0"/>
        <w:pageBreakBefore w:val="0"/>
        <w:widowControl/>
        <w:kinsoku/>
        <w:wordWrap/>
        <w:overflowPunct/>
        <w:topLinePunct w:val="0"/>
        <w:autoSpaceDE/>
        <w:autoSpaceDN/>
        <w:bidi w:val="0"/>
        <w:snapToGrid w:val="0"/>
        <w:spacing w:line="360" w:lineRule="auto"/>
        <w:ind w:left="357" w:hanging="357" w:hangingChars="170"/>
        <w:rPr>
          <w:rFonts w:hAnsi="宋体" w:eastAsia="宋体" w:cs="宋体"/>
          <w:sz w:val="21"/>
          <w:szCs w:val="21"/>
          <w:u w:val="single"/>
        </w:rPr>
      </w:pPr>
      <w:r>
        <w:rPr>
          <w:rFonts w:hint="eastAsia" w:hAnsi="宋体" w:eastAsia="宋体" w:cs="宋体"/>
          <w:sz w:val="21"/>
          <w:szCs w:val="21"/>
        </w:rPr>
        <w:t>乙方保证所交付的货物的所有权完全属于乙方且无任何抵押、查封等产权瑕疵。</w:t>
      </w:r>
    </w:p>
    <w:p w14:paraId="24DB5E73">
      <w:pPr>
        <w:pStyle w:val="12"/>
        <w:keepNext w:val="0"/>
        <w:keepLines w:val="0"/>
        <w:pageBreakBefore w:val="0"/>
        <w:widowControl/>
        <w:kinsoku/>
        <w:wordWrap/>
        <w:overflowPunct/>
        <w:topLinePunct w:val="0"/>
        <w:autoSpaceDE/>
        <w:autoSpaceDN/>
        <w:bidi w:val="0"/>
        <w:snapToGrid w:val="0"/>
        <w:spacing w:line="360" w:lineRule="auto"/>
        <w:ind w:left="358" w:hanging="358" w:hangingChars="170"/>
        <w:rPr>
          <w:rFonts w:hAnsi="宋体" w:eastAsia="宋体" w:cs="宋体"/>
          <w:b/>
          <w:sz w:val="21"/>
          <w:szCs w:val="21"/>
        </w:rPr>
      </w:pPr>
      <w:r>
        <w:rPr>
          <w:rFonts w:hint="eastAsia" w:hAnsi="宋体" w:eastAsia="宋体" w:cs="宋体"/>
          <w:b/>
          <w:sz w:val="21"/>
          <w:szCs w:val="21"/>
        </w:rPr>
        <w:t>六、履约保证金</w:t>
      </w:r>
    </w:p>
    <w:p w14:paraId="578F572C">
      <w:pPr>
        <w:pStyle w:val="12"/>
        <w:keepNext w:val="0"/>
        <w:keepLines w:val="0"/>
        <w:pageBreakBefore w:val="0"/>
        <w:widowControl/>
        <w:kinsoku/>
        <w:wordWrap/>
        <w:overflowPunct/>
        <w:topLinePunct w:val="0"/>
        <w:autoSpaceDE/>
        <w:autoSpaceDN/>
        <w:bidi w:val="0"/>
        <w:snapToGrid w:val="0"/>
        <w:spacing w:line="360" w:lineRule="auto"/>
        <w:ind w:left="357" w:hanging="357" w:hangingChars="170"/>
        <w:rPr>
          <w:rFonts w:hAnsi="宋体" w:eastAsia="宋体" w:cs="宋体"/>
          <w:sz w:val="21"/>
          <w:szCs w:val="21"/>
        </w:rPr>
      </w:pPr>
      <w:r>
        <w:rPr>
          <w:rFonts w:hint="eastAsia" w:hAnsi="宋体" w:eastAsia="宋体" w:cs="宋体"/>
          <w:sz w:val="21"/>
          <w:szCs w:val="21"/>
        </w:rPr>
        <w:t>乙方交纳人民币</w:t>
      </w:r>
      <w:r>
        <w:rPr>
          <w:rFonts w:hint="eastAsia" w:hAnsi="宋体" w:eastAsia="宋体" w:cs="宋体"/>
          <w:sz w:val="21"/>
          <w:szCs w:val="21"/>
          <w:u w:val="single"/>
          <w:lang w:val="en-US" w:eastAsia="zh-CN"/>
        </w:rPr>
        <w:t xml:space="preserve">         </w:t>
      </w:r>
      <w:r>
        <w:rPr>
          <w:rFonts w:hint="eastAsia" w:hAnsi="宋体" w:eastAsia="宋体" w:cs="宋体"/>
          <w:sz w:val="21"/>
          <w:szCs w:val="21"/>
        </w:rPr>
        <w:t>元作为本合同的履约保证金。</w:t>
      </w:r>
    </w:p>
    <w:p w14:paraId="1169241F">
      <w:pPr>
        <w:pStyle w:val="12"/>
        <w:keepNext w:val="0"/>
        <w:keepLines w:val="0"/>
        <w:pageBreakBefore w:val="0"/>
        <w:widowControl/>
        <w:kinsoku/>
        <w:wordWrap/>
        <w:overflowPunct/>
        <w:topLinePunct w:val="0"/>
        <w:autoSpaceDE/>
        <w:autoSpaceDN/>
        <w:bidi w:val="0"/>
        <w:snapToGrid w:val="0"/>
        <w:spacing w:line="360" w:lineRule="auto"/>
        <w:ind w:left="358" w:hanging="358" w:hangingChars="170"/>
        <w:rPr>
          <w:rFonts w:hAnsi="宋体" w:eastAsia="宋体" w:cs="宋体"/>
          <w:b/>
          <w:sz w:val="21"/>
          <w:szCs w:val="21"/>
        </w:rPr>
      </w:pPr>
      <w:r>
        <w:rPr>
          <w:rFonts w:hint="eastAsia" w:hAnsi="宋体" w:eastAsia="宋体" w:cs="宋体"/>
          <w:b/>
          <w:sz w:val="21"/>
          <w:szCs w:val="21"/>
        </w:rPr>
        <w:t>七、转包或分包</w:t>
      </w:r>
    </w:p>
    <w:p w14:paraId="5581C89B">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1.本合同范围的货物</w:t>
      </w:r>
      <w:r>
        <w:rPr>
          <w:rFonts w:hint="eastAsia" w:ascii="宋体" w:hAnsi="宋体" w:cs="宋体"/>
          <w:szCs w:val="21"/>
          <w:lang w:eastAsia="zh-CN"/>
        </w:rPr>
        <w:t>，</w:t>
      </w:r>
      <w:r>
        <w:rPr>
          <w:rFonts w:hint="eastAsia" w:ascii="宋体" w:hAnsi="宋体" w:cs="宋体"/>
          <w:szCs w:val="21"/>
        </w:rPr>
        <w:t>应由乙方直接供应</w:t>
      </w:r>
      <w:r>
        <w:rPr>
          <w:rFonts w:hint="eastAsia" w:ascii="宋体" w:hAnsi="宋体" w:cs="宋体"/>
          <w:szCs w:val="21"/>
          <w:lang w:eastAsia="zh-CN"/>
        </w:rPr>
        <w:t>，</w:t>
      </w:r>
      <w:r>
        <w:rPr>
          <w:rFonts w:hint="eastAsia" w:ascii="宋体" w:hAnsi="宋体" w:cs="宋体"/>
          <w:szCs w:val="21"/>
        </w:rPr>
        <w:t>不得转让他人供应；</w:t>
      </w:r>
    </w:p>
    <w:p w14:paraId="50FDC6E7">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2.除非得到甲方的书面同意</w:t>
      </w:r>
      <w:r>
        <w:rPr>
          <w:rFonts w:hint="eastAsia" w:ascii="宋体" w:hAnsi="宋体" w:cs="宋体"/>
          <w:szCs w:val="21"/>
          <w:lang w:eastAsia="zh-CN"/>
        </w:rPr>
        <w:t>，</w:t>
      </w:r>
      <w:r>
        <w:rPr>
          <w:rFonts w:hint="eastAsia" w:ascii="宋体" w:hAnsi="宋体" w:cs="宋体"/>
          <w:szCs w:val="21"/>
        </w:rPr>
        <w:t>乙方不得将本合同范围的货物全部或部分分包给他人供应；</w:t>
      </w:r>
    </w:p>
    <w:p w14:paraId="390EE2BA">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3.如有转让和未经甲方同意的分包行为</w:t>
      </w:r>
      <w:r>
        <w:rPr>
          <w:rFonts w:hint="eastAsia" w:ascii="宋体" w:hAnsi="宋体" w:cs="宋体"/>
          <w:szCs w:val="21"/>
          <w:lang w:eastAsia="zh-CN"/>
        </w:rPr>
        <w:t>，</w:t>
      </w:r>
      <w:r>
        <w:rPr>
          <w:rFonts w:hint="eastAsia" w:ascii="宋体" w:hAnsi="宋体" w:cs="宋体"/>
          <w:szCs w:val="21"/>
        </w:rPr>
        <w:t>甲方有权解除合同，没收履约保证金并追究乙方的违约责任。</w:t>
      </w:r>
    </w:p>
    <w:p w14:paraId="7DEDE505">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b/>
          <w:sz w:val="21"/>
          <w:szCs w:val="21"/>
        </w:rPr>
        <w:t>八、质保期</w:t>
      </w:r>
    </w:p>
    <w:p w14:paraId="3AC44A65">
      <w:pPr>
        <w:pStyle w:val="12"/>
        <w:keepNext w:val="0"/>
        <w:keepLines w:val="0"/>
        <w:pageBreakBefore w:val="0"/>
        <w:widowControl/>
        <w:kinsoku/>
        <w:wordWrap/>
        <w:overflowPunct/>
        <w:topLinePunct w:val="0"/>
        <w:autoSpaceDE/>
        <w:autoSpaceDN/>
        <w:bidi w:val="0"/>
        <w:snapToGrid w:val="0"/>
        <w:spacing w:line="360" w:lineRule="auto"/>
        <w:ind w:left="359" w:hanging="359" w:hangingChars="171"/>
        <w:rPr>
          <w:rFonts w:hAnsi="宋体" w:eastAsia="宋体" w:cs="宋体"/>
          <w:sz w:val="21"/>
          <w:szCs w:val="21"/>
        </w:rPr>
      </w:pPr>
      <w:r>
        <w:rPr>
          <w:rFonts w:hint="eastAsia" w:hAnsi="宋体" w:eastAsia="宋体" w:cs="宋体"/>
          <w:sz w:val="21"/>
          <w:szCs w:val="21"/>
        </w:rPr>
        <w:t>1.质保期整体</w:t>
      </w:r>
      <w:r>
        <w:rPr>
          <w:rFonts w:hint="eastAsia" w:hAnsi="宋体" w:eastAsia="宋体" w:cs="宋体"/>
          <w:sz w:val="21"/>
          <w:szCs w:val="21"/>
          <w:u w:val="single"/>
        </w:rPr>
        <w:t xml:space="preserve">  </w:t>
      </w:r>
      <w:r>
        <w:rPr>
          <w:rFonts w:hint="eastAsia" w:hAnsi="宋体" w:eastAsia="宋体" w:cs="宋体"/>
          <w:sz w:val="21"/>
          <w:szCs w:val="21"/>
          <w:u w:val="single"/>
          <w:lang w:val="en-US" w:eastAsia="zh-CN"/>
        </w:rPr>
        <w:t xml:space="preserve"> </w:t>
      </w:r>
      <w:r>
        <w:rPr>
          <w:rFonts w:hint="eastAsia" w:hAnsi="宋体" w:eastAsia="宋体" w:cs="宋体"/>
          <w:sz w:val="21"/>
          <w:szCs w:val="21"/>
          <w:u w:val="single"/>
        </w:rPr>
        <w:t xml:space="preserve"> </w:t>
      </w:r>
      <w:r>
        <w:rPr>
          <w:rFonts w:hint="eastAsia" w:hAnsi="宋体" w:eastAsia="宋体" w:cs="宋体"/>
          <w:sz w:val="21"/>
          <w:szCs w:val="21"/>
        </w:rPr>
        <w:t>年。（自交货验收合格之日起计）</w:t>
      </w:r>
    </w:p>
    <w:p w14:paraId="7A07BB93">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九、交货期、交货方式及交货地点</w:t>
      </w:r>
    </w:p>
    <w:p w14:paraId="03F7B1FC">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Cs/>
          <w:color w:val="000000"/>
          <w:sz w:val="21"/>
          <w:szCs w:val="21"/>
        </w:rPr>
      </w:pPr>
      <w:r>
        <w:rPr>
          <w:rFonts w:hint="eastAsia" w:hAnsi="宋体" w:eastAsia="宋体" w:cs="宋体"/>
          <w:bCs/>
          <w:sz w:val="21"/>
          <w:szCs w:val="21"/>
        </w:rPr>
        <w:t>1.交货期：</w:t>
      </w:r>
    </w:p>
    <w:p w14:paraId="02F7DB2F">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Cs/>
          <w:color w:val="000000"/>
          <w:sz w:val="21"/>
          <w:szCs w:val="21"/>
        </w:rPr>
      </w:pPr>
      <w:r>
        <w:rPr>
          <w:rFonts w:hint="eastAsia" w:hAnsi="宋体" w:eastAsia="宋体" w:cs="宋体"/>
          <w:bCs/>
          <w:color w:val="000000"/>
          <w:sz w:val="21"/>
          <w:szCs w:val="21"/>
        </w:rPr>
        <w:t>2.交货方式：</w:t>
      </w:r>
    </w:p>
    <w:p w14:paraId="14AF6820">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color w:val="000000"/>
          <w:sz w:val="21"/>
          <w:szCs w:val="21"/>
        </w:rPr>
      </w:pPr>
      <w:r>
        <w:rPr>
          <w:rFonts w:hint="eastAsia" w:hAnsi="宋体" w:eastAsia="宋体" w:cs="宋体"/>
          <w:bCs/>
          <w:color w:val="000000"/>
          <w:sz w:val="21"/>
          <w:szCs w:val="21"/>
        </w:rPr>
        <w:t>3.交货地点：</w:t>
      </w:r>
    </w:p>
    <w:p w14:paraId="3EF8E006">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color w:val="000000"/>
          <w:sz w:val="21"/>
          <w:szCs w:val="21"/>
        </w:rPr>
      </w:pPr>
      <w:r>
        <w:rPr>
          <w:rFonts w:hint="eastAsia" w:hAnsi="宋体" w:eastAsia="宋体" w:cs="宋体"/>
          <w:b/>
          <w:color w:val="000000"/>
          <w:sz w:val="21"/>
          <w:szCs w:val="21"/>
        </w:rPr>
        <w:t>十、货款支付</w:t>
      </w:r>
    </w:p>
    <w:p w14:paraId="1722DD1F">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Cs/>
          <w:sz w:val="21"/>
          <w:szCs w:val="21"/>
        </w:rPr>
      </w:pPr>
      <w:r>
        <w:rPr>
          <w:rFonts w:hint="eastAsia" w:hAnsi="宋体" w:eastAsia="宋体" w:cs="宋体"/>
          <w:bCs/>
          <w:sz w:val="21"/>
          <w:szCs w:val="21"/>
        </w:rPr>
        <w:t>1. 付款方式：</w:t>
      </w:r>
    </w:p>
    <w:p w14:paraId="1A2D5AD0">
      <w:pPr>
        <w:pStyle w:val="12"/>
        <w:keepNext w:val="0"/>
        <w:keepLines w:val="0"/>
        <w:pageBreakBefore w:val="0"/>
        <w:widowControl/>
        <w:kinsoku/>
        <w:wordWrap/>
        <w:overflowPunct/>
        <w:topLinePunct w:val="0"/>
        <w:autoSpaceDE/>
        <w:autoSpaceDN/>
        <w:bidi w:val="0"/>
        <w:snapToGrid w:val="0"/>
        <w:spacing w:line="360" w:lineRule="auto"/>
        <w:ind w:left="1"/>
        <w:rPr>
          <w:rFonts w:hAnsi="宋体" w:eastAsia="宋体" w:cs="宋体"/>
          <w:bCs/>
          <w:sz w:val="21"/>
          <w:szCs w:val="21"/>
        </w:rPr>
      </w:pPr>
      <w:r>
        <w:rPr>
          <w:rFonts w:hint="eastAsia" w:hAnsi="宋体" w:eastAsia="宋体" w:cs="宋体"/>
          <w:bCs/>
          <w:sz w:val="21"/>
          <w:szCs w:val="21"/>
        </w:rPr>
        <w:t>2.</w:t>
      </w:r>
      <w:r>
        <w:rPr>
          <w:rFonts w:hint="eastAsia" w:hAnsi="宋体" w:eastAsia="宋体" w:cs="宋体"/>
          <w:sz w:val="21"/>
          <w:szCs w:val="21"/>
        </w:rPr>
        <w:t>当采购数量与实际使用数量不一致时，乙方应根据实际使用量供货，合同的最终结算金额按实际使用量乘以成交单价进行计算。</w:t>
      </w:r>
    </w:p>
    <w:p w14:paraId="574AE291">
      <w:pPr>
        <w:keepNext w:val="0"/>
        <w:keepLines w:val="0"/>
        <w:pageBreakBefore w:val="0"/>
        <w:widowControl/>
        <w:kinsoku/>
        <w:wordWrap/>
        <w:overflowPunct/>
        <w:topLinePunct w:val="0"/>
        <w:autoSpaceDE/>
        <w:autoSpaceDN/>
        <w:bidi w:val="0"/>
        <w:snapToGrid w:val="0"/>
        <w:spacing w:line="360" w:lineRule="auto"/>
        <w:rPr>
          <w:rFonts w:ascii="宋体" w:hAnsi="宋体" w:cs="宋体"/>
          <w:b/>
          <w:szCs w:val="21"/>
        </w:rPr>
      </w:pPr>
      <w:r>
        <w:rPr>
          <w:rFonts w:hint="eastAsia" w:ascii="宋体" w:hAnsi="宋体" w:cs="宋体"/>
          <w:b/>
          <w:szCs w:val="21"/>
        </w:rPr>
        <w:t>十一、税费</w:t>
      </w:r>
    </w:p>
    <w:p w14:paraId="1804C3A6">
      <w:pPr>
        <w:keepNext w:val="0"/>
        <w:keepLines w:val="0"/>
        <w:pageBreakBefore w:val="0"/>
        <w:widowControl/>
        <w:kinsoku/>
        <w:wordWrap/>
        <w:overflowPunct/>
        <w:topLinePunct w:val="0"/>
        <w:autoSpaceDE/>
        <w:autoSpaceDN/>
        <w:bidi w:val="0"/>
        <w:snapToGrid w:val="0"/>
        <w:spacing w:line="360" w:lineRule="auto"/>
        <w:rPr>
          <w:rFonts w:ascii="宋体" w:hAnsi="宋体" w:cs="宋体"/>
          <w:szCs w:val="21"/>
        </w:rPr>
      </w:pPr>
      <w:r>
        <w:rPr>
          <w:rFonts w:hint="eastAsia" w:ascii="宋体" w:hAnsi="宋体" w:cs="宋体"/>
          <w:szCs w:val="21"/>
        </w:rPr>
        <w:t>本合同执行中相关的一切税费均由乙方负担。</w:t>
      </w:r>
    </w:p>
    <w:p w14:paraId="155B2D74">
      <w:pPr>
        <w:pStyle w:val="12"/>
        <w:keepNext w:val="0"/>
        <w:keepLines w:val="0"/>
        <w:pageBreakBefore w:val="0"/>
        <w:widowControl/>
        <w:kinsoku/>
        <w:wordWrap/>
        <w:overflowPunct/>
        <w:topLinePunct w:val="0"/>
        <w:autoSpaceDE/>
        <w:autoSpaceDN/>
        <w:bidi w:val="0"/>
        <w:snapToGrid w:val="0"/>
        <w:spacing w:line="360" w:lineRule="auto"/>
        <w:ind w:left="360" w:hanging="361" w:hangingChars="171"/>
        <w:rPr>
          <w:rFonts w:hAnsi="宋体" w:eastAsia="宋体" w:cs="宋体"/>
          <w:sz w:val="21"/>
          <w:szCs w:val="21"/>
        </w:rPr>
      </w:pPr>
      <w:r>
        <w:rPr>
          <w:rFonts w:hint="eastAsia" w:hAnsi="宋体" w:eastAsia="宋体" w:cs="宋体"/>
          <w:b/>
          <w:sz w:val="21"/>
          <w:szCs w:val="21"/>
        </w:rPr>
        <w:t>十二、质量保证及售后服务</w:t>
      </w:r>
    </w:p>
    <w:p w14:paraId="27F4BC2F">
      <w:pPr>
        <w:pStyle w:val="12"/>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1. 乙方应按招标文件规定的货物性能、技术要求、质量标准向甲方提供未经使用的全新产品。</w:t>
      </w:r>
    </w:p>
    <w:p w14:paraId="39C883AE">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2. 乙方提供的货物在质保期内因货物本身的质量问题发生故障，乙方应负责免费更换。对达不到技术要求者，根据实际情况，经双方协商，可按以下办法处理：</w:t>
      </w:r>
    </w:p>
    <w:p w14:paraId="1BF672F6">
      <w:pPr>
        <w:pStyle w:val="12"/>
        <w:keepNext w:val="0"/>
        <w:keepLines w:val="0"/>
        <w:pageBreakBefore w:val="0"/>
        <w:widowControl/>
        <w:kinsoku/>
        <w:wordWrap/>
        <w:overflowPunct/>
        <w:topLinePunct w:val="0"/>
        <w:autoSpaceDE/>
        <w:autoSpaceDN/>
        <w:bidi w:val="0"/>
        <w:snapToGrid w:val="0"/>
        <w:spacing w:line="360" w:lineRule="auto"/>
        <w:ind w:firstLine="420"/>
        <w:rPr>
          <w:rFonts w:hAnsi="宋体" w:eastAsia="宋体" w:cs="宋体"/>
          <w:sz w:val="21"/>
          <w:szCs w:val="21"/>
        </w:rPr>
      </w:pPr>
      <w:r>
        <w:rPr>
          <w:rFonts w:hint="eastAsia" w:hAnsi="宋体" w:eastAsia="宋体" w:cs="宋体"/>
          <w:sz w:val="21"/>
          <w:szCs w:val="21"/>
        </w:rPr>
        <w:t>⑴更换：由乙方承担所发生的全部费用。</w:t>
      </w:r>
    </w:p>
    <w:p w14:paraId="357F995B">
      <w:pPr>
        <w:pStyle w:val="12"/>
        <w:keepNext w:val="0"/>
        <w:keepLines w:val="0"/>
        <w:pageBreakBefore w:val="0"/>
        <w:widowControl/>
        <w:kinsoku/>
        <w:wordWrap/>
        <w:overflowPunct/>
        <w:topLinePunct w:val="0"/>
        <w:autoSpaceDE/>
        <w:autoSpaceDN/>
        <w:bidi w:val="0"/>
        <w:snapToGrid w:val="0"/>
        <w:spacing w:line="360" w:lineRule="auto"/>
        <w:ind w:firstLine="420"/>
        <w:rPr>
          <w:rFonts w:hAnsi="宋体" w:eastAsia="宋体" w:cs="宋体"/>
          <w:sz w:val="21"/>
          <w:szCs w:val="21"/>
        </w:rPr>
      </w:pPr>
      <w:r>
        <w:rPr>
          <w:rFonts w:hint="eastAsia" w:hAnsi="宋体" w:eastAsia="宋体" w:cs="宋体"/>
          <w:sz w:val="21"/>
          <w:szCs w:val="21"/>
        </w:rPr>
        <w:t>⑵贬值处理：由甲乙双方合议定价。</w:t>
      </w:r>
    </w:p>
    <w:p w14:paraId="58F9496C">
      <w:pPr>
        <w:pStyle w:val="12"/>
        <w:keepNext w:val="0"/>
        <w:keepLines w:val="0"/>
        <w:pageBreakBefore w:val="0"/>
        <w:widowControl/>
        <w:kinsoku/>
        <w:wordWrap/>
        <w:overflowPunct/>
        <w:topLinePunct w:val="0"/>
        <w:autoSpaceDE/>
        <w:autoSpaceDN/>
        <w:bidi w:val="0"/>
        <w:snapToGrid w:val="0"/>
        <w:spacing w:line="360" w:lineRule="auto"/>
        <w:ind w:left="420" w:leftChars="200"/>
        <w:rPr>
          <w:rFonts w:hAnsi="宋体" w:eastAsia="宋体" w:cs="宋体"/>
          <w:sz w:val="21"/>
          <w:szCs w:val="21"/>
        </w:rPr>
      </w:pPr>
      <w:r>
        <w:rPr>
          <w:rFonts w:hint="eastAsia" w:hAnsi="宋体" w:eastAsia="宋体" w:cs="宋体"/>
          <w:sz w:val="21"/>
          <w:szCs w:val="21"/>
        </w:rPr>
        <w:t>⑶退货处理：乙方应退还甲方支付的合同款，同时应承担该货物的直接费用（运输、保险、检验、货款利息及银行手续费等）。</w:t>
      </w:r>
    </w:p>
    <w:p w14:paraId="68A21A2E">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3. 如在使用过程中发生质量问题，乙方在接到甲方通知后</w:t>
      </w:r>
      <w:r>
        <w:rPr>
          <w:rFonts w:hint="eastAsia" w:hAnsi="宋体" w:eastAsia="宋体" w:cs="宋体"/>
          <w:color w:val="000000"/>
          <w:sz w:val="21"/>
          <w:szCs w:val="21"/>
        </w:rPr>
        <w:t>在小时</w:t>
      </w:r>
      <w:r>
        <w:rPr>
          <w:rFonts w:hint="eastAsia" w:hAnsi="宋体" w:eastAsia="宋体" w:cs="宋体"/>
          <w:sz w:val="21"/>
          <w:szCs w:val="21"/>
        </w:rPr>
        <w:t>内到达甲方现场。</w:t>
      </w:r>
    </w:p>
    <w:p w14:paraId="515DCF05">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4. 在质保期内，乙方应对货物出现的质量及安全问题负责处理解决并承担一切费用。</w:t>
      </w:r>
    </w:p>
    <w:p w14:paraId="24E00D6C">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color w:val="000000"/>
          <w:sz w:val="21"/>
          <w:szCs w:val="21"/>
        </w:rPr>
      </w:pPr>
      <w:r>
        <w:rPr>
          <w:rFonts w:hint="eastAsia" w:hAnsi="宋体" w:eastAsia="宋体" w:cs="宋体"/>
          <w:sz w:val="21"/>
          <w:szCs w:val="21"/>
        </w:rPr>
        <w:t xml:space="preserve">5. </w:t>
      </w:r>
      <w:r>
        <w:rPr>
          <w:rFonts w:hint="eastAsia" w:hAnsi="宋体" w:eastAsia="宋体" w:cs="宋体"/>
          <w:color w:val="000000"/>
          <w:sz w:val="21"/>
          <w:szCs w:val="21"/>
        </w:rPr>
        <w:t>因人为因素出现的故障不在免费保修范围内。超过质保期的，终身维修，维修时只收部件成本费。</w:t>
      </w:r>
    </w:p>
    <w:p w14:paraId="7C6B2F10">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十三、调试和验收</w:t>
      </w:r>
    </w:p>
    <w:p w14:paraId="2A0876A1">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甲方对乙方提交的货物依据招标文件上的技术规格要求和国家有关质量标准进行现场初步验收，外观、说明书符合招标文件技术要求的，给予签收，初步验收不合格的不予签收。货到后，甲方需在五个工作日内初步验收,</w:t>
      </w:r>
      <w:r>
        <w:rPr>
          <w:rFonts w:hint="eastAsia" w:hAnsi="宋体" w:eastAsia="宋体" w:cs="宋体"/>
          <w:sz w:val="21"/>
          <w:szCs w:val="21"/>
          <w:u w:val="single"/>
          <w:lang w:val="en-US" w:eastAsia="zh-CN"/>
        </w:rPr>
        <w:t xml:space="preserve">    </w:t>
      </w:r>
      <w:r>
        <w:rPr>
          <w:rFonts w:hint="eastAsia" w:hAnsi="宋体" w:eastAsia="宋体" w:cs="宋体"/>
          <w:sz w:val="21"/>
          <w:szCs w:val="21"/>
        </w:rPr>
        <w:t>月正式验收。</w:t>
      </w:r>
    </w:p>
    <w:p w14:paraId="3C73EF2D">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2.乙方交货前应对产品作出全面检查和对验收文件进行整理，并列出清单，作为甲方收货验收和使用的技术条件依据，检验的结果应随货物交甲方。</w:t>
      </w:r>
    </w:p>
    <w:p w14:paraId="4D02F385">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u w:val="single"/>
        </w:rPr>
      </w:pPr>
      <w:r>
        <w:rPr>
          <w:rFonts w:hint="eastAsia" w:hAnsi="宋体" w:eastAsia="宋体" w:cs="宋体"/>
          <w:sz w:val="21"/>
          <w:szCs w:val="21"/>
        </w:rPr>
        <w:t>3.甲方对乙方提供的货物在使用前进行调试时，乙方需负责安装并培训甲方的使用操作人员，并协助甲方一起调试，直到符合技术要求，甲方才做最终验收。</w:t>
      </w:r>
    </w:p>
    <w:p w14:paraId="49B6185B">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color w:val="000000"/>
          <w:sz w:val="21"/>
          <w:szCs w:val="21"/>
        </w:rPr>
        <w:t>4.</w:t>
      </w:r>
      <w:r>
        <w:rPr>
          <w:rFonts w:hint="eastAsia" w:hAnsi="宋体" w:eastAsia="宋体" w:cs="宋体"/>
          <w:sz w:val="21"/>
          <w:szCs w:val="21"/>
        </w:rPr>
        <w:t>甲方可以邀请非甲方单位的专家参与验收。</w:t>
      </w:r>
    </w:p>
    <w:p w14:paraId="1BEC8ACC">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color w:val="000000"/>
          <w:sz w:val="21"/>
          <w:szCs w:val="21"/>
        </w:rPr>
        <w:t>5.</w:t>
      </w:r>
      <w:r>
        <w:rPr>
          <w:rFonts w:hint="eastAsia" w:hAnsi="宋体" w:eastAsia="宋体" w:cs="宋体"/>
          <w:sz w:val="21"/>
          <w:szCs w:val="21"/>
        </w:rPr>
        <w:t>验收时乙方必须在现场，验收完毕后作出验收结果报告；验收费用由乙方负责。</w:t>
      </w:r>
    </w:p>
    <w:p w14:paraId="3193061E">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十四、货物包装、发运及运输</w:t>
      </w:r>
    </w:p>
    <w:p w14:paraId="6A6FCF9A">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乙方应在货物发运前对其进行满足运输距离、防潮、防震、防锈和防破损装卸等要求包装，以保证货物安全运达甲方指定地点。</w:t>
      </w:r>
    </w:p>
    <w:p w14:paraId="285D6FD7">
      <w:pPr>
        <w:pStyle w:val="12"/>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2. 使用说明书、质量检验证明书、随配附件和工具以及清单一并附于货物内。</w:t>
      </w:r>
    </w:p>
    <w:p w14:paraId="1218C5F6">
      <w:pPr>
        <w:pStyle w:val="12"/>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3. 乙方在货物发运手续办理完毕后24小时内或货到甲方48小时前通知甲方，以准备接货。</w:t>
      </w:r>
    </w:p>
    <w:p w14:paraId="6BD922FF">
      <w:pPr>
        <w:pStyle w:val="12"/>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4. 货物在交付甲方前发生的风险均由乙方负责。</w:t>
      </w:r>
    </w:p>
    <w:p w14:paraId="73E14AEB">
      <w:pPr>
        <w:pStyle w:val="12"/>
        <w:keepNext w:val="0"/>
        <w:keepLines w:val="0"/>
        <w:pageBreakBefore w:val="0"/>
        <w:widowControl/>
        <w:kinsoku/>
        <w:wordWrap/>
        <w:overflowPunct/>
        <w:topLinePunct w:val="0"/>
        <w:autoSpaceDE/>
        <w:autoSpaceDN/>
        <w:bidi w:val="0"/>
        <w:snapToGrid w:val="0"/>
        <w:spacing w:line="360" w:lineRule="auto"/>
        <w:ind w:right="28"/>
        <w:rPr>
          <w:rFonts w:hAnsi="宋体" w:eastAsia="宋体" w:cs="宋体"/>
          <w:sz w:val="21"/>
          <w:szCs w:val="21"/>
        </w:rPr>
      </w:pPr>
      <w:r>
        <w:rPr>
          <w:rFonts w:hint="eastAsia" w:hAnsi="宋体" w:eastAsia="宋体" w:cs="宋体"/>
          <w:sz w:val="21"/>
          <w:szCs w:val="21"/>
        </w:rPr>
        <w:t>5. 货物在规定的交付期限内由乙方送达甲方指定的地点视为交付，乙方同时需通知甲方货物已送达。</w:t>
      </w:r>
    </w:p>
    <w:p w14:paraId="19524376">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十五、违约责任</w:t>
      </w:r>
    </w:p>
    <w:p w14:paraId="050212CF">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甲方无正当理由拒收货物的，甲方向乙方偿付拒收货款总值的百分之五违约金。</w:t>
      </w:r>
    </w:p>
    <w:p w14:paraId="4831B2C9">
      <w:pPr>
        <w:pStyle w:val="12"/>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2. 甲方无故逾期验收和办理货款支付手续的,甲方应按逾期付款总额每日千分之六向乙方支付违约金。</w:t>
      </w:r>
    </w:p>
    <w:p w14:paraId="2C91DF2C">
      <w:pPr>
        <w:pStyle w:val="12"/>
        <w:keepNext w:val="0"/>
        <w:keepLines w:val="0"/>
        <w:pageBreakBefore w:val="0"/>
        <w:widowControl/>
        <w:kinsoku/>
        <w:wordWrap/>
        <w:overflowPunct/>
        <w:topLinePunct w:val="0"/>
        <w:autoSpaceDE/>
        <w:autoSpaceDN/>
        <w:bidi w:val="0"/>
        <w:snapToGrid w:val="0"/>
        <w:spacing w:line="360" w:lineRule="auto"/>
        <w:ind w:left="-8" w:leftChars="-24" w:hanging="42" w:hangingChars="20"/>
        <w:rPr>
          <w:rFonts w:hAnsi="宋体" w:eastAsia="宋体" w:cs="宋体"/>
          <w:sz w:val="21"/>
          <w:szCs w:val="21"/>
        </w:rPr>
      </w:pPr>
      <w:r>
        <w:rPr>
          <w:rFonts w:hint="eastAsia" w:hAnsi="宋体" w:eastAsia="宋体" w:cs="宋体"/>
          <w:sz w:val="21"/>
          <w:szCs w:val="21"/>
        </w:rPr>
        <w:t xml:space="preserve">3. 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 </w:t>
      </w:r>
    </w:p>
    <w:p w14:paraId="3B1FFF96">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4. 乙方所交的货物品种、型号、规格、技术参数、质量不符合合同规定及招标文件规定标准的，甲方有权拒收该货物，乙方愿意更换货物但逾期交货的，按乙方逾期交货处理。乙方拒绝更换货物的，甲方可单方面解除合同。</w:t>
      </w:r>
    </w:p>
    <w:p w14:paraId="32E12C64">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十六、不可抗力事件处理</w:t>
      </w:r>
    </w:p>
    <w:p w14:paraId="4BF7D629">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在合同有效期内，任何一方因不可抗力事件导致不能履行合同，则合同履行期可延长，其延长期与不可抗力影响期相同。</w:t>
      </w:r>
    </w:p>
    <w:p w14:paraId="4BA85A39">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2. 不可抗力事件发生后，应立即通知对方，并寄送有关权威机构出具的证明。</w:t>
      </w:r>
    </w:p>
    <w:p w14:paraId="31305832">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3. 不可抗力事件延续120天以上，双方应通过友好协商，确定是否继续履行合同。</w:t>
      </w:r>
    </w:p>
    <w:p w14:paraId="5968FC96">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十七、诉讼</w:t>
      </w:r>
    </w:p>
    <w:p w14:paraId="3DC1F44A">
      <w:pPr>
        <w:pStyle w:val="12"/>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1、双方在执行合同中所发生的一切争议，应通过协商解决。如协商不成，可向</w:t>
      </w:r>
      <w:r>
        <w:rPr>
          <w:rFonts w:hint="eastAsia" w:hAnsi="宋体" w:eastAsia="宋体" w:cs="宋体"/>
          <w:sz w:val="21"/>
          <w:szCs w:val="21"/>
          <w:u w:val="single"/>
        </w:rPr>
        <w:t>甲方</w:t>
      </w:r>
      <w:r>
        <w:rPr>
          <w:rFonts w:hint="eastAsia" w:hAnsi="宋体" w:eastAsia="宋体" w:cs="宋体"/>
          <w:sz w:val="21"/>
          <w:szCs w:val="21"/>
        </w:rPr>
        <w:t>所在地法院起诉。</w:t>
      </w:r>
    </w:p>
    <w:p w14:paraId="6B4DCDEF">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b/>
          <w:sz w:val="21"/>
          <w:szCs w:val="21"/>
        </w:rPr>
      </w:pPr>
      <w:r>
        <w:rPr>
          <w:rFonts w:hint="eastAsia" w:hAnsi="宋体" w:eastAsia="宋体" w:cs="宋体"/>
          <w:b/>
          <w:sz w:val="21"/>
          <w:szCs w:val="21"/>
        </w:rPr>
        <w:t>十八、合同生效及其它</w:t>
      </w:r>
    </w:p>
    <w:p w14:paraId="3D00BA77">
      <w:pPr>
        <w:pStyle w:val="12"/>
        <w:keepNext w:val="0"/>
        <w:keepLines w:val="0"/>
        <w:pageBreakBefore w:val="0"/>
        <w:widowControl/>
        <w:kinsoku/>
        <w:wordWrap/>
        <w:overflowPunct/>
        <w:topLinePunct w:val="0"/>
        <w:autoSpaceDE/>
        <w:autoSpaceDN/>
        <w:bidi w:val="0"/>
        <w:snapToGrid w:val="0"/>
        <w:spacing w:line="360" w:lineRule="auto"/>
        <w:rPr>
          <w:rFonts w:hAnsi="宋体" w:eastAsia="宋体" w:cs="宋体"/>
          <w:sz w:val="21"/>
          <w:szCs w:val="21"/>
        </w:rPr>
      </w:pPr>
      <w:r>
        <w:rPr>
          <w:rFonts w:hint="eastAsia" w:hAnsi="宋体" w:eastAsia="宋体" w:cs="宋体"/>
          <w:sz w:val="21"/>
          <w:szCs w:val="21"/>
        </w:rPr>
        <w:t>1. 合同经双方法定代表人或授权代表签字并加盖单位公章后生效。</w:t>
      </w:r>
    </w:p>
    <w:p w14:paraId="5BE5B278">
      <w:pPr>
        <w:pStyle w:val="12"/>
        <w:keepNext w:val="0"/>
        <w:keepLines w:val="0"/>
        <w:pageBreakBefore w:val="0"/>
        <w:widowControl/>
        <w:kinsoku/>
        <w:wordWrap/>
        <w:overflowPunct/>
        <w:topLinePunct w:val="0"/>
        <w:autoSpaceDE/>
        <w:autoSpaceDN/>
        <w:bidi w:val="0"/>
        <w:snapToGrid w:val="0"/>
        <w:spacing w:line="360" w:lineRule="auto"/>
        <w:ind w:left="420" w:hanging="420" w:hangingChars="200"/>
        <w:rPr>
          <w:rFonts w:hAnsi="宋体" w:eastAsia="宋体" w:cs="宋体"/>
          <w:sz w:val="21"/>
          <w:szCs w:val="21"/>
        </w:rPr>
      </w:pPr>
      <w:r>
        <w:rPr>
          <w:rFonts w:hint="eastAsia" w:hAnsi="宋体" w:eastAsia="宋体" w:cs="宋体"/>
          <w:sz w:val="21"/>
          <w:szCs w:val="21"/>
        </w:rPr>
        <w:t>2.本合同未尽事宜，遵照《民法典》有关条文执行。</w:t>
      </w:r>
    </w:p>
    <w:p w14:paraId="483E004B">
      <w:pPr>
        <w:pStyle w:val="12"/>
        <w:keepNext w:val="0"/>
        <w:keepLines w:val="0"/>
        <w:pageBreakBefore w:val="0"/>
        <w:widowControl/>
        <w:kinsoku/>
        <w:wordWrap/>
        <w:overflowPunct/>
        <w:topLinePunct w:val="0"/>
        <w:autoSpaceDE/>
        <w:autoSpaceDN/>
        <w:bidi w:val="0"/>
        <w:snapToGrid w:val="0"/>
        <w:spacing w:line="360" w:lineRule="auto"/>
        <w:ind w:left="1"/>
        <w:rPr>
          <w:rFonts w:hAnsi="宋体" w:eastAsia="宋体" w:cs="宋体"/>
          <w:sz w:val="21"/>
          <w:szCs w:val="21"/>
        </w:rPr>
      </w:pPr>
      <w:r>
        <w:rPr>
          <w:rFonts w:hint="eastAsia" w:hAnsi="宋体" w:eastAsia="宋体" w:cs="宋体"/>
          <w:sz w:val="21"/>
          <w:szCs w:val="21"/>
        </w:rPr>
        <w:t>3.本合同正本一式</w:t>
      </w:r>
      <w:r>
        <w:rPr>
          <w:rFonts w:hint="eastAsia" w:hAnsi="宋体" w:eastAsia="宋体" w:cs="宋体"/>
          <w:sz w:val="21"/>
          <w:szCs w:val="21"/>
          <w:lang w:val="en-US" w:eastAsia="zh-CN"/>
        </w:rPr>
        <w:t>五</w:t>
      </w:r>
      <w:r>
        <w:rPr>
          <w:rFonts w:hint="eastAsia" w:hAnsi="宋体" w:eastAsia="宋体" w:cs="宋体"/>
          <w:sz w:val="21"/>
          <w:szCs w:val="21"/>
        </w:rPr>
        <w:t>份，具有同等法律效力，甲乙双方各执</w:t>
      </w:r>
      <w:r>
        <w:rPr>
          <w:rFonts w:hint="eastAsia" w:hAnsi="宋体" w:eastAsia="宋体" w:cs="宋体"/>
          <w:sz w:val="21"/>
          <w:szCs w:val="21"/>
          <w:lang w:val="en-US" w:eastAsia="zh-CN"/>
        </w:rPr>
        <w:t>二</w:t>
      </w:r>
      <w:r>
        <w:rPr>
          <w:rFonts w:hint="eastAsia" w:hAnsi="宋体" w:eastAsia="宋体" w:cs="宋体"/>
          <w:sz w:val="21"/>
          <w:szCs w:val="21"/>
        </w:rPr>
        <w:t>份，一份由采购代理机构备存。</w:t>
      </w:r>
    </w:p>
    <w:p w14:paraId="26B851D7">
      <w:pPr>
        <w:pStyle w:val="12"/>
        <w:keepNext w:val="0"/>
        <w:keepLines w:val="0"/>
        <w:pageBreakBefore w:val="0"/>
        <w:widowControl/>
        <w:kinsoku/>
        <w:wordWrap/>
        <w:overflowPunct/>
        <w:topLinePunct w:val="0"/>
        <w:autoSpaceDE/>
        <w:autoSpaceDN/>
        <w:bidi w:val="0"/>
        <w:snapToGrid w:val="0"/>
        <w:spacing w:before="120" w:after="120" w:line="360" w:lineRule="auto"/>
        <w:ind w:left="420" w:hanging="420" w:hangingChars="200"/>
        <w:rPr>
          <w:rFonts w:hint="eastAsia" w:hAnsi="宋体" w:eastAsia="宋体" w:cs="宋体"/>
          <w:sz w:val="21"/>
          <w:szCs w:val="21"/>
        </w:rPr>
      </w:pPr>
      <w:r>
        <w:rPr>
          <w:rFonts w:hint="eastAsia" w:hAnsi="宋体" w:eastAsia="宋体" w:cs="宋体"/>
          <w:sz w:val="21"/>
          <w:szCs w:val="21"/>
        </w:rPr>
        <w:t xml:space="preserve"> </w:t>
      </w:r>
    </w:p>
    <w:p w14:paraId="6C3A8E8A">
      <w:pPr>
        <w:pStyle w:val="12"/>
        <w:keepNext w:val="0"/>
        <w:keepLines w:val="0"/>
        <w:pageBreakBefore w:val="0"/>
        <w:widowControl/>
        <w:kinsoku/>
        <w:wordWrap/>
        <w:overflowPunct/>
        <w:topLinePunct w:val="0"/>
        <w:autoSpaceDE/>
        <w:autoSpaceDN/>
        <w:bidi w:val="0"/>
        <w:snapToGrid w:val="0"/>
        <w:spacing w:before="120" w:after="120" w:line="360" w:lineRule="auto"/>
        <w:ind w:left="420" w:hanging="420" w:hangingChars="200"/>
        <w:rPr>
          <w:rFonts w:hint="eastAsia" w:hAnsi="宋体" w:eastAsia="宋体" w:cs="宋体"/>
          <w:sz w:val="21"/>
          <w:szCs w:val="21"/>
        </w:rPr>
      </w:pPr>
    </w:p>
    <w:p w14:paraId="1A4043A4">
      <w:pPr>
        <w:pStyle w:val="12"/>
        <w:keepNext w:val="0"/>
        <w:keepLines w:val="0"/>
        <w:pageBreakBefore w:val="0"/>
        <w:widowControl/>
        <w:kinsoku/>
        <w:wordWrap/>
        <w:overflowPunct/>
        <w:topLinePunct w:val="0"/>
        <w:autoSpaceDE/>
        <w:autoSpaceDN/>
        <w:bidi w:val="0"/>
        <w:snapToGrid w:val="0"/>
        <w:spacing w:before="120" w:after="120" w:line="360" w:lineRule="auto"/>
        <w:ind w:left="420" w:hanging="420" w:hangingChars="200"/>
        <w:rPr>
          <w:rFonts w:hint="eastAsia" w:hAnsi="宋体" w:eastAsia="宋体" w:cs="宋体"/>
          <w:sz w:val="21"/>
          <w:szCs w:val="21"/>
        </w:rPr>
      </w:pPr>
    </w:p>
    <w:p w14:paraId="21D809AD">
      <w:pPr>
        <w:pStyle w:val="12"/>
        <w:keepNext w:val="0"/>
        <w:keepLines w:val="0"/>
        <w:pageBreakBefore w:val="0"/>
        <w:widowControl/>
        <w:kinsoku/>
        <w:wordWrap/>
        <w:overflowPunct/>
        <w:topLinePunct w:val="0"/>
        <w:autoSpaceDE/>
        <w:autoSpaceDN/>
        <w:bidi w:val="0"/>
        <w:snapToGrid w:val="0"/>
        <w:spacing w:before="120" w:after="120" w:line="360" w:lineRule="auto"/>
        <w:ind w:left="420" w:leftChars="100" w:hanging="210" w:hangingChars="100"/>
        <w:rPr>
          <w:rFonts w:hAnsi="宋体" w:eastAsia="宋体" w:cs="宋体"/>
          <w:sz w:val="21"/>
          <w:szCs w:val="21"/>
        </w:rPr>
      </w:pPr>
      <w:r>
        <w:rPr>
          <w:rFonts w:hint="eastAsia" w:hAnsi="宋体" w:eastAsia="宋体" w:cs="宋体"/>
          <w:sz w:val="21"/>
          <w:szCs w:val="21"/>
        </w:rPr>
        <w:t xml:space="preserve">甲方（盖章）：                         </w:t>
      </w:r>
      <w:r>
        <w:rPr>
          <w:rFonts w:hint="eastAsia" w:hAnsi="宋体" w:eastAsia="宋体" w:cs="宋体"/>
          <w:sz w:val="21"/>
          <w:szCs w:val="21"/>
          <w:lang w:val="en-US" w:eastAsia="zh-CN"/>
        </w:rPr>
        <w:t xml:space="preserve">   </w:t>
      </w:r>
      <w:r>
        <w:rPr>
          <w:rFonts w:hint="eastAsia" w:hAnsi="宋体" w:eastAsia="宋体" w:cs="宋体"/>
          <w:sz w:val="21"/>
          <w:szCs w:val="21"/>
        </w:rPr>
        <w:t xml:space="preserve">乙方（盖章）： </w:t>
      </w:r>
    </w:p>
    <w:p w14:paraId="0D441B7D">
      <w:pPr>
        <w:pStyle w:val="12"/>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r>
        <w:rPr>
          <w:rFonts w:hint="eastAsia" w:hAnsi="宋体" w:eastAsia="宋体" w:cs="宋体"/>
          <w:sz w:val="21"/>
          <w:szCs w:val="21"/>
        </w:rPr>
        <w:t xml:space="preserve">  地址：                                   </w:t>
      </w:r>
      <w:r>
        <w:rPr>
          <w:rFonts w:hint="eastAsia" w:hAnsi="宋体" w:eastAsia="宋体" w:cs="宋体"/>
          <w:sz w:val="21"/>
          <w:szCs w:val="21"/>
          <w:lang w:val="en-US" w:eastAsia="zh-CN"/>
        </w:rPr>
        <w:t xml:space="preserve"> </w:t>
      </w:r>
      <w:r>
        <w:rPr>
          <w:rFonts w:hint="eastAsia" w:hAnsi="宋体" w:eastAsia="宋体" w:cs="宋体"/>
          <w:sz w:val="21"/>
          <w:szCs w:val="21"/>
        </w:rPr>
        <w:t xml:space="preserve">地址： </w:t>
      </w:r>
    </w:p>
    <w:p w14:paraId="0338340A">
      <w:pPr>
        <w:pStyle w:val="12"/>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r>
        <w:rPr>
          <w:rFonts w:hint="eastAsia" w:hAnsi="宋体" w:eastAsia="宋体" w:cs="宋体"/>
          <w:sz w:val="21"/>
          <w:szCs w:val="21"/>
        </w:rPr>
        <w:t xml:space="preserve">  法定（授权）代表人：                     </w:t>
      </w:r>
      <w:r>
        <w:rPr>
          <w:rFonts w:hint="eastAsia" w:hAnsi="宋体" w:eastAsia="宋体" w:cs="宋体"/>
          <w:sz w:val="21"/>
          <w:szCs w:val="21"/>
          <w:lang w:val="en-US" w:eastAsia="zh-CN"/>
        </w:rPr>
        <w:t xml:space="preserve"> </w:t>
      </w:r>
      <w:r>
        <w:rPr>
          <w:rFonts w:hint="eastAsia" w:hAnsi="宋体" w:eastAsia="宋体" w:cs="宋体"/>
          <w:sz w:val="21"/>
          <w:szCs w:val="21"/>
        </w:rPr>
        <w:t>法定（授权）代表人：</w:t>
      </w:r>
    </w:p>
    <w:p w14:paraId="7875B05E">
      <w:pPr>
        <w:pStyle w:val="12"/>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r>
        <w:rPr>
          <w:rFonts w:hint="eastAsia" w:hAnsi="宋体" w:eastAsia="宋体" w:cs="宋体"/>
          <w:sz w:val="21"/>
          <w:szCs w:val="21"/>
        </w:rPr>
        <w:t xml:space="preserve">  签字日期：      年 </w:t>
      </w:r>
      <w:r>
        <w:rPr>
          <w:rFonts w:hint="eastAsia" w:hAnsi="宋体" w:eastAsia="宋体" w:cs="宋体"/>
          <w:sz w:val="21"/>
          <w:szCs w:val="21"/>
          <w:lang w:val="en-US" w:eastAsia="zh-CN"/>
        </w:rPr>
        <w:t xml:space="preserve"> </w:t>
      </w:r>
      <w:r>
        <w:rPr>
          <w:rFonts w:hint="eastAsia" w:hAnsi="宋体" w:eastAsia="宋体" w:cs="宋体"/>
          <w:sz w:val="21"/>
          <w:szCs w:val="21"/>
        </w:rPr>
        <w:t xml:space="preserve"> 月 </w:t>
      </w:r>
      <w:r>
        <w:rPr>
          <w:rFonts w:hint="eastAsia" w:hAnsi="宋体" w:eastAsia="宋体" w:cs="宋体"/>
          <w:sz w:val="21"/>
          <w:szCs w:val="21"/>
          <w:lang w:val="en-US" w:eastAsia="zh-CN"/>
        </w:rPr>
        <w:t xml:space="preserve"> </w:t>
      </w:r>
      <w:r>
        <w:rPr>
          <w:rFonts w:hint="eastAsia" w:hAnsi="宋体" w:eastAsia="宋体" w:cs="宋体"/>
          <w:sz w:val="21"/>
          <w:szCs w:val="21"/>
        </w:rPr>
        <w:t xml:space="preserve"> 日  </w:t>
      </w:r>
      <w:r>
        <w:rPr>
          <w:rFonts w:hint="eastAsia" w:hAnsi="宋体" w:eastAsia="宋体" w:cs="宋体"/>
          <w:sz w:val="21"/>
          <w:szCs w:val="21"/>
          <w:lang w:val="en-US" w:eastAsia="zh-CN"/>
        </w:rPr>
        <w:t xml:space="preserve">            </w:t>
      </w:r>
      <w:r>
        <w:rPr>
          <w:rFonts w:hint="eastAsia" w:hAnsi="宋体" w:eastAsia="宋体" w:cs="宋体"/>
          <w:sz w:val="21"/>
          <w:szCs w:val="21"/>
        </w:rPr>
        <w:t>签字日期：      年  月  日</w:t>
      </w:r>
    </w:p>
    <w:p w14:paraId="119F959C">
      <w:pPr>
        <w:pStyle w:val="12"/>
        <w:keepNext w:val="0"/>
        <w:keepLines w:val="0"/>
        <w:pageBreakBefore w:val="0"/>
        <w:widowControl/>
        <w:kinsoku/>
        <w:wordWrap/>
        <w:overflowPunct/>
        <w:topLinePunct w:val="0"/>
        <w:autoSpaceDE/>
        <w:autoSpaceDN/>
        <w:bidi w:val="0"/>
        <w:snapToGrid w:val="0"/>
        <w:spacing w:before="120" w:after="120" w:line="360" w:lineRule="auto"/>
        <w:rPr>
          <w:rFonts w:hAnsi="宋体" w:eastAsia="宋体" w:cs="宋体"/>
          <w:sz w:val="21"/>
          <w:szCs w:val="21"/>
        </w:rPr>
      </w:pPr>
    </w:p>
    <w:p w14:paraId="69F24F68">
      <w:pPr>
        <w:keepNext w:val="0"/>
        <w:keepLines w:val="0"/>
        <w:pageBreakBefore w:val="0"/>
        <w:widowControl/>
        <w:kinsoku/>
        <w:wordWrap/>
        <w:overflowPunct/>
        <w:topLinePunct w:val="0"/>
        <w:autoSpaceDE/>
        <w:autoSpaceDN/>
        <w:bidi w:val="0"/>
        <w:spacing w:line="360" w:lineRule="auto"/>
        <w:ind w:firstLine="210" w:firstLineChars="100"/>
        <w:rPr>
          <w:rFonts w:ascii="宋体" w:hAnsi="宋体" w:cs="宋体"/>
          <w:color w:val="000000"/>
          <w:szCs w:val="21"/>
        </w:rPr>
      </w:pPr>
    </w:p>
    <w:p w14:paraId="0B60FBB5">
      <w:pPr>
        <w:keepNext w:val="0"/>
        <w:keepLines w:val="0"/>
        <w:pageBreakBefore w:val="0"/>
        <w:widowControl/>
        <w:kinsoku/>
        <w:wordWrap/>
        <w:overflowPunct/>
        <w:topLinePunct w:val="0"/>
        <w:autoSpaceDE/>
        <w:autoSpaceDN/>
        <w:bidi w:val="0"/>
        <w:spacing w:line="360" w:lineRule="auto"/>
        <w:ind w:right="3" w:firstLine="210" w:firstLineChars="100"/>
        <w:sectPr>
          <w:footerReference r:id="rId5" w:type="default"/>
          <w:pgSz w:w="11906" w:h="16838"/>
          <w:pgMar w:top="1106" w:right="1531" w:bottom="1304" w:left="1531" w:header="1304" w:footer="1304" w:gutter="0"/>
          <w:cols w:space="0" w:num="1"/>
        </w:sectPr>
      </w:pPr>
    </w:p>
    <w:p w14:paraId="35921C6D">
      <w:pPr>
        <w:pStyle w:val="12"/>
        <w:pageBreakBefore/>
        <w:snapToGrid w:val="0"/>
        <w:spacing w:before="120" w:line="360" w:lineRule="auto"/>
        <w:jc w:val="center"/>
        <w:outlineLvl w:val="0"/>
        <w:rPr>
          <w:rFonts w:ascii="黑体" w:hAnsi="宋体" w:eastAsia="黑体"/>
        </w:rPr>
      </w:pPr>
      <w:r>
        <w:rPr>
          <w:rFonts w:hint="eastAsia" w:ascii="黑体" w:hAnsi="宋体" w:eastAsia="黑体"/>
        </w:rPr>
        <w:t>第六章　投标文件格式</w:t>
      </w:r>
    </w:p>
    <w:p w14:paraId="4684BBF9">
      <w:pPr>
        <w:snapToGrid w:val="0"/>
        <w:spacing w:line="360" w:lineRule="auto"/>
        <w:ind w:right="-85"/>
        <w:rPr>
          <w:rFonts w:asciiTheme="minorEastAsia" w:hAnsiTheme="minorEastAsia" w:eastAsiaTheme="minorEastAsia"/>
          <w:sz w:val="24"/>
        </w:rPr>
      </w:pPr>
    </w:p>
    <w:p w14:paraId="15396E55">
      <w:pPr>
        <w:rPr>
          <w:rFonts w:asciiTheme="minorEastAsia" w:hAnsiTheme="minorEastAsia" w:eastAsiaTheme="minorEastAsia"/>
          <w:sz w:val="24"/>
        </w:rPr>
      </w:pPr>
      <w:r>
        <w:rPr>
          <w:rFonts w:hint="eastAsia" w:asciiTheme="minorEastAsia" w:hAnsiTheme="minorEastAsia" w:eastAsiaTheme="minorEastAsia"/>
          <w:sz w:val="24"/>
        </w:rPr>
        <w:t>一、备份投标文件封面格式</w:t>
      </w:r>
    </w:p>
    <w:p w14:paraId="305A140E">
      <w:pPr>
        <w:snapToGrid w:val="0"/>
        <w:spacing w:line="312" w:lineRule="auto"/>
        <w:ind w:right="-87"/>
        <w:rPr>
          <w:rFonts w:asciiTheme="minorEastAsia" w:hAnsiTheme="minorEastAsia" w:eastAsiaTheme="minorEastAsia"/>
          <w:sz w:val="28"/>
        </w:rPr>
      </w:pPr>
    </w:p>
    <w:p w14:paraId="13105682">
      <w:pPr>
        <w:pStyle w:val="9"/>
        <w:rPr>
          <w:rFonts w:asciiTheme="minorEastAsia" w:hAnsiTheme="minorEastAsia" w:eastAsiaTheme="minorEastAsia"/>
        </w:rPr>
      </w:pPr>
    </w:p>
    <w:p w14:paraId="1E1F95D2">
      <w:pPr>
        <w:snapToGrid w:val="0"/>
        <w:spacing w:line="312" w:lineRule="auto"/>
        <w:ind w:right="-87"/>
        <w:jc w:val="center"/>
        <w:rPr>
          <w:rFonts w:asciiTheme="minorEastAsia" w:hAnsiTheme="minorEastAsia" w:eastAsiaTheme="minorEastAsia"/>
          <w:sz w:val="44"/>
        </w:rPr>
      </w:pPr>
      <w:r>
        <w:rPr>
          <w:rFonts w:hint="eastAsia" w:asciiTheme="minorEastAsia" w:hAnsiTheme="minorEastAsia" w:eastAsiaTheme="minorEastAsia"/>
          <w:sz w:val="44"/>
        </w:rPr>
        <w:t>投 标 文 件</w:t>
      </w:r>
    </w:p>
    <w:p w14:paraId="71399CC7">
      <w:pPr>
        <w:pStyle w:val="9"/>
        <w:rPr>
          <w:rFonts w:asciiTheme="minorEastAsia" w:hAnsiTheme="minorEastAsia" w:eastAsiaTheme="minorEastAsia"/>
          <w:sz w:val="44"/>
        </w:rPr>
      </w:pPr>
    </w:p>
    <w:p w14:paraId="3E521AB3">
      <w:pPr>
        <w:pStyle w:val="9"/>
        <w:rPr>
          <w:rFonts w:asciiTheme="minorEastAsia" w:hAnsiTheme="minorEastAsia" w:eastAsiaTheme="minorEastAsia"/>
          <w:sz w:val="44"/>
        </w:rPr>
      </w:pPr>
    </w:p>
    <w:p w14:paraId="182BC0B1">
      <w:pPr>
        <w:pStyle w:val="9"/>
        <w:rPr>
          <w:rFonts w:asciiTheme="minorEastAsia" w:hAnsiTheme="minorEastAsia" w:eastAsiaTheme="minorEastAsia"/>
          <w:sz w:val="44"/>
        </w:rPr>
      </w:pPr>
    </w:p>
    <w:p w14:paraId="30E1D7E0">
      <w:pPr>
        <w:pStyle w:val="9"/>
        <w:rPr>
          <w:rFonts w:asciiTheme="minorEastAsia" w:hAnsiTheme="minorEastAsia" w:eastAsiaTheme="minorEastAsia"/>
          <w:sz w:val="44"/>
        </w:rPr>
      </w:pPr>
    </w:p>
    <w:p w14:paraId="786E1270">
      <w:pPr>
        <w:pStyle w:val="9"/>
        <w:rPr>
          <w:rFonts w:asciiTheme="minorEastAsia" w:hAnsiTheme="minorEastAsia" w:eastAsiaTheme="minorEastAsia"/>
          <w:sz w:val="44"/>
        </w:rPr>
      </w:pPr>
    </w:p>
    <w:p w14:paraId="17B2BEC2">
      <w:pPr>
        <w:pStyle w:val="9"/>
        <w:rPr>
          <w:rFonts w:asciiTheme="minorEastAsia" w:hAnsiTheme="minorEastAsia" w:eastAsiaTheme="minorEastAsia"/>
          <w:sz w:val="44"/>
        </w:rPr>
      </w:pPr>
    </w:p>
    <w:p w14:paraId="49AF8984">
      <w:pPr>
        <w:snapToGrid w:val="0"/>
        <w:spacing w:line="480" w:lineRule="auto"/>
        <w:ind w:right="-85" w:firstLine="1120" w:firstLineChars="400"/>
        <w:rPr>
          <w:rFonts w:asciiTheme="minorEastAsia" w:hAnsiTheme="minorEastAsia" w:eastAsiaTheme="minorEastAsia"/>
          <w:sz w:val="28"/>
        </w:rPr>
      </w:pPr>
      <w:r>
        <w:rPr>
          <w:rFonts w:hint="eastAsia" w:asciiTheme="minorEastAsia" w:hAnsiTheme="minorEastAsia" w:eastAsiaTheme="minorEastAsia"/>
          <w:sz w:val="28"/>
        </w:rPr>
        <w:t xml:space="preserve">项目名称： </w:t>
      </w:r>
    </w:p>
    <w:p w14:paraId="67794244">
      <w:pPr>
        <w:snapToGrid w:val="0"/>
        <w:spacing w:line="480" w:lineRule="auto"/>
        <w:ind w:right="-85" w:firstLine="560" w:firstLineChars="200"/>
        <w:rPr>
          <w:rFonts w:asciiTheme="minorEastAsia" w:hAnsiTheme="minorEastAsia" w:eastAsiaTheme="minorEastAsia"/>
          <w:sz w:val="28"/>
          <w:u w:val="single"/>
        </w:rPr>
      </w:pPr>
      <w:r>
        <w:rPr>
          <w:rFonts w:hint="eastAsia" w:asciiTheme="minorEastAsia" w:hAnsiTheme="minorEastAsia" w:eastAsiaTheme="minorEastAsia"/>
          <w:sz w:val="28"/>
        </w:rPr>
        <w:t xml:space="preserve">    项目编号：</w:t>
      </w:r>
    </w:p>
    <w:p w14:paraId="009A6F68">
      <w:pPr>
        <w:pStyle w:val="6"/>
        <w:snapToGrid w:val="0"/>
        <w:spacing w:line="480" w:lineRule="auto"/>
        <w:ind w:right="-85" w:firstLine="1164" w:firstLineChars="416"/>
        <w:rPr>
          <w:rFonts w:asciiTheme="minorEastAsia" w:hAnsiTheme="minorEastAsia" w:eastAsiaTheme="minorEastAsia"/>
          <w:sz w:val="28"/>
        </w:rPr>
      </w:pPr>
      <w:r>
        <w:rPr>
          <w:rFonts w:hint="eastAsia" w:asciiTheme="minorEastAsia" w:hAnsiTheme="minorEastAsia" w:eastAsiaTheme="minorEastAsia"/>
          <w:sz w:val="28"/>
        </w:rPr>
        <w:t>投标人名称：</w:t>
      </w:r>
      <w:r>
        <w:rPr>
          <w:rFonts w:hint="eastAsia" w:asciiTheme="minorEastAsia" w:hAnsiTheme="minorEastAsia" w:eastAsiaTheme="minorEastAsia"/>
          <w:sz w:val="28"/>
          <w:u w:val="single"/>
        </w:rPr>
        <w:t xml:space="preserve">                            （</w:t>
      </w:r>
      <w:r>
        <w:rPr>
          <w:rFonts w:hint="eastAsia" w:asciiTheme="minorEastAsia" w:hAnsiTheme="minorEastAsia" w:eastAsiaTheme="minorEastAsia"/>
          <w:sz w:val="28"/>
        </w:rPr>
        <w:t>加盖公章）</w:t>
      </w:r>
    </w:p>
    <w:p w14:paraId="2F47B295">
      <w:pPr>
        <w:pStyle w:val="6"/>
        <w:snapToGrid w:val="0"/>
        <w:spacing w:line="480" w:lineRule="auto"/>
        <w:ind w:right="-85" w:firstLine="1164" w:firstLineChars="416"/>
        <w:rPr>
          <w:rFonts w:asciiTheme="minorEastAsia" w:hAnsiTheme="minorEastAsia" w:eastAsiaTheme="minorEastAsia"/>
          <w:sz w:val="28"/>
          <w:u w:val="single"/>
        </w:rPr>
      </w:pPr>
      <w:r>
        <w:rPr>
          <w:rFonts w:hint="eastAsia" w:asciiTheme="minorEastAsia" w:hAnsiTheme="minorEastAsia" w:eastAsiaTheme="minorEastAsia"/>
          <w:sz w:val="28"/>
        </w:rPr>
        <w:t>投标人地址：</w:t>
      </w:r>
    </w:p>
    <w:p w14:paraId="7F7D34FB">
      <w:pPr>
        <w:pStyle w:val="6"/>
        <w:snapToGrid w:val="0"/>
        <w:spacing w:line="480" w:lineRule="auto"/>
        <w:ind w:right="-85" w:firstLine="1120" w:firstLineChars="400"/>
        <w:rPr>
          <w:rFonts w:asciiTheme="minorEastAsia" w:hAnsiTheme="minorEastAsia" w:eastAsiaTheme="minorEastAsia"/>
          <w:sz w:val="28"/>
          <w:u w:val="single"/>
        </w:rPr>
      </w:pPr>
      <w:r>
        <w:rPr>
          <w:rFonts w:hint="eastAsia" w:asciiTheme="minorEastAsia" w:hAnsiTheme="minorEastAsia" w:eastAsiaTheme="minorEastAsia"/>
          <w:sz w:val="28"/>
        </w:rPr>
        <w:t xml:space="preserve">投标联系人：电话 </w:t>
      </w:r>
    </w:p>
    <w:p w14:paraId="1AD5E4AF">
      <w:pPr>
        <w:snapToGrid w:val="0"/>
        <w:spacing w:line="480" w:lineRule="auto"/>
        <w:ind w:right="-85" w:firstLine="4080" w:firstLineChars="1700"/>
        <w:rPr>
          <w:rFonts w:asciiTheme="minorEastAsia" w:hAnsiTheme="minorEastAsia" w:eastAsiaTheme="minorEastAsia"/>
          <w:sz w:val="24"/>
        </w:rPr>
      </w:pPr>
    </w:p>
    <w:p w14:paraId="2DFE97CD">
      <w:pPr>
        <w:snapToGrid w:val="0"/>
        <w:spacing w:line="480" w:lineRule="auto"/>
        <w:ind w:right="-85" w:firstLine="645"/>
        <w:jc w:val="center"/>
        <w:rPr>
          <w:rFonts w:asciiTheme="minorEastAsia" w:hAnsiTheme="minorEastAsia" w:eastAsiaTheme="minorEastAsia"/>
          <w:sz w:val="24"/>
        </w:rPr>
      </w:pPr>
      <w:r>
        <w:rPr>
          <w:rFonts w:hint="eastAsia" w:asciiTheme="minorEastAsia" w:hAnsiTheme="minorEastAsia" w:eastAsiaTheme="minorEastAsia"/>
          <w:sz w:val="24"/>
        </w:rPr>
        <w:t xml:space="preserve">                                 年   月   日</w:t>
      </w:r>
    </w:p>
    <w:p w14:paraId="54D4D31D">
      <w:pPr>
        <w:snapToGrid w:val="0"/>
        <w:spacing w:line="312" w:lineRule="auto"/>
        <w:ind w:right="-87"/>
        <w:rPr>
          <w:rFonts w:asciiTheme="minorEastAsia" w:hAnsiTheme="minorEastAsia" w:eastAsiaTheme="minorEastAsia"/>
          <w:sz w:val="24"/>
          <w:u w:val="single"/>
        </w:rPr>
      </w:pPr>
    </w:p>
    <w:p w14:paraId="5038F45A">
      <w:pPr>
        <w:snapToGrid w:val="0"/>
        <w:spacing w:line="312" w:lineRule="auto"/>
        <w:ind w:right="-87"/>
        <w:rPr>
          <w:rFonts w:asciiTheme="minorEastAsia" w:hAnsiTheme="minorEastAsia" w:eastAsiaTheme="minorEastAsia"/>
          <w:sz w:val="24"/>
        </w:rPr>
        <w:sectPr>
          <w:pgSz w:w="11906" w:h="16838"/>
          <w:pgMar w:top="1304" w:right="1106" w:bottom="1304" w:left="1531" w:header="1304" w:footer="1304" w:gutter="0"/>
          <w:cols w:space="720" w:num="1"/>
        </w:sectPr>
      </w:pPr>
    </w:p>
    <w:p w14:paraId="500A5787">
      <w:pPr>
        <w:pStyle w:val="12"/>
        <w:numPr>
          <w:ilvl w:val="0"/>
          <w:numId w:val="7"/>
        </w:numPr>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投标报价一览表</w:t>
      </w:r>
    </w:p>
    <w:p w14:paraId="259BB819">
      <w:pPr>
        <w:pStyle w:val="13"/>
        <w:ind w:left="0"/>
      </w:pPr>
    </w:p>
    <w:p w14:paraId="3D3F74D0">
      <w:pPr>
        <w:snapToGrid w:val="0"/>
        <w:spacing w:before="50" w:after="50"/>
        <w:rPr>
          <w:rFonts w:asciiTheme="minorEastAsia" w:hAnsiTheme="minorEastAsia" w:eastAsiaTheme="minorEastAsia"/>
        </w:rPr>
      </w:pPr>
      <w:r>
        <w:rPr>
          <w:rFonts w:hint="eastAsia" w:asciiTheme="minorEastAsia" w:hAnsiTheme="minorEastAsia" w:eastAsiaTheme="minorEastAsia"/>
        </w:rPr>
        <w:t>项目名称：      项目编号：      投标人名称：       单位：元</w:t>
      </w:r>
    </w:p>
    <w:p w14:paraId="08E43231">
      <w:pPr>
        <w:pStyle w:val="9"/>
        <w:rPr>
          <w:rFonts w:ascii="宋体" w:hAnsi="宋体" w:cs="宋体"/>
        </w:rPr>
      </w:pPr>
    </w:p>
    <w:tbl>
      <w:tblPr>
        <w:tblStyle w:val="28"/>
        <w:tblW w:w="93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8"/>
        <w:gridCol w:w="7632"/>
      </w:tblGrid>
      <w:tr w14:paraId="34D98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6" w:hRule="atLeast"/>
        </w:trPr>
        <w:tc>
          <w:tcPr>
            <w:tcW w:w="1728" w:type="dxa"/>
            <w:tcBorders>
              <w:bottom w:val="single" w:color="auto" w:sz="4" w:space="0"/>
            </w:tcBorders>
            <w:vAlign w:val="center"/>
          </w:tcPr>
          <w:p w14:paraId="49D4919E">
            <w:pPr>
              <w:jc w:val="center"/>
              <w:rPr>
                <w:rFonts w:ascii="宋体" w:hAnsi="宋体" w:cs="宋体"/>
                <w:bCs/>
                <w:szCs w:val="21"/>
              </w:rPr>
            </w:pPr>
            <w:r>
              <w:rPr>
                <w:rFonts w:hint="eastAsia" w:ascii="宋体" w:hAnsi="宋体" w:cs="宋体"/>
                <w:szCs w:val="21"/>
              </w:rPr>
              <w:t>项目名称</w:t>
            </w:r>
          </w:p>
        </w:tc>
        <w:tc>
          <w:tcPr>
            <w:tcW w:w="7632" w:type="dxa"/>
            <w:tcBorders>
              <w:bottom w:val="single" w:color="auto" w:sz="4" w:space="0"/>
            </w:tcBorders>
            <w:vAlign w:val="center"/>
          </w:tcPr>
          <w:p w14:paraId="29125D7F">
            <w:pPr>
              <w:jc w:val="center"/>
              <w:rPr>
                <w:rFonts w:ascii="宋体" w:hAnsi="宋体" w:cs="宋体"/>
                <w:bCs/>
                <w:szCs w:val="21"/>
              </w:rPr>
            </w:pPr>
            <w:r>
              <w:rPr>
                <w:rFonts w:hint="eastAsia" w:ascii="宋体" w:hAnsi="宋体" w:cs="宋体"/>
                <w:bCs/>
                <w:szCs w:val="21"/>
              </w:rPr>
              <w:t xml:space="preserve"> </w:t>
            </w:r>
          </w:p>
        </w:tc>
      </w:tr>
      <w:tr w14:paraId="6F9A2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2" w:hRule="atLeast"/>
        </w:trPr>
        <w:tc>
          <w:tcPr>
            <w:tcW w:w="1728" w:type="dxa"/>
            <w:vAlign w:val="center"/>
          </w:tcPr>
          <w:p w14:paraId="36AAAABC">
            <w:pPr>
              <w:jc w:val="center"/>
              <w:rPr>
                <w:rFonts w:ascii="宋体" w:hAnsi="宋体" w:cs="宋体"/>
                <w:szCs w:val="21"/>
              </w:rPr>
            </w:pPr>
            <w:r>
              <w:rPr>
                <w:rFonts w:hint="eastAsia" w:ascii="宋体" w:hAnsi="宋体" w:cs="宋体"/>
                <w:szCs w:val="21"/>
              </w:rPr>
              <w:t>项目编号</w:t>
            </w:r>
          </w:p>
        </w:tc>
        <w:tc>
          <w:tcPr>
            <w:tcW w:w="7632" w:type="dxa"/>
            <w:vAlign w:val="center"/>
          </w:tcPr>
          <w:p w14:paraId="740B87C2">
            <w:pPr>
              <w:pStyle w:val="110"/>
              <w:widowControl w:val="0"/>
              <w:pBdr>
                <w:bottom w:val="none" w:color="auto" w:sz="0" w:space="0"/>
                <w:right w:val="none" w:color="auto" w:sz="0" w:space="0"/>
              </w:pBdr>
              <w:spacing w:before="0" w:beforeAutospacing="0" w:after="0" w:afterAutospacing="0" w:line="360" w:lineRule="auto"/>
              <w:rPr>
                <w:rFonts w:cs="宋体"/>
                <w:bCs/>
                <w:kern w:val="2"/>
                <w:szCs w:val="21"/>
              </w:rPr>
            </w:pPr>
            <w:r>
              <w:rPr>
                <w:rFonts w:hint="eastAsia" w:cs="宋体"/>
                <w:bCs/>
                <w:kern w:val="2"/>
                <w:szCs w:val="21"/>
              </w:rPr>
              <w:t xml:space="preserve"> </w:t>
            </w:r>
          </w:p>
        </w:tc>
      </w:tr>
      <w:tr w14:paraId="3C129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21" w:hRule="atLeast"/>
        </w:trPr>
        <w:tc>
          <w:tcPr>
            <w:tcW w:w="1728" w:type="dxa"/>
            <w:vAlign w:val="center"/>
          </w:tcPr>
          <w:p w14:paraId="037E012F">
            <w:pPr>
              <w:jc w:val="center"/>
              <w:rPr>
                <w:rFonts w:ascii="宋体" w:hAnsi="宋体" w:cs="宋体"/>
                <w:szCs w:val="21"/>
              </w:rPr>
            </w:pPr>
            <w:r>
              <w:rPr>
                <w:rFonts w:hint="eastAsia" w:ascii="宋体" w:hAnsi="宋体" w:cs="宋体"/>
                <w:szCs w:val="21"/>
              </w:rPr>
              <w:t>投标报价</w:t>
            </w:r>
          </w:p>
        </w:tc>
        <w:tc>
          <w:tcPr>
            <w:tcW w:w="7632" w:type="dxa"/>
            <w:vAlign w:val="center"/>
          </w:tcPr>
          <w:p w14:paraId="2D7CE9E9">
            <w:pPr>
              <w:spacing w:line="360" w:lineRule="auto"/>
              <w:ind w:firstLine="1575" w:firstLineChars="750"/>
              <w:rPr>
                <w:rFonts w:ascii="宋体" w:hAnsi="宋体" w:cs="宋体"/>
                <w:bCs/>
                <w:szCs w:val="21"/>
              </w:rPr>
            </w:pPr>
            <w:r>
              <w:rPr>
                <w:rFonts w:hint="eastAsia" w:ascii="宋体" w:hAnsi="宋体" w:cs="宋体"/>
                <w:bCs/>
                <w:szCs w:val="21"/>
              </w:rPr>
              <w:t>（小写）人民币</w:t>
            </w:r>
            <w:r>
              <w:rPr>
                <w:rFonts w:hint="eastAsia" w:ascii="宋体" w:hAnsi="宋体" w:cs="宋体"/>
                <w:bCs/>
                <w:szCs w:val="21"/>
                <w:u w:val="single"/>
              </w:rPr>
              <w:t xml:space="preserve">                </w:t>
            </w:r>
            <w:r>
              <w:rPr>
                <w:rFonts w:hint="eastAsia" w:ascii="宋体" w:hAnsi="宋体" w:cs="宋体"/>
                <w:bCs/>
                <w:szCs w:val="21"/>
              </w:rPr>
              <w:t>元</w:t>
            </w:r>
          </w:p>
          <w:p w14:paraId="75C0B61F">
            <w:pPr>
              <w:spacing w:line="360" w:lineRule="auto"/>
              <w:ind w:firstLine="1575" w:firstLineChars="750"/>
              <w:rPr>
                <w:rFonts w:ascii="宋体" w:hAnsi="宋体" w:cs="宋体"/>
                <w:bCs/>
                <w:szCs w:val="21"/>
                <w:u w:val="single"/>
              </w:rPr>
            </w:pPr>
            <w:r>
              <w:rPr>
                <w:rFonts w:hint="eastAsia" w:ascii="宋体" w:hAnsi="宋体" w:cs="宋体"/>
                <w:bCs/>
                <w:szCs w:val="21"/>
              </w:rPr>
              <w:t>（大写）人民币</w:t>
            </w:r>
            <w:r>
              <w:rPr>
                <w:rFonts w:hint="eastAsia" w:ascii="宋体" w:hAnsi="宋体" w:cs="宋体"/>
                <w:bCs/>
                <w:szCs w:val="21"/>
                <w:u w:val="single"/>
              </w:rPr>
              <w:t xml:space="preserve">                </w:t>
            </w:r>
            <w:r>
              <w:rPr>
                <w:rFonts w:hint="eastAsia" w:ascii="宋体" w:hAnsi="宋体" w:cs="宋体"/>
                <w:bCs/>
                <w:szCs w:val="21"/>
              </w:rPr>
              <w:t>元</w:t>
            </w:r>
          </w:p>
        </w:tc>
      </w:tr>
      <w:tr w14:paraId="43008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4" w:hRule="atLeast"/>
        </w:trPr>
        <w:tc>
          <w:tcPr>
            <w:tcW w:w="9360" w:type="dxa"/>
            <w:gridSpan w:val="2"/>
            <w:vAlign w:val="center"/>
          </w:tcPr>
          <w:p w14:paraId="2C4F0BC6">
            <w:pPr>
              <w:spacing w:line="400" w:lineRule="atLeast"/>
              <w:jc w:val="center"/>
              <w:rPr>
                <w:rFonts w:ascii="宋体" w:hAnsi="宋体" w:cs="宋体"/>
                <w:szCs w:val="21"/>
              </w:rPr>
            </w:pPr>
            <w:r>
              <w:rPr>
                <w:rFonts w:hint="eastAsia" w:ascii="宋体" w:hAnsi="宋体" w:cs="宋体"/>
                <w:szCs w:val="21"/>
              </w:rPr>
              <w:t>备注：详细内容见《投标报价明细表》。</w:t>
            </w:r>
          </w:p>
        </w:tc>
      </w:tr>
    </w:tbl>
    <w:p w14:paraId="36354C5A">
      <w:pPr>
        <w:snapToGrid w:val="0"/>
        <w:spacing w:before="50" w:after="50" w:line="360" w:lineRule="auto"/>
        <w:rPr>
          <w:rFonts w:asciiTheme="minorEastAsia" w:hAnsiTheme="minorEastAsia" w:eastAsiaTheme="minorEastAsia"/>
        </w:rPr>
      </w:pPr>
      <w:r>
        <w:rPr>
          <w:rFonts w:hint="eastAsia" w:asciiTheme="minorEastAsia" w:hAnsiTheme="minorEastAsia" w:eastAsiaTheme="minorEastAsia"/>
        </w:rPr>
        <w:t>注</w:t>
      </w:r>
      <w:r>
        <w:rPr>
          <w:rFonts w:asciiTheme="minorEastAsia" w:hAnsiTheme="minorEastAsia" w:eastAsiaTheme="minorEastAsia"/>
        </w:rPr>
        <w:t>: 1</w:t>
      </w:r>
      <w:r>
        <w:rPr>
          <w:rFonts w:hint="eastAsia" w:asciiTheme="minorEastAsia" w:hAnsiTheme="minorEastAsia" w:eastAsiaTheme="minorEastAsia"/>
        </w:rPr>
        <w:t>、报价一经涂改，应在涂改处加盖单位公章或者由法定代表人或授权委托人签字或盖章，否则其投标作无效标处理。</w:t>
      </w:r>
    </w:p>
    <w:p w14:paraId="277742E8">
      <w:pPr>
        <w:snapToGrid w:val="0"/>
        <w:spacing w:before="50" w:after="50" w:line="360" w:lineRule="auto"/>
        <w:ind w:firstLine="420" w:firstLineChars="200"/>
        <w:rPr>
          <w:rFonts w:hint="eastAsia" w:asciiTheme="minorEastAsia" w:hAnsiTheme="minorEastAsia" w:eastAsiaTheme="minorEastAsia"/>
          <w:lang w:eastAsia="zh-CN"/>
        </w:rPr>
      </w:pPr>
      <w:r>
        <w:rPr>
          <w:rFonts w:hint="eastAsia" w:asciiTheme="minorEastAsia" w:hAnsiTheme="minorEastAsia" w:eastAsiaTheme="minorEastAsia"/>
        </w:rPr>
        <w:t>2、项目费用包括项目实施所需的所有费用</w:t>
      </w:r>
      <w:r>
        <w:rPr>
          <w:rFonts w:hint="eastAsia" w:asciiTheme="minorEastAsia" w:hAnsiTheme="minorEastAsia" w:eastAsiaTheme="minorEastAsia"/>
          <w:lang w:eastAsia="zh-CN"/>
        </w:rPr>
        <w:t>。</w:t>
      </w:r>
    </w:p>
    <w:p w14:paraId="45D0F08A">
      <w:pPr>
        <w:snapToGrid w:val="0"/>
        <w:ind w:right="-341"/>
        <w:rPr>
          <w:rFonts w:asciiTheme="minorEastAsia" w:hAnsiTheme="minorEastAsia" w:eastAsiaTheme="minorEastAsia"/>
        </w:rPr>
      </w:pPr>
    </w:p>
    <w:p w14:paraId="1C6DABE8">
      <w:pPr>
        <w:snapToGrid w:val="0"/>
        <w:ind w:right="-341"/>
        <w:rPr>
          <w:rFonts w:hint="eastAsia" w:asciiTheme="minorEastAsia" w:hAnsiTheme="minorEastAsia" w:eastAsiaTheme="minorEastAsia"/>
        </w:rPr>
      </w:pPr>
    </w:p>
    <w:p w14:paraId="7110E654">
      <w:pPr>
        <w:snapToGrid w:val="0"/>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24AC9A12">
      <w:pPr>
        <w:snapToGrid w:val="0"/>
        <w:ind w:left="2" w:right="-817" w:rightChars="-389"/>
        <w:rPr>
          <w:rFonts w:asciiTheme="minorEastAsia" w:hAnsiTheme="minorEastAsia" w:eastAsiaTheme="minorEastAsia"/>
        </w:rPr>
      </w:pPr>
    </w:p>
    <w:p w14:paraId="2DFD2E48">
      <w:pPr>
        <w:snapToGrid w:val="0"/>
        <w:ind w:left="2" w:right="-817" w:rightChars="-389"/>
        <w:rPr>
          <w:rFonts w:asciiTheme="minorEastAsia" w:hAnsiTheme="minorEastAsia" w:eastAsiaTheme="minorEastAsia"/>
        </w:rPr>
      </w:pPr>
      <w:r>
        <w:rPr>
          <w:rFonts w:hint="eastAsia" w:asciiTheme="minorEastAsia" w:hAnsiTheme="minorEastAsia" w:eastAsiaTheme="minorEastAsia"/>
        </w:rPr>
        <w:t>投标人名称（盖章）：                                  日期：  年    月    日</w:t>
      </w:r>
    </w:p>
    <w:p w14:paraId="3B1A3CA8">
      <w:pPr>
        <w:snapToGrid w:val="0"/>
        <w:ind w:right="-341"/>
        <w:rPr>
          <w:rFonts w:asciiTheme="minorEastAsia" w:hAnsiTheme="minorEastAsia" w:eastAsiaTheme="minorEastAsia"/>
        </w:rPr>
      </w:pPr>
    </w:p>
    <w:p w14:paraId="0F08846D">
      <w:pPr>
        <w:pStyle w:val="20"/>
        <w:overflowPunct w:val="0"/>
        <w:autoSpaceDE w:val="0"/>
        <w:autoSpaceDN w:val="0"/>
        <w:adjustRightInd w:val="0"/>
        <w:snapToGrid w:val="0"/>
        <w:ind w:right="-341"/>
        <w:textAlignment w:val="baseline"/>
        <w:rPr>
          <w:rFonts w:asciiTheme="minorEastAsia" w:hAnsiTheme="minorEastAsia" w:eastAsiaTheme="minorEastAsia"/>
          <w:kern w:val="0"/>
        </w:rPr>
        <w:sectPr>
          <w:pgSz w:w="11906" w:h="16838"/>
          <w:pgMar w:top="1361" w:right="924" w:bottom="1134" w:left="1417" w:header="851" w:footer="851" w:gutter="0"/>
          <w:cols w:space="425" w:num="1"/>
          <w:docGrid w:linePitch="312" w:charSpace="0"/>
        </w:sectPr>
      </w:pPr>
    </w:p>
    <w:p w14:paraId="75BB1EFE">
      <w:pPr>
        <w:pStyle w:val="12"/>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三、投标报价明细表</w:t>
      </w:r>
    </w:p>
    <w:p w14:paraId="6C9319EA">
      <w:pPr>
        <w:pStyle w:val="12"/>
        <w:snapToGrid w:val="0"/>
        <w:rPr>
          <w:rFonts w:asciiTheme="minorEastAsia" w:hAnsiTheme="minorEastAsia" w:eastAsiaTheme="minorEastAsia"/>
          <w:b/>
          <w:sz w:val="28"/>
        </w:rPr>
      </w:pPr>
    </w:p>
    <w:p w14:paraId="6CD1A01E">
      <w:pPr>
        <w:spacing w:line="360" w:lineRule="auto"/>
        <w:rPr>
          <w:rFonts w:ascii="宋体" w:hAnsi="宋体" w:cs="宋体"/>
          <w:szCs w:val="21"/>
        </w:rPr>
      </w:pPr>
      <w:r>
        <w:rPr>
          <w:rFonts w:hint="eastAsia" w:ascii="宋体" w:hAnsi="宋体" w:cs="宋体"/>
          <w:szCs w:val="21"/>
        </w:rPr>
        <w:t>项目名称：                                              单位：人民币元</w:t>
      </w:r>
    </w:p>
    <w:p w14:paraId="30A7A36F">
      <w:pPr>
        <w:pStyle w:val="9"/>
        <w:rPr>
          <w:rFonts w:ascii="宋体" w:hAnsi="宋体" w:cs="宋体"/>
          <w:szCs w:val="21"/>
        </w:rPr>
      </w:pPr>
    </w:p>
    <w:tbl>
      <w:tblPr>
        <w:tblStyle w:val="28"/>
        <w:tblW w:w="9862"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1526"/>
        <w:gridCol w:w="992"/>
        <w:gridCol w:w="851"/>
        <w:gridCol w:w="850"/>
        <w:gridCol w:w="992"/>
        <w:gridCol w:w="831"/>
        <w:gridCol w:w="2268"/>
      </w:tblGrid>
      <w:tr w14:paraId="6AA307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trPr>
        <w:tc>
          <w:tcPr>
            <w:tcW w:w="1552" w:type="dxa"/>
            <w:shd w:val="clear" w:color="000000" w:fill="auto"/>
            <w:vAlign w:val="center"/>
          </w:tcPr>
          <w:p w14:paraId="2FEBD6CE">
            <w:pPr>
              <w:spacing w:line="360" w:lineRule="auto"/>
              <w:jc w:val="center"/>
              <w:rPr>
                <w:rFonts w:ascii="宋体" w:hAnsi="宋体" w:cs="宋体"/>
                <w:b/>
                <w:color w:val="auto"/>
                <w:highlight w:val="none"/>
              </w:rPr>
            </w:pPr>
            <w:r>
              <w:rPr>
                <w:rFonts w:hint="eastAsia" w:ascii="宋体" w:hAnsi="宋体" w:cs="宋体"/>
                <w:b/>
                <w:color w:val="auto"/>
                <w:highlight w:val="none"/>
              </w:rPr>
              <w:t>序号</w:t>
            </w:r>
          </w:p>
        </w:tc>
        <w:tc>
          <w:tcPr>
            <w:tcW w:w="1526" w:type="dxa"/>
            <w:shd w:val="clear" w:color="000000" w:fill="auto"/>
            <w:vAlign w:val="center"/>
          </w:tcPr>
          <w:p w14:paraId="45AA2EDB">
            <w:pPr>
              <w:spacing w:line="360" w:lineRule="auto"/>
              <w:jc w:val="center"/>
              <w:rPr>
                <w:rFonts w:ascii="宋体" w:hAnsi="宋体" w:cs="宋体"/>
                <w:b/>
                <w:color w:val="auto"/>
                <w:highlight w:val="none"/>
              </w:rPr>
            </w:pPr>
            <w:r>
              <w:rPr>
                <w:rFonts w:hint="eastAsia" w:ascii="宋体" w:hAnsi="宋体" w:cs="宋体"/>
                <w:b/>
                <w:color w:val="auto"/>
                <w:highlight w:val="none"/>
              </w:rPr>
              <w:t>名称</w:t>
            </w:r>
          </w:p>
        </w:tc>
        <w:tc>
          <w:tcPr>
            <w:tcW w:w="992" w:type="dxa"/>
            <w:shd w:val="clear" w:color="000000" w:fill="auto"/>
            <w:vAlign w:val="center"/>
          </w:tcPr>
          <w:p w14:paraId="031FD78A">
            <w:pPr>
              <w:spacing w:line="360" w:lineRule="auto"/>
              <w:jc w:val="center"/>
              <w:rPr>
                <w:rFonts w:ascii="宋体" w:hAnsi="宋体" w:cs="宋体"/>
                <w:b/>
                <w:color w:val="auto"/>
                <w:highlight w:val="none"/>
              </w:rPr>
            </w:pPr>
            <w:r>
              <w:rPr>
                <w:rFonts w:hint="eastAsia" w:ascii="宋体" w:hAnsi="宋体" w:cs="宋体"/>
                <w:b/>
                <w:color w:val="auto"/>
                <w:highlight w:val="none"/>
              </w:rPr>
              <w:t>品牌</w:t>
            </w:r>
          </w:p>
        </w:tc>
        <w:tc>
          <w:tcPr>
            <w:tcW w:w="851" w:type="dxa"/>
            <w:shd w:val="clear" w:color="000000" w:fill="auto"/>
            <w:vAlign w:val="center"/>
          </w:tcPr>
          <w:p w14:paraId="4FA7BCCF">
            <w:pPr>
              <w:spacing w:line="360" w:lineRule="auto"/>
              <w:jc w:val="center"/>
              <w:rPr>
                <w:rFonts w:ascii="宋体" w:hAnsi="宋体" w:cs="宋体"/>
                <w:b/>
                <w:color w:val="auto"/>
                <w:highlight w:val="none"/>
              </w:rPr>
            </w:pPr>
            <w:r>
              <w:rPr>
                <w:rFonts w:hint="eastAsia" w:ascii="宋体" w:hAnsi="宋体" w:cs="宋体"/>
                <w:b/>
                <w:color w:val="auto"/>
                <w:highlight w:val="none"/>
              </w:rPr>
              <w:t>型号</w:t>
            </w:r>
          </w:p>
        </w:tc>
        <w:tc>
          <w:tcPr>
            <w:tcW w:w="850" w:type="dxa"/>
            <w:shd w:val="clear" w:color="000000" w:fill="auto"/>
            <w:vAlign w:val="center"/>
          </w:tcPr>
          <w:p w14:paraId="7D9C4C7D">
            <w:pPr>
              <w:spacing w:line="360" w:lineRule="auto"/>
              <w:jc w:val="center"/>
              <w:rPr>
                <w:rFonts w:ascii="宋体" w:hAnsi="宋体" w:cs="宋体"/>
                <w:b/>
                <w:color w:val="auto"/>
                <w:highlight w:val="none"/>
              </w:rPr>
            </w:pPr>
            <w:r>
              <w:rPr>
                <w:rFonts w:hint="eastAsia" w:ascii="宋体" w:hAnsi="宋体" w:cs="宋体"/>
                <w:b/>
                <w:color w:val="auto"/>
                <w:highlight w:val="none"/>
              </w:rPr>
              <w:t>单价</w:t>
            </w:r>
          </w:p>
        </w:tc>
        <w:tc>
          <w:tcPr>
            <w:tcW w:w="992" w:type="dxa"/>
            <w:shd w:val="clear" w:color="000000" w:fill="auto"/>
            <w:vAlign w:val="center"/>
          </w:tcPr>
          <w:p w14:paraId="32039A8D">
            <w:pPr>
              <w:spacing w:line="360" w:lineRule="auto"/>
              <w:jc w:val="center"/>
              <w:rPr>
                <w:rFonts w:ascii="宋体" w:hAnsi="宋体" w:cs="宋体"/>
                <w:b/>
                <w:color w:val="auto"/>
                <w:highlight w:val="none"/>
              </w:rPr>
            </w:pPr>
            <w:r>
              <w:rPr>
                <w:rFonts w:hint="eastAsia" w:ascii="宋体" w:hAnsi="宋体" w:cs="宋体"/>
                <w:b/>
                <w:color w:val="auto"/>
                <w:highlight w:val="none"/>
              </w:rPr>
              <w:t>数量</w:t>
            </w:r>
          </w:p>
        </w:tc>
        <w:tc>
          <w:tcPr>
            <w:tcW w:w="831" w:type="dxa"/>
            <w:shd w:val="clear" w:color="000000" w:fill="auto"/>
            <w:vAlign w:val="center"/>
          </w:tcPr>
          <w:p w14:paraId="2DD7EBBD">
            <w:pPr>
              <w:spacing w:line="360" w:lineRule="auto"/>
              <w:ind w:left="12"/>
              <w:jc w:val="center"/>
              <w:rPr>
                <w:rFonts w:ascii="宋体" w:hAnsi="宋体" w:cs="宋体"/>
                <w:b/>
                <w:color w:val="auto"/>
                <w:highlight w:val="none"/>
              </w:rPr>
            </w:pPr>
            <w:r>
              <w:rPr>
                <w:rFonts w:hint="eastAsia" w:ascii="宋体" w:hAnsi="宋体" w:cs="宋体"/>
                <w:b/>
                <w:color w:val="auto"/>
                <w:highlight w:val="none"/>
              </w:rPr>
              <w:t>单位</w:t>
            </w:r>
          </w:p>
        </w:tc>
        <w:tc>
          <w:tcPr>
            <w:tcW w:w="2268" w:type="dxa"/>
            <w:shd w:val="clear" w:color="000000" w:fill="auto"/>
            <w:vAlign w:val="center"/>
          </w:tcPr>
          <w:p w14:paraId="2F5BE6FB">
            <w:pPr>
              <w:spacing w:line="360" w:lineRule="auto"/>
              <w:jc w:val="center"/>
              <w:rPr>
                <w:rFonts w:ascii="宋体" w:hAnsi="宋体" w:cs="宋体"/>
                <w:b/>
                <w:color w:val="auto"/>
                <w:highlight w:val="none"/>
              </w:rPr>
            </w:pPr>
            <w:r>
              <w:rPr>
                <w:rFonts w:hint="eastAsia" w:ascii="宋体" w:hAnsi="宋体" w:cs="宋体"/>
                <w:b/>
                <w:color w:val="auto"/>
                <w:highlight w:val="none"/>
              </w:rPr>
              <w:t>小计</w:t>
            </w:r>
          </w:p>
        </w:tc>
      </w:tr>
      <w:tr w14:paraId="0DDDE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552" w:type="dxa"/>
            <w:vAlign w:val="center"/>
          </w:tcPr>
          <w:p w14:paraId="66D5AF04">
            <w:pPr>
              <w:spacing w:line="360" w:lineRule="auto"/>
              <w:jc w:val="center"/>
              <w:rPr>
                <w:rFonts w:ascii="宋体" w:hAnsi="宋体" w:cs="宋体"/>
                <w:color w:val="auto"/>
                <w:highlight w:val="none"/>
              </w:rPr>
            </w:pPr>
          </w:p>
        </w:tc>
        <w:tc>
          <w:tcPr>
            <w:tcW w:w="1526" w:type="dxa"/>
            <w:vAlign w:val="center"/>
          </w:tcPr>
          <w:p w14:paraId="34FAC5D3">
            <w:pPr>
              <w:spacing w:line="360" w:lineRule="auto"/>
              <w:rPr>
                <w:rFonts w:ascii="宋体" w:hAnsi="宋体"/>
                <w:color w:val="auto"/>
                <w:highlight w:val="none"/>
              </w:rPr>
            </w:pPr>
          </w:p>
        </w:tc>
        <w:tc>
          <w:tcPr>
            <w:tcW w:w="992" w:type="dxa"/>
            <w:vAlign w:val="center"/>
          </w:tcPr>
          <w:p w14:paraId="4464BB86">
            <w:pPr>
              <w:spacing w:line="360" w:lineRule="auto"/>
              <w:jc w:val="center"/>
              <w:rPr>
                <w:rFonts w:ascii="宋体" w:hAnsi="宋体"/>
                <w:color w:val="auto"/>
                <w:highlight w:val="none"/>
              </w:rPr>
            </w:pPr>
          </w:p>
        </w:tc>
        <w:tc>
          <w:tcPr>
            <w:tcW w:w="851" w:type="dxa"/>
            <w:vAlign w:val="center"/>
          </w:tcPr>
          <w:p w14:paraId="44DDE72D">
            <w:pPr>
              <w:jc w:val="center"/>
              <w:rPr>
                <w:rFonts w:ascii="宋体" w:hAnsi="宋体" w:cs="宋体"/>
                <w:color w:val="auto"/>
                <w:highlight w:val="none"/>
              </w:rPr>
            </w:pPr>
          </w:p>
        </w:tc>
        <w:tc>
          <w:tcPr>
            <w:tcW w:w="850" w:type="dxa"/>
            <w:vAlign w:val="center"/>
          </w:tcPr>
          <w:p w14:paraId="5855A8F2">
            <w:pPr>
              <w:jc w:val="center"/>
              <w:rPr>
                <w:rFonts w:ascii="宋体" w:hAnsi="宋体" w:cs="宋体"/>
                <w:color w:val="auto"/>
                <w:highlight w:val="none"/>
              </w:rPr>
            </w:pPr>
          </w:p>
        </w:tc>
        <w:tc>
          <w:tcPr>
            <w:tcW w:w="992" w:type="dxa"/>
            <w:vAlign w:val="center"/>
          </w:tcPr>
          <w:p w14:paraId="32EA17A9">
            <w:pPr>
              <w:jc w:val="center"/>
              <w:rPr>
                <w:rFonts w:ascii="宋体" w:hAnsi="宋体" w:cs="宋体"/>
                <w:color w:val="auto"/>
                <w:highlight w:val="none"/>
              </w:rPr>
            </w:pPr>
          </w:p>
        </w:tc>
        <w:tc>
          <w:tcPr>
            <w:tcW w:w="831" w:type="dxa"/>
            <w:vAlign w:val="center"/>
          </w:tcPr>
          <w:p w14:paraId="5BB9EC01">
            <w:pPr>
              <w:jc w:val="center"/>
              <w:rPr>
                <w:rFonts w:ascii="宋体" w:hAnsi="宋体" w:cs="宋体"/>
                <w:color w:val="auto"/>
                <w:highlight w:val="none"/>
              </w:rPr>
            </w:pPr>
          </w:p>
        </w:tc>
        <w:tc>
          <w:tcPr>
            <w:tcW w:w="2268" w:type="dxa"/>
            <w:vAlign w:val="center"/>
          </w:tcPr>
          <w:p w14:paraId="46E16C5A">
            <w:pPr>
              <w:spacing w:line="360" w:lineRule="auto"/>
              <w:jc w:val="center"/>
              <w:rPr>
                <w:rFonts w:ascii="宋体" w:hAnsi="宋体" w:cs="宋体"/>
                <w:color w:val="auto"/>
                <w:highlight w:val="none"/>
              </w:rPr>
            </w:pPr>
          </w:p>
        </w:tc>
      </w:tr>
      <w:tr w14:paraId="17DEF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552" w:type="dxa"/>
            <w:vAlign w:val="center"/>
          </w:tcPr>
          <w:p w14:paraId="506DD761">
            <w:pPr>
              <w:spacing w:line="360" w:lineRule="auto"/>
              <w:jc w:val="center"/>
              <w:rPr>
                <w:rFonts w:ascii="宋体" w:hAnsi="宋体" w:cs="宋体"/>
                <w:color w:val="auto"/>
                <w:highlight w:val="none"/>
              </w:rPr>
            </w:pPr>
          </w:p>
        </w:tc>
        <w:tc>
          <w:tcPr>
            <w:tcW w:w="1526" w:type="dxa"/>
            <w:vAlign w:val="center"/>
          </w:tcPr>
          <w:p w14:paraId="3803D62A">
            <w:pPr>
              <w:spacing w:line="360" w:lineRule="auto"/>
              <w:rPr>
                <w:rFonts w:ascii="宋体" w:hAnsi="宋体"/>
                <w:color w:val="auto"/>
                <w:highlight w:val="none"/>
              </w:rPr>
            </w:pPr>
          </w:p>
        </w:tc>
        <w:tc>
          <w:tcPr>
            <w:tcW w:w="992" w:type="dxa"/>
            <w:vAlign w:val="center"/>
          </w:tcPr>
          <w:p w14:paraId="4C0DF298">
            <w:pPr>
              <w:spacing w:line="360" w:lineRule="auto"/>
              <w:jc w:val="center"/>
              <w:rPr>
                <w:rFonts w:ascii="宋体" w:hAnsi="宋体"/>
                <w:color w:val="auto"/>
                <w:highlight w:val="none"/>
              </w:rPr>
            </w:pPr>
          </w:p>
        </w:tc>
        <w:tc>
          <w:tcPr>
            <w:tcW w:w="851" w:type="dxa"/>
            <w:vAlign w:val="center"/>
          </w:tcPr>
          <w:p w14:paraId="330439C0">
            <w:pPr>
              <w:jc w:val="center"/>
              <w:rPr>
                <w:rFonts w:ascii="宋体" w:hAnsi="宋体" w:cs="宋体"/>
                <w:color w:val="auto"/>
                <w:highlight w:val="none"/>
              </w:rPr>
            </w:pPr>
          </w:p>
        </w:tc>
        <w:tc>
          <w:tcPr>
            <w:tcW w:w="850" w:type="dxa"/>
            <w:vAlign w:val="center"/>
          </w:tcPr>
          <w:p w14:paraId="770B0966">
            <w:pPr>
              <w:jc w:val="center"/>
              <w:rPr>
                <w:rFonts w:ascii="宋体" w:hAnsi="宋体" w:cs="宋体"/>
                <w:color w:val="auto"/>
                <w:highlight w:val="none"/>
              </w:rPr>
            </w:pPr>
          </w:p>
        </w:tc>
        <w:tc>
          <w:tcPr>
            <w:tcW w:w="992" w:type="dxa"/>
            <w:vAlign w:val="center"/>
          </w:tcPr>
          <w:p w14:paraId="4E531BE2">
            <w:pPr>
              <w:jc w:val="center"/>
              <w:rPr>
                <w:rFonts w:ascii="宋体" w:hAnsi="宋体" w:cs="宋体"/>
                <w:color w:val="auto"/>
                <w:highlight w:val="none"/>
              </w:rPr>
            </w:pPr>
          </w:p>
        </w:tc>
        <w:tc>
          <w:tcPr>
            <w:tcW w:w="831" w:type="dxa"/>
            <w:vAlign w:val="center"/>
          </w:tcPr>
          <w:p w14:paraId="0BC7CED7">
            <w:pPr>
              <w:jc w:val="center"/>
              <w:rPr>
                <w:rFonts w:ascii="宋体" w:hAnsi="宋体" w:cs="宋体"/>
                <w:color w:val="auto"/>
                <w:highlight w:val="none"/>
              </w:rPr>
            </w:pPr>
          </w:p>
        </w:tc>
        <w:tc>
          <w:tcPr>
            <w:tcW w:w="2268" w:type="dxa"/>
            <w:vAlign w:val="center"/>
          </w:tcPr>
          <w:p w14:paraId="6577C9DE">
            <w:pPr>
              <w:spacing w:line="360" w:lineRule="auto"/>
              <w:jc w:val="center"/>
              <w:rPr>
                <w:rFonts w:ascii="宋体" w:hAnsi="宋体" w:cs="宋体"/>
                <w:color w:val="auto"/>
                <w:highlight w:val="none"/>
              </w:rPr>
            </w:pPr>
          </w:p>
        </w:tc>
      </w:tr>
      <w:tr w14:paraId="4811B4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1552" w:type="dxa"/>
            <w:vAlign w:val="center"/>
          </w:tcPr>
          <w:p w14:paraId="3550FE93">
            <w:pPr>
              <w:spacing w:line="360" w:lineRule="auto"/>
              <w:jc w:val="center"/>
              <w:rPr>
                <w:rFonts w:ascii="宋体" w:hAnsi="宋体" w:cs="宋体"/>
                <w:color w:val="auto"/>
                <w:highlight w:val="none"/>
              </w:rPr>
            </w:pPr>
          </w:p>
        </w:tc>
        <w:tc>
          <w:tcPr>
            <w:tcW w:w="1526" w:type="dxa"/>
            <w:vAlign w:val="center"/>
          </w:tcPr>
          <w:p w14:paraId="2E99F312">
            <w:pPr>
              <w:spacing w:line="360" w:lineRule="auto"/>
              <w:rPr>
                <w:rFonts w:ascii="宋体" w:hAnsi="宋体"/>
                <w:color w:val="auto"/>
                <w:highlight w:val="none"/>
              </w:rPr>
            </w:pPr>
          </w:p>
        </w:tc>
        <w:tc>
          <w:tcPr>
            <w:tcW w:w="992" w:type="dxa"/>
            <w:vAlign w:val="center"/>
          </w:tcPr>
          <w:p w14:paraId="6FD9E516">
            <w:pPr>
              <w:spacing w:line="360" w:lineRule="auto"/>
              <w:jc w:val="center"/>
              <w:rPr>
                <w:rFonts w:ascii="宋体" w:hAnsi="宋体"/>
                <w:color w:val="auto"/>
                <w:highlight w:val="none"/>
              </w:rPr>
            </w:pPr>
          </w:p>
        </w:tc>
        <w:tc>
          <w:tcPr>
            <w:tcW w:w="851" w:type="dxa"/>
            <w:vAlign w:val="center"/>
          </w:tcPr>
          <w:p w14:paraId="77C719A8">
            <w:pPr>
              <w:jc w:val="center"/>
              <w:rPr>
                <w:rFonts w:ascii="宋体" w:hAnsi="宋体" w:cs="宋体"/>
                <w:color w:val="auto"/>
                <w:highlight w:val="none"/>
              </w:rPr>
            </w:pPr>
          </w:p>
        </w:tc>
        <w:tc>
          <w:tcPr>
            <w:tcW w:w="850" w:type="dxa"/>
            <w:vAlign w:val="center"/>
          </w:tcPr>
          <w:p w14:paraId="63DBF275">
            <w:pPr>
              <w:jc w:val="center"/>
              <w:rPr>
                <w:rFonts w:ascii="宋体" w:hAnsi="宋体" w:cs="宋体"/>
                <w:color w:val="auto"/>
                <w:highlight w:val="none"/>
              </w:rPr>
            </w:pPr>
          </w:p>
        </w:tc>
        <w:tc>
          <w:tcPr>
            <w:tcW w:w="992" w:type="dxa"/>
            <w:vAlign w:val="center"/>
          </w:tcPr>
          <w:p w14:paraId="62B559E3">
            <w:pPr>
              <w:jc w:val="center"/>
              <w:rPr>
                <w:rFonts w:ascii="宋体" w:hAnsi="宋体" w:cs="宋体"/>
                <w:color w:val="auto"/>
                <w:highlight w:val="none"/>
              </w:rPr>
            </w:pPr>
          </w:p>
        </w:tc>
        <w:tc>
          <w:tcPr>
            <w:tcW w:w="831" w:type="dxa"/>
            <w:vAlign w:val="center"/>
          </w:tcPr>
          <w:p w14:paraId="3D444AA1">
            <w:pPr>
              <w:jc w:val="center"/>
              <w:rPr>
                <w:rFonts w:ascii="宋体" w:hAnsi="宋体" w:cs="宋体"/>
                <w:color w:val="auto"/>
                <w:highlight w:val="none"/>
              </w:rPr>
            </w:pPr>
          </w:p>
        </w:tc>
        <w:tc>
          <w:tcPr>
            <w:tcW w:w="2268" w:type="dxa"/>
            <w:vAlign w:val="center"/>
          </w:tcPr>
          <w:p w14:paraId="3604D22B">
            <w:pPr>
              <w:spacing w:line="360" w:lineRule="auto"/>
              <w:jc w:val="center"/>
              <w:rPr>
                <w:rFonts w:ascii="宋体" w:hAnsi="宋体" w:cs="宋体"/>
                <w:color w:val="auto"/>
                <w:highlight w:val="none"/>
              </w:rPr>
            </w:pPr>
          </w:p>
        </w:tc>
      </w:tr>
      <w:tr w14:paraId="70B836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68" w:hRule="atLeast"/>
        </w:trPr>
        <w:tc>
          <w:tcPr>
            <w:tcW w:w="1552" w:type="dxa"/>
            <w:vAlign w:val="center"/>
          </w:tcPr>
          <w:p w14:paraId="3F80F0CA">
            <w:pPr>
              <w:spacing w:line="360" w:lineRule="auto"/>
              <w:jc w:val="center"/>
              <w:rPr>
                <w:rFonts w:ascii="宋体" w:hAnsi="宋体" w:cs="宋体"/>
                <w:color w:val="auto"/>
                <w:highlight w:val="none"/>
              </w:rPr>
            </w:pPr>
          </w:p>
        </w:tc>
        <w:tc>
          <w:tcPr>
            <w:tcW w:w="1526" w:type="dxa"/>
            <w:vAlign w:val="center"/>
          </w:tcPr>
          <w:p w14:paraId="31017C4D">
            <w:pPr>
              <w:spacing w:line="360" w:lineRule="auto"/>
              <w:rPr>
                <w:rFonts w:ascii="宋体" w:hAnsi="宋体"/>
                <w:color w:val="auto"/>
                <w:highlight w:val="none"/>
              </w:rPr>
            </w:pPr>
          </w:p>
        </w:tc>
        <w:tc>
          <w:tcPr>
            <w:tcW w:w="992" w:type="dxa"/>
            <w:vAlign w:val="center"/>
          </w:tcPr>
          <w:p w14:paraId="6667DB3A">
            <w:pPr>
              <w:spacing w:line="360" w:lineRule="auto"/>
              <w:jc w:val="center"/>
              <w:rPr>
                <w:rFonts w:ascii="宋体" w:hAnsi="宋体"/>
                <w:color w:val="auto"/>
                <w:highlight w:val="none"/>
              </w:rPr>
            </w:pPr>
          </w:p>
        </w:tc>
        <w:tc>
          <w:tcPr>
            <w:tcW w:w="851" w:type="dxa"/>
            <w:vAlign w:val="center"/>
          </w:tcPr>
          <w:p w14:paraId="0B7D683A">
            <w:pPr>
              <w:jc w:val="center"/>
              <w:rPr>
                <w:rFonts w:ascii="宋体" w:hAnsi="宋体" w:cs="宋体"/>
                <w:color w:val="auto"/>
                <w:highlight w:val="none"/>
              </w:rPr>
            </w:pPr>
          </w:p>
        </w:tc>
        <w:tc>
          <w:tcPr>
            <w:tcW w:w="850" w:type="dxa"/>
            <w:vAlign w:val="center"/>
          </w:tcPr>
          <w:p w14:paraId="477C5093">
            <w:pPr>
              <w:jc w:val="center"/>
              <w:rPr>
                <w:rFonts w:ascii="宋体" w:hAnsi="宋体" w:cs="宋体"/>
                <w:color w:val="auto"/>
                <w:highlight w:val="none"/>
              </w:rPr>
            </w:pPr>
          </w:p>
        </w:tc>
        <w:tc>
          <w:tcPr>
            <w:tcW w:w="992" w:type="dxa"/>
            <w:vAlign w:val="center"/>
          </w:tcPr>
          <w:p w14:paraId="062D9859">
            <w:pPr>
              <w:jc w:val="center"/>
              <w:rPr>
                <w:rFonts w:ascii="宋体" w:hAnsi="宋体" w:cs="宋体"/>
                <w:color w:val="auto"/>
                <w:highlight w:val="none"/>
              </w:rPr>
            </w:pPr>
          </w:p>
        </w:tc>
        <w:tc>
          <w:tcPr>
            <w:tcW w:w="831" w:type="dxa"/>
            <w:vAlign w:val="center"/>
          </w:tcPr>
          <w:p w14:paraId="543E5DAE">
            <w:pPr>
              <w:jc w:val="center"/>
              <w:rPr>
                <w:rFonts w:ascii="宋体" w:hAnsi="宋体" w:cs="宋体"/>
                <w:color w:val="auto"/>
                <w:highlight w:val="none"/>
              </w:rPr>
            </w:pPr>
          </w:p>
        </w:tc>
        <w:tc>
          <w:tcPr>
            <w:tcW w:w="2268" w:type="dxa"/>
            <w:vAlign w:val="center"/>
          </w:tcPr>
          <w:p w14:paraId="5144DB1B">
            <w:pPr>
              <w:spacing w:line="360" w:lineRule="auto"/>
              <w:jc w:val="center"/>
              <w:rPr>
                <w:rFonts w:ascii="宋体" w:hAnsi="宋体" w:cs="宋体"/>
                <w:color w:val="auto"/>
                <w:highlight w:val="none"/>
              </w:rPr>
            </w:pPr>
          </w:p>
        </w:tc>
      </w:tr>
      <w:tr w14:paraId="0E79D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3" w:hRule="atLeast"/>
        </w:trPr>
        <w:tc>
          <w:tcPr>
            <w:tcW w:w="1552" w:type="dxa"/>
            <w:shd w:val="clear" w:color="000000" w:fill="FFFFFF"/>
            <w:vAlign w:val="center"/>
          </w:tcPr>
          <w:p w14:paraId="210FA2C2">
            <w:pPr>
              <w:spacing w:line="360" w:lineRule="auto"/>
              <w:jc w:val="center"/>
              <w:rPr>
                <w:rFonts w:ascii="宋体" w:hAnsi="宋体" w:cs="宋体"/>
                <w:color w:val="auto"/>
                <w:highlight w:val="none"/>
              </w:rPr>
            </w:pPr>
            <w:r>
              <w:rPr>
                <w:rFonts w:hint="eastAsia" w:ascii="宋体" w:hAnsi="宋体"/>
                <w:color w:val="auto"/>
                <w:sz w:val="24"/>
                <w:highlight w:val="none"/>
              </w:rPr>
              <w:t>投标总报价</w:t>
            </w:r>
          </w:p>
        </w:tc>
        <w:tc>
          <w:tcPr>
            <w:tcW w:w="8310" w:type="dxa"/>
            <w:gridSpan w:val="7"/>
            <w:shd w:val="clear" w:color="000000" w:fill="FFFFFF"/>
            <w:vAlign w:val="center"/>
          </w:tcPr>
          <w:p w14:paraId="50A33877">
            <w:pPr>
              <w:spacing w:line="360" w:lineRule="auto"/>
              <w:rPr>
                <w:color w:val="auto"/>
                <w:highlight w:val="none"/>
              </w:rPr>
            </w:pPr>
            <w:r>
              <w:rPr>
                <w:rFonts w:hint="eastAsia"/>
                <w:color w:val="auto"/>
                <w:highlight w:val="none"/>
              </w:rPr>
              <w:t>（小写）         元</w:t>
            </w:r>
          </w:p>
          <w:p w14:paraId="4FC39C5C">
            <w:pPr>
              <w:pStyle w:val="9"/>
              <w:rPr>
                <w:color w:val="auto"/>
                <w:highlight w:val="none"/>
              </w:rPr>
            </w:pPr>
            <w:r>
              <w:rPr>
                <w:rFonts w:hint="eastAsia"/>
                <w:color w:val="auto"/>
                <w:sz w:val="21"/>
                <w:highlight w:val="none"/>
              </w:rPr>
              <w:t>（大写）         元</w:t>
            </w:r>
          </w:p>
        </w:tc>
      </w:tr>
    </w:tbl>
    <w:p w14:paraId="059937B1">
      <w:pPr>
        <w:pStyle w:val="26"/>
        <w:ind w:firstLine="210"/>
        <w:rPr>
          <w:rFonts w:ascii="宋体" w:hAnsi="宋体" w:cs="宋体"/>
          <w:szCs w:val="21"/>
        </w:rPr>
      </w:pPr>
    </w:p>
    <w:p w14:paraId="116CC067">
      <w:pPr>
        <w:pStyle w:val="26"/>
        <w:ind w:firstLine="210"/>
        <w:rPr>
          <w:rFonts w:ascii="宋体" w:hAnsi="宋体" w:cs="宋体"/>
          <w:szCs w:val="21"/>
        </w:rPr>
      </w:pPr>
    </w:p>
    <w:p w14:paraId="1552E479">
      <w:pPr>
        <w:spacing w:line="360" w:lineRule="auto"/>
        <w:rPr>
          <w:rFonts w:ascii="宋体" w:hAnsi="宋体"/>
          <w:szCs w:val="21"/>
        </w:rPr>
      </w:pPr>
    </w:p>
    <w:p w14:paraId="009BF497">
      <w:pPr>
        <w:spacing w:line="360" w:lineRule="auto"/>
        <w:rPr>
          <w:rFonts w:ascii="宋体" w:hAnsi="宋体"/>
          <w:szCs w:val="21"/>
        </w:rPr>
      </w:pPr>
      <w:r>
        <w:rPr>
          <w:rFonts w:ascii="宋体" w:hAnsi="宋体"/>
          <w:szCs w:val="21"/>
        </w:rPr>
        <w:t>注：要求细化以上各项费用的构成，根据实际需要可增删项目。</w:t>
      </w:r>
    </w:p>
    <w:p w14:paraId="2879AFA9">
      <w:pPr>
        <w:pStyle w:val="70"/>
        <w:tabs>
          <w:tab w:val="left" w:pos="1418"/>
        </w:tabs>
        <w:snapToGrid w:val="0"/>
        <w:spacing w:before="50" w:after="50"/>
        <w:rPr>
          <w:rFonts w:asciiTheme="minorEastAsia" w:hAnsiTheme="minorEastAsia" w:eastAsiaTheme="minorEastAsia"/>
          <w:spacing w:val="20"/>
          <w:sz w:val="21"/>
        </w:rPr>
      </w:pPr>
      <w:r>
        <w:rPr>
          <w:rFonts w:hint="eastAsia" w:asciiTheme="minorEastAsia" w:hAnsiTheme="minorEastAsia" w:eastAsiaTheme="minorEastAsia"/>
          <w:spacing w:val="20"/>
          <w:sz w:val="21"/>
        </w:rPr>
        <w:t>注：费用包括实施本项目所需的其他一切费用。</w:t>
      </w:r>
    </w:p>
    <w:p w14:paraId="4488A8BB">
      <w:pPr>
        <w:tabs>
          <w:tab w:val="left" w:pos="1418"/>
        </w:tabs>
        <w:snapToGrid w:val="0"/>
        <w:spacing w:before="50" w:after="50"/>
        <w:ind w:left="1418" w:hanging="567"/>
        <w:jc w:val="center"/>
        <w:rPr>
          <w:rFonts w:asciiTheme="minorEastAsia" w:hAnsiTheme="minorEastAsia" w:eastAsiaTheme="minorEastAsia"/>
          <w:spacing w:val="20"/>
          <w:u w:val="single"/>
        </w:rPr>
      </w:pPr>
    </w:p>
    <w:p w14:paraId="49093FC8">
      <w:pPr>
        <w:snapToGrid w:val="0"/>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27884D11">
      <w:pPr>
        <w:snapToGrid w:val="0"/>
        <w:spacing w:before="50" w:after="50"/>
        <w:rPr>
          <w:rFonts w:asciiTheme="minorEastAsia" w:hAnsiTheme="minorEastAsia" w:eastAsiaTheme="minorEastAsia"/>
        </w:rPr>
      </w:pPr>
    </w:p>
    <w:p w14:paraId="2B30E66D">
      <w:pPr>
        <w:snapToGrid w:val="0"/>
        <w:spacing w:before="50" w:after="50"/>
        <w:rPr>
          <w:rFonts w:asciiTheme="minorEastAsia" w:hAnsiTheme="minorEastAsia" w:eastAsiaTheme="minorEastAsia"/>
          <w:spacing w:val="20"/>
          <w:u w:val="single"/>
        </w:rPr>
      </w:pPr>
      <w:r>
        <w:rPr>
          <w:rFonts w:hint="eastAsia" w:asciiTheme="minorEastAsia" w:hAnsiTheme="minorEastAsia" w:eastAsiaTheme="minorEastAsia"/>
        </w:rPr>
        <w:t xml:space="preserve">投标人名称（盖章）： </w:t>
      </w:r>
      <w:r>
        <w:rPr>
          <w:rFonts w:hint="eastAsia" w:asciiTheme="minorEastAsia" w:hAnsiTheme="minorEastAsia" w:eastAsiaTheme="minorEastAsia"/>
          <w:spacing w:val="20"/>
        </w:rPr>
        <w:t xml:space="preserve">          日  期：</w:t>
      </w:r>
    </w:p>
    <w:p w14:paraId="34AC2294">
      <w:pPr>
        <w:snapToGrid w:val="0"/>
        <w:spacing w:before="50" w:after="50"/>
        <w:rPr>
          <w:rFonts w:asciiTheme="minorEastAsia" w:hAnsiTheme="minorEastAsia" w:eastAsiaTheme="minorEastAsia"/>
        </w:rPr>
      </w:pPr>
    </w:p>
    <w:p w14:paraId="6BA89422">
      <w:pPr>
        <w:pStyle w:val="12"/>
        <w:snapToGrid w:val="0"/>
        <w:spacing w:before="120" w:line="312" w:lineRule="auto"/>
        <w:ind w:right="-341"/>
        <w:rPr>
          <w:rFonts w:asciiTheme="minorEastAsia" w:hAnsiTheme="minorEastAsia" w:eastAsiaTheme="minorEastAsia"/>
          <w:b/>
          <w:sz w:val="32"/>
        </w:rPr>
        <w:sectPr>
          <w:pgSz w:w="11906" w:h="16838"/>
          <w:pgMar w:top="1361" w:right="924" w:bottom="1134" w:left="1417" w:header="1304" w:footer="1304" w:gutter="0"/>
          <w:cols w:space="425" w:num="1"/>
        </w:sectPr>
      </w:pPr>
    </w:p>
    <w:p w14:paraId="0A66DEC5">
      <w:pPr>
        <w:pStyle w:val="12"/>
        <w:snapToGrid w:val="0"/>
        <w:spacing w:before="120" w:line="312" w:lineRule="auto"/>
        <w:ind w:right="-341"/>
        <w:jc w:val="center"/>
        <w:rPr>
          <w:rFonts w:asciiTheme="minorEastAsia" w:hAnsiTheme="minorEastAsia" w:eastAsiaTheme="minorEastAsia"/>
          <w:b/>
          <w:sz w:val="32"/>
        </w:rPr>
      </w:pPr>
    </w:p>
    <w:p w14:paraId="32D4EEA8">
      <w:pPr>
        <w:pStyle w:val="12"/>
        <w:snapToGrid w:val="0"/>
        <w:spacing w:before="120" w:line="312" w:lineRule="auto"/>
        <w:ind w:right="-341"/>
        <w:jc w:val="center"/>
        <w:rPr>
          <w:rFonts w:hint="eastAsia" w:asciiTheme="minorEastAsia" w:hAnsiTheme="minorEastAsia" w:eastAsiaTheme="minorEastAsia"/>
          <w:b/>
          <w:sz w:val="32"/>
          <w:highlight w:val="none"/>
        </w:rPr>
      </w:pPr>
      <w:r>
        <w:rPr>
          <w:rFonts w:hint="eastAsia" w:asciiTheme="minorEastAsia" w:hAnsiTheme="minorEastAsia" w:eastAsiaTheme="minorEastAsia"/>
          <w:b/>
          <w:sz w:val="32"/>
        </w:rPr>
        <w:t>四</w:t>
      </w:r>
      <w:r>
        <w:rPr>
          <w:rFonts w:hint="eastAsia" w:asciiTheme="minorEastAsia" w:hAnsiTheme="minorEastAsia" w:eastAsiaTheme="minorEastAsia"/>
          <w:b/>
          <w:sz w:val="32"/>
          <w:highlight w:val="none"/>
        </w:rPr>
        <w:t>、中小企业声明函</w:t>
      </w:r>
      <w:r>
        <w:rPr>
          <w:rFonts w:hint="eastAsia" w:asciiTheme="minorEastAsia" w:hAnsiTheme="minorEastAsia" w:eastAsiaTheme="minorEastAsia"/>
          <w:b/>
          <w:color w:val="auto"/>
          <w:sz w:val="32"/>
          <w:highlight w:val="none"/>
        </w:rPr>
        <w:t>（货物）</w:t>
      </w:r>
    </w:p>
    <w:p w14:paraId="3282EB9B">
      <w:pPr>
        <w:pStyle w:val="10"/>
        <w:ind w:firstLine="0"/>
      </w:pPr>
    </w:p>
    <w:p w14:paraId="42185CC5">
      <w:pPr>
        <w:spacing w:line="480" w:lineRule="auto"/>
        <w:ind w:firstLine="420" w:firstLineChars="200"/>
        <w:rPr>
          <w:rFonts w:ascii="宋体" w:hAnsi="宋体" w:cs="宋体"/>
          <w:szCs w:val="21"/>
        </w:rPr>
      </w:pPr>
      <w:r>
        <w:rPr>
          <w:rFonts w:hint="eastAsia" w:ascii="宋体" w:hAnsi="宋体" w:cs="宋体"/>
          <w:kern w:val="0"/>
          <w:szCs w:val="21"/>
        </w:rPr>
        <w:t>本公司郑重声明，根据《政府采购促进中小企业发展管理办法》（财库﹝2020﹞46 号）的规定，本公司参加</w:t>
      </w:r>
      <w:r>
        <w:rPr>
          <w:rFonts w:hint="eastAsia" w:ascii="宋体" w:hAnsi="宋体" w:cs="宋体"/>
          <w:kern w:val="0"/>
          <w:szCs w:val="21"/>
          <w:u w:val="single"/>
        </w:rPr>
        <w:t>（单位名称）</w:t>
      </w:r>
      <w:r>
        <w:rPr>
          <w:rFonts w:hint="eastAsia" w:ascii="宋体" w:hAnsi="宋体" w:cs="宋体"/>
          <w:kern w:val="0"/>
          <w:szCs w:val="21"/>
        </w:rPr>
        <w:t>的</w:t>
      </w:r>
      <w:r>
        <w:rPr>
          <w:rFonts w:hint="eastAsia" w:ascii="宋体" w:hAnsi="宋体" w:cs="宋体"/>
          <w:kern w:val="0"/>
          <w:szCs w:val="21"/>
          <w:u w:val="single"/>
        </w:rPr>
        <w:t>（项目名称）</w:t>
      </w:r>
      <w:r>
        <w:rPr>
          <w:rFonts w:hint="eastAsia" w:ascii="宋体" w:hAnsi="宋体" w:cs="宋体"/>
          <w:kern w:val="0"/>
          <w:szCs w:val="21"/>
        </w:rPr>
        <w:t>采购活动，提供的货物全部由符合政策要求的中小企业制造。相关企业的具体情况如下：</w:t>
      </w:r>
    </w:p>
    <w:p w14:paraId="3C286152">
      <w:pPr>
        <w:spacing w:line="480" w:lineRule="auto"/>
        <w:ind w:firstLine="420" w:firstLineChars="200"/>
        <w:rPr>
          <w:rFonts w:ascii="宋体" w:hAnsi="宋体" w:cs="宋体"/>
          <w:szCs w:val="21"/>
        </w:rPr>
      </w:pPr>
      <w:r>
        <w:rPr>
          <w:rFonts w:hint="eastAsia" w:ascii="宋体" w:hAnsi="宋体" w:cs="宋体"/>
          <w:kern w:val="0"/>
          <w:szCs w:val="21"/>
        </w:rPr>
        <w:t>1.</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064A638E">
      <w:pPr>
        <w:spacing w:line="480" w:lineRule="auto"/>
        <w:ind w:firstLine="420" w:firstLineChars="200"/>
        <w:rPr>
          <w:rFonts w:ascii="宋体" w:hAnsi="宋体" w:cs="宋体"/>
          <w:szCs w:val="21"/>
        </w:rPr>
      </w:pPr>
      <w:r>
        <w:rPr>
          <w:rFonts w:hint="eastAsia" w:ascii="宋体" w:hAnsi="宋体" w:cs="宋体"/>
          <w:kern w:val="0"/>
          <w:szCs w:val="21"/>
        </w:rPr>
        <w:t>2.</w:t>
      </w:r>
      <w:r>
        <w:rPr>
          <w:rFonts w:hint="eastAsia" w:ascii="宋体" w:hAnsi="宋体" w:cs="宋体"/>
          <w:kern w:val="0"/>
          <w:szCs w:val="21"/>
          <w:u w:val="single"/>
        </w:rPr>
        <w:t>（标的名称）</w:t>
      </w:r>
      <w:r>
        <w:rPr>
          <w:rFonts w:hint="eastAsia" w:ascii="宋体" w:hAnsi="宋体" w:cs="宋体"/>
          <w:kern w:val="0"/>
          <w:szCs w:val="21"/>
        </w:rPr>
        <w:t>，属于</w:t>
      </w:r>
      <w:r>
        <w:rPr>
          <w:rFonts w:hint="eastAsia" w:ascii="宋体" w:hAnsi="宋体" w:cs="宋体"/>
          <w:kern w:val="0"/>
          <w:szCs w:val="21"/>
          <w:u w:val="single"/>
        </w:rPr>
        <w:t>（采购文件中明确的所属行业）行业</w:t>
      </w:r>
      <w:r>
        <w:rPr>
          <w:rFonts w:hint="eastAsia" w:ascii="宋体" w:hAnsi="宋体" w:cs="宋体"/>
          <w:kern w:val="0"/>
          <w:szCs w:val="21"/>
        </w:rPr>
        <w:t>；制造商为</w:t>
      </w:r>
      <w:r>
        <w:rPr>
          <w:rFonts w:hint="eastAsia" w:ascii="宋体" w:hAnsi="宋体" w:cs="宋体"/>
          <w:kern w:val="0"/>
          <w:szCs w:val="21"/>
          <w:u w:val="single"/>
        </w:rPr>
        <w:t>（企业名称）</w:t>
      </w:r>
      <w:r>
        <w:rPr>
          <w:rFonts w:hint="eastAsia" w:ascii="宋体" w:hAnsi="宋体" w:cs="宋体"/>
          <w:kern w:val="0"/>
          <w:szCs w:val="21"/>
        </w:rPr>
        <w:t>，从业人员</w:t>
      </w:r>
      <w:r>
        <w:rPr>
          <w:rFonts w:hint="eastAsia" w:ascii="宋体" w:hAnsi="宋体" w:cs="宋体"/>
          <w:kern w:val="0"/>
          <w:szCs w:val="21"/>
          <w:u w:val="single"/>
        </w:rPr>
        <w:t xml:space="preserve">    </w:t>
      </w:r>
      <w:r>
        <w:rPr>
          <w:rFonts w:hint="eastAsia" w:ascii="宋体" w:hAnsi="宋体" w:cs="宋体"/>
          <w:kern w:val="0"/>
          <w:szCs w:val="21"/>
        </w:rPr>
        <w:t>人，营业收入为</w:t>
      </w:r>
      <w:r>
        <w:rPr>
          <w:rFonts w:hint="eastAsia" w:ascii="宋体" w:hAnsi="宋体" w:cs="宋体"/>
          <w:kern w:val="0"/>
          <w:szCs w:val="21"/>
          <w:u w:val="single"/>
        </w:rPr>
        <w:t xml:space="preserve">    </w:t>
      </w:r>
      <w:r>
        <w:rPr>
          <w:rFonts w:hint="eastAsia" w:ascii="宋体" w:hAnsi="宋体" w:cs="宋体"/>
          <w:kern w:val="0"/>
          <w:szCs w:val="21"/>
        </w:rPr>
        <w:t>万元，资产总额为</w:t>
      </w:r>
      <w:r>
        <w:rPr>
          <w:rFonts w:hint="eastAsia" w:ascii="宋体" w:hAnsi="宋体" w:cs="宋体"/>
          <w:kern w:val="0"/>
          <w:szCs w:val="21"/>
          <w:u w:val="single"/>
        </w:rPr>
        <w:t xml:space="preserve">    </w:t>
      </w:r>
      <w:r>
        <w:rPr>
          <w:rFonts w:hint="eastAsia" w:ascii="宋体" w:hAnsi="宋体" w:cs="宋体"/>
          <w:kern w:val="0"/>
          <w:szCs w:val="21"/>
        </w:rPr>
        <w:t>万元，属于</w:t>
      </w:r>
      <w:r>
        <w:rPr>
          <w:rFonts w:hint="eastAsia" w:ascii="宋体" w:hAnsi="宋体" w:cs="宋体"/>
          <w:kern w:val="0"/>
          <w:szCs w:val="21"/>
          <w:u w:val="single"/>
        </w:rPr>
        <w:t>（中型企业、小型企业、微型企业）</w:t>
      </w:r>
      <w:r>
        <w:rPr>
          <w:rFonts w:hint="eastAsia" w:ascii="宋体" w:hAnsi="宋体" w:cs="宋体"/>
          <w:kern w:val="0"/>
          <w:szCs w:val="21"/>
        </w:rPr>
        <w:t xml:space="preserve">； </w:t>
      </w:r>
    </w:p>
    <w:p w14:paraId="2EAB3A34">
      <w:pPr>
        <w:spacing w:line="480" w:lineRule="auto"/>
        <w:ind w:firstLine="420" w:firstLineChars="200"/>
        <w:rPr>
          <w:rFonts w:ascii="宋体" w:hAnsi="宋体" w:cs="宋体"/>
          <w:szCs w:val="21"/>
        </w:rPr>
      </w:pPr>
      <w:r>
        <w:rPr>
          <w:rFonts w:hint="eastAsia" w:ascii="宋体" w:hAnsi="宋体" w:cs="宋体"/>
          <w:kern w:val="0"/>
          <w:szCs w:val="21"/>
        </w:rPr>
        <w:t>……</w:t>
      </w:r>
    </w:p>
    <w:p w14:paraId="55828CC8">
      <w:pPr>
        <w:spacing w:line="480" w:lineRule="auto"/>
        <w:ind w:firstLine="420" w:firstLineChars="200"/>
        <w:rPr>
          <w:rFonts w:ascii="宋体" w:hAnsi="宋体" w:cs="宋体"/>
          <w:szCs w:val="21"/>
        </w:rPr>
      </w:pPr>
      <w:r>
        <w:rPr>
          <w:rFonts w:hint="eastAsia" w:ascii="宋体" w:hAnsi="宋体" w:cs="宋体"/>
          <w:kern w:val="0"/>
          <w:szCs w:val="21"/>
        </w:rPr>
        <w:t>以上企业，不属于大企业的分支机构，不存在控股股东为大企业的情形，也不存在与大企业的负责人为同一人的情形。</w:t>
      </w:r>
    </w:p>
    <w:p w14:paraId="27B7484C">
      <w:pPr>
        <w:spacing w:line="480" w:lineRule="auto"/>
        <w:ind w:firstLine="420" w:firstLineChars="200"/>
        <w:rPr>
          <w:rFonts w:ascii="宋体" w:hAnsi="宋体" w:cs="宋体"/>
          <w:szCs w:val="21"/>
        </w:rPr>
      </w:pPr>
      <w:r>
        <w:rPr>
          <w:rFonts w:hint="eastAsia" w:ascii="宋体" w:hAnsi="宋体" w:cs="宋体"/>
          <w:kern w:val="0"/>
          <w:szCs w:val="21"/>
        </w:rPr>
        <w:t xml:space="preserve">本企业对上述声明内容的真实性负责。如有虚假，将依法承担相应责任。 </w:t>
      </w:r>
    </w:p>
    <w:p w14:paraId="59DA0C53">
      <w:pPr>
        <w:spacing w:line="480" w:lineRule="auto"/>
        <w:ind w:firstLine="2520" w:firstLineChars="1200"/>
        <w:rPr>
          <w:rFonts w:ascii="宋体" w:hAnsi="宋体" w:cs="宋体"/>
          <w:szCs w:val="21"/>
        </w:rPr>
      </w:pPr>
      <w:r>
        <w:rPr>
          <w:rFonts w:hint="eastAsia" w:ascii="宋体" w:hAnsi="宋体" w:cs="宋体"/>
          <w:kern w:val="0"/>
          <w:szCs w:val="21"/>
        </w:rPr>
        <w:t xml:space="preserve">企业名称（盖章）： </w:t>
      </w:r>
    </w:p>
    <w:p w14:paraId="74CB017A">
      <w:pPr>
        <w:spacing w:line="480" w:lineRule="auto"/>
        <w:ind w:firstLine="2520" w:firstLineChars="1200"/>
        <w:rPr>
          <w:rFonts w:ascii="宋体" w:hAnsi="宋体" w:cs="宋体"/>
          <w:szCs w:val="21"/>
        </w:rPr>
      </w:pPr>
      <w:r>
        <w:rPr>
          <w:rFonts w:hint="eastAsia" w:ascii="宋体" w:hAnsi="宋体" w:cs="宋体"/>
          <w:kern w:val="0"/>
          <w:szCs w:val="21"/>
        </w:rPr>
        <w:t xml:space="preserve">日 期： </w:t>
      </w:r>
    </w:p>
    <w:p w14:paraId="0E701515">
      <w:pPr>
        <w:spacing w:line="360" w:lineRule="auto"/>
        <w:rPr>
          <w:rFonts w:ascii="宋体" w:hAnsi="宋体" w:cs="宋体"/>
          <w:b/>
          <w:color w:val="000000"/>
          <w:spacing w:val="20"/>
          <w:szCs w:val="21"/>
        </w:rPr>
      </w:pPr>
      <w:r>
        <w:rPr>
          <w:rFonts w:hint="eastAsia" w:ascii="宋体" w:hAnsi="宋体" w:cs="宋体"/>
          <w:b/>
          <w:color w:val="000000"/>
          <w:spacing w:val="20"/>
          <w:szCs w:val="21"/>
        </w:rPr>
        <w:t>注：1.从业人员、营业收入、资产总额填报上一年度数据，无上一年度数据的新成立企业可不填报。</w:t>
      </w:r>
    </w:p>
    <w:p w14:paraId="513F16AE">
      <w:pPr>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2.中标、成交供应商享受《政府采购促进中小企业发展管理办法》（财库[2020]46号）规定的中小企业扶持政策的，《中小企业声明函》随中标、成交结果公开。</w:t>
      </w:r>
    </w:p>
    <w:p w14:paraId="76434E4A">
      <w:pPr>
        <w:snapToGrid w:val="0"/>
        <w:spacing w:line="360" w:lineRule="auto"/>
        <w:ind w:firstLine="422" w:firstLineChars="200"/>
        <w:rPr>
          <w:rFonts w:ascii="宋体" w:hAnsi="宋体" w:cs="宋体"/>
          <w:b/>
          <w:color w:val="000000"/>
          <w:szCs w:val="21"/>
        </w:rPr>
      </w:pPr>
      <w:r>
        <w:rPr>
          <w:rFonts w:hint="eastAsia" w:ascii="宋体" w:hAnsi="宋体" w:cs="宋体"/>
          <w:b/>
          <w:color w:val="000000"/>
          <w:szCs w:val="21"/>
        </w:rPr>
        <w:t>3.供应商应当按照《政府采购促进中小企业发展管理办法》（财库[2020]46号）规定和《中小企业划型标准规定》（工信部联企业〔2011〕300号），如实填写并提交《中小企业声明函》。供应商对其声明内容的真实性负责，声明函内容不实的，属于提供虚假材料谋取中标、成交，依照《中华人民共和国政府采购法》等国家有关规定追究相应责任。</w:t>
      </w:r>
    </w:p>
    <w:p w14:paraId="0ED0E5C1">
      <w:pPr>
        <w:snapToGrid w:val="0"/>
        <w:spacing w:line="360" w:lineRule="auto"/>
        <w:ind w:firstLine="422" w:firstLineChars="200"/>
        <w:rPr>
          <w:rFonts w:ascii="宋体" w:hAnsi="宋体" w:cs="宋体"/>
          <w:b/>
          <w:color w:val="FF0000"/>
          <w:szCs w:val="21"/>
        </w:rPr>
      </w:pPr>
    </w:p>
    <w:p w14:paraId="7ED4A28E">
      <w:pPr>
        <w:spacing w:line="360" w:lineRule="auto"/>
        <w:ind w:firstLine="422" w:firstLineChars="200"/>
        <w:rPr>
          <w:rFonts w:ascii="宋体" w:hAnsi="宋体" w:cs="宋体"/>
          <w:b/>
          <w:szCs w:val="21"/>
        </w:rPr>
      </w:pPr>
    </w:p>
    <w:p w14:paraId="4D017533">
      <w:pPr>
        <w:snapToGrid w:val="0"/>
        <w:spacing w:line="360" w:lineRule="auto"/>
        <w:ind w:right="-341" w:firstLine="420" w:firstLineChars="200"/>
        <w:rPr>
          <w:rFonts w:asciiTheme="minorEastAsia" w:hAnsiTheme="minorEastAsia" w:eastAsiaTheme="minorEastAsia"/>
          <w:szCs w:val="21"/>
        </w:rPr>
      </w:pPr>
    </w:p>
    <w:p w14:paraId="4502FFEE">
      <w:pPr>
        <w:pStyle w:val="9"/>
        <w:jc w:val="center"/>
        <w:rPr>
          <w:rFonts w:asciiTheme="minorEastAsia" w:hAnsiTheme="minorEastAsia" w:eastAsiaTheme="minorEastAsia"/>
          <w:b/>
          <w:sz w:val="32"/>
        </w:rPr>
      </w:pPr>
    </w:p>
    <w:p w14:paraId="64069D0D">
      <w:pPr>
        <w:pStyle w:val="9"/>
        <w:jc w:val="center"/>
        <w:rPr>
          <w:rFonts w:asciiTheme="minorEastAsia" w:hAnsiTheme="minorEastAsia" w:eastAsiaTheme="minorEastAsia"/>
          <w:b/>
          <w:sz w:val="32"/>
        </w:rPr>
      </w:pPr>
    </w:p>
    <w:p w14:paraId="1E76F41E">
      <w:pPr>
        <w:pStyle w:val="9"/>
        <w:jc w:val="center"/>
        <w:rPr>
          <w:rFonts w:ascii="宋体" w:hAnsi="宋体"/>
          <w:b/>
          <w:color w:val="FF0000"/>
          <w:sz w:val="32"/>
          <w:highlight w:val="none"/>
        </w:rPr>
      </w:pPr>
      <w:r>
        <w:rPr>
          <w:rFonts w:hint="eastAsia" w:ascii="宋体" w:hAnsi="宋体"/>
          <w:b/>
          <w:sz w:val="32"/>
          <w:highlight w:val="none"/>
        </w:rPr>
        <w:t>残疾人福利性单位声</w:t>
      </w:r>
      <w:r>
        <w:rPr>
          <w:rFonts w:hint="eastAsia" w:ascii="宋体" w:hAnsi="宋体"/>
          <w:b/>
          <w:color w:val="auto"/>
          <w:sz w:val="32"/>
          <w:highlight w:val="none"/>
        </w:rPr>
        <w:t>明函（货物）</w:t>
      </w:r>
    </w:p>
    <w:p w14:paraId="51A69EB2">
      <w:pPr>
        <w:spacing w:before="240" w:beforeLines="100" w:line="500" w:lineRule="exact"/>
        <w:ind w:firstLine="601"/>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1801AF8C">
      <w:pPr>
        <w:spacing w:line="500" w:lineRule="exact"/>
        <w:ind w:firstLine="600"/>
        <w:rPr>
          <w:rFonts w:ascii="宋体" w:hAnsi="宋体" w:cs="宋体"/>
          <w:szCs w:val="21"/>
        </w:rPr>
      </w:pPr>
      <w:r>
        <w:rPr>
          <w:rFonts w:hint="eastAsia" w:ascii="宋体" w:hAnsi="宋体" w:cs="宋体"/>
          <w:szCs w:val="21"/>
        </w:rPr>
        <w:t>本单位对上述声明的真实性负责。如有虚假，将依法承担相应责任。</w:t>
      </w:r>
    </w:p>
    <w:p w14:paraId="2338AA40">
      <w:pPr>
        <w:spacing w:line="500" w:lineRule="exact"/>
        <w:rPr>
          <w:rFonts w:ascii="宋体" w:hAnsi="宋体" w:cs="宋体"/>
          <w:spacing w:val="6"/>
          <w:kern w:val="0"/>
          <w:szCs w:val="21"/>
        </w:rPr>
      </w:pPr>
    </w:p>
    <w:p w14:paraId="6F40241D">
      <w:pPr>
        <w:spacing w:line="500" w:lineRule="exact"/>
        <w:ind w:right="1560" w:firstLine="600"/>
        <w:jc w:val="center"/>
        <w:rPr>
          <w:rFonts w:ascii="宋体" w:hAnsi="宋体" w:cs="宋体"/>
          <w:szCs w:val="21"/>
        </w:rPr>
      </w:pPr>
      <w:r>
        <w:rPr>
          <w:rFonts w:hint="eastAsia" w:ascii="宋体" w:hAnsi="宋体" w:cs="宋体"/>
          <w:spacing w:val="6"/>
          <w:kern w:val="0"/>
          <w:szCs w:val="21"/>
        </w:rPr>
        <w:t xml:space="preserve">               </w:t>
      </w:r>
      <w:r>
        <w:rPr>
          <w:rFonts w:hint="eastAsia" w:ascii="宋体" w:hAnsi="宋体" w:cs="宋体"/>
          <w:szCs w:val="21"/>
        </w:rPr>
        <w:t>单位名称（盖章）：</w:t>
      </w:r>
    </w:p>
    <w:p w14:paraId="18512B54">
      <w:pPr>
        <w:spacing w:line="500" w:lineRule="exact"/>
        <w:ind w:right="1560" w:firstLine="600"/>
        <w:jc w:val="center"/>
        <w:rPr>
          <w:rFonts w:ascii="宋体" w:hAnsi="宋体" w:cs="宋体"/>
          <w:szCs w:val="21"/>
        </w:rPr>
      </w:pPr>
      <w:r>
        <w:rPr>
          <w:rFonts w:hint="eastAsia" w:ascii="宋体" w:hAnsi="宋体" w:cs="宋体"/>
          <w:szCs w:val="21"/>
        </w:rPr>
        <w:t xml:space="preserve">       日  期：</w:t>
      </w:r>
    </w:p>
    <w:p w14:paraId="3C10DA39">
      <w:pPr>
        <w:spacing w:before="240" w:beforeLines="100" w:line="440" w:lineRule="atLeast"/>
        <w:ind w:firstLine="444" w:firstLineChars="200"/>
        <w:rPr>
          <w:rFonts w:ascii="宋体" w:hAnsi="宋体" w:cs="宋体"/>
          <w:spacing w:val="6"/>
          <w:szCs w:val="21"/>
        </w:rPr>
      </w:pPr>
    </w:p>
    <w:p w14:paraId="49E55269">
      <w:pPr>
        <w:spacing w:before="240" w:beforeLines="100" w:line="440" w:lineRule="atLeast"/>
        <w:ind w:firstLine="444" w:firstLineChars="200"/>
        <w:rPr>
          <w:rFonts w:ascii="宋体" w:hAnsi="宋体" w:cs="宋体"/>
          <w:spacing w:val="6"/>
          <w:szCs w:val="21"/>
        </w:rPr>
      </w:pPr>
    </w:p>
    <w:p w14:paraId="76660BDD">
      <w:pPr>
        <w:spacing w:line="360" w:lineRule="auto"/>
        <w:rPr>
          <w:rFonts w:ascii="宋体" w:hAnsi="宋体" w:cs="宋体"/>
          <w:b/>
          <w:spacing w:val="20"/>
          <w:szCs w:val="21"/>
        </w:rPr>
      </w:pPr>
      <w:r>
        <w:rPr>
          <w:rFonts w:hint="eastAsia" w:ascii="宋体" w:hAnsi="宋体" w:cs="宋体"/>
          <w:b/>
          <w:spacing w:val="20"/>
          <w:szCs w:val="21"/>
        </w:rPr>
        <w:t>注：</w:t>
      </w:r>
    </w:p>
    <w:p w14:paraId="456FA6E6">
      <w:pPr>
        <w:snapToGrid w:val="0"/>
        <w:spacing w:line="360" w:lineRule="auto"/>
        <w:ind w:firstLine="422" w:firstLineChars="200"/>
        <w:rPr>
          <w:rFonts w:ascii="宋体" w:hAnsi="宋体" w:cs="宋体"/>
          <w:b/>
          <w:szCs w:val="21"/>
        </w:rPr>
      </w:pPr>
      <w:r>
        <w:rPr>
          <w:rFonts w:hint="eastAsia" w:ascii="宋体" w:hAnsi="宋体" w:cs="宋体"/>
          <w:b/>
          <w:szCs w:val="21"/>
        </w:rPr>
        <w:t>1.中标、成交供应商为残疾人福利性单位的，《残疾人福利性单位声明函》随中标、成交结果同时公告，接受社会监督。</w:t>
      </w:r>
    </w:p>
    <w:p w14:paraId="1ACBFD3B">
      <w:pPr>
        <w:snapToGrid w:val="0"/>
        <w:spacing w:line="360" w:lineRule="auto"/>
        <w:ind w:firstLine="422" w:firstLineChars="200"/>
        <w:rPr>
          <w:rFonts w:ascii="宋体" w:hAnsi="宋体" w:cs="宋体"/>
          <w:b/>
          <w:szCs w:val="21"/>
        </w:rPr>
      </w:pPr>
      <w:r>
        <w:rPr>
          <w:rFonts w:hint="eastAsia" w:ascii="宋体" w:hAnsi="宋体" w:cs="宋体"/>
          <w:b/>
          <w:szCs w:val="21"/>
        </w:rPr>
        <w:t>2.供应商提供的《残疾人福利性单位声明函》与事实不符的，依照《政府采购法》第七十七条第一款的规定追究法律责任。</w:t>
      </w:r>
    </w:p>
    <w:p w14:paraId="7E305CE4">
      <w:pPr>
        <w:ind w:firstLine="420"/>
        <w:jc w:val="center"/>
        <w:rPr>
          <w:rFonts w:ascii="宋体" w:hAnsi="宋体"/>
          <w:b/>
          <w:sz w:val="32"/>
        </w:rPr>
      </w:pPr>
    </w:p>
    <w:p w14:paraId="7D39A640">
      <w:pPr>
        <w:pStyle w:val="3"/>
        <w:tabs>
          <w:tab w:val="left" w:pos="420"/>
        </w:tabs>
        <w:ind w:left="-431"/>
      </w:pPr>
    </w:p>
    <w:p w14:paraId="7C931A59">
      <w:pPr>
        <w:snapToGrid w:val="0"/>
        <w:spacing w:line="312" w:lineRule="auto"/>
        <w:ind w:right="-341"/>
        <w:rPr>
          <w:rFonts w:asciiTheme="minorEastAsia" w:hAnsiTheme="minorEastAsia" w:eastAsiaTheme="minorEastAsia"/>
          <w:b/>
        </w:rPr>
      </w:pPr>
    </w:p>
    <w:p w14:paraId="3FBC8DF2">
      <w:pPr>
        <w:snapToGrid w:val="0"/>
        <w:spacing w:line="312" w:lineRule="auto"/>
        <w:ind w:right="-341"/>
        <w:rPr>
          <w:rFonts w:asciiTheme="minorEastAsia" w:hAnsiTheme="minorEastAsia" w:eastAsiaTheme="minorEastAsia"/>
          <w:b/>
        </w:rPr>
      </w:pPr>
    </w:p>
    <w:p w14:paraId="50EE95D0">
      <w:pPr>
        <w:snapToGrid w:val="0"/>
        <w:spacing w:line="312" w:lineRule="auto"/>
        <w:ind w:right="-341"/>
        <w:rPr>
          <w:rFonts w:asciiTheme="minorEastAsia" w:hAnsiTheme="minorEastAsia" w:eastAsiaTheme="minorEastAsia"/>
          <w:b/>
        </w:rPr>
      </w:pPr>
    </w:p>
    <w:p w14:paraId="594A3F9B">
      <w:pPr>
        <w:snapToGrid w:val="0"/>
        <w:spacing w:line="312" w:lineRule="auto"/>
        <w:ind w:right="-341"/>
        <w:rPr>
          <w:rFonts w:asciiTheme="minorEastAsia" w:hAnsiTheme="minorEastAsia" w:eastAsiaTheme="minorEastAsia"/>
          <w:b/>
        </w:rPr>
      </w:pPr>
    </w:p>
    <w:p w14:paraId="37BFD91D">
      <w:pPr>
        <w:pStyle w:val="9"/>
        <w:rPr>
          <w:rFonts w:asciiTheme="minorEastAsia" w:hAnsiTheme="minorEastAsia" w:eastAsiaTheme="minorEastAsia"/>
          <w:b/>
        </w:rPr>
      </w:pPr>
    </w:p>
    <w:p w14:paraId="31D70097">
      <w:pPr>
        <w:pStyle w:val="12"/>
        <w:snapToGrid w:val="0"/>
        <w:spacing w:before="120" w:line="312" w:lineRule="auto"/>
        <w:ind w:right="-341"/>
        <w:jc w:val="center"/>
        <w:rPr>
          <w:rFonts w:asciiTheme="minorEastAsia" w:hAnsiTheme="minorEastAsia" w:eastAsiaTheme="minorEastAsia"/>
          <w:b/>
          <w:sz w:val="32"/>
        </w:rPr>
      </w:pPr>
    </w:p>
    <w:p w14:paraId="13ABCDE0">
      <w:pPr>
        <w:pStyle w:val="12"/>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五、投 标 函</w:t>
      </w:r>
    </w:p>
    <w:p w14:paraId="12710FB8">
      <w:pPr>
        <w:snapToGrid w:val="0"/>
        <w:spacing w:line="312" w:lineRule="auto"/>
        <w:ind w:right="-341"/>
        <w:rPr>
          <w:rFonts w:ascii="宋体" w:hAnsi="宋体"/>
        </w:rPr>
      </w:pPr>
      <w:r>
        <w:rPr>
          <w:rFonts w:hint="eastAsia" w:ascii="宋体" w:hAnsi="宋体"/>
        </w:rPr>
        <w:t>致：</w:t>
      </w:r>
      <w:r>
        <w:rPr>
          <w:rFonts w:hint="eastAsia" w:ascii="宋体" w:hAnsi="宋体"/>
          <w:u w:val="single"/>
        </w:rPr>
        <w:t xml:space="preserve"> </w:t>
      </w:r>
      <w:r>
        <w:rPr>
          <w:rFonts w:hint="eastAsia" w:ascii="宋体" w:hAnsi="宋体"/>
          <w:szCs w:val="21"/>
          <w:u w:val="single"/>
        </w:rPr>
        <w:t>（</w:t>
      </w:r>
      <w:r>
        <w:rPr>
          <w:rFonts w:hint="eastAsia" w:ascii="宋体" w:hAnsi="宋体"/>
          <w:szCs w:val="21"/>
          <w:u w:val="single"/>
          <w:lang w:eastAsia="zh-CN"/>
        </w:rPr>
        <w:t>采购代理机构</w:t>
      </w:r>
      <w:r>
        <w:rPr>
          <w:rFonts w:hint="eastAsia" w:ascii="宋体" w:hAnsi="宋体"/>
          <w:szCs w:val="21"/>
          <w:u w:val="single"/>
        </w:rPr>
        <w:t>、</w:t>
      </w:r>
      <w:r>
        <w:rPr>
          <w:rFonts w:hint="eastAsia" w:ascii="宋体" w:hAnsi="宋体"/>
          <w:szCs w:val="21"/>
          <w:u w:val="single"/>
          <w:lang w:eastAsia="zh-CN"/>
        </w:rPr>
        <w:t>采购人</w:t>
      </w:r>
      <w:r>
        <w:rPr>
          <w:rFonts w:hint="eastAsia" w:ascii="宋体" w:hAnsi="宋体"/>
          <w:szCs w:val="21"/>
          <w:u w:val="single"/>
        </w:rPr>
        <w:t>名称）</w:t>
      </w:r>
      <w:r>
        <w:rPr>
          <w:rFonts w:hint="eastAsia" w:ascii="宋体" w:hAnsi="宋体"/>
          <w:u w:val="single"/>
        </w:rPr>
        <w:t xml:space="preserve"> </w:t>
      </w:r>
    </w:p>
    <w:p w14:paraId="43E7BD39">
      <w:pPr>
        <w:snapToGrid w:val="0"/>
        <w:spacing w:line="312" w:lineRule="auto"/>
        <w:ind w:right="-341" w:firstLine="480"/>
        <w:rPr>
          <w:rFonts w:ascii="宋体" w:hAnsi="宋体"/>
        </w:rPr>
      </w:pPr>
      <w:r>
        <w:rPr>
          <w:rFonts w:hint="eastAsia" w:ascii="宋体" w:hAnsi="宋体"/>
        </w:rPr>
        <w:t>根据贵方为</w:t>
      </w:r>
      <w:r>
        <w:rPr>
          <w:rFonts w:hint="eastAsia" w:ascii="宋体" w:hAnsi="宋体"/>
          <w:u w:val="single"/>
          <w:lang w:val="en-US" w:eastAsia="zh-CN"/>
        </w:rPr>
        <w:t xml:space="preserve">                       </w:t>
      </w:r>
      <w:r>
        <w:rPr>
          <w:rFonts w:hint="eastAsia" w:ascii="宋体" w:hAnsi="宋体"/>
        </w:rPr>
        <w:t>项目的招标公告（项目编号：</w:t>
      </w:r>
      <w:r>
        <w:rPr>
          <w:rFonts w:hint="eastAsia" w:ascii="宋体" w:hAnsi="宋体"/>
          <w:u w:val="single"/>
        </w:rPr>
        <w:t xml:space="preserve">         </w:t>
      </w:r>
      <w:r>
        <w:rPr>
          <w:rFonts w:hint="eastAsia" w:ascii="宋体" w:hAnsi="宋体"/>
        </w:rPr>
        <w:t>），签字代表</w:t>
      </w:r>
      <w:r>
        <w:rPr>
          <w:rFonts w:hint="eastAsia" w:ascii="宋体" w:hAnsi="宋体"/>
          <w:u w:val="single"/>
        </w:rPr>
        <w:t xml:space="preserve">        </w:t>
      </w:r>
      <w:r>
        <w:rPr>
          <w:rFonts w:hint="eastAsia" w:ascii="宋体" w:hAnsi="宋体"/>
        </w:rPr>
        <w:t>（全名）经正式授权并代表投标人</w:t>
      </w:r>
      <w:r>
        <w:rPr>
          <w:rFonts w:hint="eastAsia" w:ascii="宋体" w:hAnsi="宋体"/>
          <w:u w:val="single"/>
        </w:rPr>
        <w:t xml:space="preserve">                 </w:t>
      </w:r>
      <w:r>
        <w:rPr>
          <w:rFonts w:hint="eastAsia" w:ascii="宋体" w:hAnsi="宋体"/>
        </w:rPr>
        <w:t>（投标人名称）提交投标报价文件、资格证明/商务技术文件。</w:t>
      </w:r>
    </w:p>
    <w:p w14:paraId="09FDA0D7">
      <w:pPr>
        <w:snapToGrid w:val="0"/>
        <w:spacing w:line="360" w:lineRule="auto"/>
        <w:ind w:right="-341" w:firstLine="420" w:firstLineChars="200"/>
        <w:rPr>
          <w:rFonts w:ascii="宋体"/>
        </w:rPr>
      </w:pPr>
      <w:r>
        <w:rPr>
          <w:rFonts w:hint="eastAsia" w:ascii="宋体" w:hAnsi="宋体"/>
        </w:rPr>
        <w:t>据此函，签字代表宣布同意如下：</w:t>
      </w:r>
    </w:p>
    <w:p w14:paraId="2C576FDE">
      <w:pPr>
        <w:pStyle w:val="10"/>
        <w:spacing w:line="360" w:lineRule="auto"/>
        <w:ind w:right="-341" w:firstLine="387" w:firstLineChars="192"/>
        <w:rPr>
          <w:rFonts w:cs="宋体" w:asciiTheme="minorEastAsia" w:hAnsiTheme="minorEastAsia" w:eastAsiaTheme="minorEastAsia"/>
          <w:sz w:val="21"/>
          <w:szCs w:val="21"/>
        </w:rPr>
      </w:pPr>
      <w:r>
        <w:rPr>
          <w:rFonts w:hint="eastAsia" w:cs="宋体" w:asciiTheme="minorEastAsia" w:hAnsiTheme="minorEastAsia" w:eastAsiaTheme="minorEastAsia"/>
          <w:sz w:val="21"/>
          <w:szCs w:val="21"/>
        </w:rPr>
        <w:t>1、我方已详细审查了采购文件的全部内容及其相关补充文件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，并完全清晰理解全部内容及相关的补充文件</w:t>
      </w:r>
      <w:r>
        <w:rPr>
          <w:rFonts w:hint="eastAsia" w:cs="宋体" w:asciiTheme="minorEastAsia" w:hAnsiTheme="minorEastAsia" w:eastAsiaTheme="minorEastAsia"/>
          <w:b/>
          <w:sz w:val="21"/>
          <w:szCs w:val="21"/>
        </w:rPr>
        <w:t>（若有）</w:t>
      </w:r>
      <w:r>
        <w:rPr>
          <w:rFonts w:hint="eastAsia" w:cs="宋体" w:asciiTheme="minorEastAsia" w:hAnsiTheme="minorEastAsia" w:eastAsiaTheme="minorEastAsia"/>
          <w:sz w:val="21"/>
          <w:szCs w:val="21"/>
        </w:rPr>
        <w:t>，不存在任何误解之处，同意放弃提出异议和质疑的权利。</w:t>
      </w:r>
    </w:p>
    <w:p w14:paraId="40F45A6E">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2、我方遵守《中华人民共和国政府采购法》及相关法律法规的规定。同意采购文件中所提到的无效标条款，并服从有关开标现场的会议纪律。否则，同意被废除投标资格。</w:t>
      </w:r>
    </w:p>
    <w:p w14:paraId="6C23A481">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3、我方所提供的一次性投标产品报价均具充分的合理性和准确性，保证不存在低于成本的恶意报价行为，同时清楚理解到报价最低并非意味着必定获得合同授予资格。</w:t>
      </w:r>
    </w:p>
    <w:p w14:paraId="06A4E3A6">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4、投标有效期为自开标之日起</w:t>
      </w:r>
      <w:r>
        <w:rPr>
          <w:rFonts w:hint="eastAsia" w:cs="宋体" w:asciiTheme="minorEastAsia" w:hAnsiTheme="minorEastAsia" w:eastAsiaTheme="minorEastAsia"/>
          <w:spacing w:val="-4"/>
          <w:szCs w:val="21"/>
          <w:u w:val="single"/>
        </w:rPr>
        <w:t>90</w:t>
      </w:r>
      <w:r>
        <w:rPr>
          <w:rFonts w:hint="eastAsia" w:cs="宋体" w:asciiTheme="minorEastAsia" w:hAnsiTheme="minorEastAsia" w:eastAsiaTheme="minorEastAsia"/>
          <w:spacing w:val="-4"/>
          <w:szCs w:val="21"/>
        </w:rPr>
        <w:t>天内，如在投标有效期内撤回投标，我方同意被废除投标资格。</w:t>
      </w:r>
    </w:p>
    <w:p w14:paraId="5CD804CF">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5、我方承诺</w:t>
      </w:r>
      <w:r>
        <w:rPr>
          <w:rFonts w:hint="eastAsia" w:cs="宋体" w:asciiTheme="minorEastAsia" w:hAnsiTheme="minorEastAsia" w:eastAsiaTheme="minorEastAsia"/>
          <w:szCs w:val="21"/>
        </w:rPr>
        <w:t>参加政府采购活动前3年内在经营活动中没有重大违法记录和依法缴纳了税收</w:t>
      </w:r>
      <w:r>
        <w:rPr>
          <w:rFonts w:hint="eastAsia" w:cs="宋体" w:asciiTheme="minorEastAsia" w:hAnsiTheme="minorEastAsia" w:eastAsiaTheme="minorEastAsia"/>
          <w:spacing w:val="-4"/>
          <w:szCs w:val="21"/>
        </w:rPr>
        <w:t>（投标截止时间进行计算）。</w:t>
      </w:r>
    </w:p>
    <w:p w14:paraId="56E882D6">
      <w:pPr>
        <w:spacing w:line="360" w:lineRule="auto"/>
        <w:ind w:right="-341" w:firstLine="404" w:firstLineChars="200"/>
        <w:rPr>
          <w:rFonts w:asciiTheme="minorEastAsia" w:hAnsiTheme="minorEastAsia" w:eastAsiaTheme="minorEastAsia"/>
          <w:szCs w:val="21"/>
        </w:rPr>
      </w:pPr>
      <w:r>
        <w:rPr>
          <w:rFonts w:hint="eastAsia" w:cs="宋体" w:asciiTheme="minorEastAsia" w:hAnsiTheme="minorEastAsia" w:eastAsiaTheme="minorEastAsia"/>
          <w:spacing w:val="-4"/>
          <w:szCs w:val="21"/>
        </w:rPr>
        <w:t>6、我方承诺具备本项目</w:t>
      </w:r>
      <w:r>
        <w:rPr>
          <w:rFonts w:hint="eastAsia" w:cs="宋体" w:asciiTheme="minorEastAsia" w:hAnsiTheme="minorEastAsia" w:eastAsiaTheme="minorEastAsia"/>
          <w:szCs w:val="21"/>
        </w:rPr>
        <w:t>履行合同所必需的设备和专业技术能力。</w:t>
      </w:r>
    </w:p>
    <w:p w14:paraId="31D7E830">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7、我方承诺所提供的一切投标文件经已认真严格审核，内容均为全面真实、准确有效且毫无保留，绝无任何遗漏、虚假、伪造和夸大的成份，若出现违背诚实信用和无如实告知之处，同意被废除投标资格和相关的处罚。</w:t>
      </w:r>
    </w:p>
    <w:p w14:paraId="45555B12">
      <w:pPr>
        <w:spacing w:line="360" w:lineRule="auto"/>
        <w:ind w:right="-341" w:firstLine="404" w:firstLineChars="200"/>
        <w:rPr>
          <w:rFonts w:cs="宋体" w:asciiTheme="minorEastAsia" w:hAnsiTheme="minorEastAsia" w:eastAsiaTheme="minorEastAsia"/>
          <w:spacing w:val="-4"/>
          <w:szCs w:val="21"/>
        </w:rPr>
      </w:pPr>
      <w:r>
        <w:rPr>
          <w:rFonts w:hint="eastAsia" w:cs="宋体" w:asciiTheme="minorEastAsia" w:hAnsiTheme="minorEastAsia" w:eastAsiaTheme="minorEastAsia"/>
          <w:spacing w:val="-4"/>
          <w:szCs w:val="21"/>
        </w:rPr>
        <w:t>8、我方承诺至开标之日止，未被“信用中国”（www.creditchina.gov.cn）、中国政府采购网（www.ccgp.gov.cn）列入失信被执行人、重大税收违法案件当事人名单、政府采购严重违法失信行为记录名单。</w:t>
      </w:r>
    </w:p>
    <w:p w14:paraId="5BDF6022">
      <w:pPr>
        <w:snapToGrid w:val="0"/>
        <w:spacing w:line="360" w:lineRule="auto"/>
        <w:ind w:right="-341" w:firstLine="420" w:firstLineChars="200"/>
        <w:rPr>
          <w:rFonts w:asciiTheme="minorEastAsia" w:hAnsiTheme="minorEastAsia" w:eastAsiaTheme="minorEastAsia"/>
        </w:rPr>
      </w:pPr>
      <w:r>
        <w:rPr>
          <w:rFonts w:hint="eastAsia" w:asciiTheme="minorEastAsia" w:hAnsiTheme="minorEastAsia" w:eastAsiaTheme="minorEastAsia"/>
        </w:rPr>
        <w:t>9、与本投标有关的一切正式往来信函请寄：</w:t>
      </w:r>
    </w:p>
    <w:p w14:paraId="11CF2A3B">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地址：___________________ 邮编：__________   电话：______________</w:t>
      </w:r>
    </w:p>
    <w:p w14:paraId="436A5C71">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传真：______________投标人代表姓名 ___________  职务：_____________</w:t>
      </w:r>
    </w:p>
    <w:p w14:paraId="0DDDA01C">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投标人名称(公章):___________________</w:t>
      </w:r>
    </w:p>
    <w:p w14:paraId="056753B4">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开户银行：          银行帐号：</w:t>
      </w:r>
    </w:p>
    <w:p w14:paraId="75FF6CF8">
      <w:pPr>
        <w:snapToGrid w:val="0"/>
        <w:spacing w:line="312" w:lineRule="auto"/>
        <w:ind w:right="-341"/>
        <w:rPr>
          <w:rFonts w:asciiTheme="minorEastAsia" w:hAnsiTheme="minorEastAsia" w:eastAsiaTheme="minorEastAsia"/>
        </w:rPr>
      </w:pPr>
      <w:r>
        <w:rPr>
          <w:rFonts w:hint="eastAsia" w:asciiTheme="minorEastAsia" w:hAnsiTheme="minorEastAsia" w:eastAsiaTheme="minorEastAsia"/>
        </w:rPr>
        <w:t>法定代表人（负责人）签字或盖章：</w:t>
      </w:r>
    </w:p>
    <w:p w14:paraId="5791AB09">
      <w:pPr>
        <w:snapToGrid w:val="0"/>
        <w:spacing w:line="312" w:lineRule="auto"/>
        <w:ind w:right="-341"/>
        <w:rPr>
          <w:rFonts w:asciiTheme="minorEastAsia" w:hAnsiTheme="minorEastAsia" w:eastAsiaTheme="minorEastAsia"/>
        </w:rPr>
      </w:pPr>
    </w:p>
    <w:p w14:paraId="51620C26">
      <w:pPr>
        <w:pStyle w:val="12"/>
        <w:snapToGrid w:val="0"/>
        <w:spacing w:before="120" w:line="312" w:lineRule="auto"/>
        <w:ind w:right="-341" w:firstLine="3045" w:firstLineChars="1450"/>
        <w:rPr>
          <w:rFonts w:asciiTheme="minorEastAsia" w:hAnsiTheme="minorEastAsia" w:eastAsiaTheme="minorEastAsia"/>
          <w:sz w:val="21"/>
        </w:rPr>
      </w:pPr>
      <w:r>
        <w:rPr>
          <w:rFonts w:hint="eastAsia" w:asciiTheme="minorEastAsia" w:hAnsiTheme="minorEastAsia" w:eastAsiaTheme="minorEastAsia"/>
          <w:sz w:val="21"/>
        </w:rPr>
        <w:t xml:space="preserve">               </w:t>
      </w:r>
      <w:r>
        <w:rPr>
          <w:rFonts w:hint="eastAsia" w:asciiTheme="minorEastAsia" w:hAnsiTheme="minorEastAsia" w:eastAsiaTheme="minorEastAsia"/>
          <w:sz w:val="21"/>
          <w:lang w:val="en-US" w:eastAsia="zh-CN"/>
        </w:rPr>
        <w:t xml:space="preserve">                 </w:t>
      </w:r>
      <w:r>
        <w:rPr>
          <w:rFonts w:hint="eastAsia" w:asciiTheme="minorEastAsia" w:hAnsiTheme="minorEastAsia" w:eastAsiaTheme="minorEastAsia"/>
          <w:sz w:val="21"/>
        </w:rPr>
        <w:t xml:space="preserve">  日期:_____年___月___日</w:t>
      </w:r>
    </w:p>
    <w:p w14:paraId="251EAEF3">
      <w:pPr>
        <w:snapToGrid w:val="0"/>
        <w:spacing w:line="312" w:lineRule="auto"/>
        <w:ind w:right="-341"/>
        <w:rPr>
          <w:rFonts w:asciiTheme="minorEastAsia" w:hAnsiTheme="minorEastAsia" w:eastAsiaTheme="minorEastAsia"/>
          <w:b/>
          <w:sz w:val="24"/>
        </w:rPr>
      </w:pPr>
      <w:r>
        <w:rPr>
          <w:rFonts w:hint="eastAsia" w:asciiTheme="minorEastAsia" w:hAnsiTheme="minorEastAsia" w:eastAsiaTheme="minorEastAsia"/>
        </w:rPr>
        <w:br w:type="page"/>
      </w:r>
    </w:p>
    <w:p w14:paraId="0986AE0F">
      <w:pPr>
        <w:snapToGrid w:val="0"/>
        <w:spacing w:before="120" w:beforeLines="50" w:after="50"/>
        <w:jc w:val="center"/>
        <w:rPr>
          <w:rFonts w:asciiTheme="minorEastAsia" w:hAnsiTheme="minorEastAsia" w:eastAsiaTheme="minorEastAsia"/>
          <w:b/>
          <w:sz w:val="32"/>
          <w:szCs w:val="32"/>
        </w:rPr>
      </w:pPr>
    </w:p>
    <w:p w14:paraId="651262C5">
      <w:pPr>
        <w:snapToGrid w:val="0"/>
        <w:spacing w:before="120" w:beforeLines="50" w:after="50"/>
        <w:jc w:val="center"/>
        <w:rPr>
          <w:rFonts w:asciiTheme="minorEastAsia" w:hAnsiTheme="minorEastAsia" w:eastAsiaTheme="minorEastAsia"/>
          <w:b/>
          <w:sz w:val="32"/>
          <w:szCs w:val="32"/>
        </w:rPr>
      </w:pPr>
      <w:r>
        <w:rPr>
          <w:rFonts w:hint="eastAsia" w:asciiTheme="minorEastAsia" w:hAnsiTheme="minorEastAsia" w:eastAsiaTheme="minorEastAsia"/>
          <w:b/>
          <w:sz w:val="32"/>
          <w:szCs w:val="32"/>
        </w:rPr>
        <w:t>六、声明函</w:t>
      </w:r>
    </w:p>
    <w:p w14:paraId="2433474D">
      <w:pPr>
        <w:snapToGrid w:val="0"/>
        <w:spacing w:before="120" w:beforeLines="50" w:after="50" w:line="360" w:lineRule="auto"/>
        <w:rPr>
          <w:rFonts w:asciiTheme="minorEastAsia" w:hAnsiTheme="minorEastAsia" w:eastAsiaTheme="minorEastAsia"/>
          <w:szCs w:val="21"/>
        </w:rPr>
      </w:pPr>
    </w:p>
    <w:p w14:paraId="2D9F7DCC">
      <w:pPr>
        <w:snapToGrid w:val="0"/>
        <w:spacing w:before="120" w:beforeLines="50" w:after="50" w:line="360" w:lineRule="auto"/>
        <w:rPr>
          <w:rFonts w:asciiTheme="minorEastAsia" w:hAnsiTheme="minorEastAsia" w:eastAsiaTheme="minorEastAsia"/>
          <w:szCs w:val="21"/>
        </w:rPr>
      </w:pPr>
      <w:r>
        <w:rPr>
          <w:rFonts w:hint="eastAsia" w:asciiTheme="minorEastAsia" w:hAnsiTheme="minorEastAsia" w:eastAsiaTheme="minorEastAsia"/>
          <w:szCs w:val="21"/>
        </w:rPr>
        <w:t>致：</w:t>
      </w:r>
      <w:r>
        <w:rPr>
          <w:rFonts w:hint="eastAsia" w:ascii="宋体" w:hAnsi="宋体"/>
          <w:szCs w:val="21"/>
          <w:u w:val="single"/>
        </w:rPr>
        <w:t>（</w:t>
      </w:r>
      <w:r>
        <w:rPr>
          <w:rFonts w:hint="eastAsia" w:ascii="宋体" w:hAnsi="宋体"/>
          <w:szCs w:val="21"/>
          <w:u w:val="single"/>
          <w:lang w:eastAsia="zh-CN"/>
        </w:rPr>
        <w:t>采购代理机构</w:t>
      </w:r>
      <w:r>
        <w:rPr>
          <w:rFonts w:hint="eastAsia" w:ascii="宋体" w:hAnsi="宋体"/>
          <w:szCs w:val="21"/>
          <w:u w:val="single"/>
        </w:rPr>
        <w:t>、</w:t>
      </w:r>
      <w:r>
        <w:rPr>
          <w:rFonts w:hint="eastAsia" w:ascii="宋体" w:hAnsi="宋体"/>
          <w:szCs w:val="21"/>
          <w:u w:val="single"/>
          <w:lang w:eastAsia="zh-CN"/>
        </w:rPr>
        <w:t>采购人</w:t>
      </w:r>
      <w:r>
        <w:rPr>
          <w:rFonts w:hint="eastAsia" w:ascii="宋体" w:hAnsi="宋体"/>
          <w:szCs w:val="21"/>
          <w:u w:val="single"/>
        </w:rPr>
        <w:t>名称）</w:t>
      </w:r>
    </w:p>
    <w:p w14:paraId="30C24F0F">
      <w:pPr>
        <w:pStyle w:val="9"/>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我方在参加政府采购活动前三年内，具有良好的商业信誉，依法缴纳税收和社会保障资金，未被列入失信被执行人名单、重大税收违法案件当事人名单、政府采购严重违法失信行为记录名单，在经营活动中没有重大违法记录（没有因违法经营受到刑事处罚，没有被责令停产停业、被吊销许可证或者执照、被处以较大数额罚款等行政处罚，没有因违法经营被禁止参加政府采购活动的期限未满情形）。如有虚假，采购人可取消我方任何资格（投标</w:t>
      </w:r>
      <w:r>
        <w:rPr>
          <w:rFonts w:asciiTheme="minorEastAsia" w:hAnsiTheme="minorEastAsia" w:eastAsiaTheme="minorEastAsia"/>
          <w:sz w:val="21"/>
          <w:szCs w:val="21"/>
        </w:rPr>
        <w:t>/</w:t>
      </w:r>
      <w:r>
        <w:rPr>
          <w:rFonts w:hint="eastAsia" w:asciiTheme="minorEastAsia" w:hAnsiTheme="minorEastAsia" w:eastAsiaTheme="minorEastAsia"/>
          <w:sz w:val="21"/>
          <w:szCs w:val="21"/>
        </w:rPr>
        <w:t>中标</w:t>
      </w:r>
      <w:r>
        <w:rPr>
          <w:rFonts w:asciiTheme="minorEastAsia" w:hAnsiTheme="minorEastAsia" w:eastAsiaTheme="minorEastAsia"/>
          <w:sz w:val="21"/>
          <w:szCs w:val="21"/>
        </w:rPr>
        <w:t>/</w:t>
      </w:r>
      <w:r>
        <w:rPr>
          <w:rFonts w:hint="eastAsia" w:asciiTheme="minorEastAsia" w:hAnsiTheme="minorEastAsia" w:eastAsiaTheme="minorEastAsia"/>
          <w:sz w:val="21"/>
          <w:szCs w:val="21"/>
        </w:rPr>
        <w:t>签订合同），我方对此无任何异议。</w:t>
      </w:r>
    </w:p>
    <w:p w14:paraId="2B29C838">
      <w:pPr>
        <w:pStyle w:val="9"/>
        <w:spacing w:line="360" w:lineRule="auto"/>
        <w:ind w:firstLine="480"/>
        <w:rPr>
          <w:rFonts w:asciiTheme="minorEastAsia" w:hAnsiTheme="minorEastAsia" w:eastAsiaTheme="minorEastAsia"/>
          <w:sz w:val="21"/>
          <w:szCs w:val="21"/>
        </w:rPr>
      </w:pPr>
      <w:r>
        <w:rPr>
          <w:rFonts w:hint="eastAsia" w:asciiTheme="minorEastAsia" w:hAnsiTheme="minorEastAsia" w:eastAsiaTheme="minorEastAsia"/>
          <w:sz w:val="21"/>
          <w:szCs w:val="21"/>
        </w:rPr>
        <w:t>特此声明！</w:t>
      </w:r>
    </w:p>
    <w:p w14:paraId="4E45E80E">
      <w:pPr>
        <w:pStyle w:val="9"/>
        <w:ind w:firstLine="480"/>
        <w:rPr>
          <w:rFonts w:asciiTheme="minorEastAsia" w:hAnsiTheme="minorEastAsia" w:eastAsiaTheme="minorEastAsia"/>
        </w:rPr>
      </w:pPr>
    </w:p>
    <w:p w14:paraId="3EF38A86">
      <w:pPr>
        <w:snapToGrid w:val="0"/>
        <w:spacing w:before="120" w:beforeLines="50"/>
        <w:ind w:firstLine="200"/>
        <w:rPr>
          <w:rFonts w:asciiTheme="minorEastAsia" w:hAnsiTheme="minorEastAsia" w:eastAsiaTheme="minorEastAsia"/>
        </w:rPr>
      </w:pPr>
    </w:p>
    <w:p w14:paraId="3DD5EA5F">
      <w:pPr>
        <w:snapToGrid w:val="0"/>
        <w:spacing w:before="50" w:after="50"/>
        <w:rPr>
          <w:rFonts w:asciiTheme="minorEastAsia" w:hAnsiTheme="minorEastAsia" w:eastAsiaTheme="minorEastAsia"/>
        </w:rPr>
      </w:pPr>
      <w:r>
        <w:rPr>
          <w:rFonts w:hint="eastAsia" w:asciiTheme="minorEastAsia" w:hAnsiTheme="minorEastAsia" w:eastAsiaTheme="minorEastAsia"/>
        </w:rPr>
        <w:t>法定代表人（负责人）（签字或盖章）：</w:t>
      </w:r>
    </w:p>
    <w:p w14:paraId="34BB79D4">
      <w:pPr>
        <w:snapToGrid w:val="0"/>
        <w:ind w:left="2" w:right="-817" w:rightChars="-389"/>
        <w:rPr>
          <w:rFonts w:asciiTheme="minorEastAsia" w:hAnsiTheme="minorEastAsia" w:eastAsiaTheme="minorEastAsia"/>
        </w:rPr>
      </w:pPr>
    </w:p>
    <w:p w14:paraId="30C57B6F">
      <w:pPr>
        <w:snapToGrid w:val="0"/>
        <w:spacing w:before="50" w:line="312" w:lineRule="auto"/>
        <w:rPr>
          <w:rFonts w:asciiTheme="minorEastAsia" w:hAnsiTheme="minorEastAsia" w:eastAsiaTheme="minorEastAsia"/>
          <w:b/>
          <w:spacing w:val="20"/>
          <w:sz w:val="28"/>
        </w:rPr>
      </w:pPr>
      <w:r>
        <w:rPr>
          <w:rFonts w:hint="eastAsia" w:asciiTheme="minorEastAsia" w:hAnsiTheme="minorEastAsia" w:eastAsiaTheme="minorEastAsia"/>
        </w:rPr>
        <w:t>投标人名称（盖章）：                      日期：</w:t>
      </w:r>
    </w:p>
    <w:p w14:paraId="68D0E41A">
      <w:pPr>
        <w:pStyle w:val="12"/>
        <w:snapToGrid w:val="0"/>
        <w:spacing w:before="120" w:line="312" w:lineRule="auto"/>
        <w:ind w:right="-341"/>
        <w:jc w:val="center"/>
        <w:rPr>
          <w:rFonts w:asciiTheme="minorEastAsia" w:hAnsiTheme="minorEastAsia" w:eastAsiaTheme="minorEastAsia"/>
          <w:b/>
          <w:sz w:val="32"/>
        </w:rPr>
      </w:pPr>
    </w:p>
    <w:p w14:paraId="743E7BBD">
      <w:pPr>
        <w:pStyle w:val="12"/>
        <w:snapToGrid w:val="0"/>
        <w:spacing w:before="120" w:line="312" w:lineRule="auto"/>
        <w:ind w:right="-341"/>
        <w:jc w:val="center"/>
        <w:rPr>
          <w:rFonts w:asciiTheme="minorEastAsia" w:hAnsiTheme="minorEastAsia" w:eastAsiaTheme="minorEastAsia"/>
          <w:b/>
          <w:sz w:val="32"/>
        </w:rPr>
      </w:pPr>
    </w:p>
    <w:p w14:paraId="3AE0A764">
      <w:pPr>
        <w:pStyle w:val="12"/>
        <w:snapToGrid w:val="0"/>
        <w:spacing w:before="120" w:line="312" w:lineRule="auto"/>
        <w:ind w:right="-341"/>
        <w:jc w:val="center"/>
        <w:rPr>
          <w:rFonts w:asciiTheme="minorEastAsia" w:hAnsiTheme="minorEastAsia" w:eastAsiaTheme="minorEastAsia"/>
          <w:b/>
          <w:sz w:val="32"/>
        </w:rPr>
      </w:pPr>
    </w:p>
    <w:p w14:paraId="186DAFA4">
      <w:pPr>
        <w:pStyle w:val="12"/>
        <w:snapToGrid w:val="0"/>
        <w:spacing w:before="120" w:line="312" w:lineRule="auto"/>
        <w:ind w:right="-341"/>
        <w:jc w:val="center"/>
        <w:rPr>
          <w:rFonts w:asciiTheme="minorEastAsia" w:hAnsiTheme="minorEastAsia" w:eastAsiaTheme="minorEastAsia"/>
          <w:b/>
          <w:sz w:val="32"/>
        </w:rPr>
      </w:pPr>
    </w:p>
    <w:p w14:paraId="2387EA0F">
      <w:pPr>
        <w:pStyle w:val="12"/>
        <w:snapToGrid w:val="0"/>
        <w:spacing w:before="120" w:line="312" w:lineRule="auto"/>
        <w:ind w:right="-341"/>
        <w:jc w:val="center"/>
        <w:rPr>
          <w:rFonts w:asciiTheme="minorEastAsia" w:hAnsiTheme="minorEastAsia" w:eastAsiaTheme="minorEastAsia"/>
          <w:b/>
          <w:sz w:val="32"/>
        </w:rPr>
      </w:pPr>
    </w:p>
    <w:p w14:paraId="53A8F4CE">
      <w:pPr>
        <w:pStyle w:val="12"/>
        <w:snapToGrid w:val="0"/>
        <w:spacing w:before="120" w:line="312" w:lineRule="auto"/>
        <w:ind w:right="-341"/>
        <w:jc w:val="center"/>
        <w:rPr>
          <w:rFonts w:asciiTheme="minorEastAsia" w:hAnsiTheme="minorEastAsia" w:eastAsiaTheme="minorEastAsia"/>
          <w:b/>
          <w:sz w:val="32"/>
        </w:rPr>
      </w:pPr>
    </w:p>
    <w:p w14:paraId="713DB850">
      <w:pPr>
        <w:pStyle w:val="12"/>
        <w:snapToGrid w:val="0"/>
        <w:spacing w:before="120" w:line="312" w:lineRule="auto"/>
        <w:ind w:right="-341"/>
        <w:jc w:val="center"/>
        <w:rPr>
          <w:rFonts w:asciiTheme="minorEastAsia" w:hAnsiTheme="minorEastAsia" w:eastAsiaTheme="minorEastAsia"/>
          <w:b/>
          <w:sz w:val="32"/>
        </w:rPr>
      </w:pPr>
    </w:p>
    <w:p w14:paraId="29B2C637">
      <w:pPr>
        <w:pStyle w:val="12"/>
        <w:snapToGrid w:val="0"/>
        <w:spacing w:before="120" w:line="312" w:lineRule="auto"/>
        <w:ind w:right="-341"/>
        <w:jc w:val="center"/>
        <w:rPr>
          <w:rFonts w:asciiTheme="minorEastAsia" w:hAnsiTheme="minorEastAsia" w:eastAsiaTheme="minorEastAsia"/>
          <w:b/>
          <w:sz w:val="32"/>
        </w:rPr>
      </w:pPr>
    </w:p>
    <w:p w14:paraId="0E693342">
      <w:pPr>
        <w:pStyle w:val="12"/>
        <w:snapToGrid w:val="0"/>
        <w:spacing w:before="120" w:line="312" w:lineRule="auto"/>
        <w:ind w:right="-341"/>
        <w:jc w:val="center"/>
        <w:rPr>
          <w:rFonts w:asciiTheme="minorEastAsia" w:hAnsiTheme="minorEastAsia" w:eastAsiaTheme="minorEastAsia"/>
          <w:b/>
          <w:sz w:val="32"/>
        </w:rPr>
      </w:pPr>
    </w:p>
    <w:p w14:paraId="721091BC">
      <w:pPr>
        <w:pStyle w:val="12"/>
        <w:snapToGrid w:val="0"/>
        <w:spacing w:before="120" w:line="312" w:lineRule="auto"/>
        <w:ind w:right="-341"/>
        <w:jc w:val="center"/>
        <w:rPr>
          <w:rFonts w:asciiTheme="minorEastAsia" w:hAnsiTheme="minorEastAsia" w:eastAsiaTheme="minorEastAsia"/>
          <w:b/>
          <w:sz w:val="32"/>
        </w:rPr>
      </w:pPr>
    </w:p>
    <w:p w14:paraId="6AD63357">
      <w:pPr>
        <w:pStyle w:val="12"/>
        <w:snapToGrid w:val="0"/>
        <w:spacing w:before="120" w:line="312" w:lineRule="auto"/>
        <w:ind w:right="-341"/>
        <w:jc w:val="center"/>
        <w:rPr>
          <w:rFonts w:asciiTheme="minorEastAsia" w:hAnsiTheme="minorEastAsia" w:eastAsiaTheme="minorEastAsia"/>
          <w:b/>
          <w:sz w:val="32"/>
        </w:rPr>
      </w:pPr>
    </w:p>
    <w:p w14:paraId="3CC66FD2">
      <w:pPr>
        <w:pStyle w:val="12"/>
        <w:snapToGrid w:val="0"/>
        <w:spacing w:before="120" w:line="312" w:lineRule="auto"/>
        <w:ind w:right="-341"/>
        <w:jc w:val="center"/>
        <w:rPr>
          <w:rFonts w:asciiTheme="minorEastAsia" w:hAnsiTheme="minorEastAsia" w:eastAsiaTheme="minorEastAsia"/>
          <w:b/>
          <w:sz w:val="32"/>
        </w:rPr>
      </w:pPr>
    </w:p>
    <w:p w14:paraId="5AD0955D">
      <w:pPr>
        <w:pStyle w:val="12"/>
        <w:snapToGrid w:val="0"/>
        <w:spacing w:before="120" w:line="312" w:lineRule="auto"/>
        <w:ind w:right="-341"/>
        <w:jc w:val="center"/>
        <w:rPr>
          <w:rFonts w:asciiTheme="minorEastAsia" w:hAnsiTheme="minorEastAsia" w:eastAsiaTheme="minorEastAsia"/>
          <w:b/>
          <w:sz w:val="32"/>
        </w:rPr>
      </w:pPr>
      <w:r>
        <w:rPr>
          <w:rFonts w:hint="eastAsia" w:asciiTheme="minorEastAsia" w:hAnsiTheme="minorEastAsia" w:eastAsiaTheme="minorEastAsia"/>
          <w:b/>
          <w:sz w:val="32"/>
        </w:rPr>
        <w:t>七、法定代表人授权委托书</w:t>
      </w:r>
    </w:p>
    <w:p w14:paraId="34345166">
      <w:pPr>
        <w:snapToGrid w:val="0"/>
        <w:spacing w:line="312" w:lineRule="auto"/>
        <w:ind w:right="55"/>
        <w:rPr>
          <w:rFonts w:asciiTheme="minorEastAsia" w:hAnsiTheme="minorEastAsia" w:eastAsiaTheme="minorEastAsia"/>
        </w:rPr>
      </w:pPr>
    </w:p>
    <w:p w14:paraId="697C0077">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致：</w:t>
      </w:r>
      <w:r>
        <w:rPr>
          <w:rFonts w:hint="eastAsia" w:ascii="宋体" w:hAnsi="宋体"/>
          <w:szCs w:val="21"/>
          <w:u w:val="single"/>
        </w:rPr>
        <w:t>（</w:t>
      </w:r>
      <w:r>
        <w:rPr>
          <w:rFonts w:hint="eastAsia" w:ascii="宋体" w:hAnsi="宋体"/>
          <w:szCs w:val="21"/>
          <w:u w:val="single"/>
          <w:lang w:eastAsia="zh-CN"/>
        </w:rPr>
        <w:t>采购代理机构</w:t>
      </w:r>
      <w:r>
        <w:rPr>
          <w:rFonts w:hint="eastAsia" w:ascii="宋体" w:hAnsi="宋体"/>
          <w:szCs w:val="21"/>
          <w:u w:val="single"/>
        </w:rPr>
        <w:t>、</w:t>
      </w:r>
      <w:r>
        <w:rPr>
          <w:rFonts w:hint="eastAsia" w:ascii="宋体" w:hAnsi="宋体"/>
          <w:szCs w:val="21"/>
          <w:u w:val="single"/>
          <w:lang w:eastAsia="zh-CN"/>
        </w:rPr>
        <w:t>采购人</w:t>
      </w:r>
      <w:r>
        <w:rPr>
          <w:rFonts w:hint="eastAsia" w:ascii="宋体" w:hAnsi="宋体"/>
          <w:szCs w:val="21"/>
          <w:u w:val="single"/>
        </w:rPr>
        <w:t>名称）</w:t>
      </w:r>
    </w:p>
    <w:p w14:paraId="3823A292">
      <w:pPr>
        <w:snapToGrid w:val="0"/>
        <w:spacing w:line="312" w:lineRule="auto"/>
        <w:ind w:right="55" w:firstLine="630" w:firstLineChars="300"/>
        <w:rPr>
          <w:rFonts w:asciiTheme="minorEastAsia" w:hAnsiTheme="minorEastAsia" w:eastAsiaTheme="minorEastAsia"/>
        </w:rPr>
      </w:pPr>
      <w:r>
        <w:rPr>
          <w:rFonts w:hint="eastAsia" w:asciiTheme="minorEastAsia" w:hAnsiTheme="minorEastAsia" w:eastAsiaTheme="minorEastAsia"/>
        </w:rPr>
        <w:t>我</w:t>
      </w:r>
      <w:r>
        <w:rPr>
          <w:rFonts w:hint="eastAsia" w:asciiTheme="minorEastAsia" w:hAnsiTheme="minorEastAsia" w:eastAsiaTheme="minorEastAsia"/>
          <w:u w:val="single"/>
        </w:rPr>
        <w:t xml:space="preserve">         </w:t>
      </w:r>
      <w:r>
        <w:rPr>
          <w:rFonts w:hint="eastAsia" w:asciiTheme="minorEastAsia" w:hAnsiTheme="minorEastAsia" w:eastAsiaTheme="minorEastAsia"/>
        </w:rPr>
        <w:t>（姓名）系</w:t>
      </w:r>
      <w:r>
        <w:rPr>
          <w:rFonts w:hint="eastAsia" w:asciiTheme="minorEastAsia" w:hAnsiTheme="minorEastAsia" w:eastAsiaTheme="minorEastAsia"/>
          <w:u w:val="single"/>
        </w:rPr>
        <w:t xml:space="preserve">         </w:t>
      </w:r>
      <w:r>
        <w:rPr>
          <w:rFonts w:hint="eastAsia" w:asciiTheme="minorEastAsia" w:hAnsiTheme="minorEastAsia" w:eastAsiaTheme="minorEastAsia"/>
        </w:rPr>
        <w:t>（投标人名称）的法定代表人（负责人），现授权委托本单位在职职工 （姓名）以我方的名义参加</w:t>
      </w:r>
      <w:r>
        <w:rPr>
          <w:rFonts w:hint="eastAsia" w:asciiTheme="minorEastAsia" w:hAnsiTheme="minorEastAsia" w:eastAsiaTheme="minorEastAsia"/>
          <w:u w:val="single"/>
        </w:rPr>
        <w:t xml:space="preserve">                  </w:t>
      </w:r>
      <w:r>
        <w:rPr>
          <w:rFonts w:hint="eastAsia" w:asciiTheme="minorEastAsia" w:hAnsiTheme="minorEastAsia" w:eastAsiaTheme="minorEastAsia"/>
        </w:rPr>
        <w:t>项目的投标活动，并代表我方全权办理针对上述项目的投标、开标、评标、签约等具体事务和签署相关文件。</w:t>
      </w:r>
    </w:p>
    <w:p w14:paraId="52966CC5">
      <w:pPr>
        <w:snapToGrid w:val="0"/>
        <w:spacing w:line="312" w:lineRule="auto"/>
        <w:ind w:right="55"/>
        <w:rPr>
          <w:rFonts w:asciiTheme="minorEastAsia" w:hAnsiTheme="minorEastAsia" w:eastAsiaTheme="minorEastAsia"/>
        </w:rPr>
      </w:pPr>
      <w:r>
        <w:rPr>
          <w:rFonts w:hint="eastAsia" w:asciiTheme="minorEastAsia" w:hAnsiTheme="minorEastAsia" w:eastAsiaTheme="minorEastAsia"/>
        </w:rPr>
        <w:t xml:space="preserve">    我方对被授权人的签名事项负全部责任。</w:t>
      </w:r>
    </w:p>
    <w:p w14:paraId="18BB03D1">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u w:val="single"/>
        </w:rPr>
        <w:t>在撤销授权的书面通知以前，本授权书一直有效。</w:t>
      </w:r>
      <w:r>
        <w:rPr>
          <w:rFonts w:hint="eastAsia" w:asciiTheme="minorEastAsia" w:hAnsiTheme="minorEastAsia" w:eastAsiaTheme="minorEastAsia"/>
        </w:rPr>
        <w:t>被授权人在授权书有效期内签署的所有文件不因授权的撤销而失效。</w:t>
      </w:r>
    </w:p>
    <w:p w14:paraId="6148DDED">
      <w:pPr>
        <w:snapToGrid w:val="0"/>
        <w:spacing w:line="312" w:lineRule="auto"/>
        <w:ind w:right="55" w:firstLine="480"/>
        <w:rPr>
          <w:rFonts w:asciiTheme="minorEastAsia" w:hAnsiTheme="minorEastAsia" w:eastAsiaTheme="minorEastAsia"/>
        </w:rPr>
      </w:pPr>
      <w:r>
        <w:rPr>
          <w:rFonts w:hint="eastAsia" w:asciiTheme="minorEastAsia" w:hAnsiTheme="minorEastAsia" w:eastAsiaTheme="minorEastAsia"/>
        </w:rPr>
        <w:t>被授权人无转委托权，特此委托。</w:t>
      </w:r>
    </w:p>
    <w:p w14:paraId="52127459">
      <w:pPr>
        <w:snapToGrid w:val="0"/>
        <w:spacing w:line="312" w:lineRule="auto"/>
        <w:ind w:right="55"/>
        <w:rPr>
          <w:rFonts w:asciiTheme="minorEastAsia" w:hAnsiTheme="minorEastAsia" w:eastAsiaTheme="minorEastAsia"/>
        </w:rPr>
      </w:pPr>
    </w:p>
    <w:p w14:paraId="2D155F87">
      <w:pPr>
        <w:snapToGrid w:val="0"/>
        <w:spacing w:line="312" w:lineRule="auto"/>
        <w:ind w:right="55"/>
        <w:rPr>
          <w:rFonts w:asciiTheme="minorEastAsia" w:hAnsiTheme="minorEastAsia" w:eastAsiaTheme="minorEastAsia"/>
          <w:u w:val="single"/>
        </w:rPr>
      </w:pPr>
      <w:r>
        <w:rPr>
          <w:rFonts w:hint="eastAsia" w:asciiTheme="minorEastAsia" w:hAnsiTheme="minorEastAsia" w:eastAsiaTheme="minorEastAsia"/>
        </w:rPr>
        <w:t>被授权人签名：                 法定代表人（负责人）签名：</w:t>
      </w:r>
    </w:p>
    <w:p w14:paraId="54055625">
      <w:pPr>
        <w:snapToGrid w:val="0"/>
        <w:spacing w:line="312" w:lineRule="auto"/>
        <w:ind w:right="55" w:firstLine="840" w:firstLineChars="400"/>
        <w:rPr>
          <w:rFonts w:asciiTheme="minorEastAsia" w:hAnsiTheme="minorEastAsia" w:eastAsiaTheme="minorEastAsia"/>
        </w:rPr>
      </w:pPr>
      <w:r>
        <w:rPr>
          <w:rFonts w:hint="eastAsia" w:asciiTheme="minorEastAsia" w:hAnsiTheme="minorEastAsia" w:eastAsiaTheme="minorEastAsia"/>
        </w:rPr>
        <w:t>职务：                                职务：</w:t>
      </w:r>
    </w:p>
    <w:p w14:paraId="657CDE73">
      <w:pPr>
        <w:snapToGrid w:val="0"/>
        <w:spacing w:line="312" w:lineRule="auto"/>
        <w:ind w:right="55"/>
        <w:rPr>
          <w:rFonts w:asciiTheme="minorEastAsia" w:hAnsiTheme="minorEastAsia" w:eastAsiaTheme="minorEastAsia"/>
          <w:b/>
        </w:rPr>
      </w:pPr>
      <w:r>
        <w:rPr>
          <w:rFonts w:hint="eastAsia" w:asciiTheme="minorEastAsia" w:hAnsiTheme="minorEastAsia" w:eastAsiaTheme="minorEastAsia"/>
        </w:rPr>
        <w:t>被授权人身份证号码：</w:t>
      </w:r>
      <w:r>
        <w:rPr>
          <w:rFonts w:hint="eastAsia" w:asciiTheme="minorEastAsia" w:hAnsiTheme="minorEastAsia" w:eastAsiaTheme="minorEastAsia"/>
          <w:u w:val="single"/>
        </w:rPr>
        <w:t xml:space="preserve">                            （</w:t>
      </w:r>
      <w:r>
        <w:rPr>
          <w:rFonts w:hint="eastAsia" w:asciiTheme="minorEastAsia" w:hAnsiTheme="minorEastAsia" w:eastAsiaTheme="minorEastAsia"/>
          <w:b/>
          <w:spacing w:val="-4"/>
        </w:rPr>
        <w:t xml:space="preserve">附被授权人是本单位在职职工的有效身份证明，如劳动合同、社会保险、身份证复印件等）  </w:t>
      </w:r>
    </w:p>
    <w:p w14:paraId="284F3162">
      <w:pPr>
        <w:snapToGrid w:val="0"/>
        <w:spacing w:line="312" w:lineRule="auto"/>
        <w:ind w:right="55"/>
        <w:rPr>
          <w:rFonts w:asciiTheme="minorEastAsia" w:hAnsiTheme="minorEastAsia" w:eastAsiaTheme="minorEastAsia"/>
        </w:rPr>
      </w:pPr>
    </w:p>
    <w:p w14:paraId="60E21468">
      <w:pPr>
        <w:snapToGrid w:val="0"/>
        <w:spacing w:line="312" w:lineRule="auto"/>
        <w:ind w:right="-341" w:firstLine="5355" w:firstLineChars="2550"/>
        <w:rPr>
          <w:rFonts w:asciiTheme="minorEastAsia" w:hAnsiTheme="minorEastAsia" w:eastAsiaTheme="minorEastAsia"/>
        </w:rPr>
      </w:pPr>
    </w:p>
    <w:p w14:paraId="0A86220C">
      <w:pPr>
        <w:snapToGrid w:val="0"/>
        <w:spacing w:line="312" w:lineRule="auto"/>
        <w:ind w:right="-341" w:firstLine="5355" w:firstLineChars="2550"/>
        <w:rPr>
          <w:rFonts w:asciiTheme="minorEastAsia" w:hAnsiTheme="minorEastAsia" w:eastAsiaTheme="minorEastAsia"/>
        </w:rPr>
      </w:pPr>
    </w:p>
    <w:p w14:paraId="75931D02">
      <w:pPr>
        <w:snapToGrid w:val="0"/>
        <w:spacing w:line="312" w:lineRule="auto"/>
        <w:ind w:right="-341" w:firstLine="5355" w:firstLineChars="2550"/>
        <w:rPr>
          <w:rFonts w:asciiTheme="minorEastAsia" w:hAnsiTheme="minorEastAsia" w:eastAsiaTheme="minorEastAsia"/>
        </w:rPr>
      </w:pPr>
      <w:r>
        <w:rPr>
          <w:rFonts w:hint="eastAsia" w:asciiTheme="minorEastAsia" w:hAnsiTheme="minorEastAsia" w:eastAsiaTheme="minorEastAsia"/>
        </w:rPr>
        <w:t xml:space="preserve"> 投标人公章：</w:t>
      </w:r>
    </w:p>
    <w:p w14:paraId="7A02B8F9">
      <w:pPr>
        <w:snapToGrid w:val="0"/>
        <w:spacing w:line="312" w:lineRule="auto"/>
        <w:ind w:right="-341"/>
        <w:jc w:val="center"/>
        <w:rPr>
          <w:rFonts w:asciiTheme="minorEastAsia" w:hAnsiTheme="minorEastAsia" w:eastAsiaTheme="minorEastAsia"/>
        </w:rPr>
      </w:pPr>
      <w:r>
        <w:rPr>
          <w:rFonts w:hint="eastAsia" w:asciiTheme="minorEastAsia" w:hAnsiTheme="minorEastAsia" w:eastAsiaTheme="minorEastAsia"/>
        </w:rPr>
        <w:t xml:space="preserve">                                        年    月    日</w:t>
      </w:r>
    </w:p>
    <w:p w14:paraId="1FC3FD9D">
      <w:pPr>
        <w:snapToGrid w:val="0"/>
        <w:spacing w:line="312" w:lineRule="auto"/>
        <w:ind w:right="-341"/>
        <w:rPr>
          <w:rFonts w:asciiTheme="minorEastAsia" w:hAnsiTheme="minorEastAsia" w:eastAsiaTheme="minorEastAsia"/>
          <w:sz w:val="24"/>
          <w:u w:val="single"/>
        </w:rPr>
      </w:pPr>
    </w:p>
    <w:p w14:paraId="40E28A86">
      <w:pPr>
        <w:snapToGrid w:val="0"/>
        <w:spacing w:line="312" w:lineRule="auto"/>
        <w:ind w:right="-341" w:firstLine="404" w:firstLineChars="200"/>
        <w:rPr>
          <w:rFonts w:asciiTheme="minorEastAsia" w:hAnsiTheme="minorEastAsia" w:eastAsiaTheme="minorEastAsia"/>
          <w:spacing w:val="-4"/>
        </w:rPr>
        <w:sectPr>
          <w:pgSz w:w="11906" w:h="16838"/>
          <w:pgMar w:top="1304" w:right="1531" w:bottom="1304" w:left="1531" w:header="1304" w:footer="1304" w:gutter="0"/>
          <w:cols w:space="720" w:num="1"/>
        </w:sectPr>
      </w:pPr>
    </w:p>
    <w:p w14:paraId="2612DC97">
      <w:pPr>
        <w:widowControl w:val="0"/>
        <w:snapToGrid w:val="0"/>
        <w:spacing w:before="120" w:line="312" w:lineRule="auto"/>
        <w:ind w:right="-341"/>
        <w:jc w:val="center"/>
        <w:rPr>
          <w:rFonts w:hint="eastAsia" w:ascii="宋体" w:hAnsi="宋体" w:eastAsia="宋体" w:cs="Times New Roman"/>
          <w:b/>
          <w:sz w:val="32"/>
        </w:rPr>
      </w:pPr>
    </w:p>
    <w:p w14:paraId="2C28DAFC">
      <w:pPr>
        <w:widowControl w:val="0"/>
        <w:snapToGrid w:val="0"/>
        <w:spacing w:before="120" w:line="312" w:lineRule="auto"/>
        <w:ind w:right="-341"/>
        <w:jc w:val="center"/>
        <w:rPr>
          <w:rFonts w:hint="eastAsia" w:ascii="宋体" w:hAnsi="宋体" w:eastAsia="宋体" w:cs="Times New Roman"/>
          <w:b/>
          <w:sz w:val="32"/>
        </w:rPr>
      </w:pPr>
    </w:p>
    <w:p w14:paraId="77E742C2">
      <w:pPr>
        <w:widowControl w:val="0"/>
        <w:snapToGrid w:val="0"/>
        <w:spacing w:before="120" w:line="312" w:lineRule="auto"/>
        <w:ind w:right="-341"/>
        <w:jc w:val="center"/>
        <w:rPr>
          <w:rFonts w:ascii="宋体" w:hAnsi="宋体" w:eastAsia="宋体" w:cs="Times New Roman"/>
          <w:b/>
          <w:sz w:val="32"/>
        </w:rPr>
      </w:pPr>
      <w:r>
        <w:rPr>
          <w:rFonts w:hint="eastAsia" w:ascii="宋体" w:hAnsi="宋体" w:eastAsia="宋体" w:cs="Times New Roman"/>
          <w:b/>
          <w:sz w:val="32"/>
        </w:rPr>
        <w:t>八、符合参加政府采购活动应当具备的一般条件的承诺函</w:t>
      </w:r>
    </w:p>
    <w:p w14:paraId="50DE15EA">
      <w:pPr>
        <w:widowControl/>
        <w:wordWrap w:val="0"/>
        <w:spacing w:line="540" w:lineRule="exact"/>
        <w:ind w:firstLine="480" w:firstLineChars="200"/>
        <w:contextualSpacing/>
        <w:jc w:val="left"/>
        <w:rPr>
          <w:rFonts w:ascii="仿宋_GB2312" w:hAnsi="Calibri" w:eastAsia="仿宋_GB2312" w:cs="Times New Roman"/>
          <w:sz w:val="24"/>
          <w:szCs w:val="22"/>
        </w:rPr>
      </w:pPr>
    </w:p>
    <w:p w14:paraId="6CC4A8B8">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u w:val="single"/>
        </w:rPr>
        <w:t>（采购人）、（采购代理机构）</w:t>
      </w:r>
      <w:r>
        <w:rPr>
          <w:rFonts w:hint="eastAsia" w:ascii="宋体" w:hAnsi="宋体" w:eastAsia="宋体" w:cs="宋体"/>
          <w:szCs w:val="21"/>
        </w:rPr>
        <w:t>：</w:t>
      </w:r>
    </w:p>
    <w:p w14:paraId="73E1B8FF">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我方参与（项目名称）【采购编号：】政府采购活动，郑重承诺：</w:t>
      </w:r>
    </w:p>
    <w:p w14:paraId="5BB7D87A">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（一）具备《中华人民共和国政府采购法》第二十二条第一款规定的条件：</w:t>
      </w:r>
    </w:p>
    <w:p w14:paraId="27BED72B">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1.具有独立承担民事责任的能力；</w:t>
      </w:r>
    </w:p>
    <w:p w14:paraId="4BC5E60E">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 xml:space="preserve">2.具有良好的商业信誉和健全的财务会计制度； </w:t>
      </w:r>
    </w:p>
    <w:p w14:paraId="6DA6D400">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3.具有履行合同所必需的设备和专业技术能力；</w:t>
      </w:r>
    </w:p>
    <w:p w14:paraId="38F9384A">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4.有依法缴纳税收和社会保障资金的良好记录；</w:t>
      </w:r>
    </w:p>
    <w:p w14:paraId="49BBDB9D">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5.参加政府采购活动前三年内，在经营活动中没有重大违法记录；</w:t>
      </w:r>
    </w:p>
    <w:p w14:paraId="17A41189">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6.具有法律、行政法规规定的其他条件。</w:t>
      </w:r>
    </w:p>
    <w:p w14:paraId="5E43BAE1">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（二）未被信用中国（www.creditchina.gov.cn)、中国政府采购网（www.ccgp.gov.cn）列入失信被执行人、重大税收违法失信主体、政府采购严重违法失信行为记录名单。</w:t>
      </w:r>
    </w:p>
    <w:p w14:paraId="654AD809">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（三）不存在以下情况：</w:t>
      </w:r>
    </w:p>
    <w:p w14:paraId="046EA36E">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1.单位负责人为同一人或者存在直接控股、管理关系的不同供应商参加同一合同项下的政府采购活动的；</w:t>
      </w:r>
    </w:p>
    <w:p w14:paraId="596F42C0">
      <w:pPr>
        <w:widowControl/>
        <w:wordWrap w:val="0"/>
        <w:spacing w:line="360" w:lineRule="auto"/>
        <w:ind w:firstLine="420" w:firstLineChars="200"/>
        <w:contextualSpacing/>
        <w:jc w:val="left"/>
        <w:rPr>
          <w:rFonts w:ascii="宋体" w:hAnsi="宋体" w:eastAsia="宋体" w:cs="宋体"/>
          <w:szCs w:val="21"/>
        </w:rPr>
      </w:pPr>
      <w:r>
        <w:rPr>
          <w:rFonts w:hint="eastAsia" w:ascii="宋体" w:hAnsi="宋体" w:eastAsia="宋体" w:cs="宋体"/>
          <w:szCs w:val="21"/>
        </w:rPr>
        <w:t>2.为采购项目提供整体设计、规范编制或者项目管理、监理、检测等服务后再参加该采购项目的其他采购活动的。</w:t>
      </w:r>
    </w:p>
    <w:p w14:paraId="21C6C93E">
      <w:pPr>
        <w:widowControl/>
        <w:wordWrap w:val="0"/>
        <w:spacing w:line="540" w:lineRule="exact"/>
        <w:contextualSpacing/>
        <w:jc w:val="left"/>
        <w:rPr>
          <w:rFonts w:ascii="宋体" w:hAnsi="宋体" w:eastAsia="宋体" w:cs="宋体"/>
          <w:szCs w:val="21"/>
        </w:rPr>
      </w:pPr>
    </w:p>
    <w:p w14:paraId="44A3A485">
      <w:pPr>
        <w:widowControl/>
        <w:wordWrap w:val="0"/>
        <w:spacing w:line="540" w:lineRule="exact"/>
        <w:ind w:firstLine="420" w:firstLineChars="200"/>
        <w:contextualSpacing/>
        <w:jc w:val="left"/>
        <w:rPr>
          <w:rFonts w:ascii="宋体" w:hAnsi="宋体" w:eastAsia="宋体" w:cs="宋体"/>
          <w:szCs w:val="21"/>
        </w:rPr>
      </w:pPr>
    </w:p>
    <w:p w14:paraId="088E2D9F">
      <w:pPr>
        <w:widowControl/>
        <w:wordWrap w:val="0"/>
        <w:spacing w:line="540" w:lineRule="exact"/>
        <w:ind w:firstLine="420" w:firstLineChars="200"/>
        <w:contextualSpacing/>
        <w:jc w:val="left"/>
        <w:rPr>
          <w:rFonts w:ascii="宋体" w:hAnsi="宋体" w:eastAsia="宋体" w:cs="宋体"/>
          <w:szCs w:val="21"/>
        </w:rPr>
      </w:pPr>
      <w:r>
        <w:rPr>
          <w:rFonts w:hint="eastAsia" w:ascii="宋体" w:hAnsi="宋体" w:eastAsia="宋体" w:cs="宋体"/>
          <w:szCs w:val="21"/>
        </w:rPr>
        <w:t xml:space="preserve">投标人名称（公章）：                                         </w:t>
      </w:r>
    </w:p>
    <w:p w14:paraId="468DF987">
      <w:pPr>
        <w:widowControl/>
        <w:wordWrap w:val="0"/>
        <w:spacing w:line="540" w:lineRule="exact"/>
        <w:ind w:firstLine="420" w:firstLineChars="200"/>
        <w:contextualSpacing/>
        <w:jc w:val="left"/>
        <w:rPr>
          <w:rFonts w:ascii="宋体" w:hAnsi="宋体" w:eastAsia="宋体" w:cs="宋体"/>
          <w:szCs w:val="21"/>
        </w:rPr>
      </w:pPr>
      <w:r>
        <w:rPr>
          <w:rFonts w:hint="eastAsia" w:ascii="宋体" w:hAnsi="宋体" w:eastAsia="宋体" w:cs="宋体"/>
          <w:szCs w:val="21"/>
        </w:rPr>
        <w:t>日期：  年  月   日</w:t>
      </w:r>
    </w:p>
    <w:p w14:paraId="514D4851">
      <w:pPr>
        <w:widowControl w:val="0"/>
        <w:numPr>
          <w:ilvl w:val="2"/>
          <w:numId w:val="0"/>
        </w:numPr>
        <w:wordWrap w:val="0"/>
        <w:spacing w:line="360" w:lineRule="auto"/>
        <w:ind w:left="420" w:leftChars="200" w:firstLine="422" w:firstLineChars="200"/>
        <w:jc w:val="both"/>
        <w:outlineLvl w:val="2"/>
        <w:rPr>
          <w:rFonts w:ascii="Cambria" w:hAnsi="Cambria" w:eastAsia="宋体" w:cs="Times New Roman"/>
          <w:b/>
          <w:bCs/>
          <w:szCs w:val="32"/>
        </w:rPr>
      </w:pPr>
    </w:p>
    <w:p w14:paraId="56136979">
      <w:pPr>
        <w:pStyle w:val="12"/>
        <w:snapToGrid w:val="0"/>
        <w:spacing w:before="120" w:line="312" w:lineRule="auto"/>
        <w:ind w:right="-341"/>
        <w:jc w:val="center"/>
        <w:rPr>
          <w:rFonts w:asciiTheme="minorEastAsia" w:hAnsiTheme="minorEastAsia" w:eastAsiaTheme="minorEastAsia"/>
          <w:b/>
          <w:sz w:val="32"/>
        </w:rPr>
      </w:pPr>
    </w:p>
    <w:p w14:paraId="41D3E626">
      <w:pPr>
        <w:pStyle w:val="13"/>
        <w:rPr>
          <w:rFonts w:asciiTheme="minorEastAsia" w:hAnsiTheme="minorEastAsia" w:eastAsiaTheme="minorEastAsia"/>
          <w:b/>
          <w:sz w:val="32"/>
        </w:rPr>
      </w:pPr>
    </w:p>
    <w:p w14:paraId="22AA95AC">
      <w:pPr>
        <w:rPr>
          <w:rFonts w:asciiTheme="minorEastAsia" w:hAnsiTheme="minorEastAsia" w:eastAsiaTheme="minorEastAsia"/>
          <w:b/>
          <w:sz w:val="32"/>
        </w:rPr>
      </w:pPr>
    </w:p>
    <w:p w14:paraId="4EF062EF">
      <w:pPr>
        <w:pStyle w:val="9"/>
        <w:rPr>
          <w:rFonts w:asciiTheme="minorEastAsia" w:hAnsiTheme="minorEastAsia" w:eastAsiaTheme="minorEastAsia"/>
          <w:b/>
          <w:sz w:val="32"/>
        </w:rPr>
      </w:pPr>
    </w:p>
    <w:p w14:paraId="33DFCB6B">
      <w:pPr>
        <w:pStyle w:val="9"/>
        <w:rPr>
          <w:rFonts w:asciiTheme="minorEastAsia" w:hAnsiTheme="minorEastAsia" w:eastAsiaTheme="minorEastAsia"/>
          <w:b/>
          <w:sz w:val="32"/>
        </w:rPr>
      </w:pPr>
    </w:p>
    <w:p w14:paraId="07186B11">
      <w:pPr>
        <w:pStyle w:val="9"/>
        <w:rPr>
          <w:rFonts w:asciiTheme="minorEastAsia" w:hAnsiTheme="minorEastAsia" w:eastAsiaTheme="minorEastAsia"/>
          <w:b/>
          <w:sz w:val="32"/>
        </w:rPr>
      </w:pPr>
    </w:p>
    <w:p w14:paraId="3DFC53BF">
      <w:pPr>
        <w:spacing w:line="380" w:lineRule="exact"/>
        <w:jc w:val="center"/>
        <w:rPr>
          <w:rFonts w:asciiTheme="minorEastAsia" w:hAnsiTheme="minorEastAsia" w:eastAsiaTheme="minorEastAsia"/>
          <w:b/>
          <w:sz w:val="32"/>
        </w:rPr>
      </w:pPr>
      <w:r>
        <w:rPr>
          <w:rFonts w:hint="eastAsia" w:asciiTheme="minorEastAsia" w:hAnsiTheme="minorEastAsia" w:eastAsiaTheme="minorEastAsia"/>
          <w:b/>
          <w:sz w:val="32"/>
          <w:lang w:val="en-US" w:eastAsia="zh-CN"/>
        </w:rPr>
        <w:t>九</w:t>
      </w:r>
      <w:r>
        <w:rPr>
          <w:rFonts w:hint="eastAsia" w:asciiTheme="minorEastAsia" w:hAnsiTheme="minorEastAsia" w:eastAsiaTheme="minorEastAsia"/>
          <w:b/>
          <w:sz w:val="32"/>
        </w:rPr>
        <w:t>、商务条款响应表</w:t>
      </w:r>
    </w:p>
    <w:p w14:paraId="7E97DB45">
      <w:pPr>
        <w:snapToGrid w:val="0"/>
        <w:spacing w:before="50" w:after="50"/>
        <w:rPr>
          <w:rFonts w:ascii="宋体" w:cs="宋体"/>
        </w:rPr>
      </w:pPr>
    </w:p>
    <w:p w14:paraId="1F3A8C18">
      <w:pPr>
        <w:spacing w:line="560" w:lineRule="exact"/>
        <w:rPr>
          <w:rFonts w:ascii="宋体" w:hAnsi="宋体"/>
          <w:bCs/>
          <w:szCs w:val="21"/>
        </w:rPr>
      </w:pPr>
      <w:r>
        <w:rPr>
          <w:rFonts w:hint="eastAsia" w:ascii="宋体" w:hAnsi="宋体" w:cs="宋体"/>
          <w:szCs w:val="21"/>
        </w:rPr>
        <w:t>招标编号：</w:t>
      </w:r>
      <w:r>
        <w:rPr>
          <w:rFonts w:ascii="宋体" w:hAnsi="宋体" w:cs="宋体"/>
          <w:szCs w:val="21"/>
          <w:u w:val="single"/>
        </w:rPr>
        <w:t xml:space="preserve">           </w:t>
      </w:r>
      <w:r>
        <w:rPr>
          <w:rFonts w:hint="eastAsia" w:ascii="宋体" w:hAnsi="宋体" w:cs="宋体"/>
          <w:szCs w:val="21"/>
          <w:u w:val="single"/>
        </w:rPr>
        <w:t xml:space="preserve">            </w:t>
      </w:r>
      <w:r>
        <w:rPr>
          <w:rFonts w:ascii="宋体" w:hAnsi="宋体"/>
          <w:bCs/>
          <w:szCs w:val="21"/>
        </w:rPr>
        <w:t xml:space="preserve">项目名称： </w:t>
      </w:r>
      <w:r>
        <w:rPr>
          <w:rFonts w:hint="eastAsia" w:ascii="宋体" w:hAnsi="宋体"/>
          <w:bCs/>
          <w:szCs w:val="21"/>
          <w:u w:val="single"/>
        </w:rPr>
        <w:t xml:space="preserve">             </w:t>
      </w:r>
      <w:r>
        <w:rPr>
          <w:rFonts w:ascii="宋体" w:hAnsi="宋体"/>
          <w:bCs/>
          <w:szCs w:val="21"/>
        </w:rPr>
        <w:t xml:space="preserve">                                           </w:t>
      </w:r>
    </w:p>
    <w:tbl>
      <w:tblPr>
        <w:tblStyle w:val="28"/>
        <w:tblW w:w="91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581"/>
        <w:gridCol w:w="1672"/>
        <w:gridCol w:w="1976"/>
        <w:gridCol w:w="1680"/>
      </w:tblGrid>
      <w:tr w14:paraId="6421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trPr>
        <w:tc>
          <w:tcPr>
            <w:tcW w:w="1229" w:type="dxa"/>
            <w:vAlign w:val="center"/>
          </w:tcPr>
          <w:p w14:paraId="6AC52998">
            <w:pPr>
              <w:jc w:val="center"/>
              <w:rPr>
                <w:rFonts w:ascii="宋体" w:hAnsi="宋体"/>
                <w:bCs/>
                <w:szCs w:val="21"/>
              </w:rPr>
            </w:pPr>
            <w:r>
              <w:rPr>
                <w:rFonts w:ascii="宋体" w:hAnsi="宋体"/>
                <w:bCs/>
                <w:szCs w:val="21"/>
              </w:rPr>
              <w:t>内   容</w:t>
            </w:r>
          </w:p>
        </w:tc>
        <w:tc>
          <w:tcPr>
            <w:tcW w:w="2581" w:type="dxa"/>
            <w:vAlign w:val="center"/>
          </w:tcPr>
          <w:p w14:paraId="39A66C98">
            <w:pPr>
              <w:jc w:val="center"/>
              <w:rPr>
                <w:rFonts w:ascii="宋体" w:hAnsi="宋体"/>
                <w:bCs/>
                <w:szCs w:val="21"/>
              </w:rPr>
            </w:pPr>
            <w:r>
              <w:rPr>
                <w:rFonts w:ascii="宋体" w:hAnsi="宋体"/>
                <w:bCs/>
                <w:szCs w:val="21"/>
              </w:rPr>
              <w:t>采购要求</w:t>
            </w:r>
          </w:p>
        </w:tc>
        <w:tc>
          <w:tcPr>
            <w:tcW w:w="1672" w:type="dxa"/>
            <w:vAlign w:val="center"/>
          </w:tcPr>
          <w:p w14:paraId="6C3FA3AE">
            <w:pPr>
              <w:jc w:val="center"/>
              <w:rPr>
                <w:rFonts w:ascii="宋体" w:hAnsi="宋体"/>
                <w:bCs/>
                <w:szCs w:val="21"/>
              </w:rPr>
            </w:pPr>
            <w:r>
              <w:rPr>
                <w:rFonts w:ascii="宋体" w:hAnsi="宋体"/>
                <w:bCs/>
                <w:szCs w:val="21"/>
              </w:rPr>
              <w:t>投标响应</w:t>
            </w:r>
          </w:p>
        </w:tc>
        <w:tc>
          <w:tcPr>
            <w:tcW w:w="1976" w:type="dxa"/>
            <w:vAlign w:val="center"/>
          </w:tcPr>
          <w:p w14:paraId="61191430">
            <w:pPr>
              <w:jc w:val="center"/>
              <w:rPr>
                <w:rFonts w:ascii="宋体" w:hAnsi="宋体"/>
                <w:bCs/>
                <w:szCs w:val="21"/>
              </w:rPr>
            </w:pPr>
            <w:r>
              <w:rPr>
                <w:rFonts w:ascii="宋体" w:hAnsi="宋体"/>
                <w:bCs/>
                <w:szCs w:val="21"/>
              </w:rPr>
              <w:t>偏离</w:t>
            </w:r>
          </w:p>
        </w:tc>
        <w:tc>
          <w:tcPr>
            <w:tcW w:w="1680" w:type="dxa"/>
            <w:vAlign w:val="center"/>
          </w:tcPr>
          <w:p w14:paraId="0E3D3434">
            <w:pPr>
              <w:jc w:val="center"/>
              <w:rPr>
                <w:rFonts w:ascii="宋体" w:hAnsi="宋体"/>
                <w:bCs/>
                <w:szCs w:val="21"/>
              </w:rPr>
            </w:pPr>
            <w:r>
              <w:rPr>
                <w:rFonts w:ascii="宋体" w:hAnsi="宋体"/>
                <w:bCs/>
                <w:szCs w:val="21"/>
              </w:rPr>
              <w:t>说   明</w:t>
            </w:r>
          </w:p>
        </w:tc>
      </w:tr>
      <w:tr w14:paraId="62BD7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restart"/>
            <w:vAlign w:val="center"/>
          </w:tcPr>
          <w:p w14:paraId="0F7D8F6F">
            <w:pPr>
              <w:rPr>
                <w:rFonts w:ascii="宋体" w:hAnsi="宋体"/>
                <w:bCs/>
                <w:szCs w:val="21"/>
              </w:rPr>
            </w:pPr>
            <w:r>
              <w:rPr>
                <w:rFonts w:ascii="宋体" w:hAnsi="宋体"/>
                <w:bCs/>
                <w:szCs w:val="21"/>
              </w:rPr>
              <w:t>商务条款</w:t>
            </w:r>
          </w:p>
        </w:tc>
        <w:tc>
          <w:tcPr>
            <w:tcW w:w="2581" w:type="dxa"/>
            <w:vAlign w:val="center"/>
          </w:tcPr>
          <w:p w14:paraId="1DEC1C6D">
            <w:pPr>
              <w:snapToGrid w:val="0"/>
              <w:spacing w:before="120" w:beforeLines="50"/>
              <w:jc w:val="both"/>
              <w:rPr>
                <w:rFonts w:ascii="宋体" w:hAnsi="宋体"/>
                <w:bCs/>
                <w:color w:val="auto"/>
                <w:szCs w:val="21"/>
                <w:highlight w:val="none"/>
              </w:rPr>
            </w:pPr>
            <w:r>
              <w:rPr>
                <w:rFonts w:hint="eastAsia" w:ascii="宋体" w:hAnsi="宋体"/>
                <w:color w:val="auto"/>
                <w:szCs w:val="21"/>
                <w:highlight w:val="none"/>
              </w:rPr>
              <w:t>履约保证金</w:t>
            </w:r>
          </w:p>
        </w:tc>
        <w:tc>
          <w:tcPr>
            <w:tcW w:w="1672" w:type="dxa"/>
            <w:vAlign w:val="center"/>
          </w:tcPr>
          <w:p w14:paraId="60565A37">
            <w:pPr>
              <w:jc w:val="center"/>
              <w:rPr>
                <w:rFonts w:ascii="宋体" w:hAnsi="宋体"/>
                <w:bCs/>
                <w:szCs w:val="21"/>
              </w:rPr>
            </w:pPr>
          </w:p>
        </w:tc>
        <w:tc>
          <w:tcPr>
            <w:tcW w:w="1976" w:type="dxa"/>
            <w:vAlign w:val="center"/>
          </w:tcPr>
          <w:p w14:paraId="20ED5CFE">
            <w:pPr>
              <w:jc w:val="center"/>
              <w:rPr>
                <w:rFonts w:ascii="宋体" w:hAnsi="宋体"/>
                <w:bCs/>
                <w:szCs w:val="21"/>
              </w:rPr>
            </w:pPr>
          </w:p>
        </w:tc>
        <w:tc>
          <w:tcPr>
            <w:tcW w:w="1680" w:type="dxa"/>
            <w:vAlign w:val="center"/>
          </w:tcPr>
          <w:p w14:paraId="6DE12922">
            <w:pPr>
              <w:jc w:val="center"/>
              <w:rPr>
                <w:rFonts w:ascii="宋体" w:hAnsi="宋体"/>
                <w:bCs/>
                <w:szCs w:val="21"/>
              </w:rPr>
            </w:pPr>
          </w:p>
        </w:tc>
      </w:tr>
      <w:tr w14:paraId="0ED8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continue"/>
            <w:vAlign w:val="center"/>
          </w:tcPr>
          <w:p w14:paraId="38ED2EDA">
            <w:pPr>
              <w:rPr>
                <w:rFonts w:ascii="宋体" w:hAnsi="宋体"/>
                <w:bCs/>
                <w:szCs w:val="21"/>
              </w:rPr>
            </w:pPr>
          </w:p>
        </w:tc>
        <w:tc>
          <w:tcPr>
            <w:tcW w:w="2581" w:type="dxa"/>
            <w:vAlign w:val="center"/>
          </w:tcPr>
          <w:p w14:paraId="7951F934">
            <w:pPr>
              <w:snapToGrid w:val="0"/>
              <w:spacing w:before="120" w:beforeLines="50"/>
              <w:jc w:val="both"/>
              <w:rPr>
                <w:rFonts w:hint="default" w:ascii="宋体" w:hAnsi="宋体"/>
                <w:color w:val="auto"/>
                <w:szCs w:val="21"/>
                <w:highlight w:val="none"/>
                <w:lang w:val="en-US"/>
              </w:rPr>
            </w:pPr>
            <w:r>
              <w:rPr>
                <w:rFonts w:hint="eastAsia" w:ascii="宋体" w:hAnsi="宋体"/>
                <w:color w:val="auto"/>
                <w:szCs w:val="21"/>
                <w:highlight w:val="none"/>
                <w:lang w:val="en-US" w:eastAsia="zh-CN"/>
              </w:rPr>
              <w:t>建设周期</w:t>
            </w:r>
          </w:p>
        </w:tc>
        <w:tc>
          <w:tcPr>
            <w:tcW w:w="1672" w:type="dxa"/>
            <w:vAlign w:val="center"/>
          </w:tcPr>
          <w:p w14:paraId="2B60C6CC">
            <w:pPr>
              <w:jc w:val="center"/>
              <w:rPr>
                <w:rFonts w:ascii="宋体" w:hAnsi="宋体"/>
                <w:bCs/>
                <w:szCs w:val="21"/>
              </w:rPr>
            </w:pPr>
          </w:p>
        </w:tc>
        <w:tc>
          <w:tcPr>
            <w:tcW w:w="1976" w:type="dxa"/>
            <w:vAlign w:val="center"/>
          </w:tcPr>
          <w:p w14:paraId="16A1AF2A">
            <w:pPr>
              <w:jc w:val="center"/>
              <w:rPr>
                <w:rFonts w:ascii="宋体" w:hAnsi="宋体"/>
                <w:bCs/>
                <w:szCs w:val="21"/>
              </w:rPr>
            </w:pPr>
          </w:p>
        </w:tc>
        <w:tc>
          <w:tcPr>
            <w:tcW w:w="1680" w:type="dxa"/>
            <w:vAlign w:val="center"/>
          </w:tcPr>
          <w:p w14:paraId="7BB71759">
            <w:pPr>
              <w:jc w:val="center"/>
              <w:rPr>
                <w:rFonts w:ascii="宋体" w:hAnsi="宋体"/>
                <w:bCs/>
                <w:szCs w:val="21"/>
              </w:rPr>
            </w:pPr>
          </w:p>
        </w:tc>
      </w:tr>
      <w:tr w14:paraId="62237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trPr>
        <w:tc>
          <w:tcPr>
            <w:tcW w:w="1229" w:type="dxa"/>
            <w:vMerge w:val="continue"/>
            <w:vAlign w:val="center"/>
          </w:tcPr>
          <w:p w14:paraId="063B8DF6">
            <w:pPr>
              <w:rPr>
                <w:rFonts w:ascii="宋体" w:hAnsi="宋体"/>
                <w:bCs/>
                <w:szCs w:val="21"/>
              </w:rPr>
            </w:pPr>
          </w:p>
        </w:tc>
        <w:tc>
          <w:tcPr>
            <w:tcW w:w="2581" w:type="dxa"/>
            <w:vAlign w:val="center"/>
          </w:tcPr>
          <w:p w14:paraId="184BC68E">
            <w:pPr>
              <w:snapToGrid w:val="0"/>
              <w:spacing w:before="120" w:beforeLines="50"/>
              <w:jc w:val="both"/>
              <w:rPr>
                <w:rFonts w:hint="eastAsia" w:ascii="宋体" w:hAnsi="宋体"/>
                <w:color w:val="auto"/>
                <w:szCs w:val="21"/>
                <w:highlight w:val="none"/>
              </w:rPr>
            </w:pPr>
            <w:r>
              <w:rPr>
                <w:rFonts w:hint="eastAsia" w:ascii="宋体" w:hAnsi="宋体"/>
                <w:color w:val="auto"/>
                <w:szCs w:val="21"/>
                <w:highlight w:val="none"/>
              </w:rPr>
              <w:t>质保期</w:t>
            </w:r>
          </w:p>
        </w:tc>
        <w:tc>
          <w:tcPr>
            <w:tcW w:w="1672" w:type="dxa"/>
            <w:vAlign w:val="center"/>
          </w:tcPr>
          <w:p w14:paraId="54A14D55">
            <w:pPr>
              <w:jc w:val="center"/>
              <w:rPr>
                <w:rFonts w:ascii="宋体" w:hAnsi="宋体"/>
                <w:bCs/>
                <w:szCs w:val="21"/>
              </w:rPr>
            </w:pPr>
          </w:p>
        </w:tc>
        <w:tc>
          <w:tcPr>
            <w:tcW w:w="1976" w:type="dxa"/>
            <w:vAlign w:val="center"/>
          </w:tcPr>
          <w:p w14:paraId="488AF813">
            <w:pPr>
              <w:jc w:val="center"/>
              <w:rPr>
                <w:rFonts w:ascii="宋体" w:hAnsi="宋体"/>
                <w:bCs/>
                <w:szCs w:val="21"/>
              </w:rPr>
            </w:pPr>
          </w:p>
        </w:tc>
        <w:tc>
          <w:tcPr>
            <w:tcW w:w="1680" w:type="dxa"/>
            <w:vAlign w:val="center"/>
          </w:tcPr>
          <w:p w14:paraId="7D69D582">
            <w:pPr>
              <w:jc w:val="center"/>
              <w:rPr>
                <w:rFonts w:ascii="宋体" w:hAnsi="宋体"/>
                <w:bCs/>
                <w:szCs w:val="21"/>
              </w:rPr>
            </w:pPr>
          </w:p>
        </w:tc>
      </w:tr>
      <w:tr w14:paraId="4F7A7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442B7D34">
            <w:pPr>
              <w:jc w:val="center"/>
              <w:rPr>
                <w:rFonts w:ascii="宋体" w:hAnsi="宋体"/>
                <w:bCs/>
                <w:szCs w:val="21"/>
              </w:rPr>
            </w:pPr>
          </w:p>
        </w:tc>
        <w:tc>
          <w:tcPr>
            <w:tcW w:w="2581" w:type="dxa"/>
            <w:vAlign w:val="center"/>
          </w:tcPr>
          <w:p w14:paraId="61A4C367">
            <w:pPr>
              <w:pStyle w:val="76"/>
              <w:tabs>
                <w:tab w:val="clear" w:pos="1418"/>
              </w:tabs>
              <w:overflowPunct w:val="0"/>
              <w:autoSpaceDE w:val="0"/>
              <w:autoSpaceDN w:val="0"/>
              <w:adjustRightInd w:val="0"/>
              <w:snapToGrid w:val="0"/>
              <w:spacing w:line="360" w:lineRule="exact"/>
              <w:jc w:val="both"/>
              <w:textAlignment w:val="baseline"/>
              <w:rPr>
                <w:rFonts w:ascii="宋体" w:hAnsi="宋体"/>
                <w:bCs/>
                <w:color w:val="auto"/>
                <w:sz w:val="21"/>
                <w:szCs w:val="21"/>
                <w:highlight w:val="none"/>
              </w:rPr>
            </w:pPr>
            <w:r>
              <w:rPr>
                <w:rFonts w:hint="eastAsia" w:ascii="宋体" w:hAnsi="宋体" w:eastAsia="宋体" w:cs="Times New Roman"/>
                <w:color w:val="auto"/>
                <w:spacing w:val="0"/>
                <w:kern w:val="2"/>
                <w:sz w:val="21"/>
                <w:szCs w:val="21"/>
                <w:highlight w:val="none"/>
                <w:lang w:val="en-US" w:eastAsia="zh-CN" w:bidi="ar-SA"/>
              </w:rPr>
              <w:t>付款方式</w:t>
            </w:r>
          </w:p>
        </w:tc>
        <w:tc>
          <w:tcPr>
            <w:tcW w:w="1672" w:type="dxa"/>
            <w:vAlign w:val="center"/>
          </w:tcPr>
          <w:p w14:paraId="6F940700">
            <w:pPr>
              <w:jc w:val="center"/>
              <w:rPr>
                <w:rFonts w:ascii="宋体" w:hAnsi="宋体"/>
                <w:bCs/>
                <w:szCs w:val="21"/>
              </w:rPr>
            </w:pPr>
          </w:p>
        </w:tc>
        <w:tc>
          <w:tcPr>
            <w:tcW w:w="1976" w:type="dxa"/>
            <w:vAlign w:val="center"/>
          </w:tcPr>
          <w:p w14:paraId="3A245999">
            <w:pPr>
              <w:jc w:val="center"/>
              <w:rPr>
                <w:rFonts w:ascii="宋体" w:hAnsi="宋体"/>
                <w:bCs/>
                <w:szCs w:val="21"/>
              </w:rPr>
            </w:pPr>
          </w:p>
        </w:tc>
        <w:tc>
          <w:tcPr>
            <w:tcW w:w="1680" w:type="dxa"/>
            <w:vAlign w:val="center"/>
          </w:tcPr>
          <w:p w14:paraId="6B6497FF">
            <w:pPr>
              <w:jc w:val="center"/>
              <w:rPr>
                <w:rFonts w:ascii="宋体" w:hAnsi="宋体"/>
                <w:bCs/>
                <w:szCs w:val="21"/>
              </w:rPr>
            </w:pPr>
          </w:p>
        </w:tc>
      </w:tr>
      <w:tr w14:paraId="69F4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7E5FBD51">
            <w:pPr>
              <w:jc w:val="center"/>
              <w:rPr>
                <w:rFonts w:ascii="宋体" w:hAnsi="宋体"/>
                <w:bCs/>
                <w:szCs w:val="21"/>
              </w:rPr>
            </w:pPr>
          </w:p>
        </w:tc>
        <w:tc>
          <w:tcPr>
            <w:tcW w:w="2581" w:type="dxa"/>
            <w:vAlign w:val="center"/>
          </w:tcPr>
          <w:p w14:paraId="14D90C7E">
            <w:pPr>
              <w:snapToGrid w:val="0"/>
              <w:spacing w:line="360" w:lineRule="exact"/>
              <w:jc w:val="both"/>
              <w:rPr>
                <w:rFonts w:ascii="宋体" w:hAnsi="宋体"/>
                <w:bCs/>
                <w:color w:val="auto"/>
                <w:szCs w:val="21"/>
                <w:highlight w:val="none"/>
              </w:rPr>
            </w:pPr>
          </w:p>
        </w:tc>
        <w:tc>
          <w:tcPr>
            <w:tcW w:w="1672" w:type="dxa"/>
            <w:vAlign w:val="center"/>
          </w:tcPr>
          <w:p w14:paraId="19458A2F">
            <w:pPr>
              <w:jc w:val="center"/>
              <w:rPr>
                <w:rFonts w:ascii="宋体" w:hAnsi="宋体"/>
                <w:bCs/>
                <w:szCs w:val="21"/>
              </w:rPr>
            </w:pPr>
          </w:p>
        </w:tc>
        <w:tc>
          <w:tcPr>
            <w:tcW w:w="1976" w:type="dxa"/>
            <w:vAlign w:val="center"/>
          </w:tcPr>
          <w:p w14:paraId="6183880A">
            <w:pPr>
              <w:jc w:val="center"/>
              <w:rPr>
                <w:rFonts w:ascii="宋体" w:hAnsi="宋体"/>
                <w:bCs/>
                <w:szCs w:val="21"/>
              </w:rPr>
            </w:pPr>
          </w:p>
        </w:tc>
        <w:tc>
          <w:tcPr>
            <w:tcW w:w="1680" w:type="dxa"/>
            <w:vAlign w:val="center"/>
          </w:tcPr>
          <w:p w14:paraId="49046533">
            <w:pPr>
              <w:jc w:val="center"/>
              <w:rPr>
                <w:rFonts w:ascii="宋体" w:hAnsi="宋体"/>
                <w:bCs/>
                <w:szCs w:val="21"/>
              </w:rPr>
            </w:pPr>
          </w:p>
        </w:tc>
      </w:tr>
      <w:tr w14:paraId="0A492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4" w:hRule="atLeast"/>
        </w:trPr>
        <w:tc>
          <w:tcPr>
            <w:tcW w:w="1229" w:type="dxa"/>
            <w:vMerge w:val="continue"/>
            <w:vAlign w:val="center"/>
          </w:tcPr>
          <w:p w14:paraId="2B82C71B">
            <w:pPr>
              <w:jc w:val="center"/>
              <w:rPr>
                <w:rFonts w:ascii="宋体" w:hAnsi="宋体"/>
                <w:bCs/>
                <w:szCs w:val="21"/>
              </w:rPr>
            </w:pPr>
          </w:p>
        </w:tc>
        <w:tc>
          <w:tcPr>
            <w:tcW w:w="2581" w:type="dxa"/>
            <w:vAlign w:val="center"/>
          </w:tcPr>
          <w:p w14:paraId="7920D111">
            <w:pPr>
              <w:snapToGrid w:val="0"/>
              <w:spacing w:line="360" w:lineRule="exact"/>
              <w:jc w:val="both"/>
              <w:rPr>
                <w:rFonts w:ascii="宋体" w:hAnsi="宋体"/>
                <w:bCs/>
                <w:color w:val="auto"/>
                <w:szCs w:val="21"/>
                <w:highlight w:val="none"/>
              </w:rPr>
            </w:pPr>
          </w:p>
        </w:tc>
        <w:tc>
          <w:tcPr>
            <w:tcW w:w="1672" w:type="dxa"/>
            <w:vAlign w:val="center"/>
          </w:tcPr>
          <w:p w14:paraId="71533360">
            <w:pPr>
              <w:jc w:val="center"/>
              <w:rPr>
                <w:rFonts w:ascii="宋体" w:hAnsi="宋体"/>
                <w:bCs/>
                <w:szCs w:val="21"/>
              </w:rPr>
            </w:pPr>
          </w:p>
        </w:tc>
        <w:tc>
          <w:tcPr>
            <w:tcW w:w="1976" w:type="dxa"/>
            <w:vAlign w:val="center"/>
          </w:tcPr>
          <w:p w14:paraId="177EA2F8">
            <w:pPr>
              <w:jc w:val="center"/>
              <w:rPr>
                <w:rFonts w:ascii="宋体" w:hAnsi="宋体"/>
                <w:bCs/>
                <w:szCs w:val="21"/>
              </w:rPr>
            </w:pPr>
          </w:p>
        </w:tc>
        <w:tc>
          <w:tcPr>
            <w:tcW w:w="1680" w:type="dxa"/>
            <w:vAlign w:val="center"/>
          </w:tcPr>
          <w:p w14:paraId="2A586A9D">
            <w:pPr>
              <w:jc w:val="center"/>
              <w:rPr>
                <w:rFonts w:ascii="宋体" w:hAnsi="宋体"/>
                <w:bCs/>
                <w:szCs w:val="21"/>
              </w:rPr>
            </w:pPr>
          </w:p>
        </w:tc>
      </w:tr>
      <w:tr w14:paraId="570D7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804" w:hRule="atLeast"/>
        </w:trPr>
        <w:tc>
          <w:tcPr>
            <w:tcW w:w="1229" w:type="dxa"/>
            <w:vMerge w:val="continue"/>
            <w:vAlign w:val="center"/>
          </w:tcPr>
          <w:p w14:paraId="3831EB32">
            <w:pPr>
              <w:jc w:val="center"/>
              <w:rPr>
                <w:rFonts w:ascii="宋体" w:hAnsi="宋体"/>
                <w:bCs/>
                <w:szCs w:val="21"/>
              </w:rPr>
            </w:pPr>
          </w:p>
        </w:tc>
        <w:tc>
          <w:tcPr>
            <w:tcW w:w="2581" w:type="dxa"/>
          </w:tcPr>
          <w:p w14:paraId="6E62F547">
            <w:pPr>
              <w:snapToGrid w:val="0"/>
              <w:spacing w:before="120" w:beforeLines="50"/>
              <w:ind w:firstLine="105" w:firstLineChars="50"/>
              <w:rPr>
                <w:rFonts w:ascii="宋体" w:hAnsi="宋体"/>
                <w:bCs/>
                <w:szCs w:val="21"/>
              </w:rPr>
            </w:pPr>
            <w:r>
              <w:rPr>
                <w:rFonts w:hint="eastAsia" w:ascii="宋体" w:hAnsi="宋体"/>
                <w:szCs w:val="21"/>
              </w:rPr>
              <w:t>…</w:t>
            </w:r>
          </w:p>
        </w:tc>
        <w:tc>
          <w:tcPr>
            <w:tcW w:w="1672" w:type="dxa"/>
            <w:vAlign w:val="center"/>
          </w:tcPr>
          <w:p w14:paraId="7EA72AEB">
            <w:pPr>
              <w:jc w:val="center"/>
              <w:rPr>
                <w:rFonts w:ascii="宋体" w:hAnsi="宋体"/>
                <w:bCs/>
                <w:szCs w:val="21"/>
              </w:rPr>
            </w:pPr>
          </w:p>
        </w:tc>
        <w:tc>
          <w:tcPr>
            <w:tcW w:w="1976" w:type="dxa"/>
            <w:vAlign w:val="center"/>
          </w:tcPr>
          <w:p w14:paraId="73930481">
            <w:pPr>
              <w:jc w:val="center"/>
              <w:rPr>
                <w:rFonts w:ascii="宋体" w:hAnsi="宋体"/>
                <w:bCs/>
                <w:szCs w:val="21"/>
              </w:rPr>
            </w:pPr>
          </w:p>
        </w:tc>
        <w:tc>
          <w:tcPr>
            <w:tcW w:w="1680" w:type="dxa"/>
            <w:vAlign w:val="center"/>
          </w:tcPr>
          <w:p w14:paraId="1C4362F1">
            <w:pPr>
              <w:jc w:val="center"/>
              <w:rPr>
                <w:rFonts w:ascii="宋体" w:hAnsi="宋体"/>
                <w:bCs/>
                <w:szCs w:val="21"/>
              </w:rPr>
            </w:pPr>
          </w:p>
        </w:tc>
      </w:tr>
      <w:tr w14:paraId="77D67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4" w:hRule="atLeast"/>
        </w:trPr>
        <w:tc>
          <w:tcPr>
            <w:tcW w:w="1229" w:type="dxa"/>
            <w:vMerge w:val="continue"/>
            <w:vAlign w:val="center"/>
          </w:tcPr>
          <w:p w14:paraId="57163F24">
            <w:pPr>
              <w:jc w:val="center"/>
              <w:rPr>
                <w:rFonts w:ascii="宋体" w:hAnsi="宋体"/>
                <w:bCs/>
                <w:szCs w:val="21"/>
              </w:rPr>
            </w:pPr>
          </w:p>
        </w:tc>
        <w:tc>
          <w:tcPr>
            <w:tcW w:w="2581" w:type="dxa"/>
            <w:vAlign w:val="center"/>
          </w:tcPr>
          <w:p w14:paraId="37B74329">
            <w:pPr>
              <w:pStyle w:val="76"/>
              <w:tabs>
                <w:tab w:val="clear" w:pos="1418"/>
              </w:tabs>
              <w:overflowPunct w:val="0"/>
              <w:autoSpaceDE w:val="0"/>
              <w:autoSpaceDN w:val="0"/>
              <w:adjustRightInd w:val="0"/>
              <w:snapToGrid w:val="0"/>
              <w:spacing w:line="360" w:lineRule="exact"/>
              <w:textAlignment w:val="baseline"/>
              <w:rPr>
                <w:rFonts w:ascii="宋体" w:hAnsi="宋体"/>
                <w:bCs/>
                <w:sz w:val="21"/>
                <w:szCs w:val="21"/>
              </w:rPr>
            </w:pPr>
          </w:p>
        </w:tc>
        <w:tc>
          <w:tcPr>
            <w:tcW w:w="1672" w:type="dxa"/>
            <w:vAlign w:val="center"/>
          </w:tcPr>
          <w:p w14:paraId="2C065C1A">
            <w:pPr>
              <w:jc w:val="center"/>
              <w:rPr>
                <w:rFonts w:ascii="宋体" w:hAnsi="宋体"/>
                <w:bCs/>
                <w:szCs w:val="21"/>
              </w:rPr>
            </w:pPr>
          </w:p>
        </w:tc>
        <w:tc>
          <w:tcPr>
            <w:tcW w:w="1976" w:type="dxa"/>
            <w:vAlign w:val="center"/>
          </w:tcPr>
          <w:p w14:paraId="78641C06">
            <w:pPr>
              <w:jc w:val="center"/>
              <w:rPr>
                <w:rFonts w:ascii="宋体" w:hAnsi="宋体"/>
                <w:bCs/>
                <w:szCs w:val="21"/>
              </w:rPr>
            </w:pPr>
          </w:p>
        </w:tc>
        <w:tc>
          <w:tcPr>
            <w:tcW w:w="1680" w:type="dxa"/>
            <w:vAlign w:val="center"/>
          </w:tcPr>
          <w:p w14:paraId="52A4BEE9">
            <w:pPr>
              <w:jc w:val="center"/>
              <w:rPr>
                <w:rFonts w:ascii="宋体" w:hAnsi="宋体"/>
                <w:bCs/>
                <w:szCs w:val="21"/>
              </w:rPr>
            </w:pPr>
          </w:p>
        </w:tc>
      </w:tr>
    </w:tbl>
    <w:p w14:paraId="71ED4B17">
      <w:pPr>
        <w:pStyle w:val="75"/>
        <w:spacing w:line="400" w:lineRule="atLeast"/>
        <w:ind w:left="537" w:hanging="537" w:hangingChars="243"/>
        <w:rPr>
          <w:rFonts w:hAnsi="宋体" w:eastAsia="宋体"/>
          <w:b/>
          <w:sz w:val="22"/>
          <w:szCs w:val="22"/>
        </w:rPr>
      </w:pPr>
      <w:r>
        <w:rPr>
          <w:rFonts w:hAnsi="宋体" w:eastAsia="宋体"/>
          <w:b/>
          <w:sz w:val="22"/>
          <w:szCs w:val="22"/>
        </w:rPr>
        <w:t>注： 如有偏离，必须在偏离表中进行详细对比说明并注明正偏离（负偏离），如此表不填或填写为无偏离或不说明偏离情况，视为完全响应招标文件要求。</w:t>
      </w:r>
    </w:p>
    <w:p w14:paraId="0674CC92">
      <w:pPr>
        <w:autoSpaceDE w:val="0"/>
        <w:autoSpaceDN w:val="0"/>
        <w:adjustRightInd w:val="0"/>
        <w:spacing w:line="360" w:lineRule="auto"/>
        <w:jc w:val="center"/>
        <w:rPr>
          <w:rFonts w:ascii="宋体" w:hAnsi="宋体" w:cs="宋体"/>
        </w:rPr>
      </w:pPr>
      <w:r>
        <w:rPr>
          <w:rFonts w:ascii="宋体" w:hAnsi="宋体" w:cs="宋体"/>
        </w:rPr>
        <w:t xml:space="preserve">                                                </w:t>
      </w:r>
    </w:p>
    <w:p w14:paraId="5D13C267">
      <w:pPr>
        <w:autoSpaceDE w:val="0"/>
        <w:autoSpaceDN w:val="0"/>
        <w:adjustRightInd w:val="0"/>
        <w:spacing w:line="360" w:lineRule="auto"/>
        <w:jc w:val="center"/>
        <w:rPr>
          <w:rFonts w:ascii="宋体" w:cs="宋体"/>
          <w:lang w:val="zh-CN"/>
        </w:rPr>
      </w:pPr>
      <w:r>
        <w:rPr>
          <w:rFonts w:hint="eastAsia" w:ascii="宋体" w:hAnsi="宋体" w:cs="宋体"/>
        </w:rPr>
        <w:t xml:space="preserve">                                                                </w:t>
      </w:r>
      <w:r>
        <w:rPr>
          <w:rFonts w:hint="eastAsia" w:ascii="宋体" w:hAnsi="宋体" w:cs="宋体"/>
          <w:lang w:val="zh-CN"/>
        </w:rPr>
        <w:t>投标人（公章）：</w:t>
      </w:r>
    </w:p>
    <w:p w14:paraId="433605AD">
      <w:pPr>
        <w:autoSpaceDE w:val="0"/>
        <w:autoSpaceDN w:val="0"/>
        <w:adjustRightInd w:val="0"/>
        <w:spacing w:line="360" w:lineRule="auto"/>
        <w:jc w:val="right"/>
        <w:rPr>
          <w:rFonts w:ascii="宋体" w:cs="宋体"/>
          <w:lang w:val="zh-CN"/>
        </w:rPr>
      </w:pPr>
      <w:r>
        <w:rPr>
          <w:rFonts w:hint="eastAsia" w:ascii="宋体" w:hAnsi="宋体" w:cs="宋体"/>
        </w:rPr>
        <w:t xml:space="preserve">      </w:t>
      </w:r>
      <w:r>
        <w:rPr>
          <w:rFonts w:hint="eastAsia" w:ascii="宋体" w:hAnsi="宋体" w:cs="宋体"/>
          <w:lang w:val="zh-CN"/>
        </w:rPr>
        <w:t>法定代表（签字或盖章）：</w:t>
      </w:r>
      <w:r>
        <w:rPr>
          <w:rFonts w:ascii="宋体" w:hAnsi="宋体" w:cs="宋体"/>
          <w:lang w:val="zh-CN"/>
        </w:rPr>
        <w:t xml:space="preserve"> </w:t>
      </w:r>
    </w:p>
    <w:p w14:paraId="77C61C2B">
      <w:pPr>
        <w:autoSpaceDE w:val="0"/>
        <w:autoSpaceDN w:val="0"/>
        <w:adjustRightInd w:val="0"/>
        <w:spacing w:line="360" w:lineRule="auto"/>
        <w:ind w:firstLine="7035" w:firstLineChars="3350"/>
        <w:rPr>
          <w:rFonts w:ascii="宋体" w:cs="宋体"/>
          <w:lang w:val="zh-CN"/>
        </w:rPr>
      </w:pPr>
      <w:r>
        <w:rPr>
          <w:rFonts w:hint="eastAsia" w:ascii="宋体" w:hAnsi="宋体" w:cs="宋体"/>
          <w:lang w:val="zh-CN"/>
        </w:rPr>
        <w:t>年</w:t>
      </w:r>
      <w:r>
        <w:rPr>
          <w:rFonts w:ascii="宋体" w:hAnsi="宋体" w:cs="宋体"/>
          <w:lang w:val="zh-CN"/>
        </w:rPr>
        <w:t xml:space="preserve">  </w:t>
      </w:r>
      <w:r>
        <w:rPr>
          <w:rFonts w:hint="eastAsia" w:ascii="宋体" w:hAnsi="宋体" w:cs="宋体"/>
          <w:lang w:val="zh-CN"/>
        </w:rPr>
        <w:t>月</w:t>
      </w:r>
      <w:r>
        <w:rPr>
          <w:rFonts w:ascii="宋体" w:hAnsi="宋体" w:cs="宋体"/>
          <w:lang w:val="zh-CN"/>
        </w:rPr>
        <w:t xml:space="preserve">   </w:t>
      </w:r>
      <w:r>
        <w:rPr>
          <w:rFonts w:hint="eastAsia" w:ascii="宋体" w:hAnsi="宋体" w:cs="宋体"/>
          <w:lang w:val="zh-CN"/>
        </w:rPr>
        <w:t>日</w:t>
      </w:r>
    </w:p>
    <w:p w14:paraId="4257C783">
      <w:pPr>
        <w:spacing w:line="380" w:lineRule="exact"/>
        <w:rPr>
          <w:rFonts w:ascii="宋体" w:hAnsi="宋体" w:cs="宋体"/>
          <w:b/>
          <w:sz w:val="24"/>
          <w:lang w:val="zh-CN"/>
        </w:rPr>
      </w:pPr>
    </w:p>
    <w:p w14:paraId="5F7FD39B">
      <w:pPr>
        <w:spacing w:line="380" w:lineRule="exact"/>
        <w:rPr>
          <w:rFonts w:ascii="宋体" w:hAnsi="宋体" w:cs="宋体"/>
          <w:b/>
          <w:sz w:val="24"/>
          <w:lang w:val="zh-CN"/>
        </w:rPr>
      </w:pPr>
    </w:p>
    <w:p w14:paraId="47FC60E6">
      <w:pPr>
        <w:spacing w:line="380" w:lineRule="exact"/>
        <w:rPr>
          <w:rFonts w:ascii="宋体" w:hAnsi="宋体" w:cs="宋体"/>
          <w:b/>
          <w:sz w:val="24"/>
          <w:lang w:val="zh-CN"/>
        </w:rPr>
      </w:pPr>
    </w:p>
    <w:p w14:paraId="68A4D13D">
      <w:pPr>
        <w:pStyle w:val="9"/>
        <w:rPr>
          <w:rFonts w:ascii="宋体" w:hAnsi="宋体" w:cs="宋体"/>
          <w:b/>
          <w:lang w:val="zh-CN"/>
        </w:rPr>
      </w:pPr>
    </w:p>
    <w:p w14:paraId="57E84853">
      <w:pPr>
        <w:pStyle w:val="26"/>
        <w:ind w:firstLine="210"/>
        <w:rPr>
          <w:lang w:val="zh-CN"/>
        </w:rPr>
      </w:pPr>
    </w:p>
    <w:p w14:paraId="7643F0FF">
      <w:pPr>
        <w:spacing w:line="380" w:lineRule="exact"/>
        <w:rPr>
          <w:rFonts w:ascii="宋体" w:hAnsi="宋体" w:cs="宋体"/>
          <w:b/>
          <w:sz w:val="24"/>
          <w:lang w:val="zh-CN"/>
        </w:rPr>
      </w:pPr>
    </w:p>
    <w:p w14:paraId="2A7A283E">
      <w:pPr>
        <w:pStyle w:val="9"/>
        <w:rPr>
          <w:rFonts w:ascii="宋体" w:hAnsi="宋体"/>
          <w:b/>
          <w:bCs/>
          <w:szCs w:val="21"/>
          <w:lang w:val="zh-CN"/>
        </w:rPr>
      </w:pPr>
    </w:p>
    <w:p w14:paraId="4B42B502">
      <w:pPr>
        <w:pStyle w:val="9"/>
        <w:rPr>
          <w:rFonts w:asciiTheme="minorEastAsia" w:hAnsiTheme="minorEastAsia" w:eastAsiaTheme="minorEastAsia"/>
          <w:b/>
          <w:sz w:val="32"/>
          <w:lang w:val="zh-CN"/>
        </w:rPr>
      </w:pPr>
      <w:r>
        <w:rPr>
          <w:rFonts w:hint="eastAsia" w:asciiTheme="minorEastAsia" w:hAnsiTheme="minorEastAsia" w:eastAsiaTheme="minorEastAsia"/>
          <w:b/>
          <w:sz w:val="32"/>
          <w:lang w:val="en-US" w:eastAsia="zh-CN"/>
        </w:rPr>
        <w:t>十</w:t>
      </w:r>
      <w:r>
        <w:rPr>
          <w:rFonts w:hint="eastAsia" w:asciiTheme="minorEastAsia" w:hAnsiTheme="minorEastAsia" w:eastAsiaTheme="minorEastAsia"/>
          <w:b/>
          <w:sz w:val="32"/>
        </w:rPr>
        <w:t>、</w:t>
      </w:r>
      <w:r>
        <w:rPr>
          <w:rFonts w:hint="eastAsia" w:asciiTheme="minorEastAsia" w:hAnsiTheme="minorEastAsia" w:eastAsiaTheme="minorEastAsia"/>
          <w:b/>
          <w:sz w:val="32"/>
          <w:lang w:val="zh-CN"/>
        </w:rPr>
        <w:t>技术响应参数偏离表</w:t>
      </w:r>
    </w:p>
    <w:p w14:paraId="61FE5211">
      <w:pPr>
        <w:pStyle w:val="9"/>
        <w:rPr>
          <w:rFonts w:asciiTheme="minorEastAsia" w:hAnsiTheme="minorEastAsia" w:eastAsiaTheme="minorEastAsia"/>
          <w:b/>
          <w:sz w:val="32"/>
          <w:lang w:val="zh-CN"/>
        </w:rPr>
      </w:pPr>
      <w:r>
        <w:rPr>
          <w:rFonts w:hint="eastAsia" w:asciiTheme="minorEastAsia" w:hAnsiTheme="minorEastAsia" w:eastAsiaTheme="minorEastAsia"/>
          <w:b/>
          <w:sz w:val="32"/>
          <w:lang w:val="zh-CN"/>
        </w:rPr>
        <w:t>（应针对第二章采购需求逐项对应填写）：</w:t>
      </w:r>
    </w:p>
    <w:p w14:paraId="15082FF9">
      <w:pPr>
        <w:snapToGrid w:val="0"/>
        <w:spacing w:before="50" w:after="120" w:afterLines="50"/>
        <w:rPr>
          <w:rFonts w:ascii="宋体" w:hAnsi="宋体"/>
        </w:rPr>
      </w:pPr>
    </w:p>
    <w:p w14:paraId="68349863">
      <w:pPr>
        <w:snapToGrid w:val="0"/>
        <w:spacing w:before="50" w:after="120" w:afterLines="50"/>
        <w:rPr>
          <w:rFonts w:ascii="宋体" w:hAnsi="宋体" w:cs="宋体"/>
          <w:szCs w:val="21"/>
        </w:rPr>
      </w:pPr>
      <w:r>
        <w:rPr>
          <w:rFonts w:hint="eastAsia" w:ascii="宋体" w:hAnsi="宋体" w:cs="宋体"/>
          <w:szCs w:val="21"/>
        </w:rPr>
        <w:t xml:space="preserve">项目名称：                     项目编号：                 </w:t>
      </w:r>
    </w:p>
    <w:tbl>
      <w:tblPr>
        <w:tblStyle w:val="28"/>
        <w:tblW w:w="9640" w:type="dxa"/>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49"/>
        <w:gridCol w:w="3746"/>
        <w:gridCol w:w="1843"/>
        <w:gridCol w:w="1134"/>
        <w:gridCol w:w="2268"/>
      </w:tblGrid>
      <w:tr w14:paraId="7700D0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624" w:hRule="atLeast"/>
        </w:trPr>
        <w:tc>
          <w:tcPr>
            <w:tcW w:w="649" w:type="dxa"/>
            <w:tcBorders>
              <w:top w:val="single" w:color="auto" w:sz="4" w:space="0"/>
              <w:left w:val="single" w:color="auto" w:sz="4" w:space="0"/>
              <w:bottom w:val="single" w:color="auto" w:sz="4" w:space="0"/>
              <w:right w:val="single" w:color="auto" w:sz="4" w:space="0"/>
            </w:tcBorders>
          </w:tcPr>
          <w:p w14:paraId="7928DEF2">
            <w:pPr>
              <w:pStyle w:val="12"/>
              <w:snapToGrid w:val="0"/>
              <w:spacing w:before="295" w:after="295"/>
              <w:jc w:val="center"/>
              <w:outlineLvl w:val="0"/>
              <w:rPr>
                <w:rFonts w:hAnsi="宋体" w:eastAsia="宋体" w:cs="宋体"/>
                <w:b/>
                <w:sz w:val="21"/>
                <w:szCs w:val="21"/>
              </w:rPr>
            </w:pPr>
            <w:r>
              <w:rPr>
                <w:rFonts w:hint="eastAsia" w:hAnsi="宋体" w:eastAsia="宋体" w:cs="宋体"/>
                <w:b/>
                <w:sz w:val="21"/>
                <w:szCs w:val="21"/>
              </w:rPr>
              <w:t>序号</w:t>
            </w:r>
          </w:p>
        </w:tc>
        <w:tc>
          <w:tcPr>
            <w:tcW w:w="3746" w:type="dxa"/>
            <w:tcBorders>
              <w:top w:val="single" w:color="auto" w:sz="4" w:space="0"/>
              <w:left w:val="single" w:color="auto" w:sz="4" w:space="0"/>
              <w:bottom w:val="single" w:color="auto" w:sz="4" w:space="0"/>
              <w:right w:val="single" w:color="auto" w:sz="4" w:space="0"/>
            </w:tcBorders>
            <w:vAlign w:val="center"/>
          </w:tcPr>
          <w:p w14:paraId="608DF1B4">
            <w:pPr>
              <w:pStyle w:val="12"/>
              <w:snapToGrid w:val="0"/>
              <w:spacing w:before="120" w:after="120" w:line="120" w:lineRule="exact"/>
              <w:jc w:val="center"/>
              <w:outlineLvl w:val="0"/>
              <w:rPr>
                <w:rFonts w:hAnsi="宋体" w:eastAsia="宋体" w:cs="宋体"/>
                <w:b/>
                <w:sz w:val="21"/>
                <w:szCs w:val="21"/>
              </w:rPr>
            </w:pPr>
            <w:r>
              <w:rPr>
                <w:rFonts w:hint="eastAsia" w:hAnsi="宋体" w:eastAsia="宋体" w:cs="宋体"/>
                <w:b/>
                <w:sz w:val="21"/>
                <w:szCs w:val="21"/>
              </w:rPr>
              <w:t>名称</w:t>
            </w:r>
          </w:p>
        </w:tc>
        <w:tc>
          <w:tcPr>
            <w:tcW w:w="1843" w:type="dxa"/>
            <w:tcBorders>
              <w:top w:val="single" w:color="auto" w:sz="4" w:space="0"/>
              <w:left w:val="single" w:color="auto" w:sz="4" w:space="0"/>
              <w:bottom w:val="single" w:color="auto" w:sz="4" w:space="0"/>
              <w:right w:val="single" w:color="auto" w:sz="4" w:space="0"/>
            </w:tcBorders>
          </w:tcPr>
          <w:p w14:paraId="66570B31">
            <w:pPr>
              <w:pStyle w:val="12"/>
              <w:snapToGrid w:val="0"/>
              <w:spacing w:before="120" w:after="120"/>
              <w:jc w:val="center"/>
              <w:outlineLvl w:val="0"/>
              <w:rPr>
                <w:rFonts w:hAnsi="宋体" w:eastAsia="宋体" w:cs="宋体"/>
                <w:b/>
                <w:sz w:val="21"/>
                <w:szCs w:val="21"/>
              </w:rPr>
            </w:pPr>
            <w:r>
              <w:rPr>
                <w:rFonts w:hint="eastAsia" w:hAnsi="宋体" w:eastAsia="宋体" w:cs="宋体"/>
                <w:b/>
                <w:sz w:val="21"/>
                <w:szCs w:val="21"/>
              </w:rPr>
              <w:t>招标文件要求</w:t>
            </w:r>
          </w:p>
        </w:tc>
        <w:tc>
          <w:tcPr>
            <w:tcW w:w="1134" w:type="dxa"/>
            <w:tcBorders>
              <w:top w:val="single" w:color="auto" w:sz="4" w:space="0"/>
              <w:left w:val="single" w:color="auto" w:sz="4" w:space="0"/>
              <w:bottom w:val="single" w:color="auto" w:sz="4" w:space="0"/>
              <w:right w:val="single" w:color="auto" w:sz="4" w:space="0"/>
            </w:tcBorders>
          </w:tcPr>
          <w:p w14:paraId="61D48F3B">
            <w:pPr>
              <w:pStyle w:val="12"/>
              <w:snapToGrid w:val="0"/>
              <w:spacing w:before="295" w:after="295"/>
              <w:jc w:val="center"/>
              <w:outlineLvl w:val="0"/>
              <w:rPr>
                <w:rFonts w:hAnsi="宋体" w:eastAsia="宋体" w:cs="宋体"/>
                <w:b/>
                <w:sz w:val="21"/>
                <w:szCs w:val="21"/>
              </w:rPr>
            </w:pPr>
            <w:r>
              <w:rPr>
                <w:rFonts w:hint="eastAsia" w:hAnsi="宋体" w:eastAsia="宋体" w:cs="宋体"/>
                <w:b/>
                <w:sz w:val="21"/>
                <w:szCs w:val="21"/>
              </w:rPr>
              <w:t>投标文件响应</w:t>
            </w:r>
          </w:p>
        </w:tc>
        <w:tc>
          <w:tcPr>
            <w:tcW w:w="2268" w:type="dxa"/>
            <w:tcBorders>
              <w:top w:val="single" w:color="auto" w:sz="4" w:space="0"/>
              <w:left w:val="single" w:color="auto" w:sz="4" w:space="0"/>
              <w:bottom w:val="single" w:color="auto" w:sz="4" w:space="0"/>
              <w:right w:val="single" w:color="auto" w:sz="4" w:space="0"/>
            </w:tcBorders>
          </w:tcPr>
          <w:p w14:paraId="205DDCB8">
            <w:pPr>
              <w:pStyle w:val="12"/>
              <w:snapToGrid w:val="0"/>
              <w:spacing w:before="120" w:after="120"/>
              <w:outlineLvl w:val="0"/>
              <w:rPr>
                <w:rFonts w:hAnsi="宋体" w:eastAsia="宋体" w:cs="宋体"/>
                <w:b/>
                <w:sz w:val="21"/>
                <w:szCs w:val="21"/>
              </w:rPr>
            </w:pPr>
            <w:r>
              <w:rPr>
                <w:rFonts w:hint="eastAsia" w:hAnsi="宋体" w:eastAsia="宋体" w:cs="宋体"/>
                <w:b/>
                <w:sz w:val="21"/>
                <w:szCs w:val="21"/>
              </w:rPr>
              <w:t>偏离情况（填：“正偏离”、“负偏离”、“无”、“正、负偏离都有”</w:t>
            </w:r>
          </w:p>
        </w:tc>
      </w:tr>
      <w:tr w14:paraId="17192A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335464F2">
            <w:pPr>
              <w:spacing w:line="360" w:lineRule="auto"/>
              <w:jc w:val="center"/>
              <w:rPr>
                <w:rFonts w:ascii="宋体" w:hAnsi="宋体" w:cs="宋体"/>
                <w:color w:val="000000"/>
                <w:szCs w:val="21"/>
              </w:rPr>
            </w:pPr>
          </w:p>
        </w:tc>
        <w:tc>
          <w:tcPr>
            <w:tcW w:w="3746" w:type="dxa"/>
            <w:tcBorders>
              <w:top w:val="single" w:color="auto" w:sz="4" w:space="0"/>
              <w:left w:val="single" w:color="auto" w:sz="4" w:space="0"/>
              <w:bottom w:val="single" w:color="auto" w:sz="4" w:space="0"/>
              <w:right w:val="single" w:color="auto" w:sz="4" w:space="0"/>
            </w:tcBorders>
            <w:vAlign w:val="center"/>
          </w:tcPr>
          <w:p w14:paraId="5EC40684">
            <w:pPr>
              <w:jc w:val="center"/>
              <w:rPr>
                <w:rFonts w:ascii="宋体" w:hAnsi="宋体" w:cs="宋体"/>
                <w:color w:val="000000"/>
                <w:szCs w:val="21"/>
              </w:rPr>
            </w:pPr>
          </w:p>
        </w:tc>
        <w:tc>
          <w:tcPr>
            <w:tcW w:w="1843" w:type="dxa"/>
            <w:tcBorders>
              <w:top w:val="single" w:color="auto" w:sz="4" w:space="0"/>
              <w:left w:val="single" w:color="auto" w:sz="4" w:space="0"/>
              <w:bottom w:val="single" w:color="auto" w:sz="4" w:space="0"/>
              <w:right w:val="single" w:color="auto" w:sz="4" w:space="0"/>
            </w:tcBorders>
          </w:tcPr>
          <w:p w14:paraId="59E0A749">
            <w:pPr>
              <w:pStyle w:val="12"/>
              <w:snapToGrid w:val="0"/>
              <w:spacing w:before="295" w:after="295" w:line="120" w:lineRule="exact"/>
              <w:jc w:val="center"/>
              <w:outlineLvl w:val="0"/>
              <w:rPr>
                <w:rFonts w:hAnsi="宋体" w:eastAsia="宋体" w:cs="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9FC8901">
            <w:pPr>
              <w:pStyle w:val="12"/>
              <w:snapToGrid w:val="0"/>
              <w:spacing w:before="295" w:after="295" w:line="240" w:lineRule="exact"/>
              <w:outlineLvl w:val="0"/>
              <w:rPr>
                <w:rFonts w:hAnsi="宋体" w:eastAsia="宋体" w:cs="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66F4A15F">
            <w:pPr>
              <w:pStyle w:val="12"/>
              <w:snapToGrid w:val="0"/>
              <w:spacing w:before="120" w:after="120"/>
              <w:outlineLvl w:val="0"/>
              <w:rPr>
                <w:rFonts w:hAnsi="宋体" w:eastAsia="宋体" w:cs="宋体"/>
                <w:sz w:val="21"/>
                <w:szCs w:val="21"/>
              </w:rPr>
            </w:pPr>
          </w:p>
        </w:tc>
      </w:tr>
      <w:tr w14:paraId="7C4665B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16CD40D0">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1C4C9C0A">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2B226988">
            <w:pPr>
              <w:pStyle w:val="12"/>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4C60C0DE">
            <w:pPr>
              <w:pStyle w:val="12"/>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E7DD77F">
            <w:pPr>
              <w:spacing w:line="120" w:lineRule="exact"/>
              <w:rPr>
                <w:rFonts w:ascii="宋体" w:hAnsi="宋体"/>
                <w:szCs w:val="21"/>
              </w:rPr>
            </w:pPr>
          </w:p>
        </w:tc>
      </w:tr>
      <w:tr w14:paraId="3118446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49D30BD4">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4526C4F4">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76E01A6E">
            <w:pPr>
              <w:pStyle w:val="12"/>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637B531A">
            <w:pPr>
              <w:pStyle w:val="12"/>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16B8BE6C">
            <w:pPr>
              <w:spacing w:line="120" w:lineRule="exact"/>
              <w:rPr>
                <w:rFonts w:ascii="宋体" w:hAnsi="宋体"/>
                <w:szCs w:val="21"/>
              </w:rPr>
            </w:pPr>
          </w:p>
        </w:tc>
      </w:tr>
      <w:tr w14:paraId="2BAAE6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065C9760">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7ED7E8DD">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1F026854">
            <w:pPr>
              <w:pStyle w:val="12"/>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0E6566C7">
            <w:pPr>
              <w:pStyle w:val="12"/>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56452973">
            <w:pPr>
              <w:spacing w:line="120" w:lineRule="exact"/>
              <w:rPr>
                <w:rFonts w:ascii="宋体" w:hAnsi="宋体"/>
                <w:szCs w:val="21"/>
              </w:rPr>
            </w:pPr>
          </w:p>
        </w:tc>
      </w:tr>
      <w:tr w14:paraId="283F09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30" w:hRule="atLeast"/>
        </w:trPr>
        <w:tc>
          <w:tcPr>
            <w:tcW w:w="649" w:type="dxa"/>
            <w:tcBorders>
              <w:top w:val="single" w:color="auto" w:sz="4" w:space="0"/>
              <w:left w:val="single" w:color="auto" w:sz="4" w:space="0"/>
              <w:bottom w:val="single" w:color="auto" w:sz="4" w:space="0"/>
              <w:right w:val="single" w:color="auto" w:sz="4" w:space="0"/>
            </w:tcBorders>
            <w:vAlign w:val="center"/>
          </w:tcPr>
          <w:p w14:paraId="278F11E6">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15BD8A4B">
            <w:pPr>
              <w:jc w:val="center"/>
              <w:rPr>
                <w:rFonts w:ascii="宋体" w:hAnsi="宋体" w:cs="宋体"/>
                <w:color w:val="000000"/>
              </w:rPr>
            </w:pPr>
          </w:p>
        </w:tc>
        <w:tc>
          <w:tcPr>
            <w:tcW w:w="1843" w:type="dxa"/>
            <w:tcBorders>
              <w:top w:val="single" w:color="auto" w:sz="4" w:space="0"/>
              <w:left w:val="single" w:color="auto" w:sz="4" w:space="0"/>
              <w:bottom w:val="single" w:color="auto" w:sz="4" w:space="0"/>
              <w:right w:val="single" w:color="auto" w:sz="4" w:space="0"/>
            </w:tcBorders>
          </w:tcPr>
          <w:p w14:paraId="04E24B1C">
            <w:pPr>
              <w:pStyle w:val="12"/>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3C47FACD">
            <w:pPr>
              <w:pStyle w:val="12"/>
              <w:snapToGrid w:val="0"/>
              <w:spacing w:before="120" w:after="120" w:line="260" w:lineRule="exact"/>
              <w:outlineLvl w:val="0"/>
              <w:rPr>
                <w:rFonts w:hAnsi="宋体"/>
                <w:sz w:val="21"/>
                <w:szCs w:val="21"/>
              </w:rPr>
            </w:pPr>
          </w:p>
        </w:tc>
        <w:tc>
          <w:tcPr>
            <w:tcW w:w="2268" w:type="dxa"/>
            <w:tcBorders>
              <w:top w:val="single" w:color="auto" w:sz="4" w:space="0"/>
              <w:left w:val="single" w:color="auto" w:sz="4" w:space="0"/>
              <w:bottom w:val="single" w:color="auto" w:sz="4" w:space="0"/>
              <w:right w:val="single" w:color="auto" w:sz="4" w:space="0"/>
            </w:tcBorders>
            <w:vAlign w:val="center"/>
          </w:tcPr>
          <w:p w14:paraId="4EDFA6D8">
            <w:pPr>
              <w:spacing w:line="120" w:lineRule="exact"/>
              <w:rPr>
                <w:rFonts w:ascii="宋体" w:hAnsi="宋体"/>
                <w:szCs w:val="21"/>
              </w:rPr>
            </w:pPr>
          </w:p>
        </w:tc>
      </w:tr>
      <w:tr w14:paraId="1C91A3C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63" w:hRule="atLeast"/>
        </w:trPr>
        <w:tc>
          <w:tcPr>
            <w:tcW w:w="649" w:type="dxa"/>
            <w:tcBorders>
              <w:top w:val="single" w:color="auto" w:sz="4" w:space="0"/>
              <w:left w:val="single" w:color="auto" w:sz="4" w:space="0"/>
              <w:bottom w:val="single" w:color="auto" w:sz="4" w:space="0"/>
              <w:right w:val="single" w:color="auto" w:sz="4" w:space="0"/>
            </w:tcBorders>
            <w:vAlign w:val="center"/>
          </w:tcPr>
          <w:p w14:paraId="546DBB2F">
            <w:pPr>
              <w:spacing w:line="360" w:lineRule="auto"/>
              <w:jc w:val="center"/>
              <w:rPr>
                <w:rFonts w:ascii="宋体" w:hAnsi="宋体" w:cs="宋体"/>
                <w:color w:val="000000"/>
              </w:rPr>
            </w:pPr>
          </w:p>
        </w:tc>
        <w:tc>
          <w:tcPr>
            <w:tcW w:w="3746" w:type="dxa"/>
            <w:tcBorders>
              <w:top w:val="single" w:color="auto" w:sz="4" w:space="0"/>
              <w:left w:val="single" w:color="auto" w:sz="4" w:space="0"/>
              <w:bottom w:val="single" w:color="auto" w:sz="4" w:space="0"/>
              <w:right w:val="single" w:color="auto" w:sz="4" w:space="0"/>
            </w:tcBorders>
            <w:vAlign w:val="center"/>
          </w:tcPr>
          <w:p w14:paraId="5ACC09FB">
            <w:pPr>
              <w:jc w:val="center"/>
              <w:rPr>
                <w:rFonts w:ascii="宋体" w:hAnsi="宋体"/>
              </w:rPr>
            </w:pPr>
          </w:p>
        </w:tc>
        <w:tc>
          <w:tcPr>
            <w:tcW w:w="1843" w:type="dxa"/>
            <w:tcBorders>
              <w:top w:val="single" w:color="auto" w:sz="4" w:space="0"/>
              <w:left w:val="single" w:color="auto" w:sz="4" w:space="0"/>
              <w:bottom w:val="single" w:color="auto" w:sz="4" w:space="0"/>
              <w:right w:val="single" w:color="auto" w:sz="4" w:space="0"/>
            </w:tcBorders>
          </w:tcPr>
          <w:p w14:paraId="504022A6">
            <w:pPr>
              <w:pStyle w:val="12"/>
              <w:snapToGrid w:val="0"/>
              <w:spacing w:before="295" w:after="295" w:line="120" w:lineRule="exact"/>
              <w:jc w:val="center"/>
              <w:outlineLvl w:val="0"/>
              <w:rPr>
                <w:rFonts w:hAnsi="宋体"/>
                <w:sz w:val="21"/>
                <w:szCs w:val="21"/>
              </w:rPr>
            </w:pPr>
          </w:p>
        </w:tc>
        <w:tc>
          <w:tcPr>
            <w:tcW w:w="1134" w:type="dxa"/>
            <w:tcBorders>
              <w:top w:val="single" w:color="auto" w:sz="4" w:space="0"/>
              <w:left w:val="single" w:color="auto" w:sz="4" w:space="0"/>
              <w:bottom w:val="single" w:color="auto" w:sz="4" w:space="0"/>
              <w:right w:val="single" w:color="auto" w:sz="4" w:space="0"/>
            </w:tcBorders>
          </w:tcPr>
          <w:p w14:paraId="29BB4426">
            <w:pPr>
              <w:pStyle w:val="12"/>
              <w:snapToGrid w:val="0"/>
              <w:spacing w:before="120" w:after="120" w:line="260" w:lineRule="exact"/>
              <w:outlineLvl w:val="0"/>
              <w:rPr>
                <w:rFonts w:hAnsi="宋体"/>
                <w:sz w:val="21"/>
                <w:szCs w:val="21"/>
              </w:rPr>
            </w:pPr>
          </w:p>
        </w:tc>
        <w:tc>
          <w:tcPr>
            <w:tcW w:w="2268" w:type="dxa"/>
            <w:tcBorders>
              <w:left w:val="single" w:color="auto" w:sz="4" w:space="0"/>
              <w:bottom w:val="single" w:color="auto" w:sz="4" w:space="0"/>
              <w:right w:val="single" w:color="auto" w:sz="4" w:space="0"/>
            </w:tcBorders>
            <w:vAlign w:val="center"/>
          </w:tcPr>
          <w:p w14:paraId="766058C8">
            <w:pPr>
              <w:spacing w:line="120" w:lineRule="exact"/>
              <w:rPr>
                <w:rFonts w:ascii="宋体" w:hAnsi="宋体"/>
                <w:szCs w:val="21"/>
              </w:rPr>
            </w:pPr>
          </w:p>
        </w:tc>
      </w:tr>
    </w:tbl>
    <w:p w14:paraId="35B6FCAB">
      <w:pPr>
        <w:pStyle w:val="52"/>
        <w:snapToGrid w:val="0"/>
        <w:spacing w:before="120" w:after="120" w:line="500" w:lineRule="exact"/>
        <w:ind w:firstLine="0"/>
        <w:rPr>
          <w:rFonts w:cs="宋体"/>
          <w:b/>
          <w:sz w:val="24"/>
          <w:szCs w:val="24"/>
          <w:lang w:val="zh-CN"/>
        </w:rPr>
      </w:pPr>
    </w:p>
    <w:p w14:paraId="6F5EA662">
      <w:pPr>
        <w:pStyle w:val="52"/>
        <w:snapToGrid w:val="0"/>
        <w:spacing w:before="120" w:after="120" w:line="500" w:lineRule="exact"/>
        <w:ind w:firstLine="0"/>
        <w:rPr>
          <w:rFonts w:cs="宋体"/>
          <w:b/>
          <w:sz w:val="24"/>
          <w:szCs w:val="24"/>
          <w:lang w:val="zh-CN"/>
        </w:rPr>
      </w:pPr>
    </w:p>
    <w:p w14:paraId="01C0A8C3">
      <w:pPr>
        <w:autoSpaceDE w:val="0"/>
        <w:autoSpaceDN w:val="0"/>
        <w:adjustRightInd w:val="0"/>
        <w:spacing w:line="360" w:lineRule="auto"/>
        <w:jc w:val="center"/>
        <w:rPr>
          <w:rFonts w:ascii="宋体" w:eastAsia="宋体" w:cs="宋体"/>
          <w:lang w:val="zh-CN"/>
        </w:rPr>
      </w:pPr>
      <w:r>
        <w:rPr>
          <w:rFonts w:hint="eastAsia" w:ascii="宋体" w:hAnsi="宋体" w:eastAsia="宋体" w:cs="宋体"/>
          <w:lang w:val="en-US" w:eastAsia="zh-CN"/>
        </w:rPr>
        <w:t xml:space="preserve">                                                    </w:t>
      </w:r>
      <w:r>
        <w:rPr>
          <w:rFonts w:hint="eastAsia" w:ascii="宋体" w:hAnsi="宋体" w:eastAsia="宋体" w:cs="宋体"/>
          <w:lang w:val="zh-CN"/>
        </w:rPr>
        <w:t>投标人（公章）：</w:t>
      </w:r>
    </w:p>
    <w:p w14:paraId="7B2E7C8D">
      <w:pPr>
        <w:autoSpaceDE w:val="0"/>
        <w:autoSpaceDN w:val="0"/>
        <w:adjustRightInd w:val="0"/>
        <w:spacing w:line="360" w:lineRule="auto"/>
        <w:jc w:val="right"/>
        <w:rPr>
          <w:rFonts w:ascii="宋体" w:eastAsia="宋体" w:cs="宋体"/>
          <w:lang w:val="zh-CN"/>
        </w:rPr>
      </w:pPr>
      <w:r>
        <w:rPr>
          <w:rFonts w:hint="eastAsia" w:ascii="宋体" w:hAnsi="宋体" w:eastAsia="宋体" w:cs="宋体"/>
        </w:rPr>
        <w:t xml:space="preserve">      </w:t>
      </w:r>
      <w:r>
        <w:rPr>
          <w:rFonts w:hint="eastAsia" w:ascii="宋体" w:hAnsi="宋体" w:eastAsia="宋体" w:cs="宋体"/>
          <w:lang w:val="zh-CN"/>
        </w:rPr>
        <w:t>法定代表（签字或盖章）：</w:t>
      </w:r>
      <w:r>
        <w:rPr>
          <w:rFonts w:ascii="宋体" w:hAnsi="宋体" w:eastAsia="宋体" w:cs="宋体"/>
          <w:lang w:val="zh-CN"/>
        </w:rPr>
        <w:t xml:space="preserve"> </w:t>
      </w:r>
    </w:p>
    <w:p w14:paraId="21D5D8B2">
      <w:pPr>
        <w:autoSpaceDE w:val="0"/>
        <w:autoSpaceDN w:val="0"/>
        <w:adjustRightInd w:val="0"/>
        <w:spacing w:line="360" w:lineRule="auto"/>
        <w:ind w:firstLine="7035" w:firstLineChars="3350"/>
        <w:rPr>
          <w:rFonts w:ascii="宋体" w:eastAsia="宋体" w:cs="宋体"/>
          <w:lang w:val="zh-CN"/>
        </w:rPr>
      </w:pPr>
      <w:r>
        <w:rPr>
          <w:rFonts w:hint="eastAsia" w:ascii="宋体" w:hAnsi="宋体" w:eastAsia="宋体" w:cs="宋体"/>
          <w:lang w:val="zh-CN"/>
        </w:rPr>
        <w:t>年</w:t>
      </w:r>
      <w:r>
        <w:rPr>
          <w:rFonts w:ascii="宋体" w:hAnsi="宋体" w:eastAsia="宋体" w:cs="宋体"/>
          <w:lang w:val="zh-CN"/>
        </w:rPr>
        <w:t xml:space="preserve">  </w:t>
      </w:r>
      <w:r>
        <w:rPr>
          <w:rFonts w:hint="eastAsia" w:ascii="宋体" w:hAnsi="宋体" w:eastAsia="宋体" w:cs="宋体"/>
          <w:lang w:val="zh-CN"/>
        </w:rPr>
        <w:t>月</w:t>
      </w:r>
      <w:r>
        <w:rPr>
          <w:rFonts w:ascii="宋体" w:hAnsi="宋体" w:eastAsia="宋体" w:cs="宋体"/>
          <w:lang w:val="zh-CN"/>
        </w:rPr>
        <w:t xml:space="preserve">   </w:t>
      </w:r>
      <w:r>
        <w:rPr>
          <w:rFonts w:hint="eastAsia" w:ascii="宋体" w:hAnsi="宋体" w:eastAsia="宋体" w:cs="宋体"/>
          <w:lang w:val="zh-CN"/>
        </w:rPr>
        <w:t>日</w:t>
      </w:r>
    </w:p>
    <w:p w14:paraId="06E027EB">
      <w:pPr>
        <w:snapToGrid w:val="0"/>
        <w:spacing w:before="50" w:after="120" w:afterLines="50"/>
        <w:rPr>
          <w:rFonts w:asciiTheme="minorEastAsia" w:hAnsiTheme="minorEastAsia" w:eastAsiaTheme="minorEastAsia"/>
          <w:sz w:val="24"/>
        </w:rPr>
        <w:sectPr>
          <w:pgSz w:w="11906" w:h="16838"/>
          <w:pgMar w:top="1304" w:right="1531" w:bottom="1304" w:left="1531" w:header="1304" w:footer="1304" w:gutter="0"/>
          <w:cols w:space="720" w:num="1"/>
        </w:sectPr>
      </w:pPr>
    </w:p>
    <w:p w14:paraId="3545CF6C">
      <w:pPr>
        <w:widowControl w:val="0"/>
        <w:spacing w:after="120"/>
        <w:jc w:val="both"/>
        <w:rPr>
          <w:rFonts w:hint="eastAsia" w:ascii="宋体" w:hAnsi="宋体" w:eastAsia="宋体" w:cs="Times New Roman"/>
          <w:b/>
          <w:sz w:val="32"/>
        </w:rPr>
      </w:pPr>
    </w:p>
    <w:p w14:paraId="393AC027">
      <w:pPr>
        <w:widowControl w:val="0"/>
        <w:spacing w:after="120"/>
        <w:jc w:val="both"/>
        <w:rPr>
          <w:rFonts w:ascii="宋体" w:hAnsi="宋体" w:eastAsia="宋体" w:cs="Times New Roman"/>
          <w:b/>
          <w:sz w:val="32"/>
        </w:rPr>
      </w:pPr>
      <w:r>
        <w:rPr>
          <w:rFonts w:hint="eastAsia" w:ascii="宋体" w:hAnsi="宋体" w:eastAsia="宋体" w:cs="Times New Roman"/>
          <w:b/>
          <w:sz w:val="32"/>
        </w:rPr>
        <w:t>十</w:t>
      </w:r>
      <w:r>
        <w:rPr>
          <w:rFonts w:hint="eastAsia" w:ascii="宋体" w:hAnsi="宋体" w:eastAsia="宋体" w:cs="Times New Roman"/>
          <w:b/>
          <w:sz w:val="32"/>
          <w:lang w:val="en-US" w:eastAsia="zh-CN"/>
        </w:rPr>
        <w:t>一</w:t>
      </w:r>
      <w:r>
        <w:rPr>
          <w:rFonts w:hint="eastAsia" w:ascii="宋体" w:hAnsi="宋体" w:eastAsia="宋体" w:cs="Times New Roman"/>
          <w:b/>
          <w:sz w:val="32"/>
        </w:rPr>
        <w:t>、人员配备情况</w:t>
      </w:r>
    </w:p>
    <w:tbl>
      <w:tblPr>
        <w:tblStyle w:val="28"/>
        <w:tblW w:w="9972" w:type="dxa"/>
        <w:jc w:val="center"/>
        <w:tblLayout w:type="fixed"/>
        <w:tblCellMar>
          <w:top w:w="57" w:type="dxa"/>
          <w:left w:w="57" w:type="dxa"/>
          <w:bottom w:w="57" w:type="dxa"/>
          <w:right w:w="57" w:type="dxa"/>
        </w:tblCellMar>
      </w:tblPr>
      <w:tblGrid>
        <w:gridCol w:w="589"/>
        <w:gridCol w:w="1303"/>
        <w:gridCol w:w="709"/>
        <w:gridCol w:w="850"/>
        <w:gridCol w:w="851"/>
        <w:gridCol w:w="992"/>
        <w:gridCol w:w="1134"/>
        <w:gridCol w:w="851"/>
        <w:gridCol w:w="1275"/>
        <w:gridCol w:w="1418"/>
      </w:tblGrid>
      <w:tr w14:paraId="1FA34AFC">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6" w:space="0"/>
              <w:right w:val="single" w:color="auto" w:sz="6" w:space="0"/>
            </w:tcBorders>
            <w:vAlign w:val="center"/>
          </w:tcPr>
          <w:p w14:paraId="6C429ED0">
            <w:pPr>
              <w:widowControl w:val="0"/>
              <w:jc w:val="center"/>
              <w:rPr>
                <w:rFonts w:ascii="宋体" w:hAnsi="宋体" w:eastAsia="宋体" w:cs="宋体"/>
                <w:szCs w:val="21"/>
              </w:rPr>
            </w:pPr>
            <w:r>
              <w:rPr>
                <w:rFonts w:hint="eastAsia" w:ascii="宋体" w:hAnsi="宋体" w:eastAsia="宋体" w:cs="宋体"/>
                <w:szCs w:val="21"/>
              </w:rPr>
              <w:t>序号</w:t>
            </w:r>
          </w:p>
        </w:tc>
        <w:tc>
          <w:tcPr>
            <w:tcW w:w="1303" w:type="dxa"/>
            <w:tcBorders>
              <w:top w:val="single" w:color="auto" w:sz="6" w:space="0"/>
              <w:left w:val="single" w:color="auto" w:sz="6" w:space="0"/>
              <w:bottom w:val="single" w:color="auto" w:sz="6" w:space="0"/>
              <w:right w:val="single" w:color="auto" w:sz="6" w:space="0"/>
            </w:tcBorders>
            <w:vAlign w:val="center"/>
          </w:tcPr>
          <w:p w14:paraId="7777A45B">
            <w:pPr>
              <w:widowControl w:val="0"/>
              <w:jc w:val="center"/>
              <w:rPr>
                <w:rFonts w:ascii="宋体" w:hAnsi="宋体" w:eastAsia="宋体" w:cs="宋体"/>
                <w:szCs w:val="21"/>
              </w:rPr>
            </w:pPr>
            <w:r>
              <w:rPr>
                <w:rFonts w:hint="eastAsia" w:ascii="宋体" w:hAnsi="宋体" w:eastAsia="宋体" w:cs="宋体"/>
                <w:szCs w:val="21"/>
              </w:rPr>
              <w:t>姓名</w:t>
            </w:r>
          </w:p>
        </w:tc>
        <w:tc>
          <w:tcPr>
            <w:tcW w:w="709" w:type="dxa"/>
            <w:tcBorders>
              <w:top w:val="single" w:color="auto" w:sz="6" w:space="0"/>
              <w:left w:val="single" w:color="auto" w:sz="6" w:space="0"/>
              <w:bottom w:val="single" w:color="auto" w:sz="6" w:space="0"/>
              <w:right w:val="single" w:color="auto" w:sz="6" w:space="0"/>
            </w:tcBorders>
            <w:vAlign w:val="center"/>
          </w:tcPr>
          <w:p w14:paraId="086C0742">
            <w:pPr>
              <w:widowControl w:val="0"/>
              <w:jc w:val="center"/>
              <w:rPr>
                <w:rFonts w:ascii="宋体" w:hAnsi="宋体" w:eastAsia="宋体" w:cs="宋体"/>
                <w:szCs w:val="21"/>
              </w:rPr>
            </w:pPr>
            <w:r>
              <w:rPr>
                <w:rFonts w:hint="eastAsia" w:ascii="宋体" w:hAnsi="宋体" w:eastAsia="宋体" w:cs="宋体"/>
                <w:szCs w:val="21"/>
              </w:rPr>
              <w:t>性别</w:t>
            </w:r>
          </w:p>
        </w:tc>
        <w:tc>
          <w:tcPr>
            <w:tcW w:w="850" w:type="dxa"/>
            <w:tcBorders>
              <w:top w:val="single" w:color="auto" w:sz="6" w:space="0"/>
              <w:left w:val="single" w:color="auto" w:sz="6" w:space="0"/>
              <w:bottom w:val="single" w:color="auto" w:sz="6" w:space="0"/>
              <w:right w:val="single" w:color="auto" w:sz="6" w:space="0"/>
            </w:tcBorders>
            <w:vAlign w:val="center"/>
          </w:tcPr>
          <w:p w14:paraId="34DCF8E0">
            <w:pPr>
              <w:widowControl w:val="0"/>
              <w:jc w:val="center"/>
              <w:rPr>
                <w:rFonts w:ascii="宋体" w:hAnsi="宋体" w:eastAsia="宋体" w:cs="宋体"/>
                <w:szCs w:val="21"/>
              </w:rPr>
            </w:pPr>
            <w:r>
              <w:rPr>
                <w:rFonts w:hint="eastAsia" w:ascii="宋体" w:hAnsi="宋体" w:eastAsia="宋体" w:cs="宋体"/>
                <w:szCs w:val="21"/>
              </w:rPr>
              <w:t>年龄</w:t>
            </w:r>
          </w:p>
        </w:tc>
        <w:tc>
          <w:tcPr>
            <w:tcW w:w="851" w:type="dxa"/>
            <w:tcBorders>
              <w:top w:val="single" w:color="auto" w:sz="6" w:space="0"/>
              <w:left w:val="single" w:color="auto" w:sz="6" w:space="0"/>
              <w:bottom w:val="single" w:color="auto" w:sz="6" w:space="0"/>
              <w:right w:val="single" w:color="auto" w:sz="6" w:space="0"/>
            </w:tcBorders>
            <w:vAlign w:val="center"/>
          </w:tcPr>
          <w:p w14:paraId="0D0D3F95">
            <w:pPr>
              <w:widowControl w:val="0"/>
              <w:jc w:val="center"/>
              <w:rPr>
                <w:rFonts w:ascii="宋体" w:hAnsi="宋体" w:eastAsia="宋体" w:cs="宋体"/>
                <w:szCs w:val="21"/>
              </w:rPr>
            </w:pPr>
            <w:r>
              <w:rPr>
                <w:rFonts w:hint="eastAsia" w:ascii="宋体" w:hAnsi="宋体" w:eastAsia="宋体" w:cs="宋体"/>
                <w:szCs w:val="21"/>
              </w:rPr>
              <w:t>学历</w:t>
            </w:r>
          </w:p>
        </w:tc>
        <w:tc>
          <w:tcPr>
            <w:tcW w:w="992" w:type="dxa"/>
            <w:tcBorders>
              <w:top w:val="single" w:color="auto" w:sz="6" w:space="0"/>
              <w:left w:val="single" w:color="auto" w:sz="6" w:space="0"/>
              <w:bottom w:val="single" w:color="auto" w:sz="6" w:space="0"/>
              <w:right w:val="single" w:color="auto" w:sz="6" w:space="0"/>
            </w:tcBorders>
            <w:vAlign w:val="center"/>
          </w:tcPr>
          <w:p w14:paraId="197614EB">
            <w:pPr>
              <w:widowControl w:val="0"/>
              <w:jc w:val="center"/>
              <w:rPr>
                <w:rFonts w:ascii="宋体" w:hAnsi="宋体" w:eastAsia="宋体" w:cs="宋体"/>
                <w:szCs w:val="21"/>
              </w:rPr>
            </w:pPr>
            <w:r>
              <w:rPr>
                <w:rFonts w:hint="eastAsia" w:ascii="宋体" w:hAnsi="宋体" w:eastAsia="宋体" w:cs="宋体"/>
                <w:szCs w:val="21"/>
              </w:rPr>
              <w:t>专业技术资格</w:t>
            </w:r>
          </w:p>
        </w:tc>
        <w:tc>
          <w:tcPr>
            <w:tcW w:w="1134" w:type="dxa"/>
            <w:tcBorders>
              <w:top w:val="single" w:color="auto" w:sz="6" w:space="0"/>
              <w:left w:val="single" w:color="auto" w:sz="6" w:space="0"/>
              <w:bottom w:val="single" w:color="auto" w:sz="6" w:space="0"/>
              <w:right w:val="single" w:color="auto" w:sz="4" w:space="0"/>
            </w:tcBorders>
            <w:vAlign w:val="center"/>
          </w:tcPr>
          <w:p w14:paraId="6F06D602">
            <w:pPr>
              <w:widowControl w:val="0"/>
              <w:jc w:val="center"/>
              <w:rPr>
                <w:rFonts w:ascii="宋体" w:hAnsi="宋体" w:eastAsia="宋体" w:cs="宋体"/>
                <w:szCs w:val="21"/>
              </w:rPr>
            </w:pPr>
            <w:r>
              <w:rPr>
                <w:rFonts w:hint="eastAsia" w:ascii="宋体" w:hAnsi="宋体" w:eastAsia="宋体" w:cs="宋体"/>
                <w:szCs w:val="21"/>
              </w:rPr>
              <w:t>证书编号</w:t>
            </w:r>
          </w:p>
        </w:tc>
        <w:tc>
          <w:tcPr>
            <w:tcW w:w="851" w:type="dxa"/>
            <w:tcBorders>
              <w:top w:val="single" w:color="auto" w:sz="6" w:space="0"/>
              <w:left w:val="single" w:color="auto" w:sz="4" w:space="0"/>
              <w:bottom w:val="single" w:color="auto" w:sz="6" w:space="0"/>
              <w:right w:val="single" w:color="auto" w:sz="6" w:space="0"/>
            </w:tcBorders>
            <w:vAlign w:val="center"/>
          </w:tcPr>
          <w:p w14:paraId="6FF99C2C">
            <w:pPr>
              <w:widowControl w:val="0"/>
              <w:jc w:val="center"/>
              <w:rPr>
                <w:rFonts w:ascii="宋体" w:hAnsi="宋体" w:eastAsia="宋体" w:cs="宋体"/>
                <w:szCs w:val="21"/>
              </w:rPr>
            </w:pPr>
            <w:r>
              <w:rPr>
                <w:rFonts w:hint="eastAsia" w:ascii="宋体" w:hAnsi="宋体" w:eastAsia="宋体" w:cs="宋体"/>
                <w:szCs w:val="21"/>
              </w:rPr>
              <w:t>职称</w:t>
            </w:r>
          </w:p>
        </w:tc>
        <w:tc>
          <w:tcPr>
            <w:tcW w:w="1275" w:type="dxa"/>
            <w:tcBorders>
              <w:top w:val="single" w:color="auto" w:sz="6" w:space="0"/>
              <w:left w:val="single" w:color="auto" w:sz="6" w:space="0"/>
              <w:bottom w:val="single" w:color="auto" w:sz="6" w:space="0"/>
              <w:right w:val="single" w:color="auto" w:sz="6" w:space="0"/>
            </w:tcBorders>
            <w:vAlign w:val="center"/>
          </w:tcPr>
          <w:p w14:paraId="7D714807">
            <w:pPr>
              <w:widowControl w:val="0"/>
              <w:jc w:val="center"/>
              <w:rPr>
                <w:rFonts w:ascii="宋体" w:hAnsi="宋体" w:eastAsia="宋体" w:cs="宋体"/>
                <w:szCs w:val="21"/>
              </w:rPr>
            </w:pPr>
            <w:r>
              <w:rPr>
                <w:rFonts w:hint="eastAsia" w:ascii="宋体" w:hAnsi="宋体" w:eastAsia="宋体" w:cs="宋体"/>
                <w:szCs w:val="21"/>
              </w:rPr>
              <w:t>拟任本项目职务</w:t>
            </w:r>
          </w:p>
        </w:tc>
        <w:tc>
          <w:tcPr>
            <w:tcW w:w="1418" w:type="dxa"/>
            <w:tcBorders>
              <w:top w:val="single" w:color="auto" w:sz="6" w:space="0"/>
              <w:left w:val="single" w:color="auto" w:sz="6" w:space="0"/>
              <w:bottom w:val="single" w:color="auto" w:sz="6" w:space="0"/>
              <w:right w:val="single" w:color="auto" w:sz="6" w:space="0"/>
            </w:tcBorders>
            <w:vAlign w:val="center"/>
          </w:tcPr>
          <w:p w14:paraId="1C27D5F8">
            <w:pPr>
              <w:widowControl w:val="0"/>
              <w:jc w:val="center"/>
              <w:rPr>
                <w:rFonts w:ascii="宋体" w:hAnsi="宋体" w:eastAsia="宋体" w:cs="宋体"/>
                <w:szCs w:val="21"/>
              </w:rPr>
            </w:pPr>
            <w:r>
              <w:rPr>
                <w:rFonts w:hint="eastAsia" w:ascii="宋体" w:hAnsi="宋体" w:eastAsia="宋体" w:cs="宋体"/>
                <w:szCs w:val="21"/>
              </w:rPr>
              <w:t>类似项目工作经验</w:t>
            </w:r>
          </w:p>
        </w:tc>
      </w:tr>
      <w:tr w14:paraId="568A0FF5">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7DC8C262">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7DDF3379">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4A4FCC04">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200A7BDC">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309FF754">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619741DD">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6E528DBE">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7DD48E3B">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364B08FC">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6638B7AF">
            <w:pPr>
              <w:widowControl w:val="0"/>
              <w:jc w:val="center"/>
              <w:rPr>
                <w:rFonts w:ascii="宋体" w:hAnsi="宋体" w:eastAsia="宋体" w:cs="宋体"/>
                <w:szCs w:val="21"/>
              </w:rPr>
            </w:pPr>
          </w:p>
        </w:tc>
      </w:tr>
      <w:tr w14:paraId="25CA2C7A">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63D70F05">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31E93CDE">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7C6F29D4">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12778A82">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383886D1">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7BB75BE6">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30311238">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6B511780">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0588DF68">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2908B761">
            <w:pPr>
              <w:widowControl w:val="0"/>
              <w:jc w:val="center"/>
              <w:rPr>
                <w:rFonts w:ascii="宋体" w:hAnsi="宋体" w:eastAsia="宋体" w:cs="宋体"/>
                <w:szCs w:val="21"/>
              </w:rPr>
            </w:pPr>
          </w:p>
        </w:tc>
      </w:tr>
      <w:tr w14:paraId="00227B92">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1C59D750">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6AAC22D8">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5746E685">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163B857D">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28C9EDBC">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3DC34085">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09AD8D7A">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37498E7D">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0CFF4C75">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1574D8DF">
            <w:pPr>
              <w:widowControl w:val="0"/>
              <w:jc w:val="center"/>
              <w:rPr>
                <w:rFonts w:ascii="宋体" w:hAnsi="宋体" w:eastAsia="宋体" w:cs="宋体"/>
                <w:szCs w:val="21"/>
              </w:rPr>
            </w:pPr>
          </w:p>
        </w:tc>
      </w:tr>
      <w:tr w14:paraId="695D0C0D">
        <w:tblPrEx>
          <w:tblCellMar>
            <w:top w:w="57" w:type="dxa"/>
            <w:left w:w="57" w:type="dxa"/>
            <w:bottom w:w="57" w:type="dxa"/>
            <w:right w:w="57" w:type="dxa"/>
          </w:tblCellMar>
        </w:tblPrEx>
        <w:trPr>
          <w:cantSplit/>
          <w:trHeight w:val="567" w:hRule="atLeast"/>
          <w:jc w:val="center"/>
        </w:trPr>
        <w:tc>
          <w:tcPr>
            <w:tcW w:w="589" w:type="dxa"/>
            <w:tcBorders>
              <w:top w:val="single" w:color="auto" w:sz="6" w:space="0"/>
              <w:left w:val="single" w:color="auto" w:sz="6" w:space="0"/>
              <w:bottom w:val="single" w:color="auto" w:sz="4" w:space="0"/>
              <w:right w:val="single" w:color="auto" w:sz="6" w:space="0"/>
            </w:tcBorders>
            <w:vAlign w:val="center"/>
          </w:tcPr>
          <w:p w14:paraId="2B4E9846">
            <w:pPr>
              <w:widowControl w:val="0"/>
              <w:jc w:val="center"/>
              <w:rPr>
                <w:rFonts w:ascii="宋体" w:hAnsi="宋体" w:eastAsia="宋体" w:cs="宋体"/>
                <w:szCs w:val="21"/>
              </w:rPr>
            </w:pPr>
          </w:p>
        </w:tc>
        <w:tc>
          <w:tcPr>
            <w:tcW w:w="1303" w:type="dxa"/>
            <w:tcBorders>
              <w:top w:val="single" w:color="auto" w:sz="6" w:space="0"/>
              <w:left w:val="single" w:color="auto" w:sz="6" w:space="0"/>
              <w:bottom w:val="single" w:color="auto" w:sz="4" w:space="0"/>
              <w:right w:val="single" w:color="auto" w:sz="6" w:space="0"/>
            </w:tcBorders>
            <w:vAlign w:val="center"/>
          </w:tcPr>
          <w:p w14:paraId="61452EC5">
            <w:pPr>
              <w:widowControl w:val="0"/>
              <w:jc w:val="center"/>
              <w:rPr>
                <w:rFonts w:ascii="宋体" w:hAnsi="宋体" w:eastAsia="宋体" w:cs="宋体"/>
                <w:szCs w:val="21"/>
              </w:rPr>
            </w:pPr>
          </w:p>
        </w:tc>
        <w:tc>
          <w:tcPr>
            <w:tcW w:w="709" w:type="dxa"/>
            <w:tcBorders>
              <w:top w:val="single" w:color="auto" w:sz="6" w:space="0"/>
              <w:left w:val="single" w:color="auto" w:sz="6" w:space="0"/>
              <w:bottom w:val="single" w:color="auto" w:sz="4" w:space="0"/>
              <w:right w:val="single" w:color="auto" w:sz="6" w:space="0"/>
            </w:tcBorders>
            <w:vAlign w:val="center"/>
          </w:tcPr>
          <w:p w14:paraId="050DE47F">
            <w:pPr>
              <w:widowControl w:val="0"/>
              <w:jc w:val="center"/>
              <w:rPr>
                <w:rFonts w:ascii="宋体" w:hAnsi="宋体" w:eastAsia="宋体" w:cs="宋体"/>
                <w:szCs w:val="21"/>
              </w:rPr>
            </w:pPr>
          </w:p>
        </w:tc>
        <w:tc>
          <w:tcPr>
            <w:tcW w:w="850" w:type="dxa"/>
            <w:tcBorders>
              <w:top w:val="single" w:color="auto" w:sz="6" w:space="0"/>
              <w:left w:val="single" w:color="auto" w:sz="6" w:space="0"/>
              <w:bottom w:val="single" w:color="auto" w:sz="4" w:space="0"/>
              <w:right w:val="single" w:color="auto" w:sz="6" w:space="0"/>
            </w:tcBorders>
            <w:vAlign w:val="center"/>
          </w:tcPr>
          <w:p w14:paraId="2B0898DF">
            <w:pPr>
              <w:widowControl w:val="0"/>
              <w:jc w:val="center"/>
              <w:rPr>
                <w:rFonts w:ascii="宋体" w:hAnsi="宋体" w:eastAsia="宋体" w:cs="宋体"/>
                <w:szCs w:val="21"/>
              </w:rPr>
            </w:pPr>
          </w:p>
        </w:tc>
        <w:tc>
          <w:tcPr>
            <w:tcW w:w="851" w:type="dxa"/>
            <w:tcBorders>
              <w:top w:val="single" w:color="auto" w:sz="6" w:space="0"/>
              <w:left w:val="single" w:color="auto" w:sz="6" w:space="0"/>
              <w:bottom w:val="single" w:color="auto" w:sz="4" w:space="0"/>
              <w:right w:val="single" w:color="auto" w:sz="6" w:space="0"/>
            </w:tcBorders>
            <w:vAlign w:val="center"/>
          </w:tcPr>
          <w:p w14:paraId="0BDEF23B">
            <w:pPr>
              <w:widowControl w:val="0"/>
              <w:jc w:val="center"/>
              <w:rPr>
                <w:rFonts w:ascii="宋体" w:hAnsi="宋体" w:eastAsia="宋体" w:cs="宋体"/>
                <w:szCs w:val="21"/>
              </w:rPr>
            </w:pPr>
          </w:p>
        </w:tc>
        <w:tc>
          <w:tcPr>
            <w:tcW w:w="992" w:type="dxa"/>
            <w:tcBorders>
              <w:top w:val="single" w:color="auto" w:sz="6" w:space="0"/>
              <w:left w:val="single" w:color="auto" w:sz="6" w:space="0"/>
              <w:bottom w:val="single" w:color="auto" w:sz="4" w:space="0"/>
              <w:right w:val="single" w:color="auto" w:sz="6" w:space="0"/>
            </w:tcBorders>
            <w:vAlign w:val="center"/>
          </w:tcPr>
          <w:p w14:paraId="2512075A">
            <w:pPr>
              <w:widowControl w:val="0"/>
              <w:jc w:val="center"/>
              <w:rPr>
                <w:rFonts w:ascii="宋体" w:hAnsi="宋体" w:eastAsia="宋体" w:cs="宋体"/>
                <w:szCs w:val="21"/>
              </w:rPr>
            </w:pPr>
          </w:p>
        </w:tc>
        <w:tc>
          <w:tcPr>
            <w:tcW w:w="1134" w:type="dxa"/>
            <w:tcBorders>
              <w:top w:val="single" w:color="auto" w:sz="6" w:space="0"/>
              <w:left w:val="single" w:color="auto" w:sz="6" w:space="0"/>
              <w:bottom w:val="single" w:color="auto" w:sz="4" w:space="0"/>
              <w:right w:val="single" w:color="auto" w:sz="4" w:space="0"/>
            </w:tcBorders>
            <w:vAlign w:val="center"/>
          </w:tcPr>
          <w:p w14:paraId="397F7381">
            <w:pPr>
              <w:widowControl w:val="0"/>
              <w:jc w:val="center"/>
              <w:rPr>
                <w:rFonts w:ascii="宋体" w:hAnsi="宋体" w:eastAsia="宋体" w:cs="宋体"/>
                <w:szCs w:val="21"/>
              </w:rPr>
            </w:pPr>
          </w:p>
        </w:tc>
        <w:tc>
          <w:tcPr>
            <w:tcW w:w="851" w:type="dxa"/>
            <w:tcBorders>
              <w:top w:val="single" w:color="auto" w:sz="6" w:space="0"/>
              <w:left w:val="single" w:color="auto" w:sz="4" w:space="0"/>
              <w:bottom w:val="single" w:color="auto" w:sz="4" w:space="0"/>
              <w:right w:val="single" w:color="auto" w:sz="6" w:space="0"/>
            </w:tcBorders>
            <w:vAlign w:val="center"/>
          </w:tcPr>
          <w:p w14:paraId="1E302CC0">
            <w:pPr>
              <w:widowControl w:val="0"/>
              <w:jc w:val="center"/>
              <w:rPr>
                <w:rFonts w:ascii="宋体" w:hAnsi="宋体" w:eastAsia="宋体" w:cs="宋体"/>
                <w:szCs w:val="21"/>
              </w:rPr>
            </w:pPr>
          </w:p>
        </w:tc>
        <w:tc>
          <w:tcPr>
            <w:tcW w:w="1275" w:type="dxa"/>
            <w:tcBorders>
              <w:top w:val="single" w:color="auto" w:sz="6" w:space="0"/>
              <w:left w:val="single" w:color="auto" w:sz="6" w:space="0"/>
              <w:bottom w:val="single" w:color="auto" w:sz="4" w:space="0"/>
              <w:right w:val="single" w:color="auto" w:sz="6" w:space="0"/>
            </w:tcBorders>
            <w:vAlign w:val="center"/>
          </w:tcPr>
          <w:p w14:paraId="22857F46">
            <w:pPr>
              <w:widowControl w:val="0"/>
              <w:jc w:val="center"/>
              <w:rPr>
                <w:rFonts w:ascii="宋体" w:hAnsi="宋体" w:eastAsia="宋体" w:cs="宋体"/>
                <w:szCs w:val="21"/>
              </w:rPr>
            </w:pPr>
          </w:p>
        </w:tc>
        <w:tc>
          <w:tcPr>
            <w:tcW w:w="1418" w:type="dxa"/>
            <w:tcBorders>
              <w:top w:val="single" w:color="auto" w:sz="6" w:space="0"/>
              <w:left w:val="single" w:color="auto" w:sz="6" w:space="0"/>
              <w:bottom w:val="single" w:color="auto" w:sz="4" w:space="0"/>
              <w:right w:val="single" w:color="auto" w:sz="6" w:space="0"/>
            </w:tcBorders>
            <w:vAlign w:val="center"/>
          </w:tcPr>
          <w:p w14:paraId="61D077C2">
            <w:pPr>
              <w:widowControl w:val="0"/>
              <w:jc w:val="center"/>
              <w:rPr>
                <w:rFonts w:ascii="宋体" w:hAnsi="宋体" w:eastAsia="宋体" w:cs="宋体"/>
                <w:szCs w:val="21"/>
              </w:rPr>
            </w:pPr>
          </w:p>
        </w:tc>
      </w:tr>
      <w:tr w14:paraId="17E39568">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4" w:space="0"/>
              <w:right w:val="single" w:color="auto" w:sz="6" w:space="0"/>
            </w:tcBorders>
            <w:vAlign w:val="center"/>
          </w:tcPr>
          <w:p w14:paraId="44167311">
            <w:pPr>
              <w:widowControl w:val="0"/>
              <w:jc w:val="center"/>
              <w:rPr>
                <w:rFonts w:ascii="宋体" w:hAnsi="宋体" w:eastAsia="宋体" w:cs="宋体"/>
                <w:szCs w:val="21"/>
              </w:rPr>
            </w:pPr>
          </w:p>
        </w:tc>
        <w:tc>
          <w:tcPr>
            <w:tcW w:w="1303" w:type="dxa"/>
            <w:tcBorders>
              <w:top w:val="single" w:color="auto" w:sz="4" w:space="0"/>
              <w:left w:val="single" w:color="auto" w:sz="6" w:space="0"/>
              <w:bottom w:val="single" w:color="auto" w:sz="4" w:space="0"/>
              <w:right w:val="single" w:color="auto" w:sz="6" w:space="0"/>
            </w:tcBorders>
            <w:vAlign w:val="center"/>
          </w:tcPr>
          <w:p w14:paraId="1E4F6FCD">
            <w:pPr>
              <w:widowControl w:val="0"/>
              <w:jc w:val="center"/>
              <w:rPr>
                <w:rFonts w:ascii="宋体" w:hAnsi="宋体" w:eastAsia="宋体" w:cs="宋体"/>
                <w:szCs w:val="21"/>
              </w:rPr>
            </w:pPr>
          </w:p>
        </w:tc>
        <w:tc>
          <w:tcPr>
            <w:tcW w:w="709" w:type="dxa"/>
            <w:tcBorders>
              <w:top w:val="single" w:color="auto" w:sz="4" w:space="0"/>
              <w:left w:val="single" w:color="auto" w:sz="6" w:space="0"/>
              <w:bottom w:val="single" w:color="auto" w:sz="4" w:space="0"/>
              <w:right w:val="single" w:color="auto" w:sz="6" w:space="0"/>
            </w:tcBorders>
            <w:vAlign w:val="center"/>
          </w:tcPr>
          <w:p w14:paraId="47B9F21D">
            <w:pPr>
              <w:widowControl w:val="0"/>
              <w:jc w:val="center"/>
              <w:rPr>
                <w:rFonts w:ascii="宋体" w:hAnsi="宋体" w:eastAsia="宋体" w:cs="宋体"/>
                <w:szCs w:val="21"/>
              </w:rPr>
            </w:pPr>
          </w:p>
        </w:tc>
        <w:tc>
          <w:tcPr>
            <w:tcW w:w="850" w:type="dxa"/>
            <w:tcBorders>
              <w:top w:val="single" w:color="auto" w:sz="4" w:space="0"/>
              <w:left w:val="single" w:color="auto" w:sz="6" w:space="0"/>
              <w:bottom w:val="single" w:color="auto" w:sz="4" w:space="0"/>
              <w:right w:val="single" w:color="auto" w:sz="6" w:space="0"/>
            </w:tcBorders>
            <w:vAlign w:val="center"/>
          </w:tcPr>
          <w:p w14:paraId="63E3B7B6">
            <w:pPr>
              <w:widowControl w:val="0"/>
              <w:jc w:val="center"/>
              <w:rPr>
                <w:rFonts w:ascii="宋体" w:hAnsi="宋体" w:eastAsia="宋体" w:cs="宋体"/>
                <w:szCs w:val="21"/>
              </w:rPr>
            </w:pPr>
          </w:p>
        </w:tc>
        <w:tc>
          <w:tcPr>
            <w:tcW w:w="851" w:type="dxa"/>
            <w:tcBorders>
              <w:top w:val="single" w:color="auto" w:sz="4" w:space="0"/>
              <w:left w:val="single" w:color="auto" w:sz="6" w:space="0"/>
              <w:bottom w:val="single" w:color="auto" w:sz="4" w:space="0"/>
              <w:right w:val="single" w:color="auto" w:sz="6" w:space="0"/>
            </w:tcBorders>
            <w:vAlign w:val="center"/>
          </w:tcPr>
          <w:p w14:paraId="1E8332D0">
            <w:pPr>
              <w:widowControl w:val="0"/>
              <w:jc w:val="center"/>
              <w:rPr>
                <w:rFonts w:ascii="宋体" w:hAnsi="宋体" w:eastAsia="宋体" w:cs="宋体"/>
                <w:szCs w:val="21"/>
              </w:rPr>
            </w:pPr>
          </w:p>
        </w:tc>
        <w:tc>
          <w:tcPr>
            <w:tcW w:w="992" w:type="dxa"/>
            <w:tcBorders>
              <w:top w:val="single" w:color="auto" w:sz="4" w:space="0"/>
              <w:left w:val="single" w:color="auto" w:sz="6" w:space="0"/>
              <w:bottom w:val="single" w:color="auto" w:sz="4" w:space="0"/>
              <w:right w:val="single" w:color="auto" w:sz="6" w:space="0"/>
            </w:tcBorders>
            <w:vAlign w:val="center"/>
          </w:tcPr>
          <w:p w14:paraId="4A5A0D90">
            <w:pPr>
              <w:widowControl w:val="0"/>
              <w:jc w:val="center"/>
              <w:rPr>
                <w:rFonts w:ascii="宋体" w:hAnsi="宋体" w:eastAsia="宋体" w:cs="宋体"/>
                <w:szCs w:val="21"/>
              </w:rPr>
            </w:pPr>
          </w:p>
        </w:tc>
        <w:tc>
          <w:tcPr>
            <w:tcW w:w="1134" w:type="dxa"/>
            <w:tcBorders>
              <w:top w:val="single" w:color="auto" w:sz="4" w:space="0"/>
              <w:left w:val="single" w:color="auto" w:sz="6" w:space="0"/>
              <w:bottom w:val="single" w:color="auto" w:sz="4" w:space="0"/>
              <w:right w:val="single" w:color="auto" w:sz="4" w:space="0"/>
            </w:tcBorders>
            <w:vAlign w:val="center"/>
          </w:tcPr>
          <w:p w14:paraId="1B69623A">
            <w:pPr>
              <w:widowControl w:val="0"/>
              <w:jc w:val="center"/>
              <w:rPr>
                <w:rFonts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6" w:space="0"/>
            </w:tcBorders>
            <w:vAlign w:val="center"/>
          </w:tcPr>
          <w:p w14:paraId="7BC82CD7">
            <w:pPr>
              <w:widowControl w:val="0"/>
              <w:jc w:val="center"/>
              <w:rPr>
                <w:rFonts w:ascii="宋体" w:hAnsi="宋体" w:eastAsia="宋体" w:cs="宋体"/>
                <w:szCs w:val="21"/>
              </w:rPr>
            </w:pPr>
          </w:p>
        </w:tc>
        <w:tc>
          <w:tcPr>
            <w:tcW w:w="1275" w:type="dxa"/>
            <w:tcBorders>
              <w:top w:val="single" w:color="auto" w:sz="4" w:space="0"/>
              <w:left w:val="single" w:color="auto" w:sz="6" w:space="0"/>
              <w:bottom w:val="single" w:color="auto" w:sz="4" w:space="0"/>
              <w:right w:val="single" w:color="auto" w:sz="6" w:space="0"/>
            </w:tcBorders>
            <w:vAlign w:val="center"/>
          </w:tcPr>
          <w:p w14:paraId="4D39ADC3">
            <w:pPr>
              <w:widowControl w:val="0"/>
              <w:jc w:val="center"/>
              <w:rPr>
                <w:rFonts w:ascii="宋体" w:hAnsi="宋体" w:eastAsia="宋体" w:cs="宋体"/>
                <w:szCs w:val="21"/>
              </w:rPr>
            </w:pPr>
          </w:p>
        </w:tc>
        <w:tc>
          <w:tcPr>
            <w:tcW w:w="1418" w:type="dxa"/>
            <w:tcBorders>
              <w:top w:val="single" w:color="auto" w:sz="4" w:space="0"/>
              <w:left w:val="single" w:color="auto" w:sz="6" w:space="0"/>
              <w:bottom w:val="single" w:color="auto" w:sz="4" w:space="0"/>
              <w:right w:val="single" w:color="auto" w:sz="6" w:space="0"/>
            </w:tcBorders>
            <w:vAlign w:val="center"/>
          </w:tcPr>
          <w:p w14:paraId="6B54312F">
            <w:pPr>
              <w:widowControl w:val="0"/>
              <w:jc w:val="center"/>
              <w:rPr>
                <w:rFonts w:ascii="宋体" w:hAnsi="宋体" w:eastAsia="宋体" w:cs="宋体"/>
                <w:szCs w:val="21"/>
              </w:rPr>
            </w:pPr>
          </w:p>
        </w:tc>
      </w:tr>
      <w:tr w14:paraId="016FA2E6">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4" w:space="0"/>
              <w:right w:val="single" w:color="auto" w:sz="6" w:space="0"/>
            </w:tcBorders>
            <w:vAlign w:val="center"/>
          </w:tcPr>
          <w:p w14:paraId="5FD1F891">
            <w:pPr>
              <w:widowControl w:val="0"/>
              <w:jc w:val="center"/>
              <w:rPr>
                <w:rFonts w:ascii="宋体" w:hAnsi="宋体" w:eastAsia="宋体" w:cs="宋体"/>
                <w:szCs w:val="21"/>
              </w:rPr>
            </w:pPr>
          </w:p>
        </w:tc>
        <w:tc>
          <w:tcPr>
            <w:tcW w:w="1303" w:type="dxa"/>
            <w:tcBorders>
              <w:top w:val="single" w:color="auto" w:sz="4" w:space="0"/>
              <w:left w:val="single" w:color="auto" w:sz="6" w:space="0"/>
              <w:bottom w:val="single" w:color="auto" w:sz="4" w:space="0"/>
              <w:right w:val="single" w:color="auto" w:sz="6" w:space="0"/>
            </w:tcBorders>
            <w:vAlign w:val="center"/>
          </w:tcPr>
          <w:p w14:paraId="5C12C0C7">
            <w:pPr>
              <w:widowControl w:val="0"/>
              <w:jc w:val="center"/>
              <w:rPr>
                <w:rFonts w:ascii="宋体" w:hAnsi="宋体" w:eastAsia="宋体" w:cs="宋体"/>
                <w:szCs w:val="21"/>
              </w:rPr>
            </w:pPr>
          </w:p>
        </w:tc>
        <w:tc>
          <w:tcPr>
            <w:tcW w:w="709" w:type="dxa"/>
            <w:tcBorders>
              <w:top w:val="single" w:color="auto" w:sz="4" w:space="0"/>
              <w:left w:val="single" w:color="auto" w:sz="6" w:space="0"/>
              <w:bottom w:val="single" w:color="auto" w:sz="4" w:space="0"/>
              <w:right w:val="single" w:color="auto" w:sz="6" w:space="0"/>
            </w:tcBorders>
            <w:vAlign w:val="center"/>
          </w:tcPr>
          <w:p w14:paraId="4B6FDBB0">
            <w:pPr>
              <w:widowControl w:val="0"/>
              <w:jc w:val="center"/>
              <w:rPr>
                <w:rFonts w:ascii="宋体" w:hAnsi="宋体" w:eastAsia="宋体" w:cs="宋体"/>
                <w:szCs w:val="21"/>
              </w:rPr>
            </w:pPr>
          </w:p>
        </w:tc>
        <w:tc>
          <w:tcPr>
            <w:tcW w:w="850" w:type="dxa"/>
            <w:tcBorders>
              <w:top w:val="single" w:color="auto" w:sz="4" w:space="0"/>
              <w:left w:val="single" w:color="auto" w:sz="6" w:space="0"/>
              <w:bottom w:val="single" w:color="auto" w:sz="4" w:space="0"/>
              <w:right w:val="single" w:color="auto" w:sz="6" w:space="0"/>
            </w:tcBorders>
            <w:vAlign w:val="center"/>
          </w:tcPr>
          <w:p w14:paraId="7C6D9790">
            <w:pPr>
              <w:widowControl w:val="0"/>
              <w:jc w:val="center"/>
              <w:rPr>
                <w:rFonts w:ascii="宋体" w:hAnsi="宋体" w:eastAsia="宋体" w:cs="宋体"/>
                <w:szCs w:val="21"/>
              </w:rPr>
            </w:pPr>
          </w:p>
        </w:tc>
        <w:tc>
          <w:tcPr>
            <w:tcW w:w="851" w:type="dxa"/>
            <w:tcBorders>
              <w:top w:val="single" w:color="auto" w:sz="4" w:space="0"/>
              <w:left w:val="single" w:color="auto" w:sz="6" w:space="0"/>
              <w:bottom w:val="single" w:color="auto" w:sz="4" w:space="0"/>
              <w:right w:val="single" w:color="auto" w:sz="6" w:space="0"/>
            </w:tcBorders>
            <w:vAlign w:val="center"/>
          </w:tcPr>
          <w:p w14:paraId="4C4D0FCC">
            <w:pPr>
              <w:widowControl w:val="0"/>
              <w:jc w:val="center"/>
              <w:rPr>
                <w:rFonts w:ascii="宋体" w:hAnsi="宋体" w:eastAsia="宋体" w:cs="宋体"/>
                <w:szCs w:val="21"/>
              </w:rPr>
            </w:pPr>
          </w:p>
        </w:tc>
        <w:tc>
          <w:tcPr>
            <w:tcW w:w="992" w:type="dxa"/>
            <w:tcBorders>
              <w:top w:val="single" w:color="auto" w:sz="4" w:space="0"/>
              <w:left w:val="single" w:color="auto" w:sz="6" w:space="0"/>
              <w:bottom w:val="single" w:color="auto" w:sz="4" w:space="0"/>
              <w:right w:val="single" w:color="auto" w:sz="6" w:space="0"/>
            </w:tcBorders>
            <w:vAlign w:val="center"/>
          </w:tcPr>
          <w:p w14:paraId="75FD297B">
            <w:pPr>
              <w:widowControl w:val="0"/>
              <w:jc w:val="center"/>
              <w:rPr>
                <w:rFonts w:ascii="宋体" w:hAnsi="宋体" w:eastAsia="宋体" w:cs="宋体"/>
                <w:szCs w:val="21"/>
              </w:rPr>
            </w:pPr>
          </w:p>
        </w:tc>
        <w:tc>
          <w:tcPr>
            <w:tcW w:w="1134" w:type="dxa"/>
            <w:tcBorders>
              <w:top w:val="single" w:color="auto" w:sz="4" w:space="0"/>
              <w:left w:val="single" w:color="auto" w:sz="6" w:space="0"/>
              <w:bottom w:val="single" w:color="auto" w:sz="4" w:space="0"/>
              <w:right w:val="single" w:color="auto" w:sz="4" w:space="0"/>
            </w:tcBorders>
            <w:vAlign w:val="center"/>
          </w:tcPr>
          <w:p w14:paraId="6A1FF52D">
            <w:pPr>
              <w:widowControl w:val="0"/>
              <w:jc w:val="center"/>
              <w:rPr>
                <w:rFonts w:ascii="宋体" w:hAnsi="宋体" w:eastAsia="宋体" w:cs="宋体"/>
                <w:szCs w:val="21"/>
              </w:rPr>
            </w:pPr>
          </w:p>
        </w:tc>
        <w:tc>
          <w:tcPr>
            <w:tcW w:w="851" w:type="dxa"/>
            <w:tcBorders>
              <w:top w:val="single" w:color="auto" w:sz="4" w:space="0"/>
              <w:left w:val="single" w:color="auto" w:sz="4" w:space="0"/>
              <w:bottom w:val="single" w:color="auto" w:sz="4" w:space="0"/>
              <w:right w:val="single" w:color="auto" w:sz="6" w:space="0"/>
            </w:tcBorders>
            <w:vAlign w:val="center"/>
          </w:tcPr>
          <w:p w14:paraId="7ABAD31E">
            <w:pPr>
              <w:widowControl w:val="0"/>
              <w:jc w:val="center"/>
              <w:rPr>
                <w:rFonts w:ascii="宋体" w:hAnsi="宋体" w:eastAsia="宋体" w:cs="宋体"/>
                <w:szCs w:val="21"/>
              </w:rPr>
            </w:pPr>
          </w:p>
        </w:tc>
        <w:tc>
          <w:tcPr>
            <w:tcW w:w="1275" w:type="dxa"/>
            <w:tcBorders>
              <w:top w:val="single" w:color="auto" w:sz="4" w:space="0"/>
              <w:left w:val="single" w:color="auto" w:sz="6" w:space="0"/>
              <w:bottom w:val="single" w:color="auto" w:sz="4" w:space="0"/>
              <w:right w:val="single" w:color="auto" w:sz="6" w:space="0"/>
            </w:tcBorders>
            <w:vAlign w:val="center"/>
          </w:tcPr>
          <w:p w14:paraId="082B2ABA">
            <w:pPr>
              <w:widowControl w:val="0"/>
              <w:jc w:val="center"/>
              <w:rPr>
                <w:rFonts w:ascii="宋体" w:hAnsi="宋体" w:eastAsia="宋体" w:cs="宋体"/>
                <w:szCs w:val="21"/>
              </w:rPr>
            </w:pPr>
          </w:p>
        </w:tc>
        <w:tc>
          <w:tcPr>
            <w:tcW w:w="1418" w:type="dxa"/>
            <w:tcBorders>
              <w:top w:val="single" w:color="auto" w:sz="4" w:space="0"/>
              <w:left w:val="single" w:color="auto" w:sz="6" w:space="0"/>
              <w:bottom w:val="single" w:color="auto" w:sz="4" w:space="0"/>
              <w:right w:val="single" w:color="auto" w:sz="6" w:space="0"/>
            </w:tcBorders>
            <w:vAlign w:val="center"/>
          </w:tcPr>
          <w:p w14:paraId="666C0549">
            <w:pPr>
              <w:widowControl w:val="0"/>
              <w:jc w:val="center"/>
              <w:rPr>
                <w:rFonts w:ascii="宋体" w:hAnsi="宋体" w:eastAsia="宋体" w:cs="宋体"/>
                <w:szCs w:val="21"/>
              </w:rPr>
            </w:pPr>
          </w:p>
        </w:tc>
      </w:tr>
      <w:tr w14:paraId="4C094B11">
        <w:tblPrEx>
          <w:tblCellMar>
            <w:top w:w="57" w:type="dxa"/>
            <w:left w:w="57" w:type="dxa"/>
            <w:bottom w:w="57" w:type="dxa"/>
            <w:right w:w="57" w:type="dxa"/>
          </w:tblCellMar>
        </w:tblPrEx>
        <w:trPr>
          <w:cantSplit/>
          <w:trHeight w:val="567" w:hRule="atLeast"/>
          <w:jc w:val="center"/>
        </w:trPr>
        <w:tc>
          <w:tcPr>
            <w:tcW w:w="589" w:type="dxa"/>
            <w:tcBorders>
              <w:top w:val="single" w:color="auto" w:sz="4" w:space="0"/>
              <w:left w:val="single" w:color="auto" w:sz="6" w:space="0"/>
              <w:bottom w:val="single" w:color="auto" w:sz="6" w:space="0"/>
              <w:right w:val="single" w:color="auto" w:sz="6" w:space="0"/>
            </w:tcBorders>
            <w:vAlign w:val="center"/>
          </w:tcPr>
          <w:p w14:paraId="7CADA421">
            <w:pPr>
              <w:widowControl w:val="0"/>
              <w:jc w:val="center"/>
              <w:rPr>
                <w:rFonts w:ascii="宋体" w:hAnsi="宋体" w:eastAsia="宋体" w:cs="宋体"/>
                <w:szCs w:val="21"/>
              </w:rPr>
            </w:pPr>
          </w:p>
        </w:tc>
        <w:tc>
          <w:tcPr>
            <w:tcW w:w="1303" w:type="dxa"/>
            <w:tcBorders>
              <w:top w:val="single" w:color="auto" w:sz="4" w:space="0"/>
              <w:left w:val="single" w:color="auto" w:sz="6" w:space="0"/>
              <w:bottom w:val="single" w:color="auto" w:sz="6" w:space="0"/>
              <w:right w:val="single" w:color="auto" w:sz="6" w:space="0"/>
            </w:tcBorders>
            <w:vAlign w:val="center"/>
          </w:tcPr>
          <w:p w14:paraId="6B87BF35">
            <w:pPr>
              <w:widowControl w:val="0"/>
              <w:jc w:val="center"/>
              <w:rPr>
                <w:rFonts w:ascii="宋体" w:hAnsi="宋体" w:eastAsia="宋体" w:cs="宋体"/>
                <w:szCs w:val="21"/>
              </w:rPr>
            </w:pPr>
          </w:p>
        </w:tc>
        <w:tc>
          <w:tcPr>
            <w:tcW w:w="709" w:type="dxa"/>
            <w:tcBorders>
              <w:top w:val="single" w:color="auto" w:sz="4" w:space="0"/>
              <w:left w:val="single" w:color="auto" w:sz="6" w:space="0"/>
              <w:bottom w:val="single" w:color="auto" w:sz="6" w:space="0"/>
              <w:right w:val="single" w:color="auto" w:sz="6" w:space="0"/>
            </w:tcBorders>
            <w:vAlign w:val="center"/>
          </w:tcPr>
          <w:p w14:paraId="38BCC465">
            <w:pPr>
              <w:widowControl w:val="0"/>
              <w:jc w:val="center"/>
              <w:rPr>
                <w:rFonts w:ascii="宋体" w:hAnsi="宋体" w:eastAsia="宋体" w:cs="宋体"/>
                <w:szCs w:val="21"/>
              </w:rPr>
            </w:pPr>
          </w:p>
        </w:tc>
        <w:tc>
          <w:tcPr>
            <w:tcW w:w="850" w:type="dxa"/>
            <w:tcBorders>
              <w:top w:val="single" w:color="auto" w:sz="4" w:space="0"/>
              <w:left w:val="single" w:color="auto" w:sz="6" w:space="0"/>
              <w:bottom w:val="single" w:color="auto" w:sz="6" w:space="0"/>
              <w:right w:val="single" w:color="auto" w:sz="6" w:space="0"/>
            </w:tcBorders>
            <w:vAlign w:val="center"/>
          </w:tcPr>
          <w:p w14:paraId="385516EC">
            <w:pPr>
              <w:widowControl w:val="0"/>
              <w:jc w:val="center"/>
              <w:rPr>
                <w:rFonts w:ascii="宋体" w:hAnsi="宋体" w:eastAsia="宋体" w:cs="宋体"/>
                <w:szCs w:val="21"/>
              </w:rPr>
            </w:pPr>
          </w:p>
        </w:tc>
        <w:tc>
          <w:tcPr>
            <w:tcW w:w="851" w:type="dxa"/>
            <w:tcBorders>
              <w:top w:val="single" w:color="auto" w:sz="4" w:space="0"/>
              <w:left w:val="single" w:color="auto" w:sz="6" w:space="0"/>
              <w:bottom w:val="single" w:color="auto" w:sz="6" w:space="0"/>
              <w:right w:val="single" w:color="auto" w:sz="6" w:space="0"/>
            </w:tcBorders>
            <w:vAlign w:val="center"/>
          </w:tcPr>
          <w:p w14:paraId="11F22DFD">
            <w:pPr>
              <w:widowControl w:val="0"/>
              <w:jc w:val="center"/>
              <w:rPr>
                <w:rFonts w:ascii="宋体" w:hAnsi="宋体" w:eastAsia="宋体" w:cs="宋体"/>
                <w:szCs w:val="21"/>
              </w:rPr>
            </w:pPr>
          </w:p>
        </w:tc>
        <w:tc>
          <w:tcPr>
            <w:tcW w:w="992" w:type="dxa"/>
            <w:tcBorders>
              <w:top w:val="single" w:color="auto" w:sz="4" w:space="0"/>
              <w:left w:val="single" w:color="auto" w:sz="6" w:space="0"/>
              <w:bottom w:val="single" w:color="auto" w:sz="6" w:space="0"/>
              <w:right w:val="single" w:color="auto" w:sz="6" w:space="0"/>
            </w:tcBorders>
            <w:vAlign w:val="center"/>
          </w:tcPr>
          <w:p w14:paraId="44A0B29A">
            <w:pPr>
              <w:widowControl w:val="0"/>
              <w:jc w:val="center"/>
              <w:rPr>
                <w:rFonts w:ascii="宋体" w:hAnsi="宋体" w:eastAsia="宋体" w:cs="宋体"/>
                <w:szCs w:val="21"/>
              </w:rPr>
            </w:pPr>
          </w:p>
        </w:tc>
        <w:tc>
          <w:tcPr>
            <w:tcW w:w="1134" w:type="dxa"/>
            <w:tcBorders>
              <w:top w:val="single" w:color="auto" w:sz="4" w:space="0"/>
              <w:left w:val="single" w:color="auto" w:sz="6" w:space="0"/>
              <w:bottom w:val="single" w:color="auto" w:sz="6" w:space="0"/>
              <w:right w:val="single" w:color="auto" w:sz="4" w:space="0"/>
            </w:tcBorders>
            <w:vAlign w:val="center"/>
          </w:tcPr>
          <w:p w14:paraId="71B02968">
            <w:pPr>
              <w:widowControl w:val="0"/>
              <w:jc w:val="center"/>
              <w:rPr>
                <w:rFonts w:ascii="宋体" w:hAnsi="宋体" w:eastAsia="宋体" w:cs="宋体"/>
                <w:szCs w:val="21"/>
              </w:rPr>
            </w:pPr>
          </w:p>
        </w:tc>
        <w:tc>
          <w:tcPr>
            <w:tcW w:w="851" w:type="dxa"/>
            <w:tcBorders>
              <w:top w:val="single" w:color="auto" w:sz="4" w:space="0"/>
              <w:left w:val="single" w:color="auto" w:sz="4" w:space="0"/>
              <w:bottom w:val="single" w:color="auto" w:sz="6" w:space="0"/>
              <w:right w:val="single" w:color="auto" w:sz="6" w:space="0"/>
            </w:tcBorders>
            <w:vAlign w:val="center"/>
          </w:tcPr>
          <w:p w14:paraId="2114487F">
            <w:pPr>
              <w:widowControl w:val="0"/>
              <w:jc w:val="center"/>
              <w:rPr>
                <w:rFonts w:ascii="宋体" w:hAnsi="宋体" w:eastAsia="宋体" w:cs="宋体"/>
                <w:szCs w:val="21"/>
              </w:rPr>
            </w:pPr>
          </w:p>
        </w:tc>
        <w:tc>
          <w:tcPr>
            <w:tcW w:w="1275" w:type="dxa"/>
            <w:tcBorders>
              <w:top w:val="single" w:color="auto" w:sz="4" w:space="0"/>
              <w:left w:val="single" w:color="auto" w:sz="6" w:space="0"/>
              <w:bottom w:val="single" w:color="auto" w:sz="6" w:space="0"/>
              <w:right w:val="single" w:color="auto" w:sz="6" w:space="0"/>
            </w:tcBorders>
            <w:vAlign w:val="center"/>
          </w:tcPr>
          <w:p w14:paraId="02146D3A">
            <w:pPr>
              <w:widowControl w:val="0"/>
              <w:jc w:val="center"/>
              <w:rPr>
                <w:rFonts w:ascii="宋体" w:hAnsi="宋体" w:eastAsia="宋体" w:cs="宋体"/>
                <w:szCs w:val="21"/>
              </w:rPr>
            </w:pPr>
          </w:p>
        </w:tc>
        <w:tc>
          <w:tcPr>
            <w:tcW w:w="1418" w:type="dxa"/>
            <w:tcBorders>
              <w:top w:val="single" w:color="auto" w:sz="4" w:space="0"/>
              <w:left w:val="single" w:color="auto" w:sz="6" w:space="0"/>
              <w:bottom w:val="single" w:color="auto" w:sz="6" w:space="0"/>
              <w:right w:val="single" w:color="auto" w:sz="6" w:space="0"/>
            </w:tcBorders>
            <w:vAlign w:val="center"/>
          </w:tcPr>
          <w:p w14:paraId="47EE4233">
            <w:pPr>
              <w:widowControl w:val="0"/>
              <w:jc w:val="center"/>
              <w:rPr>
                <w:rFonts w:ascii="宋体" w:hAnsi="宋体" w:eastAsia="宋体" w:cs="宋体"/>
                <w:szCs w:val="21"/>
              </w:rPr>
            </w:pPr>
          </w:p>
        </w:tc>
      </w:tr>
    </w:tbl>
    <w:p w14:paraId="3253B12C">
      <w:pPr>
        <w:widowControl w:val="0"/>
        <w:spacing w:line="360" w:lineRule="auto"/>
        <w:ind w:firstLine="426" w:firstLineChars="202"/>
        <w:jc w:val="both"/>
        <w:rPr>
          <w:rFonts w:ascii="宋体" w:hAnsi="宋体" w:eastAsia="宋体" w:cs="宋体"/>
          <w:b/>
          <w:szCs w:val="21"/>
        </w:rPr>
      </w:pPr>
    </w:p>
    <w:p w14:paraId="08D29D06">
      <w:pPr>
        <w:widowControl w:val="0"/>
        <w:spacing w:line="360" w:lineRule="auto"/>
        <w:jc w:val="both"/>
        <w:rPr>
          <w:rFonts w:ascii="宋体" w:hAnsi="宋体" w:eastAsia="宋体" w:cs="宋体"/>
          <w:szCs w:val="21"/>
        </w:rPr>
      </w:pPr>
    </w:p>
    <w:p w14:paraId="1B836D67">
      <w:pPr>
        <w:widowControl w:val="0"/>
        <w:spacing w:line="360" w:lineRule="auto"/>
        <w:ind w:left="424" w:leftChars="202"/>
        <w:jc w:val="both"/>
        <w:rPr>
          <w:rFonts w:ascii="宋体" w:hAnsi="宋体" w:eastAsia="宋体" w:cs="宋体"/>
          <w:szCs w:val="21"/>
        </w:rPr>
      </w:pPr>
      <w:r>
        <w:rPr>
          <w:rFonts w:hint="eastAsia" w:ascii="宋体" w:hAnsi="宋体" w:eastAsia="宋体" w:cs="宋体"/>
          <w:szCs w:val="21"/>
        </w:rPr>
        <w:t xml:space="preserve">投标人名称：（加盖公章）  </w:t>
      </w:r>
    </w:p>
    <w:p w14:paraId="719486CB">
      <w:pPr>
        <w:widowControl w:val="0"/>
        <w:spacing w:line="360" w:lineRule="auto"/>
        <w:ind w:left="424" w:leftChars="202"/>
        <w:jc w:val="both"/>
        <w:rPr>
          <w:rFonts w:ascii="宋体" w:hAnsi="宋体" w:eastAsia="宋体" w:cs="宋体"/>
          <w:szCs w:val="21"/>
          <w:u w:val="single"/>
        </w:rPr>
      </w:pPr>
      <w:r>
        <w:rPr>
          <w:rFonts w:hint="eastAsia" w:ascii="宋体" w:hAnsi="宋体" w:eastAsia="宋体" w:cs="宋体"/>
          <w:spacing w:val="-4"/>
          <w:szCs w:val="21"/>
        </w:rPr>
        <w:t>投标人代表</w:t>
      </w:r>
      <w:r>
        <w:rPr>
          <w:rFonts w:hint="eastAsia" w:ascii="宋体" w:hAnsi="宋体" w:eastAsia="宋体" w:cs="宋体"/>
          <w:szCs w:val="21"/>
        </w:rPr>
        <w:t>：（签字）</w:t>
      </w:r>
    </w:p>
    <w:p w14:paraId="5C5A5C17">
      <w:pPr>
        <w:widowControl w:val="0"/>
        <w:spacing w:line="360" w:lineRule="auto"/>
        <w:ind w:left="424" w:leftChars="202"/>
        <w:jc w:val="both"/>
        <w:rPr>
          <w:rFonts w:ascii="宋体" w:hAnsi="宋体" w:eastAsia="宋体" w:cs="宋体"/>
          <w:spacing w:val="20"/>
          <w:szCs w:val="21"/>
        </w:rPr>
      </w:pPr>
      <w:r>
        <w:rPr>
          <w:rFonts w:hint="eastAsia" w:ascii="宋体" w:hAnsi="宋体" w:eastAsia="宋体" w:cs="宋体"/>
          <w:spacing w:val="20"/>
          <w:szCs w:val="21"/>
        </w:rPr>
        <w:t>日期：年月日</w:t>
      </w:r>
    </w:p>
    <w:p w14:paraId="1000593E">
      <w:pPr>
        <w:widowControl/>
        <w:jc w:val="center"/>
        <w:rPr>
          <w:rFonts w:ascii="宋体" w:hAnsi="宋体" w:eastAsia="宋体" w:cs="Times New Roman"/>
          <w:b/>
          <w:sz w:val="32"/>
        </w:rPr>
      </w:pPr>
    </w:p>
    <w:p w14:paraId="14BB28DF">
      <w:pPr>
        <w:widowControl w:val="0"/>
        <w:spacing w:after="120"/>
        <w:jc w:val="both"/>
        <w:rPr>
          <w:rFonts w:ascii="宋体" w:hAnsi="宋体" w:eastAsia="宋体" w:cs="Times New Roman"/>
          <w:b/>
          <w:sz w:val="32"/>
        </w:rPr>
      </w:pPr>
    </w:p>
    <w:p w14:paraId="606FA16C">
      <w:pPr>
        <w:widowControl w:val="0"/>
        <w:spacing w:after="120"/>
        <w:jc w:val="both"/>
        <w:rPr>
          <w:rFonts w:ascii="宋体" w:hAnsi="宋体" w:eastAsia="宋体" w:cs="Times New Roman"/>
          <w:b/>
          <w:sz w:val="32"/>
        </w:rPr>
      </w:pPr>
    </w:p>
    <w:p w14:paraId="16792297">
      <w:pPr>
        <w:widowControl w:val="0"/>
        <w:spacing w:after="120"/>
        <w:jc w:val="both"/>
        <w:rPr>
          <w:rFonts w:ascii="宋体" w:hAnsi="宋体" w:eastAsia="宋体" w:cs="Times New Roman"/>
          <w:b/>
          <w:sz w:val="32"/>
        </w:rPr>
      </w:pPr>
    </w:p>
    <w:p w14:paraId="11802019">
      <w:pPr>
        <w:widowControl w:val="0"/>
        <w:spacing w:after="120"/>
        <w:jc w:val="both"/>
        <w:rPr>
          <w:rFonts w:ascii="宋体" w:hAnsi="宋体" w:eastAsia="宋体" w:cs="Times New Roman"/>
          <w:b/>
          <w:sz w:val="32"/>
        </w:rPr>
      </w:pPr>
    </w:p>
    <w:p w14:paraId="6130C8FB">
      <w:pPr>
        <w:widowControl w:val="0"/>
        <w:spacing w:after="120"/>
        <w:jc w:val="both"/>
        <w:rPr>
          <w:rFonts w:ascii="宋体" w:hAnsi="宋体" w:eastAsia="宋体" w:cs="Times New Roman"/>
          <w:b/>
          <w:sz w:val="32"/>
        </w:rPr>
      </w:pPr>
    </w:p>
    <w:p w14:paraId="0E5285AB">
      <w:pPr>
        <w:widowControl w:val="0"/>
        <w:spacing w:after="120"/>
        <w:jc w:val="both"/>
        <w:rPr>
          <w:rFonts w:ascii="宋体" w:hAnsi="宋体" w:eastAsia="宋体" w:cs="Times New Roman"/>
          <w:b/>
          <w:sz w:val="32"/>
        </w:rPr>
      </w:pPr>
      <w:r>
        <w:rPr>
          <w:rFonts w:hint="eastAsia" w:ascii="宋体" w:hAnsi="宋体" w:eastAsia="宋体" w:cs="Times New Roman"/>
          <w:b/>
          <w:sz w:val="32"/>
        </w:rPr>
        <w:t>十</w:t>
      </w:r>
      <w:r>
        <w:rPr>
          <w:rFonts w:hint="eastAsia" w:ascii="宋体" w:hAnsi="宋体" w:eastAsia="宋体" w:cs="Times New Roman"/>
          <w:b/>
          <w:sz w:val="32"/>
          <w:lang w:val="en-US" w:eastAsia="zh-CN"/>
        </w:rPr>
        <w:t>二</w:t>
      </w:r>
      <w:r>
        <w:rPr>
          <w:rFonts w:hint="eastAsia" w:ascii="宋体" w:hAnsi="宋体" w:eastAsia="宋体" w:cs="Times New Roman"/>
          <w:b/>
          <w:sz w:val="32"/>
        </w:rPr>
        <w:t>、政府采购活动现场确认声明书</w:t>
      </w:r>
    </w:p>
    <w:p w14:paraId="360185EC">
      <w:pPr>
        <w:widowControl w:val="0"/>
        <w:adjustRightInd w:val="0"/>
        <w:snapToGrid w:val="0"/>
        <w:spacing w:beforeLines="50" w:afterLines="50" w:line="440" w:lineRule="exact"/>
        <w:ind w:left="369" w:firstLine="222"/>
        <w:jc w:val="both"/>
        <w:textAlignment w:val="baseline"/>
        <w:rPr>
          <w:rFonts w:ascii="宋体" w:hAnsi="宋体" w:eastAsia="宋体" w:cs="宋体"/>
          <w:color w:val="000000"/>
          <w:spacing w:val="6"/>
          <w:szCs w:val="21"/>
        </w:rPr>
      </w:pPr>
      <w:r>
        <w:rPr>
          <w:rFonts w:hint="eastAsia" w:ascii="宋体" w:hAnsi="宋体" w:eastAsia="宋体" w:cs="宋体"/>
          <w:color w:val="000000"/>
          <w:spacing w:val="6"/>
          <w:szCs w:val="21"/>
        </w:rPr>
        <w:t>舟山建银工程造价审查中心有限公司：</w:t>
      </w:r>
    </w:p>
    <w:p w14:paraId="3E970992">
      <w:pPr>
        <w:widowControl/>
        <w:numPr>
          <w:ilvl w:val="0"/>
          <w:numId w:val="8"/>
        </w:numPr>
        <w:wordWrap w:val="0"/>
        <w:adjustRightInd w:val="0"/>
        <w:snapToGrid w:val="0"/>
        <w:spacing w:line="440" w:lineRule="exact"/>
        <w:ind w:left="369" w:firstLine="419" w:firstLineChars="189"/>
        <w:jc w:val="both"/>
        <w:textAlignment w:val="baseline"/>
        <w:rPr>
          <w:rFonts w:ascii="宋体" w:hAnsi="宋体" w:eastAsia="宋体" w:cs="宋体"/>
          <w:color w:val="000000"/>
          <w:kern w:val="0"/>
          <w:szCs w:val="20"/>
        </w:rPr>
      </w:pPr>
      <w:r>
        <w:rPr>
          <w:rFonts w:hint="eastAsia" w:ascii="宋体" w:hAnsi="宋体" w:eastAsia="宋体" w:cs="宋体"/>
          <w:color w:val="000000"/>
          <w:spacing w:val="6"/>
          <w:szCs w:val="20"/>
        </w:rPr>
        <w:t>本人（法定代表人姓名），参加</w:t>
      </w:r>
      <w:r>
        <w:rPr>
          <w:rFonts w:hint="eastAsia" w:ascii="宋体" w:hAnsi="宋体" w:eastAsia="宋体" w:cs="宋体"/>
          <w:color w:val="000000"/>
          <w:szCs w:val="20"/>
          <w:u w:val="single"/>
        </w:rPr>
        <w:t>《                》</w:t>
      </w:r>
      <w:r>
        <w:rPr>
          <w:rFonts w:hint="eastAsia" w:ascii="宋体" w:hAnsi="宋体" w:eastAsia="宋体" w:cs="宋体"/>
          <w:color w:val="000000"/>
          <w:spacing w:val="6"/>
          <w:szCs w:val="20"/>
          <w:u w:val="single"/>
        </w:rPr>
        <w:t>（编号：   ）</w:t>
      </w:r>
      <w:r>
        <w:rPr>
          <w:rFonts w:hint="eastAsia" w:ascii="宋体" w:hAnsi="宋体" w:eastAsia="宋体" w:cs="宋体"/>
          <w:color w:val="000000"/>
          <w:spacing w:val="6"/>
          <w:szCs w:val="20"/>
        </w:rPr>
        <w:t>政府采购活动，经确认，现就有关公平竞争事项郑重声明如下：</w:t>
      </w:r>
      <w:r>
        <w:rPr>
          <w:rFonts w:hint="eastAsia" w:ascii="宋体" w:hAnsi="宋体" w:eastAsia="宋体" w:cs="宋体"/>
          <w:color w:val="000000"/>
          <w:kern w:val="0"/>
          <w:szCs w:val="20"/>
        </w:rPr>
        <w:t>本单位与采购人之间 □不存在利害关系 □存在下列利害关系：</w:t>
      </w:r>
    </w:p>
    <w:p w14:paraId="0EF3875A">
      <w:pPr>
        <w:widowControl/>
        <w:wordWrap w:val="0"/>
        <w:adjustRightInd w:val="0"/>
        <w:snapToGrid w:val="0"/>
        <w:spacing w:line="440" w:lineRule="exact"/>
        <w:ind w:left="369" w:firstLine="420" w:firstLineChars="200"/>
        <w:jc w:val="both"/>
        <w:textAlignment w:val="baseline"/>
        <w:rPr>
          <w:rFonts w:ascii="宋体" w:hAnsi="宋体" w:eastAsia="宋体" w:cs="宋体"/>
          <w:color w:val="000000"/>
          <w:kern w:val="0"/>
          <w:szCs w:val="20"/>
        </w:rPr>
      </w:pPr>
      <w:r>
        <w:rPr>
          <w:rFonts w:hint="eastAsia" w:ascii="宋体" w:hAnsi="宋体" w:eastAsia="宋体" w:cs="宋体"/>
          <w:color w:val="000000"/>
          <w:kern w:val="0"/>
          <w:szCs w:val="20"/>
        </w:rPr>
        <w:t xml:space="preserve">  A.投资关系    B.行政隶属关系    C.业务指导关系</w:t>
      </w:r>
    </w:p>
    <w:p w14:paraId="437192DC">
      <w:pPr>
        <w:widowControl/>
        <w:wordWrap w:val="0"/>
        <w:adjustRightInd w:val="0"/>
        <w:snapToGrid w:val="0"/>
        <w:spacing w:line="440" w:lineRule="exact"/>
        <w:ind w:left="369" w:firstLine="420" w:firstLineChars="200"/>
        <w:jc w:val="both"/>
        <w:textAlignment w:val="baseline"/>
        <w:rPr>
          <w:rFonts w:ascii="宋体" w:hAnsi="宋体" w:eastAsia="宋体" w:cs="宋体"/>
          <w:color w:val="000000"/>
          <w:kern w:val="0"/>
          <w:szCs w:val="20"/>
        </w:rPr>
      </w:pPr>
      <w:r>
        <w:rPr>
          <w:rFonts w:hint="eastAsia" w:ascii="宋体" w:hAnsi="宋体" w:eastAsia="宋体" w:cs="宋体"/>
          <w:color w:val="000000"/>
          <w:kern w:val="0"/>
          <w:szCs w:val="20"/>
        </w:rPr>
        <w:t xml:space="preserve">  D.其他可能</w:t>
      </w:r>
      <w:r>
        <w:rPr>
          <w:rFonts w:hint="eastAsia" w:ascii="宋体" w:hAnsi="宋体" w:eastAsia="宋体" w:cs="宋体"/>
          <w:color w:val="000000"/>
          <w:szCs w:val="20"/>
        </w:rPr>
        <w:t>影响采购公正的</w:t>
      </w:r>
      <w:r>
        <w:rPr>
          <w:rFonts w:hint="eastAsia" w:ascii="宋体" w:hAnsi="宋体" w:eastAsia="宋体" w:cs="宋体"/>
          <w:color w:val="000000"/>
          <w:kern w:val="0"/>
          <w:szCs w:val="20"/>
        </w:rPr>
        <w:t>利害关系（如有，请如实说明） 。</w:t>
      </w:r>
    </w:p>
    <w:p w14:paraId="42831A3B">
      <w:pPr>
        <w:widowControl/>
        <w:numPr>
          <w:ilvl w:val="0"/>
          <w:numId w:val="8"/>
        </w:numPr>
        <w:wordWrap w:val="0"/>
        <w:adjustRightInd w:val="0"/>
        <w:snapToGrid w:val="0"/>
        <w:spacing w:line="440" w:lineRule="exact"/>
        <w:ind w:left="369" w:firstLine="396" w:firstLineChars="189"/>
        <w:jc w:val="both"/>
        <w:textAlignment w:val="baseline"/>
        <w:rPr>
          <w:rFonts w:ascii="宋体" w:hAnsi="宋体" w:eastAsia="宋体" w:cs="宋体"/>
          <w:color w:val="000000"/>
          <w:kern w:val="0"/>
          <w:szCs w:val="20"/>
        </w:rPr>
      </w:pPr>
      <w:r>
        <w:rPr>
          <w:rFonts w:hint="eastAsia" w:ascii="宋体" w:hAnsi="宋体" w:eastAsia="宋体" w:cs="宋体"/>
          <w:color w:val="000000"/>
          <w:kern w:val="0"/>
          <w:szCs w:val="20"/>
        </w:rPr>
        <w:t>现已清楚知道参加本项目采购活动的其他所有供应商名称，本单位 □与其他所有供应商之间均不存在利害关系 □与 （供应商名称）之间存在下列利害关系：</w:t>
      </w:r>
    </w:p>
    <w:p w14:paraId="310A5830">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A.法定代表人或负责人或实际控制人是同一人</w:t>
      </w:r>
    </w:p>
    <w:p w14:paraId="45087459">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B.法定代表人或负责人或实际控制人是夫妻关系</w:t>
      </w:r>
    </w:p>
    <w:p w14:paraId="71270007">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C.法定代表人或负责人或实际控制人是直系血亲关系</w:t>
      </w:r>
    </w:p>
    <w:p w14:paraId="64AE9F0A">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kern w:val="0"/>
          <w:szCs w:val="21"/>
        </w:rPr>
        <w:t xml:space="preserve">  D.法定代表人或负责人或实际控制人存在三代以内旁系血亲关系</w:t>
      </w:r>
    </w:p>
    <w:p w14:paraId="3C819665">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E.法定代表人或负责人或实际控制人存在近姻亲关系</w:t>
      </w:r>
    </w:p>
    <w:p w14:paraId="7196EC2F">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F.法定代表人或负责人或实际控制人存在股份控制或实际控制关系</w:t>
      </w:r>
    </w:p>
    <w:p w14:paraId="4222D240">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kern w:val="0"/>
          <w:szCs w:val="21"/>
        </w:rPr>
      </w:pPr>
      <w:r>
        <w:rPr>
          <w:rFonts w:hint="eastAsia" w:ascii="宋体" w:hAnsi="宋体" w:eastAsia="宋体" w:cs="宋体"/>
          <w:color w:val="000000"/>
          <w:kern w:val="0"/>
          <w:szCs w:val="21"/>
        </w:rPr>
        <w:t xml:space="preserve">  G.存在共同直接或间接投资设立子公司、联营企业和合营企业情况</w:t>
      </w:r>
    </w:p>
    <w:p w14:paraId="56BE2D73">
      <w:pPr>
        <w:widowControl w:val="0"/>
        <w:adjustRightInd w:val="0"/>
        <w:snapToGrid w:val="0"/>
        <w:spacing w:beforeLines="50" w:afterLines="50" w:line="360" w:lineRule="exact"/>
        <w:ind w:left="369" w:firstLine="210"/>
        <w:jc w:val="both"/>
        <w:textAlignment w:val="baseline"/>
        <w:rPr>
          <w:rFonts w:ascii="宋体" w:hAnsi="宋体" w:eastAsia="宋体" w:cs="宋体"/>
          <w:color w:val="000000"/>
          <w:szCs w:val="21"/>
        </w:rPr>
      </w:pPr>
      <w:r>
        <w:rPr>
          <w:rFonts w:hint="eastAsia" w:ascii="宋体" w:hAnsi="宋体" w:eastAsia="宋体" w:cs="宋体"/>
          <w:color w:val="000000"/>
          <w:kern w:val="0"/>
          <w:szCs w:val="21"/>
        </w:rPr>
        <w:t xml:space="preserve">  H.存在分级代理或代销关系、同一生产制造商关系、</w:t>
      </w:r>
      <w:r>
        <w:rPr>
          <w:rFonts w:hint="eastAsia" w:ascii="宋体" w:hAnsi="宋体" w:eastAsia="宋体" w:cs="宋体"/>
          <w:color w:val="000000"/>
          <w:szCs w:val="21"/>
        </w:rPr>
        <w:t>管理关系、重要业务（占主营业务收入50%以上）或重要财务往来关系（如融资）等其他实质性控制关系</w:t>
      </w:r>
    </w:p>
    <w:p w14:paraId="6906373E">
      <w:pPr>
        <w:widowControl w:val="0"/>
        <w:adjustRightInd w:val="0"/>
        <w:snapToGrid w:val="0"/>
        <w:spacing w:beforeLines="50" w:afterLines="50" w:line="440" w:lineRule="exact"/>
        <w:ind w:left="369" w:firstLine="210"/>
        <w:jc w:val="both"/>
        <w:textAlignment w:val="baseline"/>
        <w:rPr>
          <w:rFonts w:ascii="宋体" w:hAnsi="宋体" w:eastAsia="宋体" w:cs="宋体"/>
          <w:color w:val="000000"/>
          <w:spacing w:val="6"/>
          <w:szCs w:val="21"/>
        </w:rPr>
      </w:pPr>
      <w:r>
        <w:rPr>
          <w:rFonts w:hint="eastAsia" w:ascii="宋体" w:hAnsi="宋体" w:eastAsia="宋体" w:cs="宋体"/>
          <w:color w:val="000000"/>
          <w:szCs w:val="21"/>
        </w:rPr>
        <w:t xml:space="preserve">  I</w:t>
      </w:r>
      <w:r>
        <w:rPr>
          <w:rFonts w:hint="eastAsia" w:ascii="宋体" w:hAnsi="宋体" w:eastAsia="宋体" w:cs="宋体"/>
          <w:color w:val="000000"/>
          <w:kern w:val="0"/>
          <w:szCs w:val="21"/>
        </w:rPr>
        <w:t>.</w:t>
      </w:r>
      <w:r>
        <w:rPr>
          <w:rFonts w:hint="eastAsia" w:ascii="宋体" w:hAnsi="宋体" w:eastAsia="宋体" w:cs="宋体"/>
          <w:color w:val="000000"/>
          <w:szCs w:val="21"/>
        </w:rPr>
        <w:t>其他利害关系情况</w:t>
      </w:r>
      <w:r>
        <w:rPr>
          <w:rFonts w:hint="eastAsia" w:ascii="宋体" w:hAnsi="宋体" w:eastAsia="宋体" w:cs="宋体"/>
          <w:color w:val="000000"/>
          <w:kern w:val="0"/>
          <w:szCs w:val="21"/>
        </w:rPr>
        <w:t>。</w:t>
      </w:r>
    </w:p>
    <w:p w14:paraId="51B35C85">
      <w:pPr>
        <w:widowControl/>
        <w:numPr>
          <w:ilvl w:val="0"/>
          <w:numId w:val="9"/>
        </w:numPr>
        <w:wordWrap w:val="0"/>
        <w:adjustRightInd w:val="0"/>
        <w:snapToGrid w:val="0"/>
        <w:spacing w:line="440" w:lineRule="exact"/>
        <w:ind w:left="369" w:firstLine="396" w:firstLineChars="189"/>
        <w:jc w:val="both"/>
        <w:textAlignment w:val="baseline"/>
        <w:rPr>
          <w:rFonts w:ascii="宋体" w:hAnsi="宋体" w:eastAsia="宋体" w:cs="宋体"/>
          <w:kern w:val="0"/>
          <w:szCs w:val="20"/>
        </w:rPr>
      </w:pPr>
      <w:r>
        <w:rPr>
          <w:rFonts w:hint="eastAsia" w:ascii="宋体" w:hAnsi="宋体" w:eastAsia="宋体" w:cs="宋体"/>
          <w:szCs w:val="20"/>
        </w:rPr>
        <w:t>现已清楚知道并</w:t>
      </w:r>
      <w:r>
        <w:rPr>
          <w:rFonts w:hint="eastAsia" w:ascii="宋体" w:hAnsi="宋体" w:eastAsia="宋体" w:cs="宋体"/>
          <w:kern w:val="0"/>
          <w:szCs w:val="20"/>
        </w:rPr>
        <w:t>严格遵守政府采购法律法规和现场纪律。</w:t>
      </w:r>
    </w:p>
    <w:p w14:paraId="2696196E">
      <w:pPr>
        <w:widowControl/>
        <w:numPr>
          <w:ilvl w:val="0"/>
          <w:numId w:val="9"/>
        </w:numPr>
        <w:wordWrap w:val="0"/>
        <w:adjustRightInd w:val="0"/>
        <w:snapToGrid w:val="0"/>
        <w:spacing w:line="440" w:lineRule="exact"/>
        <w:ind w:left="369" w:firstLine="396" w:firstLineChars="189"/>
        <w:jc w:val="both"/>
        <w:textAlignment w:val="baseline"/>
        <w:rPr>
          <w:rFonts w:ascii="宋体" w:hAnsi="宋体" w:eastAsia="宋体" w:cs="宋体"/>
          <w:kern w:val="0"/>
          <w:szCs w:val="20"/>
        </w:rPr>
      </w:pPr>
      <w:r>
        <w:rPr>
          <w:rFonts w:hint="eastAsia" w:ascii="宋体" w:hAnsi="宋体" w:eastAsia="宋体" w:cs="宋体"/>
          <w:kern w:val="0"/>
          <w:sz w:val="21"/>
          <w:szCs w:val="20"/>
          <w:lang w:val="en-US" w:eastAsia="zh-CN" w:bidi="ar-SA"/>
        </w:rPr>
        <w:t>我发现供应商</w:t>
      </w:r>
      <w:r>
        <w:rPr>
          <w:rFonts w:hint="eastAsia" w:ascii="宋体" w:hAnsi="宋体" w:eastAsia="宋体" w:cs="宋体"/>
          <w:kern w:val="0"/>
          <w:sz w:val="21"/>
          <w:szCs w:val="20"/>
          <w:u w:val="single"/>
          <w:lang w:val="en-US" w:eastAsia="zh-CN" w:bidi="ar-SA"/>
        </w:rPr>
        <w:t xml:space="preserve">      </w:t>
      </w:r>
      <w:r>
        <w:rPr>
          <w:rFonts w:hint="eastAsia" w:ascii="宋体" w:hAnsi="宋体" w:eastAsia="宋体" w:cs="宋体"/>
          <w:kern w:val="0"/>
          <w:sz w:val="21"/>
          <w:szCs w:val="20"/>
          <w:lang w:val="en-US" w:eastAsia="zh-CN" w:bidi="ar-SA"/>
        </w:rPr>
        <w:t>之间存在或可能存在上述第二条第</w:t>
      </w:r>
      <w:r>
        <w:rPr>
          <w:rFonts w:hint="eastAsia" w:ascii="宋体" w:hAnsi="宋体" w:eastAsia="宋体" w:cs="宋体"/>
          <w:kern w:val="0"/>
          <w:sz w:val="21"/>
          <w:szCs w:val="20"/>
          <w:u w:val="single"/>
          <w:lang w:val="en-US" w:eastAsia="zh-CN" w:bidi="ar-SA"/>
        </w:rPr>
        <w:t xml:space="preserve">       </w:t>
      </w:r>
      <w:r>
        <w:rPr>
          <w:rFonts w:hint="eastAsia" w:ascii="宋体" w:hAnsi="宋体" w:eastAsia="宋体" w:cs="宋体"/>
          <w:kern w:val="0"/>
          <w:sz w:val="21"/>
          <w:szCs w:val="20"/>
          <w:lang w:val="en-US" w:eastAsia="zh-CN" w:bidi="ar-SA"/>
        </w:rPr>
        <w:t>项利害关系。</w:t>
      </w:r>
      <w:r>
        <w:rPr>
          <w:rFonts w:hint="eastAsia" w:ascii="宋体" w:hAnsi="宋体" w:eastAsia="宋体" w:cs="宋体"/>
          <w:kern w:val="0"/>
          <w:szCs w:val="20"/>
        </w:rPr>
        <w:t xml:space="preserve">   </w:t>
      </w:r>
    </w:p>
    <w:p w14:paraId="3A7ECE6E">
      <w:pPr>
        <w:widowControl/>
        <w:wordWrap w:val="0"/>
        <w:adjustRightInd w:val="0"/>
        <w:snapToGrid w:val="0"/>
        <w:spacing w:line="440" w:lineRule="exact"/>
        <w:ind w:left="369" w:firstLine="420" w:firstLineChars="200"/>
        <w:jc w:val="both"/>
        <w:textAlignment w:val="baseline"/>
        <w:rPr>
          <w:rFonts w:ascii="宋体" w:hAnsi="宋体" w:eastAsia="宋体" w:cs="宋体"/>
          <w:kern w:val="0"/>
          <w:szCs w:val="20"/>
        </w:rPr>
      </w:pPr>
    </w:p>
    <w:p w14:paraId="6072FD79">
      <w:pPr>
        <w:widowControl/>
        <w:wordWrap w:val="0"/>
        <w:adjustRightInd w:val="0"/>
        <w:snapToGrid w:val="0"/>
        <w:spacing w:line="440" w:lineRule="exact"/>
        <w:ind w:left="369" w:firstLine="420" w:firstLineChars="200"/>
        <w:jc w:val="both"/>
        <w:textAlignment w:val="baseline"/>
        <w:rPr>
          <w:rFonts w:ascii="宋体" w:hAnsi="宋体" w:eastAsia="宋体" w:cs="宋体"/>
          <w:kern w:val="0"/>
          <w:szCs w:val="20"/>
        </w:rPr>
      </w:pPr>
    </w:p>
    <w:p w14:paraId="733FDFAD">
      <w:pPr>
        <w:widowControl/>
        <w:wordWrap w:val="0"/>
        <w:adjustRightInd w:val="0"/>
        <w:snapToGrid w:val="0"/>
        <w:spacing w:line="440" w:lineRule="exact"/>
        <w:ind w:left="369" w:firstLine="420" w:firstLineChars="200"/>
        <w:jc w:val="right"/>
        <w:textAlignment w:val="baseline"/>
        <w:rPr>
          <w:rFonts w:ascii="宋体" w:hAnsi="宋体" w:eastAsia="宋体" w:cs="宋体"/>
          <w:kern w:val="0"/>
          <w:szCs w:val="20"/>
        </w:rPr>
      </w:pPr>
      <w:r>
        <w:rPr>
          <w:rFonts w:hint="eastAsia" w:ascii="宋体" w:hAnsi="宋体" w:eastAsia="宋体" w:cs="宋体"/>
          <w:kern w:val="0"/>
          <w:szCs w:val="20"/>
        </w:rPr>
        <w:t>供应商：（盖章)</w:t>
      </w:r>
    </w:p>
    <w:p w14:paraId="5B3FE2B2">
      <w:pPr>
        <w:widowControl w:val="0"/>
        <w:adjustRightInd w:val="0"/>
        <w:snapToGrid w:val="0"/>
        <w:spacing w:beforeLines="50" w:afterLines="50" w:line="440" w:lineRule="exact"/>
        <w:ind w:left="369" w:firstLine="420" w:firstLineChars="200"/>
        <w:jc w:val="right"/>
        <w:textAlignment w:val="baseline"/>
        <w:rPr>
          <w:rFonts w:ascii="宋体" w:hAnsi="Courier New" w:eastAsia="仿宋_GB2312" w:cs="Times New Roman"/>
          <w:sz w:val="30"/>
        </w:rPr>
      </w:pPr>
      <w:r>
        <w:rPr>
          <w:rFonts w:hint="eastAsia" w:ascii="宋体" w:hAnsi="宋体" w:eastAsia="宋体" w:cs="宋体"/>
          <w:kern w:val="0"/>
          <w:szCs w:val="21"/>
        </w:rPr>
        <w:t xml:space="preserve">     年   月   日</w:t>
      </w:r>
    </w:p>
    <w:p w14:paraId="07887D90">
      <w:pPr>
        <w:widowControl w:val="0"/>
        <w:wordWrap w:val="0"/>
        <w:spacing w:line="360" w:lineRule="auto"/>
        <w:ind w:firstLine="422" w:firstLineChars="200"/>
        <w:jc w:val="both"/>
        <w:rPr>
          <w:rFonts w:ascii="宋体" w:hAnsi="Calibri" w:eastAsia="宋体" w:cs="Times New Roman"/>
          <w:szCs w:val="22"/>
        </w:rPr>
      </w:pPr>
      <w:r>
        <w:rPr>
          <w:rFonts w:hint="eastAsia" w:ascii="宋体" w:hAnsi="宋体" w:eastAsia="宋体" w:cs="Times New Roman"/>
          <w:b/>
          <w:bCs/>
          <w:szCs w:val="21"/>
        </w:rPr>
        <w:t>（本表在解密后,尽快填写完整发至495302826@qq.com邮箱）</w:t>
      </w:r>
    </w:p>
    <w:p w14:paraId="1744094B">
      <w:pPr>
        <w:ind w:firstLine="420"/>
        <w:jc w:val="center"/>
        <w:rPr>
          <w:rFonts w:asciiTheme="minorEastAsia" w:hAnsiTheme="minorEastAsia" w:eastAsiaTheme="minorEastAsia"/>
          <w:b/>
          <w:sz w:val="32"/>
        </w:rPr>
      </w:pPr>
      <w:r>
        <w:rPr>
          <w:rFonts w:hint="eastAsia" w:asciiTheme="minorEastAsia" w:hAnsiTheme="minorEastAsia" w:eastAsiaTheme="minorEastAsia"/>
          <w:b/>
          <w:sz w:val="32"/>
        </w:rPr>
        <w:t>十</w:t>
      </w:r>
      <w:r>
        <w:rPr>
          <w:rFonts w:hint="eastAsia" w:asciiTheme="minorEastAsia" w:hAnsiTheme="minorEastAsia" w:eastAsiaTheme="minorEastAsia"/>
          <w:b/>
          <w:sz w:val="32"/>
          <w:lang w:val="en-US" w:eastAsia="zh-CN"/>
        </w:rPr>
        <w:t>三</w:t>
      </w:r>
      <w:r>
        <w:rPr>
          <w:rFonts w:hint="eastAsia" w:asciiTheme="minorEastAsia" w:hAnsiTheme="minorEastAsia" w:eastAsiaTheme="minorEastAsia"/>
          <w:b/>
          <w:sz w:val="32"/>
        </w:rPr>
        <w:t>、政府采购投标人质疑函范本</w:t>
      </w:r>
    </w:p>
    <w:tbl>
      <w:tblPr>
        <w:tblStyle w:val="28"/>
        <w:tblW w:w="9061" w:type="dxa"/>
        <w:jc w:val="center"/>
        <w:tblCellSpacing w:w="0" w:type="dxa"/>
        <w:tblLayout w:type="fixed"/>
        <w:tblCellMar>
          <w:top w:w="0" w:type="dxa"/>
          <w:left w:w="0" w:type="dxa"/>
          <w:bottom w:w="0" w:type="dxa"/>
          <w:right w:w="0" w:type="dxa"/>
        </w:tblCellMar>
      </w:tblPr>
      <w:tblGrid>
        <w:gridCol w:w="9061"/>
      </w:tblGrid>
      <w:tr w14:paraId="76444D45">
        <w:tblPrEx>
          <w:tblCellMar>
            <w:top w:w="0" w:type="dxa"/>
            <w:left w:w="0" w:type="dxa"/>
            <w:bottom w:w="0" w:type="dxa"/>
            <w:right w:w="0" w:type="dxa"/>
          </w:tblCellMar>
        </w:tblPrEx>
        <w:trPr>
          <w:tblCellSpacing w:w="0" w:type="dxa"/>
          <w:jc w:val="center"/>
        </w:trPr>
        <w:tc>
          <w:tcPr>
            <w:tcW w:w="9061" w:type="dxa"/>
            <w:vAlign w:val="center"/>
          </w:tcPr>
          <w:tbl>
            <w:tblPr>
              <w:tblStyle w:val="28"/>
              <w:tblW w:w="9299" w:type="dxa"/>
              <w:tblCellSpacing w:w="0" w:type="dxa"/>
              <w:tblInd w:w="0" w:type="dxa"/>
              <w:shd w:val="clear" w:color="auto" w:fill="FFFFFF"/>
              <w:tblLayout w:type="fixed"/>
              <w:tblCellMar>
                <w:top w:w="0" w:type="dxa"/>
                <w:left w:w="0" w:type="dxa"/>
                <w:bottom w:w="0" w:type="dxa"/>
                <w:right w:w="0" w:type="dxa"/>
              </w:tblCellMar>
            </w:tblPr>
            <w:tblGrid>
              <w:gridCol w:w="9299"/>
            </w:tblGrid>
            <w:tr w14:paraId="707D74A9">
              <w:tblPrEx>
                <w:shd w:val="clear" w:color="auto" w:fill="FFFFFF"/>
                <w:tblCellMar>
                  <w:top w:w="0" w:type="dxa"/>
                  <w:left w:w="0" w:type="dxa"/>
                  <w:bottom w:w="0" w:type="dxa"/>
                  <w:right w:w="0" w:type="dxa"/>
                </w:tblCellMar>
              </w:tblPrEx>
              <w:trPr>
                <w:trHeight w:val="1140" w:hRule="atLeast"/>
                <w:tblCellSpacing w:w="0" w:type="dxa"/>
              </w:trPr>
              <w:tc>
                <w:tcPr>
                  <w:tcW w:w="9299" w:type="dxa"/>
                  <w:shd w:val="clear" w:color="auto" w:fill="FFFFFF"/>
                </w:tcPr>
                <w:tbl>
                  <w:tblPr>
                    <w:tblStyle w:val="28"/>
                    <w:tblW w:w="7614" w:type="dxa"/>
                    <w:jc w:val="center"/>
                    <w:tblCellSpacing w:w="0" w:type="dxa"/>
                    <w:tblLayout w:type="fixed"/>
                    <w:tblCellMar>
                      <w:top w:w="0" w:type="dxa"/>
                      <w:left w:w="0" w:type="dxa"/>
                      <w:bottom w:w="0" w:type="dxa"/>
                      <w:right w:w="0" w:type="dxa"/>
                    </w:tblCellMar>
                  </w:tblPr>
                  <w:tblGrid>
                    <w:gridCol w:w="7614"/>
                  </w:tblGrid>
                  <w:tr w14:paraId="4BF06842">
                    <w:tblPrEx>
                      <w:tblCellMar>
                        <w:top w:w="0" w:type="dxa"/>
                        <w:left w:w="0" w:type="dxa"/>
                        <w:bottom w:w="0" w:type="dxa"/>
                        <w:right w:w="0" w:type="dxa"/>
                      </w:tblCellMar>
                    </w:tblPrEx>
                    <w:trPr>
                      <w:tblCellSpacing w:w="0" w:type="dxa"/>
                      <w:jc w:val="center"/>
                    </w:trPr>
                    <w:tc>
                      <w:tcPr>
                        <w:tcW w:w="7614" w:type="dxa"/>
                        <w:vAlign w:val="center"/>
                      </w:tcPr>
                      <w:p w14:paraId="18FEED12">
                        <w:pPr>
                          <w:spacing w:beforeAutospacing="1" w:afterAutospacing="1"/>
                          <w:ind w:firstLine="422"/>
                          <w:jc w:val="center"/>
                          <w:rPr>
                            <w:rFonts w:asciiTheme="minorEastAsia" w:hAnsiTheme="minorEastAsia" w:eastAsiaTheme="minorEastAsia"/>
                            <w:sz w:val="28"/>
                            <w:szCs w:val="28"/>
                          </w:rPr>
                        </w:pPr>
                        <w:r>
                          <w:rPr>
                            <w:rFonts w:asciiTheme="minorEastAsia" w:hAnsiTheme="minorEastAsia" w:eastAsiaTheme="minorEastAsia"/>
                            <w:b/>
                            <w:kern w:val="0"/>
                            <w:sz w:val="28"/>
                            <w:szCs w:val="28"/>
                          </w:rPr>
                          <w:t>质疑函范本</w:t>
                        </w:r>
                      </w:p>
                      <w:p w14:paraId="3050A72F">
                        <w:pPr>
                          <w:adjustRightInd w:val="0"/>
                          <w:snapToGrid w:val="0"/>
                          <w:spacing w:before="319" w:beforeLines="100"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一</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w:t>
                        </w:r>
                        <w:r>
                          <w:rPr>
                            <w:rFonts w:hint="eastAsia" w:asciiTheme="minorEastAsia" w:hAnsiTheme="minorEastAsia" w:eastAsiaTheme="minorEastAsia"/>
                            <w:bCs/>
                            <w:kern w:val="0"/>
                            <w:szCs w:val="21"/>
                          </w:rPr>
                          <w:t>投标人</w:t>
                        </w:r>
                        <w:r>
                          <w:rPr>
                            <w:rFonts w:asciiTheme="minorEastAsia" w:hAnsiTheme="minorEastAsia" w:eastAsiaTheme="minorEastAsia"/>
                            <w:bCs/>
                            <w:kern w:val="0"/>
                            <w:szCs w:val="21"/>
                          </w:rPr>
                          <w:t>基本信息</w:t>
                        </w:r>
                      </w:p>
                      <w:p w14:paraId="1B3B88C5">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w:t>
                        </w:r>
                      </w:p>
                      <w:p w14:paraId="070DA5B1">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地址：邮编：</w:t>
                        </w:r>
                      </w:p>
                      <w:p w14:paraId="412E5512">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联系人：联系电话：</w:t>
                        </w:r>
                      </w:p>
                      <w:p w14:paraId="1C9CF600">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授权代表：联系电话：</w:t>
                        </w:r>
                      </w:p>
                      <w:p w14:paraId="47A2FB01">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地址： 邮编：</w:t>
                        </w:r>
                      </w:p>
                      <w:p w14:paraId="08F627F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二</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质疑项目基本情况</w:t>
                        </w:r>
                      </w:p>
                      <w:p w14:paraId="6610EFD2">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质疑项目的名称：</w:t>
                        </w:r>
                      </w:p>
                      <w:p w14:paraId="333E2349">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质疑项目的编号：包号：</w:t>
                        </w:r>
                      </w:p>
                      <w:p w14:paraId="71AB560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采购人名称：</w:t>
                        </w:r>
                      </w:p>
                      <w:p w14:paraId="6ECC4471">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采购文件获取日期：</w:t>
                        </w:r>
                      </w:p>
                      <w:p w14:paraId="61FB449C">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三</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质疑事项具体内容</w:t>
                        </w:r>
                      </w:p>
                      <w:p w14:paraId="3AA9BA2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质疑事项1：</w:t>
                        </w:r>
                      </w:p>
                      <w:p w14:paraId="7AB3258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事实依据：</w:t>
                        </w:r>
                      </w:p>
                      <w:p w14:paraId="23A43BD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法律依据：</w:t>
                        </w:r>
                      </w:p>
                      <w:p w14:paraId="7FE78B20">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质疑事项2</w:t>
                        </w:r>
                      </w:p>
                      <w:p w14:paraId="1C7C9A6B">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w:t>
                        </w:r>
                      </w:p>
                      <w:p w14:paraId="4827839D">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bCs/>
                            <w:kern w:val="0"/>
                            <w:szCs w:val="21"/>
                          </w:rPr>
                          <w:t>四</w:t>
                        </w:r>
                        <w:r>
                          <w:rPr>
                            <w:rFonts w:hint="eastAsia" w:asciiTheme="minorEastAsia" w:hAnsiTheme="minorEastAsia" w:eastAsiaTheme="minorEastAsia"/>
                            <w:bCs/>
                            <w:kern w:val="0"/>
                            <w:szCs w:val="21"/>
                          </w:rPr>
                          <w:t>.</w:t>
                        </w:r>
                        <w:r>
                          <w:rPr>
                            <w:rFonts w:asciiTheme="minorEastAsia" w:hAnsiTheme="minorEastAsia" w:eastAsiaTheme="minorEastAsia"/>
                            <w:bCs/>
                            <w:kern w:val="0"/>
                            <w:szCs w:val="21"/>
                          </w:rPr>
                          <w:t>与质疑事项相关的质疑请求</w:t>
                        </w:r>
                      </w:p>
                      <w:p w14:paraId="21B7565E">
                        <w:pPr>
                          <w:adjustRightInd w:val="0"/>
                          <w:snapToGrid w:val="0"/>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请求：</w:t>
                        </w:r>
                      </w:p>
                      <w:p w14:paraId="11EDB278">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 xml:space="preserve">签字(签章)：                   公章：                      </w:t>
                        </w:r>
                      </w:p>
                      <w:p w14:paraId="4D0E48A4">
                        <w:pPr>
                          <w:spacing w:beforeAutospacing="1" w:afterAutospacing="1"/>
                          <w:ind w:firstLine="420"/>
                          <w:rPr>
                            <w:rFonts w:asciiTheme="minorEastAsia" w:hAnsiTheme="minorEastAsia" w:eastAsiaTheme="minorEastAsia"/>
                            <w:kern w:val="0"/>
                            <w:szCs w:val="21"/>
                          </w:rPr>
                        </w:pPr>
                        <w:r>
                          <w:rPr>
                            <w:rFonts w:asciiTheme="minorEastAsia" w:hAnsiTheme="minorEastAsia" w:eastAsiaTheme="minorEastAsia"/>
                            <w:kern w:val="0"/>
                            <w:szCs w:val="21"/>
                          </w:rPr>
                          <w:t xml:space="preserve">日期：   </w:t>
                        </w:r>
                      </w:p>
                      <w:p w14:paraId="1E3F8E70">
                        <w:pPr>
                          <w:pStyle w:val="9"/>
                          <w:rPr>
                            <w:rFonts w:asciiTheme="minorEastAsia" w:hAnsiTheme="minorEastAsia" w:eastAsiaTheme="minorEastAsia"/>
                          </w:rPr>
                        </w:pPr>
                      </w:p>
                      <w:p w14:paraId="2FA275AC">
                        <w:pPr>
                          <w:spacing w:beforeAutospacing="1" w:afterAutospacing="1"/>
                          <w:ind w:firstLine="422"/>
                          <w:rPr>
                            <w:rFonts w:asciiTheme="minorEastAsia" w:hAnsiTheme="minorEastAsia" w:eastAsiaTheme="minorEastAsia"/>
                            <w:szCs w:val="21"/>
                          </w:rPr>
                        </w:pPr>
                        <w:r>
                          <w:rPr>
                            <w:rFonts w:asciiTheme="minorEastAsia" w:hAnsiTheme="minorEastAsia" w:eastAsiaTheme="minorEastAsia"/>
                            <w:b/>
                            <w:kern w:val="0"/>
                            <w:szCs w:val="21"/>
                          </w:rPr>
                          <w:t>质疑函制作说明：</w:t>
                        </w:r>
                      </w:p>
                      <w:p w14:paraId="6DBB5331">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1.</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提出质疑时，应提交质疑函和必要的证明材料。</w:t>
                        </w:r>
                      </w:p>
                      <w:p w14:paraId="260DE9C5">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2.质疑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若委托代理人进行质疑的，质疑函应按要求列明“授权代表”的有关内容，并在附件中提交由质疑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签署的授权委托书。授权委托书应载明代理人的姓名或者名称、代理事项、具体权限、期限和相关事项。</w:t>
                        </w:r>
                      </w:p>
                      <w:p w14:paraId="05FF6BE8">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3.质疑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若对项目的某一分包进行质疑，质疑函中应列明具体分包号。</w:t>
                        </w:r>
                      </w:p>
                      <w:p w14:paraId="7FCF2FA2">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4.质疑函的质疑事项应具体、明确，并有必要的事实依据和法律依据。</w:t>
                        </w:r>
                      </w:p>
                      <w:p w14:paraId="305BDF99">
                        <w:pPr>
                          <w:spacing w:beforeAutospacing="1" w:afterAutospacing="1"/>
                          <w:ind w:firstLine="420"/>
                          <w:rPr>
                            <w:rFonts w:asciiTheme="minorEastAsia" w:hAnsiTheme="minorEastAsia" w:eastAsiaTheme="minorEastAsia"/>
                            <w:szCs w:val="21"/>
                          </w:rPr>
                        </w:pPr>
                        <w:r>
                          <w:rPr>
                            <w:rFonts w:asciiTheme="minorEastAsia" w:hAnsiTheme="minorEastAsia" w:eastAsiaTheme="minorEastAsia"/>
                            <w:kern w:val="0"/>
                            <w:szCs w:val="21"/>
                          </w:rPr>
                          <w:t>5.质疑函的质疑请求应与质疑事项相关。</w:t>
                        </w:r>
                      </w:p>
                      <w:p w14:paraId="5D68C942">
                        <w:pPr>
                          <w:spacing w:before="100" w:beforeAutospacing="1" w:after="100" w:afterAutospacing="1"/>
                          <w:ind w:firstLine="420"/>
                          <w:rPr>
                            <w:rFonts w:asciiTheme="minorEastAsia" w:hAnsiTheme="minorEastAsia" w:eastAsiaTheme="minorEastAsia"/>
                          </w:rPr>
                        </w:pPr>
                        <w:r>
                          <w:rPr>
                            <w:rFonts w:asciiTheme="minorEastAsia" w:hAnsiTheme="minorEastAsia" w:eastAsiaTheme="minorEastAsia"/>
                            <w:kern w:val="0"/>
                            <w:szCs w:val="21"/>
                          </w:rPr>
                          <w:t>6.质疑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为自然人的，质疑函应由本人签字；质疑</w:t>
                        </w:r>
                        <w:r>
                          <w:rPr>
                            <w:rFonts w:hint="eastAsia" w:asciiTheme="minorEastAsia" w:hAnsiTheme="minorEastAsia" w:eastAsiaTheme="minorEastAsia"/>
                            <w:kern w:val="0"/>
                            <w:szCs w:val="21"/>
                          </w:rPr>
                          <w:t>投标人</w:t>
                        </w:r>
                        <w:r>
                          <w:rPr>
                            <w:rFonts w:asciiTheme="minorEastAsia" w:hAnsiTheme="minorEastAsia" w:eastAsiaTheme="minorEastAsia"/>
                            <w:kern w:val="0"/>
                            <w:szCs w:val="21"/>
                          </w:rPr>
                          <w:t>为法人或者其他组织的，质疑函应由法定代表人、主要负责人，或者其授权代表签字或者盖章，并加盖公章。</w:t>
                        </w:r>
                      </w:p>
                    </w:tc>
                  </w:tr>
                </w:tbl>
                <w:p w14:paraId="173498BC">
                  <w:pPr>
                    <w:ind w:firstLine="360"/>
                    <w:jc w:val="center"/>
                    <w:rPr>
                      <w:rFonts w:asciiTheme="minorEastAsia" w:hAnsiTheme="minorEastAsia" w:eastAsiaTheme="minorEastAsia"/>
                      <w:sz w:val="18"/>
                      <w:szCs w:val="18"/>
                    </w:rPr>
                  </w:pPr>
                </w:p>
              </w:tc>
            </w:tr>
          </w:tbl>
          <w:p w14:paraId="54CFFE6B">
            <w:pPr>
              <w:spacing w:line="432" w:lineRule="auto"/>
              <w:ind w:firstLine="360"/>
              <w:jc w:val="center"/>
              <w:rPr>
                <w:rFonts w:asciiTheme="minorEastAsia" w:hAnsiTheme="minorEastAsia" w:eastAsiaTheme="minorEastAsia"/>
                <w:sz w:val="18"/>
                <w:szCs w:val="18"/>
              </w:rPr>
            </w:pPr>
          </w:p>
        </w:tc>
      </w:tr>
    </w:tbl>
    <w:p w14:paraId="7F81BF01">
      <w:pPr>
        <w:pStyle w:val="9"/>
        <w:spacing w:line="360" w:lineRule="auto"/>
        <w:rPr>
          <w:rFonts w:asciiTheme="minorEastAsia" w:hAnsiTheme="minorEastAsia" w:eastAsiaTheme="minorEastAsia"/>
          <w:sz w:val="21"/>
          <w:szCs w:val="21"/>
        </w:rPr>
      </w:pPr>
    </w:p>
    <w:p w14:paraId="04C80A9B">
      <w:pPr>
        <w:spacing w:before="120" w:line="360" w:lineRule="auto"/>
        <w:jc w:val="center"/>
        <w:rPr>
          <w:rFonts w:asciiTheme="minorEastAsia" w:hAnsiTheme="minorEastAsia" w:eastAsiaTheme="minorEastAsia"/>
          <w:b/>
          <w:bCs/>
          <w:sz w:val="32"/>
          <w:szCs w:val="32"/>
        </w:rPr>
      </w:pPr>
    </w:p>
    <w:p w14:paraId="54D741E4">
      <w:pPr>
        <w:pStyle w:val="9"/>
        <w:rPr>
          <w:rFonts w:asciiTheme="minorEastAsia" w:hAnsiTheme="minorEastAsia" w:eastAsiaTheme="minorEastAsia"/>
        </w:rPr>
      </w:pPr>
    </w:p>
    <w:p w14:paraId="20094A18">
      <w:pPr>
        <w:rPr>
          <w:rFonts w:asciiTheme="minorEastAsia" w:hAnsiTheme="minorEastAsia" w:eastAsiaTheme="minorEastAsia"/>
        </w:rPr>
      </w:pPr>
    </w:p>
    <w:p w14:paraId="17007CB8">
      <w:pPr>
        <w:pStyle w:val="9"/>
        <w:rPr>
          <w:rFonts w:asciiTheme="minorEastAsia" w:hAnsiTheme="minorEastAsia" w:eastAsiaTheme="minorEastAsia"/>
          <w:sz w:val="21"/>
        </w:rPr>
      </w:pPr>
    </w:p>
    <w:p w14:paraId="3173B22F">
      <w:pPr>
        <w:pStyle w:val="9"/>
        <w:rPr>
          <w:rFonts w:asciiTheme="minorEastAsia" w:hAnsiTheme="minorEastAsia" w:eastAsiaTheme="minorEastAsia"/>
          <w:sz w:val="21"/>
        </w:rPr>
      </w:pPr>
    </w:p>
    <w:sectPr>
      <w:headerReference r:id="rId6" w:type="default"/>
      <w:footerReference r:id="rId7" w:type="default"/>
      <w:pgSz w:w="11906" w:h="16838"/>
      <w:pgMar w:top="1440" w:right="1803" w:bottom="1440" w:left="1803"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67AAE4">
    <w:pPr>
      <w:pStyle w:val="1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D09482">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0D09482">
                    <w:pPr>
                      <w:pStyle w:val="17"/>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2AA6BB">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3BD309">
                          <w:pPr>
                            <w:pStyle w:val="17"/>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14:paraId="2C3BD309">
                    <w:pPr>
                      <w:pStyle w:val="17"/>
                    </w:pPr>
                    <w:r>
                      <w:rPr>
                        <w:rFonts w:hint="eastAsia"/>
                      </w:rPr>
                      <w:fldChar w:fldCharType="begin"/>
                    </w:r>
                    <w:r>
                      <w:rPr>
                        <w:rFonts w:hint="eastAsia"/>
                      </w:rPr>
                      <w:instrText xml:space="preserve"> PAGE  \* MERGEFORMAT </w:instrText>
                    </w:r>
                    <w:r>
                      <w:rPr>
                        <w:rFonts w:hint="eastAsia"/>
                      </w:rPr>
                      <w:fldChar w:fldCharType="separate"/>
                    </w:r>
                    <w:r>
                      <w:t>9</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CBD0C9">
    <w:pPr>
      <w:pStyle w:val="17"/>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7CB35CE">
                          <w:pPr>
                            <w:pStyle w:val="17"/>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37CB35CE">
                    <w:pPr>
                      <w:pStyle w:val="17"/>
                    </w:pPr>
                    <w:r>
                      <w:rPr>
                        <w:rFonts w:hint="eastAsia"/>
                      </w:rPr>
                      <w:fldChar w:fldCharType="begin"/>
                    </w:r>
                    <w:r>
                      <w:rPr>
                        <w:rFonts w:hint="eastAsia"/>
                      </w:rPr>
                      <w:instrText xml:space="preserve"> PAGE  \* MERGEFORMAT </w:instrText>
                    </w:r>
                    <w:r>
                      <w:rPr>
                        <w:rFonts w:hint="eastAsia"/>
                      </w:rPr>
                      <w:fldChar w:fldCharType="separate"/>
                    </w:r>
                    <w:r>
                      <w:t>52</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23A8C">
    <w:pPr>
      <w:pStyle w:val="17"/>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4D51D">
                          <w:pPr>
                            <w:pStyle w:val="1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4574D51D">
                    <w:pPr>
                      <w:pStyle w:val="17"/>
                    </w:pPr>
                    <w:r>
                      <w:rPr>
                        <w:rFonts w:hint="eastAsia"/>
                      </w:rPr>
                      <w:fldChar w:fldCharType="begin"/>
                    </w:r>
                    <w:r>
                      <w:rPr>
                        <w:rFonts w:hint="eastAsia"/>
                      </w:rPr>
                      <w:instrText xml:space="preserve"> PAGE  \* MERGEFORMAT </w:instrText>
                    </w:r>
                    <w:r>
                      <w:rPr>
                        <w:rFonts w:hint="eastAsia"/>
                      </w:rPr>
                      <w:fldChar w:fldCharType="separate"/>
                    </w:r>
                    <w:r>
                      <w:t>54</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EF6D8">
    <w:pPr>
      <w:pStyle w:val="19"/>
      <w:pBdr>
        <w:bottom w:val="single" w:color="auto" w:sz="6" w:space="0"/>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E7E61E"/>
    <w:multiLevelType w:val="singleLevel"/>
    <w:tmpl w:val="B7E7E61E"/>
    <w:lvl w:ilvl="0" w:tentative="0">
      <w:start w:val="2"/>
      <w:numFmt w:val="chineseCounting"/>
      <w:suff w:val="nothing"/>
      <w:lvlText w:val="%1、"/>
      <w:lvlJc w:val="left"/>
      <w:rPr>
        <w:rFonts w:hint="eastAsia"/>
      </w:rPr>
    </w:lvl>
  </w:abstractNum>
  <w:abstractNum w:abstractNumId="1">
    <w:nsid w:val="CCDB23D5"/>
    <w:multiLevelType w:val="singleLevel"/>
    <w:tmpl w:val="CCDB23D5"/>
    <w:lvl w:ilvl="0" w:tentative="0">
      <w:start w:val="2"/>
      <w:numFmt w:val="chineseCounting"/>
      <w:suff w:val="space"/>
      <w:lvlText w:val="第%1章"/>
      <w:lvlJc w:val="left"/>
      <w:rPr>
        <w:rFonts w:hint="eastAsia"/>
      </w:rPr>
    </w:lvl>
  </w:abstractNum>
  <w:abstractNum w:abstractNumId="2">
    <w:nsid w:val="D21B4302"/>
    <w:multiLevelType w:val="singleLevel"/>
    <w:tmpl w:val="D21B4302"/>
    <w:lvl w:ilvl="0" w:tentative="0">
      <w:start w:val="2"/>
      <w:numFmt w:val="chineseCounting"/>
      <w:suff w:val="nothing"/>
      <w:lvlText w:val="%1、"/>
      <w:lvlJc w:val="left"/>
      <w:rPr>
        <w:rFonts w:hint="eastAsia"/>
      </w:rPr>
    </w:lvl>
  </w:abstractNum>
  <w:abstractNum w:abstractNumId="3">
    <w:nsid w:val="0000000D"/>
    <w:multiLevelType w:val="multilevel"/>
    <w:tmpl w:val="0000000D"/>
    <w:lvl w:ilvl="0" w:tentative="0">
      <w:start w:val="1"/>
      <w:numFmt w:val="chineseCountingThousand"/>
      <w:suff w:val="space"/>
      <w:lvlText w:val="第%1章"/>
      <w:lvlJc w:val="left"/>
      <w:pPr>
        <w:ind w:left="2240"/>
      </w:pPr>
      <w:rPr>
        <w:rFonts w:hint="eastAsia" w:cs="Times New Roman"/>
        <w:lang w:val="en-US"/>
      </w:rPr>
    </w:lvl>
    <w:lvl w:ilvl="1" w:tentative="0">
      <w:start w:val="1"/>
      <w:numFmt w:val="decimal"/>
      <w:isLgl/>
      <w:suff w:val="space"/>
      <w:lvlText w:val="%1.%2"/>
      <w:lvlJc w:val="left"/>
      <w:pPr>
        <w:ind w:left="765" w:hanging="567"/>
      </w:pPr>
      <w:rPr>
        <w:rFonts w:hint="eastAsia" w:cs="Times New Roman"/>
      </w:rPr>
    </w:lvl>
    <w:lvl w:ilvl="2" w:tentative="0">
      <w:start w:val="1"/>
      <w:numFmt w:val="decimal"/>
      <w:isLgl/>
      <w:suff w:val="space"/>
      <w:lvlText w:val="%1.%2.%3"/>
      <w:lvlJc w:val="left"/>
      <w:pPr>
        <w:ind w:left="707" w:hanging="567"/>
      </w:pPr>
      <w:rPr>
        <w:rFonts w:hint="eastAsia" w:cs="Times New Roman"/>
        <w:color w:val="auto"/>
      </w:rPr>
    </w:lvl>
    <w:lvl w:ilvl="3" w:tentative="0">
      <w:start w:val="1"/>
      <w:numFmt w:val="decimal"/>
      <w:pStyle w:val="77"/>
      <w:isLgl/>
      <w:suff w:val="space"/>
      <w:lvlText w:val="%1.%2.%3.%4"/>
      <w:lvlJc w:val="left"/>
      <w:pPr>
        <w:ind w:left="2108" w:hanging="708"/>
      </w:pPr>
      <w:rPr>
        <w:rFonts w:hint="eastAsia" w:cs="Times New Roman"/>
      </w:rPr>
    </w:lvl>
    <w:lvl w:ilvl="4" w:tentative="0">
      <w:start w:val="1"/>
      <w:numFmt w:val="decimal"/>
      <w:lvlText w:val="%1.%2.%3.%4.%5"/>
      <w:lvlJc w:val="left"/>
      <w:pPr>
        <w:tabs>
          <w:tab w:val="left" w:pos="2554"/>
        </w:tabs>
        <w:ind w:left="2324" w:hanging="850"/>
      </w:pPr>
      <w:rPr>
        <w:rFonts w:hint="eastAsia" w:cs="Times New Roman"/>
      </w:rPr>
    </w:lvl>
    <w:lvl w:ilvl="5" w:tentative="0">
      <w:start w:val="1"/>
      <w:numFmt w:val="decimal"/>
      <w:lvlText w:val="%1.%2.%3.%4.%5.%6"/>
      <w:lvlJc w:val="left"/>
      <w:pPr>
        <w:tabs>
          <w:tab w:val="left" w:pos="3339"/>
        </w:tabs>
        <w:ind w:left="3033" w:hanging="1134"/>
      </w:pPr>
      <w:rPr>
        <w:rFonts w:hint="eastAsia" w:cs="Times New Roman"/>
      </w:rPr>
    </w:lvl>
    <w:lvl w:ilvl="6" w:tentative="0">
      <w:start w:val="1"/>
      <w:numFmt w:val="decimal"/>
      <w:lvlText w:val="%1.%2.%3.%4.%5.%6.%7"/>
      <w:lvlJc w:val="left"/>
      <w:pPr>
        <w:tabs>
          <w:tab w:val="left" w:pos="3764"/>
        </w:tabs>
        <w:ind w:left="3600" w:hanging="1276"/>
      </w:pPr>
      <w:rPr>
        <w:rFonts w:hint="eastAsia" w:cs="Times New Roman"/>
      </w:rPr>
    </w:lvl>
    <w:lvl w:ilvl="7" w:tentative="0">
      <w:start w:val="1"/>
      <w:numFmt w:val="decimal"/>
      <w:lvlText w:val="%1.%2.%3.%4.%5.%6.%7.%8"/>
      <w:lvlJc w:val="left"/>
      <w:pPr>
        <w:tabs>
          <w:tab w:val="left" w:pos="4549"/>
        </w:tabs>
        <w:ind w:left="4167" w:hanging="1418"/>
      </w:pPr>
      <w:rPr>
        <w:rFonts w:hint="eastAsia" w:cs="Times New Roman"/>
      </w:rPr>
    </w:lvl>
    <w:lvl w:ilvl="8" w:tentative="0">
      <w:start w:val="1"/>
      <w:numFmt w:val="decimal"/>
      <w:lvlText w:val="%1.%2.%3.%4.%5.%6.%7.%8.%9"/>
      <w:lvlJc w:val="left"/>
      <w:pPr>
        <w:tabs>
          <w:tab w:val="left" w:pos="4975"/>
        </w:tabs>
        <w:ind w:left="4875" w:hanging="1700"/>
      </w:pPr>
      <w:rPr>
        <w:rFonts w:hint="eastAsia" w:cs="Times New Roman"/>
      </w:rPr>
    </w:lvl>
  </w:abstractNum>
  <w:abstractNum w:abstractNumId="4">
    <w:nsid w:val="0000000E"/>
    <w:multiLevelType w:val="multilevel"/>
    <w:tmpl w:val="0000000E"/>
    <w:lvl w:ilvl="0" w:tentative="0">
      <w:start w:val="5"/>
      <w:numFmt w:val="chineseCounting"/>
      <w:suff w:val="nothing"/>
      <w:lvlText w:val="（%1）"/>
      <w:lvlJc w:val="left"/>
      <w:rPr>
        <w:rFonts w:hint="eastAsia"/>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5">
    <w:nsid w:val="00000012"/>
    <w:multiLevelType w:val="singleLevel"/>
    <w:tmpl w:val="00000012"/>
    <w:lvl w:ilvl="0" w:tentative="0">
      <w:start w:val="1"/>
      <w:numFmt w:val="decimal"/>
      <w:pStyle w:val="5"/>
      <w:lvlText w:val="%1."/>
      <w:lvlJc w:val="left"/>
      <w:pPr>
        <w:tabs>
          <w:tab w:val="left" w:pos="360"/>
        </w:tabs>
        <w:ind w:left="360" w:hanging="360"/>
      </w:pPr>
    </w:lvl>
  </w:abstractNum>
  <w:abstractNum w:abstractNumId="6">
    <w:nsid w:val="08653DA4"/>
    <w:multiLevelType w:val="multilevel"/>
    <w:tmpl w:val="08653DA4"/>
    <w:lvl w:ilvl="0" w:tentative="0">
      <w:start w:val="1"/>
      <w:numFmt w:val="lowerLetter"/>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7">
    <w:nsid w:val="54F403B5"/>
    <w:multiLevelType w:val="singleLevel"/>
    <w:tmpl w:val="54F403B5"/>
    <w:lvl w:ilvl="0" w:tentative="0">
      <w:start w:val="1"/>
      <w:numFmt w:val="chineseCounting"/>
      <w:suff w:val="nothing"/>
      <w:lvlText w:val="%1、"/>
      <w:lvlJc w:val="left"/>
    </w:lvl>
  </w:abstractNum>
  <w:abstractNum w:abstractNumId="8">
    <w:nsid w:val="557FD3DA"/>
    <w:multiLevelType w:val="singleLevel"/>
    <w:tmpl w:val="557FD3DA"/>
    <w:lvl w:ilvl="0" w:tentative="0">
      <w:start w:val="3"/>
      <w:numFmt w:val="chineseCounting"/>
      <w:suff w:val="nothing"/>
      <w:lvlText w:val="%1、"/>
      <w:lvlJc w:val="left"/>
    </w:lvl>
  </w:abstractNum>
  <w:num w:numId="1">
    <w:abstractNumId w:val="5"/>
  </w:num>
  <w:num w:numId="2">
    <w:abstractNumId w:val="3"/>
  </w:num>
  <w:num w:numId="3">
    <w:abstractNumId w:val="1"/>
  </w:num>
  <w:num w:numId="4">
    <w:abstractNumId w:val="2"/>
  </w:num>
  <w:num w:numId="5">
    <w:abstractNumId w:val="4"/>
  </w:num>
  <w:num w:numId="6">
    <w:abstractNumId w:val="6"/>
  </w:num>
  <w:num w:numId="7">
    <w:abstractNumId w:val="0"/>
  </w:num>
  <w:num w:numId="8">
    <w:abstractNumId w:val="7"/>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zN2FiYTkxNGJkNTcwZjM5YjZhMGUzOGQ0OTFjYjYifQ=="/>
  </w:docVars>
  <w:rsids>
    <w:rsidRoot w:val="00AB5FE3"/>
    <w:rsid w:val="0000168F"/>
    <w:rsid w:val="00004F89"/>
    <w:rsid w:val="00011DD7"/>
    <w:rsid w:val="0001326B"/>
    <w:rsid w:val="0001464B"/>
    <w:rsid w:val="00014A84"/>
    <w:rsid w:val="00016C0E"/>
    <w:rsid w:val="000270B7"/>
    <w:rsid w:val="00032C39"/>
    <w:rsid w:val="00032D68"/>
    <w:rsid w:val="00034588"/>
    <w:rsid w:val="00034B49"/>
    <w:rsid w:val="00035284"/>
    <w:rsid w:val="00035E33"/>
    <w:rsid w:val="00044B1B"/>
    <w:rsid w:val="000463D0"/>
    <w:rsid w:val="000467F9"/>
    <w:rsid w:val="00050DC6"/>
    <w:rsid w:val="00050E76"/>
    <w:rsid w:val="000612AD"/>
    <w:rsid w:val="000617BF"/>
    <w:rsid w:val="000618A3"/>
    <w:rsid w:val="0006403F"/>
    <w:rsid w:val="0006500F"/>
    <w:rsid w:val="0006590B"/>
    <w:rsid w:val="000702CF"/>
    <w:rsid w:val="00071268"/>
    <w:rsid w:val="00076CEC"/>
    <w:rsid w:val="000775DD"/>
    <w:rsid w:val="0008336C"/>
    <w:rsid w:val="000852C9"/>
    <w:rsid w:val="000863D4"/>
    <w:rsid w:val="000969AD"/>
    <w:rsid w:val="0009748D"/>
    <w:rsid w:val="000A17A2"/>
    <w:rsid w:val="000A4B30"/>
    <w:rsid w:val="000A5ADB"/>
    <w:rsid w:val="000A6518"/>
    <w:rsid w:val="000A6592"/>
    <w:rsid w:val="000B12E2"/>
    <w:rsid w:val="000B2F27"/>
    <w:rsid w:val="000B5122"/>
    <w:rsid w:val="000C1EF8"/>
    <w:rsid w:val="000D2142"/>
    <w:rsid w:val="000D21B7"/>
    <w:rsid w:val="000D2BED"/>
    <w:rsid w:val="000D3D66"/>
    <w:rsid w:val="000D4629"/>
    <w:rsid w:val="000D4B2A"/>
    <w:rsid w:val="000D5C6D"/>
    <w:rsid w:val="000D7D31"/>
    <w:rsid w:val="000E2FB6"/>
    <w:rsid w:val="000E318F"/>
    <w:rsid w:val="000E321D"/>
    <w:rsid w:val="000E411A"/>
    <w:rsid w:val="000E4184"/>
    <w:rsid w:val="000E4AA2"/>
    <w:rsid w:val="000E6CA7"/>
    <w:rsid w:val="000F16A0"/>
    <w:rsid w:val="000F253D"/>
    <w:rsid w:val="000F4124"/>
    <w:rsid w:val="000F426C"/>
    <w:rsid w:val="000F5392"/>
    <w:rsid w:val="000F5EF3"/>
    <w:rsid w:val="00101356"/>
    <w:rsid w:val="00102952"/>
    <w:rsid w:val="00106043"/>
    <w:rsid w:val="001061D0"/>
    <w:rsid w:val="00107B30"/>
    <w:rsid w:val="00107B71"/>
    <w:rsid w:val="00114D92"/>
    <w:rsid w:val="00115F4C"/>
    <w:rsid w:val="00121E0D"/>
    <w:rsid w:val="0012301F"/>
    <w:rsid w:val="00124253"/>
    <w:rsid w:val="00132FDB"/>
    <w:rsid w:val="00133A2C"/>
    <w:rsid w:val="00141A29"/>
    <w:rsid w:val="001440B8"/>
    <w:rsid w:val="00145802"/>
    <w:rsid w:val="001459B9"/>
    <w:rsid w:val="001461E3"/>
    <w:rsid w:val="00150E21"/>
    <w:rsid w:val="0015266C"/>
    <w:rsid w:val="00152D2E"/>
    <w:rsid w:val="001615AB"/>
    <w:rsid w:val="00161BC2"/>
    <w:rsid w:val="001641F3"/>
    <w:rsid w:val="00167C03"/>
    <w:rsid w:val="001740BC"/>
    <w:rsid w:val="00181CC8"/>
    <w:rsid w:val="001869F4"/>
    <w:rsid w:val="001968E9"/>
    <w:rsid w:val="001A1281"/>
    <w:rsid w:val="001A5754"/>
    <w:rsid w:val="001A76EA"/>
    <w:rsid w:val="001B28F8"/>
    <w:rsid w:val="001C0D47"/>
    <w:rsid w:val="001C2E51"/>
    <w:rsid w:val="001D0D51"/>
    <w:rsid w:val="001D3D5B"/>
    <w:rsid w:val="001D4711"/>
    <w:rsid w:val="001D6E5B"/>
    <w:rsid w:val="001E5D19"/>
    <w:rsid w:val="001E615B"/>
    <w:rsid w:val="001E6AFD"/>
    <w:rsid w:val="001F0789"/>
    <w:rsid w:val="001F332C"/>
    <w:rsid w:val="001F3C5F"/>
    <w:rsid w:val="001F78C0"/>
    <w:rsid w:val="00201706"/>
    <w:rsid w:val="00202F98"/>
    <w:rsid w:val="00203ADC"/>
    <w:rsid w:val="0020541E"/>
    <w:rsid w:val="00215AB7"/>
    <w:rsid w:val="00220B38"/>
    <w:rsid w:val="00222553"/>
    <w:rsid w:val="002243DA"/>
    <w:rsid w:val="00225CCB"/>
    <w:rsid w:val="00225F6F"/>
    <w:rsid w:val="002275C3"/>
    <w:rsid w:val="0023271D"/>
    <w:rsid w:val="002330A4"/>
    <w:rsid w:val="002377F8"/>
    <w:rsid w:val="00240DDD"/>
    <w:rsid w:val="00241C04"/>
    <w:rsid w:val="002426CA"/>
    <w:rsid w:val="00242A21"/>
    <w:rsid w:val="002453AD"/>
    <w:rsid w:val="00245C15"/>
    <w:rsid w:val="002543EC"/>
    <w:rsid w:val="00256EF1"/>
    <w:rsid w:val="002612EC"/>
    <w:rsid w:val="00262B2F"/>
    <w:rsid w:val="002660D6"/>
    <w:rsid w:val="002674B0"/>
    <w:rsid w:val="002710FF"/>
    <w:rsid w:val="00274EBA"/>
    <w:rsid w:val="00276989"/>
    <w:rsid w:val="00284784"/>
    <w:rsid w:val="0028759E"/>
    <w:rsid w:val="00291D85"/>
    <w:rsid w:val="002933E3"/>
    <w:rsid w:val="00293CFE"/>
    <w:rsid w:val="0029521F"/>
    <w:rsid w:val="00295582"/>
    <w:rsid w:val="002A019B"/>
    <w:rsid w:val="002A4192"/>
    <w:rsid w:val="002A4841"/>
    <w:rsid w:val="002A4907"/>
    <w:rsid w:val="002A68D5"/>
    <w:rsid w:val="002B0352"/>
    <w:rsid w:val="002B0375"/>
    <w:rsid w:val="002B200A"/>
    <w:rsid w:val="002B43F8"/>
    <w:rsid w:val="002B53B4"/>
    <w:rsid w:val="002B7EDB"/>
    <w:rsid w:val="002C3A49"/>
    <w:rsid w:val="002C6065"/>
    <w:rsid w:val="002D1F52"/>
    <w:rsid w:val="002D26A2"/>
    <w:rsid w:val="002D36E0"/>
    <w:rsid w:val="002D42E7"/>
    <w:rsid w:val="002E5FD4"/>
    <w:rsid w:val="002E7688"/>
    <w:rsid w:val="002F06E7"/>
    <w:rsid w:val="002F2F39"/>
    <w:rsid w:val="00301ECC"/>
    <w:rsid w:val="003106A5"/>
    <w:rsid w:val="0031380D"/>
    <w:rsid w:val="003212FA"/>
    <w:rsid w:val="00327126"/>
    <w:rsid w:val="00330814"/>
    <w:rsid w:val="00331BEE"/>
    <w:rsid w:val="00332EF2"/>
    <w:rsid w:val="00333BB0"/>
    <w:rsid w:val="00340221"/>
    <w:rsid w:val="00351245"/>
    <w:rsid w:val="00353360"/>
    <w:rsid w:val="003557B7"/>
    <w:rsid w:val="00355836"/>
    <w:rsid w:val="00356063"/>
    <w:rsid w:val="00372A2A"/>
    <w:rsid w:val="00373F7D"/>
    <w:rsid w:val="00374B30"/>
    <w:rsid w:val="003842B2"/>
    <w:rsid w:val="00385D42"/>
    <w:rsid w:val="00390527"/>
    <w:rsid w:val="00391B8B"/>
    <w:rsid w:val="00392379"/>
    <w:rsid w:val="003A0456"/>
    <w:rsid w:val="003A2491"/>
    <w:rsid w:val="003A24E3"/>
    <w:rsid w:val="003A2AA2"/>
    <w:rsid w:val="003A2F08"/>
    <w:rsid w:val="003A4031"/>
    <w:rsid w:val="003A67FD"/>
    <w:rsid w:val="003B1012"/>
    <w:rsid w:val="003B5326"/>
    <w:rsid w:val="003B5363"/>
    <w:rsid w:val="003B73FE"/>
    <w:rsid w:val="003B7852"/>
    <w:rsid w:val="003C1B6A"/>
    <w:rsid w:val="003C313B"/>
    <w:rsid w:val="003C4072"/>
    <w:rsid w:val="003C454F"/>
    <w:rsid w:val="003C6227"/>
    <w:rsid w:val="003C72D4"/>
    <w:rsid w:val="003C7575"/>
    <w:rsid w:val="003D324F"/>
    <w:rsid w:val="003D3442"/>
    <w:rsid w:val="003D6F11"/>
    <w:rsid w:val="003D7403"/>
    <w:rsid w:val="003D7CFC"/>
    <w:rsid w:val="003E0589"/>
    <w:rsid w:val="003E0ACB"/>
    <w:rsid w:val="003E2537"/>
    <w:rsid w:val="003E4AFD"/>
    <w:rsid w:val="003E4DAC"/>
    <w:rsid w:val="003E58D7"/>
    <w:rsid w:val="003E5D41"/>
    <w:rsid w:val="003F1DCB"/>
    <w:rsid w:val="003F2936"/>
    <w:rsid w:val="003F4DCA"/>
    <w:rsid w:val="003F4F94"/>
    <w:rsid w:val="003F6DF9"/>
    <w:rsid w:val="00405B26"/>
    <w:rsid w:val="00410E75"/>
    <w:rsid w:val="004125C2"/>
    <w:rsid w:val="00412819"/>
    <w:rsid w:val="00415448"/>
    <w:rsid w:val="00416179"/>
    <w:rsid w:val="0041692F"/>
    <w:rsid w:val="004177C2"/>
    <w:rsid w:val="004200FC"/>
    <w:rsid w:val="004203CC"/>
    <w:rsid w:val="00421137"/>
    <w:rsid w:val="004216F6"/>
    <w:rsid w:val="00421803"/>
    <w:rsid w:val="00424D16"/>
    <w:rsid w:val="0042744D"/>
    <w:rsid w:val="00430D46"/>
    <w:rsid w:val="00433F9C"/>
    <w:rsid w:val="004366E0"/>
    <w:rsid w:val="0043798A"/>
    <w:rsid w:val="00445079"/>
    <w:rsid w:val="00445F54"/>
    <w:rsid w:val="004468CF"/>
    <w:rsid w:val="0045221B"/>
    <w:rsid w:val="004545EA"/>
    <w:rsid w:val="00455668"/>
    <w:rsid w:val="00457322"/>
    <w:rsid w:val="004621F1"/>
    <w:rsid w:val="00462A6E"/>
    <w:rsid w:val="00467155"/>
    <w:rsid w:val="00470383"/>
    <w:rsid w:val="00474872"/>
    <w:rsid w:val="004753DB"/>
    <w:rsid w:val="00476325"/>
    <w:rsid w:val="00477B1E"/>
    <w:rsid w:val="00480080"/>
    <w:rsid w:val="00481719"/>
    <w:rsid w:val="004851D5"/>
    <w:rsid w:val="004931EA"/>
    <w:rsid w:val="00493617"/>
    <w:rsid w:val="00496398"/>
    <w:rsid w:val="0049799B"/>
    <w:rsid w:val="004A101A"/>
    <w:rsid w:val="004A1F9D"/>
    <w:rsid w:val="004A2501"/>
    <w:rsid w:val="004A4411"/>
    <w:rsid w:val="004A558A"/>
    <w:rsid w:val="004A788A"/>
    <w:rsid w:val="004B323E"/>
    <w:rsid w:val="004B636D"/>
    <w:rsid w:val="004B7437"/>
    <w:rsid w:val="004C011E"/>
    <w:rsid w:val="004C47DE"/>
    <w:rsid w:val="004C58C9"/>
    <w:rsid w:val="004C6A2F"/>
    <w:rsid w:val="004C771D"/>
    <w:rsid w:val="004C782B"/>
    <w:rsid w:val="004D7BF2"/>
    <w:rsid w:val="004D7FC4"/>
    <w:rsid w:val="004E1C30"/>
    <w:rsid w:val="004E38C0"/>
    <w:rsid w:val="004E5932"/>
    <w:rsid w:val="004E6C18"/>
    <w:rsid w:val="004E7A56"/>
    <w:rsid w:val="004F048D"/>
    <w:rsid w:val="004F109F"/>
    <w:rsid w:val="004F1459"/>
    <w:rsid w:val="004F55A7"/>
    <w:rsid w:val="004F7A39"/>
    <w:rsid w:val="004F7AB2"/>
    <w:rsid w:val="00500F39"/>
    <w:rsid w:val="00502855"/>
    <w:rsid w:val="00511218"/>
    <w:rsid w:val="005136D4"/>
    <w:rsid w:val="00515773"/>
    <w:rsid w:val="0052459F"/>
    <w:rsid w:val="00525867"/>
    <w:rsid w:val="00525F1E"/>
    <w:rsid w:val="0053075F"/>
    <w:rsid w:val="005338A0"/>
    <w:rsid w:val="00534701"/>
    <w:rsid w:val="00534E1F"/>
    <w:rsid w:val="0054495C"/>
    <w:rsid w:val="00544F43"/>
    <w:rsid w:val="00545C49"/>
    <w:rsid w:val="005466CE"/>
    <w:rsid w:val="00547298"/>
    <w:rsid w:val="0054755C"/>
    <w:rsid w:val="00552DA3"/>
    <w:rsid w:val="00555794"/>
    <w:rsid w:val="00557E3A"/>
    <w:rsid w:val="00565831"/>
    <w:rsid w:val="00566C5D"/>
    <w:rsid w:val="0057379B"/>
    <w:rsid w:val="005769D9"/>
    <w:rsid w:val="0058132A"/>
    <w:rsid w:val="00592938"/>
    <w:rsid w:val="00592B83"/>
    <w:rsid w:val="00594727"/>
    <w:rsid w:val="00597FAD"/>
    <w:rsid w:val="005A307E"/>
    <w:rsid w:val="005A383C"/>
    <w:rsid w:val="005A4744"/>
    <w:rsid w:val="005A726A"/>
    <w:rsid w:val="005B0457"/>
    <w:rsid w:val="005B1B07"/>
    <w:rsid w:val="005B57F7"/>
    <w:rsid w:val="005C3299"/>
    <w:rsid w:val="005C368A"/>
    <w:rsid w:val="005C3C88"/>
    <w:rsid w:val="005D0934"/>
    <w:rsid w:val="005D18B2"/>
    <w:rsid w:val="005D1FC6"/>
    <w:rsid w:val="005D1FD1"/>
    <w:rsid w:val="005D3351"/>
    <w:rsid w:val="005D4990"/>
    <w:rsid w:val="005E04FF"/>
    <w:rsid w:val="005E51E2"/>
    <w:rsid w:val="005E5772"/>
    <w:rsid w:val="005E6731"/>
    <w:rsid w:val="005E6FD4"/>
    <w:rsid w:val="005E7AF6"/>
    <w:rsid w:val="005F0057"/>
    <w:rsid w:val="005F236D"/>
    <w:rsid w:val="005F3FD5"/>
    <w:rsid w:val="005F4324"/>
    <w:rsid w:val="005F4E0A"/>
    <w:rsid w:val="005F5B9E"/>
    <w:rsid w:val="005F71A3"/>
    <w:rsid w:val="0060124C"/>
    <w:rsid w:val="006016CC"/>
    <w:rsid w:val="006024CE"/>
    <w:rsid w:val="00604438"/>
    <w:rsid w:val="006052B3"/>
    <w:rsid w:val="00610096"/>
    <w:rsid w:val="0061210B"/>
    <w:rsid w:val="006127F8"/>
    <w:rsid w:val="00616A94"/>
    <w:rsid w:val="00617318"/>
    <w:rsid w:val="0062003B"/>
    <w:rsid w:val="0062375C"/>
    <w:rsid w:val="0062445C"/>
    <w:rsid w:val="006244B4"/>
    <w:rsid w:val="00626CF1"/>
    <w:rsid w:val="0062747B"/>
    <w:rsid w:val="00627A24"/>
    <w:rsid w:val="00627BE8"/>
    <w:rsid w:val="00627DC4"/>
    <w:rsid w:val="00631FF9"/>
    <w:rsid w:val="00632CE2"/>
    <w:rsid w:val="006349A8"/>
    <w:rsid w:val="00635390"/>
    <w:rsid w:val="006405DC"/>
    <w:rsid w:val="0065330D"/>
    <w:rsid w:val="00656ECC"/>
    <w:rsid w:val="006578B5"/>
    <w:rsid w:val="0066583C"/>
    <w:rsid w:val="00674991"/>
    <w:rsid w:val="0067566D"/>
    <w:rsid w:val="00675F0A"/>
    <w:rsid w:val="00681BC6"/>
    <w:rsid w:val="006860F7"/>
    <w:rsid w:val="00686370"/>
    <w:rsid w:val="00686EA9"/>
    <w:rsid w:val="00691F04"/>
    <w:rsid w:val="00693282"/>
    <w:rsid w:val="00693307"/>
    <w:rsid w:val="0069393A"/>
    <w:rsid w:val="00693B0F"/>
    <w:rsid w:val="0069503E"/>
    <w:rsid w:val="006A0002"/>
    <w:rsid w:val="006A33F2"/>
    <w:rsid w:val="006A3672"/>
    <w:rsid w:val="006A41A2"/>
    <w:rsid w:val="006B20D8"/>
    <w:rsid w:val="006B6ADE"/>
    <w:rsid w:val="006B6EA2"/>
    <w:rsid w:val="006C0181"/>
    <w:rsid w:val="006C24C3"/>
    <w:rsid w:val="006C2BD1"/>
    <w:rsid w:val="006C36EA"/>
    <w:rsid w:val="006C40FC"/>
    <w:rsid w:val="006C593C"/>
    <w:rsid w:val="006C5C1B"/>
    <w:rsid w:val="006C74F7"/>
    <w:rsid w:val="006C75AE"/>
    <w:rsid w:val="006C7A28"/>
    <w:rsid w:val="006E2474"/>
    <w:rsid w:val="006E3AA9"/>
    <w:rsid w:val="006E41EF"/>
    <w:rsid w:val="006E7140"/>
    <w:rsid w:val="006E72C4"/>
    <w:rsid w:val="006F1F2B"/>
    <w:rsid w:val="006F55FA"/>
    <w:rsid w:val="00700271"/>
    <w:rsid w:val="007004B9"/>
    <w:rsid w:val="007010C0"/>
    <w:rsid w:val="00701C31"/>
    <w:rsid w:val="0070231F"/>
    <w:rsid w:val="00707948"/>
    <w:rsid w:val="007103AD"/>
    <w:rsid w:val="007123FF"/>
    <w:rsid w:val="007146EC"/>
    <w:rsid w:val="00720573"/>
    <w:rsid w:val="007208E1"/>
    <w:rsid w:val="0072118D"/>
    <w:rsid w:val="00731DF0"/>
    <w:rsid w:val="00731FE1"/>
    <w:rsid w:val="007331F9"/>
    <w:rsid w:val="00734EB8"/>
    <w:rsid w:val="00735A52"/>
    <w:rsid w:val="00736F90"/>
    <w:rsid w:val="0073705A"/>
    <w:rsid w:val="00742014"/>
    <w:rsid w:val="00742124"/>
    <w:rsid w:val="00742940"/>
    <w:rsid w:val="00742C4F"/>
    <w:rsid w:val="00743B2C"/>
    <w:rsid w:val="00746DA9"/>
    <w:rsid w:val="0075010D"/>
    <w:rsid w:val="007535BC"/>
    <w:rsid w:val="00753C83"/>
    <w:rsid w:val="0076029F"/>
    <w:rsid w:val="007602D5"/>
    <w:rsid w:val="00764A1F"/>
    <w:rsid w:val="0076592F"/>
    <w:rsid w:val="00765C21"/>
    <w:rsid w:val="0077013F"/>
    <w:rsid w:val="00772112"/>
    <w:rsid w:val="0077215C"/>
    <w:rsid w:val="00774D3C"/>
    <w:rsid w:val="007764A5"/>
    <w:rsid w:val="0077753E"/>
    <w:rsid w:val="00780338"/>
    <w:rsid w:val="007845E2"/>
    <w:rsid w:val="00792EE0"/>
    <w:rsid w:val="00795B24"/>
    <w:rsid w:val="00797517"/>
    <w:rsid w:val="007A2884"/>
    <w:rsid w:val="007A3B87"/>
    <w:rsid w:val="007A480C"/>
    <w:rsid w:val="007A5323"/>
    <w:rsid w:val="007A5469"/>
    <w:rsid w:val="007A7A2B"/>
    <w:rsid w:val="007A7DFC"/>
    <w:rsid w:val="007B322F"/>
    <w:rsid w:val="007B6548"/>
    <w:rsid w:val="007B7162"/>
    <w:rsid w:val="007C1180"/>
    <w:rsid w:val="007C3BBB"/>
    <w:rsid w:val="007C479C"/>
    <w:rsid w:val="007C5B24"/>
    <w:rsid w:val="007C5DF7"/>
    <w:rsid w:val="007C68B4"/>
    <w:rsid w:val="007C720F"/>
    <w:rsid w:val="007D00E5"/>
    <w:rsid w:val="007D3713"/>
    <w:rsid w:val="007D3F75"/>
    <w:rsid w:val="007E782E"/>
    <w:rsid w:val="007F1435"/>
    <w:rsid w:val="007F2F89"/>
    <w:rsid w:val="007F4020"/>
    <w:rsid w:val="007F5BAC"/>
    <w:rsid w:val="00801CD4"/>
    <w:rsid w:val="00801F8A"/>
    <w:rsid w:val="008113C9"/>
    <w:rsid w:val="00814E78"/>
    <w:rsid w:val="00816B9A"/>
    <w:rsid w:val="00820CD3"/>
    <w:rsid w:val="00821940"/>
    <w:rsid w:val="008232E4"/>
    <w:rsid w:val="008235B2"/>
    <w:rsid w:val="008243A4"/>
    <w:rsid w:val="00825377"/>
    <w:rsid w:val="0083085C"/>
    <w:rsid w:val="008333A1"/>
    <w:rsid w:val="00836470"/>
    <w:rsid w:val="00844285"/>
    <w:rsid w:val="00847773"/>
    <w:rsid w:val="00850FEB"/>
    <w:rsid w:val="00854EC9"/>
    <w:rsid w:val="00857B79"/>
    <w:rsid w:val="00870FA5"/>
    <w:rsid w:val="00871CF2"/>
    <w:rsid w:val="00873439"/>
    <w:rsid w:val="008743E0"/>
    <w:rsid w:val="00874B5F"/>
    <w:rsid w:val="0087712D"/>
    <w:rsid w:val="00881AA0"/>
    <w:rsid w:val="00882D9B"/>
    <w:rsid w:val="008862C5"/>
    <w:rsid w:val="008A1024"/>
    <w:rsid w:val="008A2221"/>
    <w:rsid w:val="008A587F"/>
    <w:rsid w:val="008B14DB"/>
    <w:rsid w:val="008B291E"/>
    <w:rsid w:val="008B38A7"/>
    <w:rsid w:val="008B3D11"/>
    <w:rsid w:val="008B4615"/>
    <w:rsid w:val="008B5FC9"/>
    <w:rsid w:val="008B78DA"/>
    <w:rsid w:val="008B7920"/>
    <w:rsid w:val="008C5289"/>
    <w:rsid w:val="008C5600"/>
    <w:rsid w:val="008C65D5"/>
    <w:rsid w:val="008D043A"/>
    <w:rsid w:val="008D0FC6"/>
    <w:rsid w:val="008D2C7E"/>
    <w:rsid w:val="008D3893"/>
    <w:rsid w:val="008D46D8"/>
    <w:rsid w:val="008D4B18"/>
    <w:rsid w:val="008D54A5"/>
    <w:rsid w:val="008E2186"/>
    <w:rsid w:val="008E3303"/>
    <w:rsid w:val="008E5B92"/>
    <w:rsid w:val="008E655F"/>
    <w:rsid w:val="008F18B4"/>
    <w:rsid w:val="008F60B1"/>
    <w:rsid w:val="008F6384"/>
    <w:rsid w:val="008F7798"/>
    <w:rsid w:val="009016DF"/>
    <w:rsid w:val="0090366B"/>
    <w:rsid w:val="00904DC7"/>
    <w:rsid w:val="00910C13"/>
    <w:rsid w:val="00913578"/>
    <w:rsid w:val="00914E6F"/>
    <w:rsid w:val="009166B9"/>
    <w:rsid w:val="009170C1"/>
    <w:rsid w:val="00920906"/>
    <w:rsid w:val="00923292"/>
    <w:rsid w:val="0092356A"/>
    <w:rsid w:val="00924E3D"/>
    <w:rsid w:val="00931BDB"/>
    <w:rsid w:val="00935718"/>
    <w:rsid w:val="00935D0C"/>
    <w:rsid w:val="00935E40"/>
    <w:rsid w:val="009435F0"/>
    <w:rsid w:val="0094419B"/>
    <w:rsid w:val="00950240"/>
    <w:rsid w:val="009511FC"/>
    <w:rsid w:val="00951D07"/>
    <w:rsid w:val="00952C95"/>
    <w:rsid w:val="0095357D"/>
    <w:rsid w:val="00961A4E"/>
    <w:rsid w:val="00965455"/>
    <w:rsid w:val="009670D1"/>
    <w:rsid w:val="009679CA"/>
    <w:rsid w:val="00972E64"/>
    <w:rsid w:val="00974BFB"/>
    <w:rsid w:val="009804FC"/>
    <w:rsid w:val="00980D80"/>
    <w:rsid w:val="00981FAC"/>
    <w:rsid w:val="00984B13"/>
    <w:rsid w:val="00985687"/>
    <w:rsid w:val="00987F7D"/>
    <w:rsid w:val="00991A9C"/>
    <w:rsid w:val="0099316D"/>
    <w:rsid w:val="009941A1"/>
    <w:rsid w:val="00994B8C"/>
    <w:rsid w:val="00994EB4"/>
    <w:rsid w:val="00995D55"/>
    <w:rsid w:val="009962A8"/>
    <w:rsid w:val="00996598"/>
    <w:rsid w:val="009A32BE"/>
    <w:rsid w:val="009A3556"/>
    <w:rsid w:val="009A39D2"/>
    <w:rsid w:val="009A5F20"/>
    <w:rsid w:val="009A5FBE"/>
    <w:rsid w:val="009A6659"/>
    <w:rsid w:val="009B64EF"/>
    <w:rsid w:val="009B75AE"/>
    <w:rsid w:val="009C0849"/>
    <w:rsid w:val="009C2673"/>
    <w:rsid w:val="009C4703"/>
    <w:rsid w:val="009C4D18"/>
    <w:rsid w:val="009C4E0A"/>
    <w:rsid w:val="009C5F23"/>
    <w:rsid w:val="009C6B17"/>
    <w:rsid w:val="009C6C76"/>
    <w:rsid w:val="009C6F2E"/>
    <w:rsid w:val="009C7502"/>
    <w:rsid w:val="009D7A66"/>
    <w:rsid w:val="009E492F"/>
    <w:rsid w:val="009F1F69"/>
    <w:rsid w:val="009F33CA"/>
    <w:rsid w:val="009F52A2"/>
    <w:rsid w:val="009F7182"/>
    <w:rsid w:val="009F721D"/>
    <w:rsid w:val="00A058B3"/>
    <w:rsid w:val="00A067E5"/>
    <w:rsid w:val="00A069DE"/>
    <w:rsid w:val="00A07366"/>
    <w:rsid w:val="00A07D6D"/>
    <w:rsid w:val="00A10B01"/>
    <w:rsid w:val="00A10D83"/>
    <w:rsid w:val="00A23362"/>
    <w:rsid w:val="00A24369"/>
    <w:rsid w:val="00A25E50"/>
    <w:rsid w:val="00A26EDF"/>
    <w:rsid w:val="00A311D9"/>
    <w:rsid w:val="00A313A5"/>
    <w:rsid w:val="00A317EC"/>
    <w:rsid w:val="00A375A8"/>
    <w:rsid w:val="00A40479"/>
    <w:rsid w:val="00A4072E"/>
    <w:rsid w:val="00A43D2A"/>
    <w:rsid w:val="00A4405F"/>
    <w:rsid w:val="00A4547C"/>
    <w:rsid w:val="00A56FCB"/>
    <w:rsid w:val="00A64C60"/>
    <w:rsid w:val="00A65829"/>
    <w:rsid w:val="00A70357"/>
    <w:rsid w:val="00A71630"/>
    <w:rsid w:val="00A72290"/>
    <w:rsid w:val="00A731DC"/>
    <w:rsid w:val="00A74057"/>
    <w:rsid w:val="00A74B76"/>
    <w:rsid w:val="00A74E83"/>
    <w:rsid w:val="00A7784D"/>
    <w:rsid w:val="00A77B94"/>
    <w:rsid w:val="00A8033F"/>
    <w:rsid w:val="00A828BB"/>
    <w:rsid w:val="00A848E3"/>
    <w:rsid w:val="00A84AA5"/>
    <w:rsid w:val="00A90C62"/>
    <w:rsid w:val="00A918D2"/>
    <w:rsid w:val="00A9441D"/>
    <w:rsid w:val="00AA21E4"/>
    <w:rsid w:val="00AA6A78"/>
    <w:rsid w:val="00AB0965"/>
    <w:rsid w:val="00AB1107"/>
    <w:rsid w:val="00AB153E"/>
    <w:rsid w:val="00AB223C"/>
    <w:rsid w:val="00AB5FE3"/>
    <w:rsid w:val="00AC0103"/>
    <w:rsid w:val="00AC17F4"/>
    <w:rsid w:val="00AC3ECE"/>
    <w:rsid w:val="00AC79FD"/>
    <w:rsid w:val="00AC7B1C"/>
    <w:rsid w:val="00AD1B9C"/>
    <w:rsid w:val="00AD1BFF"/>
    <w:rsid w:val="00AD34E4"/>
    <w:rsid w:val="00AD5B3E"/>
    <w:rsid w:val="00AE4582"/>
    <w:rsid w:val="00AE4884"/>
    <w:rsid w:val="00AE6442"/>
    <w:rsid w:val="00AE68B7"/>
    <w:rsid w:val="00AE6B60"/>
    <w:rsid w:val="00AE759D"/>
    <w:rsid w:val="00AE7BA0"/>
    <w:rsid w:val="00AF0DFA"/>
    <w:rsid w:val="00AF3DEF"/>
    <w:rsid w:val="00AF57C1"/>
    <w:rsid w:val="00AF648F"/>
    <w:rsid w:val="00B0219E"/>
    <w:rsid w:val="00B0419B"/>
    <w:rsid w:val="00B06D8C"/>
    <w:rsid w:val="00B07B5D"/>
    <w:rsid w:val="00B07CCD"/>
    <w:rsid w:val="00B10101"/>
    <w:rsid w:val="00B12B51"/>
    <w:rsid w:val="00B1433F"/>
    <w:rsid w:val="00B16C1C"/>
    <w:rsid w:val="00B17D41"/>
    <w:rsid w:val="00B217EC"/>
    <w:rsid w:val="00B24608"/>
    <w:rsid w:val="00B26237"/>
    <w:rsid w:val="00B360BE"/>
    <w:rsid w:val="00B3638B"/>
    <w:rsid w:val="00B36DD9"/>
    <w:rsid w:val="00B40D97"/>
    <w:rsid w:val="00B4502D"/>
    <w:rsid w:val="00B4695C"/>
    <w:rsid w:val="00B53099"/>
    <w:rsid w:val="00B641A5"/>
    <w:rsid w:val="00B641BE"/>
    <w:rsid w:val="00B64972"/>
    <w:rsid w:val="00B76EEF"/>
    <w:rsid w:val="00B80B26"/>
    <w:rsid w:val="00B846EE"/>
    <w:rsid w:val="00B84830"/>
    <w:rsid w:val="00B854C8"/>
    <w:rsid w:val="00B86F20"/>
    <w:rsid w:val="00B873B1"/>
    <w:rsid w:val="00B87A7D"/>
    <w:rsid w:val="00B935DA"/>
    <w:rsid w:val="00BA29D3"/>
    <w:rsid w:val="00BA5656"/>
    <w:rsid w:val="00BA6B69"/>
    <w:rsid w:val="00BA7E49"/>
    <w:rsid w:val="00BB4A15"/>
    <w:rsid w:val="00BB4D17"/>
    <w:rsid w:val="00BB7118"/>
    <w:rsid w:val="00BC268E"/>
    <w:rsid w:val="00BC3466"/>
    <w:rsid w:val="00BC6DCC"/>
    <w:rsid w:val="00BC714B"/>
    <w:rsid w:val="00BC73CC"/>
    <w:rsid w:val="00BD0D89"/>
    <w:rsid w:val="00BD30A4"/>
    <w:rsid w:val="00BD5AE6"/>
    <w:rsid w:val="00BD73C8"/>
    <w:rsid w:val="00BD763C"/>
    <w:rsid w:val="00BE0230"/>
    <w:rsid w:val="00BE14B7"/>
    <w:rsid w:val="00BE3098"/>
    <w:rsid w:val="00BE33BD"/>
    <w:rsid w:val="00BE4A2E"/>
    <w:rsid w:val="00BE77F8"/>
    <w:rsid w:val="00BF0A48"/>
    <w:rsid w:val="00BF182C"/>
    <w:rsid w:val="00C01265"/>
    <w:rsid w:val="00C077A5"/>
    <w:rsid w:val="00C07B39"/>
    <w:rsid w:val="00C107EA"/>
    <w:rsid w:val="00C1158F"/>
    <w:rsid w:val="00C12CBC"/>
    <w:rsid w:val="00C172DA"/>
    <w:rsid w:val="00C2011D"/>
    <w:rsid w:val="00C2724D"/>
    <w:rsid w:val="00C31186"/>
    <w:rsid w:val="00C356ED"/>
    <w:rsid w:val="00C3695E"/>
    <w:rsid w:val="00C45C76"/>
    <w:rsid w:val="00C47EC6"/>
    <w:rsid w:val="00C517E3"/>
    <w:rsid w:val="00C52119"/>
    <w:rsid w:val="00C553E5"/>
    <w:rsid w:val="00C6025B"/>
    <w:rsid w:val="00C61892"/>
    <w:rsid w:val="00C620DD"/>
    <w:rsid w:val="00C62572"/>
    <w:rsid w:val="00C6365B"/>
    <w:rsid w:val="00C66025"/>
    <w:rsid w:val="00C66AC5"/>
    <w:rsid w:val="00C7123F"/>
    <w:rsid w:val="00C74E46"/>
    <w:rsid w:val="00C77DCD"/>
    <w:rsid w:val="00C84765"/>
    <w:rsid w:val="00C86DC4"/>
    <w:rsid w:val="00C910A5"/>
    <w:rsid w:val="00C97542"/>
    <w:rsid w:val="00CA5575"/>
    <w:rsid w:val="00CA5CAE"/>
    <w:rsid w:val="00CB20F7"/>
    <w:rsid w:val="00CB22C3"/>
    <w:rsid w:val="00CB5043"/>
    <w:rsid w:val="00CB5FF5"/>
    <w:rsid w:val="00CB7ACD"/>
    <w:rsid w:val="00CB7DD5"/>
    <w:rsid w:val="00CC2FA2"/>
    <w:rsid w:val="00CC4143"/>
    <w:rsid w:val="00CC4579"/>
    <w:rsid w:val="00CD16C7"/>
    <w:rsid w:val="00CD17B7"/>
    <w:rsid w:val="00CD7563"/>
    <w:rsid w:val="00CE0DE0"/>
    <w:rsid w:val="00CE1B67"/>
    <w:rsid w:val="00CE48A1"/>
    <w:rsid w:val="00CE5119"/>
    <w:rsid w:val="00CE5FC2"/>
    <w:rsid w:val="00CF21F1"/>
    <w:rsid w:val="00CF2ADB"/>
    <w:rsid w:val="00CF3FFB"/>
    <w:rsid w:val="00CF467D"/>
    <w:rsid w:val="00CF565D"/>
    <w:rsid w:val="00D00C37"/>
    <w:rsid w:val="00D012D7"/>
    <w:rsid w:val="00D1084F"/>
    <w:rsid w:val="00D10D03"/>
    <w:rsid w:val="00D14951"/>
    <w:rsid w:val="00D16128"/>
    <w:rsid w:val="00D17054"/>
    <w:rsid w:val="00D17B90"/>
    <w:rsid w:val="00D21901"/>
    <w:rsid w:val="00D25043"/>
    <w:rsid w:val="00D25999"/>
    <w:rsid w:val="00D2692E"/>
    <w:rsid w:val="00D26BB3"/>
    <w:rsid w:val="00D26D2A"/>
    <w:rsid w:val="00D27516"/>
    <w:rsid w:val="00D30A65"/>
    <w:rsid w:val="00D33B28"/>
    <w:rsid w:val="00D34020"/>
    <w:rsid w:val="00D36A9E"/>
    <w:rsid w:val="00D36E0A"/>
    <w:rsid w:val="00D4257B"/>
    <w:rsid w:val="00D44F7F"/>
    <w:rsid w:val="00D462EB"/>
    <w:rsid w:val="00D4683D"/>
    <w:rsid w:val="00D4703F"/>
    <w:rsid w:val="00D51D95"/>
    <w:rsid w:val="00D520A4"/>
    <w:rsid w:val="00D5212B"/>
    <w:rsid w:val="00D549F0"/>
    <w:rsid w:val="00D57C37"/>
    <w:rsid w:val="00D60C7F"/>
    <w:rsid w:val="00D633B9"/>
    <w:rsid w:val="00D633CE"/>
    <w:rsid w:val="00D64DE0"/>
    <w:rsid w:val="00D73A6D"/>
    <w:rsid w:val="00D74E64"/>
    <w:rsid w:val="00D76E22"/>
    <w:rsid w:val="00D80BB6"/>
    <w:rsid w:val="00D8497B"/>
    <w:rsid w:val="00D85358"/>
    <w:rsid w:val="00D85407"/>
    <w:rsid w:val="00D86FDD"/>
    <w:rsid w:val="00D90729"/>
    <w:rsid w:val="00D90F43"/>
    <w:rsid w:val="00D936D5"/>
    <w:rsid w:val="00D95F37"/>
    <w:rsid w:val="00D9613B"/>
    <w:rsid w:val="00D9793F"/>
    <w:rsid w:val="00DA034B"/>
    <w:rsid w:val="00DA1D3F"/>
    <w:rsid w:val="00DA57B8"/>
    <w:rsid w:val="00DA6BD7"/>
    <w:rsid w:val="00DB333F"/>
    <w:rsid w:val="00DB46B0"/>
    <w:rsid w:val="00DB770D"/>
    <w:rsid w:val="00DC0DB4"/>
    <w:rsid w:val="00DC4914"/>
    <w:rsid w:val="00DC5D58"/>
    <w:rsid w:val="00DC7BDD"/>
    <w:rsid w:val="00DD3839"/>
    <w:rsid w:val="00DD4D6B"/>
    <w:rsid w:val="00DD66CE"/>
    <w:rsid w:val="00DE64A3"/>
    <w:rsid w:val="00DE671F"/>
    <w:rsid w:val="00DE71BA"/>
    <w:rsid w:val="00DF18DA"/>
    <w:rsid w:val="00E00503"/>
    <w:rsid w:val="00E00510"/>
    <w:rsid w:val="00E147A3"/>
    <w:rsid w:val="00E161F4"/>
    <w:rsid w:val="00E2134F"/>
    <w:rsid w:val="00E23020"/>
    <w:rsid w:val="00E32E77"/>
    <w:rsid w:val="00E36B5A"/>
    <w:rsid w:val="00E4164B"/>
    <w:rsid w:val="00E41DA6"/>
    <w:rsid w:val="00E42759"/>
    <w:rsid w:val="00E47D5B"/>
    <w:rsid w:val="00E5243D"/>
    <w:rsid w:val="00E52803"/>
    <w:rsid w:val="00E55443"/>
    <w:rsid w:val="00E55588"/>
    <w:rsid w:val="00E55C5F"/>
    <w:rsid w:val="00E55FFB"/>
    <w:rsid w:val="00E57E62"/>
    <w:rsid w:val="00E61FD8"/>
    <w:rsid w:val="00E63B44"/>
    <w:rsid w:val="00E64677"/>
    <w:rsid w:val="00E6754A"/>
    <w:rsid w:val="00E70AC5"/>
    <w:rsid w:val="00E71FFA"/>
    <w:rsid w:val="00E721D7"/>
    <w:rsid w:val="00E727C4"/>
    <w:rsid w:val="00E75064"/>
    <w:rsid w:val="00E774AC"/>
    <w:rsid w:val="00E82531"/>
    <w:rsid w:val="00E840DB"/>
    <w:rsid w:val="00E86206"/>
    <w:rsid w:val="00E90243"/>
    <w:rsid w:val="00E90DE8"/>
    <w:rsid w:val="00E93DA9"/>
    <w:rsid w:val="00EA0F3E"/>
    <w:rsid w:val="00EA2309"/>
    <w:rsid w:val="00EA40E8"/>
    <w:rsid w:val="00EA41E7"/>
    <w:rsid w:val="00EA5533"/>
    <w:rsid w:val="00EB0C20"/>
    <w:rsid w:val="00EB1644"/>
    <w:rsid w:val="00EB51FA"/>
    <w:rsid w:val="00EB52A2"/>
    <w:rsid w:val="00EB5970"/>
    <w:rsid w:val="00EB5C09"/>
    <w:rsid w:val="00EC3711"/>
    <w:rsid w:val="00EC4965"/>
    <w:rsid w:val="00EC6219"/>
    <w:rsid w:val="00EC7FBB"/>
    <w:rsid w:val="00ED1427"/>
    <w:rsid w:val="00ED52D9"/>
    <w:rsid w:val="00ED6AEC"/>
    <w:rsid w:val="00ED70F5"/>
    <w:rsid w:val="00EE0C36"/>
    <w:rsid w:val="00EE3CAE"/>
    <w:rsid w:val="00EE3FF1"/>
    <w:rsid w:val="00EE580E"/>
    <w:rsid w:val="00EF16AC"/>
    <w:rsid w:val="00EF3339"/>
    <w:rsid w:val="00EF390A"/>
    <w:rsid w:val="00EF3BF9"/>
    <w:rsid w:val="00EF660A"/>
    <w:rsid w:val="00EF66C6"/>
    <w:rsid w:val="00F007D0"/>
    <w:rsid w:val="00F02444"/>
    <w:rsid w:val="00F05C8B"/>
    <w:rsid w:val="00F06CA4"/>
    <w:rsid w:val="00F1175D"/>
    <w:rsid w:val="00F161B5"/>
    <w:rsid w:val="00F2123C"/>
    <w:rsid w:val="00F22DE1"/>
    <w:rsid w:val="00F2446D"/>
    <w:rsid w:val="00F247C9"/>
    <w:rsid w:val="00F27F19"/>
    <w:rsid w:val="00F30BDB"/>
    <w:rsid w:val="00F31BA9"/>
    <w:rsid w:val="00F32FF9"/>
    <w:rsid w:val="00F35149"/>
    <w:rsid w:val="00F352D8"/>
    <w:rsid w:val="00F40539"/>
    <w:rsid w:val="00F4123C"/>
    <w:rsid w:val="00F45362"/>
    <w:rsid w:val="00F453A0"/>
    <w:rsid w:val="00F45C27"/>
    <w:rsid w:val="00F4641D"/>
    <w:rsid w:val="00F46A55"/>
    <w:rsid w:val="00F507A8"/>
    <w:rsid w:val="00F55322"/>
    <w:rsid w:val="00F63576"/>
    <w:rsid w:val="00F64FB7"/>
    <w:rsid w:val="00F6766D"/>
    <w:rsid w:val="00F7262B"/>
    <w:rsid w:val="00F76403"/>
    <w:rsid w:val="00F808DE"/>
    <w:rsid w:val="00F81260"/>
    <w:rsid w:val="00F86BC1"/>
    <w:rsid w:val="00F90BB1"/>
    <w:rsid w:val="00F91376"/>
    <w:rsid w:val="00F92550"/>
    <w:rsid w:val="00F93CB8"/>
    <w:rsid w:val="00FA571B"/>
    <w:rsid w:val="00FA5944"/>
    <w:rsid w:val="00FA7C76"/>
    <w:rsid w:val="00FB04FA"/>
    <w:rsid w:val="00FB0639"/>
    <w:rsid w:val="00FB17F0"/>
    <w:rsid w:val="00FB36D3"/>
    <w:rsid w:val="00FC0BA8"/>
    <w:rsid w:val="00FC10E1"/>
    <w:rsid w:val="00FC49D3"/>
    <w:rsid w:val="00FD25A9"/>
    <w:rsid w:val="00FD3205"/>
    <w:rsid w:val="00FD444D"/>
    <w:rsid w:val="00FE2451"/>
    <w:rsid w:val="00FE3987"/>
    <w:rsid w:val="00FE4185"/>
    <w:rsid w:val="00FE422E"/>
    <w:rsid w:val="00FE47B5"/>
    <w:rsid w:val="00FE77EF"/>
    <w:rsid w:val="00FE7E8E"/>
    <w:rsid w:val="00FF0526"/>
    <w:rsid w:val="010B2105"/>
    <w:rsid w:val="01287B62"/>
    <w:rsid w:val="012A4559"/>
    <w:rsid w:val="01536131"/>
    <w:rsid w:val="015417F3"/>
    <w:rsid w:val="01643005"/>
    <w:rsid w:val="01655E65"/>
    <w:rsid w:val="0170404F"/>
    <w:rsid w:val="0174207F"/>
    <w:rsid w:val="01A377C4"/>
    <w:rsid w:val="01B509F6"/>
    <w:rsid w:val="01BF5307"/>
    <w:rsid w:val="01CF1291"/>
    <w:rsid w:val="02076F1C"/>
    <w:rsid w:val="02251150"/>
    <w:rsid w:val="02493F94"/>
    <w:rsid w:val="024F2CB5"/>
    <w:rsid w:val="027C7B04"/>
    <w:rsid w:val="028B18FB"/>
    <w:rsid w:val="02941414"/>
    <w:rsid w:val="02EA4873"/>
    <w:rsid w:val="02ED2ADF"/>
    <w:rsid w:val="03214D8F"/>
    <w:rsid w:val="034501C2"/>
    <w:rsid w:val="03547F3F"/>
    <w:rsid w:val="035555FE"/>
    <w:rsid w:val="038C2D03"/>
    <w:rsid w:val="03A013D6"/>
    <w:rsid w:val="03A61A90"/>
    <w:rsid w:val="03C86237"/>
    <w:rsid w:val="03CF5817"/>
    <w:rsid w:val="03E2554B"/>
    <w:rsid w:val="03E70DB3"/>
    <w:rsid w:val="04221DEB"/>
    <w:rsid w:val="04245B63"/>
    <w:rsid w:val="04274596"/>
    <w:rsid w:val="04433290"/>
    <w:rsid w:val="04470863"/>
    <w:rsid w:val="04557289"/>
    <w:rsid w:val="047563BF"/>
    <w:rsid w:val="047D1717"/>
    <w:rsid w:val="0486399B"/>
    <w:rsid w:val="04CA4554"/>
    <w:rsid w:val="04D3598A"/>
    <w:rsid w:val="04DA0918"/>
    <w:rsid w:val="04DA1079"/>
    <w:rsid w:val="04F62D89"/>
    <w:rsid w:val="050F05C1"/>
    <w:rsid w:val="05235E1B"/>
    <w:rsid w:val="05393890"/>
    <w:rsid w:val="053C512E"/>
    <w:rsid w:val="05443DE5"/>
    <w:rsid w:val="0554592F"/>
    <w:rsid w:val="055F2BCB"/>
    <w:rsid w:val="05656433"/>
    <w:rsid w:val="05740424"/>
    <w:rsid w:val="05B434F9"/>
    <w:rsid w:val="05B43936"/>
    <w:rsid w:val="05CF5FA2"/>
    <w:rsid w:val="05EE467B"/>
    <w:rsid w:val="05F00536"/>
    <w:rsid w:val="05F451DC"/>
    <w:rsid w:val="05F477B7"/>
    <w:rsid w:val="06092260"/>
    <w:rsid w:val="0627337D"/>
    <w:rsid w:val="063861E7"/>
    <w:rsid w:val="06407E99"/>
    <w:rsid w:val="065B5A88"/>
    <w:rsid w:val="065F4583"/>
    <w:rsid w:val="066F5090"/>
    <w:rsid w:val="06D82C35"/>
    <w:rsid w:val="06E4782C"/>
    <w:rsid w:val="06FC526D"/>
    <w:rsid w:val="07163DF5"/>
    <w:rsid w:val="07163EFA"/>
    <w:rsid w:val="07166774"/>
    <w:rsid w:val="071F036A"/>
    <w:rsid w:val="07277465"/>
    <w:rsid w:val="07683FB9"/>
    <w:rsid w:val="079C6A52"/>
    <w:rsid w:val="07A019A5"/>
    <w:rsid w:val="07B2792A"/>
    <w:rsid w:val="07C531B9"/>
    <w:rsid w:val="07CC09EB"/>
    <w:rsid w:val="07DD49A7"/>
    <w:rsid w:val="07DD595F"/>
    <w:rsid w:val="080D0C0C"/>
    <w:rsid w:val="08144141"/>
    <w:rsid w:val="08163A15"/>
    <w:rsid w:val="082E5202"/>
    <w:rsid w:val="08326637"/>
    <w:rsid w:val="08344047"/>
    <w:rsid w:val="084D427C"/>
    <w:rsid w:val="0867496B"/>
    <w:rsid w:val="08966904"/>
    <w:rsid w:val="08A35402"/>
    <w:rsid w:val="08FB569F"/>
    <w:rsid w:val="09061ADF"/>
    <w:rsid w:val="09063077"/>
    <w:rsid w:val="090F7036"/>
    <w:rsid w:val="090F7BFD"/>
    <w:rsid w:val="091268D2"/>
    <w:rsid w:val="093A7BD7"/>
    <w:rsid w:val="096919AA"/>
    <w:rsid w:val="097C3D4B"/>
    <w:rsid w:val="097E3F67"/>
    <w:rsid w:val="097F1A8E"/>
    <w:rsid w:val="09A146FA"/>
    <w:rsid w:val="09C0632E"/>
    <w:rsid w:val="09C267B8"/>
    <w:rsid w:val="09F2225F"/>
    <w:rsid w:val="0A081A83"/>
    <w:rsid w:val="0A0E4EFB"/>
    <w:rsid w:val="0A2368BD"/>
    <w:rsid w:val="0A6A6ED1"/>
    <w:rsid w:val="0A7C2DDD"/>
    <w:rsid w:val="0AAF20B2"/>
    <w:rsid w:val="0AB6328D"/>
    <w:rsid w:val="0AC37758"/>
    <w:rsid w:val="0ACA0AE6"/>
    <w:rsid w:val="0ACB31DC"/>
    <w:rsid w:val="0ADF4592"/>
    <w:rsid w:val="0B105853"/>
    <w:rsid w:val="0B2428ED"/>
    <w:rsid w:val="0B37009A"/>
    <w:rsid w:val="0B445739"/>
    <w:rsid w:val="0B61769D"/>
    <w:rsid w:val="0B723658"/>
    <w:rsid w:val="0B756CA4"/>
    <w:rsid w:val="0B9D309A"/>
    <w:rsid w:val="0BAF665A"/>
    <w:rsid w:val="0BEE4317"/>
    <w:rsid w:val="0BF91683"/>
    <w:rsid w:val="0BFD70A2"/>
    <w:rsid w:val="0C112A35"/>
    <w:rsid w:val="0C13288D"/>
    <w:rsid w:val="0C176104"/>
    <w:rsid w:val="0C5E598A"/>
    <w:rsid w:val="0C6A2581"/>
    <w:rsid w:val="0C825B1D"/>
    <w:rsid w:val="0C8B09BC"/>
    <w:rsid w:val="0CCF0636"/>
    <w:rsid w:val="0CD22DCF"/>
    <w:rsid w:val="0CF06F2A"/>
    <w:rsid w:val="0D162709"/>
    <w:rsid w:val="0D197B03"/>
    <w:rsid w:val="0D3B2CC3"/>
    <w:rsid w:val="0D512DA1"/>
    <w:rsid w:val="0D58062B"/>
    <w:rsid w:val="0D5F5E5E"/>
    <w:rsid w:val="0D6917CA"/>
    <w:rsid w:val="0D6B5FBB"/>
    <w:rsid w:val="0D703BC7"/>
    <w:rsid w:val="0D7C6A10"/>
    <w:rsid w:val="0DCC638D"/>
    <w:rsid w:val="0DD805A1"/>
    <w:rsid w:val="0DDB4C96"/>
    <w:rsid w:val="0DED16BC"/>
    <w:rsid w:val="0DED6FC6"/>
    <w:rsid w:val="0E407A3D"/>
    <w:rsid w:val="0E484B44"/>
    <w:rsid w:val="0E651D74"/>
    <w:rsid w:val="0E7B1EC3"/>
    <w:rsid w:val="0E8518F4"/>
    <w:rsid w:val="0E855450"/>
    <w:rsid w:val="0E8D07A9"/>
    <w:rsid w:val="0EB775D4"/>
    <w:rsid w:val="0EB83A78"/>
    <w:rsid w:val="0EF80318"/>
    <w:rsid w:val="0F184516"/>
    <w:rsid w:val="0F1E6DC0"/>
    <w:rsid w:val="0F39623B"/>
    <w:rsid w:val="0F470958"/>
    <w:rsid w:val="0F4C5F6E"/>
    <w:rsid w:val="0F6239E3"/>
    <w:rsid w:val="0FA67D74"/>
    <w:rsid w:val="0FAB0EE6"/>
    <w:rsid w:val="0FD83CA6"/>
    <w:rsid w:val="10127F12"/>
    <w:rsid w:val="102B64CB"/>
    <w:rsid w:val="103A4A3C"/>
    <w:rsid w:val="103C6BB1"/>
    <w:rsid w:val="104444E2"/>
    <w:rsid w:val="10490802"/>
    <w:rsid w:val="10741C20"/>
    <w:rsid w:val="10775C30"/>
    <w:rsid w:val="10796D88"/>
    <w:rsid w:val="107C4B47"/>
    <w:rsid w:val="10915EF4"/>
    <w:rsid w:val="10923E54"/>
    <w:rsid w:val="10967DE9"/>
    <w:rsid w:val="10AB0B05"/>
    <w:rsid w:val="10CE2047"/>
    <w:rsid w:val="10EE19D3"/>
    <w:rsid w:val="1131366D"/>
    <w:rsid w:val="113C7401"/>
    <w:rsid w:val="114A7BEF"/>
    <w:rsid w:val="11756C0E"/>
    <w:rsid w:val="11823EC9"/>
    <w:rsid w:val="11964ADA"/>
    <w:rsid w:val="119B31DD"/>
    <w:rsid w:val="11A04F42"/>
    <w:rsid w:val="11A9344C"/>
    <w:rsid w:val="11B543EC"/>
    <w:rsid w:val="11B87A5F"/>
    <w:rsid w:val="11F12DFD"/>
    <w:rsid w:val="12222372"/>
    <w:rsid w:val="12241154"/>
    <w:rsid w:val="122957B5"/>
    <w:rsid w:val="12316704"/>
    <w:rsid w:val="124F4B60"/>
    <w:rsid w:val="125D2882"/>
    <w:rsid w:val="12685EE1"/>
    <w:rsid w:val="12705D8B"/>
    <w:rsid w:val="1288550F"/>
    <w:rsid w:val="1299771C"/>
    <w:rsid w:val="12CD029E"/>
    <w:rsid w:val="12E0534B"/>
    <w:rsid w:val="12F93CEA"/>
    <w:rsid w:val="131E40C5"/>
    <w:rsid w:val="132C233E"/>
    <w:rsid w:val="133B341E"/>
    <w:rsid w:val="133E14BB"/>
    <w:rsid w:val="135D3A46"/>
    <w:rsid w:val="135E2714"/>
    <w:rsid w:val="1372527A"/>
    <w:rsid w:val="13785584"/>
    <w:rsid w:val="139B1880"/>
    <w:rsid w:val="13A84240"/>
    <w:rsid w:val="13CE7899"/>
    <w:rsid w:val="13D0731A"/>
    <w:rsid w:val="13E44C58"/>
    <w:rsid w:val="147026FF"/>
    <w:rsid w:val="14757D15"/>
    <w:rsid w:val="14961F4B"/>
    <w:rsid w:val="1497412F"/>
    <w:rsid w:val="1498706D"/>
    <w:rsid w:val="149D4166"/>
    <w:rsid w:val="149F2FE4"/>
    <w:rsid w:val="14A10028"/>
    <w:rsid w:val="14C40AEF"/>
    <w:rsid w:val="14CB139A"/>
    <w:rsid w:val="14CB1B54"/>
    <w:rsid w:val="14CB7CB9"/>
    <w:rsid w:val="14DF1632"/>
    <w:rsid w:val="14E10EC9"/>
    <w:rsid w:val="14E82BDD"/>
    <w:rsid w:val="150A66AF"/>
    <w:rsid w:val="15361614"/>
    <w:rsid w:val="155A7BF6"/>
    <w:rsid w:val="159211B8"/>
    <w:rsid w:val="15A26FCF"/>
    <w:rsid w:val="15C9656A"/>
    <w:rsid w:val="15D13ECB"/>
    <w:rsid w:val="15D53161"/>
    <w:rsid w:val="15D56535"/>
    <w:rsid w:val="16080388"/>
    <w:rsid w:val="162C171D"/>
    <w:rsid w:val="16747CB5"/>
    <w:rsid w:val="168D57EA"/>
    <w:rsid w:val="16B017A5"/>
    <w:rsid w:val="16B07544"/>
    <w:rsid w:val="16BA0531"/>
    <w:rsid w:val="16FF39CF"/>
    <w:rsid w:val="17171557"/>
    <w:rsid w:val="173B52B1"/>
    <w:rsid w:val="17485BB5"/>
    <w:rsid w:val="175B7696"/>
    <w:rsid w:val="17872F33"/>
    <w:rsid w:val="178A43F9"/>
    <w:rsid w:val="178C5AA1"/>
    <w:rsid w:val="178D2862"/>
    <w:rsid w:val="17A548B8"/>
    <w:rsid w:val="17BB7D90"/>
    <w:rsid w:val="17C074F9"/>
    <w:rsid w:val="17CA481C"/>
    <w:rsid w:val="17D56D11"/>
    <w:rsid w:val="17E72D6D"/>
    <w:rsid w:val="18311585"/>
    <w:rsid w:val="18365A0D"/>
    <w:rsid w:val="183D6D9C"/>
    <w:rsid w:val="1840688C"/>
    <w:rsid w:val="18420856"/>
    <w:rsid w:val="18495740"/>
    <w:rsid w:val="184E71FB"/>
    <w:rsid w:val="18567E5D"/>
    <w:rsid w:val="185E658C"/>
    <w:rsid w:val="18730A0F"/>
    <w:rsid w:val="189E0251"/>
    <w:rsid w:val="18BA663E"/>
    <w:rsid w:val="18EE62E8"/>
    <w:rsid w:val="18EF498F"/>
    <w:rsid w:val="1901426D"/>
    <w:rsid w:val="19127B16"/>
    <w:rsid w:val="1991296F"/>
    <w:rsid w:val="199724DC"/>
    <w:rsid w:val="1998697F"/>
    <w:rsid w:val="19A61090"/>
    <w:rsid w:val="19BC2A65"/>
    <w:rsid w:val="19BE1707"/>
    <w:rsid w:val="19E971DB"/>
    <w:rsid w:val="1A113680"/>
    <w:rsid w:val="1A163D48"/>
    <w:rsid w:val="1A332204"/>
    <w:rsid w:val="1A381F10"/>
    <w:rsid w:val="1A4C32C6"/>
    <w:rsid w:val="1A501008"/>
    <w:rsid w:val="1A7D2284"/>
    <w:rsid w:val="1A9F789A"/>
    <w:rsid w:val="1AA749A0"/>
    <w:rsid w:val="1AB90820"/>
    <w:rsid w:val="1AC50C07"/>
    <w:rsid w:val="1ACD005B"/>
    <w:rsid w:val="1AD05CA5"/>
    <w:rsid w:val="1AD35795"/>
    <w:rsid w:val="1ADA2FC8"/>
    <w:rsid w:val="1AF41CB3"/>
    <w:rsid w:val="1B0000C7"/>
    <w:rsid w:val="1B010952"/>
    <w:rsid w:val="1B193C5E"/>
    <w:rsid w:val="1B5635B8"/>
    <w:rsid w:val="1B610BCD"/>
    <w:rsid w:val="1B6805D3"/>
    <w:rsid w:val="1B6A434C"/>
    <w:rsid w:val="1B8C4102"/>
    <w:rsid w:val="1B9E4E79"/>
    <w:rsid w:val="1BB2184F"/>
    <w:rsid w:val="1BDE0896"/>
    <w:rsid w:val="1BEC2FB3"/>
    <w:rsid w:val="1BEE6D2B"/>
    <w:rsid w:val="1BFD0D1C"/>
    <w:rsid w:val="1C0078DB"/>
    <w:rsid w:val="1C0F0A4F"/>
    <w:rsid w:val="1C2564C4"/>
    <w:rsid w:val="1C3339B4"/>
    <w:rsid w:val="1C625A11"/>
    <w:rsid w:val="1C682421"/>
    <w:rsid w:val="1C8A6339"/>
    <w:rsid w:val="1C9C7D46"/>
    <w:rsid w:val="1CAC62B9"/>
    <w:rsid w:val="1CB34805"/>
    <w:rsid w:val="1CBC7BD4"/>
    <w:rsid w:val="1CF35816"/>
    <w:rsid w:val="1CF53B1B"/>
    <w:rsid w:val="1CFE585B"/>
    <w:rsid w:val="1D0B1216"/>
    <w:rsid w:val="1D0C339C"/>
    <w:rsid w:val="1D1C02E7"/>
    <w:rsid w:val="1D1E7984"/>
    <w:rsid w:val="1D435353"/>
    <w:rsid w:val="1D6676B9"/>
    <w:rsid w:val="1D6A0633"/>
    <w:rsid w:val="1D6C2AC7"/>
    <w:rsid w:val="1D7309F6"/>
    <w:rsid w:val="1D792624"/>
    <w:rsid w:val="1D8611E5"/>
    <w:rsid w:val="1D96627A"/>
    <w:rsid w:val="1D9E7B9A"/>
    <w:rsid w:val="1DB21B39"/>
    <w:rsid w:val="1DBD315C"/>
    <w:rsid w:val="1DC37D43"/>
    <w:rsid w:val="1DDC0E05"/>
    <w:rsid w:val="1DDE2DCF"/>
    <w:rsid w:val="1E002B1E"/>
    <w:rsid w:val="1E05210A"/>
    <w:rsid w:val="1E0F465C"/>
    <w:rsid w:val="1E1C6F11"/>
    <w:rsid w:val="1E5029D9"/>
    <w:rsid w:val="1E5603CB"/>
    <w:rsid w:val="1E5B61CE"/>
    <w:rsid w:val="1EAB0F03"/>
    <w:rsid w:val="1EBB0A1A"/>
    <w:rsid w:val="1EF427C1"/>
    <w:rsid w:val="1F034BEC"/>
    <w:rsid w:val="1F544CBA"/>
    <w:rsid w:val="1F9B4EE5"/>
    <w:rsid w:val="1FA16A62"/>
    <w:rsid w:val="1FBC2C9C"/>
    <w:rsid w:val="1FC22F43"/>
    <w:rsid w:val="1FEC17D3"/>
    <w:rsid w:val="200829A4"/>
    <w:rsid w:val="200B5B61"/>
    <w:rsid w:val="20951D09"/>
    <w:rsid w:val="20A63D86"/>
    <w:rsid w:val="20DD5FAB"/>
    <w:rsid w:val="20E34258"/>
    <w:rsid w:val="20E91E77"/>
    <w:rsid w:val="20EB1A8B"/>
    <w:rsid w:val="20EE3329"/>
    <w:rsid w:val="20EF2BFD"/>
    <w:rsid w:val="21123FA3"/>
    <w:rsid w:val="21417D79"/>
    <w:rsid w:val="21460DAB"/>
    <w:rsid w:val="2150416A"/>
    <w:rsid w:val="21563474"/>
    <w:rsid w:val="215653BA"/>
    <w:rsid w:val="216058A9"/>
    <w:rsid w:val="21691B92"/>
    <w:rsid w:val="21785657"/>
    <w:rsid w:val="219F4D8B"/>
    <w:rsid w:val="21AB3896"/>
    <w:rsid w:val="21B83AE0"/>
    <w:rsid w:val="21E42E4D"/>
    <w:rsid w:val="21ED5D8B"/>
    <w:rsid w:val="22284619"/>
    <w:rsid w:val="222B70A5"/>
    <w:rsid w:val="22341B77"/>
    <w:rsid w:val="22387195"/>
    <w:rsid w:val="22673FBF"/>
    <w:rsid w:val="226B7039"/>
    <w:rsid w:val="227635D6"/>
    <w:rsid w:val="22857CBD"/>
    <w:rsid w:val="22E03145"/>
    <w:rsid w:val="22E050E8"/>
    <w:rsid w:val="22E514ED"/>
    <w:rsid w:val="23160915"/>
    <w:rsid w:val="23906919"/>
    <w:rsid w:val="239F7D5E"/>
    <w:rsid w:val="23A777BF"/>
    <w:rsid w:val="23A979DB"/>
    <w:rsid w:val="23CD26EC"/>
    <w:rsid w:val="23FA1FE5"/>
    <w:rsid w:val="23FE1955"/>
    <w:rsid w:val="24455956"/>
    <w:rsid w:val="246F29D3"/>
    <w:rsid w:val="24731E08"/>
    <w:rsid w:val="247753E3"/>
    <w:rsid w:val="247D1459"/>
    <w:rsid w:val="248975AD"/>
    <w:rsid w:val="248E4A60"/>
    <w:rsid w:val="248F097F"/>
    <w:rsid w:val="24C85C3F"/>
    <w:rsid w:val="250848A0"/>
    <w:rsid w:val="25164BFC"/>
    <w:rsid w:val="25565941"/>
    <w:rsid w:val="255C2A3F"/>
    <w:rsid w:val="25614256"/>
    <w:rsid w:val="257A36DA"/>
    <w:rsid w:val="257B33B0"/>
    <w:rsid w:val="25981AB5"/>
    <w:rsid w:val="259F53D6"/>
    <w:rsid w:val="25BA5ED0"/>
    <w:rsid w:val="25C421FC"/>
    <w:rsid w:val="25C86431"/>
    <w:rsid w:val="25C97EC1"/>
    <w:rsid w:val="25CB4B7C"/>
    <w:rsid w:val="25EB42DB"/>
    <w:rsid w:val="25EB7E37"/>
    <w:rsid w:val="25F806CE"/>
    <w:rsid w:val="26045291"/>
    <w:rsid w:val="2611799E"/>
    <w:rsid w:val="264D6D44"/>
    <w:rsid w:val="265B6B58"/>
    <w:rsid w:val="269577DC"/>
    <w:rsid w:val="26A526DC"/>
    <w:rsid w:val="26CB6C26"/>
    <w:rsid w:val="26D20C17"/>
    <w:rsid w:val="26D20FF7"/>
    <w:rsid w:val="26D66D39"/>
    <w:rsid w:val="26E3094C"/>
    <w:rsid w:val="26E63317"/>
    <w:rsid w:val="26F1147D"/>
    <w:rsid w:val="26F97E24"/>
    <w:rsid w:val="26FB2875"/>
    <w:rsid w:val="270A274C"/>
    <w:rsid w:val="270E473B"/>
    <w:rsid w:val="27207FB4"/>
    <w:rsid w:val="272C6292"/>
    <w:rsid w:val="273656AB"/>
    <w:rsid w:val="273D686A"/>
    <w:rsid w:val="27421CD9"/>
    <w:rsid w:val="274243CE"/>
    <w:rsid w:val="274F0D2B"/>
    <w:rsid w:val="27695F59"/>
    <w:rsid w:val="27743E5C"/>
    <w:rsid w:val="277B51EB"/>
    <w:rsid w:val="27946600"/>
    <w:rsid w:val="27AE55C0"/>
    <w:rsid w:val="27B041D5"/>
    <w:rsid w:val="27B5050A"/>
    <w:rsid w:val="27C272BD"/>
    <w:rsid w:val="27DA0163"/>
    <w:rsid w:val="27E20BFA"/>
    <w:rsid w:val="280242AC"/>
    <w:rsid w:val="282D2989"/>
    <w:rsid w:val="28485A15"/>
    <w:rsid w:val="285F2D5E"/>
    <w:rsid w:val="286F74DA"/>
    <w:rsid w:val="28852393"/>
    <w:rsid w:val="28885E11"/>
    <w:rsid w:val="28895693"/>
    <w:rsid w:val="28932CF9"/>
    <w:rsid w:val="289B7041"/>
    <w:rsid w:val="28A53B3C"/>
    <w:rsid w:val="28A546A3"/>
    <w:rsid w:val="28CB088E"/>
    <w:rsid w:val="28D9666D"/>
    <w:rsid w:val="28DC7F0B"/>
    <w:rsid w:val="28E148BA"/>
    <w:rsid w:val="28E63F94"/>
    <w:rsid w:val="28EC18AC"/>
    <w:rsid w:val="291F4EE8"/>
    <w:rsid w:val="29332221"/>
    <w:rsid w:val="295B3526"/>
    <w:rsid w:val="297B5976"/>
    <w:rsid w:val="299A1A87"/>
    <w:rsid w:val="29EA172E"/>
    <w:rsid w:val="29F85218"/>
    <w:rsid w:val="2A0327E6"/>
    <w:rsid w:val="2A083FCE"/>
    <w:rsid w:val="2A2878AC"/>
    <w:rsid w:val="2A291603"/>
    <w:rsid w:val="2A2D4EC2"/>
    <w:rsid w:val="2A385615"/>
    <w:rsid w:val="2A497822"/>
    <w:rsid w:val="2A4A3721"/>
    <w:rsid w:val="2A692278"/>
    <w:rsid w:val="2A7E5A32"/>
    <w:rsid w:val="2A9A1E2C"/>
    <w:rsid w:val="2AA000ED"/>
    <w:rsid w:val="2ABE1FBE"/>
    <w:rsid w:val="2ACD2201"/>
    <w:rsid w:val="2ACE1AD5"/>
    <w:rsid w:val="2ADD7F75"/>
    <w:rsid w:val="2AE8703B"/>
    <w:rsid w:val="2B0025D7"/>
    <w:rsid w:val="2B247814"/>
    <w:rsid w:val="2B30064C"/>
    <w:rsid w:val="2B312EE2"/>
    <w:rsid w:val="2B4104F9"/>
    <w:rsid w:val="2B5244B4"/>
    <w:rsid w:val="2B74267D"/>
    <w:rsid w:val="2B830B12"/>
    <w:rsid w:val="2BAD5000"/>
    <w:rsid w:val="2BB1742D"/>
    <w:rsid w:val="2BB46F1D"/>
    <w:rsid w:val="2BCD4B92"/>
    <w:rsid w:val="2BD66E93"/>
    <w:rsid w:val="2BD97D2D"/>
    <w:rsid w:val="2BEF44BB"/>
    <w:rsid w:val="2C1C4C52"/>
    <w:rsid w:val="2C1D0257"/>
    <w:rsid w:val="2C2E0A7D"/>
    <w:rsid w:val="2C2E780D"/>
    <w:rsid w:val="2C312D25"/>
    <w:rsid w:val="2C355F40"/>
    <w:rsid w:val="2C42277B"/>
    <w:rsid w:val="2C60463B"/>
    <w:rsid w:val="2C7966F4"/>
    <w:rsid w:val="2C7C3EDF"/>
    <w:rsid w:val="2C92725E"/>
    <w:rsid w:val="2CB573F1"/>
    <w:rsid w:val="2CDD0C30"/>
    <w:rsid w:val="2CE33F5E"/>
    <w:rsid w:val="2CFD2E5B"/>
    <w:rsid w:val="2CFF241A"/>
    <w:rsid w:val="2D040891"/>
    <w:rsid w:val="2D260C33"/>
    <w:rsid w:val="2D330EE2"/>
    <w:rsid w:val="2D4D54A9"/>
    <w:rsid w:val="2D6E1E26"/>
    <w:rsid w:val="2D7F7721"/>
    <w:rsid w:val="2D940DB4"/>
    <w:rsid w:val="2DA76D39"/>
    <w:rsid w:val="2DB9081B"/>
    <w:rsid w:val="2DCA2A28"/>
    <w:rsid w:val="2DCF3F96"/>
    <w:rsid w:val="2DDD6BFF"/>
    <w:rsid w:val="2E0A365B"/>
    <w:rsid w:val="2E1253C9"/>
    <w:rsid w:val="2E21083A"/>
    <w:rsid w:val="2E6B5FB9"/>
    <w:rsid w:val="2E700887"/>
    <w:rsid w:val="2E734E6D"/>
    <w:rsid w:val="2E7F695E"/>
    <w:rsid w:val="2EA9176B"/>
    <w:rsid w:val="2EB77450"/>
    <w:rsid w:val="2EC102CF"/>
    <w:rsid w:val="2ED0406E"/>
    <w:rsid w:val="2EF75A9F"/>
    <w:rsid w:val="2EFC1D12"/>
    <w:rsid w:val="2F4D3910"/>
    <w:rsid w:val="2F4F58DB"/>
    <w:rsid w:val="2F600535"/>
    <w:rsid w:val="2F64077E"/>
    <w:rsid w:val="2F703EF7"/>
    <w:rsid w:val="2F7741CA"/>
    <w:rsid w:val="2F7E1D1C"/>
    <w:rsid w:val="2F807842"/>
    <w:rsid w:val="2FA14099"/>
    <w:rsid w:val="2FCC0CD9"/>
    <w:rsid w:val="2FD56904"/>
    <w:rsid w:val="2FD86195"/>
    <w:rsid w:val="2FE14B66"/>
    <w:rsid w:val="2FEA7A68"/>
    <w:rsid w:val="30077F63"/>
    <w:rsid w:val="301B4E17"/>
    <w:rsid w:val="302063B0"/>
    <w:rsid w:val="302A1104"/>
    <w:rsid w:val="302C0B77"/>
    <w:rsid w:val="302E54F0"/>
    <w:rsid w:val="302E5F5E"/>
    <w:rsid w:val="305331A8"/>
    <w:rsid w:val="30767A1D"/>
    <w:rsid w:val="30803872"/>
    <w:rsid w:val="3088073D"/>
    <w:rsid w:val="309C0559"/>
    <w:rsid w:val="309F44FF"/>
    <w:rsid w:val="30A12166"/>
    <w:rsid w:val="30A265EA"/>
    <w:rsid w:val="30C9346B"/>
    <w:rsid w:val="30D2231F"/>
    <w:rsid w:val="311939C4"/>
    <w:rsid w:val="31240C50"/>
    <w:rsid w:val="313639C7"/>
    <w:rsid w:val="31604FB2"/>
    <w:rsid w:val="31670938"/>
    <w:rsid w:val="316D3DF6"/>
    <w:rsid w:val="31774C75"/>
    <w:rsid w:val="31EC7411"/>
    <w:rsid w:val="31ED4F37"/>
    <w:rsid w:val="32067D29"/>
    <w:rsid w:val="322076EB"/>
    <w:rsid w:val="324C6101"/>
    <w:rsid w:val="325D030E"/>
    <w:rsid w:val="32761300"/>
    <w:rsid w:val="32827D75"/>
    <w:rsid w:val="32851613"/>
    <w:rsid w:val="32892EB1"/>
    <w:rsid w:val="32A41A99"/>
    <w:rsid w:val="32BC7F8B"/>
    <w:rsid w:val="32BF2D77"/>
    <w:rsid w:val="32D0288E"/>
    <w:rsid w:val="32F24C35"/>
    <w:rsid w:val="33522FC2"/>
    <w:rsid w:val="335334BF"/>
    <w:rsid w:val="335C3F01"/>
    <w:rsid w:val="335F00B6"/>
    <w:rsid w:val="33632624"/>
    <w:rsid w:val="338D33AD"/>
    <w:rsid w:val="33AA7583"/>
    <w:rsid w:val="33BE6B8B"/>
    <w:rsid w:val="33E505BB"/>
    <w:rsid w:val="33E93245"/>
    <w:rsid w:val="33F60D22"/>
    <w:rsid w:val="34140EE8"/>
    <w:rsid w:val="34161B32"/>
    <w:rsid w:val="342C35EA"/>
    <w:rsid w:val="34311A53"/>
    <w:rsid w:val="344C23E9"/>
    <w:rsid w:val="345179FF"/>
    <w:rsid w:val="345E156C"/>
    <w:rsid w:val="34733E19"/>
    <w:rsid w:val="34A51AF9"/>
    <w:rsid w:val="34A75871"/>
    <w:rsid w:val="34BA37F6"/>
    <w:rsid w:val="34E73EBF"/>
    <w:rsid w:val="34F53481"/>
    <w:rsid w:val="34F82570"/>
    <w:rsid w:val="35064C8D"/>
    <w:rsid w:val="350A6522"/>
    <w:rsid w:val="352F1EF1"/>
    <w:rsid w:val="355B5366"/>
    <w:rsid w:val="35645510"/>
    <w:rsid w:val="356B57F2"/>
    <w:rsid w:val="35795AB7"/>
    <w:rsid w:val="357D71B7"/>
    <w:rsid w:val="35AD44AA"/>
    <w:rsid w:val="35FB64EA"/>
    <w:rsid w:val="36372C24"/>
    <w:rsid w:val="3639407B"/>
    <w:rsid w:val="36405F7D"/>
    <w:rsid w:val="365F4A63"/>
    <w:rsid w:val="3676199F"/>
    <w:rsid w:val="367E6AA5"/>
    <w:rsid w:val="368E145B"/>
    <w:rsid w:val="369406CF"/>
    <w:rsid w:val="36B45E94"/>
    <w:rsid w:val="36B563FF"/>
    <w:rsid w:val="36C24638"/>
    <w:rsid w:val="36D75A1C"/>
    <w:rsid w:val="36DF5DB6"/>
    <w:rsid w:val="372512B8"/>
    <w:rsid w:val="37301B5B"/>
    <w:rsid w:val="373F0FD3"/>
    <w:rsid w:val="374675C3"/>
    <w:rsid w:val="374B5942"/>
    <w:rsid w:val="374D0A05"/>
    <w:rsid w:val="3774736A"/>
    <w:rsid w:val="37751C56"/>
    <w:rsid w:val="377F4B03"/>
    <w:rsid w:val="378B3228"/>
    <w:rsid w:val="37AE7B0B"/>
    <w:rsid w:val="37B02C8E"/>
    <w:rsid w:val="37C80E48"/>
    <w:rsid w:val="37D95642"/>
    <w:rsid w:val="37E27200"/>
    <w:rsid w:val="37FB77A3"/>
    <w:rsid w:val="38353194"/>
    <w:rsid w:val="383B3371"/>
    <w:rsid w:val="38431D54"/>
    <w:rsid w:val="38591578"/>
    <w:rsid w:val="38593326"/>
    <w:rsid w:val="387E56F1"/>
    <w:rsid w:val="38953B71"/>
    <w:rsid w:val="389C3213"/>
    <w:rsid w:val="38B07EBC"/>
    <w:rsid w:val="38C20ECB"/>
    <w:rsid w:val="390E0A3B"/>
    <w:rsid w:val="393C6ED0"/>
    <w:rsid w:val="3950105F"/>
    <w:rsid w:val="396401D4"/>
    <w:rsid w:val="396F4F37"/>
    <w:rsid w:val="39770A33"/>
    <w:rsid w:val="397C6CDA"/>
    <w:rsid w:val="39842625"/>
    <w:rsid w:val="398F5584"/>
    <w:rsid w:val="399F120C"/>
    <w:rsid w:val="39A22AAB"/>
    <w:rsid w:val="39AA1946"/>
    <w:rsid w:val="39B1489C"/>
    <w:rsid w:val="39BB3927"/>
    <w:rsid w:val="39D07618"/>
    <w:rsid w:val="3A0461E5"/>
    <w:rsid w:val="3A1F3F3F"/>
    <w:rsid w:val="3A5A625B"/>
    <w:rsid w:val="3A610F07"/>
    <w:rsid w:val="3A67696A"/>
    <w:rsid w:val="3A6D30B9"/>
    <w:rsid w:val="3A876095"/>
    <w:rsid w:val="3A96760D"/>
    <w:rsid w:val="3A976388"/>
    <w:rsid w:val="3AAB0955"/>
    <w:rsid w:val="3AD95B97"/>
    <w:rsid w:val="3AEF2E86"/>
    <w:rsid w:val="3AEF7F72"/>
    <w:rsid w:val="3AF410E4"/>
    <w:rsid w:val="3AFA0DF0"/>
    <w:rsid w:val="3AFD443D"/>
    <w:rsid w:val="3B1B2DFB"/>
    <w:rsid w:val="3B1D508C"/>
    <w:rsid w:val="3B2415F7"/>
    <w:rsid w:val="3B2C087E"/>
    <w:rsid w:val="3B415DA2"/>
    <w:rsid w:val="3B441AFA"/>
    <w:rsid w:val="3B5136A9"/>
    <w:rsid w:val="3B5B2B56"/>
    <w:rsid w:val="3B5C4AAD"/>
    <w:rsid w:val="3BB645EB"/>
    <w:rsid w:val="3BC27434"/>
    <w:rsid w:val="3BC857A7"/>
    <w:rsid w:val="3BDD29D4"/>
    <w:rsid w:val="3BFA6BCE"/>
    <w:rsid w:val="3BFC2946"/>
    <w:rsid w:val="3C08753D"/>
    <w:rsid w:val="3C0C7817"/>
    <w:rsid w:val="3C0E4427"/>
    <w:rsid w:val="3C145EE2"/>
    <w:rsid w:val="3C326368"/>
    <w:rsid w:val="3C371BD0"/>
    <w:rsid w:val="3C6B604E"/>
    <w:rsid w:val="3C771FCD"/>
    <w:rsid w:val="3C832454"/>
    <w:rsid w:val="3C9802BB"/>
    <w:rsid w:val="3C9C7C85"/>
    <w:rsid w:val="3CA11B80"/>
    <w:rsid w:val="3CE0414D"/>
    <w:rsid w:val="3CEC29BB"/>
    <w:rsid w:val="3D127F47"/>
    <w:rsid w:val="3D141F11"/>
    <w:rsid w:val="3D6562C9"/>
    <w:rsid w:val="3D934A80"/>
    <w:rsid w:val="3DA45DC7"/>
    <w:rsid w:val="3DB85D6C"/>
    <w:rsid w:val="3DE03BA2"/>
    <w:rsid w:val="3DEC590B"/>
    <w:rsid w:val="3E196FDB"/>
    <w:rsid w:val="3E49442F"/>
    <w:rsid w:val="3E595CC5"/>
    <w:rsid w:val="3E7E4413"/>
    <w:rsid w:val="3E8327B4"/>
    <w:rsid w:val="3E945B9C"/>
    <w:rsid w:val="3E95498C"/>
    <w:rsid w:val="3E9E3BCC"/>
    <w:rsid w:val="3EB74889"/>
    <w:rsid w:val="3EBB0897"/>
    <w:rsid w:val="3ECD34FD"/>
    <w:rsid w:val="3EFF6212"/>
    <w:rsid w:val="3F002817"/>
    <w:rsid w:val="3F101AA9"/>
    <w:rsid w:val="3F220916"/>
    <w:rsid w:val="3F2521B4"/>
    <w:rsid w:val="3F5A60E5"/>
    <w:rsid w:val="3F6F342F"/>
    <w:rsid w:val="3F7E18C4"/>
    <w:rsid w:val="3F8C2707"/>
    <w:rsid w:val="3FA905E5"/>
    <w:rsid w:val="3FB5178A"/>
    <w:rsid w:val="3FD87226"/>
    <w:rsid w:val="3FF00BEA"/>
    <w:rsid w:val="3FFB2F15"/>
    <w:rsid w:val="40026051"/>
    <w:rsid w:val="4013025E"/>
    <w:rsid w:val="401531FF"/>
    <w:rsid w:val="402E32EA"/>
    <w:rsid w:val="40327434"/>
    <w:rsid w:val="406050AF"/>
    <w:rsid w:val="406D3E12"/>
    <w:rsid w:val="408711C2"/>
    <w:rsid w:val="408D0011"/>
    <w:rsid w:val="40953369"/>
    <w:rsid w:val="40AB1C46"/>
    <w:rsid w:val="40E340D5"/>
    <w:rsid w:val="40E9528A"/>
    <w:rsid w:val="40EB0FA9"/>
    <w:rsid w:val="40F63E08"/>
    <w:rsid w:val="4110479E"/>
    <w:rsid w:val="413761CE"/>
    <w:rsid w:val="414A7CB0"/>
    <w:rsid w:val="41807B75"/>
    <w:rsid w:val="41852B17"/>
    <w:rsid w:val="41B617E9"/>
    <w:rsid w:val="41C061C4"/>
    <w:rsid w:val="41CE118C"/>
    <w:rsid w:val="41D07964"/>
    <w:rsid w:val="41D61543"/>
    <w:rsid w:val="41F320F5"/>
    <w:rsid w:val="42024357"/>
    <w:rsid w:val="422449A5"/>
    <w:rsid w:val="423375F8"/>
    <w:rsid w:val="426E79CE"/>
    <w:rsid w:val="42750D5C"/>
    <w:rsid w:val="42B431B4"/>
    <w:rsid w:val="42BB58B2"/>
    <w:rsid w:val="42C62119"/>
    <w:rsid w:val="42CE79F1"/>
    <w:rsid w:val="42DA1507"/>
    <w:rsid w:val="42DD49B9"/>
    <w:rsid w:val="42E04BF3"/>
    <w:rsid w:val="42FB3958"/>
    <w:rsid w:val="43003AC9"/>
    <w:rsid w:val="43016A94"/>
    <w:rsid w:val="430B7913"/>
    <w:rsid w:val="430D71E7"/>
    <w:rsid w:val="43144DB1"/>
    <w:rsid w:val="43217136"/>
    <w:rsid w:val="43360377"/>
    <w:rsid w:val="43711918"/>
    <w:rsid w:val="43734A19"/>
    <w:rsid w:val="43776D56"/>
    <w:rsid w:val="43783F48"/>
    <w:rsid w:val="440A75BA"/>
    <w:rsid w:val="440E3217"/>
    <w:rsid w:val="44134942"/>
    <w:rsid w:val="442135DE"/>
    <w:rsid w:val="443C4228"/>
    <w:rsid w:val="44501A81"/>
    <w:rsid w:val="445E3E34"/>
    <w:rsid w:val="447D65EE"/>
    <w:rsid w:val="4482742F"/>
    <w:rsid w:val="449D0A3E"/>
    <w:rsid w:val="44C42280"/>
    <w:rsid w:val="44CB5C08"/>
    <w:rsid w:val="44DD0E3B"/>
    <w:rsid w:val="44DE52DF"/>
    <w:rsid w:val="44E67120"/>
    <w:rsid w:val="44E95A32"/>
    <w:rsid w:val="44F050F0"/>
    <w:rsid w:val="44FA379B"/>
    <w:rsid w:val="45404FBA"/>
    <w:rsid w:val="4550785F"/>
    <w:rsid w:val="456E3CF0"/>
    <w:rsid w:val="457F1E24"/>
    <w:rsid w:val="45872DBD"/>
    <w:rsid w:val="459445B8"/>
    <w:rsid w:val="45997458"/>
    <w:rsid w:val="45D33A46"/>
    <w:rsid w:val="45DA0A2A"/>
    <w:rsid w:val="45F75F2C"/>
    <w:rsid w:val="46054AED"/>
    <w:rsid w:val="46293F7E"/>
    <w:rsid w:val="463924B8"/>
    <w:rsid w:val="46470C62"/>
    <w:rsid w:val="46473EA5"/>
    <w:rsid w:val="4649370D"/>
    <w:rsid w:val="464E73D4"/>
    <w:rsid w:val="46500EAC"/>
    <w:rsid w:val="46601D24"/>
    <w:rsid w:val="466C34BF"/>
    <w:rsid w:val="46756816"/>
    <w:rsid w:val="469C3807"/>
    <w:rsid w:val="46BA7786"/>
    <w:rsid w:val="46C44060"/>
    <w:rsid w:val="46CD187E"/>
    <w:rsid w:val="46E666CD"/>
    <w:rsid w:val="47056392"/>
    <w:rsid w:val="470B37A2"/>
    <w:rsid w:val="470B7EE1"/>
    <w:rsid w:val="471107D1"/>
    <w:rsid w:val="4712301E"/>
    <w:rsid w:val="47480217"/>
    <w:rsid w:val="47613E2A"/>
    <w:rsid w:val="476E221E"/>
    <w:rsid w:val="4775433A"/>
    <w:rsid w:val="478B183F"/>
    <w:rsid w:val="47973272"/>
    <w:rsid w:val="47AC4801"/>
    <w:rsid w:val="47E00E9D"/>
    <w:rsid w:val="480037BE"/>
    <w:rsid w:val="48014805"/>
    <w:rsid w:val="481E30FF"/>
    <w:rsid w:val="48220A69"/>
    <w:rsid w:val="48343468"/>
    <w:rsid w:val="48482A6F"/>
    <w:rsid w:val="48651873"/>
    <w:rsid w:val="487321E2"/>
    <w:rsid w:val="48751A37"/>
    <w:rsid w:val="48763663"/>
    <w:rsid w:val="488C4E6B"/>
    <w:rsid w:val="48A0658E"/>
    <w:rsid w:val="48C72033"/>
    <w:rsid w:val="48CD108C"/>
    <w:rsid w:val="48D22655"/>
    <w:rsid w:val="48D507A7"/>
    <w:rsid w:val="493B7EA4"/>
    <w:rsid w:val="498402C1"/>
    <w:rsid w:val="49AA477D"/>
    <w:rsid w:val="49B93C25"/>
    <w:rsid w:val="49E44317"/>
    <w:rsid w:val="49EA0282"/>
    <w:rsid w:val="4A195415"/>
    <w:rsid w:val="4A1C72E2"/>
    <w:rsid w:val="4A273550"/>
    <w:rsid w:val="4A372349"/>
    <w:rsid w:val="4A3A6E5E"/>
    <w:rsid w:val="4A484FA8"/>
    <w:rsid w:val="4A510301"/>
    <w:rsid w:val="4A534079"/>
    <w:rsid w:val="4A6D4385"/>
    <w:rsid w:val="4A7638C4"/>
    <w:rsid w:val="4A7E53C3"/>
    <w:rsid w:val="4A8674DD"/>
    <w:rsid w:val="4A9A1CA8"/>
    <w:rsid w:val="4AA30431"/>
    <w:rsid w:val="4AB4661C"/>
    <w:rsid w:val="4ABB6284"/>
    <w:rsid w:val="4AC75CDE"/>
    <w:rsid w:val="4ACA38E3"/>
    <w:rsid w:val="4B0D6CAF"/>
    <w:rsid w:val="4B1100C7"/>
    <w:rsid w:val="4B140CDC"/>
    <w:rsid w:val="4B1D1590"/>
    <w:rsid w:val="4B2772B4"/>
    <w:rsid w:val="4B3F63AB"/>
    <w:rsid w:val="4B4323A3"/>
    <w:rsid w:val="4B5B700A"/>
    <w:rsid w:val="4B652B55"/>
    <w:rsid w:val="4B657589"/>
    <w:rsid w:val="4B787DE2"/>
    <w:rsid w:val="4B7C7600"/>
    <w:rsid w:val="4B92472D"/>
    <w:rsid w:val="4BAA3C3B"/>
    <w:rsid w:val="4BB01054"/>
    <w:rsid w:val="4BD75D9A"/>
    <w:rsid w:val="4BEA4569"/>
    <w:rsid w:val="4BED21E4"/>
    <w:rsid w:val="4BEF498B"/>
    <w:rsid w:val="4BF35626"/>
    <w:rsid w:val="4BF70A34"/>
    <w:rsid w:val="4C0A6081"/>
    <w:rsid w:val="4C0E6BBE"/>
    <w:rsid w:val="4C285091"/>
    <w:rsid w:val="4C30370E"/>
    <w:rsid w:val="4C38613A"/>
    <w:rsid w:val="4C393582"/>
    <w:rsid w:val="4C524CED"/>
    <w:rsid w:val="4C6A38FC"/>
    <w:rsid w:val="4C995F8F"/>
    <w:rsid w:val="4CB45976"/>
    <w:rsid w:val="4CCF19B1"/>
    <w:rsid w:val="4D0065ED"/>
    <w:rsid w:val="4D1F6494"/>
    <w:rsid w:val="4D2E0486"/>
    <w:rsid w:val="4D477AD7"/>
    <w:rsid w:val="4D80085B"/>
    <w:rsid w:val="4D896004"/>
    <w:rsid w:val="4D9D0BC3"/>
    <w:rsid w:val="4D9E7415"/>
    <w:rsid w:val="4DAB1AD6"/>
    <w:rsid w:val="4DB43081"/>
    <w:rsid w:val="4DBF37D4"/>
    <w:rsid w:val="4DC1579E"/>
    <w:rsid w:val="4DD454C7"/>
    <w:rsid w:val="4DDD65AE"/>
    <w:rsid w:val="4E09219F"/>
    <w:rsid w:val="4E1019D2"/>
    <w:rsid w:val="4E1B0DE7"/>
    <w:rsid w:val="4E283374"/>
    <w:rsid w:val="4E297920"/>
    <w:rsid w:val="4E3221F7"/>
    <w:rsid w:val="4E3B72FE"/>
    <w:rsid w:val="4E4C089C"/>
    <w:rsid w:val="4E6D1482"/>
    <w:rsid w:val="4E724CEA"/>
    <w:rsid w:val="4E9D10F8"/>
    <w:rsid w:val="4EDD2163"/>
    <w:rsid w:val="4EF13E61"/>
    <w:rsid w:val="4F1E4F93"/>
    <w:rsid w:val="4F461A5A"/>
    <w:rsid w:val="4F4C72E9"/>
    <w:rsid w:val="4F602D94"/>
    <w:rsid w:val="4F723826"/>
    <w:rsid w:val="4F724D92"/>
    <w:rsid w:val="4F806F93"/>
    <w:rsid w:val="4F946C40"/>
    <w:rsid w:val="4FBB7FCB"/>
    <w:rsid w:val="4FC83727"/>
    <w:rsid w:val="4FD07F1A"/>
    <w:rsid w:val="4FE614EB"/>
    <w:rsid w:val="4FF00A4D"/>
    <w:rsid w:val="500B0643"/>
    <w:rsid w:val="503E4BF5"/>
    <w:rsid w:val="503F29AA"/>
    <w:rsid w:val="505226DD"/>
    <w:rsid w:val="50591CBD"/>
    <w:rsid w:val="50650662"/>
    <w:rsid w:val="509B0B2D"/>
    <w:rsid w:val="50A26ECD"/>
    <w:rsid w:val="50A3118B"/>
    <w:rsid w:val="50B05655"/>
    <w:rsid w:val="50BC5A36"/>
    <w:rsid w:val="50D717BE"/>
    <w:rsid w:val="50E84DEF"/>
    <w:rsid w:val="50F3201A"/>
    <w:rsid w:val="50FD71D4"/>
    <w:rsid w:val="51153A1E"/>
    <w:rsid w:val="512F6EC2"/>
    <w:rsid w:val="513B233A"/>
    <w:rsid w:val="51450494"/>
    <w:rsid w:val="517D7C2E"/>
    <w:rsid w:val="51947440"/>
    <w:rsid w:val="51956D25"/>
    <w:rsid w:val="51986815"/>
    <w:rsid w:val="519C7A27"/>
    <w:rsid w:val="519D3E2C"/>
    <w:rsid w:val="519F5DF6"/>
    <w:rsid w:val="51D766B0"/>
    <w:rsid w:val="51FA302C"/>
    <w:rsid w:val="51FC0125"/>
    <w:rsid w:val="521F0CE5"/>
    <w:rsid w:val="522105B9"/>
    <w:rsid w:val="52243E8E"/>
    <w:rsid w:val="52437C77"/>
    <w:rsid w:val="525213A4"/>
    <w:rsid w:val="52701540"/>
    <w:rsid w:val="52A336C4"/>
    <w:rsid w:val="52B50EAA"/>
    <w:rsid w:val="52D53B6B"/>
    <w:rsid w:val="52D970E6"/>
    <w:rsid w:val="52ED5E65"/>
    <w:rsid w:val="52F43F1F"/>
    <w:rsid w:val="52F83A10"/>
    <w:rsid w:val="53065A01"/>
    <w:rsid w:val="530930BE"/>
    <w:rsid w:val="53195734"/>
    <w:rsid w:val="532A16EF"/>
    <w:rsid w:val="532E625B"/>
    <w:rsid w:val="5379561E"/>
    <w:rsid w:val="539F3E8B"/>
    <w:rsid w:val="53A04AF9"/>
    <w:rsid w:val="53A70F92"/>
    <w:rsid w:val="53D01ABE"/>
    <w:rsid w:val="53DD0E57"/>
    <w:rsid w:val="53DE7084"/>
    <w:rsid w:val="54134879"/>
    <w:rsid w:val="54330A77"/>
    <w:rsid w:val="54352C94"/>
    <w:rsid w:val="5449029B"/>
    <w:rsid w:val="545036D2"/>
    <w:rsid w:val="545C7FCE"/>
    <w:rsid w:val="54631AE5"/>
    <w:rsid w:val="549B5123"/>
    <w:rsid w:val="54C81231"/>
    <w:rsid w:val="54D62D00"/>
    <w:rsid w:val="54EA4B49"/>
    <w:rsid w:val="54FC355F"/>
    <w:rsid w:val="550541C2"/>
    <w:rsid w:val="5511700B"/>
    <w:rsid w:val="55133112"/>
    <w:rsid w:val="552A1E7A"/>
    <w:rsid w:val="554A09E5"/>
    <w:rsid w:val="55B04E29"/>
    <w:rsid w:val="55C56D42"/>
    <w:rsid w:val="55DB4F23"/>
    <w:rsid w:val="56080D11"/>
    <w:rsid w:val="560E20C0"/>
    <w:rsid w:val="56156687"/>
    <w:rsid w:val="561737F8"/>
    <w:rsid w:val="563446C2"/>
    <w:rsid w:val="563B3D20"/>
    <w:rsid w:val="56641C45"/>
    <w:rsid w:val="56984297"/>
    <w:rsid w:val="569C6DA8"/>
    <w:rsid w:val="56C63E25"/>
    <w:rsid w:val="56E10C5F"/>
    <w:rsid w:val="56EC2EAE"/>
    <w:rsid w:val="56ED315F"/>
    <w:rsid w:val="570D735E"/>
    <w:rsid w:val="572B1EDA"/>
    <w:rsid w:val="57380335"/>
    <w:rsid w:val="5743568C"/>
    <w:rsid w:val="57462870"/>
    <w:rsid w:val="574F7976"/>
    <w:rsid w:val="57507FE6"/>
    <w:rsid w:val="575C2093"/>
    <w:rsid w:val="575D6537"/>
    <w:rsid w:val="57686C8A"/>
    <w:rsid w:val="57712A40"/>
    <w:rsid w:val="577E31F2"/>
    <w:rsid w:val="57923845"/>
    <w:rsid w:val="57BB500C"/>
    <w:rsid w:val="57C9597B"/>
    <w:rsid w:val="57D74558"/>
    <w:rsid w:val="57FB6BD0"/>
    <w:rsid w:val="58055B5F"/>
    <w:rsid w:val="581B5AAA"/>
    <w:rsid w:val="58203621"/>
    <w:rsid w:val="58412102"/>
    <w:rsid w:val="58507E4A"/>
    <w:rsid w:val="586B6912"/>
    <w:rsid w:val="58776221"/>
    <w:rsid w:val="5884047C"/>
    <w:rsid w:val="58AE691E"/>
    <w:rsid w:val="58C96063"/>
    <w:rsid w:val="59080725"/>
    <w:rsid w:val="591200F0"/>
    <w:rsid w:val="59172716"/>
    <w:rsid w:val="592E180D"/>
    <w:rsid w:val="592F5CB1"/>
    <w:rsid w:val="59831B59"/>
    <w:rsid w:val="598633F7"/>
    <w:rsid w:val="599B67A7"/>
    <w:rsid w:val="59CD1728"/>
    <w:rsid w:val="59D6088C"/>
    <w:rsid w:val="59D93E6F"/>
    <w:rsid w:val="59EF5441"/>
    <w:rsid w:val="59FA6C11"/>
    <w:rsid w:val="5A057443"/>
    <w:rsid w:val="5A1074F0"/>
    <w:rsid w:val="5A1F5D26"/>
    <w:rsid w:val="5A236E98"/>
    <w:rsid w:val="5A3317D1"/>
    <w:rsid w:val="5A450894"/>
    <w:rsid w:val="5A4528F8"/>
    <w:rsid w:val="5A610511"/>
    <w:rsid w:val="5A61633E"/>
    <w:rsid w:val="5A8C2C8F"/>
    <w:rsid w:val="5AAF0F91"/>
    <w:rsid w:val="5AB3021C"/>
    <w:rsid w:val="5ABB5323"/>
    <w:rsid w:val="5AC253A4"/>
    <w:rsid w:val="5AD51017"/>
    <w:rsid w:val="5AD76600"/>
    <w:rsid w:val="5ADC7773"/>
    <w:rsid w:val="5AE40D1D"/>
    <w:rsid w:val="5AE55490"/>
    <w:rsid w:val="5AE96334"/>
    <w:rsid w:val="5B13515F"/>
    <w:rsid w:val="5B6065F6"/>
    <w:rsid w:val="5B793214"/>
    <w:rsid w:val="5B7A2211"/>
    <w:rsid w:val="5B962018"/>
    <w:rsid w:val="5BA02E96"/>
    <w:rsid w:val="5BA04C44"/>
    <w:rsid w:val="5BC052E6"/>
    <w:rsid w:val="5BC528FD"/>
    <w:rsid w:val="5BCC5A39"/>
    <w:rsid w:val="5BDB3A50"/>
    <w:rsid w:val="5BE77A78"/>
    <w:rsid w:val="5BF1724E"/>
    <w:rsid w:val="5BF907F8"/>
    <w:rsid w:val="5C0E5905"/>
    <w:rsid w:val="5C165837"/>
    <w:rsid w:val="5C2A2760"/>
    <w:rsid w:val="5C2B0879"/>
    <w:rsid w:val="5C4F0418"/>
    <w:rsid w:val="5C514191"/>
    <w:rsid w:val="5C6739B4"/>
    <w:rsid w:val="5C732359"/>
    <w:rsid w:val="5C9329B0"/>
    <w:rsid w:val="5C9347A9"/>
    <w:rsid w:val="5C966047"/>
    <w:rsid w:val="5CA95D7B"/>
    <w:rsid w:val="5CB169DD"/>
    <w:rsid w:val="5CED210B"/>
    <w:rsid w:val="5CED2C2E"/>
    <w:rsid w:val="5CFB7D2E"/>
    <w:rsid w:val="5CFD190F"/>
    <w:rsid w:val="5D017C72"/>
    <w:rsid w:val="5D156723"/>
    <w:rsid w:val="5D1B4AA0"/>
    <w:rsid w:val="5D1E0517"/>
    <w:rsid w:val="5D282B95"/>
    <w:rsid w:val="5D3835CC"/>
    <w:rsid w:val="5D4B1D49"/>
    <w:rsid w:val="5D5979CA"/>
    <w:rsid w:val="5D6E41C0"/>
    <w:rsid w:val="5D9A10C4"/>
    <w:rsid w:val="5D9E53A6"/>
    <w:rsid w:val="5DDF5A18"/>
    <w:rsid w:val="5DE41F49"/>
    <w:rsid w:val="5DF82E85"/>
    <w:rsid w:val="5E055233"/>
    <w:rsid w:val="5E0D40E7"/>
    <w:rsid w:val="5E151556"/>
    <w:rsid w:val="5E1D679B"/>
    <w:rsid w:val="5E2B55C7"/>
    <w:rsid w:val="5E457D25"/>
    <w:rsid w:val="5E5D4F0E"/>
    <w:rsid w:val="5E631F59"/>
    <w:rsid w:val="5E693A13"/>
    <w:rsid w:val="5E88652A"/>
    <w:rsid w:val="5E8F0FA0"/>
    <w:rsid w:val="5E9A3E51"/>
    <w:rsid w:val="5EA44A4C"/>
    <w:rsid w:val="5EB305D0"/>
    <w:rsid w:val="5ECE29A1"/>
    <w:rsid w:val="5EDC7205"/>
    <w:rsid w:val="5EDE6066"/>
    <w:rsid w:val="5EE27322"/>
    <w:rsid w:val="5EF3152F"/>
    <w:rsid w:val="5EFA28BD"/>
    <w:rsid w:val="5EFD7EF3"/>
    <w:rsid w:val="5F2B6F1B"/>
    <w:rsid w:val="5F401D0B"/>
    <w:rsid w:val="5F4240E2"/>
    <w:rsid w:val="5F481CA4"/>
    <w:rsid w:val="5F8A5E91"/>
    <w:rsid w:val="5F952F9B"/>
    <w:rsid w:val="5F9C5B22"/>
    <w:rsid w:val="5FBC191E"/>
    <w:rsid w:val="5FCC1817"/>
    <w:rsid w:val="5FD001C6"/>
    <w:rsid w:val="5FE06EEA"/>
    <w:rsid w:val="603B1E6D"/>
    <w:rsid w:val="60457B68"/>
    <w:rsid w:val="604858AA"/>
    <w:rsid w:val="607E39E0"/>
    <w:rsid w:val="608A3CC5"/>
    <w:rsid w:val="608E6146"/>
    <w:rsid w:val="60A90A80"/>
    <w:rsid w:val="60BA7BDB"/>
    <w:rsid w:val="60E33E3D"/>
    <w:rsid w:val="60E83407"/>
    <w:rsid w:val="60F424CF"/>
    <w:rsid w:val="60FD6695"/>
    <w:rsid w:val="613F6CAD"/>
    <w:rsid w:val="614D117E"/>
    <w:rsid w:val="615C01E0"/>
    <w:rsid w:val="615C33BC"/>
    <w:rsid w:val="6162474A"/>
    <w:rsid w:val="616C280F"/>
    <w:rsid w:val="616F50A1"/>
    <w:rsid w:val="61706E67"/>
    <w:rsid w:val="6175674C"/>
    <w:rsid w:val="61785D1C"/>
    <w:rsid w:val="61AD766D"/>
    <w:rsid w:val="61DE64C6"/>
    <w:rsid w:val="61E64557"/>
    <w:rsid w:val="61E97FBE"/>
    <w:rsid w:val="61F26A64"/>
    <w:rsid w:val="61FA2BD4"/>
    <w:rsid w:val="61FC4B9F"/>
    <w:rsid w:val="620073A1"/>
    <w:rsid w:val="620E0632"/>
    <w:rsid w:val="6220088D"/>
    <w:rsid w:val="62314848"/>
    <w:rsid w:val="627961EF"/>
    <w:rsid w:val="627A5F4F"/>
    <w:rsid w:val="62A74B0A"/>
    <w:rsid w:val="62A92175"/>
    <w:rsid w:val="62BD2580"/>
    <w:rsid w:val="62D358FF"/>
    <w:rsid w:val="63143F24"/>
    <w:rsid w:val="63212B0F"/>
    <w:rsid w:val="633F4D43"/>
    <w:rsid w:val="634A3B18"/>
    <w:rsid w:val="63536A40"/>
    <w:rsid w:val="63576530"/>
    <w:rsid w:val="63587FF5"/>
    <w:rsid w:val="637A5C81"/>
    <w:rsid w:val="637B1AF3"/>
    <w:rsid w:val="638D2F24"/>
    <w:rsid w:val="63923879"/>
    <w:rsid w:val="639C3F43"/>
    <w:rsid w:val="639F55E6"/>
    <w:rsid w:val="63AE1B4B"/>
    <w:rsid w:val="63D77671"/>
    <w:rsid w:val="63F35B2D"/>
    <w:rsid w:val="64122768"/>
    <w:rsid w:val="64155AA4"/>
    <w:rsid w:val="643C74D4"/>
    <w:rsid w:val="64A14D51"/>
    <w:rsid w:val="64B15E66"/>
    <w:rsid w:val="64D911C7"/>
    <w:rsid w:val="64E158A4"/>
    <w:rsid w:val="64EC2607"/>
    <w:rsid w:val="64F845BE"/>
    <w:rsid w:val="651346D9"/>
    <w:rsid w:val="653F54CE"/>
    <w:rsid w:val="654230E5"/>
    <w:rsid w:val="65717652"/>
    <w:rsid w:val="657F0E02"/>
    <w:rsid w:val="65917FC7"/>
    <w:rsid w:val="659B25D3"/>
    <w:rsid w:val="65A90B99"/>
    <w:rsid w:val="65C47781"/>
    <w:rsid w:val="65D2131D"/>
    <w:rsid w:val="65DC1F2F"/>
    <w:rsid w:val="65F938CF"/>
    <w:rsid w:val="66124991"/>
    <w:rsid w:val="662841B4"/>
    <w:rsid w:val="66325BF1"/>
    <w:rsid w:val="663F14FE"/>
    <w:rsid w:val="663F505A"/>
    <w:rsid w:val="66521231"/>
    <w:rsid w:val="66536136"/>
    <w:rsid w:val="665F4929"/>
    <w:rsid w:val="666B608E"/>
    <w:rsid w:val="667F49B4"/>
    <w:rsid w:val="668A4527"/>
    <w:rsid w:val="668F1B3D"/>
    <w:rsid w:val="66952ECC"/>
    <w:rsid w:val="66BD5E1B"/>
    <w:rsid w:val="66F619F5"/>
    <w:rsid w:val="67060132"/>
    <w:rsid w:val="67094CF6"/>
    <w:rsid w:val="6736645D"/>
    <w:rsid w:val="6760469D"/>
    <w:rsid w:val="676517E2"/>
    <w:rsid w:val="676A0C1E"/>
    <w:rsid w:val="67717495"/>
    <w:rsid w:val="677B3995"/>
    <w:rsid w:val="67872DBE"/>
    <w:rsid w:val="6793173E"/>
    <w:rsid w:val="67940CB3"/>
    <w:rsid w:val="679B01F2"/>
    <w:rsid w:val="67C16F81"/>
    <w:rsid w:val="67EB36EB"/>
    <w:rsid w:val="67F1641A"/>
    <w:rsid w:val="67F72090"/>
    <w:rsid w:val="682B7F8C"/>
    <w:rsid w:val="68464DC5"/>
    <w:rsid w:val="686C601A"/>
    <w:rsid w:val="6886711A"/>
    <w:rsid w:val="68D8328A"/>
    <w:rsid w:val="68FB7375"/>
    <w:rsid w:val="690507DD"/>
    <w:rsid w:val="691B590A"/>
    <w:rsid w:val="6922313D"/>
    <w:rsid w:val="69224EEB"/>
    <w:rsid w:val="69273E57"/>
    <w:rsid w:val="692E7D33"/>
    <w:rsid w:val="694C640B"/>
    <w:rsid w:val="697B0A9F"/>
    <w:rsid w:val="698B6C53"/>
    <w:rsid w:val="698C0564"/>
    <w:rsid w:val="69912070"/>
    <w:rsid w:val="69C53AC8"/>
    <w:rsid w:val="69DD18BB"/>
    <w:rsid w:val="69E2467A"/>
    <w:rsid w:val="69E5416A"/>
    <w:rsid w:val="69EA0F0C"/>
    <w:rsid w:val="69F26D9C"/>
    <w:rsid w:val="6A107439"/>
    <w:rsid w:val="6A1231B1"/>
    <w:rsid w:val="6A1B612A"/>
    <w:rsid w:val="6A1C1234"/>
    <w:rsid w:val="6A33117F"/>
    <w:rsid w:val="6A556F65"/>
    <w:rsid w:val="6A8B4D12"/>
    <w:rsid w:val="6A9666BA"/>
    <w:rsid w:val="6AB07C88"/>
    <w:rsid w:val="6AD7507E"/>
    <w:rsid w:val="6ADF1441"/>
    <w:rsid w:val="6AE7729F"/>
    <w:rsid w:val="6AFF300A"/>
    <w:rsid w:val="6B054AC4"/>
    <w:rsid w:val="6B106FC5"/>
    <w:rsid w:val="6B252A70"/>
    <w:rsid w:val="6B4F3F91"/>
    <w:rsid w:val="6B506C80"/>
    <w:rsid w:val="6B767770"/>
    <w:rsid w:val="6B7921E8"/>
    <w:rsid w:val="6B9151DB"/>
    <w:rsid w:val="6BC8789F"/>
    <w:rsid w:val="6BD9385B"/>
    <w:rsid w:val="6BF30DC0"/>
    <w:rsid w:val="6C046B2A"/>
    <w:rsid w:val="6C290102"/>
    <w:rsid w:val="6C2D3629"/>
    <w:rsid w:val="6C5F1FB2"/>
    <w:rsid w:val="6C902A0E"/>
    <w:rsid w:val="6C914865"/>
    <w:rsid w:val="6C9E6F7E"/>
    <w:rsid w:val="6CAB169B"/>
    <w:rsid w:val="6CBB4DEB"/>
    <w:rsid w:val="6CF3094C"/>
    <w:rsid w:val="6CF71B34"/>
    <w:rsid w:val="6D0B1D5B"/>
    <w:rsid w:val="6D101479"/>
    <w:rsid w:val="6D133282"/>
    <w:rsid w:val="6D282CEC"/>
    <w:rsid w:val="6D4028D1"/>
    <w:rsid w:val="6D503D49"/>
    <w:rsid w:val="6D9B1B7B"/>
    <w:rsid w:val="6DAA0B17"/>
    <w:rsid w:val="6DB4622A"/>
    <w:rsid w:val="6DC67CF3"/>
    <w:rsid w:val="6DC735A7"/>
    <w:rsid w:val="6DF173AF"/>
    <w:rsid w:val="6E154508"/>
    <w:rsid w:val="6E323B00"/>
    <w:rsid w:val="6E463F6A"/>
    <w:rsid w:val="6E584405"/>
    <w:rsid w:val="6E9E14B7"/>
    <w:rsid w:val="6EA840E4"/>
    <w:rsid w:val="6EA91EB1"/>
    <w:rsid w:val="6EAD16FA"/>
    <w:rsid w:val="6EAE51E8"/>
    <w:rsid w:val="6EC94D00"/>
    <w:rsid w:val="6ED22F0F"/>
    <w:rsid w:val="6ED76EA7"/>
    <w:rsid w:val="6EDE2A7E"/>
    <w:rsid w:val="6EEA1AE2"/>
    <w:rsid w:val="6EFE150A"/>
    <w:rsid w:val="6F0F1EBA"/>
    <w:rsid w:val="6F2B261F"/>
    <w:rsid w:val="6F4638FD"/>
    <w:rsid w:val="6F593630"/>
    <w:rsid w:val="6F924AEA"/>
    <w:rsid w:val="6FA166F4"/>
    <w:rsid w:val="6FAE395B"/>
    <w:rsid w:val="6FC95FDB"/>
    <w:rsid w:val="6FDF560B"/>
    <w:rsid w:val="6FE93B6A"/>
    <w:rsid w:val="6FF957E3"/>
    <w:rsid w:val="700417EE"/>
    <w:rsid w:val="702552C0"/>
    <w:rsid w:val="70347CE9"/>
    <w:rsid w:val="70603626"/>
    <w:rsid w:val="70626028"/>
    <w:rsid w:val="707F3F7B"/>
    <w:rsid w:val="70AE52B6"/>
    <w:rsid w:val="70B60812"/>
    <w:rsid w:val="70C525FF"/>
    <w:rsid w:val="70CB5E68"/>
    <w:rsid w:val="70E47042"/>
    <w:rsid w:val="70FE448F"/>
    <w:rsid w:val="71123B17"/>
    <w:rsid w:val="711315BD"/>
    <w:rsid w:val="711A6DEF"/>
    <w:rsid w:val="71391AA7"/>
    <w:rsid w:val="717958C4"/>
    <w:rsid w:val="717A3EAF"/>
    <w:rsid w:val="71872296"/>
    <w:rsid w:val="71980A90"/>
    <w:rsid w:val="71B763EC"/>
    <w:rsid w:val="71BC7EA6"/>
    <w:rsid w:val="71CD20B4"/>
    <w:rsid w:val="71D615DC"/>
    <w:rsid w:val="71D877F6"/>
    <w:rsid w:val="71E7082E"/>
    <w:rsid w:val="71F652BA"/>
    <w:rsid w:val="71F753BA"/>
    <w:rsid w:val="720432D1"/>
    <w:rsid w:val="720D1255"/>
    <w:rsid w:val="723B0DCB"/>
    <w:rsid w:val="724779A2"/>
    <w:rsid w:val="725928A4"/>
    <w:rsid w:val="7269173D"/>
    <w:rsid w:val="72714695"/>
    <w:rsid w:val="72822E9E"/>
    <w:rsid w:val="72D82ABE"/>
    <w:rsid w:val="72F86CBC"/>
    <w:rsid w:val="73090EC9"/>
    <w:rsid w:val="731E3C58"/>
    <w:rsid w:val="734C6C53"/>
    <w:rsid w:val="7355026A"/>
    <w:rsid w:val="737A2414"/>
    <w:rsid w:val="73EA4857"/>
    <w:rsid w:val="74031DBD"/>
    <w:rsid w:val="740614C4"/>
    <w:rsid w:val="742C1313"/>
    <w:rsid w:val="74337262"/>
    <w:rsid w:val="7452064E"/>
    <w:rsid w:val="74595A33"/>
    <w:rsid w:val="747A4AEE"/>
    <w:rsid w:val="74A12B43"/>
    <w:rsid w:val="74B54B8A"/>
    <w:rsid w:val="74DD260E"/>
    <w:rsid w:val="74DF04B1"/>
    <w:rsid w:val="74E3763D"/>
    <w:rsid w:val="74F31F27"/>
    <w:rsid w:val="75042131"/>
    <w:rsid w:val="750C6A4F"/>
    <w:rsid w:val="751827AE"/>
    <w:rsid w:val="75210042"/>
    <w:rsid w:val="75265D63"/>
    <w:rsid w:val="752E10BB"/>
    <w:rsid w:val="753C37D8"/>
    <w:rsid w:val="755E374E"/>
    <w:rsid w:val="75660855"/>
    <w:rsid w:val="7590142E"/>
    <w:rsid w:val="759D6815"/>
    <w:rsid w:val="75B1730B"/>
    <w:rsid w:val="75CD61DE"/>
    <w:rsid w:val="75DC28C5"/>
    <w:rsid w:val="76085468"/>
    <w:rsid w:val="762C4800"/>
    <w:rsid w:val="76320C9D"/>
    <w:rsid w:val="76377AFB"/>
    <w:rsid w:val="7650588B"/>
    <w:rsid w:val="76742AFE"/>
    <w:rsid w:val="7685418A"/>
    <w:rsid w:val="76857CCE"/>
    <w:rsid w:val="76CE66B2"/>
    <w:rsid w:val="76EA75E7"/>
    <w:rsid w:val="76F24A71"/>
    <w:rsid w:val="76FF3BB0"/>
    <w:rsid w:val="7717739F"/>
    <w:rsid w:val="771E7554"/>
    <w:rsid w:val="77277B70"/>
    <w:rsid w:val="77304C77"/>
    <w:rsid w:val="77882D05"/>
    <w:rsid w:val="77B66BB1"/>
    <w:rsid w:val="77BF6E55"/>
    <w:rsid w:val="77C673BF"/>
    <w:rsid w:val="77E3618D"/>
    <w:rsid w:val="781123D0"/>
    <w:rsid w:val="782A3DBC"/>
    <w:rsid w:val="783936B9"/>
    <w:rsid w:val="783A16ED"/>
    <w:rsid w:val="787D5FEB"/>
    <w:rsid w:val="789254BD"/>
    <w:rsid w:val="789C633C"/>
    <w:rsid w:val="78BB0EB8"/>
    <w:rsid w:val="78D930EC"/>
    <w:rsid w:val="78EE6B97"/>
    <w:rsid w:val="79032860"/>
    <w:rsid w:val="790F6B0E"/>
    <w:rsid w:val="79102FB2"/>
    <w:rsid w:val="79206F6D"/>
    <w:rsid w:val="79224A93"/>
    <w:rsid w:val="792702FB"/>
    <w:rsid w:val="7927654D"/>
    <w:rsid w:val="792A003C"/>
    <w:rsid w:val="79386064"/>
    <w:rsid w:val="794C43A2"/>
    <w:rsid w:val="79505DA4"/>
    <w:rsid w:val="79786DA9"/>
    <w:rsid w:val="797C0647"/>
    <w:rsid w:val="797E04F8"/>
    <w:rsid w:val="798718D5"/>
    <w:rsid w:val="79AC25AE"/>
    <w:rsid w:val="79AC7076"/>
    <w:rsid w:val="79B3354A"/>
    <w:rsid w:val="79BF22E2"/>
    <w:rsid w:val="79DD09BA"/>
    <w:rsid w:val="79FE105C"/>
    <w:rsid w:val="7A4B29B6"/>
    <w:rsid w:val="7A556D7A"/>
    <w:rsid w:val="7A730598"/>
    <w:rsid w:val="7A8A28F0"/>
    <w:rsid w:val="7AAA1011"/>
    <w:rsid w:val="7AB71FA4"/>
    <w:rsid w:val="7ABB45A5"/>
    <w:rsid w:val="7ACC2F08"/>
    <w:rsid w:val="7AF01639"/>
    <w:rsid w:val="7B0566D6"/>
    <w:rsid w:val="7B09415C"/>
    <w:rsid w:val="7B4F58E7"/>
    <w:rsid w:val="7B5573A2"/>
    <w:rsid w:val="7B5A49B8"/>
    <w:rsid w:val="7B6E6B2F"/>
    <w:rsid w:val="7B75534E"/>
    <w:rsid w:val="7B7F61CD"/>
    <w:rsid w:val="7B915F00"/>
    <w:rsid w:val="7B9A3006"/>
    <w:rsid w:val="7BA9460B"/>
    <w:rsid w:val="7BBC0CFA"/>
    <w:rsid w:val="7BBC2F7D"/>
    <w:rsid w:val="7BCD518A"/>
    <w:rsid w:val="7BD11538"/>
    <w:rsid w:val="7BE97AEA"/>
    <w:rsid w:val="7BF23606"/>
    <w:rsid w:val="7C0641F8"/>
    <w:rsid w:val="7C0C6CA0"/>
    <w:rsid w:val="7C122B9D"/>
    <w:rsid w:val="7C1728A9"/>
    <w:rsid w:val="7C421F9D"/>
    <w:rsid w:val="7C477B5C"/>
    <w:rsid w:val="7C703D67"/>
    <w:rsid w:val="7C8554FF"/>
    <w:rsid w:val="7C893C92"/>
    <w:rsid w:val="7CB54BFC"/>
    <w:rsid w:val="7CB9278C"/>
    <w:rsid w:val="7CE0081C"/>
    <w:rsid w:val="7CF16C56"/>
    <w:rsid w:val="7D0552A0"/>
    <w:rsid w:val="7D0D6F83"/>
    <w:rsid w:val="7D0D7808"/>
    <w:rsid w:val="7D2C7789"/>
    <w:rsid w:val="7D376633"/>
    <w:rsid w:val="7D3905FD"/>
    <w:rsid w:val="7D3F20B7"/>
    <w:rsid w:val="7D511DEB"/>
    <w:rsid w:val="7D5B67C5"/>
    <w:rsid w:val="7D5D078F"/>
    <w:rsid w:val="7D630958"/>
    <w:rsid w:val="7D684D06"/>
    <w:rsid w:val="7D7376D6"/>
    <w:rsid w:val="7D823D52"/>
    <w:rsid w:val="7DEE0806"/>
    <w:rsid w:val="7DF32EA2"/>
    <w:rsid w:val="7DF579EE"/>
    <w:rsid w:val="7E2E5C88"/>
    <w:rsid w:val="7E343D31"/>
    <w:rsid w:val="7E4032E2"/>
    <w:rsid w:val="7E4455D2"/>
    <w:rsid w:val="7E6F077A"/>
    <w:rsid w:val="7E7044F2"/>
    <w:rsid w:val="7EB50157"/>
    <w:rsid w:val="7EE4695A"/>
    <w:rsid w:val="7F0F1615"/>
    <w:rsid w:val="7F1858DF"/>
    <w:rsid w:val="7F257C72"/>
    <w:rsid w:val="7F3E014D"/>
    <w:rsid w:val="7F7973D7"/>
    <w:rsid w:val="7F86440E"/>
    <w:rsid w:val="7F9D261C"/>
    <w:rsid w:val="7F9D2A8F"/>
    <w:rsid w:val="7FB14DC3"/>
    <w:rsid w:val="7FB42573"/>
    <w:rsid w:val="7FBD085D"/>
    <w:rsid w:val="7FCA378E"/>
    <w:rsid w:val="7FCC7507"/>
    <w:rsid w:val="7FE24610"/>
    <w:rsid w:val="7FEA5BDF"/>
    <w:rsid w:val="7FF522A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iPriority="39"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rPr>
      <w:rFonts w:ascii="Calibri" w:hAnsi="Calibri" w:eastAsia="宋体" w:cs="Times New Roman"/>
      <w:kern w:val="2"/>
      <w:sz w:val="21"/>
      <w:szCs w:val="24"/>
      <w:lang w:val="en-US" w:eastAsia="zh-CN" w:bidi="ar-SA"/>
    </w:rPr>
  </w:style>
  <w:style w:type="paragraph" w:styleId="3">
    <w:name w:val="heading 1"/>
    <w:basedOn w:val="1"/>
    <w:next w:val="1"/>
    <w:autoRedefine/>
    <w:qFormat/>
    <w:uiPriority w:val="99"/>
    <w:pPr>
      <w:keepNext/>
      <w:keepLines/>
      <w:spacing w:before="340" w:after="330" w:line="576" w:lineRule="auto"/>
      <w:outlineLvl w:val="0"/>
    </w:pPr>
    <w:rPr>
      <w:b/>
      <w:kern w:val="44"/>
      <w:sz w:val="44"/>
    </w:rPr>
  </w:style>
  <w:style w:type="paragraph" w:styleId="2">
    <w:name w:val="heading 2"/>
    <w:basedOn w:val="1"/>
    <w:next w:val="1"/>
    <w:autoRedefine/>
    <w:qFormat/>
    <w:uiPriority w:val="0"/>
    <w:pPr>
      <w:keepNext/>
      <w:keepLines/>
      <w:spacing w:line="360" w:lineRule="auto"/>
      <w:outlineLvl w:val="1"/>
    </w:pPr>
    <w:rPr>
      <w:rFonts w:ascii="Cambria" w:hAnsi="Cambria"/>
      <w:b/>
      <w:bCs/>
      <w:szCs w:val="32"/>
    </w:rPr>
  </w:style>
  <w:style w:type="paragraph" w:styleId="4">
    <w:name w:val="heading 3"/>
    <w:basedOn w:val="1"/>
    <w:next w:val="1"/>
    <w:autoRedefine/>
    <w:qFormat/>
    <w:uiPriority w:val="0"/>
    <w:pPr>
      <w:keepNext/>
      <w:keepLines/>
      <w:outlineLvl w:val="2"/>
    </w:pPr>
    <w:rPr>
      <w:b/>
      <w:bCs/>
      <w:kern w:val="0"/>
      <w:sz w:val="20"/>
      <w:szCs w:val="32"/>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5">
    <w:name w:val="List Number"/>
    <w:basedOn w:val="1"/>
    <w:autoRedefine/>
    <w:qFormat/>
    <w:uiPriority w:val="0"/>
    <w:pPr>
      <w:numPr>
        <w:ilvl w:val="0"/>
        <w:numId w:val="1"/>
      </w:numPr>
    </w:pPr>
  </w:style>
  <w:style w:type="paragraph" w:styleId="6">
    <w:name w:val="Normal Indent"/>
    <w:basedOn w:val="1"/>
    <w:autoRedefine/>
    <w:qFormat/>
    <w:uiPriority w:val="0"/>
    <w:pPr>
      <w:ind w:firstLine="488"/>
    </w:pPr>
  </w:style>
  <w:style w:type="paragraph" w:styleId="7">
    <w:name w:val="annotation text"/>
    <w:basedOn w:val="1"/>
    <w:link w:val="48"/>
    <w:autoRedefine/>
    <w:qFormat/>
    <w:uiPriority w:val="0"/>
  </w:style>
  <w:style w:type="paragraph" w:styleId="8">
    <w:name w:val="Salutation"/>
    <w:basedOn w:val="1"/>
    <w:next w:val="1"/>
    <w:autoRedefine/>
    <w:qFormat/>
    <w:uiPriority w:val="0"/>
    <w:rPr>
      <w:sz w:val="24"/>
    </w:rPr>
  </w:style>
  <w:style w:type="paragraph" w:styleId="9">
    <w:name w:val="Body Text"/>
    <w:basedOn w:val="1"/>
    <w:link w:val="50"/>
    <w:autoRedefine/>
    <w:qFormat/>
    <w:uiPriority w:val="0"/>
    <w:pPr>
      <w:spacing w:after="120"/>
    </w:pPr>
    <w:rPr>
      <w:sz w:val="24"/>
    </w:rPr>
  </w:style>
  <w:style w:type="paragraph" w:styleId="10">
    <w:name w:val="Body Text Indent"/>
    <w:basedOn w:val="1"/>
    <w:autoRedefine/>
    <w:qFormat/>
    <w:uiPriority w:val="0"/>
    <w:pPr>
      <w:spacing w:line="200" w:lineRule="exact"/>
      <w:ind w:firstLine="301"/>
    </w:pPr>
    <w:rPr>
      <w:rFonts w:ascii="宋体" w:hAnsi="Courier New"/>
      <w:spacing w:val="-4"/>
      <w:kern w:val="0"/>
      <w:sz w:val="18"/>
    </w:rPr>
  </w:style>
  <w:style w:type="paragraph" w:styleId="11">
    <w:name w:val="Block Text"/>
    <w:basedOn w:val="1"/>
    <w:autoRedefine/>
    <w:unhideWhenUsed/>
    <w:qFormat/>
    <w:uiPriority w:val="99"/>
    <w:pPr>
      <w:widowControl/>
      <w:ind w:left="567" w:right="454" w:firstLine="498"/>
      <w:jc w:val="left"/>
    </w:pPr>
    <w:rPr>
      <w:rFonts w:ascii="仿宋_GB2312" w:eastAsia="仿宋_GB2312" w:hAnsiTheme="minorHAnsi" w:cstheme="minorBidi"/>
      <w:kern w:val="0"/>
      <w:sz w:val="30"/>
      <w:szCs w:val="20"/>
    </w:rPr>
  </w:style>
  <w:style w:type="paragraph" w:styleId="12">
    <w:name w:val="Plain Text"/>
    <w:basedOn w:val="1"/>
    <w:next w:val="13"/>
    <w:link w:val="103"/>
    <w:autoRedefine/>
    <w:qFormat/>
    <w:uiPriority w:val="0"/>
    <w:rPr>
      <w:rFonts w:ascii="宋体" w:hAnsi="Courier New" w:eastAsia="仿宋_GB2312"/>
      <w:sz w:val="30"/>
    </w:rPr>
  </w:style>
  <w:style w:type="paragraph" w:styleId="13">
    <w:name w:val="toc 2"/>
    <w:basedOn w:val="1"/>
    <w:next w:val="1"/>
    <w:autoRedefine/>
    <w:qFormat/>
    <w:uiPriority w:val="0"/>
    <w:pPr>
      <w:spacing w:before="120"/>
      <w:ind w:left="240"/>
    </w:pPr>
    <w:rPr>
      <w:b/>
      <w:bCs/>
      <w:kern w:val="0"/>
      <w:sz w:val="22"/>
      <w:szCs w:val="22"/>
    </w:rPr>
  </w:style>
  <w:style w:type="paragraph" w:styleId="14">
    <w:name w:val="Date"/>
    <w:basedOn w:val="1"/>
    <w:next w:val="1"/>
    <w:autoRedefine/>
    <w:qFormat/>
    <w:uiPriority w:val="0"/>
    <w:pPr>
      <w:ind w:left="2500" w:leftChars="2500" w:firstLine="720" w:firstLineChars="200"/>
    </w:pPr>
    <w:rPr>
      <w:rFonts w:eastAsia="楷体_GB2312"/>
      <w:sz w:val="32"/>
    </w:rPr>
  </w:style>
  <w:style w:type="paragraph" w:styleId="15">
    <w:name w:val="Body Text Indent 2"/>
    <w:basedOn w:val="1"/>
    <w:autoRedefine/>
    <w:qFormat/>
    <w:uiPriority w:val="99"/>
    <w:pPr>
      <w:snapToGrid w:val="0"/>
      <w:ind w:firstLine="542" w:firstLineChars="225"/>
    </w:pPr>
    <w:rPr>
      <w:kern w:val="0"/>
      <w:sz w:val="24"/>
    </w:rPr>
  </w:style>
  <w:style w:type="paragraph" w:styleId="16">
    <w:name w:val="Balloon Text"/>
    <w:basedOn w:val="1"/>
    <w:link w:val="83"/>
    <w:autoRedefine/>
    <w:qFormat/>
    <w:uiPriority w:val="0"/>
    <w:rPr>
      <w:sz w:val="18"/>
      <w:szCs w:val="18"/>
    </w:rPr>
  </w:style>
  <w:style w:type="paragraph" w:styleId="17">
    <w:name w:val="footer"/>
    <w:basedOn w:val="1"/>
    <w:autoRedefine/>
    <w:qFormat/>
    <w:uiPriority w:val="0"/>
    <w:pPr>
      <w:tabs>
        <w:tab w:val="center" w:pos="4153"/>
        <w:tab w:val="right" w:pos="8306"/>
      </w:tabs>
      <w:overflowPunct w:val="0"/>
      <w:autoSpaceDE w:val="0"/>
      <w:autoSpaceDN w:val="0"/>
      <w:adjustRightInd w:val="0"/>
      <w:textAlignment w:val="baseline"/>
    </w:pPr>
    <w:rPr>
      <w:kern w:val="0"/>
      <w:sz w:val="20"/>
      <w:szCs w:val="20"/>
    </w:rPr>
  </w:style>
  <w:style w:type="paragraph" w:styleId="18">
    <w:name w:val="envelope return"/>
    <w:basedOn w:val="1"/>
    <w:autoRedefine/>
    <w:qFormat/>
    <w:uiPriority w:val="0"/>
    <w:pPr>
      <w:snapToGrid w:val="0"/>
    </w:pPr>
    <w:rPr>
      <w:rFonts w:ascii="Arial" w:hAnsi="Arial"/>
    </w:rPr>
  </w:style>
  <w:style w:type="paragraph" w:styleId="1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0">
    <w:name w:val="toc 1"/>
    <w:basedOn w:val="1"/>
    <w:next w:val="1"/>
    <w:autoRedefine/>
    <w:qFormat/>
    <w:uiPriority w:val="0"/>
  </w:style>
  <w:style w:type="paragraph" w:styleId="21">
    <w:name w:val="toc 6"/>
    <w:basedOn w:val="1"/>
    <w:next w:val="1"/>
    <w:autoRedefine/>
    <w:unhideWhenUsed/>
    <w:qFormat/>
    <w:uiPriority w:val="39"/>
    <w:pPr>
      <w:ind w:left="2100" w:leftChars="1000"/>
    </w:pPr>
  </w:style>
  <w:style w:type="paragraph" w:styleId="22">
    <w:name w:val="Body Text Indent 3"/>
    <w:basedOn w:val="1"/>
    <w:link w:val="105"/>
    <w:autoRedefine/>
    <w:qFormat/>
    <w:uiPriority w:val="0"/>
    <w:pPr>
      <w:spacing w:after="120"/>
      <w:ind w:left="420" w:leftChars="200"/>
    </w:pPr>
    <w:rPr>
      <w:sz w:val="16"/>
      <w:szCs w:val="16"/>
    </w:rPr>
  </w:style>
  <w:style w:type="paragraph" w:styleId="23">
    <w:name w:val="Normal (Web)"/>
    <w:basedOn w:val="1"/>
    <w:autoRedefine/>
    <w:qFormat/>
    <w:uiPriority w:val="0"/>
    <w:pPr>
      <w:spacing w:before="100" w:beforeAutospacing="1" w:after="100" w:afterAutospacing="1"/>
    </w:pPr>
    <w:rPr>
      <w:kern w:val="0"/>
      <w:sz w:val="24"/>
    </w:rPr>
  </w:style>
  <w:style w:type="paragraph" w:styleId="24">
    <w:name w:val="Title"/>
    <w:basedOn w:val="1"/>
    <w:next w:val="1"/>
    <w:autoRedefine/>
    <w:qFormat/>
    <w:uiPriority w:val="0"/>
    <w:pPr>
      <w:spacing w:before="240" w:after="60"/>
      <w:jc w:val="center"/>
      <w:outlineLvl w:val="0"/>
    </w:pPr>
    <w:rPr>
      <w:rFonts w:ascii="Cambria" w:hAnsi="Cambria"/>
      <w:b/>
      <w:bCs/>
      <w:kern w:val="0"/>
      <w:sz w:val="32"/>
      <w:szCs w:val="32"/>
    </w:rPr>
  </w:style>
  <w:style w:type="paragraph" w:styleId="25">
    <w:name w:val="annotation subject"/>
    <w:basedOn w:val="7"/>
    <w:next w:val="7"/>
    <w:link w:val="94"/>
    <w:autoRedefine/>
    <w:qFormat/>
    <w:uiPriority w:val="0"/>
    <w:rPr>
      <w:b/>
      <w:bCs/>
    </w:rPr>
  </w:style>
  <w:style w:type="paragraph" w:styleId="26">
    <w:name w:val="Body Text First Indent"/>
    <w:basedOn w:val="9"/>
    <w:next w:val="21"/>
    <w:link w:val="95"/>
    <w:autoRedefine/>
    <w:qFormat/>
    <w:uiPriority w:val="0"/>
    <w:pPr>
      <w:ind w:firstLine="420" w:firstLineChars="100"/>
    </w:pPr>
    <w:rPr>
      <w:sz w:val="21"/>
    </w:rPr>
  </w:style>
  <w:style w:type="paragraph" w:styleId="27">
    <w:name w:val="Body Text First Indent 2"/>
    <w:basedOn w:val="10"/>
    <w:next w:val="1"/>
    <w:autoRedefine/>
    <w:qFormat/>
    <w:uiPriority w:val="0"/>
    <w:pPr>
      <w:ind w:firstLine="420" w:firstLineChars="200"/>
    </w:pPr>
  </w:style>
  <w:style w:type="table" w:styleId="29">
    <w:name w:val="Table Grid"/>
    <w:basedOn w:val="28"/>
    <w:autoRedefine/>
    <w:qFormat/>
    <w:uiPriority w:val="59"/>
    <w:pPr>
      <w:widowControl w:val="0"/>
      <w:jc w:val="both"/>
    </w:pPr>
    <w:rPr>
      <w:rFonts w:asciiTheme="minorHAnsi" w:hAnsiTheme="minorHAnsi"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autoRedefine/>
    <w:qFormat/>
    <w:uiPriority w:val="0"/>
  </w:style>
  <w:style w:type="character" w:styleId="32">
    <w:name w:val="FollowedHyperlink"/>
    <w:basedOn w:val="30"/>
    <w:autoRedefine/>
    <w:qFormat/>
    <w:uiPriority w:val="0"/>
    <w:rPr>
      <w:color w:val="800080"/>
      <w:u w:val="none"/>
    </w:rPr>
  </w:style>
  <w:style w:type="character" w:styleId="33">
    <w:name w:val="Emphasis"/>
    <w:basedOn w:val="30"/>
    <w:autoRedefine/>
    <w:qFormat/>
    <w:uiPriority w:val="0"/>
  </w:style>
  <w:style w:type="character" w:styleId="34">
    <w:name w:val="HTML Definition"/>
    <w:basedOn w:val="30"/>
    <w:autoRedefine/>
    <w:qFormat/>
    <w:uiPriority w:val="0"/>
  </w:style>
  <w:style w:type="character" w:styleId="35">
    <w:name w:val="HTML Typewriter"/>
    <w:basedOn w:val="30"/>
    <w:autoRedefine/>
    <w:qFormat/>
    <w:uiPriority w:val="0"/>
    <w:rPr>
      <w:rFonts w:ascii="monospace" w:hAnsi="monospace" w:eastAsia="monospace" w:cs="monospace"/>
      <w:sz w:val="20"/>
    </w:rPr>
  </w:style>
  <w:style w:type="character" w:styleId="36">
    <w:name w:val="HTML Acronym"/>
    <w:basedOn w:val="30"/>
    <w:autoRedefine/>
    <w:qFormat/>
    <w:uiPriority w:val="0"/>
  </w:style>
  <w:style w:type="character" w:styleId="37">
    <w:name w:val="HTML Variable"/>
    <w:basedOn w:val="30"/>
    <w:autoRedefine/>
    <w:qFormat/>
    <w:uiPriority w:val="0"/>
  </w:style>
  <w:style w:type="character" w:styleId="38">
    <w:name w:val="Hyperlink"/>
    <w:basedOn w:val="30"/>
    <w:autoRedefine/>
    <w:qFormat/>
    <w:uiPriority w:val="99"/>
    <w:rPr>
      <w:color w:val="333333"/>
      <w:u w:val="none"/>
    </w:rPr>
  </w:style>
  <w:style w:type="character" w:styleId="39">
    <w:name w:val="HTML Code"/>
    <w:basedOn w:val="30"/>
    <w:autoRedefine/>
    <w:qFormat/>
    <w:uiPriority w:val="0"/>
    <w:rPr>
      <w:rFonts w:hint="default" w:ascii="monospace" w:hAnsi="monospace" w:eastAsia="monospace" w:cs="monospace"/>
      <w:sz w:val="20"/>
    </w:rPr>
  </w:style>
  <w:style w:type="character" w:styleId="40">
    <w:name w:val="annotation reference"/>
    <w:basedOn w:val="30"/>
    <w:autoRedefine/>
    <w:qFormat/>
    <w:uiPriority w:val="0"/>
    <w:rPr>
      <w:sz w:val="21"/>
      <w:szCs w:val="21"/>
    </w:rPr>
  </w:style>
  <w:style w:type="character" w:styleId="41">
    <w:name w:val="HTML Cite"/>
    <w:basedOn w:val="30"/>
    <w:autoRedefine/>
    <w:qFormat/>
    <w:uiPriority w:val="0"/>
  </w:style>
  <w:style w:type="character" w:styleId="42">
    <w:name w:val="HTML Keyboard"/>
    <w:basedOn w:val="30"/>
    <w:autoRedefine/>
    <w:qFormat/>
    <w:uiPriority w:val="0"/>
    <w:rPr>
      <w:rFonts w:hint="default" w:ascii="monospace" w:hAnsi="monospace" w:eastAsia="monospace" w:cs="monospace"/>
      <w:sz w:val="20"/>
    </w:rPr>
  </w:style>
  <w:style w:type="character" w:styleId="43">
    <w:name w:val="HTML Sample"/>
    <w:basedOn w:val="30"/>
    <w:autoRedefine/>
    <w:qFormat/>
    <w:uiPriority w:val="0"/>
    <w:rPr>
      <w:rFonts w:hint="default" w:ascii="monospace" w:hAnsi="monospace" w:eastAsia="monospace" w:cs="monospace"/>
    </w:rPr>
  </w:style>
  <w:style w:type="paragraph" w:customStyle="1" w:styleId="44">
    <w:name w:val="表格文字"/>
    <w:basedOn w:val="1"/>
    <w:next w:val="9"/>
    <w:autoRedefine/>
    <w:qFormat/>
    <w:uiPriority w:val="0"/>
    <w:rPr>
      <w:kern w:val="21"/>
      <w:szCs w:val="21"/>
    </w:rPr>
  </w:style>
  <w:style w:type="paragraph" w:customStyle="1" w:styleId="45">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正文格式"/>
    <w:basedOn w:val="1"/>
    <w:autoRedefine/>
    <w:qFormat/>
    <w:uiPriority w:val="0"/>
    <w:pPr>
      <w:topLinePunct/>
      <w:ind w:firstLine="420" w:firstLineChars="200"/>
    </w:pPr>
    <w:rPr>
      <w:rFonts w:ascii="宋体" w:hAnsi="宋体"/>
      <w:bCs/>
      <w:szCs w:val="21"/>
    </w:rPr>
  </w:style>
  <w:style w:type="character" w:customStyle="1" w:styleId="47">
    <w:name w:val="批注主题 Char"/>
    <w:basedOn w:val="48"/>
    <w:link w:val="49"/>
    <w:autoRedefine/>
    <w:semiHidden/>
    <w:qFormat/>
    <w:uiPriority w:val="0"/>
    <w:rPr>
      <w:rFonts w:ascii="Calibri" w:hAnsi="Calibri"/>
      <w:b/>
      <w:bCs/>
      <w:kern w:val="2"/>
      <w:sz w:val="21"/>
      <w:szCs w:val="24"/>
    </w:rPr>
  </w:style>
  <w:style w:type="character" w:customStyle="1" w:styleId="48">
    <w:name w:val="批注文字 字符"/>
    <w:basedOn w:val="30"/>
    <w:link w:val="7"/>
    <w:autoRedefine/>
    <w:semiHidden/>
    <w:qFormat/>
    <w:uiPriority w:val="0"/>
    <w:rPr>
      <w:rFonts w:ascii="Calibri" w:hAnsi="Calibri"/>
      <w:kern w:val="2"/>
      <w:sz w:val="21"/>
      <w:szCs w:val="24"/>
    </w:rPr>
  </w:style>
  <w:style w:type="paragraph" w:customStyle="1" w:styleId="49">
    <w:name w:val="批注主题1"/>
    <w:basedOn w:val="7"/>
    <w:next w:val="7"/>
    <w:link w:val="47"/>
    <w:autoRedefine/>
    <w:qFormat/>
    <w:uiPriority w:val="0"/>
    <w:rPr>
      <w:b/>
      <w:bCs/>
    </w:rPr>
  </w:style>
  <w:style w:type="character" w:customStyle="1" w:styleId="50">
    <w:name w:val="正文文本 字符"/>
    <w:basedOn w:val="30"/>
    <w:link w:val="9"/>
    <w:autoRedefine/>
    <w:semiHidden/>
    <w:qFormat/>
    <w:uiPriority w:val="0"/>
    <w:rPr>
      <w:rFonts w:ascii="Calibri" w:hAnsi="Calibri"/>
      <w:sz w:val="24"/>
      <w:szCs w:val="24"/>
    </w:rPr>
  </w:style>
  <w:style w:type="character" w:customStyle="1" w:styleId="51">
    <w:name w:val="纯文本 Char"/>
    <w:link w:val="52"/>
    <w:autoRedefine/>
    <w:semiHidden/>
    <w:qFormat/>
    <w:uiPriority w:val="0"/>
    <w:rPr>
      <w:rFonts w:ascii="宋体" w:hAnsi="Courier New" w:eastAsia="仿宋_GB2312"/>
      <w:kern w:val="2"/>
      <w:sz w:val="30"/>
      <w:szCs w:val="24"/>
    </w:rPr>
  </w:style>
  <w:style w:type="paragraph" w:customStyle="1" w:styleId="52">
    <w:name w:val="纯文本1"/>
    <w:basedOn w:val="53"/>
    <w:link w:val="51"/>
    <w:autoRedefine/>
    <w:qFormat/>
    <w:uiPriority w:val="0"/>
    <w:pPr>
      <w:spacing w:beforeLines="50" w:afterLines="50" w:line="400" w:lineRule="exact"/>
    </w:pPr>
    <w:rPr>
      <w:rFonts w:hAnsi="Courier New" w:eastAsia="仿宋_GB2312"/>
      <w:sz w:val="30"/>
    </w:rPr>
  </w:style>
  <w:style w:type="paragraph" w:customStyle="1" w:styleId="53">
    <w:name w:val="正文1"/>
    <w:basedOn w:val="1"/>
    <w:autoRedefine/>
    <w:qFormat/>
    <w:uiPriority w:val="0"/>
    <w:pPr>
      <w:adjustRightInd w:val="0"/>
      <w:spacing w:line="318" w:lineRule="atLeast"/>
      <w:ind w:left="369" w:firstLine="369"/>
      <w:textAlignment w:val="baseline"/>
    </w:pPr>
    <w:rPr>
      <w:rFonts w:ascii="宋体"/>
      <w:szCs w:val="20"/>
    </w:rPr>
  </w:style>
  <w:style w:type="character" w:customStyle="1" w:styleId="54">
    <w:name w:val="批注框文本 Char"/>
    <w:basedOn w:val="30"/>
    <w:link w:val="55"/>
    <w:autoRedefine/>
    <w:semiHidden/>
    <w:qFormat/>
    <w:uiPriority w:val="0"/>
    <w:rPr>
      <w:rFonts w:ascii="Calibri" w:hAnsi="Calibri"/>
      <w:kern w:val="2"/>
      <w:sz w:val="18"/>
      <w:szCs w:val="18"/>
    </w:rPr>
  </w:style>
  <w:style w:type="paragraph" w:customStyle="1" w:styleId="55">
    <w:name w:val="批注框文本1"/>
    <w:basedOn w:val="1"/>
    <w:link w:val="54"/>
    <w:autoRedefine/>
    <w:qFormat/>
    <w:uiPriority w:val="0"/>
    <w:rPr>
      <w:sz w:val="18"/>
      <w:szCs w:val="18"/>
    </w:rPr>
  </w:style>
  <w:style w:type="paragraph" w:customStyle="1" w:styleId="56">
    <w:name w:val="正文文本缩进1"/>
    <w:basedOn w:val="1"/>
    <w:autoRedefine/>
    <w:qFormat/>
    <w:uiPriority w:val="0"/>
    <w:pPr>
      <w:spacing w:line="200" w:lineRule="exact"/>
      <w:ind w:firstLine="301"/>
    </w:pPr>
    <w:rPr>
      <w:rFonts w:ascii="宋体" w:hAnsi="Courier New"/>
      <w:spacing w:val="-4"/>
      <w:kern w:val="0"/>
      <w:sz w:val="18"/>
    </w:rPr>
  </w:style>
  <w:style w:type="paragraph" w:customStyle="1" w:styleId="57">
    <w:name w:val="纯文本2"/>
    <w:basedOn w:val="1"/>
    <w:autoRedefine/>
    <w:qFormat/>
    <w:uiPriority w:val="0"/>
    <w:rPr>
      <w:rFonts w:ascii="宋体" w:hAnsi="Courier New" w:eastAsia="仿宋_GB2312"/>
      <w:sz w:val="30"/>
    </w:rPr>
  </w:style>
  <w:style w:type="paragraph" w:customStyle="1" w:styleId="58">
    <w:name w:val="普通(网站)1"/>
    <w:basedOn w:val="1"/>
    <w:autoRedefine/>
    <w:qFormat/>
    <w:uiPriority w:val="0"/>
    <w:pPr>
      <w:spacing w:beforeAutospacing="1" w:afterAutospacing="1"/>
    </w:pPr>
    <w:rPr>
      <w:kern w:val="0"/>
      <w:sz w:val="24"/>
    </w:rPr>
  </w:style>
  <w:style w:type="paragraph" w:customStyle="1" w:styleId="59">
    <w:name w:val="正文缩进1"/>
    <w:basedOn w:val="1"/>
    <w:autoRedefine/>
    <w:qFormat/>
    <w:uiPriority w:val="0"/>
    <w:pPr>
      <w:ind w:firstLine="420" w:firstLineChars="200"/>
    </w:pPr>
  </w:style>
  <w:style w:type="paragraph" w:customStyle="1" w:styleId="60">
    <w:name w:val="正文文本 31"/>
    <w:basedOn w:val="1"/>
    <w:autoRedefine/>
    <w:qFormat/>
    <w:uiPriority w:val="0"/>
    <w:pPr>
      <w:spacing w:after="120"/>
    </w:pPr>
    <w:rPr>
      <w:kern w:val="0"/>
      <w:sz w:val="16"/>
      <w:szCs w:val="16"/>
    </w:rPr>
  </w:style>
  <w:style w:type="paragraph" w:customStyle="1" w:styleId="61">
    <w:name w:val="正文文本缩进11"/>
    <w:basedOn w:val="1"/>
    <w:autoRedefine/>
    <w:qFormat/>
    <w:uiPriority w:val="0"/>
    <w:pPr>
      <w:spacing w:line="200" w:lineRule="exact"/>
      <w:ind w:firstLine="301"/>
    </w:pPr>
    <w:rPr>
      <w:szCs w:val="20"/>
    </w:rPr>
  </w:style>
  <w:style w:type="paragraph" w:customStyle="1" w:styleId="62">
    <w:name w:val="文本块1"/>
    <w:basedOn w:val="1"/>
    <w:autoRedefine/>
    <w:qFormat/>
    <w:uiPriority w:val="0"/>
    <w:pPr>
      <w:adjustRightInd w:val="0"/>
      <w:snapToGrid w:val="0"/>
      <w:spacing w:line="300" w:lineRule="auto"/>
      <w:ind w:left="958" w:right="-120" w:rightChars="-120"/>
    </w:pPr>
    <w:rPr>
      <w:rFonts w:hint="eastAsia" w:ascii="Century Gothic" w:hAnsi="Century Gothic"/>
      <w:sz w:val="28"/>
      <w:szCs w:val="20"/>
    </w:rPr>
  </w:style>
  <w:style w:type="paragraph" w:customStyle="1" w:styleId="63">
    <w:name w:val="正文文本缩进 21"/>
    <w:basedOn w:val="1"/>
    <w:autoRedefine/>
    <w:qFormat/>
    <w:uiPriority w:val="0"/>
    <w:pPr>
      <w:snapToGrid w:val="0"/>
      <w:ind w:firstLine="542" w:firstLineChars="225"/>
    </w:pPr>
    <w:rPr>
      <w:kern w:val="0"/>
      <w:sz w:val="24"/>
    </w:rPr>
  </w:style>
  <w:style w:type="paragraph" w:customStyle="1" w:styleId="64">
    <w:name w:val="正文文本缩进 31"/>
    <w:basedOn w:val="1"/>
    <w:autoRedefine/>
    <w:qFormat/>
    <w:uiPriority w:val="0"/>
    <w:pPr>
      <w:snapToGrid w:val="0"/>
      <w:ind w:firstLine="480" w:firstLineChars="200"/>
    </w:pPr>
    <w:rPr>
      <w:rFonts w:ascii="仿宋_GB2312" w:hAnsi="宋体" w:eastAsia="仿宋_GB2312"/>
      <w:color w:val="000000"/>
      <w:sz w:val="24"/>
    </w:rPr>
  </w:style>
  <w:style w:type="paragraph" w:customStyle="1" w:styleId="65">
    <w:name w:val="普通(网站)11"/>
    <w:basedOn w:val="1"/>
    <w:autoRedefine/>
    <w:qFormat/>
    <w:uiPriority w:val="0"/>
    <w:pPr>
      <w:spacing w:beforeAutospacing="1" w:afterAutospacing="1"/>
    </w:pPr>
    <w:rPr>
      <w:rFonts w:ascii="宋体" w:hAnsi="宋体"/>
      <w:kern w:val="0"/>
      <w:sz w:val="24"/>
    </w:rPr>
  </w:style>
  <w:style w:type="paragraph" w:customStyle="1" w:styleId="66">
    <w:name w:val="p15"/>
    <w:basedOn w:val="1"/>
    <w:autoRedefine/>
    <w:qFormat/>
    <w:uiPriority w:val="0"/>
    <w:pPr>
      <w:spacing w:line="200" w:lineRule="atLeast"/>
      <w:ind w:firstLine="301"/>
    </w:pPr>
    <w:rPr>
      <w:rFonts w:ascii="宋体" w:hAnsi="宋体" w:cs="宋体"/>
      <w:spacing w:val="-4"/>
      <w:kern w:val="0"/>
      <w:sz w:val="18"/>
      <w:szCs w:val="18"/>
    </w:rPr>
  </w:style>
  <w:style w:type="paragraph" w:customStyle="1" w:styleId="67">
    <w:name w:val="Default"/>
    <w:next w:val="68"/>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8">
    <w:name w:val="明显引用1"/>
    <w:basedOn w:val="1"/>
    <w:next w:val="1"/>
    <w:autoRedefine/>
    <w:qFormat/>
    <w:uiPriority w:val="0"/>
    <w:pPr>
      <w:wordWrap w:val="0"/>
      <w:spacing w:before="360" w:after="360"/>
      <w:ind w:left="950" w:right="950"/>
      <w:jc w:val="center"/>
    </w:pPr>
    <w:rPr>
      <w:rFonts w:ascii="Times New Roman" w:hAnsi="Times New Roman"/>
      <w:i/>
    </w:rPr>
  </w:style>
  <w:style w:type="paragraph" w:customStyle="1" w:styleId="69">
    <w:name w:val="列表 21"/>
    <w:basedOn w:val="1"/>
    <w:autoRedefine/>
    <w:qFormat/>
    <w:uiPriority w:val="0"/>
    <w:pPr>
      <w:ind w:left="200" w:leftChars="200" w:hanging="200" w:hangingChars="200"/>
    </w:pPr>
    <w:rPr>
      <w:sz w:val="28"/>
      <w:szCs w:val="20"/>
    </w:rPr>
  </w:style>
  <w:style w:type="paragraph" w:customStyle="1" w:styleId="70">
    <w:name w:val="默认段落字体 Para Char Char Char Char Char Char Char Char Char1 Char Char Char Char"/>
    <w:basedOn w:val="1"/>
    <w:autoRedefine/>
    <w:qFormat/>
    <w:uiPriority w:val="99"/>
    <w:rPr>
      <w:rFonts w:ascii="Tahoma" w:hAnsi="Tahoma"/>
      <w:sz w:val="24"/>
      <w:szCs w:val="20"/>
    </w:rPr>
  </w:style>
  <w:style w:type="paragraph" w:customStyle="1" w:styleId="71">
    <w:name w:val="纯文本21"/>
    <w:basedOn w:val="1"/>
    <w:autoRedefine/>
    <w:qFormat/>
    <w:uiPriority w:val="0"/>
    <w:pPr>
      <w:spacing w:beforeLines="50" w:afterLines="50" w:line="400" w:lineRule="exact"/>
    </w:pPr>
    <w:rPr>
      <w:rFonts w:ascii="宋体" w:hAnsi="Courier New"/>
      <w:szCs w:val="21"/>
    </w:rPr>
  </w:style>
  <w:style w:type="paragraph" w:customStyle="1" w:styleId="72">
    <w:name w:val="彩色列表 - 强调文字颜色 11"/>
    <w:basedOn w:val="1"/>
    <w:autoRedefine/>
    <w:qFormat/>
    <w:uiPriority w:val="0"/>
    <w:pPr>
      <w:ind w:firstLine="420" w:firstLineChars="200"/>
    </w:pPr>
  </w:style>
  <w:style w:type="paragraph" w:customStyle="1" w:styleId="73">
    <w:name w:val="修订1"/>
    <w:autoRedefine/>
    <w:qFormat/>
    <w:uiPriority w:val="0"/>
    <w:rPr>
      <w:rFonts w:ascii="Calibri" w:hAnsi="Calibri" w:eastAsia="宋体" w:cs="Times New Roman"/>
      <w:kern w:val="2"/>
      <w:sz w:val="21"/>
      <w:szCs w:val="24"/>
      <w:lang w:val="en-US" w:eastAsia="zh-CN" w:bidi="ar-SA"/>
    </w:rPr>
  </w:style>
  <w:style w:type="paragraph" w:customStyle="1" w:styleId="74">
    <w:name w:val="列出段落1"/>
    <w:basedOn w:val="1"/>
    <w:autoRedefine/>
    <w:qFormat/>
    <w:uiPriority w:val="0"/>
    <w:pPr>
      <w:ind w:firstLine="420" w:firstLineChars="200"/>
    </w:pPr>
  </w:style>
  <w:style w:type="paragraph" w:customStyle="1" w:styleId="75">
    <w:name w:val="纯文本3"/>
    <w:basedOn w:val="1"/>
    <w:autoRedefine/>
    <w:qFormat/>
    <w:uiPriority w:val="0"/>
    <w:pPr>
      <w:adjustRightInd w:val="0"/>
      <w:textAlignment w:val="baseline"/>
    </w:pPr>
    <w:rPr>
      <w:rFonts w:ascii="宋体" w:hAnsi="Courier New" w:eastAsia="楷体_GB2312"/>
      <w:sz w:val="26"/>
      <w:szCs w:val="20"/>
    </w:rPr>
  </w:style>
  <w:style w:type="paragraph" w:customStyle="1" w:styleId="76">
    <w:name w:val="表内文字"/>
    <w:basedOn w:val="1"/>
    <w:autoRedefine/>
    <w:qFormat/>
    <w:uiPriority w:val="0"/>
    <w:pPr>
      <w:tabs>
        <w:tab w:val="left" w:pos="1418"/>
      </w:tabs>
      <w:spacing w:line="360" w:lineRule="auto"/>
      <w:jc w:val="center"/>
    </w:pPr>
    <w:rPr>
      <w:rFonts w:ascii="仿宋_GB2312" w:eastAsia="仿宋_GB2312"/>
      <w:spacing w:val="-20"/>
      <w:kern w:val="0"/>
      <w:sz w:val="24"/>
    </w:rPr>
  </w:style>
  <w:style w:type="paragraph" w:customStyle="1" w:styleId="77">
    <w:name w:val="正文段"/>
    <w:basedOn w:val="1"/>
    <w:autoRedefine/>
    <w:qFormat/>
    <w:uiPriority w:val="0"/>
    <w:pPr>
      <w:numPr>
        <w:ilvl w:val="3"/>
        <w:numId w:val="2"/>
      </w:numPr>
      <w:autoSpaceDE w:val="0"/>
      <w:autoSpaceDN w:val="0"/>
      <w:adjustRightInd w:val="0"/>
      <w:spacing w:before="100" w:after="100" w:line="300" w:lineRule="auto"/>
    </w:pPr>
    <w:rPr>
      <w:rFonts w:ascii="Times New Roman" w:hAnsi="Times New Roman"/>
      <w:w w:val="105"/>
      <w:kern w:val="0"/>
      <w:sz w:val="24"/>
      <w:szCs w:val="20"/>
    </w:rPr>
  </w:style>
  <w:style w:type="paragraph" w:customStyle="1" w:styleId="78">
    <w:name w:val="纯文本4"/>
    <w:basedOn w:val="1"/>
    <w:autoRedefine/>
    <w:qFormat/>
    <w:uiPriority w:val="0"/>
    <w:pPr>
      <w:adjustRightInd w:val="0"/>
      <w:textAlignment w:val="baseline"/>
    </w:pPr>
    <w:rPr>
      <w:rFonts w:ascii="宋体" w:hAnsi="Courier New" w:eastAsia="楷体_GB2312"/>
      <w:sz w:val="26"/>
      <w:szCs w:val="20"/>
    </w:rPr>
  </w:style>
  <w:style w:type="paragraph" w:customStyle="1" w:styleId="79">
    <w:name w:val="Table Paragraph"/>
    <w:basedOn w:val="1"/>
    <w:autoRedefine/>
    <w:qFormat/>
    <w:uiPriority w:val="0"/>
    <w:rPr>
      <w:kern w:val="0"/>
      <w:sz w:val="22"/>
      <w:szCs w:val="22"/>
      <w:lang w:eastAsia="en-US"/>
    </w:rPr>
  </w:style>
  <w:style w:type="character" w:customStyle="1" w:styleId="80">
    <w:name w:val="批注引用1"/>
    <w:basedOn w:val="30"/>
    <w:autoRedefine/>
    <w:qFormat/>
    <w:uiPriority w:val="0"/>
    <w:rPr>
      <w:sz w:val="21"/>
      <w:szCs w:val="21"/>
    </w:rPr>
  </w:style>
  <w:style w:type="character" w:customStyle="1" w:styleId="81">
    <w:name w:val="标题 2 Char Char"/>
    <w:autoRedefine/>
    <w:qFormat/>
    <w:uiPriority w:val="0"/>
    <w:rPr>
      <w:rFonts w:eastAsia="宋体"/>
      <w:kern w:val="2"/>
      <w:sz w:val="28"/>
      <w:lang w:val="en-US" w:eastAsia="zh-CN" w:bidi="ar-SA"/>
    </w:rPr>
  </w:style>
  <w:style w:type="paragraph" w:customStyle="1" w:styleId="82">
    <w:name w:val="xl30"/>
    <w:basedOn w:val="1"/>
    <w:autoRedefine/>
    <w:qFormat/>
    <w:uiPriority w:val="0"/>
    <w:pPr>
      <w:spacing w:before="100" w:beforeAutospacing="1" w:after="100" w:afterAutospacing="1"/>
      <w:jc w:val="center"/>
      <w:textAlignment w:val="center"/>
    </w:pPr>
    <w:rPr>
      <w:rFonts w:ascii="楷体_GB2312" w:hAnsi="宋体" w:eastAsia="楷体_GB2312"/>
      <w:b/>
      <w:kern w:val="0"/>
      <w:sz w:val="32"/>
    </w:rPr>
  </w:style>
  <w:style w:type="character" w:customStyle="1" w:styleId="83">
    <w:name w:val="批注框文本 字符"/>
    <w:basedOn w:val="30"/>
    <w:link w:val="16"/>
    <w:autoRedefine/>
    <w:qFormat/>
    <w:uiPriority w:val="0"/>
    <w:rPr>
      <w:rFonts w:ascii="Calibri" w:hAnsi="Calibri"/>
      <w:kern w:val="2"/>
      <w:sz w:val="18"/>
      <w:szCs w:val="18"/>
    </w:rPr>
  </w:style>
  <w:style w:type="paragraph" w:customStyle="1" w:styleId="84">
    <w:name w:val="列表段落1"/>
    <w:basedOn w:val="1"/>
    <w:autoRedefine/>
    <w:unhideWhenUsed/>
    <w:qFormat/>
    <w:uiPriority w:val="99"/>
    <w:pPr>
      <w:ind w:firstLine="420" w:firstLineChars="200"/>
    </w:pPr>
  </w:style>
  <w:style w:type="paragraph" w:customStyle="1" w:styleId="85">
    <w:name w:val="纯文本5"/>
    <w:basedOn w:val="1"/>
    <w:autoRedefine/>
    <w:qFormat/>
    <w:uiPriority w:val="0"/>
    <w:rPr>
      <w:rFonts w:ascii="宋体" w:hAnsi="Courier New" w:eastAsia="仿宋_GB2312"/>
      <w:sz w:val="30"/>
    </w:rPr>
  </w:style>
  <w:style w:type="paragraph" w:customStyle="1" w:styleId="86">
    <w:name w:val="文本块2"/>
    <w:basedOn w:val="1"/>
    <w:autoRedefine/>
    <w:qFormat/>
    <w:uiPriority w:val="0"/>
    <w:pPr>
      <w:adjustRightInd w:val="0"/>
      <w:snapToGrid w:val="0"/>
      <w:spacing w:line="300" w:lineRule="auto"/>
      <w:ind w:left="958" w:right="-120" w:rightChars="-120"/>
    </w:pPr>
    <w:rPr>
      <w:rFonts w:hint="eastAsia" w:ascii="Century Gothic" w:hAnsi="Century Gothic"/>
      <w:sz w:val="28"/>
      <w:szCs w:val="20"/>
    </w:rPr>
  </w:style>
  <w:style w:type="paragraph" w:customStyle="1" w:styleId="87">
    <w:name w:val="正文文本缩进2"/>
    <w:basedOn w:val="1"/>
    <w:autoRedefine/>
    <w:qFormat/>
    <w:uiPriority w:val="0"/>
    <w:pPr>
      <w:spacing w:line="200" w:lineRule="exact"/>
      <w:ind w:firstLine="301"/>
    </w:pPr>
    <w:rPr>
      <w:rFonts w:ascii="宋体" w:hAnsi="Courier New"/>
      <w:spacing w:val="-4"/>
      <w:kern w:val="0"/>
      <w:sz w:val="18"/>
    </w:rPr>
  </w:style>
  <w:style w:type="paragraph" w:customStyle="1" w:styleId="88">
    <w:name w:val="正文文本 32"/>
    <w:basedOn w:val="1"/>
    <w:autoRedefine/>
    <w:qFormat/>
    <w:uiPriority w:val="0"/>
    <w:pPr>
      <w:spacing w:after="120"/>
    </w:pPr>
    <w:rPr>
      <w:kern w:val="0"/>
      <w:sz w:val="16"/>
      <w:szCs w:val="16"/>
    </w:rPr>
  </w:style>
  <w:style w:type="paragraph" w:customStyle="1" w:styleId="89">
    <w:name w:val="Body Text Indent1"/>
    <w:basedOn w:val="1"/>
    <w:autoRedefine/>
    <w:qFormat/>
    <w:uiPriority w:val="99"/>
    <w:pPr>
      <w:spacing w:line="200" w:lineRule="exact"/>
      <w:ind w:firstLine="301"/>
    </w:pPr>
    <w:rPr>
      <w:rFonts w:ascii="宋体" w:hAnsi="Courier New"/>
      <w:spacing w:val="-4"/>
      <w:kern w:val="0"/>
      <w:sz w:val="18"/>
    </w:rPr>
  </w:style>
  <w:style w:type="paragraph" w:styleId="90">
    <w:name w:val="List Paragraph"/>
    <w:basedOn w:val="1"/>
    <w:autoRedefine/>
    <w:unhideWhenUsed/>
    <w:qFormat/>
    <w:uiPriority w:val="99"/>
    <w:pPr>
      <w:ind w:firstLine="420" w:firstLineChars="200"/>
    </w:pPr>
  </w:style>
  <w:style w:type="paragraph" w:customStyle="1" w:styleId="91">
    <w:name w:val="正文首行缩进2字符"/>
    <w:basedOn w:val="1"/>
    <w:autoRedefine/>
    <w:qFormat/>
    <w:uiPriority w:val="0"/>
    <w:pPr>
      <w:spacing w:line="360" w:lineRule="auto"/>
      <w:ind w:firstLine="200" w:firstLineChars="200"/>
    </w:pPr>
    <w:rPr>
      <w:sz w:val="24"/>
    </w:rPr>
  </w:style>
  <w:style w:type="paragraph" w:customStyle="1" w:styleId="92">
    <w:name w:val="正文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3">
    <w:name w:val="书籍标题1"/>
    <w:basedOn w:val="1"/>
    <w:next w:val="1"/>
    <w:autoRedefine/>
    <w:qFormat/>
    <w:uiPriority w:val="0"/>
    <w:pPr>
      <w:pageBreakBefore/>
      <w:tabs>
        <w:tab w:val="left" w:pos="840"/>
      </w:tabs>
      <w:spacing w:beforeLines="200"/>
      <w:ind w:left="2520" w:hanging="360"/>
      <w:jc w:val="center"/>
      <w:outlineLvl w:val="0"/>
    </w:pPr>
    <w:rPr>
      <w:rFonts w:eastAsia="黑体"/>
      <w:b/>
      <w:spacing w:val="20"/>
      <w:kern w:val="44"/>
      <w:sz w:val="44"/>
    </w:rPr>
  </w:style>
  <w:style w:type="character" w:customStyle="1" w:styleId="94">
    <w:name w:val="批注主题 字符"/>
    <w:basedOn w:val="48"/>
    <w:link w:val="25"/>
    <w:autoRedefine/>
    <w:qFormat/>
    <w:uiPriority w:val="0"/>
    <w:rPr>
      <w:rFonts w:ascii="Calibri" w:hAnsi="Calibri"/>
      <w:b/>
      <w:bCs/>
      <w:kern w:val="2"/>
      <w:sz w:val="21"/>
      <w:szCs w:val="24"/>
    </w:rPr>
  </w:style>
  <w:style w:type="character" w:customStyle="1" w:styleId="95">
    <w:name w:val="正文文本首行缩进 字符"/>
    <w:basedOn w:val="50"/>
    <w:link w:val="26"/>
    <w:autoRedefine/>
    <w:qFormat/>
    <w:uiPriority w:val="0"/>
    <w:rPr>
      <w:rFonts w:ascii="Calibri" w:hAnsi="Calibri"/>
      <w:kern w:val="2"/>
      <w:sz w:val="21"/>
      <w:szCs w:val="24"/>
    </w:rPr>
  </w:style>
  <w:style w:type="character" w:customStyle="1" w:styleId="96">
    <w:name w:val="disable"/>
    <w:basedOn w:val="30"/>
    <w:autoRedefine/>
    <w:qFormat/>
    <w:uiPriority w:val="0"/>
    <w:rPr>
      <w:color w:val="666666"/>
      <w:shd w:val="clear" w:color="auto" w:fill="E9E9E9"/>
    </w:rPr>
  </w:style>
  <w:style w:type="character" w:customStyle="1" w:styleId="97">
    <w:name w:val="curr"/>
    <w:basedOn w:val="30"/>
    <w:autoRedefine/>
    <w:qFormat/>
    <w:uiPriority w:val="0"/>
    <w:rPr>
      <w:b/>
      <w:color w:val="0680E4"/>
    </w:rPr>
  </w:style>
  <w:style w:type="character" w:customStyle="1" w:styleId="98">
    <w:name w:val="curr1"/>
    <w:basedOn w:val="30"/>
    <w:autoRedefine/>
    <w:qFormat/>
    <w:uiPriority w:val="0"/>
    <w:rPr>
      <w:color w:val="FFFFFF"/>
      <w:shd w:val="clear" w:color="auto" w:fill="76BCEB"/>
    </w:rPr>
  </w:style>
  <w:style w:type="character" w:customStyle="1" w:styleId="99">
    <w:name w:val="time"/>
    <w:basedOn w:val="30"/>
    <w:autoRedefine/>
    <w:qFormat/>
    <w:uiPriority w:val="0"/>
    <w:rPr>
      <w:color w:val="747474"/>
    </w:rPr>
  </w:style>
  <w:style w:type="paragraph" w:customStyle="1" w:styleId="100">
    <w:name w:val="正文 A"/>
    <w:autoRedefine/>
    <w:qFormat/>
    <w:uiPriority w:val="0"/>
    <w:pPr>
      <w:framePr w:wrap="around" w:vAnchor="margin" w:hAnchor="text" w:yAlign="top"/>
      <w:widowControl w:val="0"/>
      <w:jc w:val="both"/>
    </w:pPr>
    <w:rPr>
      <w:rFonts w:hint="eastAsia" w:ascii="Arial Unicode MS" w:hAnsi="Arial Unicode MS" w:eastAsia="Times New Roman" w:cs="Arial Unicode MS"/>
      <w:color w:val="000000"/>
      <w:kern w:val="2"/>
      <w:sz w:val="21"/>
      <w:szCs w:val="21"/>
      <w:u w:color="000000"/>
      <w:lang w:val="en-US" w:eastAsia="zh-CN" w:bidi="ar-SA"/>
    </w:rPr>
  </w:style>
  <w:style w:type="character" w:customStyle="1" w:styleId="101">
    <w:name w:val="无"/>
    <w:autoRedefine/>
    <w:qFormat/>
    <w:uiPriority w:val="0"/>
  </w:style>
  <w:style w:type="paragraph" w:customStyle="1" w:styleId="102">
    <w:name w:val="p0"/>
    <w:basedOn w:val="1"/>
    <w:autoRedefine/>
    <w:qFormat/>
    <w:uiPriority w:val="0"/>
    <w:rPr>
      <w:kern w:val="0"/>
      <w:szCs w:val="21"/>
    </w:rPr>
  </w:style>
  <w:style w:type="character" w:customStyle="1" w:styleId="103">
    <w:name w:val="纯文本 字符"/>
    <w:link w:val="12"/>
    <w:autoRedefine/>
    <w:qFormat/>
    <w:uiPriority w:val="0"/>
    <w:rPr>
      <w:rFonts w:ascii="宋体" w:hAnsi="Courier New" w:eastAsia="仿宋_GB2312"/>
      <w:kern w:val="2"/>
      <w:sz w:val="30"/>
      <w:szCs w:val="24"/>
    </w:rPr>
  </w:style>
  <w:style w:type="character" w:customStyle="1" w:styleId="104">
    <w:name w:val="bookmark-item"/>
    <w:basedOn w:val="30"/>
    <w:autoRedefine/>
    <w:qFormat/>
    <w:uiPriority w:val="0"/>
  </w:style>
  <w:style w:type="character" w:customStyle="1" w:styleId="105">
    <w:name w:val="正文文本缩进 3 字符"/>
    <w:basedOn w:val="30"/>
    <w:link w:val="22"/>
    <w:autoRedefine/>
    <w:qFormat/>
    <w:uiPriority w:val="0"/>
    <w:rPr>
      <w:rFonts w:ascii="Calibri" w:hAnsi="Calibri" w:eastAsia="宋体"/>
      <w:kern w:val="2"/>
      <w:sz w:val="16"/>
      <w:szCs w:val="16"/>
    </w:rPr>
  </w:style>
  <w:style w:type="paragraph" w:customStyle="1" w:styleId="106">
    <w:name w:val="reader-word-layer reader-word-s1-16"/>
    <w:basedOn w:val="1"/>
    <w:autoRedefine/>
    <w:qFormat/>
    <w:uiPriority w:val="0"/>
    <w:pPr>
      <w:spacing w:before="100" w:beforeAutospacing="1" w:after="100" w:afterAutospacing="1"/>
    </w:pPr>
    <w:rPr>
      <w:rFonts w:ascii="宋体" w:hAnsi="宋体" w:cs="宋体"/>
      <w:sz w:val="24"/>
    </w:rPr>
  </w:style>
  <w:style w:type="character" w:customStyle="1" w:styleId="107">
    <w:name w:val="NormalCharacter"/>
    <w:autoRedefine/>
    <w:semiHidden/>
    <w:qFormat/>
    <w:uiPriority w:val="99"/>
  </w:style>
  <w:style w:type="paragraph" w:customStyle="1" w:styleId="108">
    <w:name w:val="文档正文"/>
    <w:basedOn w:val="1"/>
    <w:autoRedefine/>
    <w:qFormat/>
    <w:uiPriority w:val="0"/>
    <w:rPr>
      <w:rFonts w:ascii="宋体" w:hAnsi="宋体" w:cs="Arial"/>
      <w:bCs/>
      <w:szCs w:val="21"/>
    </w:rPr>
  </w:style>
  <w:style w:type="paragraph" w:customStyle="1" w:styleId="109">
    <w:name w:val="首行缩进"/>
    <w:basedOn w:val="1"/>
    <w:autoRedefine/>
    <w:qFormat/>
    <w:uiPriority w:val="0"/>
    <w:pPr>
      <w:spacing w:line="360" w:lineRule="auto"/>
      <w:ind w:firstLine="480" w:firstLineChars="200"/>
    </w:pPr>
    <w:rPr>
      <w:lang w:val="zh-CN"/>
    </w:rPr>
  </w:style>
  <w:style w:type="paragraph" w:customStyle="1" w:styleId="110">
    <w:name w:val="xl25"/>
    <w:basedOn w:val="1"/>
    <w:autoRedefine/>
    <w:qFormat/>
    <w:uiPriority w:val="0"/>
    <w:pPr>
      <w:pBdr>
        <w:bottom w:val="single" w:color="auto" w:sz="4" w:space="0"/>
        <w:right w:val="single" w:color="auto" w:sz="4" w:space="0"/>
      </w:pBdr>
      <w:spacing w:before="100" w:beforeAutospacing="1" w:after="100" w:afterAutospacing="1"/>
      <w:jc w:val="center"/>
    </w:pPr>
    <w:rPr>
      <w:rFonts w:ascii="宋体" w:hAnsi="宋体"/>
      <w:kern w:val="0"/>
      <w:szCs w:val="20"/>
    </w:rPr>
  </w:style>
  <w:style w:type="paragraph" w:customStyle="1" w:styleId="111">
    <w:name w:val="表 靠左"/>
    <w:basedOn w:val="112"/>
    <w:autoRedefine/>
    <w:qFormat/>
    <w:uiPriority w:val="0"/>
    <w:pPr>
      <w:ind w:firstLine="883" w:firstLineChars="200"/>
      <w:jc w:val="left"/>
    </w:pPr>
    <w:rPr>
      <w:rFonts w:ascii="宋体" w:hAnsi="宋体"/>
      <w:sz w:val="24"/>
      <w:szCs w:val="21"/>
    </w:rPr>
  </w:style>
  <w:style w:type="paragraph" w:customStyle="1" w:styleId="112">
    <w:name w:val="表"/>
    <w:basedOn w:val="1"/>
    <w:next w:val="1"/>
    <w:autoRedefine/>
    <w:qFormat/>
    <w:uiPriority w:val="7"/>
    <w:pPr>
      <w:jc w:val="center"/>
    </w:pPr>
  </w:style>
  <w:style w:type="paragraph" w:customStyle="1" w:styleId="113">
    <w:name w:val="Revision"/>
    <w:autoRedefine/>
    <w:hidden/>
    <w:semiHidden/>
    <w:qFormat/>
    <w:uiPriority w:val="99"/>
    <w:rPr>
      <w:rFonts w:ascii="Calibri" w:hAnsi="Calibri" w:eastAsia="宋体" w:cs="Times New Roman"/>
      <w:kern w:val="2"/>
      <w:sz w:val="21"/>
      <w:szCs w:val="24"/>
      <w:lang w:val="en-US" w:eastAsia="zh-CN" w:bidi="ar-SA"/>
    </w:rPr>
  </w:style>
  <w:style w:type="paragraph" w:customStyle="1" w:styleId="114">
    <w:name w:val="null3"/>
    <w:autoRedefine/>
    <w:hidden/>
    <w:qFormat/>
    <w:uiPriority w:val="0"/>
    <w:rPr>
      <w:rFonts w:hint="eastAsia" w:asciiTheme="minorHAnsi" w:hAnsiTheme="minorHAnsi" w:eastAsiaTheme="minorEastAsia" w:cstheme="minorBidi"/>
      <w:lang w:val="en-US" w:eastAsia="zh-Hans"/>
    </w:rPr>
  </w:style>
  <w:style w:type="character" w:customStyle="1" w:styleId="115">
    <w:name w:val="font21"/>
    <w:basedOn w:val="30"/>
    <w:qFormat/>
    <w:uiPriority w:val="0"/>
    <w:rPr>
      <w:rFonts w:hint="eastAsia" w:ascii="宋体" w:hAnsi="宋体" w:eastAsia="宋体" w:cs="宋体"/>
      <w:color w:val="000000"/>
      <w:sz w:val="20"/>
      <w:szCs w:val="20"/>
      <w:u w:val="none"/>
    </w:rPr>
  </w:style>
  <w:style w:type="character" w:customStyle="1" w:styleId="116">
    <w:name w:val="font131"/>
    <w:basedOn w:val="30"/>
    <w:qFormat/>
    <w:uiPriority w:val="0"/>
    <w:rPr>
      <w:rFonts w:hint="eastAsia" w:ascii="宋体" w:hAnsi="宋体" w:eastAsia="宋体" w:cs="宋体"/>
      <w:color w:val="FF0000"/>
      <w:sz w:val="20"/>
      <w:szCs w:val="20"/>
      <w:u w:val="none"/>
    </w:rPr>
  </w:style>
  <w:style w:type="character" w:customStyle="1" w:styleId="117">
    <w:name w:val="font141"/>
    <w:basedOn w:val="30"/>
    <w:qFormat/>
    <w:uiPriority w:val="0"/>
    <w:rPr>
      <w:rFonts w:hint="eastAsia" w:ascii="宋体" w:hAnsi="宋体" w:eastAsia="宋体" w:cs="宋体"/>
      <w:color w:val="00B0F0"/>
      <w:sz w:val="20"/>
      <w:szCs w:val="20"/>
      <w:u w:val="none"/>
    </w:rPr>
  </w:style>
  <w:style w:type="paragraph" w:customStyle="1" w:styleId="118">
    <w:name w:val="_Style 3"/>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119">
    <w:name w:val="段落"/>
    <w:qFormat/>
    <w:uiPriority w:val="5"/>
    <w:pPr>
      <w:adjustRightInd w:val="0"/>
      <w:snapToGrid w:val="0"/>
      <w:spacing w:line="360" w:lineRule="auto"/>
      <w:ind w:firstLine="200" w:firstLineChars="200"/>
    </w:pPr>
    <w:rPr>
      <w:rFonts w:ascii="Times New Roman" w:hAnsi="Times New Roman" w:eastAsia="宋体" w:cs="Times New Roman"/>
      <w:snapToGrid w:val="0"/>
      <w:color w:val="000000"/>
      <w:sz w:val="24"/>
      <w:szCs w:val="24"/>
      <w:lang w:val="en-US" w:eastAsia="zh-CN" w:bidi="ar-SA"/>
    </w:rPr>
  </w:style>
  <w:style w:type="paragraph" w:customStyle="1" w:styleId="120">
    <w:name w:val="form"/>
    <w:basedOn w:val="1"/>
    <w:qFormat/>
    <w:uiPriority w:val="0"/>
    <w:pPr>
      <w:snapToGrid w:val="0"/>
      <w:spacing w:line="240" w:lineRule="auto"/>
      <w:ind w:firstLine="0" w:firstLineChars="0"/>
      <w:jc w:val="center"/>
    </w:pPr>
    <w:rPr>
      <w:szCs w:val="21"/>
    </w:rPr>
  </w:style>
  <w:style w:type="table" w:customStyle="1" w:styleId="121">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41A532-70EF-4CB2-866A-623DF8A0DF05}">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81</Pages>
  <Words>28051</Words>
  <Characters>31864</Characters>
  <Lines>306</Lines>
  <Paragraphs>86</Paragraphs>
  <TotalTime>0</TotalTime>
  <ScaleCrop>false</ScaleCrop>
  <LinksUpToDate>false</LinksUpToDate>
  <CharactersWithSpaces>34387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2023-08-14T01:45:00Z</dcterms:created>
  <dc:creator>胖丁</dc:creator>
  <cp:lastModifiedBy>刘晓梦</cp:lastModifiedBy>
  <cp:lastPrinted>2020-10-28T08:26:00Z</cp:lastPrinted>
  <dcterms:modified xsi:type="dcterms:W3CDTF">2025-06-23T10:08:24Z</dcterms:modified>
  <dc:title>xbany</dc:title>
  <cp:revision>419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f2457ec0_mFV0yz84Kyk0OspOkXv8rTVq9hY=_8QYrr2VhfDczP9JMkHD9qygpbQ9W5KkimJ3Iaj9OkEhOYgy9t3VUS4QLsERkpDuXrumqYtv6BWtplu6GpiPEiIGDmw==_4d02f4f0</vt:lpwstr>
  </property>
  <property fmtid="{D5CDD505-2E9C-101B-9397-08002B2CF9AE}" pid="4" name="ICV">
    <vt:lpwstr>F2646D9FA0AC412C89863341D09B5899_13</vt:lpwstr>
  </property>
  <property fmtid="{D5CDD505-2E9C-101B-9397-08002B2CF9AE}" pid="5" name="KSOTemplateDocerSaveRecord">
    <vt:lpwstr>eyJoZGlkIjoiOWUzN2FiYTkxNGJkNTcwZjM5YjZhMGUzOGQ0OTFjYjYiLCJ1c2VySWQiOiI3OTQ0NzA1NTEifQ==</vt:lpwstr>
  </property>
</Properties>
</file>