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12" w:name="_GoBack"/>
      <w:bookmarkEnd w:id="12"/>
    </w:p>
    <w:p>
      <w:pPr>
        <w:rPr>
          <w:rFonts w:hint="eastAsia"/>
          <w:b w:val="0"/>
          <w:bCs w:val="0"/>
        </w:rPr>
      </w:pPr>
    </w:p>
    <w:p>
      <w:pPr>
        <w:jc w:val="center"/>
        <w:rPr>
          <w:rFonts w:hint="eastAsia" w:ascii="宋体" w:hAnsi="宋体" w:cs="宋体"/>
          <w:sz w:val="52"/>
          <w:szCs w:val="52"/>
        </w:rPr>
      </w:pPr>
      <w:r>
        <w:rPr>
          <w:rFonts w:hint="eastAsia" w:hAnsi="宋体" w:eastAsia="宋体" w:cs="宋体"/>
          <w:b w:val="0"/>
          <w:bCs w:val="0"/>
          <w:sz w:val="24"/>
          <w:szCs w:val="24"/>
        </w:rPr>
        <w:tab/>
      </w:r>
      <w:r>
        <w:rPr>
          <w:rFonts w:hint="eastAsia" w:ascii="宋体" w:hAnsi="宋体" w:cs="宋体"/>
          <w:sz w:val="52"/>
          <w:szCs w:val="52"/>
        </w:rPr>
        <w:t>岱山县小长涂“未来社区”建设项目</w:t>
      </w:r>
    </w:p>
    <w:p>
      <w:pPr>
        <w:pStyle w:val="13"/>
        <w:snapToGrid w:val="0"/>
        <w:spacing w:before="120" w:after="120" w:line="360" w:lineRule="auto"/>
        <w:jc w:val="center"/>
        <w:rPr>
          <w:rFonts w:hint="eastAsia" w:hAnsi="宋体" w:eastAsia="宋体" w:cs="宋体"/>
          <w:bCs/>
          <w:sz w:val="44"/>
          <w:szCs w:val="44"/>
          <w:lang w:eastAsia="zh-CN"/>
        </w:rPr>
      </w:pPr>
    </w:p>
    <w:p>
      <w:pPr>
        <w:pStyle w:val="13"/>
        <w:snapToGrid w:val="0"/>
        <w:spacing w:before="120" w:after="120" w:line="360" w:lineRule="auto"/>
        <w:jc w:val="center"/>
        <w:rPr>
          <w:rFonts w:hint="eastAsia" w:hAnsi="宋体" w:eastAsia="宋体" w:cs="宋体"/>
          <w:bCs/>
          <w:sz w:val="84"/>
          <w:szCs w:val="84"/>
        </w:rPr>
      </w:pPr>
    </w:p>
    <w:p>
      <w:pPr>
        <w:pStyle w:val="13"/>
        <w:snapToGrid w:val="0"/>
        <w:spacing w:before="120" w:after="120" w:line="360" w:lineRule="auto"/>
        <w:jc w:val="center"/>
        <w:rPr>
          <w:rFonts w:hint="eastAsia" w:hAnsi="宋体" w:eastAsia="宋体" w:cs="宋体"/>
          <w:b/>
          <w:sz w:val="24"/>
          <w:szCs w:val="24"/>
        </w:rPr>
      </w:pPr>
      <w:r>
        <w:rPr>
          <w:rFonts w:hint="eastAsia" w:hAnsi="宋体" w:eastAsia="宋体" w:cs="宋体"/>
          <w:bCs/>
          <w:sz w:val="84"/>
          <w:szCs w:val="84"/>
        </w:rPr>
        <w:t>招标文件</w:t>
      </w:r>
    </w:p>
    <w:p>
      <w:pPr>
        <w:pStyle w:val="13"/>
        <w:snapToGrid w:val="0"/>
        <w:spacing w:before="120" w:after="120" w:line="360" w:lineRule="auto"/>
        <w:rPr>
          <w:rFonts w:hint="eastAsia" w:hAnsi="宋体" w:eastAsia="宋体" w:cs="宋体"/>
          <w:b/>
          <w:sz w:val="24"/>
          <w:szCs w:val="24"/>
        </w:rPr>
      </w:pPr>
    </w:p>
    <w:p>
      <w:pPr>
        <w:rPr>
          <w:rFonts w:hint="eastAsia"/>
        </w:rPr>
      </w:pPr>
    </w:p>
    <w:p>
      <w:pPr>
        <w:pStyle w:val="13"/>
        <w:snapToGrid w:val="0"/>
        <w:spacing w:before="120" w:after="120" w:line="360" w:lineRule="auto"/>
        <w:rPr>
          <w:rFonts w:hint="eastAsia" w:hAnsi="宋体" w:eastAsia="宋体" w:cs="宋体"/>
          <w:b/>
          <w:sz w:val="24"/>
          <w:szCs w:val="24"/>
        </w:rPr>
      </w:pPr>
    </w:p>
    <w:p>
      <w:pPr>
        <w:pStyle w:val="66"/>
        <w:widowControl w:val="0"/>
        <w:spacing w:line="720" w:lineRule="auto"/>
        <w:ind w:firstLine="1680" w:firstLineChars="600"/>
        <w:rPr>
          <w:rFonts w:hint="eastAsia" w:ascii="宋体" w:hAnsi="宋体" w:cs="宋体"/>
          <w:sz w:val="28"/>
          <w:szCs w:val="28"/>
          <w:lang w:val="en-US" w:eastAsia="zh-CN"/>
        </w:rPr>
      </w:pPr>
      <w:r>
        <w:rPr>
          <w:rFonts w:hint="eastAsia" w:ascii="宋体" w:hAnsi="宋体" w:cs="宋体"/>
          <w:sz w:val="28"/>
          <w:szCs w:val="28"/>
          <w:lang w:val="en-US" w:eastAsia="zh-CN"/>
        </w:rPr>
        <w:t>项目编号：0773-2141GNZSHWGK3226</w:t>
      </w:r>
    </w:p>
    <w:p>
      <w:pPr>
        <w:pStyle w:val="66"/>
        <w:widowControl w:val="0"/>
        <w:spacing w:line="720" w:lineRule="auto"/>
        <w:ind w:left="3158" w:leftChars="800" w:hanging="1478" w:hangingChars="528"/>
        <w:rPr>
          <w:rFonts w:hint="eastAsia" w:ascii="宋体" w:hAnsi="宋体" w:cs="宋体"/>
          <w:sz w:val="28"/>
          <w:szCs w:val="28"/>
          <w:lang w:val="en-US" w:eastAsia="zh-CN"/>
        </w:rPr>
      </w:pPr>
      <w:r>
        <w:rPr>
          <w:rFonts w:hint="eastAsia" w:ascii="宋体" w:hAnsi="宋体" w:cs="宋体"/>
          <w:sz w:val="28"/>
          <w:szCs w:val="28"/>
        </w:rPr>
        <w:t>项目名称：岱山县小长涂“未来社区”建设项目</w:t>
      </w:r>
    </w:p>
    <w:p>
      <w:pPr>
        <w:spacing w:line="720" w:lineRule="auto"/>
        <w:ind w:firstLine="1680" w:firstLineChars="600"/>
        <w:rPr>
          <w:rFonts w:hint="eastAsia" w:ascii="宋体" w:hAnsi="宋体" w:cs="宋体"/>
          <w:sz w:val="28"/>
          <w:szCs w:val="28"/>
        </w:rPr>
      </w:pPr>
      <w:r>
        <w:rPr>
          <w:rFonts w:hint="eastAsia" w:ascii="宋体" w:hAnsi="宋体" w:cs="宋体"/>
          <w:sz w:val="28"/>
          <w:szCs w:val="28"/>
        </w:rPr>
        <w:t>采 购 人：岱山县大数据管理中心（盖章）</w:t>
      </w:r>
    </w:p>
    <w:p>
      <w:pPr>
        <w:spacing w:line="720" w:lineRule="auto"/>
        <w:ind w:firstLine="1680" w:firstLineChars="600"/>
        <w:rPr>
          <w:rFonts w:hint="eastAsia" w:ascii="宋体" w:hAnsi="宋体" w:cs="宋体"/>
          <w:sz w:val="28"/>
          <w:szCs w:val="28"/>
        </w:rPr>
      </w:pPr>
      <w:r>
        <w:rPr>
          <w:rFonts w:hint="eastAsia" w:ascii="宋体" w:hAnsi="宋体" w:cs="宋体"/>
          <w:sz w:val="28"/>
          <w:szCs w:val="28"/>
        </w:rPr>
        <w:t>代理机构：中金招标有限责任公司（盖章）</w:t>
      </w:r>
    </w:p>
    <w:p>
      <w:pPr>
        <w:pStyle w:val="13"/>
        <w:spacing w:before="120" w:after="120" w:line="360" w:lineRule="auto"/>
        <w:ind w:firstLine="1680" w:firstLineChars="600"/>
        <w:rPr>
          <w:rFonts w:hint="eastAsia" w:hAnsi="宋体" w:eastAsia="宋体" w:cs="宋体"/>
          <w:sz w:val="24"/>
          <w:szCs w:val="24"/>
        </w:rPr>
      </w:pPr>
      <w:r>
        <w:rPr>
          <w:rFonts w:hint="eastAsia" w:hAnsi="宋体" w:eastAsia="宋体" w:cs="宋体"/>
          <w:bCs/>
          <w:sz w:val="28"/>
          <w:szCs w:val="28"/>
        </w:rPr>
        <w:t>日    期：二〇二一年</w:t>
      </w:r>
      <w:r>
        <w:rPr>
          <w:rFonts w:hint="eastAsia" w:hAnsi="宋体" w:eastAsia="宋体" w:cs="宋体"/>
          <w:bCs/>
          <w:sz w:val="28"/>
          <w:szCs w:val="28"/>
          <w:lang w:val="en-US" w:eastAsia="zh-CN"/>
        </w:rPr>
        <w:t>十</w:t>
      </w:r>
      <w:r>
        <w:rPr>
          <w:rFonts w:hint="eastAsia" w:hAnsi="宋体" w:eastAsia="宋体" w:cs="宋体"/>
          <w:bCs/>
          <w:sz w:val="28"/>
          <w:szCs w:val="28"/>
          <w:lang w:val="en-US" w:eastAsia="zh-CN"/>
        </w:rPr>
        <w:t>一</w:t>
      </w:r>
      <w:r>
        <w:rPr>
          <w:rFonts w:hint="eastAsia" w:hAnsi="宋体" w:eastAsia="宋体" w:cs="宋体"/>
          <w:bCs/>
          <w:sz w:val="28"/>
          <w:szCs w:val="28"/>
        </w:rPr>
        <w:t>月</w:t>
      </w:r>
    </w:p>
    <w:p>
      <w:pPr>
        <w:pStyle w:val="13"/>
        <w:spacing w:before="120" w:after="120" w:line="600" w:lineRule="auto"/>
        <w:rPr>
          <w:rFonts w:hint="eastAsia" w:hAnsi="宋体" w:eastAsia="宋体" w:cs="宋体"/>
          <w:sz w:val="24"/>
          <w:szCs w:val="24"/>
        </w:rPr>
      </w:pPr>
    </w:p>
    <w:p>
      <w:pPr>
        <w:pStyle w:val="13"/>
        <w:spacing w:before="120" w:after="120" w:line="600" w:lineRule="auto"/>
        <w:jc w:val="center"/>
        <w:rPr>
          <w:rFonts w:hint="eastAsia" w:hAnsi="宋体" w:eastAsia="宋体" w:cs="宋体"/>
          <w:sz w:val="36"/>
          <w:szCs w:val="36"/>
        </w:rPr>
        <w:sectPr>
          <w:headerReference r:id="rId4" w:type="first"/>
          <w:headerReference r:id="rId3" w:type="default"/>
          <w:pgSz w:w="11906" w:h="16838"/>
          <w:pgMar w:top="1531" w:right="992" w:bottom="737" w:left="992" w:header="851" w:footer="584" w:gutter="0"/>
          <w:pgBorders>
            <w:top w:val="none" w:sz="0" w:space="0"/>
            <w:left w:val="none" w:sz="0" w:space="0"/>
            <w:bottom w:val="none" w:sz="0" w:space="0"/>
            <w:right w:val="none" w:sz="0" w:space="0"/>
          </w:pgBorders>
          <w:pgNumType w:fmt="decimal" w:start="1"/>
          <w:cols w:space="720" w:num="1"/>
          <w:titlePg/>
          <w:docGrid w:type="lines" w:linePitch="312" w:charSpace="0"/>
        </w:sectPr>
      </w:pPr>
    </w:p>
    <w:p>
      <w:pPr>
        <w:pStyle w:val="13"/>
        <w:spacing w:before="120" w:after="120" w:line="600" w:lineRule="auto"/>
        <w:jc w:val="center"/>
        <w:rPr>
          <w:rFonts w:hint="eastAsia" w:hAnsi="宋体" w:eastAsia="宋体" w:cs="宋体"/>
          <w:sz w:val="36"/>
          <w:szCs w:val="36"/>
        </w:rPr>
      </w:pPr>
      <w:r>
        <w:rPr>
          <w:rFonts w:hint="eastAsia" w:hAnsi="宋体" w:eastAsia="宋体" w:cs="宋体"/>
          <w:sz w:val="36"/>
          <w:szCs w:val="36"/>
        </w:rPr>
        <w:t>目    录</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第一章  招标公告</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第二章  采购需求</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第三章  投标人须知</w:t>
      </w:r>
    </w:p>
    <w:p>
      <w:pPr>
        <w:spacing w:before="120" w:line="552" w:lineRule="auto"/>
        <w:ind w:firstLine="1960" w:firstLineChars="700"/>
        <w:rPr>
          <w:rFonts w:hint="eastAsia" w:ascii="宋体" w:hAnsi="宋体" w:cs="宋体"/>
          <w:sz w:val="28"/>
          <w:szCs w:val="28"/>
        </w:rPr>
      </w:pPr>
      <w:r>
        <w:rPr>
          <w:rFonts w:hint="eastAsia" w:ascii="宋体" w:hAnsi="宋体" w:cs="宋体"/>
          <w:sz w:val="28"/>
          <w:szCs w:val="28"/>
        </w:rPr>
        <w:t xml:space="preserve">前附表 </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一、总 则</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二、招标文件</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三、投标文件的编制</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四、开标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五、评标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六、废标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七、定标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八、合同授予</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第四章  评标办法及标准</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第五章  合同主要条款</w:t>
      </w:r>
    </w:p>
    <w:p>
      <w:pPr>
        <w:spacing w:before="120" w:line="552" w:lineRule="auto"/>
        <w:ind w:firstLine="840" w:firstLineChars="300"/>
        <w:rPr>
          <w:rFonts w:hint="eastAsia" w:ascii="宋体" w:hAnsi="宋体" w:cs="宋体"/>
          <w:sz w:val="24"/>
          <w:szCs w:val="24"/>
        </w:rPr>
      </w:pPr>
      <w:r>
        <w:rPr>
          <w:rFonts w:hint="eastAsia" w:ascii="宋体" w:hAnsi="宋体" w:cs="宋体"/>
          <w:sz w:val="28"/>
          <w:szCs w:val="28"/>
        </w:rPr>
        <w:t>第六章  投标文件组成</w:t>
      </w:r>
    </w:p>
    <w:p>
      <w:pPr>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 xml:space="preserve">第一章 </w:t>
      </w:r>
      <w:bookmarkStart w:id="0" w:name="OLE_LINK3"/>
      <w:r>
        <w:rPr>
          <w:rFonts w:hint="eastAsia" w:ascii="宋体" w:hAnsi="宋体" w:cs="宋体"/>
          <w:b/>
          <w:sz w:val="28"/>
          <w:szCs w:val="28"/>
        </w:rPr>
        <w:t xml:space="preserve"> </w:t>
      </w:r>
      <w:bookmarkStart w:id="1" w:name="OLE_LINK2"/>
      <w:bookmarkStart w:id="2" w:name="OLE_LINK4"/>
      <w:r>
        <w:rPr>
          <w:rFonts w:hint="eastAsia" w:ascii="宋体" w:hAnsi="宋体" w:cs="宋体"/>
          <w:b/>
          <w:sz w:val="28"/>
          <w:szCs w:val="28"/>
        </w:rPr>
        <w:t>招标公告</w:t>
      </w:r>
    </w:p>
    <w:bookmarkEnd w:id="0"/>
    <w:bookmarkEnd w:id="1"/>
    <w:bookmarkEnd w:id="2"/>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岱山县小长涂“未来社区”建设项目招标项目的潜在投标人应在浙江政府采购网http://zfcg.czt.zj.gov.cn/（用“政采云”注册账号、密码登录系统后获取招标文件）获取（下载）招标文件，并于2021年</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月</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 xml:space="preserve">日 </w:t>
      </w:r>
      <w:r>
        <w:rPr>
          <w:rFonts w:hint="eastAsia" w:ascii="宋体" w:hAnsi="宋体" w:eastAsia="宋体" w:cs="宋体"/>
          <w:i w:val="0"/>
          <w:iCs w:val="0"/>
          <w:caps w:val="0"/>
          <w:color w:val="000000"/>
          <w:spacing w:val="0"/>
          <w:sz w:val="21"/>
          <w:szCs w:val="21"/>
          <w:lang w:val="en-US" w:eastAsia="zh-CN"/>
        </w:rPr>
        <w:t>14</w:t>
      </w:r>
      <w:r>
        <w:rPr>
          <w:rFonts w:hint="eastAsia" w:ascii="宋体" w:hAnsi="宋体" w:eastAsia="宋体" w:cs="宋体"/>
          <w:i w:val="0"/>
          <w:iCs w:val="0"/>
          <w:caps w:val="0"/>
          <w:color w:val="000000"/>
          <w:spacing w:val="0"/>
          <w:sz w:val="21"/>
          <w:szCs w:val="21"/>
        </w:rPr>
        <w:t>:</w:t>
      </w:r>
      <w:r>
        <w:rPr>
          <w:rFonts w:hint="eastAsia" w:ascii="宋体" w:hAnsi="宋体" w:eastAsia="宋体" w:cs="宋体"/>
          <w:i w:val="0"/>
          <w:iCs w:val="0"/>
          <w:caps w:val="0"/>
          <w:color w:val="000000"/>
          <w:spacing w:val="0"/>
          <w:sz w:val="21"/>
          <w:szCs w:val="21"/>
          <w:lang w:val="en-US" w:eastAsia="zh-CN"/>
        </w:rPr>
        <w:t>15</w:t>
      </w:r>
      <w:r>
        <w:rPr>
          <w:rFonts w:hint="eastAsia" w:ascii="宋体" w:hAnsi="宋体" w:eastAsia="宋体" w:cs="宋体"/>
          <w:i w:val="0"/>
          <w:iCs w:val="0"/>
          <w:caps w:val="0"/>
          <w:color w:val="000000"/>
          <w:spacing w:val="0"/>
          <w:sz w:val="21"/>
          <w:szCs w:val="21"/>
        </w:rPr>
        <w:t>（北京时间）前递交（上传）投标文件。  </w:t>
      </w:r>
      <w:r>
        <w:rPr>
          <w:rFonts w:hint="eastAsia" w:ascii="宋体" w:hAnsi="宋体" w:eastAsia="宋体" w:cs="宋体"/>
          <w:sz w:val="21"/>
          <w:szCs w:val="21"/>
        </w:rPr>
        <w:t xml:space="preserve">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一、项目基本情况</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项目编号：0773-2141GNZSHWGK3226</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项目名称：岱山县小长涂“未来社区”建设项目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采购方式：</w:t>
      </w:r>
      <w:r>
        <w:rPr>
          <w:rFonts w:hint="eastAsia" w:ascii="宋体" w:hAnsi="宋体" w:eastAsia="宋体" w:cs="宋体"/>
          <w:i w:val="0"/>
          <w:iCs w:val="0"/>
          <w:caps w:val="0"/>
          <w:color w:val="000000"/>
          <w:spacing w:val="0"/>
          <w:sz w:val="21"/>
          <w:szCs w:val="21"/>
          <w:lang w:val="en-US" w:eastAsia="zh-CN"/>
        </w:rPr>
        <w:t>公开招标</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预算金额（元）：</w:t>
      </w:r>
      <w:r>
        <w:rPr>
          <w:rFonts w:hint="eastAsia" w:ascii="宋体" w:hAnsi="宋体" w:eastAsia="宋体" w:cs="宋体"/>
          <w:i w:val="0"/>
          <w:iCs w:val="0"/>
          <w:caps w:val="0"/>
          <w:color w:val="000000"/>
          <w:spacing w:val="0"/>
          <w:sz w:val="21"/>
          <w:szCs w:val="21"/>
          <w:lang w:val="en-US" w:eastAsia="zh-CN"/>
        </w:rPr>
        <w:t>3150000.00</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最高限价（元）：/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xml:space="preserve">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数量：1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预算金额（元）：</w:t>
      </w:r>
      <w:r>
        <w:rPr>
          <w:rFonts w:hint="eastAsia" w:ascii="宋体" w:hAnsi="宋体" w:eastAsia="宋体" w:cs="宋体"/>
          <w:i w:val="0"/>
          <w:iCs w:val="0"/>
          <w:caps w:val="0"/>
          <w:color w:val="000000"/>
          <w:spacing w:val="0"/>
          <w:sz w:val="21"/>
          <w:szCs w:val="21"/>
          <w:lang w:val="en-US" w:eastAsia="zh-CN"/>
        </w:rPr>
        <w:t>3150000.00</w:t>
      </w:r>
      <w:r>
        <w:rPr>
          <w:rFonts w:hint="eastAsia" w:ascii="宋体" w:hAnsi="宋体" w:eastAsia="宋体" w:cs="宋体"/>
          <w:i w:val="0"/>
          <w:iCs w:val="0"/>
          <w:caps w:val="0"/>
          <w:color w:val="000000"/>
          <w:spacing w:val="0"/>
          <w:sz w:val="21"/>
          <w:szCs w:val="21"/>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单位：项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简要规格描述：详见采购文件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备注：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highlight w:val="none"/>
        </w:rPr>
        <w:t>合同履约期限</w:t>
      </w:r>
      <w:r>
        <w:rPr>
          <w:rFonts w:hint="eastAsia" w:ascii="宋体" w:hAnsi="宋体" w:eastAsia="宋体" w:cs="宋体"/>
          <w:i w:val="0"/>
          <w:iCs w:val="0"/>
          <w:caps w:val="0"/>
          <w:color w:val="000000"/>
          <w:spacing w:val="0"/>
          <w:sz w:val="21"/>
          <w:szCs w:val="21"/>
        </w:rPr>
        <w:t>：标项 1，合同签订后</w:t>
      </w:r>
      <w:r>
        <w:rPr>
          <w:rFonts w:hint="eastAsia" w:ascii="宋体" w:hAnsi="宋体" w:eastAsia="宋体" w:cs="宋体"/>
          <w:i w:val="0"/>
          <w:iCs w:val="0"/>
          <w:caps w:val="0"/>
          <w:color w:val="000000"/>
          <w:spacing w:val="0"/>
          <w:sz w:val="21"/>
          <w:szCs w:val="21"/>
          <w:lang w:val="en-US" w:eastAsia="zh-CN"/>
        </w:rPr>
        <w:t>90</w:t>
      </w:r>
      <w:r>
        <w:rPr>
          <w:rFonts w:hint="eastAsia" w:ascii="宋体" w:hAnsi="宋体" w:eastAsia="宋体" w:cs="宋体"/>
          <w:i w:val="0"/>
          <w:iCs w:val="0"/>
          <w:caps w:val="0"/>
          <w:color w:val="000000"/>
          <w:spacing w:val="0"/>
          <w:sz w:val="21"/>
          <w:szCs w:val="21"/>
        </w:rPr>
        <w:t>天内交付使用</w:t>
      </w:r>
      <w:r>
        <w:rPr>
          <w:rFonts w:hint="eastAsia" w:ascii="宋体" w:hAnsi="宋体" w:eastAsia="宋体" w:cs="宋体"/>
          <w:i w:val="0"/>
          <w:iCs w:val="0"/>
          <w:caps w:val="0"/>
          <w:color w:val="000000"/>
          <w:spacing w:val="0"/>
          <w:sz w:val="21"/>
          <w:szCs w:val="21"/>
          <w:lang w:val="en-US" w:eastAsia="zh-CN"/>
        </w:rPr>
        <w:t>并通过初验</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lang w:val="en-US" w:eastAsia="zh-CN"/>
        </w:rPr>
        <w:t>试运行2个月无任何问题配合采购人进行项目终验。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firstLine="630"/>
        <w:jc w:val="both"/>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本项目（否）接受联合体投标。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二、申请人的资格要求：</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2.落实政府采购政策需满足的资格要求：无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3.本项目的特定资格要求：无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三、获取（下载）采购文件</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u w:val="none"/>
        </w:rPr>
        <w:t>时间：/至2021年</w:t>
      </w:r>
      <w:r>
        <w:rPr>
          <w:rFonts w:hint="eastAsia" w:ascii="宋体" w:hAnsi="宋体" w:eastAsia="宋体" w:cs="宋体"/>
          <w:i w:val="0"/>
          <w:iCs w:val="0"/>
          <w:caps w:val="0"/>
          <w:color w:val="000000"/>
          <w:spacing w:val="0"/>
          <w:sz w:val="21"/>
          <w:szCs w:val="21"/>
          <w:u w:val="none"/>
          <w:lang w:val="en-US" w:eastAsia="zh-CN"/>
        </w:rPr>
        <w:t xml:space="preserve">  </w:t>
      </w:r>
      <w:r>
        <w:rPr>
          <w:rFonts w:hint="eastAsia" w:ascii="宋体" w:hAnsi="宋体" w:eastAsia="宋体" w:cs="宋体"/>
          <w:i w:val="0"/>
          <w:iCs w:val="0"/>
          <w:caps w:val="0"/>
          <w:color w:val="000000"/>
          <w:spacing w:val="0"/>
          <w:sz w:val="21"/>
          <w:szCs w:val="21"/>
          <w:u w:val="none"/>
        </w:rPr>
        <w:t>月</w:t>
      </w:r>
      <w:r>
        <w:rPr>
          <w:rFonts w:hint="eastAsia" w:ascii="宋体" w:hAnsi="宋体" w:eastAsia="宋体" w:cs="宋体"/>
          <w:i w:val="0"/>
          <w:iCs w:val="0"/>
          <w:caps w:val="0"/>
          <w:color w:val="000000"/>
          <w:spacing w:val="0"/>
          <w:sz w:val="21"/>
          <w:szCs w:val="21"/>
          <w:u w:val="none"/>
          <w:lang w:val="en-US" w:eastAsia="zh-CN"/>
        </w:rPr>
        <w:t xml:space="preserve">  </w:t>
      </w:r>
      <w:r>
        <w:rPr>
          <w:rFonts w:hint="eastAsia" w:ascii="宋体" w:hAnsi="宋体" w:eastAsia="宋体" w:cs="宋体"/>
          <w:i w:val="0"/>
          <w:iCs w:val="0"/>
          <w:caps w:val="0"/>
          <w:color w:val="000000"/>
          <w:spacing w:val="0"/>
          <w:sz w:val="21"/>
          <w:szCs w:val="21"/>
          <w:u w:val="none"/>
        </w:rPr>
        <w:t>日，每天上午00:00至12:00，下午12:00至23:59（北京时间，线上获取法定节假日均可，线下获取文件法定节假日除外）</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点（网址）：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方式：供应商登录政采云平台https://www.zcygov.cn/在线申请获取采购文件（进入“项目采购”应用，在获取采购文件菜单中选择项目，申请获取采购文件）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售价（元）：0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四、响应文件提交（上传）</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截止时间：2021年</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月</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日 14:</w:t>
      </w:r>
      <w:r>
        <w:rPr>
          <w:rFonts w:hint="eastAsia" w:eastAsia="宋体" w:cs="宋体"/>
          <w:i w:val="0"/>
          <w:iCs w:val="0"/>
          <w:caps w:val="0"/>
          <w:color w:val="000000"/>
          <w:spacing w:val="0"/>
          <w:sz w:val="21"/>
          <w:szCs w:val="21"/>
          <w:lang w:val="en-US" w:eastAsia="zh-CN"/>
        </w:rPr>
        <w:t>1</w:t>
      </w:r>
      <w:r>
        <w:rPr>
          <w:rFonts w:hint="eastAsia" w:ascii="宋体" w:hAnsi="宋体" w:eastAsia="宋体" w:cs="宋体"/>
          <w:i w:val="0"/>
          <w:iCs w:val="0"/>
          <w:caps w:val="0"/>
          <w:color w:val="000000"/>
          <w:spacing w:val="0"/>
          <w:sz w:val="21"/>
          <w:szCs w:val="21"/>
        </w:rPr>
        <w:t>5（北京时间）</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地点（网址）：本项目不</w:t>
      </w:r>
      <w:r>
        <w:rPr>
          <w:rFonts w:hint="eastAsia" w:eastAsia="宋体" w:cs="宋体"/>
          <w:i w:val="0"/>
          <w:iCs w:val="0"/>
          <w:caps w:val="0"/>
          <w:color w:val="000000"/>
          <w:spacing w:val="0"/>
          <w:sz w:val="21"/>
          <w:szCs w:val="21"/>
          <w:lang w:val="en-US" w:eastAsia="zh-CN"/>
        </w:rPr>
        <w:t>强制</w:t>
      </w:r>
      <w:r>
        <w:rPr>
          <w:rFonts w:hint="eastAsia" w:ascii="宋体" w:hAnsi="宋体" w:eastAsia="宋体" w:cs="宋体"/>
          <w:i w:val="0"/>
          <w:iCs w:val="0"/>
          <w:caps w:val="0"/>
          <w:color w:val="000000"/>
          <w:spacing w:val="0"/>
          <w:sz w:val="21"/>
          <w:szCs w:val="21"/>
        </w:rPr>
        <w:t>要求供应商授权代表参加现场开标、开启投标文件活动。投标人将加密的电子版投标文件于投标截止时间前上传到政采云系统中。投标人将备份投标文件于2021年</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月</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日12:00（北京时间）前通过邮寄或派人递送的方式送交到采购代理机构处（地址：舟山市新城海天大道998号创客码头四楼</w:t>
      </w:r>
      <w:r>
        <w:rPr>
          <w:rFonts w:hint="eastAsia" w:ascii="宋体" w:hAnsi="宋体" w:eastAsia="宋体" w:cs="宋体"/>
          <w:i w:val="0"/>
          <w:iCs w:val="0"/>
          <w:caps w:val="0"/>
          <w:color w:val="000000"/>
          <w:spacing w:val="0"/>
          <w:sz w:val="21"/>
          <w:szCs w:val="21"/>
          <w:lang w:val="en-US" w:eastAsia="zh-CN"/>
        </w:rPr>
        <w:t>/岱山县人民路82号407室</w:t>
      </w:r>
      <w:r>
        <w:rPr>
          <w:rFonts w:hint="eastAsia" w:ascii="宋体" w:hAnsi="宋体" w:eastAsia="宋体" w:cs="宋体"/>
          <w:i w:val="0"/>
          <w:iCs w:val="0"/>
          <w:caps w:val="0"/>
          <w:color w:val="000000"/>
          <w:spacing w:val="0"/>
          <w:sz w:val="21"/>
          <w:szCs w:val="21"/>
        </w:rPr>
        <w:t>；联系人：张学睿；联系方式：0580-2083003），也可以在开标时间前送至开标地点，未按时送达的自行承担风险。备份投标文件须密封完好，并注明投标人单位名称。投标人未按规定递交的备份投标文件，采购人有权拒收。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五、响应文件开启</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开启时间：2021年</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月</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日 14:</w:t>
      </w:r>
      <w:r>
        <w:rPr>
          <w:rFonts w:hint="eastAsia" w:eastAsia="宋体" w:cs="宋体"/>
          <w:i w:val="0"/>
          <w:iCs w:val="0"/>
          <w:caps w:val="0"/>
          <w:color w:val="000000"/>
          <w:spacing w:val="0"/>
          <w:sz w:val="21"/>
          <w:szCs w:val="21"/>
          <w:lang w:val="en-US" w:eastAsia="zh-CN"/>
        </w:rPr>
        <w:t>1</w:t>
      </w:r>
      <w:r>
        <w:rPr>
          <w:rFonts w:hint="eastAsia" w:ascii="宋体" w:hAnsi="宋体" w:eastAsia="宋体" w:cs="宋体"/>
          <w:i w:val="0"/>
          <w:iCs w:val="0"/>
          <w:caps w:val="0"/>
          <w:color w:val="000000"/>
          <w:spacing w:val="0"/>
          <w:sz w:val="21"/>
          <w:szCs w:val="21"/>
        </w:rPr>
        <w:t>5 （北京时间）</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地点（网址）：岱山县高亭镇星河路250号3楼开标室（交通大楼裙楼3楼）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六、公告期限</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自本公告发布之日起3个工作日。</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七、其他补充事宜</w:t>
      </w:r>
      <w:r>
        <w:rPr>
          <w:rFonts w:hint="eastAsia" w:ascii="宋体" w:hAnsi="宋体" w:eastAsia="宋体" w:cs="宋体"/>
          <w:i w:val="0"/>
          <w:iCs w:val="0"/>
          <w:caps w:val="0"/>
          <w:color w:val="000000"/>
          <w:spacing w:val="0"/>
          <w:sz w:val="21"/>
          <w:szCs w:val="21"/>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1.供应商认为采购文件使自己的权益受到损害的，可以自获取采购文件之日或者采购文件公告期限届满之日（公告期限届满后获取采购文件的，以公告期限届满之日为准）起7个工作日内，</w:t>
      </w:r>
      <w:r>
        <w:rPr>
          <w:rFonts w:hint="eastAsia" w:ascii="宋体" w:hAnsi="宋体" w:eastAsia="宋体" w:cs="宋体"/>
          <w:i w:val="0"/>
          <w:iCs w:val="0"/>
          <w:caps w:val="0"/>
          <w:color w:val="000000"/>
          <w:spacing w:val="0"/>
          <w:sz w:val="21"/>
          <w:szCs w:val="21"/>
          <w:shd w:val="clear" w:color="auto" w:fill="FFFFFF"/>
        </w:rPr>
        <w:t>对采购文件需求的以书面形式向采购人提出质疑，对其他内容的以书面形式向采购人和采购代理机构提出质疑。</w:t>
      </w:r>
      <w:r>
        <w:rPr>
          <w:rFonts w:hint="eastAsia" w:ascii="宋体" w:hAnsi="宋体" w:eastAsia="宋体" w:cs="宋体"/>
          <w:i w:val="0"/>
          <w:iCs w:val="0"/>
          <w:caps w:val="0"/>
          <w:color w:val="000000"/>
          <w:spacing w:val="0"/>
          <w:sz w:val="21"/>
          <w:szCs w:val="21"/>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2.其他事项：（1）投标文件的制作及递交：1）投标人须在线获取CA数字证书（完成CA数字证书办理预计一周左右，建议各投标人自行把握时间），并登陆“浙江政府采购网”（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Style w:val="28"/>
          <w:rFonts w:hint="eastAsia" w:ascii="宋体" w:hAnsi="宋体" w:eastAsia="宋体" w:cs="宋体"/>
          <w:i w:val="0"/>
          <w:iCs w:val="0"/>
          <w:caps w:val="0"/>
          <w:color w:val="000000"/>
          <w:spacing w:val="0"/>
          <w:sz w:val="21"/>
          <w:szCs w:val="21"/>
        </w:rPr>
        <w:t>八、凡对本次招标提出询问、质疑、投诉，请按以下方式联系</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1.采购人信息</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称：岱山县大数据管理中心</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址：岱山县兰秀大道475号</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项目联系人（询问）：</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项目联系方式（询问）：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质疑联系人：</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质疑联系方式：</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2.采购代理机构信息</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称：中金招标有限责任公司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址：舟山市定海区海天大道998号知青创客428室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项目联系人（询问）：张学睿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项目联系方式（询问）：0580-2083003/17769799896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质疑联系人：蔡真鹏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质疑联系方式：15336811811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3.同级政府采购监督管理部门</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名    称：岱山县财政局政府采购监管科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地    址：岱山县高亭镇鱼山大道671号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传    真：/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联系人 ：徐贤久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监督投诉电话：0580-4472749</w:t>
      </w:r>
      <w:r>
        <w:rPr>
          <w:rFonts w:hint="eastAsia" w:ascii="宋体" w:hAnsi="宋体" w:eastAsia="宋体" w:cs="宋体"/>
          <w:i w:val="0"/>
          <w:iCs w:val="0"/>
          <w:caps w:val="0"/>
          <w:color w:val="000000"/>
          <w:spacing w:val="0"/>
          <w:kern w:val="0"/>
          <w:sz w:val="21"/>
          <w:szCs w:val="21"/>
          <w:lang w:val="en-US" w:eastAsia="zh-CN" w:bidi="ar"/>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若对项目采购电子交易系统操作有疑问，可登录政采云（https://www.zcygov.cn/），点击右侧咨询小采，获取采小蜜智能服务管家帮助，或拨打政采云服务热线400-881-7190获取热线服务帮助。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CA问题联系电话（人工）：汇信CA 400-888-4636；天谷CA 400-087-8198。</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w:t>
      </w:r>
    </w:p>
    <w:p>
      <w:pPr>
        <w:pStyle w:val="22"/>
        <w:keepNext w:val="0"/>
        <w:keepLines w:val="0"/>
        <w:widowControl/>
        <w:suppressLineNumbers w:val="0"/>
        <w:spacing w:before="75" w:beforeAutospacing="0" w:after="75" w:afterAutospacing="0"/>
        <w:ind w:left="0" w:right="0"/>
      </w:pPr>
    </w:p>
    <w:p>
      <w:pPr>
        <w:spacing w:line="360" w:lineRule="auto"/>
        <w:jc w:val="center"/>
        <w:outlineLvl w:val="0"/>
        <w:rPr>
          <w:rFonts w:hint="eastAsia" w:ascii="宋体" w:hAnsi="宋体" w:cs="宋体"/>
          <w:b/>
          <w:szCs w:val="21"/>
        </w:rPr>
      </w:pPr>
      <w:r>
        <w:rPr>
          <w:rFonts w:hint="eastAsia" w:ascii="宋体" w:hAnsi="宋体" w:cs="宋体"/>
          <w:b/>
          <w:sz w:val="28"/>
          <w:szCs w:val="28"/>
        </w:rPr>
        <w:br w:type="page"/>
      </w:r>
      <w:r>
        <w:rPr>
          <w:rFonts w:hint="eastAsia" w:ascii="宋体" w:hAnsi="宋体" w:cs="宋体"/>
          <w:b/>
          <w:sz w:val="28"/>
          <w:szCs w:val="28"/>
        </w:rPr>
        <w:t>第二章 采购需求</w:t>
      </w:r>
      <w:bookmarkStart w:id="3" w:name="_Toc37423705"/>
      <w:bookmarkStart w:id="4" w:name="_Toc263083258"/>
      <w:bookmarkStart w:id="5" w:name="_Toc517442217"/>
      <w:bookmarkStart w:id="6" w:name="_Toc15530"/>
      <w:bookmarkStart w:id="7" w:name="_Toc6305"/>
    </w:p>
    <w:p>
      <w:pPr>
        <w:pageBreakBefore w:val="0"/>
        <w:widowControl w:val="0"/>
        <w:shd w:val="clear" w:color="auto" w:fill="FFFFFF"/>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000000"/>
          <w:szCs w:val="21"/>
        </w:rPr>
      </w:pPr>
      <w:r>
        <w:rPr>
          <w:rFonts w:hint="eastAsia" w:ascii="宋体" w:hAnsi="宋体" w:eastAsia="宋体" w:cs="宋体"/>
          <w:b/>
          <w:szCs w:val="21"/>
        </w:rPr>
        <w:t>一、</w:t>
      </w:r>
      <w:r>
        <w:rPr>
          <w:rFonts w:hint="eastAsia" w:ascii="宋体" w:hAnsi="宋体" w:eastAsia="宋体" w:cs="宋体"/>
          <w:b/>
          <w:bCs/>
          <w:color w:val="000000"/>
          <w:szCs w:val="21"/>
        </w:rPr>
        <w:t>投标人必须响应并承诺下列要求：</w:t>
      </w:r>
    </w:p>
    <w:p>
      <w:pPr>
        <w:pageBreakBefore w:val="0"/>
        <w:widowControl w:val="0"/>
        <w:shd w:val="clear" w:color="auto" w:fill="FFFFFF"/>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1、投标人应提供所代表品牌厂商原装、全新的、符合国家及用户提出的有关质量标准的设备和产品。</w:t>
      </w:r>
    </w:p>
    <w:p>
      <w:pPr>
        <w:pageBreakBefore w:val="0"/>
        <w:widowControl w:val="0"/>
        <w:shd w:val="clear" w:color="auto" w:fill="FFFFFF"/>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2、如果因为所代表品牌厂商无法提供的原因而提供其他品牌的设备/部件，投标人应明确说明并提出质量保证承诺。</w:t>
      </w:r>
    </w:p>
    <w:p>
      <w:pPr>
        <w:pageBreakBefore w:val="0"/>
        <w:widowControl w:val="0"/>
        <w:shd w:val="clear" w:color="auto" w:fill="FFFFFF"/>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3、所有设备、器材在开箱检验时必须完好，无破损，配置与装箱单相符。数量、质量及性能不低于本方案中提出的指标要求（标有“▲”的要求）。</w:t>
      </w:r>
    </w:p>
    <w:p>
      <w:pPr>
        <w:pageBreakBefore w:val="0"/>
        <w:widowControl w:val="0"/>
        <w:shd w:val="clear" w:color="auto" w:fill="FFFFFF"/>
        <w:kinsoku/>
        <w:wordWrap/>
        <w:overflowPunct/>
        <w:topLinePunct w:val="0"/>
        <w:autoSpaceDE/>
        <w:autoSpaceDN/>
        <w:bidi w:val="0"/>
        <w:adjustRightInd w:val="0"/>
        <w:snapToGrid/>
        <w:spacing w:line="360" w:lineRule="auto"/>
        <w:ind w:firstLine="420" w:firstLineChars="200"/>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rPr>
        <w:t>4、所建议的设备的性能应达到或超过指标要求表中所列技术指标。投标人应注意该表的值仅列出了最低限度。投标人在响应建议中必须列出具体数值。如果投标人只注明“符合”或“满足”，将可能被视为“不符合”</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所产生的结果须投标人自行承担。</w:t>
      </w:r>
    </w:p>
    <w:p>
      <w:pPr>
        <w:pageBreakBefore w:val="0"/>
        <w:widowControl w:val="0"/>
        <w:shd w:val="clear" w:color="auto" w:fill="FFFFFF"/>
        <w:kinsoku/>
        <w:wordWrap/>
        <w:overflowPunct/>
        <w:topLinePunct w:val="0"/>
        <w:autoSpaceDE/>
        <w:autoSpaceDN/>
        <w:bidi w:val="0"/>
        <w:adjustRightInd w:val="0"/>
        <w:snapToGrid/>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5、投标人在投标文件中建议提供的设备必须给出具体的选型说明，所选设备必须是新制造的先进产品，并提供有关产品说明，这些选型说明和证明文件应以附件形式在投标书中列出。所提供的说明书必须能反映投标人在设备配置技术要求中建议的指标。</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6、投标人投标时所提供的设备如在实际供货时已经废型（不列入该厂家当时的产品系统），如果未能按原价提供更高配置的设备，则按违约处理。</w:t>
      </w:r>
      <w:bookmarkEnd w:id="3"/>
      <w:bookmarkEnd w:id="4"/>
      <w:bookmarkEnd w:id="5"/>
      <w:bookmarkEnd w:id="6"/>
      <w:bookmarkEnd w:id="7"/>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color w:val="000000"/>
          <w:kern w:val="2"/>
          <w:sz w:val="21"/>
          <w:szCs w:val="21"/>
          <w:lang w:val="en-US" w:eastAsia="zh-CN" w:bidi="ar-SA"/>
        </w:rPr>
      </w:pPr>
      <w:r>
        <w:rPr>
          <w:rFonts w:hint="eastAsia" w:ascii="宋体" w:hAnsi="宋体" w:eastAsia="宋体" w:cs="宋体"/>
          <w:b w:val="0"/>
          <w:color w:val="000000"/>
          <w:kern w:val="2"/>
          <w:sz w:val="21"/>
          <w:szCs w:val="21"/>
          <w:lang w:val="en-US" w:eastAsia="zh-CN" w:bidi="ar-SA"/>
        </w:rPr>
        <w:t>7、现场勘察</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color w:val="000000"/>
          <w:kern w:val="2"/>
          <w:sz w:val="21"/>
          <w:szCs w:val="21"/>
          <w:lang w:val="en-US" w:eastAsia="zh-CN" w:bidi="ar-SA"/>
        </w:rPr>
      </w:pPr>
      <w:r>
        <w:rPr>
          <w:rFonts w:hint="eastAsia" w:ascii="宋体" w:hAnsi="宋体" w:eastAsia="宋体" w:cs="宋体"/>
          <w:b w:val="0"/>
          <w:color w:val="000000"/>
          <w:kern w:val="2"/>
          <w:sz w:val="21"/>
          <w:szCs w:val="21"/>
          <w:lang w:val="en-US" w:eastAsia="zh-CN" w:bidi="ar-SA"/>
        </w:rPr>
        <w:t>7.1为使投标供应商对本采购项目情况有所了解，投标供应商自行组织对项目所在场地及周围环境进行现场勘察，以便获取由投标供应商自行负责编制投标文件和签订合同所需的一切资料。现场勘察所发生的费用由投标供应商自行承担。</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color w:val="000000"/>
          <w:kern w:val="2"/>
          <w:sz w:val="21"/>
          <w:szCs w:val="21"/>
          <w:lang w:val="en-US" w:eastAsia="zh-CN" w:bidi="ar-SA"/>
        </w:rPr>
      </w:pPr>
      <w:r>
        <w:rPr>
          <w:rFonts w:hint="eastAsia" w:ascii="宋体" w:hAnsi="宋体" w:eastAsia="宋体" w:cs="宋体"/>
          <w:b w:val="0"/>
          <w:color w:val="000000"/>
          <w:kern w:val="2"/>
          <w:sz w:val="21"/>
          <w:szCs w:val="21"/>
          <w:lang w:val="en-US" w:eastAsia="zh-CN" w:bidi="ar-SA"/>
        </w:rPr>
        <w:t>7.2现场勘察完毕，将认为供应商已了解现场情况，并充分理解了为之所承担的风险、义务和责任。</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b w:val="0"/>
          <w:color w:val="000000"/>
          <w:kern w:val="2"/>
          <w:sz w:val="21"/>
          <w:szCs w:val="21"/>
          <w:lang w:val="en-US" w:eastAsia="zh-CN" w:bidi="ar-SA"/>
        </w:rPr>
      </w:pPr>
      <w:r>
        <w:rPr>
          <w:rFonts w:hint="eastAsia" w:ascii="宋体" w:hAnsi="宋体" w:eastAsia="宋体" w:cs="宋体"/>
          <w:b w:val="0"/>
          <w:color w:val="000000"/>
          <w:kern w:val="2"/>
          <w:sz w:val="21"/>
          <w:szCs w:val="21"/>
          <w:lang w:val="en-US" w:eastAsia="zh-CN" w:bidi="ar-SA"/>
        </w:rPr>
        <w:t>7.3在现场勘察过程中，投标供应商应承担在此期间所造成的人身伤害、财产损失或损坏的责任，无论何种原因所造成，采购人均不负责，如由此导致采购人承担责任的，采购人有权向该供应商行使追偿权。</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s="宋体"/>
          <w:b w:val="0"/>
          <w:color w:val="000000"/>
          <w:kern w:val="2"/>
          <w:sz w:val="21"/>
          <w:szCs w:val="21"/>
          <w:lang w:val="en-US" w:eastAsia="zh-CN" w:bidi="ar-SA"/>
        </w:rPr>
      </w:pPr>
      <w:r>
        <w:rPr>
          <w:rFonts w:hint="eastAsia" w:ascii="宋体" w:hAnsi="宋体" w:eastAsia="宋体" w:cs="宋体"/>
          <w:b w:val="0"/>
          <w:color w:val="000000"/>
          <w:kern w:val="2"/>
          <w:sz w:val="21"/>
          <w:szCs w:val="21"/>
          <w:lang w:val="en-US" w:eastAsia="zh-CN" w:bidi="ar-SA"/>
        </w:rPr>
        <w:t>▲8、根据全省数字化改革的要求，结合岱山县城市大脑的标准进行本项目建设，投标人须出具相关承诺，一但出现与要求和标准相违背的内容，作废标处理，造成损失由投标人全权承担。</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color w:val="000000"/>
          <w:kern w:val="2"/>
          <w:sz w:val="21"/>
          <w:szCs w:val="21"/>
          <w:lang w:val="en-US" w:eastAsia="zh-CN" w:bidi="ar-SA"/>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1"/>
          <w:szCs w:val="21"/>
          <w:lang w:val="en-US" w:eastAsia="zh-CN"/>
        </w:rPr>
      </w:pPr>
      <w:r>
        <w:rPr>
          <w:rFonts w:hint="eastAsia" w:ascii="宋体" w:hAnsi="宋体" w:eastAsia="宋体" w:cs="宋体"/>
          <w:b/>
          <w:kern w:val="2"/>
          <w:sz w:val="21"/>
          <w:szCs w:val="21"/>
          <w:lang w:val="en-US" w:eastAsia="zh-CN" w:bidi="ar-SA"/>
        </w:rPr>
        <w:t>二、项目概述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color w:val="000000"/>
          <w:kern w:val="2"/>
          <w:sz w:val="21"/>
          <w:szCs w:val="21"/>
          <w:lang w:val="en-US" w:eastAsia="zh-CN" w:bidi="ar-SA"/>
        </w:rPr>
        <w:t>1、项目背景</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当前我省正值高质量加快推进未来社区试点建设进程中，长涂镇根据《浙江省人民政府关于印发浙江省未来社区建设试点工作方案的通知》，聚焦人本化、生态化、数字化三维价值坐标，根据小长涂岛跨域协同治理中人口流动性大、实时共享信息慢、风险预测预警难等难点堵点痛点突出问题，进一步完善小长涂岛事件四级流转体系，通过事件联动中心的建设，持续提升事件处理的跨部门、全流程协同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舟山市全面贯彻落实省委、省政府加快推进未来社区试点建设的工作部署，围绕推动高质量发展、创造高品质生活的要求，围绕社区全生活链服务需求，聚焦人本化、生态化、数字化三维价值坐标，汇集和睦共治、绿色集约、智慧共享的内涵特征，因地制宜融合未来邻里、教育、健康、创业、建筑、交通、低碳、服务和治理等九大场景创新，打造具有归属感、舒适感、未来感、幸福感的新型城市功能单元，体现海岛特色，打响海上花园城新名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浙江岱山县长涂镇总体规划（2015—2030年）》目标将长涂岛建设成为宜居宜业的海港小镇，提升城镇环境品质，改善人居环境，镇村统筹发展取得显著成效，社会分配更公平，基础设施和公共设施实现均等化配置，社会保障实现全面覆盖。以及《岱山县海上花园城绿化景观规划》对长涂岛的景观定位为：生态海礁、野趣长涂，功能以生态研学、自然野趣为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2、建设原则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1）遵循规划，有序推进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以构建精细的小长涂“未来社区” 社会治理体系为导向，以社会治理各部门间信息共享与业务协同为原始需求驱动，进行小长涂“未来社区”的顶层规划设计。结合现有信息系统基础和实际业务需求，统筹小长涂“未来社区”建设，分步实施，稳步推进，均衡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2）创新应用，注重实效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在整合和共享现有的社会治理信息资源的基础上，以工作体系为目标，充分利用新一代信息技术, 逐步丰富数据资源，提升数据资源服务能力，完善与丰富贴近实战的“未来社区”应用服务。建设一批业务贴近度高、融合创新性强、数据实时性好的智能应用系统，从而形成良性循环，实现阶段性效果。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3）以人为本，强化服务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服务意识，牢固树立“为民、便民、惠民”的理念，以群众热切关注的社会治理问题为重点，不断创新社会治理和公共服务方式，向社会治理者和参与者提供覆盖广、质量高、层次多且具有差异化的服务。完善政民互动方式，提高市民在社会治理问题发现、政策制定等工作中的参与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3、建设目标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治理是一个宏伟的城市建设规划，本次项目的建设，就是在前面已完成相关智能化系统建设的基础上，进一步整合提升小长涂前端物联感知的能力、通过建立小长涂“未来社区”共治平台进一步建立科学合理的社会治理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1）提高社会综合治理能力和工作效率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随着对社会综合治理能力要求的不断提高，以及信息技术的发展，越来越多的综治业务需要在网上进行流转。加强各业务部门之间的业务梳理和信息流转，实现基础数据的全局共享和业务的协同办理，促进基层社会治理能力和工作效率的不断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2）完善全社会共建共享的社会综合治理体制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综合治理最鲜明的特点，就是在党的集中统一领导下，充分发挥社会主义制度优势，凝聚全社会力量，综合运用多种手段，预防和解决影响社会安全稳定的突出问题。通过运用先进信息技术，促进社会治安综合治理信息沟通、设施联通，统筹整合资源力量，增强基层综合治理的系统性、整体性、协同性，进一步形成党委领导、政府主导、综治协调、相关部门齐抓共管、社会力量积极参与的良好局面，提高治理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3）提供海岛房屋租赁等新型的便民服务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以自建房屋管理为中心，确定全镇范围内流动人口的情况。通过房屋数据等信息的掌握，打通房屋出租、租赁房屋的信息通道，为百姓提供房租租赁信息的便民服务。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bookmarkStart w:id="8" w:name="_Toc874"/>
      <w:bookmarkStart w:id="9" w:name="_Toc23854"/>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4、建设内容</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1）小长涂“未来社区”共治平台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镇政府作为基层治理的集中单元，将镇政府的综治四平台作为事件处理的核心组织结构。通过搭建小长涂“未来社区”共治平台，实现系统应用层面的业务入口统一，基于“网格化+智能化”的管理思路，建立受理中心、“未来社区”管理模块、任务中心、统计分析等事件管理闭环及全流程智能化的处理流程，推动事件处置扁平化、自动化，实现对基层治理工作的统筹协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在统一业务入口的基础上，社会治理的构建智慧养老场景、垃圾分类场景、事件预警场景、指挥调度场景。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建设长涂镇“未来社区”共治平台，对接岱山县城市大脑，依托岱山县城市大脑的能力，融合AI赋能，为小长涂智慧管理、智慧服务提供AI辅助，并结合自身特色数据成果反馈、反哺给岱山县城市大脑。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2)码上长涂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不动产为中心，实现“以房管人”的目标。实现“一人一码”、“一房一码”管控模式双管齐下，在管好人的同时把房屋也一并管理起来。通过浙政钉可实现跨地域、跨层级沟通和扁平化管理，使各类政策、指令及时传达到末端，并随时掌握工作进展，既有利于提高行政决策效率，也有利于增强政府执行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结合网格员主动采集和流动人口自主申报多方式数据上传，对房屋信息及租房信息进行统一管理。根据实际乡镇对于以不动产为中心的管理，不同角色的不同职责的业务管理。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3)前端点位建设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小长涂实际情况，原有前端点位的建设多以局委办各自侧重业务进行批量零星的点位建设。本期重点针对河道的水位进行水位的监测，海岛森林防火的火点监测，智慧农业则围绕苗圃监控及无人机巡逻进行全方位的监管，针对主要街道、重点场所增加以城市管理、重点对象检查为主的前端点位覆盖。选择小长涂的制高点进行增加全景摄像机，用于长涂的全景画面的呈现，以全景实景地图的方式辅助实景指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4)第三方系统对接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针对长涂镇已经建设的零散的信息化系统进行整合，将这些系统集成到小长涂“未来社区”共治平台，以“一个平台”为核心，打造海岛特色社区品质生活。</w:t>
      </w: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1"/>
          <w:szCs w:val="21"/>
          <w:lang w:val="en-US" w:eastAsia="zh-CN"/>
        </w:rPr>
      </w:pPr>
      <w:r>
        <w:rPr>
          <w:rFonts w:hint="eastAsia" w:ascii="宋体" w:hAnsi="宋体" w:eastAsia="宋体" w:cs="宋体"/>
          <w:b/>
          <w:kern w:val="2"/>
          <w:sz w:val="21"/>
          <w:szCs w:val="21"/>
          <w:lang w:val="en-US" w:eastAsia="zh-CN" w:bidi="ar-SA"/>
        </w:rPr>
        <w:t>三、采购清单</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2162"/>
        <w:gridCol w:w="2338"/>
        <w:gridCol w:w="2578"/>
        <w:gridCol w:w="110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8" w:type="dxa"/>
            <w:gridSpan w:val="6"/>
            <w:noWrap w:val="0"/>
            <w:vAlign w:val="center"/>
          </w:tcPr>
          <w:p>
            <w:pPr>
              <w:pStyle w:val="3"/>
              <w:keepNext w:val="0"/>
              <w:keepLines w:val="0"/>
              <w:pageBreakBefore w:val="0"/>
              <w:widowControl w:val="0"/>
              <w:tabs>
                <w:tab w:val="left" w:pos="1171"/>
              </w:tabs>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216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板块名称</w:t>
            </w: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模块名称</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功能</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数量</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“未来社区”共治平台</w:t>
            </w: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受理中心</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汇聚各类来源事件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预受理中心</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“未来社区”管理模块</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基层上报</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中心派遣</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我的事件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我要查询</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我要评价</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我要归档</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我的提醒</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我的统计</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我的延期</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超时设置</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自动流转</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任务中心</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任务管理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任务提醒</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任务模板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任务成果</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统计分析</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概况</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人口统计分析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重点人员统计分析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房屋统计分析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组织机构统计分析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场所统计分析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智慧养老场景</w:t>
            </w: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对接移动、电信养老监测平台</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智慧养老场景应用管理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垃圾分类场景</w:t>
            </w: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对接智慧垃圾桶系统</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垃圾分类场景应用管理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事件预警场景</w:t>
            </w: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对接无人机系统</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事件预警场景应用管理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指挥调度场景</w:t>
            </w: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对接喇叭广播系统</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指挥调度场景应用管理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智能物联感知平台对接，应用展示</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智能物联感知平台对接</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应用集成及对应界面开发</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基层事件联动对接</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标准事件接口</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统一基层治理标准地址库</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统一基层治理标准地址库</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基层治理地图服务管理</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GIS公共服务平台对接</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地图治理及应用集成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一体化公共数据平台对接</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一体化公共数据平台对接</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本地数据归集及治理</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本地数据归集及治理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长涂“未来社区”专题库建设</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长涂“未来社区”专题库建设</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API接口</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API接口</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云平台部署</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云平台部署</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浙政钉部署上架</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浙政钉部署上架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44</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码上长涂</w:t>
            </w:r>
          </w:p>
        </w:tc>
        <w:tc>
          <w:tcPr>
            <w:tcW w:w="2338"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房屋码</w:t>
            </w: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人员管理-移动端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网格员管理-移动端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政府/***查询-移动端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***管理端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政府管理端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总后台管理端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人证核验</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338"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257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活体检测</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8" w:type="dxa"/>
            <w:gridSpan w:val="6"/>
            <w:noWrap w:val="0"/>
            <w:vAlign w:val="center"/>
          </w:tcPr>
          <w:p>
            <w:pPr>
              <w:pStyle w:val="3"/>
              <w:keepNext w:val="0"/>
              <w:keepLines w:val="0"/>
              <w:pageBreakBefore w:val="0"/>
              <w:widowControl w:val="0"/>
              <w:tabs>
                <w:tab w:val="left" w:pos="3094"/>
              </w:tabs>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216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板块名称</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设备名称</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数量</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52</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河道检测</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水尺读取智能球机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立杆装支架支架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壁装支架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双面不锈钢1米水尺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PVC管</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辅材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FA电源系列</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网络智能球机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1.5米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70</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智慧执法</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布控球套装</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布控球支架套件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74</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智慧农业</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无人机</w:t>
            </w:r>
            <w:r>
              <w:rPr>
                <w:rFonts w:hint="eastAsia" w:ascii="宋体" w:hAnsi="宋体" w:eastAsia="宋体" w:cs="宋体"/>
                <w:b w:val="0"/>
                <w:bCs w:val="0"/>
                <w:color w:val="000000"/>
                <w:sz w:val="21"/>
                <w:szCs w:val="21"/>
                <w:lang w:val="en-US" w:eastAsia="zh-CN"/>
              </w:rPr>
              <w:t>套装</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全彩网络摄像机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双镜头</w:t>
            </w:r>
            <w:r>
              <w:rPr>
                <w:rFonts w:hint="eastAsia" w:ascii="宋体" w:hAnsi="宋体" w:eastAsia="宋体" w:cs="宋体"/>
                <w:b w:val="0"/>
                <w:bCs w:val="0"/>
                <w:color w:val="000000"/>
                <w:sz w:val="21"/>
                <w:szCs w:val="21"/>
              </w:rPr>
              <w:t>智能球型摄像机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5口交换机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16口交换机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壁装支架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硬盘录像机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6T硬盘</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PE管（厚壁）</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管线开挖铺设</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光缆穿线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电源线布放</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室外配电箱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室外配电箱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光电收发器</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4.5米监控杆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6米监控杆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93</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城管点位</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智能</w:t>
            </w:r>
            <w:r>
              <w:rPr>
                <w:rFonts w:hint="eastAsia" w:ascii="宋体" w:hAnsi="宋体" w:eastAsia="宋体" w:cs="宋体"/>
                <w:b w:val="0"/>
                <w:bCs w:val="0"/>
                <w:color w:val="000000"/>
                <w:sz w:val="21"/>
                <w:szCs w:val="21"/>
              </w:rPr>
              <w:t>球</w:t>
            </w:r>
            <w:r>
              <w:rPr>
                <w:rFonts w:hint="eastAsia" w:ascii="宋体" w:hAnsi="宋体" w:eastAsia="宋体" w:cs="宋体"/>
                <w:b w:val="0"/>
                <w:bCs w:val="0"/>
                <w:color w:val="000000"/>
                <w:sz w:val="21"/>
                <w:szCs w:val="21"/>
                <w:lang w:val="en-US" w:eastAsia="zh-CN"/>
              </w:rPr>
              <w:t>型摄像</w:t>
            </w:r>
            <w:r>
              <w:rPr>
                <w:rFonts w:hint="eastAsia" w:ascii="宋体" w:hAnsi="宋体" w:eastAsia="宋体" w:cs="宋体"/>
                <w:b w:val="0"/>
                <w:bCs w:val="0"/>
                <w:color w:val="000000"/>
                <w:sz w:val="21"/>
                <w:szCs w:val="21"/>
              </w:rPr>
              <w:t>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壁装</w:t>
            </w:r>
            <w:r>
              <w:rPr>
                <w:rFonts w:hint="eastAsia" w:ascii="宋体" w:hAnsi="宋体" w:eastAsia="宋体" w:cs="宋体"/>
                <w:b w:val="0"/>
                <w:bCs w:val="0"/>
                <w:color w:val="000000"/>
                <w:sz w:val="21"/>
                <w:szCs w:val="21"/>
              </w:rPr>
              <w:t>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立杆装</w:t>
            </w:r>
            <w:r>
              <w:rPr>
                <w:rFonts w:hint="eastAsia" w:ascii="宋体" w:hAnsi="宋体" w:eastAsia="宋体" w:cs="宋体"/>
                <w:b w:val="0"/>
                <w:bCs w:val="0"/>
                <w:color w:val="000000"/>
                <w:sz w:val="21"/>
                <w:szCs w:val="21"/>
              </w:rPr>
              <w:t>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FA电源系列</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柱杆支架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540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540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PVC管</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540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辅材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108</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重点对象检查</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全局摄像机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壁装</w:t>
            </w:r>
            <w:r>
              <w:rPr>
                <w:rFonts w:hint="eastAsia" w:ascii="宋体" w:hAnsi="宋体" w:eastAsia="宋体" w:cs="宋体"/>
                <w:b w:val="0"/>
                <w:bCs w:val="0"/>
                <w:color w:val="000000"/>
                <w:sz w:val="21"/>
                <w:szCs w:val="21"/>
              </w:rPr>
              <w:t>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壁装</w:t>
            </w:r>
            <w:r>
              <w:rPr>
                <w:rFonts w:hint="eastAsia" w:ascii="宋体" w:hAnsi="宋体" w:eastAsia="宋体" w:cs="宋体"/>
                <w:b w:val="0"/>
                <w:bCs w:val="0"/>
                <w:color w:val="000000"/>
                <w:sz w:val="21"/>
                <w:szCs w:val="21"/>
              </w:rPr>
              <w:t>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座装支架套装</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挑杆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PVC管</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150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辅材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121</w:t>
            </w:r>
          </w:p>
        </w:tc>
        <w:tc>
          <w:tcPr>
            <w:tcW w:w="2162" w:type="dxa"/>
            <w:vMerge w:val="restart"/>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森林防火，高空鹰眼</w:t>
            </w: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热成像双光谱中载云台摄像机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全景摄像机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长壁装</w:t>
            </w:r>
            <w:r>
              <w:rPr>
                <w:rFonts w:hint="eastAsia" w:ascii="宋体" w:hAnsi="宋体" w:eastAsia="宋体" w:cs="宋体"/>
                <w:b w:val="0"/>
                <w:bCs w:val="0"/>
                <w:color w:val="000000"/>
                <w:sz w:val="21"/>
                <w:szCs w:val="21"/>
              </w:rPr>
              <w:t>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网络键盘</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交换机</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设备箱</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126</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127</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立杆基础</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128</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云台铁塔支架</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129</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1米</w:t>
            </w:r>
            <w:r>
              <w:rPr>
                <w:rFonts w:hint="eastAsia" w:ascii="宋体" w:hAnsi="宋体" w:eastAsia="宋体" w:cs="宋体"/>
                <w:b w:val="0"/>
                <w:bCs w:val="0"/>
                <w:color w:val="000000"/>
                <w:sz w:val="21"/>
                <w:szCs w:val="21"/>
              </w:rPr>
              <w:t>挑杆</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130</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131</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132</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网线</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133</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PVC管</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800</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134</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辅材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135</w:t>
            </w:r>
          </w:p>
        </w:tc>
        <w:tc>
          <w:tcPr>
            <w:tcW w:w="2162" w:type="dxa"/>
            <w:vMerge w:val="continue"/>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p>
        </w:tc>
        <w:tc>
          <w:tcPr>
            <w:tcW w:w="491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8"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三</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其他</w:t>
            </w:r>
            <w:r>
              <w:rPr>
                <w:rFonts w:hint="eastAsia" w:ascii="宋体" w:hAnsi="宋体" w:eastAsia="宋体" w:cs="宋体"/>
                <w:b/>
                <w:bCs/>
                <w:color w:val="000000"/>
                <w:sz w:val="21"/>
                <w:szCs w:val="21"/>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序号</w:t>
            </w:r>
          </w:p>
        </w:tc>
        <w:tc>
          <w:tcPr>
            <w:tcW w:w="7078"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板块名称</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eastAsia="zh-CN"/>
              </w:rPr>
              <w:t>数量</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cs="宋体"/>
                <w:b/>
                <w:bCs/>
                <w:color w:val="000000"/>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136</w:t>
            </w:r>
          </w:p>
        </w:tc>
        <w:tc>
          <w:tcPr>
            <w:tcW w:w="7078"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软件运维</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137</w:t>
            </w:r>
          </w:p>
        </w:tc>
        <w:tc>
          <w:tcPr>
            <w:tcW w:w="7078"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系统集成</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138</w:t>
            </w:r>
          </w:p>
        </w:tc>
        <w:tc>
          <w:tcPr>
            <w:tcW w:w="7078"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二级等保</w:t>
            </w:r>
          </w:p>
        </w:tc>
        <w:tc>
          <w:tcPr>
            <w:tcW w:w="110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p>
        </w:tc>
        <w:tc>
          <w:tcPr>
            <w:tcW w:w="121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项</w:t>
            </w:r>
          </w:p>
        </w:tc>
      </w:tr>
    </w:tbl>
    <w:p>
      <w:pPr>
        <w:widowControl/>
        <w:spacing w:line="360" w:lineRule="auto"/>
        <w:ind w:right="560"/>
        <w:jc w:val="left"/>
        <w:rPr>
          <w:rFonts w:hint="eastAsia" w:ascii="宋体" w:hAnsi="宋体"/>
          <w:b/>
          <w:bCs/>
          <w:color w:val="000000"/>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四、详细参数</w:t>
      </w:r>
    </w:p>
    <w:tbl>
      <w:tblPr>
        <w:tblStyle w:val="25"/>
        <w:tblpPr w:leftFromText="180" w:rightFromText="180" w:vertAnchor="text" w:horzAnchor="page" w:tblpX="989" w:tblpY="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130"/>
        <w:gridCol w:w="1074"/>
        <w:gridCol w:w="1096"/>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8" w:type="dxa"/>
            <w:gridSpan w:val="5"/>
            <w:noWrap w:val="0"/>
            <w:vAlign w:val="center"/>
          </w:tcPr>
          <w:p>
            <w:pPr>
              <w:pStyle w:val="3"/>
              <w:keepNext w:val="0"/>
              <w:keepLines w:val="0"/>
              <w:pageBreakBefore w:val="0"/>
              <w:tabs>
                <w:tab w:val="left" w:pos="1171"/>
              </w:tabs>
              <w:kinsoku/>
              <w:wordWrap/>
              <w:overflowPunct/>
              <w:topLinePunct w:val="0"/>
              <w:autoSpaceDE/>
              <w:autoSpaceDN/>
              <w:bidi w:val="0"/>
              <w:adjustRightInd/>
              <w:snapToGrid/>
              <w:spacing w:after="0" w:line="360" w:lineRule="auto"/>
              <w:ind w:left="0" w:leftChars="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130"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板块名称</w:t>
            </w: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模块名称</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功能</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“未来社区”共治平台</w:t>
            </w:r>
          </w:p>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受理中心</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汇聚各类来源事件</w:t>
            </w:r>
          </w:p>
        </w:tc>
        <w:tc>
          <w:tcPr>
            <w:tcW w:w="615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sz w:val="21"/>
                <w:szCs w:val="21"/>
                <w:lang w:val="en-US" w:eastAsia="zh-CN"/>
              </w:rPr>
              <w:t>一、</w:t>
            </w:r>
            <w:r>
              <w:rPr>
                <w:rFonts w:hint="eastAsia" w:ascii="宋体" w:hAnsi="宋体" w:eastAsia="宋体" w:cs="宋体"/>
                <w:b w:val="0"/>
                <w:bCs w:val="0"/>
                <w:color w:val="000000"/>
                <w:sz w:val="21"/>
                <w:szCs w:val="21"/>
              </w:rPr>
              <w:t>▲</w:t>
            </w:r>
            <w:r>
              <w:rPr>
                <w:rFonts w:hint="eastAsia" w:ascii="宋体" w:hAnsi="宋体" w:eastAsia="宋体" w:cs="宋体"/>
                <w:b w:val="0"/>
                <w:bCs w:val="0"/>
                <w:sz w:val="21"/>
                <w:szCs w:val="21"/>
                <w:lang w:val="en-US" w:eastAsia="zh-CN"/>
              </w:rPr>
              <w:t>与岱山县城市大脑-数字治理大联动平台对接：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对接数字治理大联动平台同步过来的事件，按照县数字治理大联动平台标准实现事件基本信息、处置过程等对接,覆盖双方事件回调接口、事件接收接口，并将事件映射清洗成标准格式,以便统一流转。包括AI视频智能分析</w:t>
            </w:r>
            <w:r>
              <w:rPr>
                <w:rFonts w:hint="eastAsia" w:ascii="宋体" w:hAnsi="宋体" w:eastAsia="宋体" w:cs="宋体"/>
                <w:b w:val="0"/>
                <w:bCs w:val="0"/>
                <w:sz w:val="21"/>
                <w:szCs w:val="21"/>
                <w:lang w:val="en-US" w:eastAsia="zh-CN"/>
              </w:rPr>
              <w:t>发现的</w:t>
            </w:r>
            <w:r>
              <w:rPr>
                <w:rFonts w:hint="eastAsia" w:ascii="宋体" w:hAnsi="宋体" w:eastAsia="宋体" w:cs="宋体"/>
                <w:b w:val="0"/>
                <w:bCs w:val="0"/>
                <w:sz w:val="21"/>
                <w:szCs w:val="21"/>
              </w:rPr>
              <w:t>事件，以及数字新服务平台随手拍上报的事件；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按照</w:t>
            </w:r>
            <w:r>
              <w:rPr>
                <w:rFonts w:hint="eastAsia" w:ascii="宋体" w:hAnsi="宋体" w:eastAsia="宋体" w:cs="宋体"/>
                <w:b w:val="0"/>
                <w:bCs w:val="0"/>
                <w:sz w:val="21"/>
                <w:szCs w:val="21"/>
                <w:lang w:val="en-US" w:eastAsia="zh-CN"/>
              </w:rPr>
              <w:t>数字治理</w:t>
            </w:r>
            <w:r>
              <w:rPr>
                <w:rFonts w:hint="eastAsia" w:ascii="宋体" w:hAnsi="宋体" w:eastAsia="宋体" w:cs="宋体"/>
                <w:b w:val="0"/>
                <w:bCs w:val="0"/>
                <w:sz w:val="21"/>
                <w:szCs w:val="21"/>
              </w:rPr>
              <w:t>大联动平台标准进行事件对接, 在接收到</w:t>
            </w:r>
            <w:r>
              <w:rPr>
                <w:rFonts w:hint="eastAsia" w:ascii="宋体" w:hAnsi="宋体" w:eastAsia="宋体" w:cs="宋体"/>
                <w:b w:val="0"/>
                <w:bCs w:val="0"/>
                <w:sz w:val="21"/>
                <w:szCs w:val="21"/>
                <w:lang w:val="en-US" w:eastAsia="zh-CN"/>
              </w:rPr>
              <w:t>数字治理</w:t>
            </w:r>
            <w:r>
              <w:rPr>
                <w:rFonts w:hint="eastAsia" w:ascii="宋体" w:hAnsi="宋体" w:eastAsia="宋体" w:cs="宋体"/>
                <w:b w:val="0"/>
                <w:bCs w:val="0"/>
                <w:sz w:val="21"/>
                <w:szCs w:val="21"/>
              </w:rPr>
              <w:t>大联动平台推送的事件后,将事件映射清洗成标准格式,以便统一流转, 其中事件分类通过</w:t>
            </w:r>
            <w:r>
              <w:rPr>
                <w:rFonts w:hint="eastAsia" w:ascii="宋体" w:hAnsi="宋体" w:eastAsia="宋体" w:cs="宋体"/>
                <w:b w:val="0"/>
                <w:bCs w:val="0"/>
                <w:sz w:val="21"/>
                <w:szCs w:val="21"/>
                <w:lang w:val="en-US" w:eastAsia="zh-CN"/>
              </w:rPr>
              <w:t>数字治理</w:t>
            </w:r>
            <w:r>
              <w:rPr>
                <w:rFonts w:hint="eastAsia" w:ascii="宋体" w:hAnsi="宋体" w:eastAsia="宋体" w:cs="宋体"/>
                <w:b w:val="0"/>
                <w:bCs w:val="0"/>
                <w:sz w:val="21"/>
                <w:szCs w:val="21"/>
              </w:rPr>
              <w:t>大联动平台提供的</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事件分类</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标准接口实现清洗。当流程节点发生变更,及时调整县级</w:t>
            </w:r>
            <w:r>
              <w:rPr>
                <w:rFonts w:hint="eastAsia" w:ascii="宋体" w:hAnsi="宋体" w:eastAsia="宋体" w:cs="宋体"/>
                <w:b w:val="0"/>
                <w:bCs w:val="0"/>
                <w:sz w:val="21"/>
                <w:szCs w:val="21"/>
                <w:lang w:val="en-US" w:eastAsia="zh-CN"/>
              </w:rPr>
              <w:t>数字治理</w:t>
            </w:r>
            <w:r>
              <w:rPr>
                <w:rFonts w:hint="eastAsia" w:ascii="宋体" w:hAnsi="宋体" w:eastAsia="宋体" w:cs="宋体"/>
                <w:b w:val="0"/>
                <w:bCs w:val="0"/>
                <w:sz w:val="21"/>
                <w:szCs w:val="21"/>
              </w:rPr>
              <w:t>大联动平台的事件同步接口进行流程同步,保障数据的统一。</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w:t>
            </w:r>
            <w:r>
              <w:rPr>
                <w:rFonts w:hint="eastAsia" w:ascii="宋体" w:hAnsi="宋体" w:eastAsia="宋体" w:cs="宋体"/>
                <w:b w:val="0"/>
                <w:bCs w:val="0"/>
                <w:sz w:val="21"/>
                <w:szCs w:val="21"/>
              </w:rPr>
              <w:t>网格员上报</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网格员通过浙政钉进行事件上报，上报内容包括事件标题、事件内容、上报人、联系电话、所属区县、所属街镇、所属社区、所属网格、事件地址、事件类型、事件等级、相关法律、事件来源方式、事件时间、是否重点场所、附件等。</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三、</w:t>
            </w:r>
            <w:r>
              <w:rPr>
                <w:rFonts w:hint="eastAsia" w:ascii="宋体" w:hAnsi="宋体" w:eastAsia="宋体" w:cs="宋体"/>
                <w:b w:val="0"/>
                <w:bCs w:val="0"/>
                <w:sz w:val="21"/>
                <w:szCs w:val="21"/>
              </w:rPr>
              <w:t>本系统添加</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未来社区共治平台管理员手动添加的事件，添加内容包括事件标题、事件内容、上报人、联系电话、所属区县、所属街镇、所属社区、所属网格、事件地址、事件类型、事件等级、相关法律、事件来源方式</w:t>
            </w:r>
            <w:r>
              <w:rPr>
                <w:rFonts w:hint="eastAsia" w:ascii="宋体" w:hAnsi="宋体" w:eastAsia="宋体" w:cs="宋体"/>
                <w:b w:val="0"/>
                <w:bCs w:val="0"/>
                <w:sz w:val="21"/>
                <w:szCs w:val="21"/>
                <w:lang w:val="en-US" w:eastAsia="zh-CN"/>
              </w:rPr>
              <w:t>等</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预受理</w:t>
            </w:r>
          </w:p>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中心</w:t>
            </w:r>
          </w:p>
        </w:tc>
        <w:tc>
          <w:tcPr>
            <w:tcW w:w="6156" w:type="dxa"/>
            <w:noWrap w:val="0"/>
            <w:vAlign w:val="center"/>
          </w:tcPr>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待受理：无预设流转机制的数据展示，等待是否受理操作；不予受理可直接回复并标记为无效事件，受理则直接入事件库，可正常走事件流程</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暂不受理：无预设流转机制的信息数据，操作不予受理的数据列表展示，即无效事件列表，受理事件来源覆盖网格员上报、一体化数据平台同步、手工添加、智能分析、爆料等不同的来源。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“未来社区”管理模块</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基层上报</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乡镇基层工作人员支持人工上报，满足对人工上报事件查询管理的需求。乡镇/村指挥中心接受到请求之后，可以迅速交办处理。上报的内容包括事件标题、事件内容、上报人、联系电话、所属区县、所属街镇、事件地址、事件类型、事件等级、事件来源、事件时间、附件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中心派遣</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支持用户在本系统根据权责清单手动转办，支持部门的选择和设置。处置部门接收到请求后，对其根据问题情况进行处置。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我的事件</w:t>
            </w:r>
          </w:p>
        </w:tc>
        <w:tc>
          <w:tcPr>
            <w:tcW w:w="6156" w:type="dxa"/>
            <w:noWrap w:val="0"/>
            <w:vAlign w:val="center"/>
          </w:tcPr>
          <w:p>
            <w:pPr>
              <w:pStyle w:val="3"/>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基层工作人员在</w:t>
            </w:r>
            <w:r>
              <w:rPr>
                <w:rFonts w:hint="eastAsia" w:ascii="宋体" w:hAnsi="宋体" w:eastAsia="宋体" w:cs="宋体"/>
                <w:b w:val="0"/>
                <w:bCs w:val="0"/>
                <w:color w:val="000000"/>
                <w:sz w:val="21"/>
                <w:szCs w:val="21"/>
                <w:lang w:eastAsia="zh-CN"/>
              </w:rPr>
              <w:t>“我的事件”</w:t>
            </w:r>
            <w:r>
              <w:rPr>
                <w:rFonts w:hint="eastAsia" w:ascii="宋体" w:hAnsi="宋体" w:eastAsia="宋体" w:cs="宋体"/>
                <w:b w:val="0"/>
                <w:bCs w:val="0"/>
                <w:color w:val="000000"/>
                <w:sz w:val="21"/>
                <w:szCs w:val="21"/>
              </w:rPr>
              <w:t>中接收指挥中心分发的事件并进行处置反馈</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进入处理列表，根据事件处理的阶段分成未办结、已办结、已退办。方便工作单位对各个状态的任务进行查看。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我要查询</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乡镇基层工作人员通过</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我要查询</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，可对自己上报的事件进行查询。点击事件编码，可查看任务的详细信息。查询条件支持标题、事件标识、上报人、联系方式、事件等级、事件来源、内容等。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我要评价</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乡镇基层工作人员对上报问题的队员和进行派单的指挥中心都可以对任务处理的情况进行五星评价，并支持评价说明，形成一个监督机制。督促责任部门能够更快更好的完成任务。根据评价状态分成未评价、已评价、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我要归档</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乡镇基层工作人员发现若上报的核查信息与问题处置标准一致，中心进行结案处理，进行事件归档，归档包括意见录入，以及支持附件上传。在档案中心可以查询事件情况信息，之后再发生类似事情，可以参照归档事件中的处置方法快速对问题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我的提醒</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为方便工作人员快速获取到问题的即时进展情况，系统对有变化的事件自动进行提醒，包括在时限内未处理的事件提出超时提醒。提醒可分为：PC端提醒和浙政钉提醒。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我的统计</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为方便用户对事件的查询、统计，系统提供查询统计的功能模块。查询按照区域、类型等统计分析。同时支持高级查询，支持事件时间、关键字、事件类型、事件小类、所属区县、所属街镇、所属社区、所属网格、事件等级、事件来源方式、是否重点场所、是否有附件、处理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我的延期</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村或部门可申请疑难问题或其他客观原因引起的事件办结延期，交由镇级综合指挥中心进行审批，并根据考核要求，确认延期时间。申请事件延期后，镇级综合指挥中心管理员会有红色角标进行提示。延期内容覆盖包含计划办结时限、延期时限、原因、附件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超时设置</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自定义配置事件受理、办理超时规范。用户系统使用中可以根据实际情况将不同类型事件的处置时间自由配置，不同类型的事件对应的超时时间可以设置成不同。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自动流转</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网格员上报网格事件，事件信息通过梳理，根据职能站所清单，直接指派到镇街站所进行处理。无站所的自动派单事项，仍自动下派至县级部门。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任务中心</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任务管理</w:t>
            </w:r>
          </w:p>
        </w:tc>
        <w:tc>
          <w:tcPr>
            <w:tcW w:w="6156" w:type="dxa"/>
            <w:noWrap w:val="0"/>
            <w:vAlign w:val="center"/>
          </w:tcPr>
          <w:p>
            <w:pPr>
              <w:pStyle w:val="3"/>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根据单位、部门、岗位以及特殊事件、敏感时期等信息的不同，可制定相应的值班任务以及各指挥部门、协助力量等主体的任务分配，相关人员也可在需要时和联勤指挥事件处置时通过系统派发临时任务，并且通过系统及时反馈或上报任务进展</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如出现紧急事件，平台支持调用浙政钉的电话功能，实现呼叫</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比如遇到森林火险等突发紧急的事件。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任务提醒</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根据任务制定要素及任务主要节点，系统实时扫描任务数据，监督任务完成进度，并以系统弹窗、短信等方式及时自动发布任务提醒信息，督促主体人员或单位及时完成作战任务。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任务模板</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任务模板定义，直接在后台定义任务内容后，每次发起任务直接可调用模板。</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任务节点</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支持多个节点，同时对模板名称或创建人员可以查询。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rPr>
              <w:t>17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任务成果</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rPr>
            </w:pPr>
            <w:r>
              <w:rPr>
                <w:rFonts w:hint="eastAsia"/>
              </w:rPr>
              <w:t>任务执行完毕后，可以在任务管理模块，查看任务最终处理结果。</w:t>
            </w:r>
            <w:r>
              <w:rPr>
                <w:rFonts w:hint="eastAsia"/>
                <w:lang w:eastAsia="zh-CN"/>
              </w:rPr>
              <w:t>“</w:t>
            </w:r>
            <w:r>
              <w:rPr>
                <w:rFonts w:hint="eastAsia"/>
              </w:rPr>
              <w:t>点击查看</w:t>
            </w:r>
            <w:r>
              <w:rPr>
                <w:rFonts w:hint="eastAsia"/>
                <w:lang w:eastAsia="zh-CN"/>
              </w:rPr>
              <w:t>”</w:t>
            </w:r>
            <w:r>
              <w:rPr>
                <w:rFonts w:hint="eastAsia"/>
              </w:rPr>
              <w:t>可以查看任务详情，任务执行情况，任务反馈等内容。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18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统计分析</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概况</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对实有人员，重点人员，房屋，组织机构，场所等数据进行统计，在统计分析首页上进行展示。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19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人口统计分析</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按照不同的数据维度对人口数据进行统计分析</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实有人口总况</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基于实有人口基础数据，从多纬度，按照今日新增、本月新增、管辖人数、注销人数、死亡人数、总数，统计各区域各场景实有人口数量</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男女分布情况</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基于实有人口男女基础数据，从多纬度，按照男女类型，统计辖区内各区域在规定时间内男女类型新增数量、区域数量、汇总和占比情况</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实有人口年龄总况</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基于实有人口基础数据，从多维度，按照实有人口的类型、统计辖区内各区域在规定时间内实有人口的年龄层级、分布、数量和占比情况</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实有人口总况趋势统计报表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按照本月新增、未注销人数、人员总数，以报表形式统计所辖区域内近12个月各场景实有人口数量，同时支持按辖区条件查询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实有人口区域新增情况统计报表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实有人口区域新增情况统计报表是基于实有人口基础数据，从区域纬度，以报表形式，按照实有人口类型（户籍人口、流动人口、未落户人员、境外人员），统计辖区内各区域在规定时间内各类型实有人口新增数量</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实有人口总况类型分布图</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按照实有人口类型（户籍人口、流动人口、未落户人员、境外人员），以饼状图形式统计所辖区域内各实有人口类型数量及占比情况，同时支持按辖区条件查询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户籍人口区域分布图</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按照户籍人员，以簇状柱形图形式统计辖区内各区域户籍人员数量，同时支持按辖区条件查询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户籍人口统计报表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按照户籍人员，以报表形式统计辖区内各区域户籍人员数量及百分比情况，同时支持按辖区条件查询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流动人口区域分布图</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按照流动人口，以簇状柱形图形式统计辖区内各区域流动人口数量，同时支持按辖区条件查询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流动人口统计报表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按照流动人口，以报表形式统计辖区内各区域流动人口数量及百分比情况，同时支持按辖区条件查询。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重点人员统计分析</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以报表形式统计辖区内各区域重点人员数量及百分比情况，同时支持按辖区条件查询。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房屋统计分析</w:t>
            </w:r>
          </w:p>
        </w:tc>
        <w:tc>
          <w:tcPr>
            <w:tcW w:w="615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按照不同的数据维度对房屋数据进行统计分析</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实有房屋新增情况统计报表</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基于实有房屋基础数据，从区域纬度，以报表形式，按照实有房屋类型（出租房、非出租房），统计辖区内各区域在规定时间内各类型实有房屋新增数量，同时支持按辖区、时间条件查询</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实有房屋区域分布图</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基于实有房屋基础数据，从区域纬度，以簇状柱形图形式，按照实有房屋，统计辖区内各区域实有房屋数量，同时支持按辖区、时间条件查询。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组织机构统计分析</w:t>
            </w:r>
          </w:p>
        </w:tc>
        <w:tc>
          <w:tcPr>
            <w:tcW w:w="615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按照不同的数据维度对单位数据进行统计分析</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组织机构类型统计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事业单位、机关单位、社团组织、法人企业、个体工商户进行统计分析</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数据来源统计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PC</w:t>
            </w:r>
            <w:r>
              <w:rPr>
                <w:rFonts w:hint="eastAsia" w:ascii="宋体" w:hAnsi="宋体" w:eastAsia="宋体" w:cs="宋体"/>
                <w:b w:val="0"/>
                <w:bCs w:val="0"/>
                <w:sz w:val="21"/>
                <w:szCs w:val="21"/>
              </w:rPr>
              <w:t>端采集、浙政钉采集、数据接口进行统计分析；</w:t>
            </w:r>
          </w:p>
          <w:p>
            <w:pPr>
              <w:pStyle w:val="3"/>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行业类型统计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按照主要所属行业进行统计分析；</w:t>
            </w:r>
          </w:p>
          <w:p>
            <w:pPr>
              <w:pStyle w:val="3"/>
              <w:keepNext w:val="0"/>
              <w:keepLines w:val="0"/>
              <w:pageBreakBefore w:val="0"/>
              <w:widowControl w:val="0"/>
              <w:numPr>
                <w:ilvl w:val="0"/>
                <w:numId w:val="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各区域企业分布统计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按照区域划分进行统计分析。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场所统计分析</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按照不同的数据维度对场所数据进行统计分析</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7"/>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场所新增情况统计报表</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基于场所基础数据，从区域纬度，以报表形式，按照场所类型，统计辖区内各区域在规定时间内各类型场所新增数量，同时支持按辖区条件查询</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7"/>
              </w:numPr>
              <w:kinsoku/>
              <w:wordWrap/>
              <w:overflowPunct/>
              <w:topLinePunct w:val="0"/>
              <w:autoSpaceDE/>
              <w:autoSpaceDN/>
              <w:bidi w:val="0"/>
              <w:adjustRightInd/>
              <w:snapToGrid/>
              <w:spacing w:after="0" w:line="360" w:lineRule="auto"/>
              <w:ind w:left="0" w:leftChars="0" w:firstLine="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场所区域分布图</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基于场所基础数据，从区域纬度，以簇状柱形图形式，按照场所，统计辖区内各区域场所数量，同时支持按辖区条件查询。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智慧养老场景</w:t>
            </w: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对接移动、电信养老监测平台</w:t>
            </w:r>
          </w:p>
        </w:tc>
        <w:tc>
          <w:tcPr>
            <w:tcW w:w="6156" w:type="dxa"/>
            <w:noWrap w:val="0"/>
            <w:vAlign w:val="center"/>
          </w:tcPr>
          <w:p>
            <w:pPr>
              <w:pStyle w:val="3"/>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通过对接市移动养老平台实时检测居家老人的实际外出次数以及开门时长，通过系统的研判分析功能,预警出可能存在的风险,及时通知线下人员走访</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8"/>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通过对接市电信养老平台腕表采集的老人数据，如基础信息、心跳等数据实时,系统将通过对数据的智能研判,预警出可能存在的风险,及时通知线下人员走访。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智慧养老场景应用管理</w:t>
            </w:r>
          </w:p>
        </w:tc>
        <w:tc>
          <w:tcPr>
            <w:tcW w:w="6156" w:type="dxa"/>
            <w:noWrap w:val="0"/>
            <w:vAlign w:val="center"/>
          </w:tcPr>
          <w:p>
            <w:pPr>
              <w:pStyle w:val="3"/>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预警模型设置：主要分成外出预警模型设置和心跳预警模型设置；</w:t>
            </w:r>
            <w:r>
              <w:rPr>
                <w:rFonts w:hint="eastAsia" w:ascii="宋体" w:hAnsi="宋体" w:eastAsia="宋体" w:cs="宋体"/>
                <w:b w:val="0"/>
                <w:bCs w:val="0"/>
                <w:color w:val="000000"/>
                <w:sz w:val="21"/>
                <w:szCs w:val="21"/>
                <w:lang w:val="en-US" w:eastAsia="zh-CN"/>
              </w:rPr>
              <w:t>预警分析模型根据心跳频率支持阈值配置，通知线下人员信息支持在后台进行自定义；</w:t>
            </w:r>
          </w:p>
          <w:p>
            <w:pPr>
              <w:pStyle w:val="3"/>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预警处置：可以与“未来社区”管理模块形成关联，工作人员可以将预警信息转成事件，利用乡镇联动体系进行事件快速处置，把预警信息实现闭环管理。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垃圾分类场景</w:t>
            </w: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对接智慧垃圾桶系统</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通过接入</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智慧垃圾桶系统</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的智能垃圾桶数据，垃圾分类执行情况、垃圾投放数量数据、垃圾分类标兵等数据，实现垃圾治理数据智能归集,通过系统分析后将数据推送上屏,全方位展示垃圾治理成果。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垃圾分类场景应用管理</w:t>
            </w:r>
          </w:p>
        </w:tc>
        <w:tc>
          <w:tcPr>
            <w:tcW w:w="6156" w:type="dxa"/>
            <w:noWrap w:val="0"/>
            <w:vAlign w:val="center"/>
          </w:tcPr>
          <w:p>
            <w:pPr>
              <w:pStyle w:val="3"/>
              <w:keepNext w:val="0"/>
              <w:keepLines w:val="0"/>
              <w:pageBreakBefore w:val="0"/>
              <w:widowControl w:val="0"/>
              <w:numPr>
                <w:ilvl w:val="0"/>
                <w:numId w:val="1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区域展示：接入的全量的智能垃圾桶数据基于</w:t>
            </w:r>
            <w:r>
              <w:rPr>
                <w:rFonts w:hint="eastAsia" w:ascii="宋体" w:hAnsi="宋体" w:eastAsia="宋体" w:cs="宋体"/>
                <w:b w:val="0"/>
                <w:bCs w:val="0"/>
                <w:color w:val="000000"/>
                <w:sz w:val="21"/>
                <w:szCs w:val="21"/>
                <w:lang w:val="en-US" w:eastAsia="zh-CN"/>
              </w:rPr>
              <w:t>GIS</w:t>
            </w:r>
            <w:r>
              <w:rPr>
                <w:rFonts w:hint="eastAsia" w:ascii="宋体" w:hAnsi="宋体" w:eastAsia="宋体" w:cs="宋体"/>
                <w:b w:val="0"/>
                <w:bCs w:val="0"/>
                <w:color w:val="000000"/>
                <w:sz w:val="21"/>
                <w:szCs w:val="21"/>
              </w:rPr>
              <w:t>地图引擎进行可视化展示</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趋势分析：系统支持垃圾分类执行情况按照区域、位置、名称、时间段查询，查看历史明细</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综合查询：支持垃圾投放数量数据按照区域、位置、名称、时间段查询，查看历史明细</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标兵排名：支持垃圾分类标兵按所属区域、</w:t>
            </w:r>
            <w:r>
              <w:rPr>
                <w:rFonts w:hint="eastAsia" w:ascii="宋体" w:hAnsi="宋体" w:eastAsia="宋体" w:cs="宋体"/>
                <w:b w:val="0"/>
                <w:bCs w:val="0"/>
                <w:color w:val="000000"/>
                <w:sz w:val="21"/>
                <w:szCs w:val="21"/>
                <w:lang w:val="en-US" w:eastAsia="zh-CN"/>
              </w:rPr>
              <w:t>28</w:t>
            </w:r>
            <w:r>
              <w:rPr>
                <w:rFonts w:hint="eastAsia" w:ascii="宋体" w:hAnsi="宋体" w:eastAsia="宋体" w:cs="宋体"/>
                <w:b w:val="0"/>
                <w:bCs w:val="0"/>
                <w:color w:val="000000"/>
                <w:sz w:val="21"/>
                <w:szCs w:val="21"/>
              </w:rPr>
              <w:t>执行情况等查看，并对月度、季度、年度的垃圾分类标兵进行排列展示，形成红黑</w:t>
            </w:r>
            <w:r>
              <w:rPr>
                <w:rFonts w:hint="eastAsia" w:ascii="宋体" w:hAnsi="宋体" w:eastAsia="宋体" w:cs="宋体"/>
                <w:b w:val="0"/>
                <w:bCs w:val="0"/>
                <w:color w:val="000000"/>
                <w:sz w:val="21"/>
                <w:szCs w:val="21"/>
              </w:rPr>
              <w:t>榜</w:t>
            </w:r>
            <w:r>
              <w:rPr>
                <w:rFonts w:hint="eastAsia" w:ascii="宋体" w:hAnsi="宋体" w:eastAsia="宋体" w:cs="宋体"/>
                <w:b w:val="0"/>
                <w:bCs w:val="0"/>
                <w:color w:val="000000"/>
                <w:sz w:val="21"/>
                <w:szCs w:val="21"/>
              </w:rPr>
              <w:t>（前三红榜，后三黑榜）</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预留接口，后续原始和分析数据推送至驾驶舱，满足驾驶舱需求。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事件预警场景</w:t>
            </w: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对接无人机系统</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通过对接无人机系统，接入巡航机飞行记录、飞行路线、高空全景视频等数据,结合系统风险研判,做到发现事件能及时处置,进行中事件能实时感知,实现预防预测、预警联动、实时监控等重要功能。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29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事件预警场景应用管理</w:t>
            </w:r>
          </w:p>
        </w:tc>
        <w:tc>
          <w:tcPr>
            <w:tcW w:w="6156" w:type="dxa"/>
            <w:noWrap w:val="0"/>
            <w:vAlign w:val="center"/>
          </w:tcPr>
          <w:p>
            <w:pPr>
              <w:pStyle w:val="3"/>
              <w:keepNext w:val="0"/>
              <w:keepLines w:val="0"/>
              <w:pageBreakBefore w:val="0"/>
              <w:widowControl w:val="0"/>
              <w:numPr>
                <w:ilvl w:val="0"/>
                <w:numId w:val="11"/>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视频回调：飞行结束后，该条飞行记录会进行自动归档，形成归档记录</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1"/>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指定飞行：针对部分重点区域、关键卡口等需要定期走访的区域，可以设定定期巡航路线</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1"/>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视频回传：无人机在飞行过程中会实时传输现场高清视频画面同时支持指挥中心切换无人机的高度以及摄像头的角度</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1"/>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综合查询：支持视频按照区域、位置、无人机名称、飞行时间段查询，查看历史视频</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1"/>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预留接口，后续无人机系统相关数据和功能集成到可视化平台，满足一体化指挥需求。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指挥调度场景</w:t>
            </w: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对接喇叭广播系统</w:t>
            </w:r>
          </w:p>
        </w:tc>
        <w:tc>
          <w:tcPr>
            <w:tcW w:w="615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lang w:val="en-US" w:eastAsia="zh-CN"/>
              </w:rPr>
              <w:t>通</w:t>
            </w:r>
            <w:r>
              <w:rPr>
                <w:rFonts w:hint="eastAsia" w:ascii="宋体" w:hAnsi="宋体" w:eastAsia="宋体" w:cs="宋体"/>
                <w:b w:val="0"/>
                <w:bCs w:val="0"/>
                <w:sz w:val="21"/>
                <w:szCs w:val="21"/>
              </w:rPr>
              <w:t>过接入喇叭系统的视频联动、在线呼叫等能力,为指挥人员提供事故现场及时查看,现场人员及时调度等便捷功能。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keepNext w:val="0"/>
              <w:keepLines w:val="0"/>
              <w:pageBreakBefore w:val="0"/>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kern w:val="2"/>
                <w:sz w:val="21"/>
                <w:szCs w:val="21"/>
                <w:lang w:val="en-US" w:eastAsia="zh-CN" w:bidi="ar-SA"/>
              </w:rPr>
              <w:t>指挥调度场景应用管理</w:t>
            </w:r>
          </w:p>
        </w:tc>
        <w:tc>
          <w:tcPr>
            <w:tcW w:w="6156" w:type="dxa"/>
            <w:noWrap w:val="0"/>
            <w:vAlign w:val="center"/>
          </w:tcPr>
          <w:p>
            <w:pPr>
              <w:pStyle w:val="3"/>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预设任务：针对部分需要重复播放或者定时播放的音频文件，可以支持为特定喇叭设置播放任务并形成对应的播放任务列表</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视频联动：将接入的视频监控数据与周边喇叭系统形成逻辑关联，当有视频分析预警的事件发生后会主动推送周围喇叭，管理人员可以实时调用喇叭系统进行语音播报提示</w:t>
            </w:r>
            <w:r>
              <w:rPr>
                <w:rFonts w:hint="eastAsia" w:ascii="宋体" w:hAnsi="宋体" w:eastAsia="宋体" w:cs="宋体"/>
                <w:b w:val="0"/>
                <w:bCs w:val="0"/>
                <w:sz w:val="21"/>
                <w:szCs w:val="21"/>
                <w:lang w:eastAsia="zh-CN"/>
              </w:rPr>
              <w:t>；</w:t>
            </w:r>
          </w:p>
          <w:p>
            <w:pPr>
              <w:pStyle w:val="3"/>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喇叭指挥调度：在可视化指挥系统增加“喇叭调度”入口，事件指挥过程中，指挥人员可以直接点击喇叭调度按钮，进入喇叭调度模式，通过喇叭播报的方式，调用现场工作人员进行事件处置工作。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智能物联感知平台对接，应用展示</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智能物联感知平台对接</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▲通过对接岱山县城市大脑-智能物联感知平台标准SDK接口，接口包括资源同步、组织同步</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应用集成及对应界面开发</w:t>
            </w:r>
          </w:p>
        </w:tc>
        <w:tc>
          <w:tcPr>
            <w:tcW w:w="6156" w:type="dxa"/>
            <w:noWrap w:val="0"/>
            <w:vAlign w:val="center"/>
          </w:tcPr>
          <w:p>
            <w:pPr>
              <w:keepNext w:val="0"/>
              <w:keepLines w:val="0"/>
              <w:pageBreakBefore w:val="0"/>
              <w:widowControl/>
              <w:numPr>
                <w:ilvl w:val="0"/>
                <w:numId w:val="13"/>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集成GUI界面的播放工具,实现SDK视频取流,接入后可支持实时监控、监控回放、云台控制、图片抓取、倍速播放等；</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预留对区域、监控点属性字段的二次扩展，加入业务属性较强的关联字段。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基层事件联动对接</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标准事件接口</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对接岱山县城市大脑中的数字治理大联动平台。根据其标准事件的接口进行具体的对接开发。具体接口包括事件中心事件分类接口、事件受理接收接口、事件中心同步接口等一系列接口。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统一基层治理标准地址库</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统一基层治理标准地址库</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通过前置库或者数据交换系统接口,将统一基层治理标准地址库已有的基层治理领域（人、房、企等）数据批量归集，预建立以标准地址为基础的社会治理数据库,规范长涂岛地址库治理流程。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基层治理地图服务管理</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GIS公共服务平台对接</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▲对接岱山县城市大脑的县级自建组件-GIS公共服务平台，以其为应用支撑。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地图治理及应用集成</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根据本项目的实际需求进行地图切片、图层UI整合、点位标注。实现人、房、事件一系列模块对地图坐标的转换以及对应点位展示。点击人、房、事件坐标点位可以查看对应的详情。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一体化公共数据平台对接</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一体化公共数据平台对接</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color w:val="000000"/>
                <w:sz w:val="21"/>
                <w:szCs w:val="21"/>
              </w:rPr>
              <w:t>▲</w:t>
            </w:r>
            <w:r>
              <w:rPr>
                <w:rFonts w:hint="eastAsia" w:ascii="宋体" w:hAnsi="宋体" w:eastAsia="宋体" w:cs="宋体"/>
                <w:b w:val="0"/>
                <w:bCs w:val="0"/>
                <w:kern w:val="2"/>
                <w:sz w:val="21"/>
                <w:szCs w:val="21"/>
                <w:lang w:val="en-US" w:eastAsia="zh-CN" w:bidi="ar-SA"/>
              </w:rPr>
              <w:t>对接岱山县一体化智能化公共数据平台，根据项目需求进行一体化智能化公共数据平台内的数据对接，包含省市回流数据和本地已归集的数据。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本地数据归集及治理</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本地数据归集及治理</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除岱山县一体化智能化公共数据平台已有的数据以外，进行人口信息、地址信息、房屋信息、组织机构、企业信用、重点场所等重要元素公共数据平台基础库数据的对接及相关数据治理工作。同时进行长涂镇本地数据的归集和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长涂“未来社区”专题库建设</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长涂“未来社区”专题库建设</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在岱山县一体化智能化公共数据平台内进行长涂“未来社区”专题库建设，建立长涂乡镇专题库，为数据分析挖掘提供数据支撑。包括智慧养老、垃圾分类、事件预警、指挥调度、各类事件等专题数据，后续为数据共享提供数据依据。以及本级平台产生的数据可以反哺给县级一体化公共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API接口</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API接口</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预留供其他第三方调用的接口，进行标准的API接口封装，便于后续业务的扩展。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云平台部署</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云平台部署</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color w:val="000000"/>
                <w:sz w:val="21"/>
                <w:szCs w:val="21"/>
              </w:rPr>
              <w:t>▲</w:t>
            </w:r>
            <w:r>
              <w:rPr>
                <w:rFonts w:hint="eastAsia" w:ascii="宋体" w:hAnsi="宋体" w:eastAsia="宋体" w:cs="宋体"/>
                <w:b w:val="0"/>
                <w:bCs w:val="0"/>
                <w:kern w:val="2"/>
                <w:sz w:val="21"/>
                <w:szCs w:val="21"/>
                <w:lang w:val="en-US" w:eastAsia="zh-CN" w:bidi="ar-SA"/>
              </w:rPr>
              <w:t>在舟山市政务云二级节点进行管理云平台的申请、部署，以及相关网络安全的部署工作。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浙政钉部署上架</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浙政钉部署上架</w:t>
            </w:r>
          </w:p>
        </w:tc>
        <w:tc>
          <w:tcPr>
            <w:tcW w:w="615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firstLine="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相关应用的部署，申请浙政钉的应用上架，提交配套的文档（联系人、上架自查、部署文档、应急预案、安全报告等），安全测试，埋点等工作。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44</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firstLine="0" w:firstLine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码</w:t>
            </w:r>
            <w:r>
              <w:rPr>
                <w:rFonts w:hint="eastAsia" w:ascii="宋体" w:hAnsi="宋体" w:eastAsia="宋体" w:cs="宋体"/>
                <w:b w:val="0"/>
                <w:bCs w:val="0"/>
                <w:color w:val="000000"/>
                <w:sz w:val="21"/>
                <w:szCs w:val="21"/>
                <w:lang w:val="en-US" w:eastAsia="zh-CN"/>
              </w:rPr>
              <w:t>上长</w:t>
            </w:r>
            <w:r>
              <w:rPr>
                <w:rFonts w:hint="eastAsia" w:ascii="宋体" w:hAnsi="宋体" w:eastAsia="宋体" w:cs="宋体"/>
                <w:b w:val="0"/>
                <w:bCs w:val="0"/>
                <w:color w:val="000000"/>
                <w:sz w:val="21"/>
                <w:szCs w:val="21"/>
              </w:rPr>
              <w:t>涂</w:t>
            </w:r>
          </w:p>
        </w:tc>
        <w:tc>
          <w:tcPr>
            <w:tcW w:w="1074"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房屋码</w:t>
            </w: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人员管理-移动端</w:t>
            </w:r>
          </w:p>
        </w:tc>
        <w:tc>
          <w:tcPr>
            <w:tcW w:w="6156" w:type="dxa"/>
            <w:noWrap w:val="0"/>
            <w:vAlign w:val="center"/>
          </w:tcPr>
          <w:p>
            <w:pPr>
              <w:pStyle w:val="3"/>
              <w:keepNext w:val="0"/>
              <w:keepLines w:val="0"/>
              <w:pageBreakBefore w:val="0"/>
              <w:widowControl w:val="0"/>
              <w:numPr>
                <w:ilvl w:val="0"/>
                <w:numId w:val="1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首页呈现出当前地区下房东发布的出租信息，方便用户进行房屋筛选，并提交租房申请；</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用户可使用手机号，身份证号码进行登陆到码上长涂用户系统，通过手机号+身份证进行唯一ID注册，生成用户个人二维码，网格通与政府端可进行扫码获取用户个人资料、个人房屋及租房信息；</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用户作为房东的情况下可以进行房屋管理，其中包含新增房屋、编辑房屋、删除房屋，房东可通过申请出租的方式，填写相关资料将房屋申请出租，由***或政府端进行审核，审核通过的房屋可以发布出租信息；</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房东通过发布的出租信息，由租客进行申请，房东可将房屋出租给某个申请的租客，也可自行添加租客信息，租客必须在用户端进行注册账号进行绑定；</w:t>
            </w:r>
          </w:p>
          <w:p>
            <w:pPr>
              <w:pStyle w:val="3"/>
              <w:keepNext w:val="0"/>
              <w:keepLines w:val="0"/>
              <w:pageBreakBefore w:val="0"/>
              <w:widowControl w:val="0"/>
              <w:numPr>
                <w:ilvl w:val="0"/>
                <w:numId w:val="14"/>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用户是租客的情况下，可以查看我的租房与租房申请，通过相关信息可以查看房屋的当前详情。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网格员管理-移动端</w:t>
            </w:r>
          </w:p>
        </w:tc>
        <w:tc>
          <w:tcPr>
            <w:tcW w:w="6156" w:type="dxa"/>
            <w:noWrap w:val="0"/>
            <w:vAlign w:val="center"/>
          </w:tcPr>
          <w:p>
            <w:pPr>
              <w:pStyle w:val="3"/>
              <w:keepNext w:val="0"/>
              <w:keepLines w:val="0"/>
              <w:pageBreakBefore w:val="0"/>
              <w:widowControl w:val="0"/>
              <w:numPr>
                <w:ilvl w:val="0"/>
                <w:numId w:val="1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网格员可通过扫描二维码的方式（房屋码、用户码）获取详细的房屋、用户资料；</w:t>
            </w:r>
          </w:p>
          <w:p>
            <w:pPr>
              <w:pStyle w:val="3"/>
              <w:keepNext w:val="0"/>
              <w:keepLines w:val="0"/>
              <w:pageBreakBefore w:val="0"/>
              <w:widowControl w:val="0"/>
              <w:numPr>
                <w:ilvl w:val="0"/>
                <w:numId w:val="1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网格员在登陆系统后可对辖区内房屋进行管理操作，查看辖区内所有房屋、房东信息、房屋租客信息；</w:t>
            </w:r>
          </w:p>
          <w:p>
            <w:pPr>
              <w:pStyle w:val="3"/>
              <w:keepNext w:val="0"/>
              <w:keepLines w:val="0"/>
              <w:pageBreakBefore w:val="0"/>
              <w:widowControl w:val="0"/>
              <w:numPr>
                <w:ilvl w:val="0"/>
                <w:numId w:val="1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网格员在登陆系统后可对辖区内人员进行管理操作；</w:t>
            </w:r>
          </w:p>
          <w:p>
            <w:pPr>
              <w:pStyle w:val="3"/>
              <w:keepNext w:val="0"/>
              <w:keepLines w:val="0"/>
              <w:pageBreakBefore w:val="0"/>
              <w:widowControl w:val="0"/>
              <w:numPr>
                <w:ilvl w:val="0"/>
                <w:numId w:val="15"/>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网格员在辖区内巡逻时，可对发生的一些事件情况进行上报处理，也可进行直接处理后上报。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政府/***查询-移动端</w:t>
            </w:r>
          </w:p>
        </w:tc>
        <w:tc>
          <w:tcPr>
            <w:tcW w:w="6156" w:type="dxa"/>
            <w:noWrap w:val="0"/>
            <w:vAlign w:val="center"/>
          </w:tcPr>
          <w:p>
            <w:pPr>
              <w:pStyle w:val="3"/>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政府、***系统用户可通过扫描二维码的方式（房屋码、用户码）获取详细的房屋、用户资料</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政府、***系统用户在登陆系统后可对辖区内房屋进行查看操作，查看辖区内所有房屋及房屋中房东信息、房屋租客信息</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6"/>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政府、***系统用户在登陆系统后可对辖区内人员进行查看操作，查看辖区内房东信息、房屋租客信息。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***管理端</w:t>
            </w:r>
          </w:p>
        </w:tc>
        <w:tc>
          <w:tcPr>
            <w:tcW w:w="6156" w:type="dxa"/>
            <w:noWrap w:val="0"/>
            <w:vAlign w:val="center"/>
          </w:tcPr>
          <w:p>
            <w:pPr>
              <w:pStyle w:val="3"/>
              <w:keepNext w:val="0"/>
              <w:keepLines w:val="0"/>
              <w:pageBreakBefore w:val="0"/>
              <w:widowControl w:val="0"/>
              <w:numPr>
                <w:ilvl w:val="0"/>
                <w:numId w:val="17"/>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***人员管理可查看本层级辖区下所有人员信息，也可通过地区层级和身份资料进行筛选，人员账户包含2层身份信息：房东、租客</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7"/>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此列表下房屋不可以发布出</w:t>
            </w:r>
            <w:r>
              <w:rPr>
                <w:rFonts w:hint="eastAsia" w:ascii="宋体" w:hAnsi="宋体" w:eastAsia="宋体" w:cs="宋体"/>
                <w:b w:val="0"/>
                <w:bCs w:val="0"/>
                <w:color w:val="000000"/>
                <w:sz w:val="21"/>
                <w:szCs w:val="21"/>
                <w:lang w:val="en-US" w:eastAsia="zh-CN"/>
              </w:rPr>
              <w:t>租</w:t>
            </w:r>
            <w:r>
              <w:rPr>
                <w:rFonts w:hint="eastAsia" w:ascii="宋体" w:hAnsi="宋体" w:eastAsia="宋体" w:cs="宋体"/>
                <w:b w:val="0"/>
                <w:bCs w:val="0"/>
                <w:color w:val="000000"/>
                <w:sz w:val="21"/>
                <w:szCs w:val="21"/>
              </w:rPr>
              <w:t>信息需要审核后才有出租权限</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7"/>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***端房屋管理可查看层级辖区下所有房屋信息，也可通过地区层级和相关资料进行筛选</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7"/>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***端租房审核是用户端房东将未出租房屋进行出租审核管理的模块，将用户提交的房屋信息进行出租审核，未通过审核的房屋无法在平台内发布出租功能。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政府管理端</w:t>
            </w:r>
          </w:p>
        </w:tc>
        <w:tc>
          <w:tcPr>
            <w:tcW w:w="6156" w:type="dxa"/>
            <w:noWrap w:val="0"/>
            <w:vAlign w:val="center"/>
          </w:tcPr>
          <w:p>
            <w:pPr>
              <w:pStyle w:val="3"/>
              <w:keepNext w:val="0"/>
              <w:keepLines w:val="0"/>
              <w:pageBreakBefore w:val="0"/>
              <w:widowControl w:val="0"/>
              <w:numPr>
                <w:ilvl w:val="0"/>
                <w:numId w:val="18"/>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政府端人员管理可查看层级下所有用户信息，也可通过地区层级和相关资料进行筛选，系统操作可进行人员资料查看操作</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8"/>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政府端房屋管理可查看层级下所有房屋信息，也可通过地区层级和相关资料进行筛选</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8"/>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政府端本层级辖区内事件处理并查看。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49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总后台管理端</w:t>
            </w:r>
          </w:p>
        </w:tc>
        <w:tc>
          <w:tcPr>
            <w:tcW w:w="6156" w:type="dxa"/>
            <w:noWrap w:val="0"/>
            <w:vAlign w:val="center"/>
          </w:tcPr>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根据地区可将区域内划分为区域化网格</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政府、***端系统管理，可建立各级政府与***端，建立后会自动生成相应的端口管理员，可进行各端系统用户、部门等配置，总后台可启用/禁用政府或***单位</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人员管理可查看本平台下所有人员信息，也可通过地区层级和身份资料进行筛选，人员账户包含2层身份信息：房东、租客，平台可以新增、编辑、删除人员信息，用户作为房东时可查看其名下房屋，用户作为租客时可查看其租用的房屋</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总后台房屋管理可查看本平台下所有房屋信息，也可通过地区层级和相关资料进行筛选，平台可以新增、编辑、删除房屋信息，通过房屋可以查看本房屋下房东租客详细信息，从而达到以房管人的效果</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总后台租房审核是用户端房东将未出租房屋进行出租审核管理的模块，将用户提交的房屋信息进行出租审核，未通过审核的房屋无法在平台内发布出租功能</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19"/>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总后台事件处理可进行所有层级内事件查看及处理权限，做到所有信息监控。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50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人证核验</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支持3年10万次的查询，通过接口向公安一所查询证明身份证与采集的照片同一个人</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51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74"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109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活体检测</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支持3年22万次的查询，</w:t>
            </w:r>
            <w:r>
              <w:rPr>
                <w:rFonts w:hint="eastAsia" w:ascii="宋体" w:hAnsi="宋体" w:eastAsia="宋体" w:cs="宋体"/>
                <w:b w:val="0"/>
                <w:bCs w:val="0"/>
                <w:color w:val="000000"/>
                <w:sz w:val="21"/>
                <w:szCs w:val="21"/>
              </w:rPr>
              <w:t>主要实现通过判断持身份证人的人脸信息和身份证上的照片是否为同一人以及判断用户是否为真实本人操作，可以抵御照片、面具等一些列盗用手段，实现更精准的人证核验。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38" w:type="dxa"/>
            <w:gridSpan w:val="5"/>
            <w:noWrap w:val="0"/>
            <w:vAlign w:val="center"/>
          </w:tcPr>
          <w:p>
            <w:pPr>
              <w:pStyle w:val="3"/>
              <w:keepNext w:val="0"/>
              <w:keepLines w:val="0"/>
              <w:pageBreakBefore w:val="0"/>
              <w:tabs>
                <w:tab w:val="left" w:pos="3094"/>
              </w:tabs>
              <w:kinsoku/>
              <w:wordWrap/>
              <w:overflowPunct/>
              <w:topLinePunct w:val="0"/>
              <w:autoSpaceDE/>
              <w:autoSpaceDN/>
              <w:bidi w:val="0"/>
              <w:adjustRightInd/>
              <w:snapToGrid/>
              <w:spacing w:after="0" w:line="360" w:lineRule="auto"/>
              <w:ind w:left="0" w:leftChars="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序号</w:t>
            </w:r>
          </w:p>
        </w:tc>
        <w:tc>
          <w:tcPr>
            <w:tcW w:w="1130"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板块名称</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设备名称</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52</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河道检测</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像素水尺读取智能球机</w:t>
            </w:r>
          </w:p>
        </w:tc>
        <w:tc>
          <w:tcPr>
            <w:tcW w:w="6156" w:type="dxa"/>
            <w:noWrap w:val="0"/>
            <w:vAlign w:val="center"/>
          </w:tcPr>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具有不少于200万像素；</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同一镜头内具有2个Sensor传感器，一路传感器可采集黑白信息，一路传感器可采集色彩信息，球机需对采集后的视频信息进行融合，具备双路视频融合功能；</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★摄像机具备水尺数据读取功能</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可读取水尺水位高度信息；</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★摄像机具备水位告警功能，可设置水位偏低告警值和水位偏高告警值；</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★摄像机具备水位信息查询和统计功能，可通过</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浏览器或客户端软件查询和统计水位信息；</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★摄像机具备水位信息对比功能，可通过折线图的方式，将前天、昨天和当天的水位信息以不同颜色绘制在同一个表格中，可根据表格比对相同时间段的水位差异；</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★支持外接雨量计，实时水位雨量数据可直接叠加在视频画面上；水位检测精度为：±2cm</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实时水位雨量数据上报符合《SL 651-2014 水文监测数据通信规约》的要求</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支持最低照度可达彩色0.0002Lux，黑白0.0001Lux</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最大亮度等级不小于11级；</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★支持漂浮物检测功能，当检测区域水面出现漂浮物，且面积大于预设值时，可给出报警提示；</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支持采用H.264、MJPEG、MJPEG-4、H.265视频编码标准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支持smart265功能；</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设备可响应平台下发的获取可视域信息指令，上报设备视场角、可视距离、安装位置、镜头指向方位。其中设备视场角、可视距离能够随着倍率变化；</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设备内置电子罗盘，并支持在监视画面上叠加设备镜头当前指向方位和角度；</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室外球机应具备较好防护性能，支持IP67；具备较好的电磁兼容性，支持空气放电20KV，接触放电10KV，15KV防浪涌</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具备较好的环境适应性，工作温度范围可达-50℃到80℃</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0"/>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符合《GB/T 28181-2016 公共安全视频监控联网系统信息传输、交换、控制技术要求》中的相关规定。</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立杆装支架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立杆装支架/铂晶灰/铝合金/尺寸Φ67-127mm</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壁装支架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壁装支架/铂晶灰/铝合金/311×97.3×182.6mm</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双面不锈钢1米水尺</w:t>
            </w:r>
          </w:p>
        </w:tc>
        <w:tc>
          <w:tcPr>
            <w:tcW w:w="6156" w:type="dxa"/>
            <w:noWrap w:val="0"/>
            <w:vAlign w:val="center"/>
          </w:tcPr>
          <w:p>
            <w:pPr>
              <w:keepNext w:val="0"/>
              <w:keepLines w:val="0"/>
              <w:pageBreakBefore w:val="0"/>
              <w:widowControl/>
              <w:numPr>
                <w:ilvl w:val="0"/>
                <w:numId w:val="21"/>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颜色:白底黑字+黄底黑字（双面）</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1"/>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材质:SUS 304</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1"/>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尺寸:1000mm×80mm×1mm</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设备箱</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室外防水设备箱，根据现场情况定制</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RVV2*1.0，国标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超五类非屏蔽网线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PVC管</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PVC25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辅材</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水晶头、转接头等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FA电源系列</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配套定制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网络智能球机</w:t>
            </w:r>
          </w:p>
        </w:tc>
        <w:tc>
          <w:tcPr>
            <w:tcW w:w="6156" w:type="dxa"/>
            <w:noWrap w:val="0"/>
            <w:vAlign w:val="center"/>
          </w:tcPr>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具有不少于400万像素；</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摄像机靶面尺寸不小于1/1.8英寸</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内置GPU芯片</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摄像机内置镜头，支持不小于40倍光学变倍，镜头最大焦距不小于240mm</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视频图像分辨率与帧率不小于2560×1440、60帧/秒</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 lx，黑白0.0001 lx</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支持快速聚焦功能，当设备跟踪行人或机动车等移动目标并录像时，单帧回放录像文件，每1帧画面均应清晰可见</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红外距离不小于200米</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设备支持水平旋转范围为360°连续旋转，垂直旋转范围为-20°</w:t>
            </w:r>
            <w:r>
              <w:rPr>
                <w:rFonts w:hint="eastAsia" w:ascii="宋体" w:hAnsi="宋体" w:eastAsia="宋体" w:cs="宋体"/>
                <w:b w:val="0"/>
                <w:bCs w:val="0"/>
                <w:color w:val="000000"/>
                <w:sz w:val="21"/>
                <w:szCs w:val="21"/>
                <w:lang w:val="en-US" w:eastAsia="zh-CN"/>
              </w:rPr>
              <w:t>到</w:t>
            </w:r>
            <w:r>
              <w:rPr>
                <w:rFonts w:hint="eastAsia" w:ascii="宋体" w:hAnsi="宋体" w:eastAsia="宋体" w:cs="宋体"/>
                <w:b w:val="0"/>
                <w:bCs w:val="0"/>
                <w:color w:val="000000"/>
                <w:sz w:val="21"/>
                <w:szCs w:val="21"/>
              </w:rPr>
              <w:t>90°</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★设备可通过</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浏览器或客户端软件对AI模型包文件进行上传、下发和运行。AI模型包下发并运行成功后，可根据模型包内容对监控场景内指定的模板进行检测、框选提示、抓拍图片并显示检测结果</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★设备可根据AI模型包内部目标类别对检测的结果进行分类并上传</w:t>
            </w:r>
            <w:r>
              <w:rPr>
                <w:rFonts w:hint="eastAsia" w:ascii="宋体" w:hAnsi="宋体" w:eastAsia="宋体" w:cs="宋体"/>
                <w:b w:val="0"/>
                <w:bCs w:val="0"/>
                <w:color w:val="000000"/>
                <w:sz w:val="21"/>
                <w:szCs w:val="21"/>
                <w:highlight w:val="none"/>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★设备可存储不小于4个AI模型包，每个模型包支持不小于1个检测模型和4个分类子模型</w:t>
            </w:r>
            <w:r>
              <w:rPr>
                <w:rFonts w:hint="eastAsia" w:ascii="宋体" w:hAnsi="宋体" w:eastAsia="宋体" w:cs="宋体"/>
                <w:b w:val="0"/>
                <w:bCs w:val="0"/>
                <w:color w:val="000000"/>
                <w:sz w:val="21"/>
                <w:szCs w:val="21"/>
                <w:highlight w:val="none"/>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★设备可通过</w:t>
            </w:r>
            <w:r>
              <w:rPr>
                <w:rFonts w:hint="eastAsia" w:ascii="宋体" w:hAnsi="宋体" w:eastAsia="宋体" w:cs="宋体"/>
                <w:b w:val="0"/>
                <w:bCs w:val="0"/>
                <w:color w:val="000000"/>
                <w:sz w:val="21"/>
                <w:szCs w:val="21"/>
                <w:highlight w:val="none"/>
                <w:lang w:val="en-US" w:eastAsia="zh-CN"/>
              </w:rPr>
              <w:t>主流</w:t>
            </w:r>
            <w:r>
              <w:rPr>
                <w:rFonts w:hint="eastAsia" w:ascii="宋体" w:hAnsi="宋体" w:eastAsia="宋体" w:cs="宋体"/>
                <w:b w:val="0"/>
                <w:bCs w:val="0"/>
                <w:color w:val="000000"/>
                <w:sz w:val="21"/>
                <w:szCs w:val="21"/>
                <w:highlight w:val="none"/>
              </w:rPr>
              <w:t>浏览器查看AI模型池剩余空间</w:t>
            </w:r>
            <w:r>
              <w:rPr>
                <w:rFonts w:hint="eastAsia" w:ascii="宋体" w:hAnsi="宋体" w:eastAsia="宋体" w:cs="宋体"/>
                <w:b w:val="0"/>
                <w:bCs w:val="0"/>
                <w:color w:val="000000"/>
                <w:sz w:val="21"/>
                <w:szCs w:val="21"/>
                <w:highlight w:val="none"/>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设备可响应平台下发的获取可视域信息指令，上报设备视场角、可视距离、安装位置、镜头指向方位。其中设备视场角、可视距离能够随着倍率变化</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★具备BDS定位和GPS定位功能，并能够在监控画面叠加设备所在的经纬度信息</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可通过内置电子罗盘在监视画面上叠加设备镜头当前指向方位和角度</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2"/>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支持7路报警输入接口，2路报警输出接口，支持1路音频输入和输出接口。最大支持512GB的SD卡</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rPr>
              <w:t>标★项需提</w:t>
            </w:r>
            <w:r>
              <w:rPr>
                <w:rFonts w:hint="eastAsia" w:ascii="宋体" w:hAnsi="宋体" w:eastAsia="宋体" w:cs="宋体"/>
                <w:b/>
                <w:bCs/>
                <w:color w:val="000000"/>
                <w:sz w:val="21"/>
                <w:szCs w:val="21"/>
                <w:lang w:val="en-US" w:eastAsia="zh-CN"/>
              </w:rPr>
              <w:t>供第三方权威机构出具的检测报告</w:t>
            </w:r>
            <w:r>
              <w:rPr>
                <w:rFonts w:hint="eastAsia" w:ascii="宋体" w:hAnsi="宋体" w:eastAsia="宋体" w:cs="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1.5米</w:t>
            </w:r>
            <w:r>
              <w:rPr>
                <w:rFonts w:hint="eastAsia" w:ascii="宋体" w:hAnsi="宋体" w:eastAsia="宋体" w:cs="宋体"/>
                <w:b w:val="0"/>
                <w:bCs w:val="0"/>
                <w:color w:val="000000"/>
                <w:sz w:val="21"/>
                <w:szCs w:val="21"/>
              </w:rPr>
              <w:t>立杆</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1.5米立杆，定制</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w:t>
            </w:r>
          </w:p>
        </w:tc>
        <w:tc>
          <w:tcPr>
            <w:tcW w:w="615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4米变径杆，加粗加厚</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折弯：要求均匀；焊接：平整无虚焊；打弯：成型角；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热镀锌按国家标准，镀锌层厚度≥85μm，保证20年不锈蚀；</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喷塑：厚度0.5mm以上，色泽均匀</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w:t>
            </w:r>
          </w:p>
        </w:tc>
        <w:tc>
          <w:tcPr>
            <w:tcW w:w="615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5米变径杆，加粗加厚</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折弯：要求均匀；焊接：平整无虚焊；打弯：成型角；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热镀锌按国家标准，镀锌层厚度≥85μm，保证20年不锈蚀；</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喷塑：厚度0.5mm以上，色泽均匀</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4米</w:t>
            </w:r>
            <w:r>
              <w:rPr>
                <w:rFonts w:hint="eastAsia" w:ascii="宋体" w:hAnsi="宋体" w:eastAsia="宋体" w:cs="宋体"/>
                <w:b w:val="0"/>
                <w:bCs w:val="0"/>
                <w:color w:val="000000"/>
                <w:sz w:val="21"/>
                <w:szCs w:val="21"/>
              </w:rPr>
              <w:t>立杆基础</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4米立杆基础配套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5米</w:t>
            </w:r>
            <w:r>
              <w:rPr>
                <w:rFonts w:hint="eastAsia" w:ascii="宋体" w:hAnsi="宋体" w:eastAsia="宋体" w:cs="宋体"/>
                <w:b w:val="0"/>
                <w:bCs w:val="0"/>
                <w:color w:val="000000"/>
                <w:sz w:val="21"/>
                <w:szCs w:val="21"/>
              </w:rPr>
              <w:t>立杆基础</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5米立杆基础配套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jc w:val="center"/>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VPN 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VPN 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70</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智慧执法</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布控球套装</w:t>
            </w:r>
          </w:p>
        </w:tc>
        <w:tc>
          <w:tcPr>
            <w:tcW w:w="6156" w:type="dxa"/>
            <w:noWrap w:val="0"/>
            <w:vAlign w:val="center"/>
          </w:tcPr>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★水平旋转范围：360度连续旋转，垂直旋转范围：-20</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到</w:t>
            </w:r>
            <w:r>
              <w:rPr>
                <w:rFonts w:hint="eastAsia" w:ascii="宋体" w:hAnsi="宋体" w:eastAsia="宋体" w:cs="宋体"/>
                <w:b w:val="0"/>
                <w:bCs w:val="0"/>
                <w:color w:val="000000"/>
                <w:sz w:val="21"/>
                <w:szCs w:val="21"/>
              </w:rPr>
              <w:t xml:space="preserve"> 90</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rPr>
              <w:t>，抓拍图片分辨率不小于2048*1080</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支持感兴趣区域增强编码功能，并且可以设置打开/关闭，支持不少于6个区域单独设置，不少于5个可配置等级；</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★可以通过无线网络或有线网络连接客户端，并应能响应客户端软件发出的水平、垂直和变焦命令；在客户端软件上通过触摸屏控制云台进行转动，变焦命令，以及智能功能命令；</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支持手动、定时、事件、远程抓拍图片</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具有电子防抖功能，能通过浏览器设置电子防抖功能开启/关闭</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★支持2.4G/5G，可通过WiFi接入无线网络，也可将自身设置为WiFi热点，支持通过手机或PAD直连访问操作</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可接入蓝牙耳机，支持本地麦克风扬声器与平台对讲</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内置双拾音器，具备降噪功能</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内置麦克风</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★使用内置锂电池供电时，设备正常运行不低于10小时</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支持人脸抓拍功能，可对经过设定区域的行人进行人脸检测和人脸跟踪，当检测到人脸后，可抓拍人脸图片，抓拍图片数量可设</w:t>
            </w:r>
            <w:r>
              <w:rPr>
                <w:rFonts w:hint="eastAsia" w:ascii="宋体" w:hAnsi="宋体" w:eastAsia="宋体" w:cs="宋体"/>
                <w:b w:val="0"/>
                <w:bCs w:val="0"/>
                <w:color w:val="000000"/>
                <w:sz w:val="21"/>
                <w:szCs w:val="21"/>
                <w:highlight w:val="none"/>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★人脸检测功能，支持内置存储卡（128 GB）存储4.5万张人脸图片；支持检出两眼瞳距20像素点以上的人脸图片；支持单场景同时检出不少于30张人脸照片，并支持面部跟踪</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具备GPS/北斗/混合定位功能，并能在监控画面叠加设备所在的经纬度信息</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★在天气晴朗无雾，号牌无遮挡，无污损的条件进行测试，白天测试时的环境光照度不低于200lx</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车牌白天识别准确率≥99%（含新能源车牌）</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numPr>
                <w:ilvl w:val="0"/>
                <w:numId w:val="23"/>
              </w:numPr>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预览界面显示红、绿、黑三种状态；支持循环播报及关联语音报警输出，支持不少于5个循环文件播报，支持不少于5个语音报警输出功能，支持自定义语音播报；支持不戴安全帽报警照片以及取证录像;在非法访问、SD卡故障、IP地址冲突、网络断开时，可给出可听报警提示</w:t>
            </w:r>
            <w:r>
              <w:rPr>
                <w:rFonts w:hint="eastAsia" w:ascii="宋体" w:hAnsi="宋体" w:eastAsia="宋体" w:cs="宋体"/>
                <w:b w:val="0"/>
                <w:bCs w:val="0"/>
                <w:color w:val="000000"/>
                <w:sz w:val="21"/>
                <w:szCs w:val="21"/>
                <w:lang w:eastAsia="zh-CN"/>
              </w:rPr>
              <w:t>。</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r>
              <w:rPr>
                <w:rFonts w:hint="eastAsia" w:ascii="宋体" w:hAnsi="宋体" w:eastAsia="宋体" w:cs="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布控球支架套件</w:t>
            </w:r>
          </w:p>
        </w:tc>
        <w:tc>
          <w:tcPr>
            <w:tcW w:w="6156" w:type="dxa"/>
            <w:noWrap w:val="0"/>
            <w:vAlign w:val="center"/>
          </w:tcPr>
          <w:p>
            <w:pPr>
              <w:keepNext w:val="0"/>
              <w:keepLines w:val="0"/>
              <w:pageBreakBefore w:val="0"/>
              <w:widowControl/>
              <w:numPr>
                <w:ilvl w:val="0"/>
                <w:numId w:val="24"/>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包含：三脚架、固定盘；</w:t>
            </w:r>
          </w:p>
          <w:p>
            <w:pPr>
              <w:keepNext w:val="0"/>
              <w:keepLines w:val="0"/>
              <w:pageBreakBefore w:val="0"/>
              <w:widowControl/>
              <w:numPr>
                <w:ilvl w:val="0"/>
                <w:numId w:val="24"/>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布控球磁吸式安装，可随时随地部署</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4"/>
              </w:numPr>
              <w:kinsoku/>
              <w:wordWrap/>
              <w:overflowPunct/>
              <w:topLinePunct w:val="0"/>
              <w:autoSpaceDE/>
              <w:autoSpaceDN/>
              <w:bidi w:val="0"/>
              <w:adjustRightInd/>
              <w:snapToGrid/>
              <w:spacing w:line="360" w:lineRule="auto"/>
              <w:ind w:left="0"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负重30㎏</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w:t>
            </w:r>
          </w:p>
        </w:tc>
        <w:tc>
          <w:tcPr>
            <w:tcW w:w="6156" w:type="dxa"/>
            <w:noWrap w:val="0"/>
            <w:vAlign w:val="center"/>
          </w:tcPr>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执法记录仪外壳防护等级应符合GB/T4208-2008中IP68要求（水深1m、持续1h）</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4G执法记录仪（包含背夹）质量（外接设备除外）应小于或等于190g</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执法记录仪从按下开机键到进入取景预览模式所用的时间应不大于6s</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执法记录仪外形尺寸（背夹、外接设备除外）应不大于82.7mm*58.1mm*32.0mm（长*宽*高）</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★执法记录仪应能在回放模式显示全场白测试信号，显示全场白测试信号时的最大亮度应不低于于700cd/㎡</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★执法记录仪外壳防护等级应符合GB/T4208-2008中IP68要求（水深1m、持续2h）</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执法记录仪应具有夜视功能，在开启夜视功能后，有效拍摄距离不低于7m，有效拍摄距离处可能看清人物面部特征</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开启4G传输功能后，在视频分辨率1280×720下可连续续航传输视频时间不小于7h</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裸机跌落高度2000mm，水泥地面，任意6个面各跌落5次，共30次，试验期间执法记录仪处于工作状态，试验后执法记录仪及其内部结构单元不应产生永久性的结构变形、机械损伤、电气故障和紧固件松动。执法记录仪内部线路、电路板和接口等接插件不应有脱落、松动和接触不良现象，试验后应能正常工作，存储的数据不应丢失</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★可通过后端平台开启语音对讲功能后，执法记录仪与同一群组内的其他执法记录仪或执法记录仪与平台直接可进行语音对讲；在同一群组内，执法记录仪与执法记录仪之间可进行视频通话</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执法记录仪存储容量为32GB，最大支持扩展不低于300GB</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冷启动定位时间应≤22秒；热启动定位时间应≤7秒；</w:t>
            </w:r>
          </w:p>
          <w:p>
            <w:pPr>
              <w:keepNext w:val="0"/>
              <w:keepLines w:val="0"/>
              <w:pageBreakBefore w:val="0"/>
              <w:widowControl/>
              <w:numPr>
                <w:ilvl w:val="0"/>
                <w:numId w:val="2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执法记录仪采用自动分段记录方式记录时，相邻两段间最大记录间隔时间应≤0.03s</w:t>
            </w:r>
            <w:r>
              <w:rPr>
                <w:rFonts w:hint="eastAsia" w:ascii="宋体" w:hAnsi="宋体" w:eastAsia="宋体" w:cs="宋体"/>
                <w:b w:val="0"/>
                <w:bCs w:val="0"/>
                <w:color w:val="000000"/>
                <w:sz w:val="21"/>
                <w:szCs w:val="21"/>
                <w:lang w:eastAsia="zh-CN"/>
              </w:rPr>
              <w:t>。</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AP</w:t>
            </w:r>
            <w:r>
              <w:rPr>
                <w:rFonts w:hint="eastAsia" w:ascii="宋体" w:hAnsi="宋体" w:eastAsia="宋体" w:cs="宋体"/>
                <w:b w:val="0"/>
                <w:bCs w:val="0"/>
                <w:color w:val="000000"/>
                <w:sz w:val="21"/>
                <w:szCs w:val="21"/>
                <w:lang w:val="en-US" w:eastAsia="zh-CN"/>
              </w:rPr>
              <w:t>N</w:t>
            </w:r>
            <w:r>
              <w:rPr>
                <w:rFonts w:hint="eastAsia" w:ascii="宋体" w:hAnsi="宋体" w:eastAsia="宋体" w:cs="宋体"/>
                <w:b w:val="0"/>
                <w:bCs w:val="0"/>
                <w:color w:val="000000"/>
                <w:sz w:val="21"/>
                <w:szCs w:val="21"/>
              </w:rPr>
              <w:t xml:space="preserve"> 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74</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智慧农业</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无人机套装</w:t>
            </w:r>
          </w:p>
        </w:tc>
        <w:tc>
          <w:tcPr>
            <w:tcW w:w="6156" w:type="dxa"/>
            <w:noWrap w:val="0"/>
            <w:vAlign w:val="center"/>
          </w:tcPr>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最大可探测范围：前方≥40 m，后方≥32 m，上方≥8 m，下方≥22 m，左右≥10 m</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最大起飞重量≤910g，对角线轴距≤360 mm，最大上升速度≥5 m/s，最大下降速度≥3 m/s，最大水平飞行速度≥72km/h，最大飞行海拔高度≥6000 米，最大控制距离≥8km，最长飞行时间≥31 分钟，最大可抗风速≥5级风</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工作环境温度的范围≥-10°C 至 40°C</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GPS定位悬停精度绝对值垂直≤0.5 m，水平≤1.5 m，视觉定位悬停精度绝对值垂直≤0.1 m，水平≤0.3 m</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支持GPS+GLONASS，降落地形检测功能，飞行器自检功能，低电量自动返航，信号丢失自动返航，全向感知系统</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机载内存≥24GB，支持一键全景</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支持图传加密，通过AES-256技术进行加密</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配置云台相机，影像传感器1/2.3英寸CMOS；有效像素1200万，具有稳定系统支持3 轴机械云台（俯仰、横滚、平移），最大照片尺寸≥4000×3000，最大录像分辨率≥3840×2160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配置软件功能，支持密码保护，时间戳水印，GPS位置水印，ADS-B功能</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配置智能飞行电池，支持自动加热，加热温度范围≥-20℃到6℃，容量≥3850 mAh</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配置探照灯，夜航灯，喊话器</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全彩网络摄像机</w:t>
            </w:r>
          </w:p>
        </w:tc>
        <w:tc>
          <w:tcPr>
            <w:tcW w:w="6156" w:type="dxa"/>
            <w:noWrap w:val="0"/>
            <w:vAlign w:val="center"/>
          </w:tcPr>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具有</w:t>
            </w:r>
            <w:r>
              <w:rPr>
                <w:rFonts w:hint="eastAsia" w:ascii="宋体" w:hAnsi="宋体" w:eastAsia="宋体" w:cs="宋体"/>
                <w:b w:val="0"/>
                <w:bCs w:val="0"/>
                <w:color w:val="000000"/>
                <w:sz w:val="21"/>
                <w:szCs w:val="21"/>
                <w:lang w:val="en-US" w:eastAsia="zh-CN"/>
              </w:rPr>
              <w:t>不少于</w:t>
            </w:r>
            <w:r>
              <w:rPr>
                <w:rFonts w:hint="eastAsia" w:ascii="宋体" w:hAnsi="宋体" w:eastAsia="宋体" w:cs="宋体"/>
                <w:b w:val="0"/>
                <w:bCs w:val="0"/>
                <w:color w:val="000000"/>
                <w:sz w:val="21"/>
                <w:szCs w:val="21"/>
              </w:rPr>
              <w:t>400万像素CMOS传感器</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★具有不小于1/1.8"靶面尺寸</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内置2颗白光补光灯</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★最低照度彩色：0.0004 lx，白天或夜晚均可输出彩色视频图像；</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在2560x1440 @ 25fps下，清晰度不小于1400TVL</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支持H.264、H.265、MJPEG视频编码格式，其中H.264支持Baseline/Main/High Profile</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需具有不小于140分的宽动态能力，信噪比不小于62dB</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摄像机能够在-30~60摄氏度，湿度小于93%环境下稳定工作</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不低于IP67防尘防水等级</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需支持DC12V供电，且在不小于DC12V±30%范围内变化时可以正常工作</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设备工作状态时，支持空气放电9kV，接触放电7kV，通讯端口支持6kV峰值电压</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★同一静止场景相同图像质量下，设备在H.265编码方式时，开启智能编码功能和不开启智能编码相比，码率节约不低于50%。</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r>
              <w:rPr>
                <w:rFonts w:hint="eastAsia" w:ascii="宋体" w:hAnsi="宋体" w:eastAsia="宋体" w:cs="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双镜头</w:t>
            </w:r>
            <w:r>
              <w:rPr>
                <w:rFonts w:hint="eastAsia" w:ascii="宋体" w:hAnsi="宋体" w:eastAsia="宋体" w:cs="宋体"/>
                <w:b w:val="0"/>
                <w:bCs w:val="0"/>
                <w:color w:val="000000"/>
                <w:sz w:val="21"/>
                <w:szCs w:val="21"/>
              </w:rPr>
              <w:t>智能球型摄像机</w:t>
            </w:r>
          </w:p>
        </w:tc>
        <w:tc>
          <w:tcPr>
            <w:tcW w:w="6156" w:type="dxa"/>
            <w:noWrap w:val="0"/>
            <w:vAlign w:val="center"/>
          </w:tcPr>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具有不少于</w:t>
            </w:r>
            <w:r>
              <w:rPr>
                <w:rFonts w:hint="eastAsia" w:ascii="宋体" w:hAnsi="宋体" w:eastAsia="宋体" w:cs="宋体"/>
                <w:b w:val="0"/>
                <w:bCs w:val="0"/>
                <w:color w:val="000000"/>
                <w:sz w:val="21"/>
                <w:szCs w:val="21"/>
              </w:rPr>
              <w:t>400万像素</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★内置2个镜头，可以输出两路视频图像，1路全景视频图像、1路细节视频图像</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内</w:t>
            </w:r>
            <w:r>
              <w:rPr>
                <w:rFonts w:hint="eastAsia" w:ascii="宋体" w:hAnsi="宋体" w:eastAsia="宋体" w:cs="宋体"/>
                <w:b w:val="0"/>
                <w:bCs w:val="0"/>
                <w:color w:val="000000"/>
                <w:sz w:val="21"/>
                <w:szCs w:val="21"/>
              </w:rPr>
              <w:t>置2颗GPU芯片</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视频输出支持2560×1440@25fps，分辨</w:t>
            </w:r>
            <w:r>
              <w:rPr>
                <w:rFonts w:hint="eastAsia" w:ascii="宋体" w:hAnsi="宋体" w:eastAsia="宋体" w:cs="宋体"/>
                <w:b w:val="0"/>
                <w:bCs w:val="0"/>
                <w:color w:val="000000"/>
                <w:sz w:val="21"/>
                <w:szCs w:val="21"/>
                <w:lang w:val="en-US" w:eastAsia="zh-CN"/>
              </w:rPr>
              <w:t>率</w:t>
            </w:r>
            <w:r>
              <w:rPr>
                <w:rFonts w:hint="eastAsia" w:ascii="宋体" w:hAnsi="宋体" w:eastAsia="宋体" w:cs="宋体"/>
                <w:b w:val="0"/>
                <w:bCs w:val="0"/>
                <w:color w:val="000000"/>
                <w:sz w:val="21"/>
                <w:szCs w:val="21"/>
              </w:rPr>
              <w:t>不小于1400TVL，红外距离可达300米</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支持最低照度可达彩色0.0002Lux，黑白0.0001Lux</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水平旋转范围为360°连续旋转，垂直旋转范围为-20°~90°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★支持快捷配置功能，可在预览画面开启/关闭“快捷配置”页面，对曝光参数、OSD、智能资源分配模式等参数进行配置，并可一键恢复为默认设置</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★支持循环跟踪功能，当全景视频图像中有多个目标触发报警事件后，细节视频图像可联动对多个目标循环跟踪</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★支持定位联动功能，在全景视频图像中点击或者框选任意区域后，细节视频图像可将该区域处于视频图像中央</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持GB28181协议；支持采用H.265、H.264视频编码标准，H.264编码支持Baseline/Main/High Profile，音频编码支持G.711ulaw/G.711alaw/G.726/G.722.1</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具备较好的防护性能环境适应性，支持IP67，6kV防浪涌，工作温度范围可达-40℃-70℃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具备较好的电源适应性，电压在DC36V±30%范围内变化时，设备可正常工作。</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r>
              <w:rPr>
                <w:rFonts w:hint="eastAsia" w:ascii="宋体" w:hAnsi="宋体" w:eastAsia="宋体" w:cs="宋体"/>
                <w:b/>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5口交换机</w:t>
            </w:r>
          </w:p>
        </w:tc>
        <w:tc>
          <w:tcPr>
            <w:tcW w:w="6156" w:type="dxa"/>
            <w:noWrap w:val="0"/>
            <w:vAlign w:val="center"/>
          </w:tcPr>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可用百兆PoE电接口数量≥4，百兆电接口数量≥1，支持高优先级端口数量≥2；</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交换容量≥1 Gbps，转发性能≥0.744 Mpps；</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支持自适应802.3af/at供电标准，支持PoE最大输出功率≥60W；支持8芯供电，支持6KV防浪涌（PoE口）；</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★支持通过管理平台，手机APP可对交换机进行远程控制和状态查看、系统拓扑展示及管理、远程升级和重启；</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★支持通过管理平台对交换机间不同的连接方式进行系统拓扑识别，包括网线连接、光纤连接、无线连接。可展示链路详情，包括传输速率、链路两端设备信息和链路带宽告警；</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★支持通过管理平台，手机APP在网络拓扑中展示交换机详情，包括基本信息、性能使用信息、交换机面板状态、端口信息；</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★支持通过管理平台，手机APP在系统异常时实时推送交换机告警信息并展示告警内容；</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支持通过管理平台对交换机进行PoE功率管理，包括整机/端口功率监控，PoE功能开启/关闭</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支持通过管理平台对交换机进行流量控制配置，防止数据在传输过程中丢失</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29"/>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支持通过管理平台对交换机进行链路聚合配置，可以把多个物理网口配置为一个逻辑端口进行数据传输</w:t>
            </w:r>
            <w:r>
              <w:rPr>
                <w:rFonts w:hint="eastAsia" w:ascii="宋体" w:hAnsi="宋体" w:eastAsia="宋体" w:cs="宋体"/>
                <w:b w:val="0"/>
                <w:bCs w:val="0"/>
                <w:color w:val="000000"/>
                <w:sz w:val="21"/>
                <w:szCs w:val="21"/>
                <w:lang w:eastAsia="zh-CN"/>
              </w:rPr>
              <w:t>。</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16口交换机</w:t>
            </w:r>
          </w:p>
        </w:tc>
        <w:tc>
          <w:tcPr>
            <w:tcW w:w="6156" w:type="dxa"/>
            <w:noWrap w:val="0"/>
            <w:vAlign w:val="center"/>
          </w:tcPr>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可用千兆电接口数量≥16；</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交交换容量≥32Gbps，转发性能≥23.808 Mpps；</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★支持通过管理平台，手机APP可对交换机进行远程控制和状态查看、系统拓扑展示及管理、远程升级和重启；</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★支持通过管理平台对交换机间不同的连接方式进行系统拓扑识别，包括网线连接、光纤连接、无线连接；可展示链路详情，包括传输速率、链路两端设备信息和链路带宽告警；</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★支持通过管理平台，手机APP在网络拓扑中展示交换机详情，包括基本信息、性能使用信息、交换机面板状态、端口信息；</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★支持通过管理平台，手机APP在系统异常时实时推送交换机告警信息并展示告警内容；</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支持通过管理平台对交换机进行端口远距离传输配置，最远传输距离可达250米；</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支持通过管理平台对交换机进行流量控制配置，防止数据在传输过程中丢失；</w:t>
            </w:r>
          </w:p>
          <w:p>
            <w:pPr>
              <w:keepNext w:val="0"/>
              <w:keepLines w:val="0"/>
              <w:pageBreakBefore w:val="0"/>
              <w:widowControl/>
              <w:numPr>
                <w:ilvl w:val="0"/>
                <w:numId w:val="3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支持通过管理平台对交换机进行链路聚合配置，可以把多个物理网口配置为一个逻辑端口进行数据传输</w:t>
            </w:r>
            <w:r>
              <w:rPr>
                <w:rFonts w:hint="eastAsia" w:ascii="宋体" w:hAnsi="宋体" w:eastAsia="宋体" w:cs="宋体"/>
                <w:b w:val="0"/>
                <w:bCs w:val="0"/>
                <w:color w:val="000000"/>
                <w:sz w:val="21"/>
                <w:szCs w:val="21"/>
                <w:lang w:eastAsia="zh-CN"/>
              </w:rPr>
              <w:t>。</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壁装支架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壁装支架/铝合金/尺寸70×97.1×173.4mm</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硬盘录像机</w:t>
            </w:r>
          </w:p>
        </w:tc>
        <w:tc>
          <w:tcPr>
            <w:tcW w:w="6156" w:type="dxa"/>
            <w:noWrap w:val="0"/>
            <w:vAlign w:val="center"/>
          </w:tcPr>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★可接</w:t>
            </w:r>
            <w:r>
              <w:rPr>
                <w:rFonts w:hint="eastAsia" w:ascii="宋体" w:hAnsi="宋体" w:eastAsia="宋体" w:cs="宋体"/>
                <w:b w:val="0"/>
                <w:bCs w:val="0"/>
                <w:color w:val="000000"/>
                <w:sz w:val="21"/>
                <w:szCs w:val="21"/>
                <w:lang w:val="en-US" w:eastAsia="zh-CN"/>
              </w:rPr>
              <w:t>入最大</w:t>
            </w:r>
            <w:r>
              <w:rPr>
                <w:rFonts w:hint="eastAsia" w:ascii="宋体" w:hAnsi="宋体" w:eastAsia="宋体" w:cs="宋体"/>
                <w:b w:val="0"/>
                <w:bCs w:val="0"/>
                <w:color w:val="000000"/>
                <w:sz w:val="21"/>
                <w:szCs w:val="21"/>
              </w:rPr>
              <w:t>容量</w:t>
            </w:r>
            <w:r>
              <w:rPr>
                <w:rFonts w:hint="eastAsia" w:ascii="宋体" w:hAnsi="宋体" w:eastAsia="宋体" w:cs="宋体"/>
                <w:b w:val="0"/>
                <w:bCs w:val="0"/>
                <w:color w:val="000000"/>
                <w:sz w:val="21"/>
                <w:szCs w:val="21"/>
                <w:lang w:val="en-US" w:eastAsia="zh-CN"/>
              </w:rPr>
              <w:t>为16T</w:t>
            </w:r>
            <w:r>
              <w:rPr>
                <w:rFonts w:hint="eastAsia" w:ascii="宋体" w:hAnsi="宋体" w:eastAsia="宋体" w:cs="宋体"/>
                <w:b w:val="0"/>
                <w:bCs w:val="0"/>
                <w:color w:val="000000"/>
                <w:sz w:val="21"/>
                <w:szCs w:val="21"/>
              </w:rPr>
              <w:t>的SATA接口硬盘；可接入AI硬盘；可接入SSD固态硬盘；可接入加密硬盘；</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开启视频流智能分析，NVR网络发送带宽不会降低；</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开启视频流智能分析，NVR解码性能不会降低</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在视频预览画面查看实时预警面板，包括：事件名称、事件触发时间、人脸抓图，针对人脸比对同时显示姓名、相似度，针对车辆报警同时显示车牌。针对人体和车辆目标，可分别显示出“人体”、“车辆”；</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★支持从其他设备接入设定时间的录像文件，并对录像文件进行人脸检测和识别，实时显示识别结果。支持人脸戴眼镜检出率不低于99%；</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设备的视频输出口HDMI1、HDMI2和VGA1、VGA2均可以显示系统主菜单；</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企业技术要求：支持接入鹰眼等拼接摄像机，并可在拼接摄像机的多屏模式下，可将视频画面以多画面分割方式显示，且可自定义画面布局；</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支持本地预览权限的配置，设置权限后的通道只有登录后才会出现预览画面； 支持远程预览加密，只有输入密钥才能解开视频；并支持码流AES加密；</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100万人脸抓拍库（存储于硬盘中）下，以图搜图检索响应时间不大于3秒；</w:t>
            </w:r>
          </w:p>
          <w:p>
            <w:pPr>
              <w:keepNext w:val="0"/>
              <w:keepLines w:val="0"/>
              <w:pageBreakBefore w:val="0"/>
              <w:widowControl/>
              <w:numPr>
                <w:ilvl w:val="0"/>
                <w:numId w:val="31"/>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正脸单人单次通过检测区域，100人次人脸正确检出数不少于99次；</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6T硬盘</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3.5英寸</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6TB</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128M SATA3 6Gb/s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PE管（厚壁）</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25mm*2.3mm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管线开挖铺设</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根据现场情况而定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光缆</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室内4芯单模光缆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光缆穿线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根据现场情况而定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RVV2*2.5，国标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电源线布放</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根据现场情况而定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室外配电箱</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不锈钢防水设备箱，400*300*200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室外配电箱</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不锈钢防水设备箱，600*400*200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光电收发器</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千兆单模光纤收发器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4.5米 监控杆</w:t>
            </w:r>
          </w:p>
        </w:tc>
        <w:tc>
          <w:tcPr>
            <w:tcW w:w="6156" w:type="dxa"/>
            <w:noWrap w:val="0"/>
            <w:vAlign w:val="center"/>
          </w:tcPr>
          <w:p>
            <w:pPr>
              <w:keepNext w:val="0"/>
              <w:keepLines w:val="0"/>
              <w:pageBreakBefore w:val="0"/>
              <w:widowControl/>
              <w:numPr>
                <w:ilvl w:val="0"/>
                <w:numId w:val="32"/>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4.5米变径杆，加粗加厚</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2"/>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折弯：要求均匀；焊接：平整无虚焊；打弯：成型角；</w:t>
            </w:r>
          </w:p>
          <w:p>
            <w:pPr>
              <w:keepNext w:val="0"/>
              <w:keepLines w:val="0"/>
              <w:pageBreakBefore w:val="0"/>
              <w:widowControl/>
              <w:numPr>
                <w:ilvl w:val="0"/>
                <w:numId w:val="32"/>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热镀锌按国家标准，镀锌层厚度≥85μm，保证20年不锈蚀；</w:t>
            </w:r>
          </w:p>
          <w:p>
            <w:pPr>
              <w:keepNext w:val="0"/>
              <w:keepLines w:val="0"/>
              <w:pageBreakBefore w:val="0"/>
              <w:widowControl/>
              <w:numPr>
                <w:ilvl w:val="0"/>
                <w:numId w:val="32"/>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喷塑：厚度0.5mm以上，色泽均匀</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6米 监控杆</w:t>
            </w:r>
          </w:p>
        </w:tc>
        <w:tc>
          <w:tcPr>
            <w:tcW w:w="615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6米变径杆，加粗加厚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折弯：要求均匀；焊接：平整无虚焊；打弯：成型角；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热镀锌按国家标准，镀锌层厚度≥85μm，保证20年不锈蚀；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喷塑：厚度0.5mm以上，色泽均匀</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93</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城管点位</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智能</w:t>
            </w:r>
            <w:r>
              <w:rPr>
                <w:rFonts w:hint="eastAsia" w:ascii="宋体" w:hAnsi="宋体" w:eastAsia="宋体" w:cs="宋体"/>
                <w:b w:val="0"/>
                <w:bCs w:val="0"/>
                <w:color w:val="000000"/>
                <w:sz w:val="21"/>
                <w:szCs w:val="21"/>
              </w:rPr>
              <w:t>球</w:t>
            </w:r>
            <w:r>
              <w:rPr>
                <w:rFonts w:hint="eastAsia" w:ascii="宋体" w:hAnsi="宋体" w:eastAsia="宋体" w:cs="宋体"/>
                <w:b w:val="0"/>
                <w:bCs w:val="0"/>
                <w:color w:val="000000"/>
                <w:sz w:val="21"/>
                <w:szCs w:val="21"/>
                <w:lang w:val="en-US" w:eastAsia="zh-CN"/>
              </w:rPr>
              <w:t>型摄像</w:t>
            </w:r>
            <w:r>
              <w:rPr>
                <w:rFonts w:hint="eastAsia" w:ascii="宋体" w:hAnsi="宋体" w:eastAsia="宋体" w:cs="宋体"/>
                <w:b w:val="0"/>
                <w:bCs w:val="0"/>
                <w:color w:val="000000"/>
                <w:sz w:val="21"/>
                <w:szCs w:val="21"/>
              </w:rPr>
              <w:t>机</w:t>
            </w:r>
          </w:p>
        </w:tc>
        <w:tc>
          <w:tcPr>
            <w:tcW w:w="6156" w:type="dxa"/>
            <w:noWrap w:val="0"/>
            <w:vAlign w:val="center"/>
          </w:tcPr>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具有不少于</w:t>
            </w:r>
            <w:r>
              <w:rPr>
                <w:rFonts w:hint="eastAsia" w:ascii="宋体" w:hAnsi="宋体" w:eastAsia="宋体" w:cs="宋体"/>
                <w:b w:val="0"/>
                <w:bCs w:val="0"/>
                <w:color w:val="000000"/>
                <w:sz w:val="21"/>
                <w:szCs w:val="21"/>
              </w:rPr>
              <w:t>400万像素</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★摄像机靶面尺寸不小于1/1.8英寸，内置GPU芯片</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摄像机内置镜头，支持不小于33倍光学变倍，镜头最大焦距不小于198mm；</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★视频图像分辨率与帧率不小于2560×1440、60帧/秒；</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 lx，黑白0.0001 lx；红外距离不小于200米；</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设备支持水平旋转范围为360°连续旋转，垂直旋转范围为-20°~90°；</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浏览器下，具有视频输出模式设置，包括单路模式及双路模式，单路模式下，设备双镜头可实现单通道倍率拼接，在双路模式下，设备全景通道和细节通道可单独预览监控画面；</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设备具有3D定位联动功能，可通过</w:t>
            </w:r>
            <w:r>
              <w:rPr>
                <w:rFonts w:hint="eastAsia" w:ascii="宋体" w:hAnsi="宋体" w:eastAsia="宋体" w:cs="宋体"/>
                <w:b w:val="0"/>
                <w:bCs w:val="0"/>
                <w:color w:val="000000"/>
                <w:sz w:val="21"/>
                <w:szCs w:val="21"/>
                <w:highlight w:val="none"/>
                <w:lang w:val="en-US" w:eastAsia="zh-CN"/>
              </w:rPr>
              <w:t>主流</w:t>
            </w:r>
            <w:r>
              <w:rPr>
                <w:rFonts w:hint="eastAsia" w:ascii="宋体" w:hAnsi="宋体" w:eastAsia="宋体" w:cs="宋体"/>
                <w:b w:val="0"/>
                <w:bCs w:val="0"/>
                <w:color w:val="000000"/>
                <w:sz w:val="21"/>
                <w:szCs w:val="21"/>
                <w:highlight w:val="none"/>
              </w:rPr>
              <w:t>浏览器框选全景通道预览画面中的任意区域，在旋转角度范围允许的条件下，设备全景通道预览画面可将该区域处于屏幕中心位置，同时联动细节通道预览画面对该区域进行放大或缩小并且聚焦；</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单路模式下，可在任意通道画面中设置区域入侵、越界侦测、进入区域、离开区域侦测等智能事件的规则框，并自动在另一通道画面中对应显示；</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双路模式下，两路画面可实现画中画显示，其中悬浮画面可手动拖动，并可切换悬浮画面对应的通道；</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支持对镜头前玻璃进行加热，去除玻璃上的冰状和水附着物；</w:t>
            </w:r>
          </w:p>
          <w:p>
            <w:pPr>
              <w:keepNext w:val="0"/>
              <w:keepLines w:val="0"/>
              <w:pageBreakBefore w:val="0"/>
              <w:widowControl/>
              <w:numPr>
                <w:ilvl w:val="0"/>
                <w:numId w:val="33"/>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可通过</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浏览器设置防抖模式为光学防抖+电子防抖、光学防抖+陀螺仪防抖、陀螺仪防抖+电子防抖及关闭</w:t>
            </w:r>
            <w:r>
              <w:rPr>
                <w:rFonts w:hint="eastAsia" w:ascii="宋体" w:hAnsi="宋体" w:eastAsia="宋体" w:cs="宋体"/>
                <w:b w:val="0"/>
                <w:bCs w:val="0"/>
                <w:color w:val="000000"/>
                <w:sz w:val="21"/>
                <w:szCs w:val="21"/>
                <w:lang w:eastAsia="zh-CN"/>
              </w:rPr>
              <w:t>。</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壁装支架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lang w:val="en-US" w:eastAsia="zh-CN"/>
              </w:rPr>
              <w:t>与第54项相同。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立杆装支架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与第53项相同。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FA电源系列</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配套定制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97</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柱杆支架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配套定制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与第57项相同。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与第68项相同。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100</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重点对象检查</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全局摄像机</w:t>
            </w:r>
          </w:p>
        </w:tc>
        <w:tc>
          <w:tcPr>
            <w:tcW w:w="6156" w:type="dxa"/>
            <w:noWrap w:val="0"/>
            <w:vAlign w:val="center"/>
          </w:tcPr>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具有不少于</w:t>
            </w:r>
            <w:r>
              <w:rPr>
                <w:rFonts w:hint="eastAsia" w:ascii="宋体" w:hAnsi="宋体" w:eastAsia="宋体" w:cs="宋体"/>
                <w:b w:val="0"/>
                <w:bCs w:val="0"/>
                <w:color w:val="000000"/>
                <w:sz w:val="21"/>
                <w:szCs w:val="21"/>
              </w:rPr>
              <w:t>400万像素</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★设备</w:t>
            </w:r>
            <w:r>
              <w:rPr>
                <w:rFonts w:hint="eastAsia" w:ascii="宋体" w:hAnsi="宋体" w:eastAsia="宋体" w:cs="宋体"/>
                <w:b w:val="0"/>
                <w:bCs w:val="0"/>
                <w:color w:val="000000"/>
                <w:sz w:val="21"/>
                <w:szCs w:val="21"/>
                <w:lang w:val="en-US" w:eastAsia="zh-CN"/>
              </w:rPr>
              <w:t>至少</w:t>
            </w:r>
            <w:r>
              <w:rPr>
                <w:rFonts w:hint="eastAsia" w:ascii="宋体" w:hAnsi="宋体" w:eastAsia="宋体" w:cs="宋体"/>
                <w:b w:val="0"/>
                <w:bCs w:val="0"/>
                <w:color w:val="000000"/>
                <w:sz w:val="21"/>
                <w:szCs w:val="21"/>
              </w:rPr>
              <w:t>具有1个RJ45网络接口，可输出两路视频图像通道；内置不少于2个GPU芯片</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摄像机定焦镜头、变焦镜头靶面尺寸均不小于1/1.8英寸；</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支持最低照度可达彩色0.0002Lux，黑白0.0001Lux</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设备内置不少于6个补光灯</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可通过客户端软件显示行人的属性，包括上衣颜色、下装颜色、是/否戴眼镜、是/否背包、是/否戴帽子</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★设备可对30米处的行人进行人脸抓拍，并可生成分辨率不小于110×120的人脸图片,图片中人脸两眼瞳距应≥40像素</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支持本机存储功能，支持SD卡热插拔，SD卡最大支持256GB</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★设备支持对出现在监控场景内的人脸进行检测，并显示</w:t>
            </w:r>
            <w:r>
              <w:rPr>
                <w:rFonts w:hint="eastAsia" w:ascii="宋体" w:hAnsi="宋体" w:eastAsia="宋体" w:cs="宋体"/>
                <w:b w:val="0"/>
                <w:bCs w:val="0"/>
                <w:color w:val="000000"/>
                <w:sz w:val="21"/>
                <w:szCs w:val="21"/>
                <w:lang w:val="en-US" w:eastAsia="zh-CN"/>
              </w:rPr>
              <w:t>相应</w:t>
            </w:r>
            <w:r>
              <w:rPr>
                <w:rFonts w:hint="eastAsia" w:ascii="宋体" w:hAnsi="宋体" w:eastAsia="宋体" w:cs="宋体"/>
                <w:b w:val="0"/>
                <w:bCs w:val="0"/>
                <w:color w:val="000000"/>
                <w:sz w:val="21"/>
                <w:szCs w:val="21"/>
              </w:rPr>
              <w:t>评分</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★设备可将细节通道中抓拍的人脸图片和全景通道中的人体图片进行关联比对，可对同一目标进行双画面关联显示</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★设备支持人脸抓拍去重功能，去重后在所有人脸抓拍图片中，同一人脸抓拍图的数量占比应≤1%</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设备细节画面支持快速聚焦，从聚焦开始到聚焦结束用时不超过0.01s。</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壁装</w:t>
            </w:r>
            <w:r>
              <w:rPr>
                <w:rFonts w:hint="eastAsia" w:ascii="宋体" w:hAnsi="宋体" w:eastAsia="宋体" w:cs="宋体"/>
                <w:b w:val="0"/>
                <w:bCs w:val="0"/>
                <w:color w:val="000000"/>
                <w:sz w:val="21"/>
                <w:szCs w:val="21"/>
              </w:rPr>
              <w:t>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与第79项相同。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壁装</w:t>
            </w:r>
            <w:r>
              <w:rPr>
                <w:rFonts w:hint="eastAsia" w:ascii="宋体" w:hAnsi="宋体" w:eastAsia="宋体" w:cs="宋体"/>
                <w:b w:val="0"/>
                <w:bCs w:val="0"/>
                <w:color w:val="000000"/>
                <w:sz w:val="21"/>
                <w:szCs w:val="21"/>
              </w:rPr>
              <w:t>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壁装支架/铂晶灰/铝合金/Φ203.5×254.5mm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座装支架套装</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座装支架套装：铂晶灰/铝合金+钢+不锈钢/222.9×194×113.7（抱箍67-127mm）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挑杆</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1米挑杆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105</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与第57项相同。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106</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与第68项相同。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107</w:t>
            </w:r>
          </w:p>
        </w:tc>
        <w:tc>
          <w:tcPr>
            <w:tcW w:w="1130" w:type="dxa"/>
            <w:vMerge w:val="restart"/>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森林防火，高空鹰眼</w:t>
            </w: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热成像双光谱中载云台摄像机</w:t>
            </w:r>
          </w:p>
        </w:tc>
        <w:tc>
          <w:tcPr>
            <w:tcW w:w="6156" w:type="dxa"/>
            <w:noWrap w:val="0"/>
            <w:vAlign w:val="center"/>
          </w:tcPr>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摄像机靶面尺寸不小于1/1.8英寸，内置GPU芯片</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摄像机内置镜头，支持不小于33倍光学变倍，镜头最大焦距不小于198mm；</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★视频图像分辨率与帧率不小于2560×1440、60帧/秒；</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★支持最低照度可达彩色0.0002 lx，黑白0.0001 lx；红外距离不小于200米；</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设备支持水平旋转范围为360°连续旋转，垂直旋转范围为-20°~90°；</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浏览器下，具有视频输出模式设置，包括单路模式及双路模式，单路模式下，设备双镜头可实现单通道倍率拼接，在双路模式下，设备全景通道和细节通道可单独预览监控画面；</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设备具有3D定位联动功能，可通过</w:t>
            </w:r>
            <w:r>
              <w:rPr>
                <w:rFonts w:hint="eastAsia" w:ascii="宋体" w:hAnsi="宋体" w:eastAsia="宋体" w:cs="宋体"/>
                <w:b w:val="0"/>
                <w:bCs w:val="0"/>
                <w:color w:val="000000"/>
                <w:sz w:val="21"/>
                <w:szCs w:val="21"/>
                <w:highlight w:val="none"/>
                <w:lang w:val="en-US" w:eastAsia="zh-CN"/>
              </w:rPr>
              <w:t>主流</w:t>
            </w:r>
            <w:r>
              <w:rPr>
                <w:rFonts w:hint="eastAsia" w:ascii="宋体" w:hAnsi="宋体" w:eastAsia="宋体" w:cs="宋体"/>
                <w:b w:val="0"/>
                <w:bCs w:val="0"/>
                <w:color w:val="000000"/>
                <w:sz w:val="21"/>
                <w:szCs w:val="21"/>
                <w:highlight w:val="none"/>
              </w:rPr>
              <w:t>浏览器框选全景通道预览画面中的任意区域，在旋转角度范围允许的条件下，设备全景通道预览画面可将该区域处于屏幕中心位置，同时联动细节通道预览画面对该区域进行放大或缩小并且聚焦；</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单路模式下，可在任意通道画面中设置区域入侵、越界侦测、进入区域、离开区域侦测等智能事件的规则框，并自动在另一通道画面中对应显示；</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双路模式下，两路画面可实现画中画显示，其中悬浮画面可手动拖动，并可切换悬浮画面对应的通道；</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★可通过</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浏览器设置防抖模式为光学防抖+电子防抖、光学防抖+陀螺仪防抖、陀螺仪防抖+电子防抖及关闭</w:t>
            </w:r>
            <w:r>
              <w:rPr>
                <w:rFonts w:hint="eastAsia" w:ascii="宋体" w:hAnsi="宋体" w:eastAsia="宋体" w:cs="宋体"/>
                <w:b w:val="0"/>
                <w:bCs w:val="0"/>
                <w:color w:val="000000"/>
                <w:sz w:val="21"/>
                <w:szCs w:val="21"/>
                <w:lang w:eastAsia="zh-CN"/>
              </w:rPr>
              <w:t>。</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标★项需提供</w:t>
            </w:r>
            <w:r>
              <w:rPr>
                <w:rFonts w:hint="eastAsia" w:ascii="宋体" w:hAnsi="宋体" w:eastAsia="宋体" w:cs="宋体"/>
                <w:b/>
                <w:bCs/>
                <w:color w:val="000000"/>
                <w:sz w:val="21"/>
                <w:szCs w:val="21"/>
                <w:lang w:val="en-US" w:eastAsia="zh-CN"/>
              </w:rPr>
              <w:t>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108</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全景摄像机</w:t>
            </w:r>
          </w:p>
        </w:tc>
        <w:tc>
          <w:tcPr>
            <w:tcW w:w="6156" w:type="dxa"/>
            <w:noWrap w:val="0"/>
            <w:vAlign w:val="center"/>
          </w:tcPr>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★具备AR视频标签添加，修改，删除和标准等系列管理功能，支持全景通道添加不少于500个标签，细节通道添加不少于500个标签；标签类型包括：**站视频标签，建筑物视频标签，卡口视频标签，普通视频标签等</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具备AR视频标签联动功能，并可对高-高，高-低，低-高三种标签的位置的视频图像，进行切换预览</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标签跟踪和同步功能，可对全景通道、细节通道监控画面中移动标签进行跟踪且跟踪时间、跟踪倍率可设置。在跟踪过程中，移动标签应始终位于画面中心位置。在细节通道上添加或删除指定标签时，全景通道的相同位置应自动添加或删除该标签</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★自带镜头，另配6个图像采集模块，可输出1路主视频图像和6路辅视频图像。可将辅视频图像进行无缝拼接，拼接后的辅视频图像：水平视场角</w:t>
            </w:r>
            <w:r>
              <w:rPr>
                <w:rFonts w:hint="eastAsia" w:ascii="宋体" w:hAnsi="宋体" w:eastAsia="宋体" w:cs="宋体"/>
                <w:b w:val="0"/>
                <w:bCs w:val="0"/>
                <w:color w:val="000000"/>
                <w:sz w:val="21"/>
                <w:szCs w:val="21"/>
                <w:lang w:val="en-US" w:eastAsia="zh-CN"/>
              </w:rPr>
              <w:t>不低于</w:t>
            </w:r>
            <w:r>
              <w:rPr>
                <w:rFonts w:hint="eastAsia" w:ascii="宋体" w:hAnsi="宋体" w:eastAsia="宋体" w:cs="宋体"/>
                <w:b w:val="0"/>
                <w:bCs w:val="0"/>
                <w:color w:val="000000"/>
                <w:sz w:val="21"/>
                <w:szCs w:val="21"/>
              </w:rPr>
              <w:t>270°，垂直视场角</w:t>
            </w:r>
            <w:r>
              <w:rPr>
                <w:rFonts w:hint="eastAsia" w:ascii="宋体" w:hAnsi="宋体" w:eastAsia="宋体" w:cs="宋体"/>
                <w:b w:val="0"/>
                <w:bCs w:val="0"/>
                <w:color w:val="000000"/>
                <w:sz w:val="21"/>
                <w:szCs w:val="21"/>
                <w:lang w:val="en-US" w:eastAsia="zh-CN"/>
              </w:rPr>
              <w:t>不低于</w:t>
            </w:r>
            <w:r>
              <w:rPr>
                <w:rFonts w:hint="eastAsia" w:ascii="宋体" w:hAnsi="宋体" w:eastAsia="宋体" w:cs="宋体"/>
                <w:b w:val="0"/>
                <w:bCs w:val="0"/>
                <w:color w:val="000000"/>
                <w:sz w:val="21"/>
                <w:szCs w:val="21"/>
              </w:rPr>
              <w:t>80°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主视频图像</w:t>
            </w:r>
            <w:r>
              <w:rPr>
                <w:rFonts w:hint="eastAsia" w:ascii="宋体" w:hAnsi="宋体" w:eastAsia="宋体" w:cs="宋体"/>
                <w:b w:val="0"/>
                <w:bCs w:val="0"/>
                <w:color w:val="000000"/>
                <w:sz w:val="21"/>
                <w:szCs w:val="21"/>
                <w:lang w:val="en-US" w:eastAsia="zh-CN"/>
              </w:rPr>
              <w:t>不低于</w:t>
            </w:r>
            <w:r>
              <w:rPr>
                <w:rFonts w:hint="eastAsia" w:ascii="宋体" w:hAnsi="宋体" w:eastAsia="宋体" w:cs="宋体"/>
                <w:b w:val="0"/>
                <w:bCs w:val="0"/>
                <w:color w:val="000000"/>
                <w:sz w:val="21"/>
                <w:szCs w:val="21"/>
              </w:rPr>
              <w:t>2560×1440@25fps，辅视频图像</w:t>
            </w:r>
            <w:r>
              <w:rPr>
                <w:rFonts w:hint="eastAsia" w:ascii="宋体" w:hAnsi="宋体" w:eastAsia="宋体" w:cs="宋体"/>
                <w:b w:val="0"/>
                <w:bCs w:val="0"/>
                <w:color w:val="000000"/>
                <w:sz w:val="21"/>
                <w:szCs w:val="21"/>
                <w:lang w:val="en-US" w:eastAsia="zh-CN"/>
              </w:rPr>
              <w:t>不低于</w:t>
            </w:r>
            <w:r>
              <w:rPr>
                <w:rFonts w:hint="eastAsia" w:ascii="宋体" w:hAnsi="宋体" w:eastAsia="宋体" w:cs="宋体"/>
                <w:b w:val="0"/>
                <w:bCs w:val="0"/>
                <w:color w:val="000000"/>
                <w:sz w:val="21"/>
                <w:szCs w:val="21"/>
              </w:rPr>
              <w:t>8160×2400@30fps，其中主视频图像分辨力不小于1600线</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内置不少于3个GPU芯片 </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★主视频支持不小于40倍光学变倍，支持检测当前镜头指向方向与地平面夹角，并可根据夹角变化自动调整倍率</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支持最低照度</w:t>
            </w:r>
            <w:r>
              <w:rPr>
                <w:rFonts w:hint="eastAsia" w:ascii="宋体" w:hAnsi="宋体" w:eastAsia="宋体" w:cs="宋体"/>
                <w:b w:val="0"/>
                <w:bCs w:val="0"/>
                <w:color w:val="000000"/>
                <w:sz w:val="21"/>
                <w:szCs w:val="21"/>
                <w:lang w:val="en-US" w:eastAsia="zh-CN"/>
              </w:rPr>
              <w:t>可达</w:t>
            </w:r>
            <w:r>
              <w:rPr>
                <w:rFonts w:hint="eastAsia" w:ascii="宋体" w:hAnsi="宋体" w:eastAsia="宋体" w:cs="宋体"/>
                <w:b w:val="0"/>
                <w:bCs w:val="0"/>
                <w:color w:val="000000"/>
                <w:sz w:val="21"/>
                <w:szCs w:val="21"/>
              </w:rPr>
              <w:t>彩色：0.0003lux；黑白：0.0001lux</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产品支持人员密度功能，支持通过</w:t>
            </w:r>
            <w:r>
              <w:rPr>
                <w:rFonts w:hint="eastAsia" w:ascii="宋体" w:hAnsi="宋体" w:eastAsia="宋体" w:cs="宋体"/>
                <w:b w:val="0"/>
                <w:bCs w:val="0"/>
                <w:color w:val="000000"/>
                <w:sz w:val="21"/>
                <w:szCs w:val="21"/>
                <w:lang w:val="en-US" w:eastAsia="zh-CN"/>
              </w:rPr>
              <w:t>主流</w:t>
            </w:r>
            <w:r>
              <w:rPr>
                <w:rFonts w:hint="eastAsia" w:ascii="宋体" w:hAnsi="宋体" w:eastAsia="宋体" w:cs="宋体"/>
                <w:b w:val="0"/>
                <w:bCs w:val="0"/>
                <w:color w:val="000000"/>
                <w:sz w:val="21"/>
                <w:szCs w:val="21"/>
              </w:rPr>
              <w:t>浏览器对辅助视频的全景画面设备不少于6个检测框，检测区域人数可通过OSD叠加的形式显示，并且可设</w:t>
            </w:r>
            <w:r>
              <w:rPr>
                <w:rFonts w:hint="eastAsia" w:ascii="宋体" w:hAnsi="宋体" w:eastAsia="宋体" w:cs="宋体"/>
                <w:b w:val="0"/>
                <w:bCs w:val="0"/>
                <w:color w:val="000000"/>
                <w:sz w:val="21"/>
                <w:szCs w:val="21"/>
                <w:lang w:val="en-US" w:eastAsia="zh-CN"/>
              </w:rPr>
              <w:t>不少于</w:t>
            </w:r>
            <w:r>
              <w:rPr>
                <w:rFonts w:hint="eastAsia" w:ascii="宋体" w:hAnsi="宋体" w:eastAsia="宋体" w:cs="宋体"/>
                <w:b w:val="0"/>
                <w:bCs w:val="0"/>
                <w:color w:val="000000"/>
                <w:sz w:val="21"/>
                <w:szCs w:val="21"/>
              </w:rPr>
              <w:t>3个等级的人数，当检测框中的人数在3个等级之间变化时可触发报警。支持热度图叠加显示</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电源具有较强适应性，电源电压在DC36V±50%范围内变化时，摄像机可以正常工作</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具备较好防护性能和环境适应性，支持IP67，10KV防浪涌，工作温度范围可达-50℃-80℃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在全景通道中，可对距离500米处的移动目标（1.7米x0.5米）进行检测并联动细节通道进行跟踪</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目标过滤功能，在区域入侵、越界入侵、进入区域、离开区域、徘徊、快速移动、停车、物品遗留及物品移除的智能行为分析事件中，可以分别设置不少于3个检测区域，每个检测区域可设置目标尺寸范围，产品应仅对预设尺寸阈值范围内的目标的智能行为进行检测</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支持撞击报警功能，当样机外壳受到外力撞击时，可给出语音报警提示。</w:t>
            </w:r>
          </w:p>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标★项需</w:t>
            </w:r>
            <w:r>
              <w:rPr>
                <w:rFonts w:hint="eastAsia" w:ascii="宋体" w:hAnsi="宋体" w:eastAsia="宋体" w:cs="宋体"/>
                <w:b/>
                <w:bCs/>
                <w:color w:val="000000"/>
                <w:sz w:val="21"/>
                <w:szCs w:val="21"/>
                <w:lang w:val="en-US" w:eastAsia="zh-CN"/>
              </w:rPr>
              <w:t>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109</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长壁装</w:t>
            </w:r>
            <w:r>
              <w:rPr>
                <w:rFonts w:hint="eastAsia" w:ascii="宋体" w:hAnsi="宋体" w:eastAsia="宋体" w:cs="宋体"/>
                <w:b w:val="0"/>
                <w:bCs w:val="0"/>
                <w:color w:val="000000"/>
                <w:sz w:val="21"/>
                <w:szCs w:val="21"/>
              </w:rPr>
              <w:t>支架</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长壁装/铂晶灰/铝合金/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110</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网络键盘</w:t>
            </w:r>
          </w:p>
        </w:tc>
        <w:tc>
          <w:tcPr>
            <w:tcW w:w="6156" w:type="dxa"/>
            <w:noWrap w:val="0"/>
            <w:vAlign w:val="center"/>
          </w:tcPr>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屏幕尺寸≥10.2英寸，触控屏，分辨率不低于1280*720</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★屏幕区和摇杆区采用可拆分结构，摇杆和触控屏可分离使用</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★两级用户权限，支持32个用户，1个admin管理员用户和31个操作员用户</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支持上下、左右、变倍和抓图四维控制功能</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支持有线和无线Wifi网络连接</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支持DC12V±25%供电，支持POE供电；</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w:t>
            </w:r>
            <w:r>
              <w:rPr>
                <w:rFonts w:hint="eastAsia" w:ascii="宋体" w:hAnsi="宋体" w:eastAsia="宋体" w:cs="宋体"/>
                <w:b w:val="0"/>
                <w:bCs w:val="0"/>
                <w:color w:val="000000"/>
                <w:sz w:val="21"/>
                <w:szCs w:val="21"/>
                <w:lang w:val="en-US" w:eastAsia="zh-CN"/>
              </w:rPr>
              <w:t>不少于</w:t>
            </w:r>
            <w:r>
              <w:rPr>
                <w:rFonts w:hint="eastAsia" w:ascii="宋体" w:hAnsi="宋体" w:eastAsia="宋体" w:cs="宋体"/>
                <w:b w:val="0"/>
                <w:bCs w:val="0"/>
                <w:color w:val="000000"/>
                <w:sz w:val="21"/>
                <w:szCs w:val="21"/>
              </w:rPr>
              <w:t>4路1080P视频解码显示，最大16画面分割显示，支持在触摸屏幕上预览前端图像</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支持DVI和HDMI接口外接显示设备实现图像预览；</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支持切换前端输入通道或输入组到解码器、视频综合平台等设备，支持画面分割、场景切换、轮巡显示、开/关显示窗口、窗口漫游、放到/缩小等功能</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★支持在键盘显示屏上显示电视墙当前整体布局</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支持U盘升级及导入、导出配置文件，支持以excel批量导入通道列表</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开机时间≤35秒，延时≤190毫秒</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rPr>
            </w:pPr>
            <w:r>
              <w:rPr>
                <w:rFonts w:hint="eastAsia" w:ascii="宋体" w:hAnsi="宋体" w:eastAsia="宋体" w:cs="宋体"/>
                <w:b/>
                <w:bCs/>
                <w:color w:val="000000"/>
                <w:kern w:val="2"/>
                <w:sz w:val="21"/>
                <w:szCs w:val="21"/>
                <w:lang w:val="en-US" w:eastAsia="zh-CN" w:bidi="ar-SA"/>
              </w:rPr>
              <w:t>标★项需提供第三方权威机构出具的检测报告。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111</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交换机</w:t>
            </w:r>
          </w:p>
        </w:tc>
        <w:tc>
          <w:tcPr>
            <w:tcW w:w="615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rPr>
              <w:t>8个10/100/1000M自适应以太网端口</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符合IEEE802.3、IEEE802.3u、IEEE802.3ab、IEEE802.3x标准</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每个端口都支持Auto-MDI/MDIX功能</w:t>
            </w:r>
            <w:r>
              <w:rPr>
                <w:rFonts w:hint="eastAsia" w:ascii="宋体" w:hAnsi="宋体" w:eastAsia="宋体" w:cs="宋体"/>
                <w:b w:val="0"/>
                <w:bCs w:val="0"/>
                <w:color w:val="00000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支持802.3az标准节能以太网技术，在端口无连接或连接短网线的情况下，自动降低功耗，达到设备节能目的</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112</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与第86项相同。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113</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电源线</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与第57项相同。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114</w:t>
            </w:r>
          </w:p>
        </w:tc>
        <w:tc>
          <w:tcPr>
            <w:tcW w:w="1130" w:type="dxa"/>
            <w:vMerge w:val="continue"/>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p>
        </w:tc>
        <w:tc>
          <w:tcPr>
            <w:tcW w:w="2170" w:type="dxa"/>
            <w:gridSpan w:val="2"/>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网络链路</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VPN 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38" w:type="dxa"/>
            <w:gridSpan w:val="5"/>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lang w:val="en-US" w:eastAsia="zh-CN"/>
              </w:rPr>
              <w:t>三、其他部分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bCs/>
                <w:color w:val="000000"/>
                <w:sz w:val="21"/>
                <w:szCs w:val="21"/>
              </w:rPr>
              <w:t>序号</w:t>
            </w:r>
          </w:p>
        </w:tc>
        <w:tc>
          <w:tcPr>
            <w:tcW w:w="3300" w:type="dxa"/>
            <w:gridSpan w:val="3"/>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lang w:val="en-US" w:eastAsia="zh-CN"/>
              </w:rPr>
              <w:t>板块</w:t>
            </w:r>
            <w:r>
              <w:rPr>
                <w:rFonts w:hint="eastAsia" w:ascii="宋体" w:hAnsi="宋体" w:eastAsia="宋体" w:cs="宋体"/>
                <w:b/>
                <w:bCs/>
                <w:color w:val="000000"/>
                <w:sz w:val="21"/>
                <w:szCs w:val="21"/>
              </w:rPr>
              <w:t>名称</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bCs/>
                <w:color w:val="000000"/>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115</w:t>
            </w:r>
          </w:p>
        </w:tc>
        <w:tc>
          <w:tcPr>
            <w:tcW w:w="3300" w:type="dxa"/>
            <w:gridSpan w:val="3"/>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运维费</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116</w:t>
            </w:r>
          </w:p>
        </w:tc>
        <w:tc>
          <w:tcPr>
            <w:tcW w:w="3300" w:type="dxa"/>
            <w:gridSpan w:val="3"/>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实施费用</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117</w:t>
            </w:r>
          </w:p>
        </w:tc>
        <w:tc>
          <w:tcPr>
            <w:tcW w:w="3300" w:type="dxa"/>
            <w:gridSpan w:val="3"/>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二级等保费</w:t>
            </w:r>
          </w:p>
        </w:tc>
        <w:tc>
          <w:tcPr>
            <w:tcW w:w="6156" w:type="dxa"/>
            <w:noWrap w:val="0"/>
            <w:vAlign w:val="center"/>
          </w:tcPr>
          <w:p>
            <w:pPr>
              <w:pStyle w:val="3"/>
              <w:keepNext w:val="0"/>
              <w:keepLines w:val="0"/>
              <w:pageBreakBefore w:val="0"/>
              <w:kinsoku/>
              <w:wordWrap/>
              <w:overflowPunct/>
              <w:topLinePunct w:val="0"/>
              <w:autoSpaceDE/>
              <w:autoSpaceDN/>
              <w:bidi w:val="0"/>
              <w:adjustRightInd/>
              <w:snapToGrid/>
              <w:spacing w:after="0" w:line="360" w:lineRule="auto"/>
              <w:ind w:left="0" w:leftChars="0"/>
              <w:jc w:val="both"/>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w:t>
            </w:r>
          </w:p>
        </w:tc>
      </w:tr>
    </w:tbl>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五、商务要求</w:t>
      </w:r>
    </w:p>
    <w:p>
      <w:pPr>
        <w:keepNext w:val="0"/>
        <w:keepLines w:val="0"/>
        <w:pageBreakBefore w:val="0"/>
        <w:widowControl w:val="0"/>
        <w:numPr>
          <w:ilvl w:val="0"/>
          <w:numId w:val="0"/>
        </w:numPr>
        <w:tabs>
          <w:tab w:val="left" w:pos="3720"/>
        </w:tabs>
        <w:kinsoku/>
        <w:wordWrap/>
        <w:overflowPunct/>
        <w:topLinePunct w:val="0"/>
        <w:autoSpaceDE/>
        <w:autoSpaceDN/>
        <w:bidi w:val="0"/>
        <w:adjustRightInd/>
        <w:snapToGrid/>
        <w:spacing w:line="360" w:lineRule="auto"/>
        <w:ind w:left="0" w:leftChars="0" w:right="0" w:firstLine="210" w:firstLineChars="1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本期项目招标，以上清单包括了所有的设备、链路费、视频存储及所涉及的服务等（投标人需承诺无偿提供视频监控</w:t>
      </w:r>
      <w:r>
        <w:rPr>
          <w:rFonts w:hint="eastAsia" w:ascii="宋体" w:hAnsi="宋体" w:eastAsia="宋体" w:cs="宋体"/>
          <w:b w:val="0"/>
          <w:bCs w:val="0"/>
          <w:sz w:val="21"/>
          <w:szCs w:val="21"/>
          <w:lang w:val="en-US" w:eastAsia="zh-CN"/>
        </w:rPr>
        <w:t>接入至岱山县智能物联感知平台，视频监控存储接入至岱山县城市大脑视频云存储</w:t>
      </w:r>
      <w:r>
        <w:rPr>
          <w:rFonts w:hint="eastAsia" w:ascii="宋体" w:hAnsi="宋体" w:eastAsia="宋体" w:cs="宋体"/>
          <w:b w:val="0"/>
          <w:bCs w:val="0"/>
          <w:sz w:val="21"/>
          <w:szCs w:val="21"/>
        </w:rPr>
        <w:t>）</w:t>
      </w:r>
    </w:p>
    <w:p>
      <w:pPr>
        <w:keepNext w:val="0"/>
        <w:keepLines w:val="0"/>
        <w:pageBreakBefore w:val="0"/>
        <w:widowControl w:val="0"/>
        <w:numPr>
          <w:ilvl w:val="0"/>
          <w:numId w:val="0"/>
        </w:numPr>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通信链路要求</w:t>
      </w:r>
    </w:p>
    <w:p>
      <w:pPr>
        <w:keepNext w:val="0"/>
        <w:keepLines w:val="0"/>
        <w:pageBreakBefore w:val="0"/>
        <w:widowControl w:val="0"/>
        <w:numPr>
          <w:ilvl w:val="0"/>
          <w:numId w:val="0"/>
        </w:numPr>
        <w:tabs>
          <w:tab w:val="left" w:pos="3720"/>
        </w:tabs>
        <w:kinsoku/>
        <w:wordWrap/>
        <w:overflowPunct/>
        <w:topLinePunct w:val="0"/>
        <w:autoSpaceDE/>
        <w:autoSpaceDN/>
        <w:bidi w:val="0"/>
        <w:adjustRightInd/>
        <w:snapToGrid/>
        <w:spacing w:line="360" w:lineRule="auto"/>
        <w:ind w:leftChars="200"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投标人应保证每条线路的物理安全，即为监管单位所有视频提供VPN专网传输通道；每条线路应根据招标人实际需求达到对应带宽；</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2）投标人提供的服务具体标准参照信息产业部颁布的《通信行业服务质量标准》施行。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其它要求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▲1）本项目整体质保时间</w:t>
      </w:r>
      <w:r>
        <w:rPr>
          <w:rFonts w:hint="eastAsia" w:ascii="宋体" w:hAnsi="宋体" w:eastAsia="宋体" w:cs="宋体"/>
          <w:b w:val="0"/>
          <w:bCs w:val="0"/>
          <w:sz w:val="21"/>
          <w:szCs w:val="21"/>
          <w:lang w:val="en-US" w:eastAsia="zh-CN"/>
        </w:rPr>
        <w:t>不少于</w:t>
      </w:r>
      <w:r>
        <w:rPr>
          <w:rFonts w:hint="eastAsia" w:ascii="宋体" w:hAnsi="宋体" w:eastAsia="宋体" w:cs="宋体"/>
          <w:b w:val="0"/>
          <w:bCs w:val="0"/>
          <w:sz w:val="21"/>
          <w:szCs w:val="21"/>
        </w:rPr>
        <w:t>三年。在质保期内，投标人对其提供的产品进行现场服务、维修和损坏件的更换，不收取额外费用，质保期外，投标人提供终身维修服务并只收取成本费用。</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中标</w:t>
      </w:r>
      <w:r>
        <w:rPr>
          <w:rFonts w:hint="eastAsia" w:ascii="宋体" w:hAnsi="宋体" w:eastAsia="宋体" w:cs="宋体"/>
          <w:b w:val="0"/>
          <w:bCs w:val="0"/>
          <w:sz w:val="21"/>
          <w:szCs w:val="21"/>
        </w:rPr>
        <w:t>人需在中标后7个工作日内提供所投设备针对本项目</w:t>
      </w:r>
      <w:r>
        <w:rPr>
          <w:rFonts w:hint="eastAsia" w:ascii="宋体" w:hAnsi="宋体" w:eastAsia="宋体" w:cs="宋体"/>
          <w:b w:val="0"/>
          <w:bCs w:val="0"/>
          <w:sz w:val="21"/>
          <w:szCs w:val="21"/>
          <w:highlight w:val="none"/>
        </w:rPr>
        <w:t>的质保函原件</w:t>
      </w:r>
      <w:r>
        <w:rPr>
          <w:rFonts w:hint="eastAsia" w:ascii="宋体" w:hAnsi="宋体" w:eastAsia="宋体" w:cs="宋体"/>
          <w:b w:val="0"/>
          <w:bCs w:val="0"/>
          <w:sz w:val="21"/>
          <w:szCs w:val="21"/>
        </w:rPr>
        <w:t>（加盖原厂公章），如无法提供作无效标处理，并赔偿采购人相应的损失。</w:t>
      </w:r>
    </w:p>
    <w:p>
      <w:pPr>
        <w:widowControl/>
        <w:spacing w:line="360" w:lineRule="auto"/>
        <w:ind w:right="560" w:firstLine="411" w:firstLineChars="196"/>
        <w:jc w:val="left"/>
        <w:rPr>
          <w:rFonts w:hint="eastAsia" w:ascii="宋体" w:hAnsi="宋体" w:eastAsia="宋体" w:cs="宋体"/>
          <w:b w:val="0"/>
          <w:bCs w:val="0"/>
          <w:sz w:val="21"/>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六、施工要求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实施要求：中标人应负责按合同中规定的建设项目内容完成硬件设计部署，并保证按合同相关要求按时完成硬件及后台相关系统设备安装、调试、运行等工作；施工期间，中标人应遵守有关部门的管理，并遵照相关的规定。系统设备安装（包括所使用的设备、材料、布线方法、安装工艺、调试开通等）必须符合国家、行业法规和规范要求。在施工中应做好对其他设施的保护，凡造成人员受伤、设施及设备损坏的，一律由施工单位负责赔偿；提供的设备、配件必须提供随机资料（说明书、合格证、图纸、保修单及操作保养等资料），其他附件及材料必须符合国家有关标准。</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测试要求：中标人应按照合同要求测试所有</w:t>
      </w:r>
      <w:r>
        <w:rPr>
          <w:rFonts w:hint="eastAsia" w:ascii="宋体" w:hAnsi="宋体"/>
          <w:szCs w:val="21"/>
          <w:lang w:val="en-US" w:eastAsia="zh-CN"/>
        </w:rPr>
        <w:t>软</w:t>
      </w:r>
      <w:r>
        <w:rPr>
          <w:rFonts w:hint="eastAsia" w:ascii="宋体" w:hAnsi="宋体"/>
          <w:szCs w:val="21"/>
        </w:rPr>
        <w:t>硬件，负责合同中所有软硬件的现场部署、现场验收测试。</w:t>
      </w:r>
    </w:p>
    <w:p>
      <w:pPr>
        <w:tabs>
          <w:tab w:val="left" w:pos="3720"/>
        </w:tabs>
        <w:spacing w:line="360" w:lineRule="auto"/>
        <w:ind w:firstLine="413" w:firstLineChars="196"/>
        <w:jc w:val="left"/>
        <w:rPr>
          <w:rFonts w:ascii="宋体" w:hAnsi="宋体"/>
          <w:b/>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七、工期要求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eastAsia="宋体" w:cs="宋体"/>
          <w:i w:val="0"/>
          <w:iCs w:val="0"/>
          <w:caps w:val="0"/>
          <w:color w:val="000000"/>
          <w:spacing w:val="0"/>
          <w:sz w:val="21"/>
          <w:szCs w:val="21"/>
          <w:highlight w:val="none"/>
          <w:lang w:val="en-US" w:eastAsia="zh-CN"/>
        </w:rPr>
      </w:pPr>
      <w:r>
        <w:rPr>
          <w:rFonts w:hint="eastAsia" w:ascii="宋体" w:hAnsi="宋体"/>
          <w:szCs w:val="21"/>
          <w:lang w:val="en-US" w:eastAsia="zh-CN"/>
        </w:rPr>
        <w:t>1、</w:t>
      </w:r>
      <w:r>
        <w:rPr>
          <w:rFonts w:hint="eastAsia" w:ascii="宋体" w:hAnsi="宋体"/>
          <w:szCs w:val="21"/>
        </w:rPr>
        <w:t>工期要求：合同签订后</w:t>
      </w:r>
      <w:r>
        <w:rPr>
          <w:rFonts w:hint="eastAsia" w:ascii="宋体" w:hAnsi="宋体"/>
          <w:szCs w:val="21"/>
          <w:lang w:val="en-US" w:eastAsia="zh-CN"/>
        </w:rPr>
        <w:t>90</w:t>
      </w:r>
      <w:r>
        <w:rPr>
          <w:rFonts w:hint="eastAsia" w:ascii="宋体" w:hAnsi="宋体"/>
          <w:szCs w:val="21"/>
        </w:rPr>
        <w:t>天内交付使用</w:t>
      </w:r>
      <w:r>
        <w:rPr>
          <w:rFonts w:hint="eastAsia" w:ascii="宋体" w:hAnsi="宋体"/>
          <w:szCs w:val="21"/>
          <w:lang w:val="en-US" w:eastAsia="zh-CN"/>
        </w:rPr>
        <w:t>并通过初验</w:t>
      </w:r>
      <w:r>
        <w:rPr>
          <w:rFonts w:hint="eastAsia" w:ascii="宋体" w:hAnsi="宋体"/>
          <w:szCs w:val="21"/>
          <w:lang w:eastAsia="zh-CN"/>
        </w:rPr>
        <w:t>，</w:t>
      </w:r>
      <w:r>
        <w:rPr>
          <w:rFonts w:hint="eastAsia" w:ascii="宋体" w:hAnsi="宋体"/>
          <w:szCs w:val="21"/>
          <w:lang w:val="en-US" w:eastAsia="zh-CN"/>
        </w:rPr>
        <w:t>试运行2个月</w:t>
      </w:r>
      <w:r>
        <w:rPr>
          <w:rFonts w:hint="eastAsia" w:eastAsia="宋体" w:cs="宋体"/>
          <w:i w:val="0"/>
          <w:iCs w:val="0"/>
          <w:caps w:val="0"/>
          <w:color w:val="000000"/>
          <w:spacing w:val="0"/>
          <w:sz w:val="21"/>
          <w:szCs w:val="21"/>
          <w:highlight w:val="none"/>
          <w:lang w:val="en-US" w:eastAsia="zh-CN"/>
        </w:rPr>
        <w:t>无任何问题配合采购人进行项目终验。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交货地点要求：使用单位指定地点，投标人须派专业人员将产品送到指定地点并安装调试完毕，其所有费用由投标人承担。</w:t>
      </w:r>
    </w:p>
    <w:p>
      <w:pPr>
        <w:pStyle w:val="2"/>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八、验收要求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1、</w:t>
      </w:r>
      <w:r>
        <w:rPr>
          <w:rFonts w:hint="eastAsia" w:ascii="宋体" w:hAnsi="宋体"/>
          <w:szCs w:val="21"/>
        </w:rPr>
        <w:t>本项目要求在合同签订后</w:t>
      </w:r>
      <w:r>
        <w:rPr>
          <w:rFonts w:hint="eastAsia" w:ascii="宋体" w:hAnsi="宋体"/>
          <w:szCs w:val="21"/>
          <w:lang w:val="en-US" w:eastAsia="zh-CN"/>
        </w:rPr>
        <w:t>90</w:t>
      </w:r>
      <w:r>
        <w:rPr>
          <w:rFonts w:hint="eastAsia" w:ascii="宋体" w:hAnsi="宋体"/>
          <w:szCs w:val="21"/>
        </w:rPr>
        <w:t>天内完成全部点位相关硬件设备的安装调试并通过项目初验，试运行2个月后系统稳定无故障，可申请项目终验。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2、</w:t>
      </w:r>
      <w:r>
        <w:rPr>
          <w:rFonts w:hint="eastAsia" w:ascii="宋体" w:hAnsi="宋体"/>
          <w:szCs w:val="21"/>
        </w:rPr>
        <w:t>通过验收测试判断产品质量是否符合产品需求、功能实现是否正确，性能方面是否符合运行要求，并且产品可以最终上线。</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3、</w:t>
      </w:r>
      <w:r>
        <w:rPr>
          <w:rFonts w:hint="eastAsia" w:ascii="宋体" w:hAnsi="宋体"/>
          <w:szCs w:val="21"/>
        </w:rPr>
        <w:t>采购人负责组织验收小组及第三方监理单位共同参与项目验收。</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4、</w:t>
      </w:r>
      <w:r>
        <w:rPr>
          <w:rFonts w:hint="eastAsia" w:ascii="宋体" w:hAnsi="宋体"/>
          <w:szCs w:val="21"/>
        </w:rPr>
        <w:t>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5、</w:t>
      </w:r>
      <w:r>
        <w:rPr>
          <w:rFonts w:hint="eastAsia" w:ascii="宋体" w:hAnsi="宋体"/>
          <w:szCs w:val="21"/>
        </w:rPr>
        <w:t>免费提供后期相关建设项目的参考方案以及与其它相关系统设备的提供商合作，包括软硬件数据协议接口。</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6、</w:t>
      </w:r>
      <w:r>
        <w:rPr>
          <w:rFonts w:hint="eastAsia" w:ascii="宋体" w:hAnsi="宋体"/>
          <w:szCs w:val="21"/>
        </w:rPr>
        <w:t>如中标人无法如期完成设备安装调试、前后台相关系统配置、项目验收等情况的，逾期每日向采购人支付合同额的万分之五作为违约金。中标人超过约定日期30个工作日仍不能完成相关服务的，采购人可解除本合同。中标人因未能如期提供相关服务或其他违约行为导致采购人解除合同的，中标人应向采购人支付合同额的10%作为违约金，如造成采购人损失超过违约金的，超出部分由中标人继续承担赔付责任。</w:t>
      </w:r>
    </w:p>
    <w:p>
      <w:pPr>
        <w:tabs>
          <w:tab w:val="left" w:pos="3720"/>
        </w:tabs>
        <w:spacing w:line="360" w:lineRule="auto"/>
        <w:ind w:firstLine="413" w:firstLineChars="196"/>
        <w:jc w:val="left"/>
        <w:rPr>
          <w:rFonts w:ascii="宋体" w:hAnsi="宋体"/>
          <w:b/>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九、质保及运维要求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1、</w:t>
      </w:r>
      <w:r>
        <w:rPr>
          <w:rFonts w:hint="eastAsia" w:ascii="宋体" w:hAnsi="宋体"/>
          <w:szCs w:val="21"/>
        </w:rPr>
        <w:t>要求投标人提供的服务不得低于标准服务，即与投标设备制造厂商通过网站等对外公布的有效服务标准相一致（投标人不得另行制作网页）。在标准服务基础上，投标人还应达到以下标准：</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（1）投标货物制造厂商应具有完善的服务保障体系（配备有足够的、有相应资质的专业技术人员）；</w:t>
      </w:r>
      <w:r>
        <w:rPr>
          <w:rFonts w:hint="eastAsia" w:ascii="宋体" w:hAnsi="宋体"/>
          <w:szCs w:val="21"/>
          <w:lang w:val="en-US" w:eastAsia="zh-CN"/>
        </w:rPr>
        <w:t>投标人</w:t>
      </w:r>
      <w:r>
        <w:rPr>
          <w:rFonts w:hint="eastAsia" w:ascii="宋体" w:hAnsi="宋体"/>
          <w:szCs w:val="21"/>
        </w:rPr>
        <w:t>也应就投标货物的品质和服务对</w:t>
      </w:r>
      <w:r>
        <w:rPr>
          <w:rFonts w:hint="eastAsia" w:ascii="宋体" w:hAnsi="宋体"/>
          <w:szCs w:val="21"/>
          <w:lang w:val="en-US" w:eastAsia="zh-CN"/>
        </w:rPr>
        <w:t>采购人</w:t>
      </w:r>
      <w:r>
        <w:rPr>
          <w:rFonts w:hint="eastAsia" w:ascii="宋体" w:hAnsi="宋体"/>
          <w:szCs w:val="21"/>
        </w:rPr>
        <w:t>负责。</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（2）投标人应明确说明此次投标的服务策略，提供此次投标货物的服务计划（售后服务内容、等级、相关服务指标、售后服务组织机构及人员安排情况及其联络信息）。</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（3）在投标货物质保期内，</w:t>
      </w:r>
      <w:r>
        <w:rPr>
          <w:rFonts w:hint="eastAsia" w:ascii="宋体" w:hAnsi="宋体"/>
          <w:szCs w:val="21"/>
          <w:lang w:val="en-US" w:eastAsia="zh-CN"/>
        </w:rPr>
        <w:t>投标人</w:t>
      </w:r>
      <w:r>
        <w:rPr>
          <w:rFonts w:hint="eastAsia" w:ascii="宋体" w:hAnsi="宋体"/>
          <w:szCs w:val="21"/>
        </w:rPr>
        <w:t xml:space="preserve">应提供7*24小时的现场质保和技术支持服务，对故障能即时响应，2小时以内到现场，4小时以内解决问题；不能当场修复的，必须采取提供备品、备件或备机等措施，以保证采购人的正常使用。如果逾期未作出响应，供应商应承担由于故障所造成的全部损失。 </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（4）当投标货物发生非人为因素严重故障时，</w:t>
      </w:r>
      <w:r>
        <w:rPr>
          <w:rFonts w:hint="eastAsia" w:ascii="宋体" w:hAnsi="宋体"/>
          <w:szCs w:val="21"/>
          <w:lang w:val="en-US" w:eastAsia="zh-CN"/>
        </w:rPr>
        <w:t>投标人</w:t>
      </w:r>
      <w:r>
        <w:rPr>
          <w:rFonts w:hint="eastAsia" w:ascii="宋体" w:hAnsi="宋体"/>
          <w:szCs w:val="21"/>
        </w:rPr>
        <w:t>应当免费在</w:t>
      </w:r>
      <w:r>
        <w:rPr>
          <w:rFonts w:hint="eastAsia" w:ascii="宋体" w:hAnsi="宋体"/>
          <w:szCs w:val="21"/>
          <w:lang w:val="en-US" w:eastAsia="zh-CN"/>
        </w:rPr>
        <w:t>7</w:t>
      </w:r>
      <w:r>
        <w:rPr>
          <w:rFonts w:hint="eastAsia" w:ascii="宋体" w:hAnsi="宋体"/>
          <w:szCs w:val="21"/>
        </w:rPr>
        <w:t>日内将补充或者更换的货物运抵发生故障的货物所在地，由此产生的一切相关费用由</w:t>
      </w:r>
      <w:r>
        <w:rPr>
          <w:rFonts w:hint="eastAsia" w:ascii="宋体" w:hAnsi="宋体"/>
          <w:szCs w:val="21"/>
          <w:lang w:val="en-US" w:eastAsia="zh-CN"/>
        </w:rPr>
        <w:t>投标人</w:t>
      </w:r>
      <w:r>
        <w:rPr>
          <w:rFonts w:hint="eastAsia" w:ascii="宋体" w:hAnsi="宋体"/>
          <w:szCs w:val="21"/>
        </w:rPr>
        <w:t>负担。</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（5）质保期内所有因更换或修理设备或部件而导致设备停止运行的时间应从其质保期内扣除。</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（6）</w:t>
      </w:r>
      <w:r>
        <w:rPr>
          <w:rFonts w:hint="eastAsia" w:ascii="宋体" w:hAnsi="宋体"/>
          <w:szCs w:val="21"/>
          <w:lang w:val="en-US" w:eastAsia="zh-CN"/>
        </w:rPr>
        <w:t>投标人</w:t>
      </w:r>
      <w:r>
        <w:rPr>
          <w:rFonts w:hint="eastAsia" w:ascii="宋体" w:hAnsi="宋体"/>
          <w:szCs w:val="21"/>
        </w:rPr>
        <w:t>在质保期内安装的任何零配件，必须是其投标设备制造厂商原产的或是经其认可的。</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（7）所有的替代零配件必须是新的未使用和未经修复的，除非最终用户提供书面许可，否则不可使用此范围外的其他（非新的）配件。</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（8）</w:t>
      </w:r>
      <w:r>
        <w:rPr>
          <w:rFonts w:hint="eastAsia" w:ascii="宋体" w:hAnsi="宋体"/>
          <w:szCs w:val="21"/>
          <w:lang w:val="en-US" w:eastAsia="zh-CN"/>
        </w:rPr>
        <w:t>投标人</w:t>
      </w:r>
      <w:r>
        <w:rPr>
          <w:rFonts w:hint="eastAsia" w:ascii="宋体" w:hAnsi="宋体"/>
          <w:szCs w:val="21"/>
        </w:rPr>
        <w:t>必须为维修和技术支持所未能解决的问题和故障提供正式的升级方案。</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（9）在质保期内，</w:t>
      </w:r>
      <w:r>
        <w:rPr>
          <w:rFonts w:hint="eastAsia" w:ascii="宋体" w:hAnsi="宋体"/>
          <w:szCs w:val="21"/>
          <w:lang w:val="en-US" w:eastAsia="zh-CN"/>
        </w:rPr>
        <w:t>投标人</w:t>
      </w:r>
      <w:r>
        <w:rPr>
          <w:rFonts w:hint="eastAsia" w:ascii="宋体" w:hAnsi="宋体"/>
          <w:szCs w:val="21"/>
        </w:rPr>
        <w:t>有责任解决所提供的投标设备和软件系统的任何问题，在质保期满后，当需要时，</w:t>
      </w:r>
      <w:r>
        <w:rPr>
          <w:rFonts w:hint="eastAsia" w:ascii="宋体" w:hAnsi="宋体"/>
          <w:szCs w:val="21"/>
          <w:lang w:val="en-US" w:eastAsia="zh-CN"/>
        </w:rPr>
        <w:t>投标人</w:t>
      </w:r>
      <w:r>
        <w:rPr>
          <w:rFonts w:hint="eastAsia" w:ascii="宋体" w:hAnsi="宋体"/>
          <w:szCs w:val="21"/>
        </w:rPr>
        <w:t>仍须对因投标设备本身的固有缺陷和瑕疵承担相应责任。</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2、</w:t>
      </w:r>
      <w:r>
        <w:rPr>
          <w:rFonts w:hint="eastAsia" w:ascii="宋体" w:hAnsi="宋体"/>
          <w:szCs w:val="21"/>
        </w:rPr>
        <w:t>免费运维服务。系统调试开通移交后，采购人组织人员在</w:t>
      </w:r>
      <w:r>
        <w:rPr>
          <w:rFonts w:hint="eastAsia" w:ascii="宋体" w:hAnsi="宋体"/>
          <w:szCs w:val="21"/>
          <w:lang w:val="en-US" w:eastAsia="zh-CN"/>
        </w:rPr>
        <w:t>投标</w:t>
      </w:r>
      <w:r>
        <w:rPr>
          <w:rFonts w:hint="eastAsia" w:ascii="宋体" w:hAnsi="宋体"/>
          <w:szCs w:val="21"/>
          <w:lang w:eastAsia="zh-CN"/>
        </w:rPr>
        <w:t>人</w:t>
      </w:r>
      <w:r>
        <w:rPr>
          <w:rFonts w:hint="eastAsia" w:ascii="宋体" w:hAnsi="宋体"/>
          <w:szCs w:val="21"/>
        </w:rPr>
        <w:t>的指导下上岗操作，</w:t>
      </w:r>
      <w:r>
        <w:rPr>
          <w:rFonts w:hint="eastAsia" w:ascii="宋体" w:hAnsi="宋体"/>
          <w:szCs w:val="21"/>
          <w:lang w:val="en-US" w:eastAsia="zh-CN"/>
        </w:rPr>
        <w:t>投标</w:t>
      </w:r>
      <w:r>
        <w:rPr>
          <w:rFonts w:hint="eastAsia" w:ascii="宋体" w:hAnsi="宋体"/>
          <w:szCs w:val="21"/>
          <w:lang w:eastAsia="zh-CN"/>
        </w:rPr>
        <w:t>人</w:t>
      </w:r>
      <w:r>
        <w:rPr>
          <w:rFonts w:hint="eastAsia" w:ascii="宋体" w:hAnsi="宋体"/>
          <w:szCs w:val="21"/>
        </w:rPr>
        <w:t>进行系统维护；运维期同质保期。</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设立专业的运行维护服务队伍：</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（1）提供7*24小时电话技术支持。2小时现场响应，对于4小时内不能排除系统、设备故障的，应提供必要的备机备件，以确保各系统的正常运行。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（2）定期、日常维护巡检。每一季度进行一次系统设备的状态和运行情况、对专用设备进行清洁维护保养等工作。</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（3）如遇重大活动，接到</w:t>
      </w:r>
      <w:r>
        <w:rPr>
          <w:rFonts w:hint="eastAsia" w:ascii="宋体" w:hAnsi="宋体"/>
          <w:szCs w:val="21"/>
          <w:lang w:eastAsia="zh-CN"/>
        </w:rPr>
        <w:t>采购人</w:t>
      </w:r>
      <w:r>
        <w:rPr>
          <w:rFonts w:hint="eastAsia" w:ascii="宋体" w:hAnsi="宋体"/>
          <w:szCs w:val="21"/>
        </w:rPr>
        <w:t>通知后，必须无条件派工程师实行现场技术保障，确保系统在活动期间正常运行。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（4）免费提供后期相关建设项目的参考方案以及与其它相关系统设备的提供商合作，包括软硬件数据协议接口。</w:t>
      </w:r>
    </w:p>
    <w:p>
      <w:pPr>
        <w:tabs>
          <w:tab w:val="left" w:pos="3720"/>
        </w:tabs>
        <w:spacing w:line="360" w:lineRule="auto"/>
        <w:ind w:firstLine="413" w:firstLineChars="196"/>
        <w:jc w:val="left"/>
        <w:rPr>
          <w:rFonts w:ascii="宋体" w:hAnsi="宋体"/>
          <w:b/>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十、培训</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szCs w:val="21"/>
        </w:rPr>
      </w:pPr>
      <w:r>
        <w:rPr>
          <w:rFonts w:hint="eastAsia" w:ascii="宋体" w:hAnsi="宋体"/>
          <w:szCs w:val="21"/>
        </w:rPr>
        <w:t>中标人应免费提供技术培训服务（包括授课费、资料费、参加培训人员的差旅食宿费）。投标人需在投标文件中列出详细的技术培训计划，包括培训课程、参加培训的人数、培训时间、培训地点等。</w:t>
      </w:r>
    </w:p>
    <w:p>
      <w:pPr>
        <w:pStyle w:val="2"/>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十一、付款方式</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left"/>
        <w:textAlignment w:val="auto"/>
        <w:rPr>
          <w:rFonts w:ascii="宋体" w:hAnsi="宋体"/>
          <w:szCs w:val="21"/>
        </w:rPr>
      </w:pPr>
      <w:r>
        <w:rPr>
          <w:rFonts w:hint="eastAsia" w:ascii="宋体" w:hAnsi="宋体"/>
          <w:szCs w:val="21"/>
          <w:lang w:val="en-US" w:eastAsia="zh-CN"/>
        </w:rPr>
        <w:t>1、</w:t>
      </w:r>
      <w:r>
        <w:rPr>
          <w:rFonts w:hint="eastAsia" w:ascii="宋体" w:hAnsi="宋体"/>
          <w:szCs w:val="21"/>
        </w:rPr>
        <w:t>履约保证金为合同总金额的5%，合同签订后5个工作日内递交履约保证金，免费保修结束后无息返还。履约保证金可为现金或银行、保险公司出具的保函。</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left"/>
        <w:textAlignment w:val="auto"/>
        <w:rPr>
          <w:rFonts w:ascii="宋体" w:hAnsi="宋体"/>
          <w:bCs/>
          <w:szCs w:val="21"/>
        </w:rPr>
      </w:pPr>
      <w:r>
        <w:rPr>
          <w:rFonts w:hint="eastAsia" w:ascii="宋体" w:hAnsi="宋体"/>
          <w:szCs w:val="21"/>
          <w:lang w:val="en-US" w:eastAsia="zh-CN"/>
        </w:rPr>
        <w:t>2、</w:t>
      </w:r>
      <w:r>
        <w:rPr>
          <w:rFonts w:hint="eastAsia" w:ascii="宋体" w:hAnsi="宋体"/>
          <w:szCs w:val="21"/>
        </w:rPr>
        <w:t>合同签订完成，中标人履约保证金到账且采购人收到中标人正规发票10日内，支付合同额4</w:t>
      </w:r>
      <w:r>
        <w:rPr>
          <w:rFonts w:ascii="宋体" w:hAnsi="宋体"/>
          <w:szCs w:val="21"/>
        </w:rPr>
        <w:t>0</w:t>
      </w:r>
      <w:r>
        <w:rPr>
          <w:rFonts w:hint="eastAsia" w:ascii="宋体" w:hAnsi="宋体"/>
          <w:szCs w:val="21"/>
        </w:rPr>
        <w:t>%作为预付款；</w:t>
      </w:r>
      <w:r>
        <w:rPr>
          <w:rFonts w:hint="eastAsia" w:ascii="宋体" w:hAnsi="宋体"/>
          <w:bCs/>
          <w:szCs w:val="21"/>
        </w:rPr>
        <w:t>在完成建设内容</w:t>
      </w:r>
      <w:r>
        <w:rPr>
          <w:rFonts w:hint="eastAsia" w:ascii="宋体" w:hAnsi="宋体"/>
          <w:bCs/>
          <w:szCs w:val="21"/>
          <w:lang w:val="en-US" w:eastAsia="zh-CN"/>
        </w:rPr>
        <w:t>且</w:t>
      </w:r>
      <w:r>
        <w:rPr>
          <w:rFonts w:hint="eastAsia" w:ascii="宋体" w:hAnsi="宋体"/>
          <w:bCs/>
          <w:szCs w:val="21"/>
        </w:rPr>
        <w:t>通过第三方</w:t>
      </w:r>
      <w:r>
        <w:rPr>
          <w:rFonts w:hint="eastAsia" w:ascii="宋体" w:hAnsi="宋体"/>
          <w:bCs/>
          <w:szCs w:val="21"/>
          <w:lang w:val="en-US" w:eastAsia="zh-CN"/>
        </w:rPr>
        <w:t>终</w:t>
      </w:r>
      <w:r>
        <w:rPr>
          <w:rFonts w:hint="eastAsia" w:ascii="宋体" w:hAnsi="宋体"/>
          <w:bCs/>
          <w:szCs w:val="21"/>
        </w:rPr>
        <w:t>验后，按实际建设向</w:t>
      </w:r>
      <w:r>
        <w:rPr>
          <w:rFonts w:hint="eastAsia" w:ascii="宋体" w:hAnsi="宋体"/>
          <w:bCs/>
          <w:szCs w:val="21"/>
          <w:lang w:val="en-US" w:eastAsia="zh-CN"/>
        </w:rPr>
        <w:t>中标人</w:t>
      </w:r>
      <w:r>
        <w:rPr>
          <w:rFonts w:hint="eastAsia" w:ascii="宋体" w:hAnsi="宋体"/>
          <w:bCs/>
          <w:szCs w:val="21"/>
        </w:rPr>
        <w:t>支付合同剩余部分。</w:t>
      </w:r>
    </w:p>
    <w:p>
      <w:pPr>
        <w:tabs>
          <w:tab w:val="left" w:pos="3720"/>
        </w:tabs>
        <w:spacing w:line="360" w:lineRule="auto"/>
        <w:ind w:firstLine="411" w:firstLineChars="196"/>
        <w:jc w:val="left"/>
        <w:rPr>
          <w:rFonts w:ascii="宋体" w:hAnsi="宋体"/>
          <w:bCs/>
          <w:szCs w:val="21"/>
        </w:rPr>
      </w:pPr>
    </w:p>
    <w:p>
      <w:pPr>
        <w:pStyle w:val="6"/>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十二、其他</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投标人应对招标、实施、操作等过程中采取保密和安全措施，因投标人造成的不良影响和损失，投标人应承担相应责任。</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招标人认为投标人提供的产品和服务不能满足需求，可否决、终止本次采购。</w:t>
      </w:r>
    </w:p>
    <w:p/>
    <w:p>
      <w:pPr>
        <w:pStyle w:val="6"/>
        <w:pageBreakBefore w:val="0"/>
        <w:widowControl w:val="0"/>
        <w:kinsoku/>
        <w:wordWrap/>
        <w:overflowPunct/>
        <w:topLinePunct w:val="0"/>
        <w:autoSpaceDE/>
        <w:autoSpaceDN/>
        <w:bidi w:val="0"/>
        <w:adjustRightInd/>
        <w:snapToGrid/>
        <w:spacing w:before="0" w:after="0" w:line="360" w:lineRule="auto"/>
        <w:ind w:left="0" w:leftChars="0" w:firstLine="420" w:firstLineChars="200"/>
        <w:textAlignment w:val="auto"/>
        <w:rPr>
          <w:rFonts w:hint="eastAsia" w:ascii="宋体" w:hAnsi="宋体" w:eastAsia="宋体" w:cs="宋体"/>
          <w:b w:val="0"/>
          <w:bCs w:val="0"/>
          <w:sz w:val="21"/>
          <w:szCs w:val="21"/>
          <w:lang w:val="en-US" w:eastAsia="zh-CN"/>
        </w:rPr>
        <w:sectPr>
          <w:footerReference r:id="rId5" w:type="default"/>
          <w:pgSz w:w="11906" w:h="16838"/>
          <w:pgMar w:top="1531" w:right="992" w:bottom="737" w:left="992" w:header="851" w:footer="584" w:gutter="0"/>
          <w:pgBorders>
            <w:top w:val="none" w:sz="0" w:space="0"/>
            <w:left w:val="none" w:sz="0" w:space="0"/>
            <w:bottom w:val="none" w:sz="0" w:space="0"/>
            <w:right w:val="none" w:sz="0" w:space="0"/>
          </w:pgBorders>
          <w:pgNumType w:fmt="decimal" w:start="1"/>
          <w:cols w:space="720" w:num="1"/>
          <w:docGrid w:type="lines" w:linePitch="312" w:charSpace="0"/>
        </w:sectPr>
      </w:pPr>
    </w:p>
    <w:p>
      <w:pPr>
        <w:jc w:val="center"/>
        <w:rPr>
          <w:rFonts w:hint="eastAsia" w:ascii="宋体" w:hAnsi="宋体" w:cs="宋体"/>
          <w:b/>
          <w:sz w:val="28"/>
          <w:szCs w:val="28"/>
        </w:rPr>
      </w:pPr>
      <w:r>
        <w:rPr>
          <w:rFonts w:hint="eastAsia" w:ascii="宋体" w:hAnsi="宋体" w:cs="宋体"/>
          <w:b/>
          <w:sz w:val="28"/>
          <w:szCs w:val="28"/>
        </w:rPr>
        <w:t>第三章  投标人须知</w:t>
      </w:r>
    </w:p>
    <w:p>
      <w:pPr>
        <w:snapToGrid w:val="0"/>
        <w:spacing w:line="276" w:lineRule="auto"/>
        <w:jc w:val="center"/>
        <w:rPr>
          <w:rFonts w:hint="eastAsia"/>
        </w:rPr>
      </w:pPr>
      <w:r>
        <w:rPr>
          <w:rFonts w:hint="eastAsia" w:ascii="宋体" w:hAnsi="宋体" w:cs="宋体"/>
          <w:b/>
          <w:szCs w:val="21"/>
        </w:rPr>
        <w:t>前附表</w:t>
      </w:r>
    </w:p>
    <w:tbl>
      <w:tblPr>
        <w:tblStyle w:val="25"/>
        <w:tblpPr w:leftFromText="180" w:rightFromText="180" w:vertAnchor="text" w:horzAnchor="page" w:tblpX="962" w:tblpY="313"/>
        <w:tblOverlap w:val="never"/>
        <w:tblW w:w="10081" w:type="dxa"/>
        <w:tblCellSpacing w:w="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7"/>
        <w:gridCol w:w="1757"/>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序号</w:t>
            </w:r>
          </w:p>
        </w:tc>
        <w:tc>
          <w:tcPr>
            <w:tcW w:w="9413" w:type="dxa"/>
            <w:gridSpan w:val="2"/>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项目名称</w:t>
            </w:r>
          </w:p>
        </w:tc>
        <w:tc>
          <w:tcPr>
            <w:tcW w:w="7656" w:type="dxa"/>
            <w:shd w:val="clear" w:color="auto" w:fill="FFFFFF"/>
            <w:noWrap w:val="0"/>
            <w:vAlign w:val="center"/>
          </w:tcPr>
          <w:p>
            <w:pPr>
              <w:spacing w:line="360" w:lineRule="auto"/>
              <w:rPr>
                <w:rFonts w:hint="eastAsia" w:ascii="宋体" w:hAnsi="宋体" w:eastAsia="宋体" w:cs="宋体"/>
                <w:szCs w:val="21"/>
                <w:lang w:eastAsia="zh-CN"/>
              </w:rPr>
            </w:pPr>
            <w:r>
              <w:rPr>
                <w:rFonts w:hint="eastAsia" w:ascii="宋体" w:hAnsi="宋体" w:cs="宋体"/>
                <w:szCs w:val="21"/>
                <w:lang w:eastAsia="zh-CN"/>
              </w:rPr>
              <w:t>岱山县小长涂“未来社区”建设项目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2</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采购人名称</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lang w:eastAsia="zh-CN"/>
              </w:rPr>
              <w:t>岱山县大数据管理中心</w:t>
            </w: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3</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采购内容</w:t>
            </w:r>
          </w:p>
        </w:tc>
        <w:tc>
          <w:tcPr>
            <w:tcW w:w="7656" w:type="dxa"/>
            <w:shd w:val="clear" w:color="auto" w:fill="FFFFFF"/>
            <w:noWrap w:val="0"/>
            <w:vAlign w:val="center"/>
          </w:tcPr>
          <w:p>
            <w:pPr>
              <w:spacing w:line="360" w:lineRule="auto"/>
              <w:rPr>
                <w:rFonts w:hint="eastAsia" w:ascii="宋体" w:hAnsi="宋体" w:cs="宋体"/>
                <w:bCs/>
                <w:szCs w:val="21"/>
              </w:rPr>
            </w:pPr>
            <w:r>
              <w:rPr>
                <w:rFonts w:hint="eastAsia" w:ascii="宋体" w:hAnsi="宋体" w:cs="宋体"/>
                <w:szCs w:val="21"/>
                <w:lang w:eastAsia="zh-CN"/>
              </w:rPr>
              <w:t>小长涂“未来社区”建设</w:t>
            </w:r>
            <w:r>
              <w:rPr>
                <w:rFonts w:hint="eastAsia" w:ascii="宋体" w:hAnsi="宋体" w:cs="宋体"/>
                <w:bCs/>
                <w:szCs w:val="21"/>
              </w:rPr>
              <w:t>（</w:t>
            </w:r>
            <w:r>
              <w:rPr>
                <w:rFonts w:hint="eastAsia" w:ascii="宋体" w:hAnsi="宋体" w:cs="宋体"/>
                <w:bCs/>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4</w:t>
            </w:r>
          </w:p>
        </w:tc>
        <w:tc>
          <w:tcPr>
            <w:tcW w:w="1743" w:type="dxa"/>
            <w:shd w:val="clear" w:color="auto" w:fill="E0E0E0"/>
            <w:noWrap w:val="0"/>
            <w:vAlign w:val="center"/>
          </w:tcPr>
          <w:p>
            <w:pPr>
              <w:spacing w:line="360" w:lineRule="auto"/>
              <w:jc w:val="center"/>
              <w:rPr>
                <w:rFonts w:hint="eastAsia" w:ascii="宋体" w:hAnsi="宋体" w:eastAsia="宋体" w:cs="宋体"/>
                <w:b/>
                <w:szCs w:val="21"/>
                <w:lang w:eastAsia="zh-CN"/>
              </w:rPr>
            </w:pPr>
            <w:r>
              <w:rPr>
                <w:rFonts w:hint="eastAsia" w:ascii="宋体" w:hAnsi="宋体" w:cs="宋体"/>
                <w:b/>
                <w:szCs w:val="21"/>
                <w:lang w:val="en-US" w:eastAsia="zh-CN"/>
              </w:rPr>
              <w:t>预算金额</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lang w:val="en-US" w:eastAsia="zh-CN"/>
              </w:rPr>
              <w:t>3150000.00</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5</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工期要求</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rPr>
              <w:t>1、合同签订后</w:t>
            </w:r>
            <w:r>
              <w:rPr>
                <w:rFonts w:hint="eastAsia" w:ascii="宋体" w:hAnsi="宋体" w:cs="宋体"/>
                <w:szCs w:val="21"/>
                <w:lang w:val="en-US" w:eastAsia="zh-CN"/>
              </w:rPr>
              <w:t>90</w:t>
            </w:r>
            <w:r>
              <w:rPr>
                <w:rFonts w:hint="eastAsia" w:ascii="宋体" w:hAnsi="宋体" w:cs="宋体"/>
                <w:szCs w:val="21"/>
              </w:rPr>
              <w:t>天内交付使用</w:t>
            </w:r>
            <w:r>
              <w:rPr>
                <w:rFonts w:hint="eastAsia" w:ascii="宋体" w:hAnsi="宋体" w:cs="宋体"/>
                <w:szCs w:val="21"/>
                <w:lang w:val="en-US" w:eastAsia="zh-CN"/>
              </w:rPr>
              <w:t>并通过初验</w:t>
            </w:r>
            <w:r>
              <w:rPr>
                <w:rFonts w:hint="eastAsia" w:ascii="宋体" w:hAnsi="宋体" w:cs="宋体"/>
                <w:szCs w:val="21"/>
                <w:lang w:eastAsia="zh-CN"/>
              </w:rPr>
              <w:t>，</w:t>
            </w:r>
            <w:r>
              <w:rPr>
                <w:rFonts w:hint="eastAsia" w:ascii="宋体" w:hAnsi="宋体" w:cs="宋体"/>
                <w:szCs w:val="21"/>
                <w:lang w:val="en-US" w:eastAsia="zh-CN"/>
              </w:rPr>
              <w:t>试运行2个月无任何问题的配合采购人进行项目终验。</w:t>
            </w:r>
          </w:p>
          <w:p>
            <w:pPr>
              <w:spacing w:line="360" w:lineRule="auto"/>
              <w:rPr>
                <w:rFonts w:hint="eastAsia" w:ascii="宋体" w:hAnsi="宋体" w:cs="宋体"/>
                <w:szCs w:val="21"/>
              </w:rPr>
            </w:pPr>
            <w:r>
              <w:rPr>
                <w:rFonts w:hint="eastAsia" w:ascii="宋体" w:hAnsi="宋体" w:cs="宋体"/>
                <w:szCs w:val="21"/>
              </w:rPr>
              <w:t>2、交货地点要求：使用单位指定地点，投标人须派专业人员将产品送到指定地点并安装调试完毕，其所有费用由投标人承担。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6</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投标有效期</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u w:val="single"/>
              </w:rPr>
              <w:t>90日</w:t>
            </w:r>
            <w:r>
              <w:rPr>
                <w:rFonts w:hint="eastAsia" w:ascii="宋体" w:hAnsi="宋体" w:cs="宋体"/>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7</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评标办法</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8</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付款方式</w:t>
            </w:r>
          </w:p>
        </w:tc>
        <w:tc>
          <w:tcPr>
            <w:tcW w:w="76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履约保证金为合同总金额的5%，合同签订后5个工作日内递交履约保证金，免费保修结束后无息返还。履约保证金可为现金或银行、保险公司出具的保函。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Cs w:val="21"/>
              </w:rPr>
            </w:pPr>
            <w:r>
              <w:rPr>
                <w:rFonts w:hint="eastAsia" w:ascii="宋体" w:hAnsi="宋体" w:cs="宋体"/>
                <w:szCs w:val="21"/>
                <w:lang w:val="en-US" w:eastAsia="zh-CN"/>
              </w:rPr>
              <w:t>2、</w:t>
            </w:r>
            <w:r>
              <w:rPr>
                <w:rFonts w:hint="eastAsia" w:ascii="宋体" w:hAnsi="宋体"/>
                <w:szCs w:val="21"/>
              </w:rPr>
              <w:t>合同签订完成，中标人履约保证金到账且采购人收到中标人正规发票10日内，支付合同额4</w:t>
            </w:r>
            <w:r>
              <w:rPr>
                <w:rFonts w:ascii="宋体" w:hAnsi="宋体"/>
                <w:szCs w:val="21"/>
              </w:rPr>
              <w:t>0</w:t>
            </w:r>
            <w:r>
              <w:rPr>
                <w:rFonts w:hint="eastAsia" w:ascii="宋体" w:hAnsi="宋体"/>
                <w:szCs w:val="21"/>
              </w:rPr>
              <w:t>%作为预付款；</w:t>
            </w:r>
            <w:r>
              <w:rPr>
                <w:rFonts w:hint="eastAsia" w:ascii="宋体" w:hAnsi="宋体"/>
                <w:bCs/>
                <w:szCs w:val="21"/>
              </w:rPr>
              <w:t>在完成建设内容</w:t>
            </w:r>
            <w:r>
              <w:rPr>
                <w:rFonts w:hint="eastAsia" w:ascii="宋体" w:hAnsi="宋体"/>
                <w:bCs/>
                <w:szCs w:val="21"/>
                <w:lang w:val="en-US" w:eastAsia="zh-CN"/>
              </w:rPr>
              <w:t>且</w:t>
            </w:r>
            <w:r>
              <w:rPr>
                <w:rFonts w:hint="eastAsia" w:ascii="宋体" w:hAnsi="宋体"/>
                <w:bCs/>
                <w:szCs w:val="21"/>
              </w:rPr>
              <w:t>通过第三方</w:t>
            </w:r>
            <w:r>
              <w:rPr>
                <w:rFonts w:hint="eastAsia" w:ascii="宋体" w:hAnsi="宋体"/>
                <w:bCs/>
                <w:szCs w:val="21"/>
                <w:lang w:val="en-US" w:eastAsia="zh-CN"/>
              </w:rPr>
              <w:t>终</w:t>
            </w:r>
            <w:r>
              <w:rPr>
                <w:rFonts w:hint="eastAsia" w:ascii="宋体" w:hAnsi="宋体"/>
                <w:bCs/>
                <w:szCs w:val="21"/>
              </w:rPr>
              <w:t>验后，按实际建设向</w:t>
            </w:r>
            <w:r>
              <w:rPr>
                <w:rFonts w:hint="eastAsia" w:ascii="宋体" w:hAnsi="宋体"/>
                <w:bCs/>
                <w:szCs w:val="21"/>
                <w:lang w:val="en-US" w:eastAsia="zh-CN"/>
              </w:rPr>
              <w:t>中标人</w:t>
            </w:r>
            <w:r>
              <w:rPr>
                <w:rFonts w:hint="eastAsia" w:ascii="宋体" w:hAnsi="宋体"/>
                <w:bCs/>
                <w:szCs w:val="21"/>
              </w:rPr>
              <w:t>支付合同剩余部分。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9</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投标报价</w:t>
            </w:r>
          </w:p>
          <w:p>
            <w:pPr>
              <w:spacing w:line="360" w:lineRule="auto"/>
              <w:jc w:val="center"/>
              <w:rPr>
                <w:rFonts w:hint="eastAsia" w:ascii="宋体" w:hAnsi="宋体" w:cs="宋体"/>
                <w:b/>
                <w:szCs w:val="21"/>
              </w:rPr>
            </w:pPr>
            <w:r>
              <w:rPr>
                <w:rFonts w:hint="eastAsia" w:ascii="宋体" w:hAnsi="宋体" w:cs="宋体"/>
                <w:b/>
                <w:szCs w:val="21"/>
              </w:rPr>
              <w:t>与相关费用</w:t>
            </w:r>
          </w:p>
        </w:tc>
        <w:tc>
          <w:tcPr>
            <w:tcW w:w="7656" w:type="dxa"/>
            <w:shd w:val="clear" w:color="auto" w:fill="FFFFFF"/>
            <w:noWrap w:val="0"/>
            <w:vAlign w:val="center"/>
          </w:tcPr>
          <w:p>
            <w:pPr>
              <w:spacing w:line="360" w:lineRule="auto"/>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、投标人所投报的投标报价为投标人所能承受的整个项目的一次性最终最低合同总价，包括完成本项目工作内容所需的一切费用。合同总价不得超过本项目对应的</w:t>
            </w:r>
            <w:r>
              <w:rPr>
                <w:rFonts w:hint="eastAsia" w:ascii="宋体" w:hAnsi="宋体" w:cs="宋体"/>
                <w:szCs w:val="21"/>
              </w:rPr>
              <w:t>最高限价</w:t>
            </w:r>
            <w:r>
              <w:rPr>
                <w:rFonts w:hint="eastAsia" w:ascii="宋体" w:hAnsi="宋体" w:cs="宋体"/>
                <w:szCs w:val="21"/>
                <w:lang w:val="zh-CN"/>
              </w:rPr>
              <w:t>。</w:t>
            </w:r>
          </w:p>
          <w:p>
            <w:pPr>
              <w:spacing w:line="360" w:lineRule="auto"/>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、按国家规定由中标人缴纳的各种税收已包含在投标总价内，由中标人向税务机关缴纳相关费用。</w:t>
            </w:r>
          </w:p>
          <w:p>
            <w:pPr>
              <w:spacing w:line="360" w:lineRule="auto"/>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投标人应承担其参加本招标活动自身所发生的费用。</w:t>
            </w:r>
          </w:p>
          <w:p>
            <w:pPr>
              <w:spacing w:line="360" w:lineRule="auto"/>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、中标人须缴纳招标代理服务费，招标代理服务收费标准金额为：一次性收费</w:t>
            </w:r>
            <w:r>
              <w:rPr>
                <w:rFonts w:hint="eastAsia" w:ascii="宋体" w:hAnsi="宋体" w:cs="宋体"/>
                <w:szCs w:val="21"/>
                <w:lang w:val="en-US" w:eastAsia="zh-CN"/>
              </w:rPr>
              <w:t>贰万玖仟圆</w:t>
            </w:r>
            <w:r>
              <w:rPr>
                <w:rFonts w:hint="eastAsia" w:ascii="宋体" w:hAnsi="宋体" w:cs="宋体"/>
                <w:szCs w:val="21"/>
                <w:lang w:val="zh-CN"/>
              </w:rPr>
              <w:t>整（¥</w:t>
            </w:r>
            <w:r>
              <w:rPr>
                <w:rFonts w:hint="eastAsia" w:ascii="宋体" w:hAnsi="宋体" w:cs="宋体"/>
                <w:szCs w:val="21"/>
                <w:lang w:val="en-US" w:eastAsia="zh-CN"/>
              </w:rPr>
              <w:t>29000.00</w:t>
            </w:r>
            <w:r>
              <w:rPr>
                <w:rFonts w:hint="eastAsia" w:ascii="宋体" w:hAnsi="宋体" w:cs="宋体"/>
                <w:szCs w:val="21"/>
                <w:lang w:val="zh-CN"/>
              </w:rPr>
              <w:t>元）。支付方式及时间为：中标通知书发出后5个工作日内一次性支付给采购代理机构。</w:t>
            </w:r>
          </w:p>
          <w:p>
            <w:pPr>
              <w:spacing w:line="360" w:lineRule="auto"/>
              <w:rPr>
                <w:rFonts w:hint="eastAsia" w:ascii="宋体" w:hAnsi="宋体" w:cs="宋体"/>
                <w:szCs w:val="21"/>
                <w:lang w:val="zh-CN"/>
              </w:rPr>
            </w:pPr>
            <w:r>
              <w:rPr>
                <w:rFonts w:hint="eastAsia" w:ascii="宋体" w:hAnsi="宋体" w:cs="宋体"/>
                <w:szCs w:val="21"/>
                <w:lang w:val="zh-CN"/>
              </w:rPr>
              <w:t>收款单位名称：中金招标有限责任公司舟山分公司</w:t>
            </w:r>
          </w:p>
          <w:p>
            <w:pPr>
              <w:spacing w:line="360" w:lineRule="auto"/>
              <w:rPr>
                <w:rFonts w:hint="eastAsia" w:ascii="宋体" w:hAnsi="宋体" w:cs="宋体"/>
                <w:szCs w:val="21"/>
                <w:lang w:val="zh-CN"/>
              </w:rPr>
            </w:pPr>
            <w:r>
              <w:rPr>
                <w:rFonts w:hint="eastAsia" w:ascii="宋体" w:hAnsi="宋体" w:cs="宋体"/>
                <w:szCs w:val="21"/>
                <w:lang w:val="zh-CN"/>
              </w:rPr>
              <w:t>开户银行：中国建设银行股份有限公司舟山新城支行</w:t>
            </w:r>
          </w:p>
          <w:p>
            <w:pPr>
              <w:spacing w:line="360" w:lineRule="auto"/>
              <w:rPr>
                <w:rFonts w:hint="eastAsia" w:ascii="宋体" w:hAnsi="宋体" w:cs="宋体"/>
                <w:szCs w:val="21"/>
              </w:rPr>
            </w:pPr>
            <w:r>
              <w:rPr>
                <w:rFonts w:hint="eastAsia" w:ascii="宋体" w:hAnsi="宋体" w:cs="宋体"/>
                <w:szCs w:val="21"/>
                <w:lang w:val="zh-CN"/>
              </w:rPr>
              <w:t>银行账号：3300 1706 2550 5300 3969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10</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投标文件的组成</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rPr>
              <w:t>本项目实行网上投标。</w:t>
            </w:r>
          </w:p>
          <w:p>
            <w:pPr>
              <w:spacing w:line="360" w:lineRule="auto"/>
              <w:rPr>
                <w:rFonts w:hint="eastAsia" w:ascii="宋体" w:hAnsi="宋体" w:cs="宋体"/>
                <w:szCs w:val="21"/>
              </w:rPr>
            </w:pPr>
            <w:r>
              <w:rPr>
                <w:rFonts w:hint="eastAsia" w:ascii="宋体" w:hAnsi="宋体" w:cs="宋体"/>
                <w:szCs w:val="21"/>
              </w:rPr>
              <w:t>投标人应准备电子投标文件、以介质存储的数据电文形式的备份投标文件：</w:t>
            </w:r>
          </w:p>
          <w:p>
            <w:pPr>
              <w:spacing w:line="360" w:lineRule="auto"/>
              <w:rPr>
                <w:rFonts w:hint="eastAsia" w:ascii="宋体" w:hAnsi="宋体" w:cs="宋体"/>
                <w:szCs w:val="21"/>
              </w:rPr>
            </w:pPr>
            <w:r>
              <w:rPr>
                <w:rFonts w:hint="eastAsia" w:ascii="宋体" w:hAnsi="宋体" w:cs="宋体"/>
                <w:szCs w:val="21"/>
              </w:rPr>
              <w:t>（1）电子投标文件，按政采云供应商项目采购-电子招投标操作指南及本招标文件要求制作，加密并递交。</w:t>
            </w:r>
          </w:p>
          <w:p>
            <w:pPr>
              <w:pStyle w:val="10"/>
              <w:spacing w:after="0" w:line="360" w:lineRule="auto"/>
              <w:rPr>
                <w:rFonts w:eastAsia="宋体"/>
              </w:rPr>
            </w:pPr>
            <w:r>
              <w:rPr>
                <w:rFonts w:hint="eastAsia" w:ascii="宋体" w:hAnsi="宋体" w:eastAsia="宋体" w:cs="宋体"/>
                <w:b/>
                <w:bCs/>
                <w:sz w:val="21"/>
                <w:szCs w:val="21"/>
              </w:rPr>
              <w:t>（2）以介质存储的数据电文形式的备份投标文件，按政采云供应商项目采购-电子招投标操作指南中制作的电子投标文件，以DVD光盘或U盘形式提供。数量为1份。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11</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开标地点</w:t>
            </w:r>
          </w:p>
        </w:tc>
        <w:tc>
          <w:tcPr>
            <w:tcW w:w="7656" w:type="dxa"/>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rPr>
              <w:t>岱山县高亭镇星河路250号3楼开标室（交通大楼裙楼3楼）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12</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投标文件的递交</w:t>
            </w:r>
          </w:p>
        </w:tc>
        <w:tc>
          <w:tcPr>
            <w:tcW w:w="7656" w:type="dxa"/>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360" w:lineRule="auto"/>
              <w:jc w:val="both"/>
              <w:rPr>
                <w:rFonts w:hint="eastAsia" w:ascii="宋体" w:hAnsi="宋体" w:cs="宋体"/>
                <w:szCs w:val="21"/>
              </w:rPr>
            </w:pPr>
            <w:r>
              <w:rPr>
                <w:rFonts w:hint="eastAsia" w:ascii="宋体" w:hAnsi="宋体" w:cs="宋体"/>
                <w:szCs w:val="21"/>
                <w:lang w:val="en-US" w:eastAsia="zh-CN"/>
              </w:rPr>
              <w:t>一、</w:t>
            </w: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keepNext w:val="0"/>
              <w:keepLines w:val="0"/>
              <w:pageBreakBefore w:val="0"/>
              <w:widowControl w:val="0"/>
              <w:kinsoku/>
              <w:wordWrap/>
              <w:overflowPunct/>
              <w:topLinePunct w:val="0"/>
              <w:bidi w:val="0"/>
              <w:adjustRightInd w:val="0"/>
              <w:snapToGrid w:val="0"/>
              <w:spacing w:line="360" w:lineRule="auto"/>
              <w:jc w:val="both"/>
              <w:rPr>
                <w:rFonts w:hint="eastAsia" w:ascii="宋体" w:hAnsi="宋体" w:cs="宋体"/>
                <w:szCs w:val="21"/>
              </w:rPr>
            </w:pPr>
            <w:r>
              <w:rPr>
                <w:rFonts w:hint="eastAsia" w:ascii="宋体" w:hAnsi="宋体" w:cs="宋体"/>
                <w:szCs w:val="21"/>
                <w:lang w:val="en-US" w:eastAsia="zh-CN"/>
              </w:rPr>
              <w:t>二、</w:t>
            </w:r>
            <w:r>
              <w:rPr>
                <w:rFonts w:hint="eastAsia" w:ascii="宋体" w:hAnsi="宋体" w:cs="宋体"/>
                <w:szCs w:val="21"/>
              </w:rPr>
              <w:t>投标人将备份投标文件于2021年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日1</w:t>
            </w:r>
            <w:r>
              <w:rPr>
                <w:rFonts w:hint="eastAsia" w:ascii="宋体" w:hAnsi="宋体" w:cs="宋体"/>
                <w:szCs w:val="21"/>
                <w:lang w:val="en-US" w:eastAsia="zh-CN"/>
              </w:rPr>
              <w:t>2</w:t>
            </w:r>
            <w:r>
              <w:rPr>
                <w:rFonts w:hint="eastAsia" w:ascii="宋体" w:hAnsi="宋体" w:cs="宋体"/>
                <w:szCs w:val="21"/>
              </w:rPr>
              <w:t>:00（北京时间）前通过邮寄或派人递送的方式送交到采购代理机构处（地址：舟山市新城海天大道998号创客码头四楼</w:t>
            </w:r>
            <w:r>
              <w:rPr>
                <w:rFonts w:hint="eastAsia" w:ascii="宋体" w:hAnsi="宋体" w:cs="宋体"/>
                <w:szCs w:val="21"/>
                <w:lang w:val="en-US" w:eastAsia="zh-CN"/>
              </w:rPr>
              <w:t>/岱山县人民路82号407室</w:t>
            </w:r>
            <w:r>
              <w:rPr>
                <w:rFonts w:hint="eastAsia" w:ascii="宋体" w:hAnsi="宋体" w:cs="宋体"/>
                <w:szCs w:val="21"/>
              </w:rPr>
              <w:t>；联系人：张学睿；联系方式：0580-2083003），也可以在开标时间前送至开标地点，未按时送达的自行承担风险。备份投标文件须密封完好，并注明投标人单位名称。投标人未按规定递交的备份投标文件，采购人有权拒收。</w:t>
            </w:r>
          </w:p>
          <w:p>
            <w:pPr>
              <w:keepNext w:val="0"/>
              <w:keepLines w:val="0"/>
              <w:pageBreakBefore w:val="0"/>
              <w:widowControl w:val="0"/>
              <w:kinsoku/>
              <w:wordWrap/>
              <w:overflowPunct/>
              <w:topLinePunct w:val="0"/>
              <w:bidi w:val="0"/>
              <w:snapToGrid w:val="0"/>
              <w:spacing w:line="360" w:lineRule="auto"/>
              <w:jc w:val="both"/>
              <w:rPr>
                <w:rFonts w:hint="eastAsia" w:ascii="宋体" w:hAnsi="宋体" w:cs="宋体"/>
                <w:szCs w:val="21"/>
              </w:rPr>
            </w:pPr>
            <w:r>
              <w:rPr>
                <w:rFonts w:hint="eastAsia" w:ascii="宋体" w:hAnsi="宋体" w:cs="宋体"/>
                <w:szCs w:val="21"/>
                <w:lang w:val="en-US" w:eastAsia="zh-CN"/>
              </w:rPr>
              <w:t>三、</w:t>
            </w:r>
            <w:r>
              <w:rPr>
                <w:rFonts w:hint="eastAsia" w:ascii="宋体" w:hAnsi="宋体" w:cs="宋体"/>
                <w:szCs w:val="21"/>
              </w:rPr>
              <w:t>投标人递交备份投标文件时，如出现下列情况之一的，将被拒收：</w:t>
            </w:r>
          </w:p>
          <w:p>
            <w:pPr>
              <w:keepNext w:val="0"/>
              <w:keepLines w:val="0"/>
              <w:pageBreakBefore w:val="0"/>
              <w:widowControl w:val="0"/>
              <w:kinsoku/>
              <w:wordWrap/>
              <w:overflowPunct/>
              <w:topLinePunct w:val="0"/>
              <w:bidi w:val="0"/>
              <w:adjustRightInd/>
              <w:snapToGrid w:val="0"/>
              <w:spacing w:line="360" w:lineRule="auto"/>
              <w:ind w:firstLine="420" w:firstLineChars="200"/>
              <w:jc w:val="both"/>
              <w:rPr>
                <w:rFonts w:hint="eastAsia" w:ascii="宋体" w:hAnsi="宋体" w:cs="宋体"/>
                <w:szCs w:val="21"/>
              </w:rPr>
            </w:pPr>
            <w:r>
              <w:rPr>
                <w:rFonts w:hint="eastAsia" w:ascii="宋体" w:hAnsi="宋体" w:cs="宋体"/>
                <w:szCs w:val="21"/>
              </w:rPr>
              <w:t>1、未按规定密封或标记的投标文件；</w:t>
            </w:r>
          </w:p>
          <w:p>
            <w:pPr>
              <w:keepNext w:val="0"/>
              <w:keepLines w:val="0"/>
              <w:pageBreakBefore w:val="0"/>
              <w:widowControl w:val="0"/>
              <w:kinsoku/>
              <w:wordWrap/>
              <w:overflowPunct/>
              <w:topLinePunct w:val="0"/>
              <w:bidi w:val="0"/>
              <w:adjustRightInd/>
              <w:snapToGrid w:val="0"/>
              <w:spacing w:line="360" w:lineRule="auto"/>
              <w:ind w:firstLine="420" w:firstLineChars="200"/>
              <w:jc w:val="both"/>
              <w:rPr>
                <w:rFonts w:hint="eastAsia" w:ascii="宋体" w:hAnsi="宋体" w:cs="宋体"/>
                <w:szCs w:val="21"/>
              </w:rPr>
            </w:pPr>
            <w:r>
              <w:rPr>
                <w:rFonts w:hint="eastAsia" w:ascii="宋体" w:hAnsi="宋体" w:cs="宋体"/>
                <w:szCs w:val="21"/>
              </w:rPr>
              <w:t>2、由于包装不妥，在送交途中严重破损或失散的；</w:t>
            </w:r>
          </w:p>
          <w:p>
            <w:pPr>
              <w:keepNext w:val="0"/>
              <w:keepLines w:val="0"/>
              <w:pageBreakBefore w:val="0"/>
              <w:widowControl w:val="0"/>
              <w:kinsoku/>
              <w:wordWrap/>
              <w:overflowPunct/>
              <w:topLinePunct w:val="0"/>
              <w:bidi w:val="0"/>
              <w:adjustRightInd/>
              <w:snapToGrid w:val="0"/>
              <w:spacing w:line="360" w:lineRule="auto"/>
              <w:ind w:firstLine="420" w:firstLineChars="200"/>
              <w:jc w:val="both"/>
              <w:rPr>
                <w:rFonts w:hint="eastAsia" w:ascii="宋体" w:hAnsi="宋体" w:cs="宋体"/>
                <w:szCs w:val="21"/>
              </w:rPr>
            </w:pPr>
            <w:r>
              <w:rPr>
                <w:rFonts w:hint="eastAsia" w:ascii="宋体" w:hAnsi="宋体" w:cs="宋体"/>
                <w:szCs w:val="21"/>
              </w:rPr>
              <w:t>3、超过投标截止时间送达的。</w:t>
            </w:r>
          </w:p>
          <w:p>
            <w:pPr>
              <w:keepNext w:val="0"/>
              <w:keepLines w:val="0"/>
              <w:pageBreakBefore w:val="0"/>
              <w:widowControl w:val="0"/>
              <w:kinsoku/>
              <w:wordWrap/>
              <w:overflowPunct/>
              <w:topLinePunct w:val="0"/>
              <w:autoSpaceDE w:val="0"/>
              <w:autoSpaceDN w:val="0"/>
              <w:bidi w:val="0"/>
              <w:adjustRightInd/>
              <w:snapToGrid w:val="0"/>
              <w:spacing w:line="360" w:lineRule="auto"/>
              <w:ind w:firstLine="420" w:firstLineChars="200"/>
              <w:jc w:val="both"/>
              <w:textAlignment w:val="bottom"/>
              <w:rPr>
                <w:rFonts w:hint="eastAsia" w:ascii="宋体" w:hAnsi="宋体" w:cs="宋体"/>
                <w:szCs w:val="21"/>
              </w:rPr>
            </w:pPr>
            <w:r>
              <w:rPr>
                <w:rFonts w:hint="eastAsia" w:ascii="宋体" w:hAnsi="宋体" w:cs="宋体"/>
                <w:szCs w:val="21"/>
              </w:rPr>
              <w:t>4、仅提供备份投标文件的。</w:t>
            </w:r>
          </w:p>
          <w:p>
            <w:pPr>
              <w:keepNext w:val="0"/>
              <w:keepLines w:val="0"/>
              <w:pageBreakBefore w:val="0"/>
              <w:widowControl w:val="0"/>
              <w:kinsoku/>
              <w:wordWrap/>
              <w:overflowPunct/>
              <w:topLinePunct w:val="0"/>
              <w:bidi w:val="0"/>
              <w:spacing w:line="360" w:lineRule="auto"/>
              <w:jc w:val="both"/>
              <w:rPr>
                <w:rFonts w:hint="eastAsia" w:ascii="宋体" w:hAnsi="宋体" w:cs="宋体"/>
                <w:b/>
                <w:kern w:val="0"/>
                <w:szCs w:val="21"/>
              </w:rPr>
            </w:pPr>
            <w:r>
              <w:rPr>
                <w:rFonts w:hint="eastAsia" w:ascii="宋体" w:hAnsi="宋体" w:cs="宋体"/>
                <w:szCs w:val="21"/>
                <w:lang w:val="en-US" w:eastAsia="zh-CN"/>
              </w:rPr>
              <w:t>四、</w:t>
            </w:r>
            <w:r>
              <w:rPr>
                <w:rFonts w:hint="eastAsia" w:ascii="宋体" w:hAnsi="宋体" w:cs="宋体"/>
                <w:szCs w:val="21"/>
              </w:rPr>
              <w:t>当发生解密失败或未按时解密的，投标人提供了备份投标文件的，以备份投标文件为依据，否则视为投标文件撤回。投标文件已按时解密的，备份投标文件自动失效。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1" w:hRule="atLeast"/>
          <w:tblCellSpacing w:w="7" w:type="dxa"/>
        </w:trPr>
        <w:tc>
          <w:tcPr>
            <w:tcW w:w="626"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13</w:t>
            </w:r>
          </w:p>
        </w:tc>
        <w:tc>
          <w:tcPr>
            <w:tcW w:w="1743" w:type="dxa"/>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投标文件提交截止时间及开标时间</w:t>
            </w:r>
          </w:p>
        </w:tc>
        <w:tc>
          <w:tcPr>
            <w:tcW w:w="7656" w:type="dxa"/>
            <w:shd w:val="clear" w:color="auto" w:fill="FFFFFF"/>
            <w:noWrap w:val="0"/>
            <w:vAlign w:val="center"/>
          </w:tcPr>
          <w:p>
            <w:pPr>
              <w:spacing w:line="360" w:lineRule="auto"/>
              <w:jc w:val="left"/>
              <w:rPr>
                <w:rFonts w:hint="eastAsia" w:ascii="宋体" w:hAnsi="宋体" w:cs="宋体"/>
                <w:b/>
                <w:szCs w:val="21"/>
              </w:rPr>
            </w:pPr>
            <w:r>
              <w:rPr>
                <w:rFonts w:hint="eastAsia" w:ascii="宋体" w:hAnsi="宋体" w:cs="宋体"/>
                <w:b/>
                <w:kern w:val="0"/>
                <w:szCs w:val="21"/>
              </w:rPr>
              <w:t>2021年</w:t>
            </w:r>
            <w:r>
              <w:rPr>
                <w:rFonts w:hint="eastAsia" w:ascii="宋体" w:hAnsi="宋体" w:cs="宋体"/>
                <w:b/>
                <w:kern w:val="0"/>
                <w:szCs w:val="21"/>
                <w:lang w:val="en-US" w:eastAsia="zh-CN"/>
              </w:rPr>
              <w:t xml:space="preserve">  </w:t>
            </w:r>
            <w:r>
              <w:rPr>
                <w:rFonts w:hint="eastAsia" w:ascii="宋体" w:hAnsi="宋体" w:cs="宋体"/>
                <w:b/>
                <w:kern w:val="0"/>
                <w:szCs w:val="21"/>
              </w:rPr>
              <w:t>月</w:t>
            </w:r>
            <w:r>
              <w:rPr>
                <w:rFonts w:hint="eastAsia" w:ascii="宋体" w:hAnsi="宋体" w:cs="宋体"/>
                <w:b/>
                <w:kern w:val="0"/>
                <w:szCs w:val="21"/>
                <w:lang w:val="en-US" w:eastAsia="zh-CN"/>
              </w:rPr>
              <w:t xml:space="preserve">  </w:t>
            </w:r>
            <w:r>
              <w:rPr>
                <w:rFonts w:hint="eastAsia" w:ascii="宋体" w:hAnsi="宋体" w:cs="宋体"/>
                <w:b/>
                <w:kern w:val="0"/>
                <w:szCs w:val="21"/>
              </w:rPr>
              <w:t>日14:</w:t>
            </w:r>
            <w:r>
              <w:rPr>
                <w:rFonts w:hint="eastAsia" w:ascii="宋体" w:hAnsi="宋体" w:cs="宋体"/>
                <w:b/>
                <w:kern w:val="0"/>
                <w:szCs w:val="21"/>
                <w:lang w:val="en-US" w:eastAsia="zh-CN"/>
              </w:rPr>
              <w:t>15</w:t>
            </w:r>
            <w:r>
              <w:rPr>
                <w:rFonts w:hint="eastAsia"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restart"/>
            <w:shd w:val="clear" w:color="auto" w:fill="E0E0E0"/>
            <w:noWrap w:val="0"/>
            <w:vAlign w:val="center"/>
          </w:tcPr>
          <w:p>
            <w:pPr>
              <w:spacing w:line="360" w:lineRule="auto"/>
              <w:jc w:val="center"/>
              <w:rPr>
                <w:rFonts w:hint="eastAsia" w:ascii="宋体" w:hAnsi="宋体" w:cs="宋体"/>
                <w:b/>
                <w:szCs w:val="21"/>
              </w:rPr>
            </w:pPr>
            <w:r>
              <w:rPr>
                <w:rFonts w:hint="eastAsia" w:ascii="宋体" w:hAnsi="宋体" w:cs="宋体"/>
                <w:b/>
                <w:szCs w:val="21"/>
              </w:rPr>
              <w:t>14</w:t>
            </w:r>
          </w:p>
        </w:tc>
        <w:tc>
          <w:tcPr>
            <w:tcW w:w="1743" w:type="dxa"/>
            <w:vMerge w:val="restart"/>
            <w:shd w:val="clear" w:color="auto" w:fill="E0E0E0"/>
            <w:noWrap w:val="0"/>
            <w:vAlign w:val="center"/>
          </w:tcPr>
          <w:p>
            <w:pPr>
              <w:spacing w:line="360" w:lineRule="auto"/>
              <w:jc w:val="center"/>
              <w:rPr>
                <w:rFonts w:hint="eastAsia" w:ascii="宋体" w:hAnsi="宋体" w:cs="宋体"/>
                <w:b/>
                <w:szCs w:val="21"/>
              </w:rPr>
            </w:pPr>
            <w:r>
              <w:rPr>
                <w:rFonts w:hint="eastAsia"/>
                <w:b/>
              </w:rPr>
              <w:t>相关</w:t>
            </w:r>
            <w:r>
              <w:rPr>
                <w:b/>
              </w:rPr>
              <w:t>政策</w:t>
            </w:r>
          </w:p>
        </w:tc>
        <w:tc>
          <w:tcPr>
            <w:tcW w:w="7656" w:type="dxa"/>
            <w:shd w:val="clear" w:color="auto" w:fill="FFFFFF"/>
            <w:noWrap w:val="0"/>
            <w:vAlign w:val="center"/>
          </w:tcPr>
          <w:p>
            <w:pPr>
              <w:pStyle w:val="10"/>
              <w:spacing w:after="0" w:line="360" w:lineRule="auto"/>
              <w:rPr>
                <w:rFonts w:hint="eastAsia" w:ascii="宋体" w:hAnsi="宋体" w:eastAsia="宋体" w:cs="宋体"/>
                <w:b/>
                <w:kern w:val="0"/>
                <w:sz w:val="21"/>
                <w:szCs w:val="21"/>
              </w:rPr>
            </w:pPr>
            <w:r>
              <w:rPr>
                <w:rFonts w:hint="eastAsia" w:ascii="宋体" w:hAnsi="宋体" w:eastAsia="宋体" w:cs="宋体"/>
                <w:b/>
                <w:kern w:val="0"/>
                <w:sz w:val="21"/>
                <w:szCs w:val="21"/>
              </w:rPr>
              <w:t>本项目</w:t>
            </w:r>
            <w:r>
              <w:rPr>
                <w:rFonts w:hint="eastAsia" w:ascii="宋体" w:hAnsi="宋体" w:eastAsia="宋体" w:cs="宋体"/>
                <w:b/>
                <w:kern w:val="0"/>
                <w:sz w:val="21"/>
                <w:szCs w:val="21"/>
                <w:lang w:val="en-US" w:eastAsia="zh-CN"/>
              </w:rPr>
              <w:t>非</w:t>
            </w:r>
            <w:r>
              <w:rPr>
                <w:rFonts w:hint="eastAsia" w:ascii="宋体" w:hAnsi="宋体" w:eastAsia="宋体" w:cs="宋体"/>
                <w:b/>
                <w:kern w:val="0"/>
                <w:sz w:val="21"/>
                <w:szCs w:val="21"/>
              </w:rPr>
              <w:t>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continue"/>
            <w:shd w:val="clear" w:color="auto" w:fill="E0E0E0"/>
            <w:noWrap w:val="0"/>
            <w:vAlign w:val="center"/>
          </w:tcPr>
          <w:p>
            <w:pPr>
              <w:spacing w:line="360" w:lineRule="auto"/>
              <w:jc w:val="center"/>
              <w:rPr>
                <w:rFonts w:hint="eastAsia" w:ascii="宋体" w:hAnsi="宋体" w:cs="宋体"/>
                <w:b/>
                <w:szCs w:val="21"/>
              </w:rPr>
            </w:pPr>
          </w:p>
        </w:tc>
        <w:tc>
          <w:tcPr>
            <w:tcW w:w="1743" w:type="dxa"/>
            <w:vMerge w:val="continue"/>
            <w:shd w:val="clear" w:color="auto" w:fill="E0E0E0"/>
            <w:noWrap w:val="0"/>
            <w:vAlign w:val="center"/>
          </w:tcPr>
          <w:p>
            <w:pPr>
              <w:spacing w:before="100" w:beforeAutospacing="1" w:after="100" w:afterAutospacing="1" w:line="360" w:lineRule="auto"/>
              <w:jc w:val="center"/>
              <w:rPr>
                <w:rFonts w:hint="eastAsia" w:ascii="宋体" w:hAnsi="宋体" w:cs="宋体"/>
                <w:b/>
                <w:kern w:val="0"/>
                <w:szCs w:val="21"/>
              </w:rPr>
            </w:pPr>
          </w:p>
        </w:tc>
        <w:tc>
          <w:tcPr>
            <w:tcW w:w="7656" w:type="dxa"/>
            <w:shd w:val="clear" w:color="auto" w:fill="FFFFFF"/>
            <w:noWrap w:val="0"/>
            <w:vAlign w:val="center"/>
          </w:tcPr>
          <w:p>
            <w:pPr>
              <w:spacing w:line="360" w:lineRule="auto"/>
              <w:rPr>
                <w:rFonts w:hint="eastAsia" w:ascii="宋体" w:hAnsi="宋体" w:cs="宋体"/>
                <w:kern w:val="0"/>
                <w:szCs w:val="21"/>
              </w:rPr>
            </w:pPr>
            <w:r>
              <w:rPr>
                <w:rFonts w:hint="eastAsia" w:ascii="宋体" w:hAnsi="宋体" w:cs="宋体"/>
                <w:b/>
                <w:bCs/>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continue"/>
            <w:shd w:val="clear" w:color="auto" w:fill="E0E0E0"/>
            <w:noWrap w:val="0"/>
            <w:vAlign w:val="center"/>
          </w:tcPr>
          <w:p>
            <w:pPr>
              <w:spacing w:line="360" w:lineRule="auto"/>
              <w:jc w:val="center"/>
              <w:rPr>
                <w:rFonts w:hint="eastAsia" w:ascii="宋体" w:hAnsi="宋体" w:cs="宋体"/>
                <w:b/>
                <w:szCs w:val="21"/>
              </w:rPr>
            </w:pPr>
          </w:p>
        </w:tc>
        <w:tc>
          <w:tcPr>
            <w:tcW w:w="1743" w:type="dxa"/>
            <w:vMerge w:val="continue"/>
            <w:shd w:val="clear" w:color="auto" w:fill="E0E0E0"/>
            <w:noWrap w:val="0"/>
            <w:vAlign w:val="center"/>
          </w:tcPr>
          <w:p>
            <w:pPr>
              <w:spacing w:before="100" w:beforeAutospacing="1" w:after="100" w:afterAutospacing="1" w:line="360" w:lineRule="auto"/>
              <w:jc w:val="center"/>
              <w:rPr>
                <w:rFonts w:hint="eastAsia" w:ascii="宋体" w:hAnsi="宋体" w:cs="宋体"/>
                <w:b/>
                <w:kern w:val="0"/>
                <w:szCs w:val="21"/>
              </w:rPr>
            </w:pPr>
          </w:p>
        </w:tc>
        <w:tc>
          <w:tcPr>
            <w:tcW w:w="7656" w:type="dxa"/>
            <w:shd w:val="clear" w:color="auto" w:fill="FFFFFF"/>
            <w:noWrap w:val="0"/>
            <w:vAlign w:val="center"/>
          </w:tcPr>
          <w:p>
            <w:pPr>
              <w:spacing w:line="360" w:lineRule="auto"/>
              <w:rPr>
                <w:rFonts w:hint="eastAsia" w:ascii="宋体" w:hAnsi="宋体" w:eastAsia="宋体" w:cs="宋体"/>
                <w:lang w:eastAsia="zh-CN"/>
              </w:rPr>
            </w:pPr>
            <w:r>
              <w:rPr>
                <w:rFonts w:hint="eastAsia"/>
                <w:b/>
                <w:bCs/>
              </w:rPr>
              <w:t>本项目不允许转包</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continue"/>
            <w:shd w:val="clear" w:color="auto" w:fill="E0E0E0"/>
            <w:noWrap w:val="0"/>
            <w:vAlign w:val="center"/>
          </w:tcPr>
          <w:p>
            <w:pPr>
              <w:spacing w:line="360" w:lineRule="auto"/>
              <w:jc w:val="center"/>
              <w:rPr>
                <w:rFonts w:hint="eastAsia" w:ascii="宋体" w:hAnsi="宋体" w:cs="宋体"/>
                <w:b/>
                <w:szCs w:val="21"/>
              </w:rPr>
            </w:pPr>
          </w:p>
        </w:tc>
        <w:tc>
          <w:tcPr>
            <w:tcW w:w="1743" w:type="dxa"/>
            <w:vMerge w:val="continue"/>
            <w:shd w:val="clear" w:color="auto" w:fill="E0E0E0"/>
            <w:noWrap w:val="0"/>
            <w:vAlign w:val="center"/>
          </w:tcPr>
          <w:p>
            <w:pPr>
              <w:spacing w:before="100" w:beforeAutospacing="1" w:after="100" w:afterAutospacing="1" w:line="360" w:lineRule="auto"/>
              <w:jc w:val="center"/>
              <w:rPr>
                <w:rFonts w:hint="eastAsia" w:ascii="宋体" w:hAnsi="宋体" w:cs="宋体"/>
                <w:b/>
                <w:kern w:val="0"/>
                <w:szCs w:val="21"/>
              </w:rPr>
            </w:pPr>
          </w:p>
        </w:tc>
        <w:tc>
          <w:tcPr>
            <w:tcW w:w="7656" w:type="dxa"/>
            <w:shd w:val="clear" w:color="auto" w:fill="FFFFFF"/>
            <w:noWrap w:val="0"/>
            <w:vAlign w:val="center"/>
          </w:tcPr>
          <w:p>
            <w:pPr>
              <w:spacing w:line="360" w:lineRule="auto"/>
              <w:rPr>
                <w:rFonts w:ascii="宋体" w:hAnsi="宋体" w:cs="宋体"/>
              </w:rPr>
            </w:pPr>
            <w:r>
              <w:rPr>
                <w:rFonts w:hint="eastAsia" w:ascii="宋体" w:hAnsi="宋体" w:cs="宋体"/>
                <w:b/>
                <w:kern w:val="0"/>
                <w:szCs w:val="21"/>
              </w:rPr>
              <w:t>本项目采购标的对应的中小企业划分标准所属行业：工业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trPr>
        <w:tc>
          <w:tcPr>
            <w:tcW w:w="626" w:type="dxa"/>
            <w:vMerge w:val="continue"/>
            <w:shd w:val="clear" w:color="auto" w:fill="E0E0E0"/>
            <w:noWrap w:val="0"/>
            <w:vAlign w:val="center"/>
          </w:tcPr>
          <w:p>
            <w:pPr>
              <w:spacing w:line="360" w:lineRule="auto"/>
              <w:jc w:val="center"/>
              <w:rPr>
                <w:rFonts w:hint="eastAsia" w:ascii="宋体" w:hAnsi="宋体" w:cs="宋体"/>
                <w:b/>
                <w:szCs w:val="21"/>
              </w:rPr>
            </w:pPr>
          </w:p>
        </w:tc>
        <w:tc>
          <w:tcPr>
            <w:tcW w:w="1743" w:type="dxa"/>
            <w:vMerge w:val="continue"/>
            <w:shd w:val="clear" w:color="auto" w:fill="E0E0E0"/>
            <w:noWrap w:val="0"/>
            <w:vAlign w:val="center"/>
          </w:tcPr>
          <w:p>
            <w:pPr>
              <w:spacing w:before="100" w:beforeAutospacing="1" w:after="100" w:afterAutospacing="1" w:line="360" w:lineRule="auto"/>
              <w:jc w:val="center"/>
              <w:rPr>
                <w:rFonts w:hint="eastAsia" w:ascii="宋体" w:hAnsi="宋体" w:cs="宋体"/>
                <w:b/>
                <w:kern w:val="0"/>
                <w:szCs w:val="21"/>
              </w:rPr>
            </w:pPr>
          </w:p>
        </w:tc>
        <w:tc>
          <w:tcPr>
            <w:tcW w:w="7656" w:type="dxa"/>
            <w:shd w:val="clear" w:color="auto" w:fill="FFFFFF"/>
            <w:noWrap w:val="0"/>
            <w:vAlign w:val="center"/>
          </w:tcPr>
          <w:p>
            <w:pPr>
              <w:spacing w:line="360" w:lineRule="auto"/>
              <w:jc w:val="left"/>
              <w:rPr>
                <w:rFonts w:hint="eastAsia" w:ascii="宋体" w:hAnsi="宋体" w:cs="宋体"/>
                <w:b/>
                <w:kern w:val="0"/>
                <w:szCs w:val="21"/>
              </w:rPr>
            </w:pPr>
            <w:r>
              <w:rPr>
                <w:rFonts w:hint="eastAsia" w:ascii="宋体" w:hAnsi="宋体" w:cs="宋体"/>
                <w:b/>
                <w:kern w:val="0"/>
                <w:szCs w:val="21"/>
              </w:rPr>
              <w:t>一、根据《政府采购促进中小企业发展管理办法》（财库[2020]46号）规定：</w:t>
            </w:r>
          </w:p>
          <w:p>
            <w:pPr>
              <w:spacing w:line="360" w:lineRule="auto"/>
              <w:jc w:val="left"/>
              <w:rPr>
                <w:rFonts w:hint="eastAsia" w:ascii="宋体" w:hAnsi="宋体" w:cs="宋体"/>
                <w:bCs/>
                <w:kern w:val="0"/>
                <w:szCs w:val="21"/>
              </w:rPr>
            </w:pPr>
            <w:r>
              <w:rPr>
                <w:rFonts w:hint="eastAsia" w:ascii="宋体" w:hAnsi="宋体" w:cs="宋体"/>
                <w:bCs/>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60" w:lineRule="auto"/>
              <w:jc w:val="left"/>
              <w:rPr>
                <w:rFonts w:hint="eastAsia" w:ascii="宋体" w:hAnsi="宋体" w:cs="宋体"/>
                <w:bCs/>
                <w:kern w:val="0"/>
                <w:szCs w:val="21"/>
              </w:rPr>
            </w:pPr>
            <w:r>
              <w:rPr>
                <w:rFonts w:hint="eastAsia" w:ascii="宋体" w:hAnsi="宋体" w:cs="宋体"/>
                <w:bCs/>
                <w:kern w:val="0"/>
                <w:szCs w:val="21"/>
              </w:rPr>
              <w:t>符合中小企业划分标准的个体工商户，在政府采购活动中视同中小企业。</w:t>
            </w:r>
          </w:p>
          <w:p>
            <w:pPr>
              <w:spacing w:line="360" w:lineRule="auto"/>
              <w:jc w:val="left"/>
              <w:rPr>
                <w:rFonts w:hint="eastAsia" w:ascii="宋体" w:hAnsi="宋体" w:cs="宋体"/>
                <w:bCs/>
                <w:kern w:val="0"/>
                <w:szCs w:val="21"/>
              </w:rPr>
            </w:pPr>
            <w:r>
              <w:rPr>
                <w:rFonts w:hint="eastAsia" w:ascii="宋体" w:hAnsi="宋体" w:cs="宋体"/>
                <w:bCs/>
                <w:kern w:val="0"/>
                <w:szCs w:val="21"/>
              </w:rPr>
              <w:t>2.在政府采购活动中，供应商提供的货物、工程或者服务符合下列情形的，享受本办法规定的中小企业扶持政策：</w:t>
            </w:r>
          </w:p>
          <w:p>
            <w:pPr>
              <w:spacing w:line="360" w:lineRule="auto"/>
              <w:jc w:val="left"/>
              <w:rPr>
                <w:rFonts w:hint="eastAsia" w:ascii="宋体" w:hAnsi="宋体" w:cs="宋体"/>
                <w:bCs/>
                <w:kern w:val="0"/>
                <w:szCs w:val="21"/>
              </w:rPr>
            </w:pPr>
            <w:r>
              <w:rPr>
                <w:rFonts w:hint="eastAsia" w:ascii="宋体" w:hAnsi="宋体" w:cs="宋体"/>
                <w:bCs/>
                <w:kern w:val="0"/>
                <w:szCs w:val="21"/>
              </w:rPr>
              <w:t xml:space="preserve">（1）在货物采购项目中，货物由中小企业制造，即货物由中小企业生产且使用该中小企业商号或者注册商标； </w:t>
            </w:r>
          </w:p>
          <w:p>
            <w:pPr>
              <w:spacing w:line="360" w:lineRule="auto"/>
              <w:jc w:val="left"/>
              <w:rPr>
                <w:rFonts w:hint="eastAsia" w:ascii="宋体" w:hAnsi="宋体" w:cs="宋体"/>
                <w:bCs/>
                <w:kern w:val="0"/>
                <w:szCs w:val="21"/>
              </w:rPr>
            </w:pPr>
            <w:r>
              <w:rPr>
                <w:rFonts w:hint="eastAsia" w:ascii="宋体" w:hAnsi="宋体" w:cs="宋体"/>
                <w:bCs/>
                <w:kern w:val="0"/>
                <w:szCs w:val="21"/>
              </w:rPr>
              <w:t xml:space="preserve">（2）在工程采购项目中，工程由中小企业承建，即工程施工单位为中小企业； </w:t>
            </w:r>
          </w:p>
          <w:p>
            <w:pPr>
              <w:spacing w:line="360" w:lineRule="auto"/>
              <w:jc w:val="left"/>
              <w:rPr>
                <w:rFonts w:hint="eastAsia" w:ascii="宋体" w:hAnsi="宋体" w:cs="宋体"/>
                <w:bCs/>
                <w:kern w:val="0"/>
                <w:szCs w:val="21"/>
              </w:rPr>
            </w:pPr>
            <w:r>
              <w:rPr>
                <w:rFonts w:hint="eastAsia" w:ascii="宋体" w:hAnsi="宋体" w:cs="宋体"/>
                <w:bCs/>
                <w:kern w:val="0"/>
                <w:szCs w:val="21"/>
              </w:rPr>
              <w:t xml:space="preserve">（3）在服务采购项目中，服务由中小企业承接，即提供服务的人员为中小企业依照《中华人民共和国劳动合同法》订立劳动合同的从业人员。 </w:t>
            </w:r>
          </w:p>
          <w:p>
            <w:pPr>
              <w:spacing w:line="360" w:lineRule="auto"/>
              <w:jc w:val="left"/>
              <w:rPr>
                <w:rFonts w:hint="eastAsia" w:ascii="宋体" w:hAnsi="宋体" w:cs="宋体"/>
                <w:bCs/>
                <w:kern w:val="0"/>
                <w:szCs w:val="21"/>
              </w:rPr>
            </w:pPr>
            <w:r>
              <w:rPr>
                <w:rFonts w:hint="eastAsia" w:ascii="宋体" w:hAnsi="宋体" w:cs="宋体"/>
                <w:bCs/>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60" w:lineRule="auto"/>
              <w:jc w:val="left"/>
              <w:rPr>
                <w:rFonts w:hint="eastAsia" w:ascii="宋体" w:hAnsi="宋体" w:cs="宋体"/>
                <w:b/>
                <w:kern w:val="0"/>
                <w:szCs w:val="21"/>
              </w:rPr>
            </w:pPr>
            <w:r>
              <w:rPr>
                <w:rFonts w:hint="eastAsia" w:ascii="宋体" w:hAnsi="宋体" w:cs="宋体"/>
                <w:b/>
                <w:kern w:val="0"/>
                <w:szCs w:val="21"/>
              </w:rPr>
              <w:t>二、本项目中小企业扶持政策：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vertAlign w:val="baseline"/>
                <w:lang w:val="en-US" w:eastAsia="zh-CN"/>
              </w:rPr>
              <w:t>1、本项目对符合《政府采购促进中小企业发展管理办法》（财库[2020]46号）规定的小微企业报价给予6%的扣除，对于分包意向协议约定小微企业的合同份额占到合同总金额 30%以上的中大型企业投标报价给予2%的扣除，用扣除后的价格参加评审</w:t>
            </w:r>
            <w:r>
              <w:rPr>
                <w:rFonts w:hint="eastAsia" w:ascii="宋体" w:hAnsi="宋体" w:eastAsia="宋体" w:cs="宋体"/>
                <w:color w:val="auto"/>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0" w:firstLineChars="0"/>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2、小微企业应按照招标文件格式要求提供《中小企业声明函》。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0" w:firstLineChars="0"/>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0" w:firstLineChars="0"/>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0" w:firstLineChars="0"/>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lang w:val="en-US" w:eastAsia="zh-CN"/>
              </w:rPr>
              <w:t>5、按</w:t>
            </w:r>
            <w:r>
              <w:rPr>
                <w:rFonts w:hint="eastAsia" w:ascii="宋体" w:hAnsi="宋体" w:eastAsia="宋体" w:cs="宋体"/>
                <w:color w:val="auto"/>
                <w:sz w:val="21"/>
                <w:szCs w:val="21"/>
                <w:highlight w:val="none"/>
              </w:rPr>
              <w:t>规定享受扶持政策获得政府采购合同的，小微企业不得将合同分包给大中型企业，中型企业不得将合同分包给大型企业</w:t>
            </w:r>
            <w:r>
              <w:rPr>
                <w:rFonts w:hint="eastAsia" w:ascii="宋体" w:hAnsi="宋体" w:eastAsia="宋体" w:cs="宋体"/>
                <w:color w:val="auto"/>
                <w:sz w:val="21"/>
                <w:szCs w:val="21"/>
                <w:highlight w:val="none"/>
                <w:lang w:eastAsia="zh-CN"/>
              </w:rPr>
              <w:t>。</w:t>
            </w:r>
          </w:p>
          <w:p>
            <w:pPr>
              <w:spacing w:line="360" w:lineRule="auto"/>
              <w:rPr>
                <w:rFonts w:hint="eastAsia" w:ascii="宋体" w:hAnsi="宋体" w:cs="宋体"/>
              </w:rPr>
            </w:pPr>
            <w:r>
              <w:rPr>
                <w:rFonts w:hint="eastAsia" w:ascii="宋体" w:hAnsi="宋体" w:eastAsia="宋体" w:cs="宋体"/>
                <w:color w:val="auto"/>
                <w:sz w:val="21"/>
                <w:szCs w:val="21"/>
                <w:highlight w:val="none"/>
                <w:vertAlign w:val="baseline"/>
                <w:lang w:val="en-US" w:eastAsia="zh-CN"/>
              </w:rPr>
              <w:t>6、</w:t>
            </w:r>
            <w:r>
              <w:rPr>
                <w:rFonts w:hint="eastAsia" w:ascii="宋体" w:hAnsi="宋体" w:eastAsia="宋体" w:cs="宋体"/>
                <w:color w:val="auto"/>
                <w:sz w:val="21"/>
                <w:szCs w:val="21"/>
                <w:highlight w:val="none"/>
              </w:rPr>
              <w:t>供应商按照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政府采购促进中小企业发展管理办法</w:t>
            </w:r>
            <w:r>
              <w:rPr>
                <w:rFonts w:hint="eastAsia" w:ascii="宋体" w:hAnsi="宋体" w:eastAsia="宋体" w:cs="宋体"/>
                <w:color w:val="auto"/>
                <w:sz w:val="21"/>
                <w:szCs w:val="21"/>
                <w:highlight w:val="none"/>
                <w:lang w:eastAsia="zh-CN"/>
              </w:rPr>
              <w:t>》（财库[2020]46号）</w:t>
            </w:r>
            <w:r>
              <w:rPr>
                <w:rFonts w:hint="eastAsia" w:ascii="宋体" w:hAnsi="宋体" w:eastAsia="宋体" w:cs="宋体"/>
                <w:color w:val="auto"/>
                <w:sz w:val="21"/>
                <w:szCs w:val="21"/>
                <w:highlight w:val="none"/>
              </w:rPr>
              <w:t>规定提供声明函内容不实的，属于提供虚假材料谋取中标、成交，依照《中华人民共和国政府采购法》等国家有关规定追究相应责任。</w:t>
            </w:r>
          </w:p>
        </w:tc>
      </w:tr>
    </w:tbl>
    <w:p>
      <w:pPr>
        <w:snapToGrid w:val="0"/>
        <w:spacing w:line="276" w:lineRule="auto"/>
        <w:rPr>
          <w:rFonts w:ascii="宋体" w:hAnsi="宋体" w:cs="宋体"/>
          <w:b/>
          <w:szCs w:val="21"/>
        </w:rPr>
      </w:pPr>
    </w:p>
    <w:p>
      <w:pPr>
        <w:pStyle w:val="73"/>
        <w:rPr>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一、总  则</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hAnsi="宋体" w:eastAsia="宋体" w:cs="宋体"/>
          <w:b/>
          <w:sz w:val="21"/>
          <w:szCs w:val="21"/>
        </w:rPr>
      </w:pPr>
      <w:r>
        <w:rPr>
          <w:rFonts w:hint="eastAsia" w:hAnsi="宋体" w:eastAsia="宋体" w:cs="宋体"/>
          <w:b/>
          <w:sz w:val="21"/>
          <w:szCs w:val="21"/>
        </w:rPr>
        <w:t>（一）适用范围</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本招标文件适用于本次项目的评标、定标、验收、合同履约、付款等（法律、法规另有规定的，从其规定）。</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rPr>
        <w:t>（二）定义</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1、“采购人”系指组织本次采购的单位：</w:t>
      </w:r>
      <w:r>
        <w:rPr>
          <w:rFonts w:hint="eastAsia" w:hAnsi="宋体" w:eastAsia="宋体" w:cs="宋体"/>
          <w:sz w:val="21"/>
          <w:szCs w:val="21"/>
          <w:lang w:eastAsia="zh-CN"/>
        </w:rPr>
        <w:t>岱山县大数据管理中心</w:t>
      </w:r>
      <w:r>
        <w:rPr>
          <w:rFonts w:hint="eastAsia" w:hAnsi="宋体" w:eastAsia="宋体" w:cs="宋体"/>
          <w:sz w:val="21"/>
          <w:szCs w:val="21"/>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2、“采购代理机构”系指中金招标有限责任公司。</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3、“投标人”系指向采购代理机构提交投标文件的供应商。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4、“中标人”系指经评审小组评定，且审查通过，并经公示无异议的合格投标人。</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5、“投标人代表”系指全权代表投标人参加本次投标活动并签署投标文件的人，如果投标人代表不是投标人的法定代表人，须提供《法定代表人授权函》。</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6、“产品”系指供方按招标文件规定，须向采购人提供的一切产品、保险、税金、备品备件、工具、手册及其它有关技术资料和材料。</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7、“服务”系指招标文件规定投标人须承担的安装、调试、技术协助、校准、培训、数据服务以及其他类似的义务。</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8、“项目”系指投标人按招标文件规定向采购人提供的产品和服务。</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9、“书面形式”包括信函、传真、快递、电报等。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rPr>
        <w:t>（三）</w:t>
      </w:r>
      <w:r>
        <w:rPr>
          <w:rFonts w:hint="eastAsia" w:ascii="宋体" w:hAnsi="宋体" w:cs="宋体"/>
          <w:b/>
          <w:szCs w:val="21"/>
          <w:highlight w:val="none"/>
        </w:rPr>
        <w:t>采购方式</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本次采用公开招标方式进行。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default" w:hAnsi="宋体" w:eastAsia="宋体" w:cs="宋体"/>
          <w:b/>
          <w:sz w:val="21"/>
          <w:szCs w:val="21"/>
          <w:lang w:val="en-US" w:eastAsia="zh-CN"/>
        </w:rPr>
      </w:pPr>
      <w:r>
        <w:rPr>
          <w:rFonts w:hint="eastAsia" w:hAnsi="宋体" w:eastAsia="宋体" w:cs="宋体"/>
          <w:b/>
          <w:sz w:val="21"/>
          <w:szCs w:val="21"/>
        </w:rPr>
        <w:t>（四）</w:t>
      </w:r>
      <w:r>
        <w:rPr>
          <w:rFonts w:hint="eastAsia" w:hAnsi="宋体" w:eastAsia="宋体" w:cs="宋体"/>
          <w:b/>
          <w:sz w:val="21"/>
          <w:szCs w:val="21"/>
          <w:highlight w:val="none"/>
          <w:lang w:val="en-US" w:eastAsia="zh-CN"/>
        </w:rPr>
        <w:t>预算金额</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lang w:val="en-US" w:eastAsia="zh-CN"/>
        </w:rPr>
        <w:t>本项目预算金额为人民币315万</w:t>
      </w:r>
      <w:r>
        <w:rPr>
          <w:rFonts w:hint="eastAsia" w:ascii="宋体" w:hAnsi="宋体" w:cs="宋体"/>
          <w:b/>
          <w:szCs w:val="21"/>
        </w:rPr>
        <w:t>元，超过作投标无效处理。</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rPr>
        <w:t>（五）联合体投标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ascii="宋体" w:hAnsi="宋体" w:cs="宋体"/>
          <w:b/>
          <w:szCs w:val="21"/>
        </w:rPr>
      </w:pPr>
      <w:r>
        <w:rPr>
          <w:rFonts w:hint="eastAsia" w:ascii="宋体" w:hAnsi="宋体" w:cs="宋体"/>
          <w:b/>
          <w:szCs w:val="21"/>
        </w:rPr>
        <w:t>（六）转包</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Ansi="宋体" w:eastAsia="宋体" w:cs="宋体"/>
          <w:sz w:val="21"/>
          <w:szCs w:val="21"/>
        </w:rPr>
      </w:pPr>
      <w:r>
        <w:rPr>
          <w:rFonts w:hint="eastAsia" w:hAnsi="宋体" w:eastAsia="宋体" w:cs="宋体"/>
          <w:sz w:val="21"/>
          <w:szCs w:val="21"/>
        </w:rPr>
        <w:t>本项目不允许转包。</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rPr>
        <w:t>（七）投标费用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cs="宋体"/>
          <w:szCs w:val="21"/>
        </w:rPr>
      </w:pPr>
      <w:r>
        <w:rPr>
          <w:rFonts w:hint="eastAsia" w:ascii="宋体" w:hAnsi="宋体" w:cs="宋体"/>
          <w:szCs w:val="21"/>
        </w:rPr>
        <w:t>不论投标结果如何，投标人均应自行承担所有与投标有关的全部费用。</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hAnsi="宋体" w:eastAsia="宋体" w:cs="宋体"/>
          <w:b/>
          <w:kern w:val="0"/>
          <w:sz w:val="21"/>
          <w:szCs w:val="21"/>
        </w:rPr>
      </w:pPr>
      <w:r>
        <w:rPr>
          <w:rFonts w:hint="eastAsia" w:hAnsi="宋体" w:eastAsia="宋体" w:cs="宋体"/>
          <w:b/>
          <w:kern w:val="0"/>
          <w:sz w:val="21"/>
          <w:szCs w:val="21"/>
        </w:rPr>
        <w:t>（八）答疑与澄清</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kern w:val="0"/>
          <w:sz w:val="21"/>
          <w:szCs w:val="21"/>
        </w:rPr>
      </w:pPr>
      <w:r>
        <w:rPr>
          <w:rFonts w:hint="eastAsia" w:hAnsi="宋体" w:eastAsia="宋体" w:cs="宋体"/>
          <w:kern w:val="0"/>
          <w:sz w:val="21"/>
          <w:szCs w:val="21"/>
        </w:rPr>
        <w:t>投标人如认为招标文件表述不清晰、存在歧视性、排他性或者其他违法内容的，应当于2021年</w:t>
      </w:r>
      <w:r>
        <w:rPr>
          <w:rFonts w:hint="eastAsia" w:hAnsi="宋体" w:eastAsia="宋体" w:cs="宋体"/>
          <w:kern w:val="0"/>
          <w:sz w:val="21"/>
          <w:szCs w:val="21"/>
          <w:lang w:val="en-US" w:eastAsia="zh-CN"/>
        </w:rPr>
        <w:t xml:space="preserve">  </w:t>
      </w:r>
      <w:r>
        <w:rPr>
          <w:rFonts w:hint="eastAsia" w:hAnsi="宋体" w:eastAsia="宋体" w:cs="宋体"/>
          <w:kern w:val="0"/>
          <w:sz w:val="21"/>
          <w:szCs w:val="21"/>
        </w:rPr>
        <w:t>月</w:t>
      </w:r>
      <w:r>
        <w:rPr>
          <w:rFonts w:hint="eastAsia" w:hAnsi="宋体" w:eastAsia="宋体" w:cs="宋体"/>
          <w:kern w:val="0"/>
          <w:sz w:val="21"/>
          <w:szCs w:val="21"/>
          <w:lang w:val="en-US" w:eastAsia="zh-CN"/>
        </w:rPr>
        <w:t xml:space="preserve">  </w:t>
      </w:r>
      <w:r>
        <w:rPr>
          <w:rFonts w:hint="eastAsia" w:hAnsi="宋体" w:eastAsia="宋体" w:cs="宋体"/>
          <w:kern w:val="0"/>
          <w:sz w:val="21"/>
          <w:szCs w:val="21"/>
        </w:rPr>
        <w:t>日17：00前，以书面形式要求采购人作出书面解释、澄清或者向采购人提出一次性书面质疑；采购人将组织答疑；答疑内容是招标文件的组成部份，并将以书面形式送达所有已依法获取采购文件的投标人。</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kern w:val="0"/>
          <w:sz w:val="21"/>
          <w:szCs w:val="21"/>
        </w:rPr>
      </w:pPr>
      <w:r>
        <w:rPr>
          <w:rFonts w:hint="eastAsia" w:hAnsi="宋体" w:eastAsia="宋体" w:cs="宋体"/>
          <w:kern w:val="0"/>
          <w:sz w:val="21"/>
          <w:szCs w:val="21"/>
        </w:rPr>
        <w:t>1、根据《中华人民共和国政府采购法实施条例》第五十三条：政府采购法第五十二条规定的供应商应知其权益受到损害之日，是指：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kern w:val="0"/>
          <w:sz w:val="21"/>
          <w:szCs w:val="21"/>
        </w:rPr>
      </w:pPr>
      <w:r>
        <w:rPr>
          <w:rFonts w:hint="eastAsia" w:hAnsi="宋体" w:eastAsia="宋体" w:cs="宋体"/>
          <w:kern w:val="0"/>
          <w:sz w:val="21"/>
          <w:szCs w:val="21"/>
        </w:rPr>
        <w:t>①对可以质疑的采购文件提出质疑的，为收到采购文件之日或者采购文件公告期限届满之日；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②对采购过程提出质疑的，为各采购程序环节结束之日；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③对中标或者成交结果提出质疑的，为中标或者成交结果公告期限届满之日。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2、质疑书应包括下列主要内容：</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①质疑人的名称、地址、邮政编码、联系人、联系电话，以及被质疑人名称及联系方式；</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②被质疑采购项目名称、编号及采购内容；</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③具体的质疑事项及事实依据；</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④认为自己合法权益受到损害或可能受到损害的相关证据材料；</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⑤提出质疑的日期。</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4、质疑供应商对采购人、采购代理机构的答复不满意或者采购人、采购代理机构未在规定的时间内作出答复的，可以在答复期满后</w:t>
      </w: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个工作日内向同级政府采购监督管理部门投诉。</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kern w:val="0"/>
          <w:sz w:val="21"/>
          <w:szCs w:val="21"/>
        </w:rPr>
      </w:pPr>
      <w:r>
        <w:rPr>
          <w:rFonts w:hint="eastAsia" w:ascii="宋体" w:hAnsi="宋体" w:eastAsia="宋体" w:cs="宋体"/>
          <w:kern w:val="0"/>
          <w:sz w:val="21"/>
          <w:szCs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（九）信用记录：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根据财库[2016]125号《关于在政府采购活动中查询及使用信用记录有关问题的通知》要求，采购代理机构会对供应商信用记录进行查询并甄别。</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1、信用信息查询的截止时点：投标截止时间前查询；</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2、查询渠道：</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信用中国（www.creditchina.gov.cn）；</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中国政府采购网（www.ccgp.gov.cn）；</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3、信用信息查询记录和证据留存具体方式：采购代理机构经办人和监督人员将查询网页打印、签字与其他采购文件一并保存；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4、信用信息的使用规则：投标人存在不良信用记录的，其投标将被作为无效投标被拒绝。</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不良信用记录指：被列入失信被执行人、重大税收违法案件当事人名单、政府采购严重违法失信行为记录名单。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（十）信贷政策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5"/>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3495"/>
        <w:gridCol w:w="151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银行名称</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产品特点</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经办人</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中国工商银行股份有限公司舟山分行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柳超颖</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中国建设银行股份有限公司舟山分行</w:t>
            </w:r>
          </w:p>
        </w:tc>
        <w:tc>
          <w:tcPr>
            <w:tcW w:w="3495" w:type="dxa"/>
            <w:noWrap w:val="0"/>
            <w:vAlign w:val="center"/>
          </w:tcPr>
          <w:p>
            <w:pPr>
              <w:keepNext w:val="0"/>
              <w:keepLines w:val="0"/>
              <w:pageBreakBefore w:val="0"/>
              <w:widowControl w:val="0"/>
              <w:numPr>
                <w:ilvl w:val="0"/>
                <w:numId w:val="38"/>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快速便捷：全流程线上操作，通过浙江省政府采购网数据审核信用额度，建行供应链平台快速放款。</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申请额度高：单笔融资额度最高可达政府采购合同金额的90%，单户额度最高可达3000万。</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无需额外抵押：以浙江省政府采购网备案公示的政府采购合同进行融资，无需额外抵押担保。</w:t>
            </w:r>
          </w:p>
          <w:p>
            <w:pPr>
              <w:keepNext w:val="0"/>
              <w:keepLines w:val="0"/>
              <w:pageBreakBefore w:val="0"/>
              <w:widowControl w:val="0"/>
              <w:numPr>
                <w:ilvl w:val="0"/>
                <w:numId w:val="38"/>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利率优惠：给予流动资金贷款最优惠利率。</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普陀片区：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蔡妮妮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定海片区：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杨莹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自贸区片区：郑佳奇</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普陀片区：13957201791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定海片区：13655803997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杭州银行股份有限公司舟山市分行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方经理</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招商银行股份有限公司浙江自贸试验区舟山分行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李玲</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温州银行股份有限公司舟山市分行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“政采订单贷” ：单户授信最高为500万，单笔申请最高可按中标金额0.8折，贷款期限最少三个月、最长一年，可通过政采云平台向本行发起政采订单贷业务申请</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郑贤栋</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交通银行股份有限公司舟山分行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赵争艳</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rPr>
              <w:t>0580-2260728</w:t>
            </w:r>
            <w:r>
              <w:rPr>
                <w:rFonts w:hint="eastAsia" w:ascii="宋体" w:hAnsi="宋体" w:eastAsia="宋体" w:cs="宋体"/>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中信银行股份有限公司舟山分行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杨莉丹</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泰隆银行舟山市分行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贷至合同付款日。</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胡亢宇</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中国农业银行股份有限公司舟山分行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邵琼</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5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中国邮政储蓄银行股份有限公司舟山市分行</w:t>
            </w:r>
          </w:p>
        </w:tc>
        <w:tc>
          <w:tcPr>
            <w:tcW w:w="3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曾超</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15924008387</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一般步骤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（1）供应商先与银行对接，办理融资前期手续；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（2）供应商中标后，凭中标通知书等材料，向相关合作银行发出融资申请；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（3）银行、供应商线下办理审批、放贷事宜。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注意事项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（1）中标供应商需确保政府采购合同的收款账户与融资银行开户账户一致。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（2）用于政府采购信用融资的政府采购合同，应当包含如下条款：“第</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条：政府采购合同贷款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本合同同时用于乙方向</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银行（金融机构）申请政府采购信用贷款。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本合同一经签订，原则上不得更改乙方收款账户信息。确须更改的，乙方应取得原合同收款账户开户银行书面同意，否则修改后的合同不予备案，采购资金不予支付。”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bCs/>
          <w:szCs w:val="21"/>
          <w:highlight w:val="none"/>
        </w:rPr>
      </w:pPr>
      <w:r>
        <w:rPr>
          <w:rFonts w:hint="eastAsia" w:ascii="宋体" w:hAnsi="宋体" w:eastAsia="宋体" w:cs="宋体"/>
          <w:b/>
          <w:bCs/>
          <w:szCs w:val="21"/>
          <w:highlight w:val="none"/>
        </w:rPr>
        <w:t>（十一</w:t>
      </w:r>
      <w:r>
        <w:rPr>
          <w:rFonts w:hint="eastAsia" w:ascii="宋体" w:hAnsi="宋体" w:eastAsia="宋体" w:cs="宋体"/>
          <w:b/>
          <w:bCs/>
          <w:szCs w:val="21"/>
          <w:highlight w:val="none"/>
          <w:lang w:eastAsia="zh-CN"/>
        </w:rPr>
        <w:t>）</w:t>
      </w:r>
      <w:r>
        <w:rPr>
          <w:rFonts w:hint="eastAsia" w:ascii="宋体" w:hAnsi="宋体" w:eastAsia="宋体" w:cs="宋体"/>
          <w:b/>
          <w:bCs/>
          <w:szCs w:val="21"/>
          <w:highlight w:val="none"/>
        </w:rPr>
        <w:t>中金招标有限责任公司拥有本招标文件最终解释权。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b/>
          <w:szCs w:val="21"/>
        </w:rPr>
      </w:pPr>
      <w:r>
        <w:rPr>
          <w:rFonts w:hint="eastAsia" w:ascii="宋体" w:hAnsi="宋体" w:cs="宋体"/>
          <w:b/>
          <w:szCs w:val="21"/>
        </w:rPr>
        <w:t>二、招标文件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szCs w:val="21"/>
        </w:rPr>
      </w:pPr>
      <w:r>
        <w:rPr>
          <w:rFonts w:hint="eastAsia" w:ascii="宋体" w:hAnsi="宋体" w:cs="宋体"/>
          <w:b/>
          <w:szCs w:val="21"/>
        </w:rPr>
        <w:t>（一）招标文件的构成</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第一章  招标公告</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第二章  采购需求</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第三章  投标人须知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第四章  评标办法及标准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第五章  合同主要条款</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第六章  投标文件组成</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其他有关补充文件</w:t>
      </w:r>
    </w:p>
    <w:p>
      <w:pPr>
        <w:pStyle w:val="8"/>
        <w:keepNext w:val="0"/>
        <w:keepLines w:val="0"/>
        <w:pageBreakBefore w:val="0"/>
        <w:widowControl w:val="0"/>
        <w:kinsoku/>
        <w:wordWrap/>
        <w:overflowPunct/>
        <w:topLinePunct w:val="0"/>
        <w:autoSpaceDE/>
        <w:autoSpaceDN/>
        <w:bidi w:val="0"/>
        <w:adjustRightInd/>
        <w:snapToGrid w:val="0"/>
        <w:spacing w:after="0" w:afterLines="0" w:line="360" w:lineRule="auto"/>
        <w:ind w:left="0" w:firstLine="422" w:firstLineChars="200"/>
        <w:jc w:val="both"/>
        <w:textAlignment w:val="auto"/>
        <w:rPr>
          <w:rFonts w:hint="eastAsia" w:ascii="宋体" w:hAnsi="宋体" w:cs="宋体"/>
          <w:b/>
          <w:kern w:val="2"/>
          <w:sz w:val="21"/>
          <w:szCs w:val="21"/>
        </w:rPr>
      </w:pPr>
      <w:r>
        <w:rPr>
          <w:rFonts w:hint="eastAsia" w:ascii="宋体" w:hAnsi="宋体" w:cs="宋体"/>
          <w:b/>
          <w:sz w:val="21"/>
          <w:szCs w:val="21"/>
        </w:rPr>
        <w:t>（</w:t>
      </w:r>
      <w:r>
        <w:rPr>
          <w:rFonts w:hint="eastAsia" w:ascii="宋体" w:hAnsi="宋体" w:cs="宋体"/>
          <w:b/>
          <w:kern w:val="2"/>
          <w:sz w:val="21"/>
          <w:szCs w:val="21"/>
        </w:rPr>
        <w:t xml:space="preserve">二）招标文件的澄清与修改 </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依法获取采购文件的潜在投标人。</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2、采购人以书面形式答复投标人要求澄清的问题，并将不包含问题来源的答复书面通知所有已依法获取采购文件的潜在投标人；除书面答复以外的其他澄清方式及澄清内容均无效。</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依法获取采购文件的潜在投标人。</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4、招标文件澄清、答复、修改、补充的内容为招标文件的组成部分。当招标文件与招标文件的答复、澄清、修改、补充通知就同一内容的表述不一致时，以最后发出的书面文件为准。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hAnsi="宋体" w:eastAsia="宋体" w:cs="宋体"/>
          <w:sz w:val="21"/>
          <w:szCs w:val="21"/>
        </w:rPr>
      </w:pPr>
      <w:r>
        <w:rPr>
          <w:rFonts w:hint="eastAsia" w:hAnsi="宋体" w:eastAsia="宋体" w:cs="宋体"/>
          <w:sz w:val="21"/>
          <w:szCs w:val="21"/>
        </w:rPr>
        <w:t>5、招标文件的澄清、答复、修改或补充都应该通过本采购代理机构以法定形式发布，采购人非通过本采购代理机构的，不得擅自澄清、答复、修改或补充招标文件。</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三、投标文件的编制</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（一）投标文件的形式和效力</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投标文件分为电子投标文件以及备份投标文件，备份投标文件为以介质存储的数据电文形式的投标文件。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1、电子投标文件，按“政采云供应商项目采购-电子招投标操作指南”及本招标文件要求制作、加密并递交。</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2、以介质存储的数据电文形式的备份投标文件，按政采云供应商项目采购-电子招投标操作指南中制作的电子投标文件。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投标文件的启用，按先后顺位分别为电子投标文件、以介质存储的数据电文形式的备份投标文件。在下一顺位的投标文件启用时，前一顺位的投标文件自动失效。</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（二）投标文件的组成</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rPr>
        <w:t>投标文件由投标报价文件、资格证明文件、商务文件、技术文件组成。电子投标文件中所须加盖公章部分均采用CA签章。（具体要求详见第六章 投标文件组成）</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（三）投标文件的语言及计量</w:t>
      </w:r>
    </w:p>
    <w:p>
      <w:pPr>
        <w:pStyle w:val="13"/>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13"/>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2、投标计量单位，应采用中华人民共和国法定计量单位（货币单位：人民币元），否则视同未响应。</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（四）投标报价与相关费用</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rPr>
        <w:t>1</w:t>
      </w:r>
      <w:r>
        <w:rPr>
          <w:rFonts w:hint="eastAsia" w:ascii="宋体" w:hAnsi="宋体" w:eastAsia="宋体" w:cs="宋体"/>
          <w:b w:val="0"/>
          <w:bCs/>
          <w:sz w:val="21"/>
          <w:szCs w:val="21"/>
          <w:lang w:val="zh-CN"/>
        </w:rPr>
        <w:t>、投标人所投报的投标报价为投标人所能承受的整个项目的一次性最终最低合同总价，包括完成本项目工作内容所需的一切费用。合同总价不得超过本项目对应的</w:t>
      </w:r>
      <w:r>
        <w:rPr>
          <w:rFonts w:hint="eastAsia" w:ascii="宋体" w:hAnsi="宋体" w:eastAsia="宋体" w:cs="宋体"/>
          <w:b w:val="0"/>
          <w:bCs/>
          <w:sz w:val="21"/>
          <w:szCs w:val="21"/>
        </w:rPr>
        <w:t>预算金额</w:t>
      </w:r>
      <w:r>
        <w:rPr>
          <w:rFonts w:hint="eastAsia" w:ascii="宋体" w:hAnsi="宋体" w:eastAsia="宋体" w:cs="宋体"/>
          <w:b w:val="0"/>
          <w:bCs/>
          <w:sz w:val="21"/>
          <w:szCs w:val="21"/>
          <w:lang w:val="zh-CN"/>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rPr>
        <w:t>2</w:t>
      </w:r>
      <w:r>
        <w:rPr>
          <w:rFonts w:hint="eastAsia" w:ascii="宋体" w:hAnsi="宋体" w:eastAsia="宋体" w:cs="宋体"/>
          <w:b w:val="0"/>
          <w:bCs/>
          <w:sz w:val="21"/>
          <w:szCs w:val="21"/>
          <w:lang w:val="zh-CN"/>
        </w:rPr>
        <w:t>、按国家规定由中标人缴纳的各种税收已包含在投标总价内，由中标人向税务机关缴纳相关费用。</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rPr>
        <w:t>3</w:t>
      </w:r>
      <w:r>
        <w:rPr>
          <w:rFonts w:hint="eastAsia" w:ascii="宋体" w:hAnsi="宋体" w:eastAsia="宋体" w:cs="宋体"/>
          <w:b w:val="0"/>
          <w:bCs/>
          <w:sz w:val="21"/>
          <w:szCs w:val="21"/>
          <w:lang w:val="zh-CN"/>
        </w:rPr>
        <w:t>、投标人应承担其参加本招标活动自身所发生的费用。</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rPr>
        <w:t>4</w:t>
      </w:r>
      <w:r>
        <w:rPr>
          <w:rFonts w:hint="eastAsia" w:ascii="宋体" w:hAnsi="宋体" w:eastAsia="宋体" w:cs="宋体"/>
          <w:b w:val="0"/>
          <w:bCs/>
          <w:sz w:val="21"/>
          <w:szCs w:val="21"/>
          <w:lang w:val="zh-CN"/>
        </w:rPr>
        <w:t>、中标人须缴纳招标代理服务费，招标代理服务收费标准金额为：</w:t>
      </w:r>
      <w:r>
        <w:rPr>
          <w:rFonts w:hint="eastAsia" w:ascii="宋体" w:hAnsi="宋体" w:eastAsia="宋体" w:cs="宋体"/>
          <w:sz w:val="21"/>
          <w:szCs w:val="21"/>
          <w:highlight w:val="none"/>
        </w:rPr>
        <w:t>一次性收费</w:t>
      </w:r>
      <w:r>
        <w:rPr>
          <w:rFonts w:hint="eastAsia" w:ascii="宋体" w:hAnsi="宋体" w:eastAsia="宋体" w:cs="宋体"/>
          <w:sz w:val="21"/>
          <w:szCs w:val="21"/>
          <w:highlight w:val="none"/>
          <w:lang w:val="en-US" w:eastAsia="zh-CN"/>
        </w:rPr>
        <w:t>贰万玖仟圆整（¥29000.00元）。</w:t>
      </w:r>
      <w:r>
        <w:rPr>
          <w:rFonts w:hint="eastAsia" w:ascii="宋体" w:hAnsi="宋体" w:eastAsia="宋体" w:cs="宋体"/>
          <w:b w:val="0"/>
          <w:bCs/>
          <w:sz w:val="21"/>
          <w:szCs w:val="21"/>
          <w:lang w:val="zh-CN"/>
        </w:rPr>
        <w:t>支付方式及时间为：中标通知书发出后5个工作日内一次性支付给</w:t>
      </w:r>
      <w:r>
        <w:rPr>
          <w:rFonts w:hint="eastAsia" w:ascii="宋体" w:hAnsi="宋体" w:eastAsia="宋体" w:cs="宋体"/>
          <w:b w:val="0"/>
          <w:bCs/>
          <w:sz w:val="21"/>
          <w:szCs w:val="21"/>
          <w:lang w:val="zh-CN" w:eastAsia="zh-CN"/>
        </w:rPr>
        <w:t>采购代理机构</w:t>
      </w:r>
      <w:r>
        <w:rPr>
          <w:rFonts w:hint="eastAsia" w:ascii="宋体" w:hAnsi="宋体" w:eastAsia="宋体" w:cs="宋体"/>
          <w:b w:val="0"/>
          <w:bCs/>
          <w:sz w:val="21"/>
          <w:szCs w:val="21"/>
          <w:lang w:val="zh-CN"/>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收款单位名称：中金招标有限责任公司舟山分公司</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开户银行：中国建设银行股份有限公司舟山新城支行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 w:val="0"/>
          <w:bCs/>
          <w:sz w:val="21"/>
          <w:szCs w:val="21"/>
          <w:lang w:val="zh-CN"/>
        </w:rPr>
      </w:pPr>
      <w:r>
        <w:rPr>
          <w:rFonts w:hint="eastAsia" w:ascii="宋体" w:hAnsi="宋体" w:eastAsia="宋体" w:cs="宋体"/>
          <w:b w:val="0"/>
          <w:bCs/>
          <w:sz w:val="21"/>
          <w:szCs w:val="21"/>
          <w:lang w:val="zh-CN"/>
        </w:rPr>
        <w:t>银行账号：3300 1706 2550 5300 3969</w:t>
      </w:r>
    </w:p>
    <w:p>
      <w:pPr>
        <w:pStyle w:val="13"/>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（五）投标文件的有效期</w:t>
      </w:r>
    </w:p>
    <w:p>
      <w:pPr>
        <w:pStyle w:val="13"/>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1、自投标截止日起90天投标文件应保持有效。有效期不足的投标文件将被拒绝。</w:t>
      </w:r>
    </w:p>
    <w:p>
      <w:pPr>
        <w:pStyle w:val="13"/>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2、在特殊情况下，采购人可与投标人协商延长投标文件的有效期，这种要求和答复均以书面形式进行。</w:t>
      </w:r>
    </w:p>
    <w:p>
      <w:pPr>
        <w:pStyle w:val="13"/>
        <w:keepNext w:val="0"/>
        <w:keepLines w:val="0"/>
        <w:pageBreakBefore w:val="0"/>
        <w:widowControl w:val="0"/>
        <w:kinsoku/>
        <w:wordWrap/>
        <w:overflowPunct/>
        <w:topLinePunct w:val="0"/>
        <w:autoSpaceDE/>
        <w:autoSpaceDN/>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3、中标人的投标文件自开标之日起至合同履行完毕止均应保持有效。</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（六）投标文件的签署和编制</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1、电子投标文件部分：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投标人应根据“政采云供应商项目采购-电子招投标操作指南”及本招标文件规定的格式和顺序编制电子投标文件并进行关联定位。</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2、以介质存储的数据电文形式的备份投标文件部分：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备份电子投标文件，以DVD光盘、U盘形式存储。</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（七）备份投标文件的修改和撤回</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（八）投标无效的情形</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1、在符合性审查和商务评审时，如发现下列情形之一的，投标文件将被视为无效投标：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1.1电子投标文件解密失败的，且未在规定时间内提交有效备份投标文件的；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1.2未按招标文件要求密封、签字、盖章的；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1.3资格证明文件不全的，或者不符合招标文件标明的资格要求的；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1.4投标文件组成不全的；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1.5投标文件的实质性内容未使用中文表述、意思表述不明确、前后矛盾或者使用计量单位不符合招标文件要求的；（经评审小组认定允许其当场更正的笔误除外）</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1.6投标文件的关键内容字迹模糊、无法辨认的，或者投标文件中经修正的内容字迹模糊难以辩认或者修改处未按规定签名盖章的；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1.7实质性条款不能满足招标文件要求的；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1.8不响应招标文件要求或者投标文件有采购人不能接受的附加条件的；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1.9 投标文件没有按招标文件要求提供有标“</w:t>
      </w:r>
      <w:r>
        <w:rPr>
          <w:rFonts w:hint="eastAsia" w:ascii="宋体" w:hAnsi="宋体" w:eastAsia="宋体" w:cs="宋体"/>
          <w:b/>
          <w:sz w:val="21"/>
          <w:szCs w:val="21"/>
        </w:rPr>
        <w:t>▲</w:t>
      </w:r>
      <w:r>
        <w:rPr>
          <w:rFonts w:hint="eastAsia" w:ascii="宋体" w:hAnsi="宋体" w:eastAsia="宋体" w:cs="宋体"/>
          <w:sz w:val="21"/>
          <w:szCs w:val="21"/>
        </w:rPr>
        <w:t>”的条款的资料和材料的；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1.10投标文件资格证明、商务、技术部分中出现投标报价信息的。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2、在技术评审时，如发现下列情形之一的，投标文件将被视为无效投标：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2.1投标文件标明的响应或偏离与事实不符或虚假投标的；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2.2明显不符合招标文件中标“</w:t>
      </w:r>
      <w:r>
        <w:rPr>
          <w:rFonts w:hint="eastAsia" w:ascii="宋体" w:hAnsi="宋体" w:eastAsia="宋体" w:cs="宋体"/>
          <w:b/>
          <w:sz w:val="21"/>
          <w:szCs w:val="21"/>
        </w:rPr>
        <w:t>▲</w:t>
      </w:r>
      <w:r>
        <w:rPr>
          <w:rFonts w:hint="eastAsia" w:ascii="宋体" w:hAnsi="宋体" w:eastAsia="宋体" w:cs="宋体"/>
          <w:sz w:val="21"/>
          <w:szCs w:val="21"/>
        </w:rPr>
        <w:t>”的技术指标、主要功能项目发生实质性偏离的；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2.3投标技术方案不明确，存在一个或一个以上备选（替代）投标的；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3、在投标报价文件评审时，如发现下列情形之一的，投标文件将被视为无效投标：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3.1超过项目的预算金额或最高限价的；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3.2有选择或有条件的报价的；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rPr>
        <w:t>3.3 报价文件中缺失报价的。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4、被拒绝的投标文件为无效。</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b/>
          <w:szCs w:val="21"/>
        </w:rPr>
      </w:pPr>
      <w:r>
        <w:rPr>
          <w:rFonts w:hint="eastAsia" w:ascii="宋体" w:hAnsi="宋体" w:eastAsia="宋体" w:cs="宋体"/>
          <w:b/>
          <w:szCs w:val="21"/>
        </w:rPr>
        <w:t>（九）出现以下情形，导致电子交易平台无法正常运行，或者无法保证电子交易的公平、公正和安全时，中止电子交易活动：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1、电子交易平台发生故障而无法登录访问的；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4、病毒发作导致不能进行正常操作的；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bCs/>
          <w:szCs w:val="21"/>
        </w:rPr>
      </w:pPr>
      <w:r>
        <w:rPr>
          <w:rFonts w:hint="eastAsia" w:ascii="宋体" w:hAnsi="宋体" w:eastAsia="宋体" w:cs="宋体"/>
          <w:bCs/>
          <w:szCs w:val="21"/>
        </w:rPr>
        <w:t>出现前款规定情形，不影响采购公平、公正性的，采购代理机构可以待上述情形消除后继续组织电子交易活动，也可以决定某些环节以纸质形式进行；影响或可能影响采购公平、公正性的，重新采购。</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四、开标</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（一）开标准备</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采购代理机构将在规定的时间和地点进行开标。本项目不</w:t>
      </w:r>
      <w:r>
        <w:rPr>
          <w:rFonts w:hint="eastAsia" w:ascii="宋体" w:hAnsi="宋体" w:eastAsia="宋体" w:cs="宋体"/>
          <w:sz w:val="21"/>
          <w:szCs w:val="21"/>
          <w:lang w:val="en-US" w:eastAsia="zh-CN"/>
        </w:rPr>
        <w:t>强制</w:t>
      </w:r>
      <w:r>
        <w:rPr>
          <w:rFonts w:hint="eastAsia" w:ascii="宋体" w:hAnsi="宋体" w:eastAsia="宋体" w:cs="宋体"/>
          <w:sz w:val="21"/>
          <w:szCs w:val="21"/>
        </w:rPr>
        <w:t>要求供应商授权代表参加现场开标、开启响应文件活动。</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（二）开标程序</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1、开标会由采购代理机构相关工作人员主持，主持人宣布开标会议开始。</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2、介绍参加开标会的人员名单。</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3、宣布开标纪律和有关事项，告知应当回避的情形，提请有关人员回避。</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4、电子招投标开标及评审程序</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4.1投标截止时间后，投标人登录政采云平台，用“项目采购-开标评标”功能对电子投标文件进行在线解密。</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4.2各投标人的资格由采购代理机构人员负责初审；</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4.3评标委员会对商务技术响应文件进行评审；</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4.4在系统上公开资格和商务技术评审结果；</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4.5在系统上公开报价开标情况；</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4.6评标委员会对报价情况进行评审；</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4.7在系统上公布评审结果。</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特别说明：政采云公司如对电子化开标及评审程序有调整的，按调整后的程序操作。</w:t>
      </w:r>
    </w:p>
    <w:p>
      <w:pPr>
        <w:pStyle w:val="13"/>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5、如遇电子招投标系统故障的，启用备份投标文件</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textAlignment w:val="auto"/>
        <w:rPr>
          <w:rFonts w:hint="eastAsia" w:ascii="宋体" w:hAnsi="宋体" w:eastAsia="宋体" w:cs="宋体"/>
          <w:b/>
          <w:bCs/>
          <w:szCs w:val="21"/>
        </w:rPr>
      </w:pPr>
      <w:r>
        <w:rPr>
          <w:rFonts w:hint="eastAsia" w:ascii="宋体" w:hAnsi="宋体" w:eastAsia="宋体" w:cs="宋体"/>
          <w:b/>
          <w:bCs/>
          <w:szCs w:val="21"/>
        </w:rPr>
        <w:t>6、本项目原则上采用政采云电子招投标开标及评审程序，但若投标人在规定时间内无法解密或解密失败，采购代理机构将开启未能在规定时间内解密的投标人递交的备份投标文件。</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五、评标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（一）组建评审小组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评标委员会由采购人代表和评审专家组成，成员人数为 5 人以上单数，其中评审专家不少于成员总数的三分之二。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（二）评标程序</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1、资格审查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代理机构对投标人的资格进行审查。</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2、实质审查与比较</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2.1评审小组审查投标文件的实质性内容是否符合招标文件的实质性要求。</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2.2评审小组将根据投标人的投标文件进行审查、核对，如有疑问，将对投标人进行询标，投标人要向评审小组澄清有关问题，并最终以书面形式进行答复。</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2.3投标人代表未到场或者拒绝澄清或者澄清的内容改变了投标文件的实质性内容的，评审小组有权对该投标文件作出不利于投标人的评判。</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2.4各投标人的商务技术得分由指定专人进行计算复核。</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2.5各投标人报价得分根据评分标准计算。</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2.6评审小组完成评标后，对各部分得分汇总，得出本项目最终得分，评审小组按评标原则推荐中标候选人同时起草评审报告。</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rPr>
        <w:t>（三）澄清问题的形式</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（四）</w:t>
      </w:r>
      <w:r>
        <w:rPr>
          <w:rFonts w:hint="eastAsia" w:ascii="宋体" w:hAnsi="宋体" w:eastAsia="宋体" w:cs="宋体"/>
          <w:b/>
          <w:sz w:val="21"/>
          <w:szCs w:val="21"/>
          <w:lang w:val="en-US" w:eastAsia="zh-CN"/>
        </w:rPr>
        <w:t>报价</w:t>
      </w:r>
      <w:r>
        <w:rPr>
          <w:rFonts w:hint="eastAsia" w:ascii="宋体" w:hAnsi="宋体" w:eastAsia="宋体" w:cs="宋体"/>
          <w:b/>
          <w:sz w:val="21"/>
          <w:szCs w:val="21"/>
        </w:rPr>
        <w:t>错误修正</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评标委员会对确定投标文件为实质上响应招标文件要求的，投标文件报价出现前后不一致的，按照下列规定修正：</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1、投标文件</w:t>
      </w:r>
      <w:r>
        <w:rPr>
          <w:rFonts w:hint="eastAsia" w:ascii="宋体" w:hAnsi="宋体" w:eastAsia="宋体" w:cs="宋体"/>
          <w:b w:val="0"/>
          <w:bCs/>
          <w:sz w:val="21"/>
          <w:szCs w:val="21"/>
        </w:rPr>
        <w:t>开标一览表（报价表）内容与投标文件中相应内容不一致的，以开标一览表（报价表）为准；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大写金额和小写金额不一致的，以大写金额为准；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单价金额小数点或者百分比有明显错位的，以开标一览表的总价为准，并修改单价；</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总价金额与按单价汇总金额不一致的，以单价金额计算结果为准</w:t>
      </w:r>
      <w:r>
        <w:rPr>
          <w:rFonts w:hint="eastAsia" w:hAnsi="宋体" w:eastAsia="宋体" w:cs="宋体"/>
          <w:b w:val="0"/>
          <w:bCs/>
          <w:sz w:val="21"/>
          <w:szCs w:val="21"/>
          <w:lang w:eastAsia="zh-CN"/>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5、电子交易平台客户端里开标一览表录入的信息与投标文件不一致的，以投标文件为准</w:t>
      </w:r>
      <w:r>
        <w:rPr>
          <w:rFonts w:hint="eastAsia" w:hAnsi="宋体" w:eastAsia="宋体" w:cs="宋体"/>
          <w:b w:val="0"/>
          <w:bCs/>
          <w:sz w:val="21"/>
          <w:szCs w:val="21"/>
          <w:lang w:val="en-US" w:eastAsia="zh-CN"/>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同时出现两种以上不一致的，按上述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（五）评标原则和评标办法</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2、评标办法。本项目评标办法是</w:t>
      </w:r>
      <w:r>
        <w:rPr>
          <w:rFonts w:hint="eastAsia" w:ascii="宋体" w:hAnsi="宋体" w:eastAsia="宋体" w:cs="宋体"/>
          <w:sz w:val="21"/>
          <w:szCs w:val="21"/>
          <w:u w:val="single"/>
        </w:rPr>
        <w:t>综合评分法</w:t>
      </w:r>
      <w:r>
        <w:rPr>
          <w:rFonts w:hint="eastAsia" w:ascii="宋体" w:hAnsi="宋体" w:eastAsia="宋体" w:cs="宋体"/>
          <w:sz w:val="21"/>
          <w:szCs w:val="21"/>
        </w:rPr>
        <w:t>，具体评标内容及评分标准等详见《第四章：评标办法及评分标准》。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3、《政府采购货物和服务招标投标管理办法》</w:t>
      </w:r>
    </w:p>
    <w:p>
      <w:pPr>
        <w:pStyle w:val="13"/>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第三十一条</w:t>
      </w:r>
      <w:r>
        <w:rPr>
          <w:rFonts w:hint="eastAsia" w:hAnsi="宋体" w:eastAsia="宋体" w:cs="宋体"/>
          <w:sz w:val="21"/>
          <w:szCs w:val="21"/>
          <w:lang w:eastAsia="zh-CN"/>
        </w:rPr>
        <w:t>：</w:t>
      </w:r>
      <w:r>
        <w:rPr>
          <w:rFonts w:hint="eastAsia" w:ascii="宋体" w:hAnsi="宋体" w:eastAsia="宋体" w:cs="宋体"/>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snapToGrid w:val="0"/>
        <w:spacing w:line="360" w:lineRule="auto"/>
        <w:ind w:firstLine="422" w:firstLineChars="200"/>
        <w:rPr>
          <w:rFonts w:hint="eastAsia" w:ascii="宋体" w:hAnsi="宋体" w:eastAsia="宋体" w:cs="宋体"/>
          <w:sz w:val="21"/>
          <w:szCs w:val="21"/>
        </w:rPr>
      </w:pPr>
      <w:r>
        <w:rPr>
          <w:rFonts w:hint="eastAsia" w:hAnsi="宋体" w:eastAsia="宋体" w:cs="宋体"/>
          <w:b/>
          <w:bCs/>
          <w:sz w:val="21"/>
          <w:szCs w:val="21"/>
        </w:rPr>
        <w:t>本项目核心产品</w:t>
      </w:r>
      <w:r>
        <w:rPr>
          <w:rFonts w:hint="eastAsia" w:hAnsi="宋体" w:eastAsia="宋体" w:cs="宋体"/>
          <w:b/>
          <w:bCs/>
          <w:sz w:val="21"/>
          <w:szCs w:val="21"/>
          <w:u w:val="none"/>
        </w:rPr>
        <w:t>：</w:t>
      </w:r>
      <w:r>
        <w:rPr>
          <w:rFonts w:hint="eastAsia" w:hAnsi="宋体" w:eastAsia="宋体" w:cs="宋体"/>
          <w:b/>
          <w:bCs/>
          <w:sz w:val="21"/>
          <w:szCs w:val="21"/>
          <w:u w:val="single"/>
          <w:lang w:eastAsia="zh-CN"/>
        </w:rPr>
        <w:t>“</w:t>
      </w:r>
      <w:r>
        <w:rPr>
          <w:rFonts w:hint="eastAsia" w:hAnsi="宋体" w:eastAsia="宋体" w:cs="宋体"/>
          <w:b/>
          <w:bCs/>
          <w:sz w:val="21"/>
          <w:szCs w:val="21"/>
          <w:u w:val="single"/>
          <w:lang w:val="en-US" w:eastAsia="zh-CN"/>
        </w:rPr>
        <w:t>未来社区</w:t>
      </w:r>
      <w:r>
        <w:rPr>
          <w:rFonts w:hint="eastAsia" w:hAnsi="宋体" w:eastAsia="宋体" w:cs="宋体"/>
          <w:b/>
          <w:bCs/>
          <w:sz w:val="21"/>
          <w:szCs w:val="21"/>
          <w:u w:val="single"/>
          <w:lang w:eastAsia="zh-CN"/>
        </w:rPr>
        <w:t>”</w:t>
      </w:r>
      <w:r>
        <w:rPr>
          <w:rFonts w:hint="eastAsia" w:hAnsi="宋体" w:eastAsia="宋体" w:cs="宋体"/>
          <w:b/>
          <w:bCs/>
          <w:sz w:val="21"/>
          <w:szCs w:val="21"/>
          <w:u w:val="single"/>
          <w:lang w:val="en-US" w:eastAsia="zh-CN"/>
        </w:rPr>
        <w:t>共治平台模块、网络智能球机、5口交换机、设备箱、5米立杆、光电收发器</w:t>
      </w:r>
      <w:r>
        <w:rPr>
          <w:rFonts w:hint="eastAsia" w:hAnsi="宋体" w:eastAsia="宋体" w:cs="宋体"/>
          <w:b/>
          <w:bCs/>
          <w:sz w:val="21"/>
          <w:szCs w:val="21"/>
          <w:u w:val="none"/>
          <w:lang w:val="en-US" w:eastAsia="zh-CN"/>
        </w:rPr>
        <w:t>，</w:t>
      </w:r>
      <w:r>
        <w:rPr>
          <w:rFonts w:hint="eastAsia" w:hAnsi="宋体" w:eastAsia="宋体" w:cs="宋体"/>
          <w:b/>
          <w:bCs/>
          <w:sz w:val="21"/>
          <w:szCs w:val="21"/>
        </w:rPr>
        <w:t>核心产品同时为相同品牌时，符合第三十一条的规定。</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（一）招标文件存在不合理条款或者招标程序不符合规定的，采购人、采购代理机构改正后依法重新招标；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（二）招标文件没有不合理条款、招标程序符合规定，需要采用其他采购人式采购的，采购人应当依法报财政部门批准。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（六）评标过程的监控</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本项目评标过程实行全程录音、录像监控，投标人在评标过程中所进行的试图影响评标结果的不公正活动，可能导致其投标被拒绝。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六、废标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根据《中华人民共和国政府采购法》第三十六条，出现下列情形之一的，应予以废标：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1、符合专业条件的供应商或者对招标文件作实质响应的供应商不足三家的；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2、出现影响采购公正的违法、违规行为的；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3、投标人的报价均超过了采购预算，采购人不能支付的；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4、因重大变故，采购任务取消的。</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废标后，采购人应当将废标理由通知所有投标人，废标后，除采购任务取消情形外，应当重新组织招标。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七、定标</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采购代理机构在评标结束后在2个工作日内将评审报告交采购人确认。</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采购人应当自收到评审报告之日起5个工作日内在评审报告推荐的中标或者成交候选人中按顺序确定中标或者成交供应商。</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采购代理机构应当自中标、成交供应商确定之日起2个工作日内，发出中标、成交通知书，并在省级以上人民政府财政部门指定的媒体上公告中标、成交结果，招标文件随中标、成交结果同时公告。</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Cs w:val="21"/>
        </w:rPr>
      </w:pPr>
      <w:r>
        <w:rPr>
          <w:rFonts w:hint="eastAsia" w:ascii="宋体" w:hAnsi="宋体" w:eastAsia="宋体" w:cs="宋体"/>
          <w:b/>
          <w:szCs w:val="21"/>
        </w:rPr>
        <w:t>八、合同授予</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（一）签订合同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2、中标人拖延、拒签合同的，将被取消中标资格。</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3、中标人和采购人签订合同，按合同约定执行。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4、中标或者成交供应商拒绝与采购人签订合同的，采购人可以按照评审报告推荐的中标或者成交候选人名单排序，确定下一候选人为中标或者成交供应商，也可以重新开展政府采购活动。</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（二）合同公告：采购人应当自政府采购合同签订之日起2个工作日内，将政府采购合同在省级以上人民政府财政部门指定的媒体上公告，但政府采购合同中涉及国家秘密、商业秘密的内容除外。</w:t>
      </w:r>
    </w:p>
    <w:p>
      <w:pPr>
        <w:pStyle w:val="13"/>
        <w:snapToGrid w:val="0"/>
        <w:spacing w:before="120" w:after="120" w:line="360" w:lineRule="auto"/>
        <w:jc w:val="center"/>
        <w:outlineLvl w:val="0"/>
        <w:rPr>
          <w:rFonts w:hint="eastAsia" w:hAnsi="宋体" w:eastAsia="宋体" w:cs="宋体"/>
          <w:b/>
          <w:sz w:val="28"/>
          <w:szCs w:val="28"/>
        </w:rPr>
      </w:pPr>
      <w:r>
        <w:rPr>
          <w:rFonts w:hint="eastAsia" w:hAnsi="宋体" w:eastAsia="宋体" w:cs="宋体"/>
          <w:b/>
          <w:sz w:val="28"/>
          <w:szCs w:val="28"/>
        </w:rPr>
        <w:br w:type="page"/>
      </w:r>
      <w:r>
        <w:rPr>
          <w:rFonts w:hint="eastAsia" w:hAnsi="宋体" w:eastAsia="宋体" w:cs="宋体"/>
          <w:b/>
          <w:sz w:val="28"/>
          <w:szCs w:val="28"/>
        </w:rPr>
        <w:t xml:space="preserve">第四章 </w:t>
      </w:r>
      <w:r>
        <w:rPr>
          <w:rFonts w:hint="eastAsia" w:hAnsi="宋体" w:eastAsia="宋体" w:cs="宋体"/>
          <w:b/>
          <w:sz w:val="28"/>
          <w:szCs w:val="28"/>
          <w:highlight w:val="none"/>
        </w:rPr>
        <w:t xml:space="preserve"> 评标办法及标准</w:t>
      </w:r>
    </w:p>
    <w:p>
      <w:pPr>
        <w:spacing w:line="360" w:lineRule="auto"/>
        <w:ind w:firstLine="420" w:firstLineChars="200"/>
        <w:rPr>
          <w:rFonts w:hint="eastAsia"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为公正、公平、科学地选择中标人，根据《中华人民共和国政府采购法》等有关法律法规的规定，并结合本项目的实际，制定本办法，本办法适用本项目的评标。</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cs="宋体"/>
          <w:b/>
          <w:szCs w:val="21"/>
        </w:rPr>
      </w:pPr>
      <w:r>
        <w:rPr>
          <w:rFonts w:hint="eastAsia" w:ascii="宋体" w:hAnsi="宋体" w:cs="宋体"/>
          <w:b/>
          <w:szCs w:val="21"/>
        </w:rPr>
        <w:t>一、资格审查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cs="宋体"/>
          <w:szCs w:val="21"/>
          <w:lang w:val="zh-CN"/>
        </w:rPr>
      </w:pPr>
      <w:r>
        <w:rPr>
          <w:rFonts w:hint="eastAsia" w:ascii="宋体" w:hAnsi="宋体" w:cs="宋体"/>
          <w:szCs w:val="21"/>
          <w:lang w:val="zh-CN"/>
        </w:rPr>
        <w:t>1、由</w:t>
      </w:r>
      <w:r>
        <w:rPr>
          <w:rFonts w:hint="eastAsia" w:ascii="宋体" w:hAnsi="宋体" w:cs="宋体"/>
          <w:szCs w:val="21"/>
          <w:lang w:val="zh-CN" w:eastAsia="zh-CN"/>
        </w:rPr>
        <w:t>采购代理机构</w:t>
      </w:r>
      <w:r>
        <w:rPr>
          <w:rFonts w:hint="eastAsia" w:ascii="宋体" w:hAnsi="宋体" w:cs="宋体"/>
          <w:szCs w:val="21"/>
          <w:lang w:val="zh-CN"/>
        </w:rPr>
        <w:t>对投标人的资格进行审查。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cs="宋体"/>
          <w:szCs w:val="21"/>
          <w:lang w:val="zh-CN"/>
        </w:rPr>
      </w:pPr>
      <w:r>
        <w:rPr>
          <w:rFonts w:hint="eastAsia" w:ascii="宋体" w:hAnsi="宋体" w:cs="宋体"/>
          <w:szCs w:val="21"/>
          <w:lang w:val="zh-CN"/>
        </w:rPr>
        <w:t>2、按以下内容审核投标文件是否符合招标文件的资格文件要求。</w:t>
      </w:r>
    </w:p>
    <w:tbl>
      <w:tblPr>
        <w:tblStyle w:val="25"/>
        <w:tblpPr w:leftFromText="180" w:rightFromText="180" w:vertAnchor="text" w:tblpXSpec="center" w:tblpY="1"/>
        <w:tblOverlap w:val="never"/>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667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b/>
                <w:sz w:val="21"/>
                <w:szCs w:val="21"/>
              </w:rPr>
            </w:pPr>
            <w:r>
              <w:rPr>
                <w:rFonts w:hint="eastAsia" w:ascii="宋体" w:hAnsi="宋体" w:cs="宋体"/>
                <w:b/>
                <w:sz w:val="21"/>
                <w:szCs w:val="21"/>
              </w:rPr>
              <w:t>序号</w:t>
            </w:r>
          </w:p>
        </w:tc>
        <w:tc>
          <w:tcPr>
            <w:tcW w:w="6675"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jc w:val="right"/>
              <w:textAlignment w:val="auto"/>
              <w:rPr>
                <w:rFonts w:hint="eastAsia" w:ascii="宋体" w:hAnsi="宋体" w:cs="宋体"/>
                <w:b/>
                <w:sz w:val="21"/>
                <w:szCs w:val="21"/>
              </w:rPr>
            </w:pPr>
            <w:r>
              <w:rPr>
                <w:rFonts w:hint="eastAsia" w:ascii="宋体" w:hAnsi="宋体" w:cs="宋体"/>
                <w:b/>
                <w:sz w:val="21"/>
                <w:szCs w:val="21"/>
              </w:rPr>
              <w:t>投标人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b/>
                <w:sz w:val="21"/>
                <w:szCs w:val="21"/>
              </w:rPr>
            </w:pPr>
            <w:r>
              <w:rPr>
                <w:rFonts w:hint="eastAsia" w:ascii="宋体" w:hAnsi="宋体" w:cs="宋体"/>
                <w:b/>
                <w:sz w:val="21"/>
                <w:szCs w:val="21"/>
              </w:rPr>
              <w:t>内容</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b/>
                <w:sz w:val="21"/>
                <w:szCs w:val="21"/>
              </w:rPr>
            </w:pPr>
            <w:r>
              <w:rPr>
                <w:rFonts w:hint="eastAsia" w:ascii="宋体" w:hAnsi="宋体" w:cs="宋体"/>
                <w:b/>
                <w:sz w:val="21"/>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sz w:val="21"/>
                <w:szCs w:val="21"/>
              </w:rPr>
            </w:pPr>
            <w:r>
              <w:rPr>
                <w:rFonts w:hint="eastAsia" w:ascii="宋体" w:hAnsi="宋体" w:cs="宋体"/>
                <w:sz w:val="21"/>
                <w:szCs w:val="21"/>
              </w:rPr>
              <w:t>投标人 “多证合一”的营业执照复印件</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sz w:val="21"/>
                <w:szCs w:val="21"/>
              </w:rPr>
            </w:pPr>
            <w:r>
              <w:rPr>
                <w:rFonts w:hint="eastAsia" w:ascii="宋体" w:hAnsi="宋体" w:cs="宋体"/>
                <w:sz w:val="21"/>
                <w:szCs w:val="21"/>
              </w:rPr>
              <w:t>投标人财务状况相关报告相关材料</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sz w:val="21"/>
                <w:szCs w:val="21"/>
              </w:rPr>
            </w:pPr>
            <w:r>
              <w:rPr>
                <w:rFonts w:hint="eastAsia" w:ascii="宋体" w:hAnsi="宋体" w:cs="宋体"/>
                <w:sz w:val="21"/>
                <w:szCs w:val="21"/>
              </w:rPr>
              <w:t>投标人法定代表人身份证复印件</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4</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hAnsi="宋体" w:cs="宋体"/>
                <w:sz w:val="21"/>
                <w:szCs w:val="21"/>
              </w:rPr>
            </w:pPr>
            <w:r>
              <w:rPr>
                <w:rFonts w:hint="eastAsia" w:hAnsi="宋体" w:cs="宋体"/>
                <w:sz w:val="21"/>
                <w:szCs w:val="21"/>
              </w:rPr>
              <w:t>投标函</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sz w:val="21"/>
                <w:szCs w:val="21"/>
              </w:rPr>
            </w:pPr>
            <w:r>
              <w:rPr>
                <w:rFonts w:hint="eastAsia" w:ascii="宋体" w:hAnsi="宋体" w:cs="宋体"/>
                <w:sz w:val="21"/>
                <w:szCs w:val="21"/>
              </w:rPr>
              <w:t>法定代表人授权函，非法定代表人参加投标时提供</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6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cs="宋体"/>
                <w:sz w:val="21"/>
                <w:szCs w:val="21"/>
              </w:rPr>
            </w:pPr>
            <w:r>
              <w:rPr>
                <w:rFonts w:hint="eastAsia" w:ascii="宋体" w:hAnsi="宋体" w:cs="宋体"/>
                <w:sz w:val="21"/>
                <w:szCs w:val="21"/>
              </w:rPr>
              <w:t>投标人代表身份证复印件，非法定代表人参加投标时提供</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7871" w:type="dxa"/>
            <w:gridSpan w:val="2"/>
            <w:noWrap w:val="0"/>
            <w:vAlign w:val="top"/>
          </w:tcPr>
          <w:p>
            <w:pPr>
              <w:pStyle w:val="14"/>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cs="宋体"/>
                <w:b/>
                <w:sz w:val="21"/>
                <w:szCs w:val="21"/>
                <w:lang w:val="en-US" w:eastAsia="zh-CN"/>
              </w:rPr>
            </w:pPr>
            <w:r>
              <w:rPr>
                <w:rFonts w:hint="eastAsia" w:ascii="宋体" w:hAnsi="宋体" w:cs="宋体"/>
                <w:b/>
                <w:sz w:val="21"/>
                <w:szCs w:val="21"/>
                <w:lang w:val="en-US" w:eastAsia="zh-CN"/>
              </w:rPr>
              <w:t>结   论</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cs="宋体"/>
                <w:b/>
                <w:sz w:val="21"/>
                <w:szCs w:val="21"/>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cs="宋体"/>
          <w:szCs w:val="21"/>
        </w:rPr>
      </w:pPr>
      <w:r>
        <w:rPr>
          <w:rFonts w:hint="eastAsia" w:ascii="宋体" w:hAnsi="宋体" w:cs="宋体"/>
          <w:szCs w:val="21"/>
          <w:lang w:val="zh-CN"/>
        </w:rPr>
        <w:t>注：1、表中只需填写“√”或“×”；</w:t>
      </w:r>
      <w:r>
        <w:rPr>
          <w:rFonts w:hint="eastAsia" w:ascii="宋体" w:hAnsi="宋体" w:cs="宋体"/>
          <w:szCs w:val="21"/>
        </w:rPr>
        <w:t xml:space="preserve"> </w:t>
      </w:r>
      <w:r>
        <w:rPr>
          <w:rFonts w:hint="eastAsia" w:ascii="宋体" w:hAnsi="宋体" w:cs="宋体"/>
          <w:szCs w:val="21"/>
          <w:lang w:val="zh-CN"/>
        </w:rPr>
        <w:t>2、在结论栏中填写“合格”或“不合格”。</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cs="宋体"/>
          <w:b/>
          <w:szCs w:val="21"/>
        </w:rPr>
      </w:pPr>
      <w:r>
        <w:rPr>
          <w:rFonts w:hint="eastAsia" w:ascii="宋体" w:hAnsi="宋体" w:cs="宋体"/>
          <w:b/>
          <w:szCs w:val="21"/>
        </w:rPr>
        <w:t>二、中标候选人的选取</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s="宋体"/>
          <w:b/>
          <w:szCs w:val="21"/>
          <w:lang w:val="zh-CN"/>
        </w:rPr>
      </w:pPr>
      <w:r>
        <w:rPr>
          <w:rFonts w:hint="eastAsia" w:ascii="宋体" w:hAnsi="宋体" w:cs="宋体"/>
          <w:szCs w:val="21"/>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
          <w:szCs w:val="21"/>
        </w:rPr>
      </w:pPr>
      <w:r>
        <w:rPr>
          <w:rFonts w:hint="eastAsia" w:ascii="宋体" w:hAnsi="宋体" w:cs="宋体"/>
          <w:b/>
          <w:szCs w:val="21"/>
        </w:rPr>
        <w:t>三、中标人选取依据</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s="宋体"/>
          <w:szCs w:val="21"/>
        </w:rPr>
      </w:pPr>
      <w:r>
        <w:rPr>
          <w:rFonts w:hint="eastAsia" w:ascii="宋体" w:hAnsi="宋体" w:cs="宋体"/>
          <w:szCs w:val="21"/>
        </w:rPr>
        <w:t>评审小组根据综合评估分得分排序，推荐第一名中标候选人为中标人，经采购人确认后，确定项目中标人，同时发布采购结果公告，发出中标通知书。</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
          <w:szCs w:val="21"/>
        </w:rPr>
      </w:pPr>
      <w:r>
        <w:rPr>
          <w:rFonts w:hint="eastAsia" w:ascii="宋体" w:hAnsi="宋体" w:cs="宋体"/>
          <w:b/>
          <w:szCs w:val="21"/>
        </w:rPr>
        <w:t>四、综合评估分计分方法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cs="宋体"/>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eastAsia="宋体" w:cs="宋体"/>
          <w:sz w:val="21"/>
          <w:szCs w:val="21"/>
          <w:highlight w:val="none"/>
          <w:lang w:val="zh-CN"/>
        </w:rPr>
        <w:t>本项目对符合《政府采购促进中小企业发展管理办法》（财库[2020]46号）规定的小微企业报价给予 6%的扣除，对于分包意向协议约定小微企业的合同份额占到合同总金额 30%以上的中大型企业投标报价</w:t>
      </w:r>
      <w:r>
        <w:rPr>
          <w:rFonts w:hint="eastAsia" w:ascii="宋体" w:hAnsi="宋体" w:eastAsia="宋体" w:cs="宋体"/>
          <w:sz w:val="21"/>
          <w:szCs w:val="21"/>
          <w:highlight w:val="none"/>
          <w:lang w:val="en-US" w:eastAsia="zh-CN"/>
        </w:rPr>
        <w:t>给予</w:t>
      </w:r>
      <w:r>
        <w:rPr>
          <w:rFonts w:hint="eastAsia" w:ascii="宋体" w:hAnsi="宋体" w:eastAsia="宋体" w:cs="宋体"/>
          <w:sz w:val="21"/>
          <w:szCs w:val="21"/>
          <w:highlight w:val="none"/>
          <w:lang w:val="zh-CN"/>
        </w:rPr>
        <w:t>2%的扣除，用扣除后的价格参加评审。同时小型、微型企业提供中型企业制造的货物的，视同为中型企业。即小型或微型企业的评审报价=投标报价×94%；分包意向协议约定小微企业的合同份额占到合同总金额30%以上的中大型企业</w:t>
      </w:r>
      <w:r>
        <w:rPr>
          <w:rFonts w:hint="eastAsia" w:ascii="宋体" w:hAnsi="宋体" w:eastAsia="宋体" w:cs="宋体"/>
          <w:sz w:val="21"/>
          <w:szCs w:val="21"/>
          <w:highlight w:val="none"/>
          <w:lang w:val="en-US" w:eastAsia="zh-CN"/>
        </w:rPr>
        <w:t>的评审报价=投标报价</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lang w:val="en-US" w:eastAsia="zh-CN"/>
        </w:rPr>
        <w:t>98%；</w:t>
      </w:r>
      <w:r>
        <w:rPr>
          <w:rFonts w:hint="eastAsia" w:ascii="宋体" w:hAnsi="宋体" w:eastAsia="宋体" w:cs="宋体"/>
          <w:sz w:val="21"/>
          <w:szCs w:val="21"/>
          <w:highlight w:val="none"/>
          <w:lang w:val="zh-CN"/>
        </w:rPr>
        <w:t>其他企业产品的评审报价=投标报价。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zCs w:val="21"/>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cs="宋体"/>
          <w:szCs w:val="21"/>
          <w:lang w:val="zh-CN"/>
        </w:rPr>
      </w:pPr>
      <w:r>
        <w:rPr>
          <w:rFonts w:ascii="宋体" w:hAnsi="宋体"/>
          <w:szCs w:val="21"/>
        </w:rPr>
        <w:t>在评分时，各投标人投标报价得分保留小数点后二位，第三位四舍五入。</w:t>
      </w:r>
      <w:r>
        <w:rPr>
          <w:rFonts w:hint="eastAsia" w:ascii="宋体" w:hAnsi="宋体"/>
          <w:szCs w:val="21"/>
        </w:rPr>
        <w:t>评审专家打分准确到小数点后一位，</w:t>
      </w:r>
      <w:r>
        <w:rPr>
          <w:rFonts w:hint="eastAsia" w:ascii="宋体" w:hAnsi="宋体" w:cs="宋体"/>
          <w:szCs w:val="21"/>
        </w:rPr>
        <w:t>综合评估分=商务技术部分得分＋投标报价得分，商务技术部分得分为所有评委评分的算术平均值，</w:t>
      </w:r>
      <w:r>
        <w:rPr>
          <w:rFonts w:ascii="宋体" w:hAnsi="宋体" w:cs="宋体"/>
          <w:szCs w:val="21"/>
        </w:rPr>
        <w:t>得分保留小数点后二位。</w:t>
      </w:r>
      <w:r>
        <w:rPr>
          <w:rFonts w:hint="eastAsia" w:ascii="宋体" w:hAnsi="宋体" w:cs="宋体"/>
          <w:szCs w:val="21"/>
        </w:rPr>
        <w:t xml:space="preserve"> </w:t>
      </w:r>
    </w:p>
    <w:p>
      <w:pPr>
        <w:numPr>
          <w:ilvl w:val="0"/>
          <w:numId w:val="0"/>
        </w:numPr>
        <w:autoSpaceDE w:val="0"/>
        <w:autoSpaceDN w:val="0"/>
        <w:adjustRightInd w:val="0"/>
        <w:spacing w:line="360" w:lineRule="auto"/>
        <w:rPr>
          <w:rFonts w:hint="eastAsia" w:ascii="宋体" w:hAnsi="宋体" w:cs="宋体"/>
          <w:b/>
          <w:szCs w:val="21"/>
          <w:highlight w:val="none"/>
          <w:lang w:val="zh-CN"/>
        </w:rPr>
      </w:pPr>
      <w:r>
        <w:rPr>
          <w:rFonts w:hint="eastAsia" w:ascii="宋体" w:hAnsi="宋体" w:cs="宋体"/>
          <w:b/>
          <w:szCs w:val="21"/>
          <w:highlight w:val="none"/>
          <w:lang w:val="en-US" w:eastAsia="zh-CN"/>
        </w:rPr>
        <w:t>五、</w:t>
      </w:r>
      <w:r>
        <w:rPr>
          <w:rFonts w:hint="eastAsia" w:ascii="宋体" w:hAnsi="宋体" w:cs="宋体"/>
          <w:b/>
          <w:szCs w:val="21"/>
          <w:highlight w:val="none"/>
          <w:lang w:val="zh-CN"/>
        </w:rPr>
        <w:t>评分表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470"/>
        <w:gridCol w:w="3480"/>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评标指标</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投标报价</w:t>
            </w:r>
          </w:p>
        </w:tc>
        <w:tc>
          <w:tcPr>
            <w:tcW w:w="34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商务技术部分</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权重（%）</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sz w:val="21"/>
                <w:szCs w:val="21"/>
              </w:rPr>
            </w:pPr>
            <w:r>
              <w:rPr>
                <w:rFonts w:hint="eastAsia" w:ascii="宋体" w:hAnsi="宋体" w:cs="宋体"/>
                <w:sz w:val="21"/>
                <w:szCs w:val="21"/>
              </w:rPr>
              <w:t>30</w:t>
            </w:r>
          </w:p>
        </w:tc>
        <w:tc>
          <w:tcPr>
            <w:tcW w:w="34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sz w:val="21"/>
                <w:szCs w:val="21"/>
              </w:rPr>
            </w:pPr>
            <w:r>
              <w:rPr>
                <w:rFonts w:hint="eastAsia" w:ascii="宋体" w:hAnsi="宋体" w:cs="宋体"/>
                <w:sz w:val="21"/>
                <w:szCs w:val="21"/>
              </w:rPr>
              <w:t>70</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sz w:val="21"/>
                <w:szCs w:val="21"/>
              </w:rPr>
            </w:pPr>
            <w:r>
              <w:rPr>
                <w:rFonts w:hint="eastAsia" w:ascii="宋体" w:hAnsi="宋体" w:cs="宋体"/>
                <w:sz w:val="21"/>
                <w:szCs w:val="21"/>
              </w:rPr>
              <w:t>100</w:t>
            </w:r>
          </w:p>
        </w:tc>
      </w:tr>
    </w:tbl>
    <w:p>
      <w:pPr>
        <w:autoSpaceDE w:val="0"/>
        <w:autoSpaceDN w:val="0"/>
        <w:adjustRightInd w:val="0"/>
        <w:spacing w:line="360" w:lineRule="auto"/>
        <w:rPr>
          <w:rFonts w:hint="eastAsia" w:ascii="宋体" w:hAnsi="宋体" w:cs="宋体"/>
          <w:spacing w:val="6"/>
          <w:sz w:val="24"/>
          <w:szCs w:val="24"/>
        </w:rPr>
      </w:pPr>
    </w:p>
    <w:tbl>
      <w:tblPr>
        <w:tblStyle w:val="25"/>
        <w:tblW w:w="99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945"/>
        <w:gridCol w:w="7185"/>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评审项目</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评分类别</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评分标准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相关资质</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客观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numPr>
                <w:ilvl w:val="0"/>
                <w:numId w:val="39"/>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投标人具有ISO9001系列质量管理体系认证，得1分；</w:t>
            </w:r>
          </w:p>
          <w:p>
            <w:pPr>
              <w:keepNext w:val="0"/>
              <w:keepLines w:val="0"/>
              <w:pageBreakBefore w:val="0"/>
              <w:widowControl w:val="0"/>
              <w:numPr>
                <w:ilvl w:val="0"/>
                <w:numId w:val="39"/>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投标人具有ISO14001系列环境管理体系认证，得1分；</w:t>
            </w:r>
          </w:p>
          <w:p>
            <w:pPr>
              <w:keepNext w:val="0"/>
              <w:keepLines w:val="0"/>
              <w:pageBreakBefore w:val="0"/>
              <w:widowControl w:val="0"/>
              <w:numPr>
                <w:ilvl w:val="0"/>
                <w:numId w:val="39"/>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投标人具有ISO45001系列职业健康安全管理体系认证证书的得1分</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numPr>
                <w:ilvl w:val="0"/>
                <w:numId w:val="39"/>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投标人具有ISO27001系列信息安全管理体系认证证书的得1分</w:t>
            </w:r>
            <w:r>
              <w:rPr>
                <w:rFonts w:hint="eastAsia" w:ascii="宋体" w:hAnsi="宋体" w:eastAsia="宋体" w:cs="宋体"/>
                <w:sz w:val="21"/>
                <w:szCs w:val="21"/>
                <w:lang w:eastAsia="zh-CN"/>
              </w:rPr>
              <w:t>；</w:t>
            </w:r>
          </w:p>
          <w:p>
            <w:pPr>
              <w:keepNext w:val="0"/>
              <w:keepLines w:val="0"/>
              <w:pageBreakBefore w:val="0"/>
              <w:widowControl w:val="0"/>
              <w:numPr>
                <w:ilvl w:val="0"/>
                <w:numId w:val="39"/>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投标人具有ISO20000-1系列信息技术服务管理体系认证证书的得1分。</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b/>
                <w:bCs/>
                <w:sz w:val="21"/>
                <w:szCs w:val="21"/>
              </w:rPr>
              <w:t>（提供证书复印件</w:t>
            </w:r>
            <w:r>
              <w:rPr>
                <w:rFonts w:hint="eastAsia" w:ascii="宋体" w:hAnsi="宋体" w:eastAsia="宋体" w:cs="宋体"/>
                <w:b/>
                <w:bCs/>
                <w:sz w:val="21"/>
                <w:szCs w:val="21"/>
                <w:lang w:val="en-US" w:eastAsia="zh-CN"/>
              </w:rPr>
              <w:t>并加盖投标人公章，未提供不得分</w:t>
            </w:r>
            <w:r>
              <w:rPr>
                <w:rFonts w:hint="eastAsia" w:ascii="宋体" w:hAnsi="宋体" w:eastAsia="宋体" w:cs="宋体"/>
                <w:b/>
                <w:bCs/>
                <w:sz w:val="21"/>
                <w:szCs w:val="21"/>
              </w:rPr>
              <w:t>）</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项目组成员能力</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客观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投标人为本项目拟派的实施人员相关能力：</w:t>
            </w:r>
          </w:p>
          <w:p>
            <w:pPr>
              <w:keepNext w:val="0"/>
              <w:keepLines w:val="0"/>
              <w:pageBreakBefore w:val="0"/>
              <w:widowControl w:val="0"/>
              <w:numPr>
                <w:ilvl w:val="0"/>
                <w:numId w:val="40"/>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rPr>
              <w:t>具有项目管理专业人士资格认证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PMP</w:t>
            </w:r>
            <w:r>
              <w:rPr>
                <w:rFonts w:hint="eastAsia" w:ascii="宋体" w:hAnsi="宋体" w:eastAsia="宋体" w:cs="宋体"/>
                <w:sz w:val="21"/>
                <w:szCs w:val="21"/>
                <w:lang w:eastAsia="zh-CN"/>
              </w:rPr>
              <w:t>）</w:t>
            </w:r>
            <w:r>
              <w:rPr>
                <w:rFonts w:hint="eastAsia" w:ascii="宋体" w:hAnsi="宋体" w:eastAsia="宋体" w:cs="宋体"/>
                <w:sz w:val="21"/>
                <w:szCs w:val="21"/>
              </w:rPr>
              <w:t>，每人得</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lang w:val="en-US" w:eastAsia="zh-CN"/>
              </w:rPr>
              <w:t>；</w:t>
            </w:r>
          </w:p>
          <w:p>
            <w:pPr>
              <w:keepNext w:val="0"/>
              <w:keepLines w:val="0"/>
              <w:pageBreakBefore w:val="0"/>
              <w:widowControl w:val="0"/>
              <w:numPr>
                <w:ilvl w:val="0"/>
                <w:numId w:val="40"/>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具</w:t>
            </w:r>
            <w:r>
              <w:rPr>
                <w:rFonts w:hint="eastAsia" w:ascii="宋体" w:hAnsi="宋体" w:eastAsia="宋体" w:cs="宋体"/>
                <w:sz w:val="21"/>
                <w:szCs w:val="21"/>
                <w:highlight w:val="none"/>
                <w:lang w:val="en-US" w:eastAsia="zh-CN"/>
              </w:rPr>
              <w:t>有</w:t>
            </w:r>
            <w:r>
              <w:rPr>
                <w:rFonts w:hint="eastAsia" w:ascii="宋体" w:hAnsi="宋体" w:eastAsia="宋体" w:cs="宋体"/>
                <w:sz w:val="21"/>
                <w:szCs w:val="21"/>
                <w:highlight w:val="none"/>
              </w:rPr>
              <w:t>系</w:t>
            </w:r>
            <w:r>
              <w:rPr>
                <w:rFonts w:hint="eastAsia" w:ascii="宋体" w:hAnsi="宋体" w:eastAsia="宋体" w:cs="宋体"/>
                <w:sz w:val="21"/>
                <w:szCs w:val="21"/>
              </w:rPr>
              <w:t>统集成项目管理工程师证书的人员，每人得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rPr>
              <w:t>分；</w:t>
            </w:r>
          </w:p>
          <w:p>
            <w:pPr>
              <w:pStyle w:val="2"/>
              <w:ind w:left="0" w:leftChars="0" w:firstLine="0" w:firstLineChars="0"/>
              <w:jc w:val="left"/>
              <w:rPr>
                <w:rFonts w:hint="default" w:eastAsia="宋体"/>
                <w:b/>
                <w:bCs/>
                <w:lang w:val="en-US" w:eastAsia="zh-CN"/>
              </w:rPr>
            </w:pPr>
            <w:r>
              <w:rPr>
                <w:rFonts w:hint="eastAsia" w:ascii="宋体" w:hAnsi="宋体" w:eastAsia="宋体" w:cs="宋体"/>
                <w:b/>
                <w:bCs/>
                <w:sz w:val="21"/>
                <w:szCs w:val="21"/>
                <w:lang w:val="en-US" w:eastAsia="zh-CN"/>
              </w:rPr>
              <w:t>本项最高得6分。</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b/>
                <w:bCs/>
                <w:sz w:val="21"/>
                <w:szCs w:val="21"/>
              </w:rPr>
              <w:t>（提供相关证书复印件及实施人员近三个月中任意一个月社保并加盖投标人公章</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未提供不得分</w:t>
            </w:r>
            <w:r>
              <w:rPr>
                <w:rFonts w:hint="eastAsia" w:ascii="宋体" w:hAnsi="宋体" w:eastAsia="宋体" w:cs="宋体"/>
                <w:b/>
                <w:bCs/>
                <w:sz w:val="21"/>
                <w:szCs w:val="21"/>
              </w:rPr>
              <w:t>）</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cs="宋体"/>
                <w:sz w:val="21"/>
                <w:szCs w:val="21"/>
                <w:lang w:val="en-US" w:eastAsia="zh-CN"/>
              </w:rPr>
              <w:t>相关业绩</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客观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lang w:val="en-US" w:eastAsia="zh-CN"/>
              </w:rPr>
            </w:pPr>
            <w:r>
              <w:rPr>
                <w:rFonts w:hint="eastAsia"/>
                <w:lang w:val="en-US" w:eastAsia="zh-CN"/>
              </w:rPr>
              <w:t>根据投标人</w:t>
            </w:r>
            <w:r>
              <w:rPr>
                <w:rFonts w:hint="eastAsia" w:ascii="宋体" w:hAnsi="宋体" w:eastAsia="宋体" w:cs="宋体"/>
                <w:highlight w:val="none"/>
                <w:lang w:val="en-US" w:eastAsia="zh-CN"/>
              </w:rPr>
              <w:t>2018年11</w:t>
            </w:r>
            <w:r>
              <w:rPr>
                <w:rFonts w:hint="eastAsia"/>
                <w:lang w:val="en-US" w:eastAsia="zh-CN"/>
              </w:rPr>
              <w:t>月以来（以合同签订日期为准）的类似项目业绩进行打分，每提供一份得1分，最高得3分。</w:t>
            </w:r>
          </w:p>
          <w:p>
            <w:pPr>
              <w:pStyle w:val="2"/>
              <w:ind w:left="0" w:leftChars="0" w:firstLine="0" w:firstLineChars="0"/>
              <w:rPr>
                <w:rFonts w:hint="eastAsia" w:ascii="宋体" w:hAnsi="宋体" w:eastAsia="宋体" w:cs="宋体"/>
                <w:b/>
                <w:bCs/>
                <w:sz w:val="21"/>
                <w:szCs w:val="21"/>
              </w:rPr>
            </w:pPr>
            <w:r>
              <w:rPr>
                <w:rFonts w:hint="eastAsia" w:ascii="宋体" w:hAnsi="宋体" w:cs="宋体"/>
                <w:b/>
                <w:bCs/>
                <w:sz w:val="21"/>
                <w:szCs w:val="21"/>
                <w:lang w:val="en-US" w:eastAsia="zh-CN"/>
              </w:rPr>
              <w:t>（提供合同扫描件并加盖投标人公章，未提供不得分）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总体设计方案</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lang w:eastAsia="zh-CN"/>
              </w:rPr>
            </w:pPr>
            <w:r>
              <w:rPr>
                <w:rFonts w:hint="eastAsia" w:ascii="宋体" w:hAnsi="宋体" w:eastAsia="宋体" w:cs="宋体"/>
                <w:sz w:val="21"/>
                <w:szCs w:val="21"/>
              </w:rPr>
              <w:t>根据投标方案总体设计情况，系统的体系架构、方案的先进性、扩展性设计，以及是否符合浙江省数字化改革的要求等</w:t>
            </w:r>
            <w:r>
              <w:rPr>
                <w:rFonts w:hint="eastAsia" w:ascii="宋体" w:hAnsi="宋体" w:eastAsia="宋体" w:cs="宋体"/>
                <w:sz w:val="21"/>
                <w:szCs w:val="21"/>
                <w:lang w:val="en-US" w:eastAsia="zh-CN"/>
              </w:rPr>
              <w:t>进行</w:t>
            </w:r>
            <w:r>
              <w:rPr>
                <w:rFonts w:hint="eastAsia" w:ascii="宋体" w:hAnsi="宋体" w:eastAsia="宋体" w:cs="宋体"/>
                <w:sz w:val="21"/>
                <w:szCs w:val="21"/>
              </w:rPr>
              <w:t>打分</w:t>
            </w:r>
            <w:r>
              <w:rPr>
                <w:rFonts w:hint="eastAsia" w:ascii="宋体" w:hAnsi="宋体" w:eastAsia="宋体" w:cs="宋体"/>
                <w:sz w:val="21"/>
                <w:szCs w:val="21"/>
                <w:lang w:eastAsia="zh-CN"/>
              </w:rPr>
              <w:t>：</w:t>
            </w:r>
          </w:p>
          <w:p>
            <w:pPr>
              <w:keepNext w:val="0"/>
              <w:keepLines w:val="0"/>
              <w:pageBreakBefore w:val="0"/>
              <w:widowControl w:val="0"/>
              <w:numPr>
                <w:ilvl w:val="0"/>
                <w:numId w:val="41"/>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投标人对本项目提出的总体设计方案科学合理，符合采购的需求和浙江省数字化改革要求，整体系统架构合理有效的得</w:t>
            </w:r>
            <w:r>
              <w:rPr>
                <w:rFonts w:hint="eastAsia" w:ascii="宋体" w:hAnsi="宋体" w:eastAsia="宋体" w:cs="宋体"/>
                <w:sz w:val="21"/>
                <w:szCs w:val="21"/>
                <w:lang w:val="en-US" w:eastAsia="zh-CN"/>
              </w:rPr>
              <w:t>8-5.1</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keepNext w:val="0"/>
              <w:keepLines w:val="0"/>
              <w:pageBreakBefore w:val="0"/>
              <w:widowControl w:val="0"/>
              <w:numPr>
                <w:ilvl w:val="0"/>
                <w:numId w:val="41"/>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投标人对本项目提出的设计方案基本符合采购的需求和浙江省数字化改革要求，整体系统架构合理有效的得</w:t>
            </w:r>
            <w:r>
              <w:rPr>
                <w:rFonts w:hint="eastAsia" w:ascii="宋体" w:hAnsi="宋体" w:eastAsia="宋体" w:cs="宋体"/>
                <w:sz w:val="21"/>
                <w:szCs w:val="21"/>
                <w:lang w:val="en-US" w:eastAsia="zh-CN"/>
              </w:rPr>
              <w:t>5-2.1</w:t>
            </w:r>
            <w:r>
              <w:rPr>
                <w:rFonts w:hint="eastAsia" w:ascii="宋体" w:hAnsi="宋体" w:eastAsia="宋体" w:cs="宋体"/>
                <w:sz w:val="21"/>
                <w:szCs w:val="21"/>
              </w:rPr>
              <w:t>分</w:t>
            </w:r>
            <w:r>
              <w:rPr>
                <w:rFonts w:hint="eastAsia" w:ascii="宋体" w:hAnsi="宋体" w:eastAsia="宋体" w:cs="宋体"/>
                <w:sz w:val="21"/>
                <w:szCs w:val="21"/>
                <w:lang w:eastAsia="zh-CN"/>
              </w:rPr>
              <w:t>；</w:t>
            </w:r>
          </w:p>
          <w:p>
            <w:pPr>
              <w:keepNext w:val="0"/>
              <w:keepLines w:val="0"/>
              <w:pageBreakBefore w:val="0"/>
              <w:widowControl w:val="0"/>
              <w:numPr>
                <w:ilvl w:val="0"/>
                <w:numId w:val="41"/>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投标人对本项目提出的设计方案与采购的需求、浙江省数字化改革要求有差距，整体系统架构可能存在问题</w:t>
            </w:r>
            <w:r>
              <w:rPr>
                <w:rFonts w:hint="eastAsia" w:ascii="宋体" w:hAnsi="宋体" w:eastAsia="宋体" w:cs="宋体"/>
                <w:sz w:val="21"/>
                <w:szCs w:val="21"/>
                <w:lang w:val="en-US" w:eastAsia="zh-CN"/>
              </w:rPr>
              <w:t>或未提供此项的</w:t>
            </w:r>
            <w:r>
              <w:rPr>
                <w:rFonts w:hint="eastAsia" w:ascii="宋体" w:hAnsi="宋体" w:eastAsia="宋体" w:cs="宋体"/>
                <w:sz w:val="21"/>
                <w:szCs w:val="21"/>
              </w:rPr>
              <w:t>得</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对接方案</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lang w:eastAsia="zh-CN"/>
              </w:rPr>
            </w:pPr>
            <w:r>
              <w:rPr>
                <w:rFonts w:hint="eastAsia" w:ascii="宋体" w:hAnsi="宋体" w:eastAsia="宋体" w:cs="宋体"/>
                <w:sz w:val="21"/>
                <w:szCs w:val="21"/>
              </w:rPr>
              <w:t>岱山县小长涂“未来社区”</w:t>
            </w:r>
            <w:r>
              <w:rPr>
                <w:rFonts w:hint="eastAsia" w:ascii="宋体" w:hAnsi="宋体" w:eastAsia="宋体" w:cs="宋体"/>
                <w:sz w:val="21"/>
                <w:szCs w:val="21"/>
                <w:lang w:val="en-US" w:eastAsia="zh-CN"/>
              </w:rPr>
              <w:t>共治</w:t>
            </w:r>
            <w:r>
              <w:rPr>
                <w:rFonts w:hint="eastAsia" w:ascii="宋体" w:hAnsi="宋体" w:eastAsia="宋体" w:cs="宋体"/>
                <w:sz w:val="21"/>
                <w:szCs w:val="21"/>
              </w:rPr>
              <w:t>平台需要与岱山县城市大脑实现无缝对接，需</w:t>
            </w:r>
            <w:r>
              <w:rPr>
                <w:rFonts w:hint="eastAsia" w:ascii="宋体" w:hAnsi="宋体" w:eastAsia="宋体" w:cs="宋体"/>
                <w:sz w:val="21"/>
                <w:szCs w:val="21"/>
                <w:lang w:val="en-US" w:eastAsia="zh-CN"/>
              </w:rPr>
              <w:t>对</w:t>
            </w:r>
            <w:r>
              <w:rPr>
                <w:rFonts w:hint="eastAsia" w:ascii="宋体" w:hAnsi="宋体" w:eastAsia="宋体" w:cs="宋体"/>
                <w:sz w:val="21"/>
                <w:szCs w:val="21"/>
              </w:rPr>
              <w:t>对接方案进行阐述，根据提供</w:t>
            </w:r>
            <w:r>
              <w:rPr>
                <w:rFonts w:hint="eastAsia" w:ascii="宋体" w:hAnsi="宋体" w:eastAsia="宋体" w:cs="宋体"/>
                <w:sz w:val="21"/>
                <w:szCs w:val="21"/>
                <w:lang w:val="en-US" w:eastAsia="zh-CN"/>
              </w:rPr>
              <w:t>的</w:t>
            </w:r>
            <w:r>
              <w:rPr>
                <w:rFonts w:hint="eastAsia" w:ascii="宋体" w:hAnsi="宋体" w:eastAsia="宋体" w:cs="宋体"/>
                <w:sz w:val="21"/>
                <w:szCs w:val="21"/>
              </w:rPr>
              <w:t>对接方案内容可行性进行打分</w:t>
            </w:r>
            <w:r>
              <w:rPr>
                <w:rFonts w:hint="eastAsia" w:ascii="宋体" w:hAnsi="宋体" w:eastAsia="宋体" w:cs="宋体"/>
                <w:sz w:val="21"/>
                <w:szCs w:val="21"/>
                <w:lang w:eastAsia="zh-CN"/>
              </w:rPr>
              <w:t>：</w:t>
            </w:r>
          </w:p>
          <w:p>
            <w:pPr>
              <w:keepNext w:val="0"/>
              <w:keepLines w:val="0"/>
              <w:pageBreakBefore w:val="0"/>
              <w:widowControl w:val="0"/>
              <w:numPr>
                <w:ilvl w:val="0"/>
                <w:numId w:val="42"/>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方案内容完善，整体可行性高的得</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3.1</w:t>
            </w:r>
            <w:r>
              <w:rPr>
                <w:rFonts w:hint="eastAsia" w:ascii="宋体" w:hAnsi="宋体" w:eastAsia="宋体" w:cs="宋体"/>
                <w:sz w:val="21"/>
                <w:szCs w:val="21"/>
              </w:rPr>
              <w:t>分；</w:t>
            </w:r>
          </w:p>
          <w:p>
            <w:pPr>
              <w:keepNext w:val="0"/>
              <w:keepLines w:val="0"/>
              <w:pageBreakBefore w:val="0"/>
              <w:widowControl w:val="0"/>
              <w:numPr>
                <w:ilvl w:val="0"/>
                <w:numId w:val="42"/>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方案内容一般；整体可行性一般的得</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1.1</w:t>
            </w:r>
            <w:r>
              <w:rPr>
                <w:rFonts w:hint="eastAsia" w:ascii="宋体" w:hAnsi="宋体" w:eastAsia="宋体" w:cs="宋体"/>
                <w:sz w:val="21"/>
                <w:szCs w:val="21"/>
              </w:rPr>
              <w:t>分；</w:t>
            </w:r>
          </w:p>
          <w:p>
            <w:pPr>
              <w:keepNext w:val="0"/>
              <w:keepLines w:val="0"/>
              <w:pageBreakBefore w:val="0"/>
              <w:widowControl w:val="0"/>
              <w:numPr>
                <w:ilvl w:val="0"/>
                <w:numId w:val="42"/>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方案不够详细，整体可行性低</w:t>
            </w:r>
            <w:r>
              <w:rPr>
                <w:rFonts w:hint="eastAsia" w:ascii="宋体" w:hAnsi="宋体" w:eastAsia="宋体" w:cs="宋体"/>
                <w:sz w:val="21"/>
                <w:szCs w:val="21"/>
                <w:lang w:val="en-US" w:eastAsia="zh-CN"/>
              </w:rPr>
              <w:t>或未提供此项</w:t>
            </w:r>
            <w:r>
              <w:rPr>
                <w:rFonts w:hint="eastAsia" w:ascii="宋体" w:hAnsi="宋体" w:eastAsia="宋体" w:cs="宋体"/>
                <w:sz w:val="21"/>
                <w:szCs w:val="21"/>
              </w:rPr>
              <w:t>的得</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lang w:val="en-US" w:eastAsia="zh-CN"/>
              </w:rPr>
              <w:t>售后服务</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sz w:val="21"/>
                <w:szCs w:val="21"/>
                <w:lang w:val="en-US" w:eastAsia="zh-CN"/>
              </w:rPr>
            </w:pPr>
            <w:r>
              <w:rPr>
                <w:rFonts w:hint="eastAsia" w:ascii="宋体" w:hAnsi="宋体" w:eastAsia="宋体" w:cs="宋体"/>
              </w:rPr>
              <w:t>根</w:t>
            </w:r>
            <w:r>
              <w:rPr>
                <w:rFonts w:hint="eastAsia" w:ascii="宋体" w:hAnsi="宋体" w:eastAsia="宋体" w:cs="宋体"/>
                <w:sz w:val="21"/>
                <w:szCs w:val="21"/>
                <w:lang w:val="en-US" w:eastAsia="zh-CN"/>
              </w:rPr>
              <w:t>据售后运维服务方案、备件备品等情况进行综合打分：</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1、投标人具有完善的售后服务方案、备品备件充足的5-3.1分；</w:t>
            </w:r>
          </w:p>
          <w:p>
            <w:pPr>
              <w:keepNext w:val="0"/>
              <w:keepLines w:val="0"/>
              <w:pageBreakBefore w:val="0"/>
              <w:widowControl/>
              <w:kinsoku/>
              <w:wordWrap/>
              <w:overflowPunct/>
              <w:topLinePunct w:val="0"/>
              <w:autoSpaceDE/>
              <w:autoSpaceDN/>
              <w:bidi w:val="0"/>
              <w:adjustRightInd/>
              <w:snapToGrid/>
              <w:spacing w:line="360" w:lineRule="auto"/>
              <w:ind w:right="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2、投标人具有较为完善的售后服务方案、备品备件较为充足的3-1.1分；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firstLine="0" w:firstLineChars="0"/>
              <w:jc w:val="left"/>
              <w:textAlignment w:val="auto"/>
              <w:outlineLvl w:val="0"/>
              <w:rPr>
                <w:rFonts w:hint="eastAsia" w:ascii="宋体" w:hAnsi="宋体" w:eastAsia="宋体" w:cs="宋体"/>
                <w:sz w:val="21"/>
                <w:szCs w:val="21"/>
              </w:rPr>
            </w:pPr>
            <w:r>
              <w:rPr>
                <w:rFonts w:hint="eastAsia" w:ascii="宋体" w:hAnsi="宋体" w:eastAsia="宋体" w:cs="宋体"/>
                <w:sz w:val="21"/>
                <w:szCs w:val="21"/>
                <w:lang w:val="en-US" w:eastAsia="zh-CN"/>
              </w:rPr>
              <w:t>3、投标人售后服务方案欠缺、备品备件缺失或未提供此项的1-0分。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sz w:val="21"/>
                <w:szCs w:val="21"/>
              </w:rPr>
            </w:pPr>
            <w:r>
              <w:rPr>
                <w:rFonts w:hint="eastAsia" w:ascii="宋体" w:hAnsi="宋体" w:cs="宋体"/>
                <w:szCs w:val="21"/>
              </w:rPr>
              <w:t>应急反应能力</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cs="宋体"/>
                <w:sz w:val="21"/>
                <w:szCs w:val="21"/>
              </w:rPr>
            </w:pPr>
            <w:r>
              <w:rPr>
                <w:rFonts w:hint="eastAsia" w:ascii="宋体" w:hAnsi="宋体" w:cs="宋体"/>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spacing w:line="360" w:lineRule="auto"/>
              <w:rPr>
                <w:rFonts w:hint="eastAsia" w:ascii="宋体" w:hAnsi="宋体" w:cs="宋体"/>
                <w:szCs w:val="21"/>
              </w:rPr>
            </w:pPr>
            <w:r>
              <w:rPr>
                <w:rFonts w:hint="eastAsia" w:ascii="宋体" w:hAnsi="宋体" w:cs="宋体"/>
                <w:szCs w:val="21"/>
              </w:rPr>
              <w:t>根据投标人为本项目提供的应急方案及承诺进行综合打分：</w:t>
            </w:r>
          </w:p>
          <w:p>
            <w:pPr>
              <w:numPr>
                <w:ilvl w:val="0"/>
                <w:numId w:val="43"/>
              </w:numPr>
              <w:spacing w:line="360" w:lineRule="auto"/>
              <w:rPr>
                <w:rFonts w:hint="eastAsia" w:ascii="宋体" w:hAnsi="宋体" w:cs="宋体"/>
                <w:szCs w:val="21"/>
              </w:rPr>
            </w:pPr>
            <w:r>
              <w:rPr>
                <w:rFonts w:hint="eastAsia" w:ascii="宋体" w:hAnsi="宋体" w:cs="宋体"/>
                <w:szCs w:val="21"/>
              </w:rPr>
              <w:t>应急反应速度快，可行性方案实际合理能够支撑投标人所承诺的应急预案得</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.1分；</w:t>
            </w:r>
          </w:p>
          <w:p>
            <w:pPr>
              <w:numPr>
                <w:ilvl w:val="0"/>
                <w:numId w:val="43"/>
              </w:numPr>
              <w:spacing w:line="360" w:lineRule="auto"/>
              <w:rPr>
                <w:rFonts w:hint="eastAsia" w:ascii="宋体" w:hAnsi="宋体" w:cs="宋体"/>
                <w:szCs w:val="21"/>
              </w:rPr>
            </w:pPr>
            <w:r>
              <w:rPr>
                <w:rFonts w:hint="eastAsia" w:ascii="宋体" w:hAnsi="宋体" w:cs="宋体"/>
                <w:szCs w:val="21"/>
              </w:rPr>
              <w:t>应急反应速度较快，可行性方案较为合理的得</w:t>
            </w:r>
            <w:r>
              <w:rPr>
                <w:rFonts w:hint="eastAsia" w:ascii="宋体" w:hAnsi="宋体" w:cs="宋体"/>
                <w:szCs w:val="21"/>
                <w:lang w:val="en-US" w:eastAsia="zh-CN"/>
              </w:rPr>
              <w:t>2</w:t>
            </w:r>
            <w:r>
              <w:rPr>
                <w:rFonts w:hint="eastAsia" w:ascii="宋体" w:hAnsi="宋体" w:cs="宋体"/>
                <w:szCs w:val="21"/>
              </w:rPr>
              <w:t>-1.1分；</w:t>
            </w:r>
          </w:p>
          <w:p>
            <w:pPr>
              <w:numPr>
                <w:ilvl w:val="0"/>
                <w:numId w:val="43"/>
              </w:numPr>
              <w:spacing w:line="360" w:lineRule="auto"/>
              <w:rPr>
                <w:rFonts w:hint="eastAsia" w:ascii="宋体" w:hAnsi="宋体" w:eastAsia="宋体" w:cs="宋体"/>
                <w:sz w:val="21"/>
                <w:szCs w:val="21"/>
              </w:rPr>
            </w:pPr>
            <w:r>
              <w:rPr>
                <w:rFonts w:hint="eastAsia" w:ascii="宋体" w:hAnsi="宋体" w:cs="宋体"/>
                <w:szCs w:val="21"/>
              </w:rPr>
              <w:t>应急反应较慢，支撑方案不够详细</w:t>
            </w:r>
            <w:r>
              <w:rPr>
                <w:rFonts w:hint="eastAsia" w:ascii="宋体" w:hAnsi="宋体" w:cs="宋体"/>
                <w:szCs w:val="21"/>
                <w:lang w:val="en-US" w:eastAsia="zh-CN"/>
              </w:rPr>
              <w:t>或未提供此项的</w:t>
            </w:r>
            <w:r>
              <w:rPr>
                <w:rFonts w:hint="eastAsia" w:ascii="宋体" w:hAnsi="宋体" w:cs="宋体"/>
                <w:szCs w:val="21"/>
              </w:rPr>
              <w:t>得1-0分。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培训</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计划</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根据投标人的培训方案进行打分：</w:t>
            </w:r>
          </w:p>
          <w:p>
            <w:pPr>
              <w:keepNext w:val="0"/>
              <w:keepLines w:val="0"/>
              <w:pageBreakBefore w:val="0"/>
              <w:widowControl w:val="0"/>
              <w:numPr>
                <w:ilvl w:val="0"/>
                <w:numId w:val="44"/>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培训计划完整详细，针对项目功能进行着重培训，培训主讲人员经验丰富，能够提供完整的培训服务的</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.1分；</w:t>
            </w:r>
          </w:p>
          <w:p>
            <w:pPr>
              <w:keepNext w:val="0"/>
              <w:keepLines w:val="0"/>
              <w:pageBreakBefore w:val="0"/>
              <w:widowControl w:val="0"/>
              <w:numPr>
                <w:ilvl w:val="0"/>
                <w:numId w:val="44"/>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培训计划较完整但有欠缺，培训方案需要微调的</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.1分；</w:t>
            </w:r>
          </w:p>
          <w:p>
            <w:pPr>
              <w:keepNext w:val="0"/>
              <w:keepLines w:val="0"/>
              <w:pageBreakBefore w:val="0"/>
              <w:widowControl w:val="0"/>
              <w:numPr>
                <w:ilvl w:val="0"/>
                <w:numId w:val="44"/>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bCs/>
                <w:sz w:val="21"/>
                <w:szCs w:val="21"/>
              </w:rPr>
            </w:pPr>
            <w:r>
              <w:rPr>
                <w:rFonts w:hint="eastAsia" w:ascii="宋体" w:hAnsi="宋体" w:eastAsia="宋体" w:cs="宋体"/>
                <w:sz w:val="21"/>
                <w:szCs w:val="21"/>
              </w:rPr>
              <w:t>培训计划不完善，培训无重点或没有培训的1-0分。</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0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技术要求满足程度</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根据投标人的投标产品技术参数要求响应情况打分：全部符合得</w:t>
            </w:r>
            <w:r>
              <w:rPr>
                <w:rFonts w:hint="eastAsia" w:ascii="宋体" w:hAnsi="宋体" w:eastAsia="宋体" w:cs="宋体"/>
                <w:sz w:val="21"/>
                <w:szCs w:val="21"/>
                <w:lang w:val="en-US" w:eastAsia="zh-CN"/>
              </w:rPr>
              <w:t>18</w:t>
            </w:r>
            <w:r>
              <w:rPr>
                <w:rFonts w:hint="eastAsia" w:ascii="宋体" w:hAnsi="宋体" w:eastAsia="宋体" w:cs="宋体"/>
                <w:sz w:val="21"/>
                <w:szCs w:val="21"/>
              </w:rPr>
              <w:t>分；</w:t>
            </w:r>
            <w:r>
              <w:rPr>
                <w:rFonts w:hint="eastAsia" w:ascii="宋体" w:hAnsi="宋体" w:eastAsia="宋体" w:cs="宋体"/>
                <w:sz w:val="21"/>
                <w:szCs w:val="21"/>
                <w:lang w:val="en-US" w:eastAsia="zh-CN"/>
              </w:rPr>
              <w:t>标“▲”的为实质性响应条款，出现偏离作无效投标处理；</w:t>
            </w:r>
            <w:r>
              <w:rPr>
                <w:rFonts w:hint="eastAsia" w:ascii="宋体" w:hAnsi="宋体" w:eastAsia="宋体" w:cs="宋体"/>
                <w:sz w:val="21"/>
                <w:szCs w:val="21"/>
              </w:rPr>
              <w:t>标“★”条款负偏离扣1分，其他条款负偏离一项扣0.5分。</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b/>
                <w:bCs/>
                <w:sz w:val="21"/>
                <w:szCs w:val="21"/>
              </w:rPr>
              <w:t>评审依据：结合本项目技术参数进行评分，招标文件中需提供证明文件的如未提供视作负偏离。</w:t>
            </w:r>
          </w:p>
        </w:tc>
        <w:tc>
          <w:tcPr>
            <w:tcW w:w="7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35" w:hRule="atLeast"/>
          <w:jc w:val="center"/>
        </w:trPr>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现场演示</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主观</w:t>
            </w:r>
          </w:p>
        </w:tc>
        <w:tc>
          <w:tcPr>
            <w:tcW w:w="7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lang w:eastAsia="zh-CN"/>
              </w:rPr>
            </w:pPr>
            <w:r>
              <w:rPr>
                <w:rFonts w:hint="eastAsia" w:ascii="宋体" w:hAnsi="宋体" w:eastAsia="宋体" w:cs="宋体"/>
                <w:sz w:val="21"/>
                <w:szCs w:val="21"/>
              </w:rPr>
              <w:t>岱山县小长涂“未来社区”建设项目系统的功能演示</w:t>
            </w:r>
            <w:r>
              <w:rPr>
                <w:rFonts w:hint="eastAsia" w:ascii="宋体" w:hAnsi="宋体" w:eastAsia="宋体" w:cs="宋体"/>
                <w:sz w:val="21"/>
                <w:szCs w:val="21"/>
                <w:lang w:eastAsia="zh-CN"/>
              </w:rPr>
              <w:t>：</w:t>
            </w:r>
          </w:p>
          <w:p>
            <w:pPr>
              <w:pStyle w:val="2"/>
              <w:ind w:left="0" w:leftChars="0" w:firstLine="0" w:firstLineChars="0"/>
              <w:rPr>
                <w:rFonts w:hint="default"/>
                <w:lang w:val="en-US" w:eastAsia="zh-CN"/>
              </w:rPr>
            </w:pPr>
            <w:r>
              <w:rPr>
                <w:rFonts w:hint="eastAsia"/>
                <w:lang w:val="en-US" w:eastAsia="zh-CN"/>
              </w:rPr>
              <w:t>要求投标人代表到达投标现场进行系统功能的介绍和演示，演示时间为15-20分钟。</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支持社会综合治理基础信息的数据管理,包括基础人口,境外人口管理,特殊人群管理,地址信息管理,房屋信息管理,企业以及重点场所管理功能展示,根据现场演示情况</w:t>
            </w:r>
            <w:r>
              <w:rPr>
                <w:rFonts w:hint="eastAsia" w:ascii="宋体" w:hAnsi="宋体" w:eastAsia="宋体" w:cs="宋体"/>
                <w:sz w:val="21"/>
                <w:szCs w:val="21"/>
                <w:lang w:val="en-US" w:eastAsia="zh-CN"/>
              </w:rPr>
              <w:t>综合评分</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支持对社会治理基础信息数据按时间,地区等元素进行分类统计,根据现场演示情况酌情打分；（</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支持任务模板、任务派发、任务反馈、任务提醒等闭环操作、根据现场演示情况酌情打分；（</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支持对表单进行自定义操作,支持单表,一对一,一对多表单生成,并且进行数据录入,根据现场演示情况酌情打分；（</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支持流程自定义,支持对流程按钮,节点配置以及状态进行自定义配置,快速生成流程,根据现场演示情况酌情打分；（</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支持房东、用户自助申报，网格员对房屋、人员管理及事件的上报，***对房屋、人员管理、租房审核及系统管理和统计，总后台对所有功能的管理</w:t>
            </w:r>
            <w:r>
              <w:rPr>
                <w:rFonts w:hint="eastAsia" w:ascii="宋体" w:hAnsi="宋体" w:eastAsia="宋体" w:cs="宋体"/>
                <w:sz w:val="21"/>
                <w:szCs w:val="21"/>
                <w:lang w:eastAsia="zh-CN"/>
              </w:rPr>
              <w:t>，</w:t>
            </w:r>
            <w:r>
              <w:rPr>
                <w:rFonts w:hint="eastAsia" w:ascii="宋体" w:hAnsi="宋体" w:eastAsia="宋体" w:cs="宋体"/>
                <w:sz w:val="21"/>
                <w:szCs w:val="21"/>
              </w:rPr>
              <w:t>根据现场演示情况酌情打分；（</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CN"/>
              </w:rPr>
              <w:t>0</w:t>
            </w:r>
            <w:r>
              <w:rPr>
                <w:rFonts w:hint="eastAsia" w:ascii="宋体" w:hAnsi="宋体" w:eastAsia="宋体" w:cs="宋体"/>
                <w:sz w:val="21"/>
                <w:szCs w:val="21"/>
                <w:lang w:val="en-US" w:eastAsia="zh-CN"/>
              </w:rPr>
              <w:t>分</w:t>
            </w:r>
            <w:r>
              <w:rPr>
                <w:rFonts w:hint="eastAsia" w:ascii="宋体" w:hAnsi="宋体" w:eastAsia="宋体" w:cs="宋体"/>
                <w:sz w:val="21"/>
                <w:szCs w:val="21"/>
              </w:rPr>
              <w:t>）</w:t>
            </w:r>
          </w:p>
          <w:p>
            <w:pPr>
              <w:keepNext w:val="0"/>
              <w:keepLines w:val="0"/>
              <w:pageBreakBefore w:val="0"/>
              <w:widowControl w:val="0"/>
              <w:numPr>
                <w:ilvl w:val="0"/>
                <w:numId w:val="45"/>
              </w:numPr>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sz w:val="21"/>
                <w:szCs w:val="21"/>
              </w:rPr>
            </w:pPr>
            <w:r>
              <w:rPr>
                <w:rFonts w:hint="eastAsia" w:ascii="宋体" w:hAnsi="宋体" w:eastAsia="宋体" w:cs="宋体"/>
                <w:sz w:val="21"/>
                <w:szCs w:val="21"/>
              </w:rPr>
              <w:t>支持第三方接口进行实名认证+活体检测（人脸识别）的方式进行注册</w:t>
            </w:r>
            <w:r>
              <w:rPr>
                <w:rFonts w:hint="eastAsia" w:ascii="宋体" w:hAnsi="宋体" w:eastAsia="宋体" w:cs="宋体"/>
                <w:sz w:val="21"/>
                <w:szCs w:val="21"/>
                <w:lang w:eastAsia="zh-CN"/>
              </w:rPr>
              <w:t>，</w:t>
            </w:r>
            <w:r>
              <w:rPr>
                <w:rFonts w:hint="eastAsia" w:ascii="宋体" w:hAnsi="宋体" w:eastAsia="宋体" w:cs="宋体"/>
                <w:sz w:val="21"/>
                <w:szCs w:val="21"/>
              </w:rPr>
              <w:t>根据现场演示情况酌情打分；（</w:t>
            </w:r>
            <w:r>
              <w:rPr>
                <w:rFonts w:hint="eastAsia" w:ascii="宋体" w:hAnsi="宋体" w:eastAsia="宋体" w:cs="宋体"/>
                <w:sz w:val="21"/>
                <w:szCs w:val="21"/>
                <w:lang w:val="en-US" w:eastAsia="zh-CN"/>
              </w:rPr>
              <w:t>2-0分</w:t>
            </w:r>
            <w:r>
              <w:rPr>
                <w:rFonts w:hint="eastAsia" w:ascii="宋体" w:hAnsi="宋体" w:eastAsia="宋体" w:cs="宋体"/>
                <w:sz w:val="21"/>
                <w:szCs w:val="21"/>
              </w:rPr>
              <w:t>）</w:t>
            </w:r>
          </w:p>
        </w:tc>
        <w:tc>
          <w:tcPr>
            <w:tcW w:w="7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7" w:hRule="atLeast"/>
          <w:jc w:val="center"/>
        </w:trPr>
        <w:tc>
          <w:tcPr>
            <w:tcW w:w="91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合计</w:t>
            </w:r>
          </w:p>
        </w:tc>
        <w:tc>
          <w:tcPr>
            <w:tcW w:w="7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0"/>
              <w:rPr>
                <w:rFonts w:hint="eastAsia" w:ascii="宋体" w:hAnsi="宋体" w:eastAsia="宋体" w:cs="宋体"/>
                <w:sz w:val="21"/>
                <w:szCs w:val="21"/>
              </w:rPr>
            </w:pPr>
            <w:r>
              <w:rPr>
                <w:rFonts w:hint="eastAsia" w:ascii="宋体" w:hAnsi="宋体" w:eastAsia="宋体" w:cs="宋体"/>
                <w:sz w:val="21"/>
                <w:szCs w:val="21"/>
              </w:rPr>
              <w:t>70</w:t>
            </w:r>
          </w:p>
        </w:tc>
      </w:tr>
    </w:tbl>
    <w:p>
      <w:pPr>
        <w:autoSpaceDE w:val="0"/>
        <w:autoSpaceDN w:val="0"/>
        <w:adjustRightInd w:val="0"/>
        <w:spacing w:line="360" w:lineRule="auto"/>
        <w:jc w:val="center"/>
        <w:outlineLvl w:val="0"/>
        <w:rPr>
          <w:rFonts w:hint="eastAsia" w:ascii="宋体" w:hAnsi="宋体" w:cs="宋体"/>
          <w:b/>
          <w:sz w:val="28"/>
          <w:szCs w:val="28"/>
        </w:rPr>
      </w:pPr>
      <w:r>
        <w:rPr>
          <w:szCs w:val="24"/>
        </w:rPr>
        <w:br w:type="page"/>
      </w:r>
      <w:r>
        <w:rPr>
          <w:rFonts w:hint="eastAsia" w:ascii="宋体" w:hAnsi="宋体" w:cs="宋体"/>
          <w:b/>
          <w:sz w:val="28"/>
          <w:szCs w:val="28"/>
        </w:rPr>
        <w:t>第五章  合同主要条款</w:t>
      </w:r>
    </w:p>
    <w:p>
      <w:pPr>
        <w:snapToGrid w:val="0"/>
        <w:spacing w:before="156" w:beforeLines="50" w:after="156" w:afterLines="50" w:line="360" w:lineRule="auto"/>
        <w:jc w:val="center"/>
        <w:rPr>
          <w:rFonts w:hint="eastAsia"/>
          <w:sz w:val="28"/>
          <w:szCs w:val="28"/>
        </w:rPr>
      </w:pPr>
      <w:r>
        <w:rPr>
          <w:rFonts w:hint="eastAsia" w:ascii="宋体" w:hAnsi="宋体" w:cs="宋体"/>
          <w:b/>
          <w:sz w:val="28"/>
          <w:szCs w:val="28"/>
        </w:rPr>
        <w:t>（具体条款以甲方为主协商确定）</w:t>
      </w: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r>
        <w:rPr>
          <w:rFonts w:hint="eastAsia" w:ascii="宋体" w:hAnsi="宋体" w:cs="宋体"/>
          <w:sz w:val="44"/>
        </w:rPr>
        <w:t>项目合同</w:t>
      </w:r>
    </w:p>
    <w:p>
      <w:pPr>
        <w:spacing w:line="276" w:lineRule="auto"/>
        <w:jc w:val="center"/>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spacing w:line="500" w:lineRule="exact"/>
        <w:ind w:firstLine="354" w:firstLineChars="118"/>
        <w:rPr>
          <w:rFonts w:hint="eastAsia" w:ascii="宋体" w:hAnsi="宋体" w:cs="宋体"/>
          <w:sz w:val="30"/>
          <w:szCs w:val="30"/>
        </w:rPr>
      </w:pPr>
    </w:p>
    <w:p>
      <w:pPr>
        <w:spacing w:line="700" w:lineRule="exact"/>
        <w:ind w:firstLine="1026" w:firstLineChars="342"/>
        <w:rPr>
          <w:rFonts w:hint="eastAsia" w:ascii="宋体" w:hAnsi="宋体" w:cs="宋体"/>
          <w:sz w:val="30"/>
          <w:szCs w:val="30"/>
          <w:u w:val="single"/>
        </w:rPr>
      </w:pPr>
      <w:r>
        <w:rPr>
          <w:rFonts w:hint="eastAsia" w:ascii="宋体" w:hAnsi="宋体" w:cs="宋体"/>
          <w:sz w:val="30"/>
          <w:szCs w:val="30"/>
        </w:rPr>
        <w:t>项目编号：</w:t>
      </w:r>
      <w:r>
        <w:rPr>
          <w:rFonts w:hint="eastAsia" w:ascii="宋体" w:hAnsi="宋体" w:cs="宋体"/>
          <w:sz w:val="30"/>
          <w:szCs w:val="30"/>
          <w:u w:val="single"/>
        </w:rPr>
        <w:t xml:space="preserve">                                        </w:t>
      </w:r>
    </w:p>
    <w:p>
      <w:pPr>
        <w:spacing w:line="500" w:lineRule="exact"/>
        <w:rPr>
          <w:rFonts w:hint="eastAsia" w:ascii="宋体" w:hAnsi="宋体" w:cs="宋体"/>
          <w:sz w:val="28"/>
          <w:szCs w:val="28"/>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采购人（甲方）：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中标人（乙方）：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合同签定日：</w:t>
      </w:r>
      <w:r>
        <w:rPr>
          <w:rFonts w:hint="eastAsia" w:ascii="宋体" w:hAnsi="宋体" w:cs="宋体"/>
          <w:sz w:val="30"/>
          <w:szCs w:val="30"/>
          <w:u w:val="single"/>
        </w:rPr>
        <w:t xml:space="preserve"> 20  年   月   日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合同签定地点：</w:t>
      </w:r>
      <w:r>
        <w:rPr>
          <w:rFonts w:hint="eastAsia" w:ascii="宋体" w:hAnsi="宋体" w:cs="宋体"/>
          <w:sz w:val="30"/>
          <w:szCs w:val="30"/>
          <w:u w:val="single"/>
        </w:rPr>
        <w:t>舟山市</w:t>
      </w:r>
      <w:r>
        <w:rPr>
          <w:rFonts w:hint="eastAsia" w:ascii="宋体" w:hAnsi="宋体" w:cs="宋体"/>
          <w:sz w:val="30"/>
          <w:szCs w:val="30"/>
          <w:u w:val="single"/>
          <w:lang w:val="en-US" w:eastAsia="zh-CN"/>
        </w:rPr>
        <w:t>岱山县</w:t>
      </w:r>
      <w:r>
        <w:rPr>
          <w:rFonts w:hint="eastAsia" w:ascii="宋体" w:hAnsi="宋体" w:cs="宋体"/>
          <w:sz w:val="36"/>
          <w:szCs w:val="36"/>
          <w:u w:val="single"/>
        </w:rPr>
        <w:t xml:space="preserve">            </w:t>
      </w:r>
      <w:r>
        <w:rPr>
          <w:rFonts w:hint="eastAsia" w:ascii="宋体" w:hAnsi="宋体" w:cs="宋体"/>
          <w:sz w:val="36"/>
          <w:szCs w:val="36"/>
          <w:u w:val="single"/>
          <w:lang w:val="en-US" w:eastAsia="zh-CN"/>
        </w:rPr>
        <w:t xml:space="preserve">   </w:t>
      </w:r>
      <w:r>
        <w:rPr>
          <w:rFonts w:hint="eastAsia" w:ascii="宋体" w:hAnsi="宋体" w:cs="宋体"/>
          <w:sz w:val="36"/>
          <w:szCs w:val="36"/>
          <w:u w:val="single"/>
        </w:rPr>
        <w:t xml:space="preserve">      </w:t>
      </w: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pacing w:line="360" w:lineRule="auto"/>
        <w:ind w:right="6"/>
        <w:rPr>
          <w:rFonts w:hint="eastAsia" w:ascii="宋体" w:hAnsi="宋体"/>
          <w:spacing w:val="4"/>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firstLine="436" w:firstLineChars="200"/>
        <w:textAlignment w:val="auto"/>
        <w:rPr>
          <w:rFonts w:hint="eastAsia" w:ascii="宋体" w:hAnsi="宋体" w:eastAsia="宋体" w:cs="宋体"/>
          <w:spacing w:val="4"/>
          <w:szCs w:val="21"/>
        </w:rPr>
      </w:pPr>
      <w:r>
        <w:rPr>
          <w:rFonts w:hint="eastAsia" w:ascii="宋体" w:hAnsi="宋体" w:eastAsia="宋体" w:cs="宋体"/>
          <w:spacing w:val="4"/>
          <w:szCs w:val="21"/>
        </w:rPr>
        <w:t>甲方对</w:t>
      </w:r>
      <w:r>
        <w:rPr>
          <w:rFonts w:hint="eastAsia" w:ascii="宋体" w:hAnsi="宋体" w:eastAsia="宋体" w:cs="宋体"/>
          <w:szCs w:val="21"/>
          <w:u w:val="single"/>
        </w:rPr>
        <w:t xml:space="preserve">                                                </w:t>
      </w:r>
      <w:r>
        <w:rPr>
          <w:rFonts w:hint="eastAsia" w:ascii="宋体" w:hAnsi="宋体" w:eastAsia="宋体" w:cs="宋体"/>
          <w:spacing w:val="4"/>
          <w:szCs w:val="21"/>
        </w:rPr>
        <w:t>进行公开招标。经评审小组评定并最终审核通过，确定乙方为本项采购项目的中标人。甲乙双方根据《中华人民共和国政府采购法》、《中华人民共和国</w:t>
      </w:r>
      <w:r>
        <w:rPr>
          <w:rFonts w:hint="eastAsia" w:ascii="宋体" w:hAnsi="宋体" w:eastAsia="宋体" w:cs="宋体"/>
          <w:spacing w:val="4"/>
          <w:szCs w:val="21"/>
          <w:lang w:val="en-US" w:eastAsia="zh-CN"/>
        </w:rPr>
        <w:t>民法典</w:t>
      </w:r>
      <w:r>
        <w:rPr>
          <w:rFonts w:hint="eastAsia" w:ascii="宋体" w:hAnsi="宋体" w:eastAsia="宋体" w:cs="宋体"/>
          <w:spacing w:val="4"/>
          <w:szCs w:val="21"/>
        </w:rPr>
        <w:t>》等相关法律法规及本项目招标文件的规定，双方经平等协商达成一致意见，订立本合同。</w:t>
      </w:r>
    </w:p>
    <w:p>
      <w:pPr>
        <w:keepNext w:val="0"/>
        <w:keepLines w:val="0"/>
        <w:pageBreakBefore w:val="0"/>
        <w:widowControl w:val="0"/>
        <w:kinsoku/>
        <w:wordWrap/>
        <w:overflowPunct/>
        <w:topLinePunct w:val="0"/>
        <w:autoSpaceDE/>
        <w:autoSpaceDN/>
        <w:bidi w:val="0"/>
        <w:snapToGrid/>
        <w:spacing w:line="360" w:lineRule="auto"/>
        <w:ind w:left="0" w:firstLine="422" w:firstLineChars="200"/>
        <w:rPr>
          <w:rFonts w:hint="eastAsia" w:ascii="宋体" w:hAnsi="宋体" w:eastAsia="宋体" w:cs="宋体"/>
          <w:b/>
          <w:szCs w:val="21"/>
        </w:rPr>
      </w:pPr>
      <w:r>
        <w:rPr>
          <w:rFonts w:hint="eastAsia" w:ascii="宋体" w:hAnsi="宋体" w:eastAsia="宋体" w:cs="宋体"/>
          <w:b/>
          <w:szCs w:val="21"/>
        </w:rPr>
        <w:t>一、合同文件</w:t>
      </w:r>
    </w:p>
    <w:p>
      <w:pPr>
        <w:keepNext w:val="0"/>
        <w:keepLines w:val="0"/>
        <w:pageBreakBefore w:val="0"/>
        <w:widowControl w:val="0"/>
        <w:kinsoku/>
        <w:wordWrap/>
        <w:overflowPunct/>
        <w:topLinePunct w:val="0"/>
        <w:autoSpaceDE/>
        <w:autoSpaceDN/>
        <w:bidi w:val="0"/>
        <w:snapToGrid/>
        <w:spacing w:line="360" w:lineRule="auto"/>
        <w:ind w:left="0" w:firstLine="420" w:firstLineChars="200"/>
        <w:rPr>
          <w:rFonts w:hint="eastAsia" w:ascii="宋体" w:hAnsi="宋体" w:eastAsia="宋体" w:cs="宋体"/>
          <w:szCs w:val="21"/>
        </w:rPr>
      </w:pPr>
      <w:r>
        <w:rPr>
          <w:rFonts w:hint="eastAsia" w:ascii="宋体" w:hAnsi="宋体" w:eastAsia="宋体" w:cs="宋体"/>
          <w:szCs w:val="21"/>
        </w:rPr>
        <w:t>下列文件构成本合同的组成部分：</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hint="eastAsia" w:ascii="宋体" w:hAnsi="宋体" w:eastAsia="宋体" w:cs="宋体"/>
          <w:szCs w:val="21"/>
        </w:rPr>
      </w:pPr>
      <w:r>
        <w:rPr>
          <w:rFonts w:hint="eastAsia" w:ascii="宋体" w:hAnsi="宋体" w:eastAsia="宋体" w:cs="宋体"/>
          <w:szCs w:val="21"/>
        </w:rPr>
        <w:t>1、招标文件</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hint="eastAsia" w:ascii="宋体" w:hAnsi="宋体" w:eastAsia="宋体" w:cs="宋体"/>
          <w:szCs w:val="21"/>
        </w:rPr>
      </w:pPr>
      <w:r>
        <w:rPr>
          <w:rFonts w:hint="eastAsia" w:ascii="宋体" w:hAnsi="宋体" w:eastAsia="宋体" w:cs="宋体"/>
          <w:szCs w:val="21"/>
        </w:rPr>
        <w:t>2、中标文件</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hint="eastAsia" w:ascii="宋体" w:hAnsi="宋体" w:eastAsia="宋体" w:cs="宋体"/>
          <w:szCs w:val="21"/>
        </w:rPr>
      </w:pPr>
      <w:r>
        <w:rPr>
          <w:rFonts w:hint="eastAsia" w:ascii="宋体" w:hAnsi="宋体" w:eastAsia="宋体" w:cs="宋体"/>
          <w:szCs w:val="21"/>
        </w:rPr>
        <w:t>3、相关补充文件</w:t>
      </w:r>
    </w:p>
    <w:p>
      <w:pPr>
        <w:keepNext w:val="0"/>
        <w:keepLines w:val="0"/>
        <w:pageBreakBefore w:val="0"/>
        <w:widowControl w:val="0"/>
        <w:kinsoku/>
        <w:wordWrap/>
        <w:overflowPunct/>
        <w:topLinePunct w:val="0"/>
        <w:autoSpaceDE/>
        <w:autoSpaceDN/>
        <w:bidi w:val="0"/>
        <w:adjustRightInd w:val="0"/>
        <w:snapToGrid/>
        <w:spacing w:line="360" w:lineRule="auto"/>
        <w:ind w:left="0" w:firstLine="422" w:firstLineChars="200"/>
        <w:textAlignment w:val="baseline"/>
        <w:rPr>
          <w:rFonts w:hint="eastAsia" w:ascii="宋体" w:hAnsi="宋体" w:eastAsia="宋体" w:cs="宋体"/>
          <w:szCs w:val="21"/>
        </w:rPr>
      </w:pPr>
      <w:r>
        <w:rPr>
          <w:rFonts w:hint="eastAsia" w:ascii="宋体" w:hAnsi="宋体" w:eastAsia="宋体" w:cs="宋体"/>
          <w:b/>
          <w:szCs w:val="21"/>
        </w:rPr>
        <w:t>二、合同范围和条件</w:t>
      </w:r>
    </w:p>
    <w:p>
      <w:pPr>
        <w:keepNext w:val="0"/>
        <w:keepLines w:val="0"/>
        <w:pageBreakBefore w:val="0"/>
        <w:widowControl w:val="0"/>
        <w:kinsoku/>
        <w:wordWrap/>
        <w:overflowPunct/>
        <w:topLinePunct w:val="0"/>
        <w:autoSpaceDE/>
        <w:autoSpaceDN/>
        <w:bidi w:val="0"/>
        <w:snapToGrid/>
        <w:spacing w:line="360" w:lineRule="auto"/>
        <w:ind w:left="0" w:firstLine="420" w:firstLineChars="200"/>
        <w:rPr>
          <w:rFonts w:hint="eastAsia" w:ascii="宋体" w:hAnsi="宋体" w:eastAsia="宋体" w:cs="宋体"/>
          <w:szCs w:val="21"/>
        </w:rPr>
      </w:pPr>
      <w:r>
        <w:rPr>
          <w:rFonts w:hint="eastAsia" w:ascii="宋体" w:hAnsi="宋体" w:eastAsia="宋体" w:cs="宋体"/>
          <w:szCs w:val="21"/>
        </w:rPr>
        <w:t>本合同的范围和条件与上述规定的合同文件内容一致。</w:t>
      </w:r>
    </w:p>
    <w:p>
      <w:pPr>
        <w:keepNext w:val="0"/>
        <w:keepLines w:val="0"/>
        <w:pageBreakBefore w:val="0"/>
        <w:widowControl w:val="0"/>
        <w:kinsoku/>
        <w:wordWrap/>
        <w:overflowPunct/>
        <w:topLinePunct w:val="0"/>
        <w:autoSpaceDE/>
        <w:autoSpaceDN/>
        <w:bidi w:val="0"/>
        <w:snapToGrid/>
        <w:spacing w:line="360" w:lineRule="auto"/>
        <w:ind w:left="0" w:firstLine="422" w:firstLineChars="200"/>
        <w:rPr>
          <w:rFonts w:hint="eastAsia" w:ascii="宋体" w:hAnsi="宋体" w:eastAsia="宋体" w:cs="宋体"/>
          <w:b/>
          <w:szCs w:val="21"/>
        </w:rPr>
      </w:pPr>
      <w:r>
        <w:rPr>
          <w:rFonts w:hint="eastAsia" w:ascii="宋体" w:hAnsi="宋体" w:eastAsia="宋体" w:cs="宋体"/>
          <w:b/>
          <w:szCs w:val="21"/>
        </w:rPr>
        <w:t>三、产品的技术要求</w:t>
      </w:r>
    </w:p>
    <w:p>
      <w:pPr>
        <w:keepNext w:val="0"/>
        <w:keepLines w:val="0"/>
        <w:pageBreakBefore w:val="0"/>
        <w:widowControl w:val="0"/>
        <w:kinsoku/>
        <w:wordWrap/>
        <w:overflowPunct/>
        <w:topLinePunct w:val="0"/>
        <w:autoSpaceDE/>
        <w:autoSpaceDN/>
        <w:bidi w:val="0"/>
        <w:snapToGrid/>
        <w:spacing w:line="360" w:lineRule="auto"/>
        <w:ind w:left="0" w:firstLine="420" w:firstLineChars="200"/>
        <w:rPr>
          <w:rFonts w:hint="eastAsia" w:ascii="宋体" w:hAnsi="宋体" w:eastAsia="宋体" w:cs="宋体"/>
          <w:szCs w:val="21"/>
        </w:rPr>
      </w:pPr>
      <w:r>
        <w:rPr>
          <w:rFonts w:hint="eastAsia" w:ascii="宋体" w:hAnsi="宋体" w:eastAsia="宋体" w:cs="宋体"/>
          <w:szCs w:val="21"/>
        </w:rPr>
        <w:t>本产品的技术要求同招标文件第二章项目招标需求相同。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rPr>
        <w:t>四、合同金额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szCs w:val="21"/>
        </w:rPr>
      </w:pPr>
      <w:r>
        <w:rPr>
          <w:rFonts w:hint="eastAsia" w:ascii="宋体" w:hAnsi="宋体" w:eastAsia="宋体" w:cs="宋体"/>
          <w:szCs w:val="21"/>
        </w:rPr>
        <w:t>本项目的合同总价为</w:t>
      </w:r>
      <w:r>
        <w:rPr>
          <w:rFonts w:hint="eastAsia" w:ascii="宋体" w:hAnsi="宋体" w:eastAsia="宋体" w:cs="宋体"/>
          <w:szCs w:val="21"/>
          <w:u w:val="single"/>
        </w:rPr>
        <w:t xml:space="preserve">         </w:t>
      </w:r>
      <w:r>
        <w:rPr>
          <w:rFonts w:hint="eastAsia" w:ascii="宋体" w:hAnsi="宋体" w:eastAsia="宋体" w:cs="宋体"/>
          <w:szCs w:val="21"/>
        </w:rPr>
        <w:t xml:space="preserve">元人民币。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lang w:val="en-US" w:eastAsia="zh-CN"/>
        </w:rPr>
        <w:t>五、</w:t>
      </w:r>
      <w:r>
        <w:rPr>
          <w:rFonts w:hint="eastAsia" w:ascii="宋体" w:hAnsi="宋体" w:eastAsia="宋体" w:cs="宋体"/>
          <w:b/>
          <w:szCs w:val="21"/>
        </w:rPr>
        <w:t>付款方式</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left"/>
        <w:textAlignment w:val="auto"/>
        <w:rPr>
          <w:rFonts w:ascii="宋体" w:hAnsi="宋体"/>
          <w:szCs w:val="21"/>
        </w:rPr>
      </w:pPr>
      <w:r>
        <w:rPr>
          <w:rFonts w:hint="eastAsia" w:ascii="宋体" w:hAnsi="宋体"/>
          <w:szCs w:val="21"/>
          <w:lang w:val="en-US" w:eastAsia="zh-CN"/>
        </w:rPr>
        <w:t>1、</w:t>
      </w:r>
      <w:r>
        <w:rPr>
          <w:rFonts w:hint="eastAsia" w:ascii="宋体" w:hAnsi="宋体"/>
          <w:szCs w:val="21"/>
        </w:rPr>
        <w:t>履约保证金为合同总金额的5%，合同签订后5个工作日内递交履约保证金，免费保修结束后无息返还。履约保证金可为现金或银行、保险公司出具的保函。</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Cs/>
          <w:szCs w:val="21"/>
        </w:rPr>
      </w:pPr>
      <w:r>
        <w:rPr>
          <w:rFonts w:hint="eastAsia" w:ascii="宋体" w:hAnsi="宋体"/>
          <w:szCs w:val="21"/>
          <w:lang w:val="en-US" w:eastAsia="zh-CN"/>
        </w:rPr>
        <w:t>2、</w:t>
      </w:r>
      <w:r>
        <w:rPr>
          <w:rFonts w:hint="eastAsia" w:ascii="宋体" w:hAnsi="宋体"/>
          <w:szCs w:val="21"/>
        </w:rPr>
        <w:t>合同签订完成，</w:t>
      </w:r>
      <w:r>
        <w:rPr>
          <w:rFonts w:hint="eastAsia" w:ascii="宋体" w:hAnsi="宋体"/>
          <w:szCs w:val="21"/>
          <w:lang w:val="en-US" w:eastAsia="zh-CN"/>
        </w:rPr>
        <w:t>乙方</w:t>
      </w:r>
      <w:r>
        <w:rPr>
          <w:rFonts w:hint="eastAsia" w:ascii="宋体" w:hAnsi="宋体"/>
          <w:szCs w:val="21"/>
        </w:rPr>
        <w:t>履约保证金到账且</w:t>
      </w:r>
      <w:r>
        <w:rPr>
          <w:rFonts w:hint="eastAsia" w:ascii="宋体" w:hAnsi="宋体"/>
          <w:szCs w:val="21"/>
          <w:lang w:val="en-US" w:eastAsia="zh-CN"/>
        </w:rPr>
        <w:t>甲方</w:t>
      </w:r>
      <w:r>
        <w:rPr>
          <w:rFonts w:hint="eastAsia" w:ascii="宋体" w:hAnsi="宋体"/>
          <w:szCs w:val="21"/>
        </w:rPr>
        <w:t>收到</w:t>
      </w:r>
      <w:r>
        <w:rPr>
          <w:rFonts w:hint="eastAsia" w:ascii="宋体" w:hAnsi="宋体"/>
          <w:szCs w:val="21"/>
          <w:lang w:val="en-US" w:eastAsia="zh-CN"/>
        </w:rPr>
        <w:t>乙方</w:t>
      </w:r>
      <w:r>
        <w:rPr>
          <w:rFonts w:hint="eastAsia" w:ascii="宋体" w:hAnsi="宋体"/>
          <w:szCs w:val="21"/>
        </w:rPr>
        <w:t>正规发票10日内，支付合同额4</w:t>
      </w:r>
      <w:r>
        <w:rPr>
          <w:rFonts w:ascii="宋体" w:hAnsi="宋体"/>
          <w:szCs w:val="21"/>
        </w:rPr>
        <w:t>0</w:t>
      </w:r>
      <w:r>
        <w:rPr>
          <w:rFonts w:hint="eastAsia" w:ascii="宋体" w:hAnsi="宋体"/>
          <w:szCs w:val="21"/>
        </w:rPr>
        <w:t>%作为预付款；</w:t>
      </w:r>
      <w:r>
        <w:rPr>
          <w:rFonts w:hint="eastAsia" w:ascii="宋体" w:hAnsi="宋体"/>
          <w:bCs/>
          <w:szCs w:val="21"/>
        </w:rPr>
        <w:t>在完成建设内容</w:t>
      </w:r>
      <w:r>
        <w:rPr>
          <w:rFonts w:hint="eastAsia" w:ascii="宋体" w:hAnsi="宋体"/>
          <w:bCs/>
          <w:szCs w:val="21"/>
          <w:lang w:val="en-US" w:eastAsia="zh-CN"/>
        </w:rPr>
        <w:t>且</w:t>
      </w:r>
      <w:r>
        <w:rPr>
          <w:rFonts w:hint="eastAsia" w:ascii="宋体" w:hAnsi="宋体"/>
          <w:bCs/>
          <w:szCs w:val="21"/>
        </w:rPr>
        <w:t>通过第三方</w:t>
      </w:r>
      <w:r>
        <w:rPr>
          <w:rFonts w:hint="eastAsia" w:ascii="宋体" w:hAnsi="宋体"/>
          <w:bCs/>
          <w:szCs w:val="21"/>
          <w:lang w:val="en-US" w:eastAsia="zh-CN"/>
        </w:rPr>
        <w:t>终</w:t>
      </w:r>
      <w:r>
        <w:rPr>
          <w:rFonts w:hint="eastAsia" w:ascii="宋体" w:hAnsi="宋体"/>
          <w:bCs/>
          <w:szCs w:val="21"/>
        </w:rPr>
        <w:t>验后，按实际建设向</w:t>
      </w:r>
      <w:r>
        <w:rPr>
          <w:rFonts w:hint="eastAsia" w:ascii="宋体" w:hAnsi="宋体"/>
          <w:bCs/>
          <w:szCs w:val="21"/>
          <w:lang w:val="en-US" w:eastAsia="zh-CN"/>
        </w:rPr>
        <w:t>乙方</w:t>
      </w:r>
      <w:r>
        <w:rPr>
          <w:rFonts w:hint="eastAsia" w:ascii="宋体" w:hAnsi="宋体"/>
          <w:bCs/>
          <w:szCs w:val="21"/>
        </w:rPr>
        <w:t>支付合同剩余部分</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Cs w:val="21"/>
          <w:lang w:val="en-US" w:eastAsia="zh-CN"/>
        </w:rPr>
      </w:pPr>
      <w:r>
        <w:rPr>
          <w:rFonts w:hint="eastAsia" w:ascii="宋体" w:hAnsi="宋体" w:eastAsia="宋体" w:cs="宋体"/>
          <w:b/>
          <w:szCs w:val="21"/>
          <w:lang w:val="en-US" w:eastAsia="zh-CN"/>
        </w:rPr>
        <w:t xml:space="preserve">六、项目工期 </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eastAsia="宋体" w:cs="宋体"/>
          <w:i w:val="0"/>
          <w:iCs w:val="0"/>
          <w:caps w:val="0"/>
          <w:color w:val="000000"/>
          <w:spacing w:val="0"/>
          <w:sz w:val="21"/>
          <w:szCs w:val="21"/>
          <w:highlight w:val="none"/>
          <w:lang w:val="en-US" w:eastAsia="zh-CN"/>
        </w:rPr>
      </w:pPr>
      <w:r>
        <w:rPr>
          <w:rFonts w:hint="eastAsia" w:ascii="宋体" w:hAnsi="宋体"/>
          <w:szCs w:val="21"/>
          <w:lang w:val="en-US" w:eastAsia="zh-CN"/>
        </w:rPr>
        <w:t>1、</w:t>
      </w:r>
      <w:r>
        <w:rPr>
          <w:rFonts w:hint="eastAsia" w:ascii="宋体" w:hAnsi="宋体"/>
          <w:szCs w:val="21"/>
        </w:rPr>
        <w:t>工期要求：合同签订后</w:t>
      </w:r>
      <w:r>
        <w:rPr>
          <w:rFonts w:hint="eastAsia" w:ascii="宋体" w:hAnsi="宋体"/>
          <w:szCs w:val="21"/>
          <w:lang w:val="en-US" w:eastAsia="zh-CN"/>
        </w:rPr>
        <w:t>90</w:t>
      </w:r>
      <w:r>
        <w:rPr>
          <w:rFonts w:hint="eastAsia" w:ascii="宋体" w:hAnsi="宋体"/>
          <w:szCs w:val="21"/>
        </w:rPr>
        <w:t>天内交付使用</w:t>
      </w:r>
      <w:r>
        <w:rPr>
          <w:rFonts w:hint="eastAsia" w:ascii="宋体" w:hAnsi="宋体"/>
          <w:szCs w:val="21"/>
          <w:lang w:val="en-US" w:eastAsia="zh-CN"/>
        </w:rPr>
        <w:t>并通过初验</w:t>
      </w:r>
      <w:r>
        <w:rPr>
          <w:rFonts w:hint="eastAsia" w:ascii="宋体" w:hAnsi="宋体"/>
          <w:szCs w:val="21"/>
          <w:lang w:eastAsia="zh-CN"/>
        </w:rPr>
        <w:t>，</w:t>
      </w:r>
      <w:r>
        <w:rPr>
          <w:rFonts w:hint="eastAsia" w:ascii="宋体" w:hAnsi="宋体"/>
          <w:szCs w:val="21"/>
          <w:lang w:val="en-US" w:eastAsia="zh-CN"/>
        </w:rPr>
        <w:t>试运行2个月无任何问题配合采购人进行项目终验。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000000"/>
          <w:sz w:val="21"/>
          <w:szCs w:val="21"/>
          <w:lang w:val="en-US" w:eastAsia="zh-CN"/>
        </w:rPr>
      </w:pPr>
      <w:r>
        <w:rPr>
          <w:rFonts w:hint="eastAsia" w:ascii="宋体" w:hAnsi="宋体"/>
          <w:szCs w:val="21"/>
          <w:lang w:val="en-US" w:eastAsia="zh-CN"/>
        </w:rPr>
        <w:t>2、</w:t>
      </w:r>
      <w:r>
        <w:rPr>
          <w:rFonts w:hint="eastAsia" w:ascii="宋体" w:hAnsi="宋体"/>
          <w:szCs w:val="21"/>
        </w:rPr>
        <w:t>交货地点要求：使用单位指定地点，</w:t>
      </w:r>
      <w:r>
        <w:rPr>
          <w:rFonts w:hint="eastAsia" w:ascii="宋体" w:hAnsi="宋体"/>
          <w:szCs w:val="21"/>
          <w:lang w:val="en-US" w:eastAsia="zh-CN"/>
        </w:rPr>
        <w:t>乙方</w:t>
      </w:r>
      <w:r>
        <w:rPr>
          <w:rFonts w:hint="eastAsia" w:ascii="宋体" w:hAnsi="宋体"/>
          <w:szCs w:val="21"/>
        </w:rPr>
        <w:t>须派专业人员将产品送到指定地点并安装调试完毕，其所有费用由</w:t>
      </w:r>
      <w:r>
        <w:rPr>
          <w:rFonts w:hint="eastAsia" w:ascii="宋体" w:hAnsi="宋体"/>
          <w:szCs w:val="21"/>
          <w:lang w:val="en-US" w:eastAsia="zh-CN"/>
        </w:rPr>
        <w:t>乙方</w:t>
      </w:r>
      <w:r>
        <w:rPr>
          <w:rFonts w:hint="eastAsia" w:ascii="宋体" w:hAnsi="宋体"/>
          <w:szCs w:val="21"/>
        </w:rPr>
        <w:t>承担。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Cs w:val="21"/>
          <w:lang w:val="en-US" w:eastAsia="zh-CN"/>
        </w:rPr>
      </w:pPr>
      <w:r>
        <w:rPr>
          <w:rFonts w:hint="eastAsia" w:ascii="宋体" w:hAnsi="宋体" w:eastAsia="宋体" w:cs="宋体"/>
          <w:b/>
          <w:szCs w:val="21"/>
          <w:lang w:val="en-US" w:eastAsia="zh-CN"/>
        </w:rPr>
        <w:t>七、</w:t>
      </w:r>
      <w:r>
        <w:rPr>
          <w:rFonts w:hint="eastAsia" w:ascii="宋体" w:hAnsi="宋体" w:eastAsia="宋体" w:cs="宋体"/>
          <w:b/>
          <w:szCs w:val="21"/>
          <w:highlight w:val="none"/>
          <w:lang w:val="en-US" w:eastAsia="zh-CN"/>
        </w:rPr>
        <w:t>产品情况、质保期及价格：</w:t>
      </w:r>
    </w:p>
    <w:tbl>
      <w:tblPr>
        <w:tblStyle w:val="25"/>
        <w:tblW w:w="50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2"/>
        <w:gridCol w:w="1001"/>
        <w:gridCol w:w="769"/>
        <w:gridCol w:w="1217"/>
        <w:gridCol w:w="661"/>
        <w:gridCol w:w="2"/>
        <w:gridCol w:w="665"/>
        <w:gridCol w:w="1051"/>
        <w:gridCol w:w="903"/>
        <w:gridCol w:w="1211"/>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000" w:type="pct"/>
            <w:gridSpan w:val="11"/>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76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板块名称</w:t>
            </w:r>
          </w:p>
        </w:tc>
        <w:tc>
          <w:tcPr>
            <w:tcW w:w="50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设备名称</w:t>
            </w:r>
          </w:p>
        </w:tc>
        <w:tc>
          <w:tcPr>
            <w:tcW w:w="38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功能</w:t>
            </w: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数量/单位</w:t>
            </w:r>
          </w:p>
        </w:tc>
        <w:tc>
          <w:tcPr>
            <w:tcW w:w="33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型号</w:t>
            </w:r>
          </w:p>
        </w:tc>
        <w:tc>
          <w:tcPr>
            <w:tcW w:w="332"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开发者</w:t>
            </w: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总价（元）</w:t>
            </w: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rPr>
            </w:pPr>
          </w:p>
        </w:tc>
        <w:tc>
          <w:tcPr>
            <w:tcW w:w="50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331"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33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000" w:type="pct"/>
            <w:gridSpan w:val="11"/>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default" w:ascii="宋体" w:hAnsi="宋体" w:eastAsia="宋体" w:cs="宋体"/>
                <w:sz w:val="21"/>
                <w:szCs w:val="21"/>
                <w:lang w:val="en-US" w:eastAsia="zh-CN"/>
              </w:rPr>
            </w:pPr>
            <w:r>
              <w:rPr>
                <w:rFonts w:hint="default" w:ascii="宋体" w:hAnsi="宋体" w:eastAsia="宋体" w:cs="宋体"/>
                <w:b/>
                <w:bCs/>
                <w:sz w:val="21"/>
                <w:szCs w:val="21"/>
                <w:lang w:val="en-US" w:eastAsia="zh-CN"/>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76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板块名称</w:t>
            </w:r>
          </w:p>
        </w:tc>
        <w:tc>
          <w:tcPr>
            <w:tcW w:w="88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设备名称</w:t>
            </w: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数量/单位</w:t>
            </w:r>
          </w:p>
        </w:tc>
        <w:tc>
          <w:tcPr>
            <w:tcW w:w="663"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品牌型号</w:t>
            </w: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总价（元）</w:t>
            </w: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760"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rPr>
            </w:pPr>
          </w:p>
        </w:tc>
        <w:tc>
          <w:tcPr>
            <w:tcW w:w="88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63"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000" w:type="pct"/>
            <w:gridSpan w:val="11"/>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default" w:ascii="宋体" w:hAnsi="宋体" w:eastAsia="宋体" w:cs="宋体"/>
                <w:sz w:val="21"/>
                <w:szCs w:val="21"/>
                <w:lang w:val="en-US" w:eastAsia="zh-CN"/>
              </w:rPr>
            </w:pPr>
            <w:r>
              <w:rPr>
                <w:rFonts w:hint="eastAsia" w:ascii="宋体" w:hAnsi="宋体" w:eastAsia="宋体" w:cs="宋体"/>
                <w:b/>
                <w:bCs/>
                <w:color w:val="000000"/>
                <w:sz w:val="21"/>
                <w:szCs w:val="21"/>
                <w:lang w:val="en-US" w:eastAsia="zh-CN"/>
              </w:rPr>
              <w:t>三</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其他</w:t>
            </w:r>
            <w:r>
              <w:rPr>
                <w:rFonts w:hint="eastAsia" w:ascii="宋体" w:hAnsi="宋体" w:eastAsia="宋体" w:cs="宋体"/>
                <w:b/>
                <w:bCs/>
                <w:color w:val="000000"/>
                <w:sz w:val="21"/>
                <w:szCs w:val="21"/>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644"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板块名称</w:t>
            </w: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数量/单位</w:t>
            </w:r>
          </w:p>
        </w:tc>
        <w:tc>
          <w:tcPr>
            <w:tcW w:w="663"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品牌型号</w:t>
            </w: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总价（元）</w:t>
            </w: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644"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63"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52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605"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1"/>
                <w:szCs w:val="21"/>
                <w:lang w:val="en-US" w:eastAsia="zh-CN"/>
              </w:rPr>
            </w:pPr>
          </w:p>
        </w:tc>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八、</w:t>
      </w:r>
      <w:r>
        <w:rPr>
          <w:rFonts w:hint="eastAsia" w:ascii="宋体" w:hAnsi="宋体" w:eastAsia="宋体" w:cs="宋体"/>
          <w:b/>
          <w:sz w:val="21"/>
          <w:szCs w:val="21"/>
          <w:highlight w:val="none"/>
          <w:lang w:val="en-US" w:eastAsia="zh-CN"/>
        </w:rPr>
        <w:t>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应保护甲方在使用该设备和软件或其任何一部分时不受第三方提出侵犯专利权、商标权或工业设计权等知识产权等的指控。如果任何第三方提出侵权指控，乙方须与第三方交涉并承担可能发生的一切法律责任和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九、商务要求</w:t>
      </w:r>
    </w:p>
    <w:p>
      <w:pPr>
        <w:keepNext w:val="0"/>
        <w:keepLines w:val="0"/>
        <w:pageBreakBefore w:val="0"/>
        <w:widowControl w:val="0"/>
        <w:numPr>
          <w:ilvl w:val="0"/>
          <w:numId w:val="0"/>
        </w:numPr>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通信链路要求</w:t>
      </w:r>
    </w:p>
    <w:p>
      <w:pPr>
        <w:keepNext w:val="0"/>
        <w:keepLines w:val="0"/>
        <w:pageBreakBefore w:val="0"/>
        <w:widowControl w:val="0"/>
        <w:numPr>
          <w:ilvl w:val="0"/>
          <w:numId w:val="0"/>
        </w:numPr>
        <w:tabs>
          <w:tab w:val="left" w:pos="3720"/>
        </w:tabs>
        <w:kinsoku/>
        <w:wordWrap/>
        <w:overflowPunct/>
        <w:topLinePunct w:val="0"/>
        <w:autoSpaceDE/>
        <w:autoSpaceDN/>
        <w:bidi w:val="0"/>
        <w:adjustRightInd/>
        <w:snapToGrid/>
        <w:spacing w:line="360" w:lineRule="auto"/>
        <w:ind w:leftChars="200" w:right="0" w:righ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1）乙方</w:t>
      </w:r>
      <w:r>
        <w:rPr>
          <w:rFonts w:hint="eastAsia" w:ascii="宋体" w:hAnsi="宋体" w:eastAsia="宋体" w:cs="宋体"/>
          <w:b w:val="0"/>
          <w:bCs w:val="0"/>
          <w:sz w:val="21"/>
          <w:szCs w:val="21"/>
        </w:rPr>
        <w:t>应保证每条线路的物理安全，即为监管单位所有视频提供VPN专网传输通道；每条线路应根据</w:t>
      </w:r>
      <w:r>
        <w:rPr>
          <w:rFonts w:hint="eastAsia" w:ascii="宋体" w:hAnsi="宋体" w:eastAsia="宋体" w:cs="宋体"/>
          <w:b w:val="0"/>
          <w:bCs w:val="0"/>
          <w:sz w:val="21"/>
          <w:szCs w:val="21"/>
          <w:lang w:val="en-US" w:eastAsia="zh-CN"/>
        </w:rPr>
        <w:t>甲方</w:t>
      </w:r>
      <w:r>
        <w:rPr>
          <w:rFonts w:hint="eastAsia" w:ascii="宋体" w:hAnsi="宋体" w:eastAsia="宋体" w:cs="宋体"/>
          <w:b w:val="0"/>
          <w:bCs w:val="0"/>
          <w:sz w:val="21"/>
          <w:szCs w:val="21"/>
        </w:rPr>
        <w:t>实际需求达到对应带宽；</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乙方</w:t>
      </w:r>
      <w:r>
        <w:rPr>
          <w:rFonts w:hint="eastAsia" w:ascii="宋体" w:hAnsi="宋体" w:eastAsia="宋体" w:cs="宋体"/>
          <w:b w:val="0"/>
          <w:bCs w:val="0"/>
          <w:sz w:val="21"/>
          <w:szCs w:val="21"/>
        </w:rPr>
        <w:t>提供的服务具体标准参照信息产业部颁布的《通信行业服务质量标准》施行。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其它要求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left="0" w:leftChars="0" w:right="0"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1）本项目整体质保时间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年。在质保期内，</w:t>
      </w:r>
      <w:r>
        <w:rPr>
          <w:rFonts w:hint="eastAsia" w:ascii="宋体" w:hAnsi="宋体" w:eastAsia="宋体" w:cs="宋体"/>
          <w:b w:val="0"/>
          <w:bCs w:val="0"/>
          <w:sz w:val="21"/>
          <w:szCs w:val="21"/>
          <w:lang w:val="en-US" w:eastAsia="zh-CN"/>
        </w:rPr>
        <w:t>乙方</w:t>
      </w:r>
      <w:r>
        <w:rPr>
          <w:rFonts w:hint="eastAsia" w:ascii="宋体" w:hAnsi="宋体" w:eastAsia="宋体" w:cs="宋体"/>
          <w:b w:val="0"/>
          <w:bCs w:val="0"/>
          <w:sz w:val="21"/>
          <w:szCs w:val="21"/>
        </w:rPr>
        <w:t>对其提供的产品进行现场服务、维修和损坏件的更换，不收取额外费用，质保期外，</w:t>
      </w:r>
      <w:r>
        <w:rPr>
          <w:rFonts w:hint="eastAsia" w:ascii="宋体" w:hAnsi="宋体" w:eastAsia="宋体" w:cs="宋体"/>
          <w:b w:val="0"/>
          <w:bCs w:val="0"/>
          <w:sz w:val="21"/>
          <w:szCs w:val="21"/>
          <w:lang w:val="en-US" w:eastAsia="zh-CN"/>
        </w:rPr>
        <w:t>乙方</w:t>
      </w:r>
      <w:r>
        <w:rPr>
          <w:rFonts w:hint="eastAsia" w:ascii="宋体" w:hAnsi="宋体" w:eastAsia="宋体" w:cs="宋体"/>
          <w:b w:val="0"/>
          <w:bCs w:val="0"/>
          <w:sz w:val="21"/>
          <w:szCs w:val="21"/>
        </w:rPr>
        <w:t>提供终身维修服务并只收取成本费用。</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w:t>
      </w:r>
      <w:r>
        <w:rPr>
          <w:rFonts w:hint="eastAsia" w:ascii="宋体" w:hAnsi="宋体" w:eastAsia="宋体" w:cs="宋体"/>
          <w:b w:val="0"/>
          <w:bCs w:val="0"/>
          <w:sz w:val="21"/>
          <w:szCs w:val="21"/>
          <w:highlight w:val="none"/>
          <w:lang w:val="en-US" w:eastAsia="zh-CN"/>
        </w:rPr>
        <w:t>乙方</w:t>
      </w:r>
      <w:r>
        <w:rPr>
          <w:rFonts w:hint="eastAsia" w:ascii="宋体" w:hAnsi="宋体" w:eastAsia="宋体" w:cs="宋体"/>
          <w:b w:val="0"/>
          <w:bCs w:val="0"/>
          <w:sz w:val="21"/>
          <w:szCs w:val="21"/>
          <w:highlight w:val="none"/>
        </w:rPr>
        <w:t>需在中标后</w:t>
      </w:r>
      <w:r>
        <w:rPr>
          <w:rFonts w:hint="eastAsia" w:ascii="宋体" w:hAnsi="宋体" w:eastAsia="宋体" w:cs="宋体"/>
          <w:b w:val="0"/>
          <w:bCs w:val="0"/>
          <w:sz w:val="21"/>
          <w:szCs w:val="21"/>
          <w:highlight w:val="none"/>
          <w:u w:val="none"/>
          <w:lang w:val="en-US" w:eastAsia="zh-CN"/>
        </w:rPr>
        <w:t>7</w:t>
      </w:r>
      <w:r>
        <w:rPr>
          <w:rFonts w:hint="eastAsia" w:ascii="宋体" w:hAnsi="宋体" w:eastAsia="宋体" w:cs="宋体"/>
          <w:b w:val="0"/>
          <w:bCs w:val="0"/>
          <w:sz w:val="21"/>
          <w:szCs w:val="21"/>
          <w:highlight w:val="none"/>
        </w:rPr>
        <w:t>个工作日内提供所投设备针对本项目的质保函原件（加盖公章），如无法提供作无效标处理，并赔偿</w:t>
      </w:r>
      <w:r>
        <w:rPr>
          <w:rFonts w:hint="eastAsia" w:ascii="宋体" w:hAnsi="宋体" w:eastAsia="宋体" w:cs="宋体"/>
          <w:b w:val="0"/>
          <w:bCs w:val="0"/>
          <w:sz w:val="21"/>
          <w:szCs w:val="21"/>
          <w:highlight w:val="none"/>
          <w:lang w:val="en-US" w:eastAsia="zh-CN"/>
        </w:rPr>
        <w:t>甲方</w:t>
      </w:r>
      <w:r>
        <w:rPr>
          <w:rFonts w:hint="eastAsia" w:ascii="宋体" w:hAnsi="宋体" w:eastAsia="宋体" w:cs="宋体"/>
          <w:b w:val="0"/>
          <w:bCs w:val="0"/>
          <w:sz w:val="21"/>
          <w:szCs w:val="21"/>
          <w:highlight w:val="none"/>
        </w:rPr>
        <w:t>相应的损失。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十、施工要求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实施要求：</w:t>
      </w:r>
      <w:r>
        <w:rPr>
          <w:rFonts w:hint="eastAsia" w:ascii="宋体" w:hAnsi="宋体"/>
          <w:szCs w:val="21"/>
          <w:lang w:val="en-US" w:eastAsia="zh-CN"/>
        </w:rPr>
        <w:t>乙方</w:t>
      </w:r>
      <w:r>
        <w:rPr>
          <w:rFonts w:hint="eastAsia" w:ascii="宋体" w:hAnsi="宋体"/>
          <w:szCs w:val="21"/>
        </w:rPr>
        <w:t>应负责按合同中规定的建设项目内容完成</w:t>
      </w:r>
      <w:r>
        <w:rPr>
          <w:rFonts w:hint="eastAsia" w:ascii="宋体" w:hAnsi="宋体"/>
          <w:szCs w:val="21"/>
          <w:lang w:val="en-US" w:eastAsia="zh-CN"/>
        </w:rPr>
        <w:t>软</w:t>
      </w:r>
      <w:r>
        <w:rPr>
          <w:rFonts w:hint="eastAsia" w:ascii="宋体" w:hAnsi="宋体"/>
          <w:szCs w:val="21"/>
        </w:rPr>
        <w:t>硬件设计部署，并保证按合同相关要求按时完成硬件及后台相关系统设备安装、调试、运行等工作；施工期间，</w:t>
      </w:r>
      <w:r>
        <w:rPr>
          <w:rFonts w:hint="eastAsia" w:ascii="宋体" w:hAnsi="宋体"/>
          <w:szCs w:val="21"/>
          <w:lang w:val="en-US" w:eastAsia="zh-CN"/>
        </w:rPr>
        <w:t>乙方</w:t>
      </w:r>
      <w:r>
        <w:rPr>
          <w:rFonts w:hint="eastAsia" w:ascii="宋体" w:hAnsi="宋体"/>
          <w:szCs w:val="21"/>
        </w:rPr>
        <w:t>应遵守有关部门的管理，并遵照相关的规定。系统设备安装（包括所使用的设备、材料、布线方法、安装工艺、调试开通等）必须符合国家、行业法规和规范要求。在施工中应做好对其他设施的保护，凡造成人员受伤、设施及设备损坏的，一律由</w:t>
      </w:r>
      <w:r>
        <w:rPr>
          <w:rFonts w:hint="eastAsia" w:ascii="宋体" w:hAnsi="宋体"/>
          <w:szCs w:val="21"/>
          <w:lang w:val="en-US" w:eastAsia="zh-CN"/>
        </w:rPr>
        <w:t>乙方</w:t>
      </w:r>
      <w:r>
        <w:rPr>
          <w:rFonts w:hint="eastAsia" w:ascii="宋体" w:hAnsi="宋体"/>
          <w:szCs w:val="21"/>
        </w:rPr>
        <w:t>负责赔偿；提供的设备、配件必须提供随机资料（说明书、合格证、图纸、保修单及操作保养等资料），其他附件及材料必须符合国家有关标准。</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ascii="宋体" w:hAnsi="宋体"/>
          <w:szCs w:val="21"/>
          <w:lang w:val="en-US" w:eastAsia="zh-CN"/>
        </w:rPr>
        <w:t>2、</w:t>
      </w:r>
      <w:r>
        <w:rPr>
          <w:rFonts w:hint="eastAsia" w:ascii="宋体" w:hAnsi="宋体"/>
          <w:szCs w:val="21"/>
        </w:rPr>
        <w:t>测试要求：</w:t>
      </w:r>
      <w:r>
        <w:rPr>
          <w:rFonts w:hint="eastAsia" w:ascii="宋体" w:hAnsi="宋体"/>
          <w:szCs w:val="21"/>
          <w:lang w:val="en-US" w:eastAsia="zh-CN"/>
        </w:rPr>
        <w:t>乙方</w:t>
      </w:r>
      <w:r>
        <w:rPr>
          <w:rFonts w:hint="eastAsia" w:ascii="宋体" w:hAnsi="宋体"/>
          <w:szCs w:val="21"/>
        </w:rPr>
        <w:t>应按照合同要求测试所有</w:t>
      </w:r>
      <w:r>
        <w:rPr>
          <w:rFonts w:hint="eastAsia" w:ascii="宋体" w:hAnsi="宋体"/>
          <w:szCs w:val="21"/>
          <w:lang w:val="en-US" w:eastAsia="zh-CN"/>
        </w:rPr>
        <w:t>软</w:t>
      </w:r>
      <w:r>
        <w:rPr>
          <w:rFonts w:hint="eastAsia" w:ascii="宋体" w:hAnsi="宋体"/>
          <w:szCs w:val="21"/>
        </w:rPr>
        <w:t>硬件，负责合同中所有软硬件的现场部署、现场验收测试。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both"/>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十一、验收要求及培训</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本项目要求在合同签订后</w:t>
      </w:r>
      <w:r>
        <w:rPr>
          <w:rFonts w:hint="eastAsia" w:ascii="宋体" w:hAnsi="宋体" w:eastAsia="宋体" w:cs="宋体"/>
          <w:szCs w:val="21"/>
          <w:lang w:val="en-US" w:eastAsia="zh-CN"/>
        </w:rPr>
        <w:t>90</w:t>
      </w:r>
      <w:r>
        <w:rPr>
          <w:rFonts w:hint="eastAsia" w:ascii="宋体" w:hAnsi="宋体" w:eastAsia="宋体" w:cs="宋体"/>
          <w:szCs w:val="21"/>
        </w:rPr>
        <w:t>天内，完成全部点位相关硬件设备的安装调试并通过项目初验，试运行2个月后系统稳定无故障，可申请项目终验。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通过验收测试判断产品质量是否符合产品需求、功能实现是否正确，性能方面是否符合运行要求，并且产品可以最终上线。</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3、甲方</w:t>
      </w:r>
      <w:r>
        <w:rPr>
          <w:rFonts w:hint="eastAsia" w:ascii="宋体" w:hAnsi="宋体" w:eastAsia="宋体" w:cs="宋体"/>
          <w:szCs w:val="21"/>
        </w:rPr>
        <w:t>负责组织验收小组及第三方监理单位共同参与项目验收。</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供货安装完成后，</w:t>
      </w:r>
      <w:r>
        <w:rPr>
          <w:rFonts w:hint="eastAsia" w:ascii="宋体" w:hAnsi="宋体" w:eastAsia="宋体" w:cs="宋体"/>
          <w:szCs w:val="21"/>
          <w:lang w:val="en-US" w:eastAsia="zh-CN"/>
        </w:rPr>
        <w:t>乙方</w:t>
      </w:r>
      <w:r>
        <w:rPr>
          <w:rFonts w:hint="eastAsia" w:ascii="宋体" w:hAnsi="宋体" w:eastAsia="宋体" w:cs="宋体"/>
          <w:szCs w:val="21"/>
        </w:rPr>
        <w:t>向</w:t>
      </w:r>
      <w:r>
        <w:rPr>
          <w:rFonts w:hint="eastAsia" w:ascii="宋体" w:hAnsi="宋体" w:eastAsia="宋体" w:cs="宋体"/>
          <w:szCs w:val="21"/>
          <w:lang w:val="en-US" w:eastAsia="zh-CN"/>
        </w:rPr>
        <w:t>甲方</w:t>
      </w:r>
      <w:r>
        <w:rPr>
          <w:rFonts w:hint="eastAsia" w:ascii="宋体" w:hAnsi="宋体" w:eastAsia="宋体" w:cs="宋体"/>
          <w:szCs w:val="21"/>
        </w:rPr>
        <w:t>提交申请验收报告，并且提供主要货物的出厂合格证书（或报告）、检测报告等完整的技术档案资料，若</w:t>
      </w:r>
      <w:r>
        <w:rPr>
          <w:rFonts w:hint="eastAsia" w:ascii="宋体" w:hAnsi="宋体" w:eastAsia="宋体" w:cs="宋体"/>
          <w:szCs w:val="21"/>
          <w:lang w:val="en-US" w:eastAsia="zh-CN"/>
        </w:rPr>
        <w:t>乙方</w:t>
      </w:r>
      <w:r>
        <w:rPr>
          <w:rFonts w:hint="eastAsia" w:ascii="宋体" w:hAnsi="宋体" w:eastAsia="宋体" w:cs="宋体"/>
          <w:szCs w:val="21"/>
        </w:rPr>
        <w:t>未能按照上述要求履行的，导致无法及时验收的，则须由</w:t>
      </w:r>
      <w:r>
        <w:rPr>
          <w:rFonts w:hint="eastAsia" w:ascii="宋体" w:hAnsi="宋体" w:eastAsia="宋体" w:cs="宋体"/>
          <w:szCs w:val="21"/>
          <w:lang w:val="en-US" w:eastAsia="zh-CN"/>
        </w:rPr>
        <w:t>乙方</w:t>
      </w:r>
      <w:r>
        <w:rPr>
          <w:rFonts w:hint="eastAsia" w:ascii="宋体" w:hAnsi="宋体" w:eastAsia="宋体" w:cs="宋体"/>
          <w:szCs w:val="21"/>
        </w:rPr>
        <w:t>承担一切责任。</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eastAsia="宋体" w:cs="宋体"/>
          <w:szCs w:val="21"/>
        </w:rPr>
        <w:t>免费提供后期相关建设项目的参考方案以及与其它相关系统设备的提供商合作，包括软硬件数据协议接口。</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如</w:t>
      </w:r>
      <w:r>
        <w:rPr>
          <w:rFonts w:hint="eastAsia" w:ascii="宋体" w:hAnsi="宋体" w:eastAsia="宋体" w:cs="宋体"/>
          <w:szCs w:val="21"/>
          <w:lang w:val="en-US" w:eastAsia="zh-CN"/>
        </w:rPr>
        <w:t>乙方</w:t>
      </w:r>
      <w:r>
        <w:rPr>
          <w:rFonts w:hint="eastAsia" w:ascii="宋体" w:hAnsi="宋体" w:eastAsia="宋体" w:cs="宋体"/>
          <w:szCs w:val="21"/>
        </w:rPr>
        <w:t>无法如期完成设备安装调试、前后台相关系统配置、项目验收等情况的，逾期每日向</w:t>
      </w:r>
      <w:r>
        <w:rPr>
          <w:rFonts w:hint="eastAsia" w:ascii="宋体" w:hAnsi="宋体" w:eastAsia="宋体" w:cs="宋体"/>
          <w:szCs w:val="21"/>
          <w:lang w:val="en-US" w:eastAsia="zh-CN"/>
        </w:rPr>
        <w:t>甲方</w:t>
      </w:r>
      <w:r>
        <w:rPr>
          <w:rFonts w:hint="eastAsia" w:ascii="宋体" w:hAnsi="宋体" w:eastAsia="宋体" w:cs="宋体"/>
          <w:szCs w:val="21"/>
        </w:rPr>
        <w:t>支付合同额的万分之五作为违约金。</w:t>
      </w:r>
      <w:r>
        <w:rPr>
          <w:rFonts w:hint="eastAsia" w:ascii="宋体" w:hAnsi="宋体" w:eastAsia="宋体" w:cs="宋体"/>
          <w:szCs w:val="21"/>
          <w:lang w:val="en-US" w:eastAsia="zh-CN"/>
        </w:rPr>
        <w:t>乙方</w:t>
      </w:r>
      <w:r>
        <w:rPr>
          <w:rFonts w:hint="eastAsia" w:ascii="宋体" w:hAnsi="宋体" w:eastAsia="宋体" w:cs="宋体"/>
          <w:szCs w:val="21"/>
        </w:rPr>
        <w:t>超过约定日期30个工作日仍不能完成相关服务的，</w:t>
      </w:r>
      <w:r>
        <w:rPr>
          <w:rFonts w:hint="eastAsia" w:ascii="宋体" w:hAnsi="宋体" w:eastAsia="宋体" w:cs="宋体"/>
          <w:szCs w:val="21"/>
          <w:lang w:val="en-US" w:eastAsia="zh-CN"/>
        </w:rPr>
        <w:t>甲方</w:t>
      </w:r>
      <w:r>
        <w:rPr>
          <w:rFonts w:hint="eastAsia" w:ascii="宋体" w:hAnsi="宋体" w:eastAsia="宋体" w:cs="宋体"/>
          <w:szCs w:val="21"/>
        </w:rPr>
        <w:t>可解除本合同。</w:t>
      </w:r>
      <w:r>
        <w:rPr>
          <w:rFonts w:hint="eastAsia" w:ascii="宋体" w:hAnsi="宋体" w:eastAsia="宋体" w:cs="宋体"/>
          <w:szCs w:val="21"/>
          <w:lang w:val="en-US" w:eastAsia="zh-CN"/>
        </w:rPr>
        <w:t>乙方</w:t>
      </w:r>
      <w:r>
        <w:rPr>
          <w:rFonts w:hint="eastAsia" w:ascii="宋体" w:hAnsi="宋体" w:eastAsia="宋体" w:cs="宋体"/>
          <w:szCs w:val="21"/>
        </w:rPr>
        <w:t>因未能如期提供相关服务或其他违约行为导致</w:t>
      </w:r>
      <w:r>
        <w:rPr>
          <w:rFonts w:hint="eastAsia" w:ascii="宋体" w:hAnsi="宋体" w:eastAsia="宋体" w:cs="宋体"/>
          <w:szCs w:val="21"/>
          <w:lang w:val="en-US" w:eastAsia="zh-CN"/>
        </w:rPr>
        <w:t>甲方</w:t>
      </w:r>
      <w:r>
        <w:rPr>
          <w:rFonts w:hint="eastAsia" w:ascii="宋体" w:hAnsi="宋体" w:eastAsia="宋体" w:cs="宋体"/>
          <w:szCs w:val="21"/>
        </w:rPr>
        <w:t>解除合同的，</w:t>
      </w:r>
      <w:r>
        <w:rPr>
          <w:rFonts w:hint="eastAsia" w:ascii="宋体" w:hAnsi="宋体" w:eastAsia="宋体" w:cs="宋体"/>
          <w:szCs w:val="21"/>
          <w:lang w:val="en-US" w:eastAsia="zh-CN"/>
        </w:rPr>
        <w:t>乙方</w:t>
      </w:r>
      <w:r>
        <w:rPr>
          <w:rFonts w:hint="eastAsia" w:ascii="宋体" w:hAnsi="宋体" w:eastAsia="宋体" w:cs="宋体"/>
          <w:szCs w:val="21"/>
        </w:rPr>
        <w:t>应向</w:t>
      </w:r>
      <w:r>
        <w:rPr>
          <w:rFonts w:hint="eastAsia" w:ascii="宋体" w:hAnsi="宋体" w:eastAsia="宋体" w:cs="宋体"/>
          <w:szCs w:val="21"/>
          <w:lang w:val="en-US" w:eastAsia="zh-CN"/>
        </w:rPr>
        <w:t>甲方</w:t>
      </w:r>
      <w:r>
        <w:rPr>
          <w:rFonts w:hint="eastAsia" w:ascii="宋体" w:hAnsi="宋体" w:eastAsia="宋体" w:cs="宋体"/>
          <w:szCs w:val="21"/>
        </w:rPr>
        <w:t>支付合同额的10%作为违约金，如造成</w:t>
      </w:r>
      <w:r>
        <w:rPr>
          <w:rFonts w:hint="eastAsia" w:ascii="宋体" w:hAnsi="宋体" w:eastAsia="宋体" w:cs="宋体"/>
          <w:szCs w:val="21"/>
          <w:lang w:val="en-US" w:eastAsia="zh-CN"/>
        </w:rPr>
        <w:t>甲方</w:t>
      </w:r>
      <w:r>
        <w:rPr>
          <w:rFonts w:hint="eastAsia" w:ascii="宋体" w:hAnsi="宋体" w:eastAsia="宋体" w:cs="宋体"/>
          <w:szCs w:val="21"/>
        </w:rPr>
        <w:t>损失超过违约金的，超出部分由</w:t>
      </w:r>
      <w:r>
        <w:rPr>
          <w:rFonts w:hint="eastAsia" w:ascii="宋体" w:hAnsi="宋体" w:eastAsia="宋体" w:cs="宋体"/>
          <w:szCs w:val="21"/>
          <w:lang w:val="en-US" w:eastAsia="zh-CN"/>
        </w:rPr>
        <w:t>乙方</w:t>
      </w:r>
      <w:r>
        <w:rPr>
          <w:rFonts w:hint="eastAsia" w:ascii="宋体" w:hAnsi="宋体" w:eastAsia="宋体" w:cs="宋体"/>
          <w:szCs w:val="21"/>
        </w:rPr>
        <w:t>继续承担赔付责任。</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szCs w:val="21"/>
          <w:lang w:val="en-US" w:eastAsia="zh-CN"/>
        </w:rPr>
        <w:t>7、乙方应免费提供技术培训服务（包括授课费、资料费、参加培训人员的差旅食宿费）。乙方需在投标文件中列出详细的技术培训计划，包括培训课程、参加培训的人数、培训时间、培训地点等。</w:t>
      </w: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十二、质保及运维要求</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1、</w:t>
      </w:r>
      <w:r>
        <w:rPr>
          <w:rFonts w:hint="eastAsia" w:ascii="宋体" w:hAnsi="宋体"/>
          <w:szCs w:val="21"/>
        </w:rPr>
        <w:t>要求</w:t>
      </w:r>
      <w:r>
        <w:rPr>
          <w:rFonts w:hint="eastAsia" w:ascii="宋体" w:hAnsi="宋体"/>
          <w:szCs w:val="21"/>
          <w:lang w:val="en-US" w:eastAsia="zh-CN"/>
        </w:rPr>
        <w:t>乙方</w:t>
      </w:r>
      <w:r>
        <w:rPr>
          <w:rFonts w:hint="eastAsia" w:ascii="宋体" w:hAnsi="宋体"/>
          <w:szCs w:val="21"/>
        </w:rPr>
        <w:t>提供的服务不得低于标准服务，即与投标设备制造厂商通过网站等对外公布的有效服务标准相一致（</w:t>
      </w:r>
      <w:r>
        <w:rPr>
          <w:rFonts w:hint="eastAsia" w:ascii="宋体" w:hAnsi="宋体"/>
          <w:szCs w:val="21"/>
          <w:lang w:val="en-US" w:eastAsia="zh-CN"/>
        </w:rPr>
        <w:t>乙方</w:t>
      </w:r>
      <w:r>
        <w:rPr>
          <w:rFonts w:hint="eastAsia" w:ascii="宋体" w:hAnsi="宋体"/>
          <w:szCs w:val="21"/>
        </w:rPr>
        <w:t>不得另行制作网页）。在标准服务基础上，</w:t>
      </w:r>
      <w:r>
        <w:rPr>
          <w:rFonts w:hint="eastAsia" w:ascii="宋体" w:hAnsi="宋体"/>
          <w:szCs w:val="21"/>
          <w:lang w:val="en-US" w:eastAsia="zh-CN"/>
        </w:rPr>
        <w:t>乙方</w:t>
      </w:r>
      <w:r>
        <w:rPr>
          <w:rFonts w:hint="eastAsia" w:ascii="宋体" w:hAnsi="宋体"/>
          <w:szCs w:val="21"/>
        </w:rPr>
        <w:t>还应达到以下标准：</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（1）投标货物制造厂商应具有完善的服务保障体系（配备有足够的、有相应资质的专业技术人员）；</w:t>
      </w:r>
      <w:r>
        <w:rPr>
          <w:rFonts w:hint="eastAsia" w:ascii="宋体" w:hAnsi="宋体"/>
          <w:szCs w:val="21"/>
          <w:lang w:val="en-US" w:eastAsia="zh-CN"/>
        </w:rPr>
        <w:t>乙方</w:t>
      </w:r>
      <w:r>
        <w:rPr>
          <w:rFonts w:hint="eastAsia" w:ascii="宋体" w:hAnsi="宋体"/>
          <w:szCs w:val="21"/>
        </w:rPr>
        <w:t>应就投标货物的品质和服务对</w:t>
      </w:r>
      <w:r>
        <w:rPr>
          <w:rFonts w:hint="eastAsia" w:ascii="宋体" w:hAnsi="宋体"/>
          <w:szCs w:val="21"/>
          <w:lang w:val="en-US" w:eastAsia="zh-CN"/>
        </w:rPr>
        <w:t>甲方</w:t>
      </w:r>
      <w:r>
        <w:rPr>
          <w:rFonts w:hint="eastAsia" w:ascii="宋体" w:hAnsi="宋体"/>
          <w:szCs w:val="21"/>
        </w:rPr>
        <w:t>负责。</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（2）</w:t>
      </w:r>
      <w:r>
        <w:rPr>
          <w:rFonts w:hint="eastAsia" w:ascii="宋体" w:hAnsi="宋体"/>
          <w:szCs w:val="21"/>
          <w:lang w:val="en-US" w:eastAsia="zh-CN"/>
        </w:rPr>
        <w:t>乙方</w:t>
      </w:r>
      <w:r>
        <w:rPr>
          <w:rFonts w:hint="eastAsia" w:ascii="宋体" w:hAnsi="宋体"/>
          <w:szCs w:val="21"/>
        </w:rPr>
        <w:t>应明确说明此次投标的服务策略，提供此次投标货物的服务计划（售后服务内容、等级、相关服务指标、售后服务组织机构及人员安排情况及其联络信息）。</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（3）在投标货物质保期内，</w:t>
      </w:r>
      <w:r>
        <w:rPr>
          <w:rFonts w:hint="eastAsia" w:ascii="宋体" w:hAnsi="宋体"/>
          <w:szCs w:val="21"/>
          <w:lang w:val="en-US" w:eastAsia="zh-CN"/>
        </w:rPr>
        <w:t>乙方</w:t>
      </w:r>
      <w:r>
        <w:rPr>
          <w:rFonts w:hint="eastAsia" w:ascii="宋体" w:hAnsi="宋体"/>
          <w:szCs w:val="21"/>
        </w:rPr>
        <w:t>提供7*24小时的现场质保和技术支持服务，对故障能即时响应，2小时以内到现场，4小时以内解决问题；不能当场修复的，必须采取提供备品、备件或备机等措施，以保证</w:t>
      </w:r>
      <w:r>
        <w:rPr>
          <w:rFonts w:hint="eastAsia" w:ascii="宋体" w:hAnsi="宋体"/>
          <w:szCs w:val="21"/>
          <w:lang w:val="en-US" w:eastAsia="zh-CN"/>
        </w:rPr>
        <w:t>甲方</w:t>
      </w:r>
      <w:r>
        <w:rPr>
          <w:rFonts w:hint="eastAsia" w:ascii="宋体" w:hAnsi="宋体"/>
          <w:szCs w:val="21"/>
        </w:rPr>
        <w:t>的正常使用。如果逾期未作出响应，</w:t>
      </w:r>
      <w:r>
        <w:rPr>
          <w:rFonts w:hint="eastAsia" w:ascii="宋体" w:hAnsi="宋体"/>
          <w:szCs w:val="21"/>
          <w:lang w:val="en-US" w:eastAsia="zh-CN"/>
        </w:rPr>
        <w:t>乙方</w:t>
      </w:r>
      <w:r>
        <w:rPr>
          <w:rFonts w:hint="eastAsia" w:ascii="宋体" w:hAnsi="宋体"/>
          <w:szCs w:val="21"/>
        </w:rPr>
        <w:t xml:space="preserve">应承担由于故障所造成的全部损失。 </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（4）当投标货物发生非人为因素严重故障时，</w:t>
      </w:r>
      <w:r>
        <w:rPr>
          <w:rFonts w:hint="eastAsia" w:ascii="宋体" w:hAnsi="宋体"/>
          <w:szCs w:val="21"/>
          <w:lang w:val="en-US" w:eastAsia="zh-CN"/>
        </w:rPr>
        <w:t>乙方</w:t>
      </w:r>
      <w:r>
        <w:rPr>
          <w:rFonts w:hint="eastAsia" w:ascii="宋体" w:hAnsi="宋体"/>
          <w:szCs w:val="21"/>
        </w:rPr>
        <w:t>应当免费在</w:t>
      </w:r>
      <w:r>
        <w:rPr>
          <w:rFonts w:hint="eastAsia" w:ascii="宋体" w:hAnsi="宋体"/>
          <w:szCs w:val="21"/>
          <w:lang w:val="en-US" w:eastAsia="zh-CN"/>
        </w:rPr>
        <w:t>7</w:t>
      </w:r>
      <w:r>
        <w:rPr>
          <w:rFonts w:hint="eastAsia" w:ascii="宋体" w:hAnsi="宋体"/>
          <w:szCs w:val="21"/>
        </w:rPr>
        <w:t>日内将补充或者更换的货物运抵发生故障的货物所在地，由此产生的一切相关费用由</w:t>
      </w:r>
      <w:r>
        <w:rPr>
          <w:rFonts w:hint="eastAsia" w:ascii="宋体" w:hAnsi="宋体"/>
          <w:szCs w:val="21"/>
          <w:lang w:val="en-US" w:eastAsia="zh-CN"/>
        </w:rPr>
        <w:t>乙方</w:t>
      </w:r>
      <w:r>
        <w:rPr>
          <w:rFonts w:hint="eastAsia" w:ascii="宋体" w:hAnsi="宋体"/>
          <w:szCs w:val="21"/>
        </w:rPr>
        <w:t>负担。</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（5）质保期内所有因更换或修理设备或部件而导致设备停止运行的时间应从其质保期内扣除。</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（6）</w:t>
      </w:r>
      <w:r>
        <w:rPr>
          <w:rFonts w:hint="eastAsia" w:ascii="宋体" w:hAnsi="宋体"/>
          <w:szCs w:val="21"/>
          <w:lang w:val="en-US" w:eastAsia="zh-CN"/>
        </w:rPr>
        <w:t>乙方</w:t>
      </w:r>
      <w:r>
        <w:rPr>
          <w:rFonts w:hint="eastAsia" w:ascii="宋体" w:hAnsi="宋体"/>
          <w:szCs w:val="21"/>
        </w:rPr>
        <w:t>在质保期内安装的任何零配件，必须是其投标设备制造厂商原产的或是经其认可的。</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（7）所有的替代零配件必须是新的未使用和未经修复的，除非最终用户提供书面许可，否则不可使用此范围外的其他（非新的）配件。</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（8）</w:t>
      </w:r>
      <w:r>
        <w:rPr>
          <w:rFonts w:hint="eastAsia" w:ascii="宋体" w:hAnsi="宋体"/>
          <w:szCs w:val="21"/>
          <w:lang w:val="en-US" w:eastAsia="zh-CN"/>
        </w:rPr>
        <w:t>乙方</w:t>
      </w:r>
      <w:r>
        <w:rPr>
          <w:rFonts w:hint="eastAsia" w:ascii="宋体" w:hAnsi="宋体"/>
          <w:szCs w:val="21"/>
        </w:rPr>
        <w:t>必须为维修和技术支持所未能解决的问题和故障提供正式的升级方案。</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（9）在质保期内，</w:t>
      </w:r>
      <w:r>
        <w:rPr>
          <w:rFonts w:hint="eastAsia" w:ascii="宋体" w:hAnsi="宋体"/>
          <w:szCs w:val="21"/>
          <w:lang w:val="en-US" w:eastAsia="zh-CN"/>
        </w:rPr>
        <w:t>乙方</w:t>
      </w:r>
      <w:r>
        <w:rPr>
          <w:rFonts w:hint="eastAsia" w:ascii="宋体" w:hAnsi="宋体"/>
          <w:szCs w:val="21"/>
        </w:rPr>
        <w:t>有责任解决所提供的投标设备和软件系统的任何问题，在质保期满后，当需要时，</w:t>
      </w:r>
      <w:r>
        <w:rPr>
          <w:rFonts w:hint="eastAsia" w:ascii="宋体" w:hAnsi="宋体"/>
          <w:szCs w:val="21"/>
          <w:lang w:val="en-US" w:eastAsia="zh-CN"/>
        </w:rPr>
        <w:t>乙方</w:t>
      </w:r>
      <w:r>
        <w:rPr>
          <w:rFonts w:hint="eastAsia" w:ascii="宋体" w:hAnsi="宋体"/>
          <w:szCs w:val="21"/>
        </w:rPr>
        <w:t>仍须对因投标设备本身的固有缺陷和瑕疵承担相应责任。</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lang w:val="en-US" w:eastAsia="zh-CN"/>
        </w:rPr>
        <w:t>2、</w:t>
      </w:r>
      <w:r>
        <w:rPr>
          <w:rFonts w:hint="eastAsia" w:ascii="宋体" w:hAnsi="宋体"/>
          <w:szCs w:val="21"/>
        </w:rPr>
        <w:t>免费运维服务。系统调试开通移交后，甲方组织人员在设备乙方的指导下上岗操作，乙方进行系统维护；运维期同质保期。</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设立专业的运行维护服务队伍：</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（1）提供7*24小时电话技术支持。2小时现场响应，对于4小时内不能排除系统、设备故障的，应提供必要的备机备件，以确保各系统的正常运行。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（2）定期、日常维护巡检。每一季度进行一次系统设备的状态和运行情况、对专用设备进行清洁维护保养等工作。</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ascii="宋体" w:hAnsi="宋体"/>
          <w:szCs w:val="21"/>
        </w:rPr>
      </w:pPr>
      <w:r>
        <w:rPr>
          <w:rFonts w:hint="eastAsia" w:ascii="宋体" w:hAnsi="宋体"/>
          <w:szCs w:val="21"/>
        </w:rPr>
        <w:t>（3）如遇重大活动，接到甲方通知后，必须无条件派工程师实行现场技术保障，确保系统在活动期间正常运行。</w:t>
      </w:r>
    </w:p>
    <w:p>
      <w:pPr>
        <w:keepNext w:val="0"/>
        <w:keepLines w:val="0"/>
        <w:pageBreakBefore w:val="0"/>
        <w:widowControl w:val="0"/>
        <w:tabs>
          <w:tab w:val="left" w:pos="3720"/>
        </w:tabs>
        <w:kinsoku/>
        <w:wordWrap/>
        <w:overflowPunct/>
        <w:topLinePunct w:val="0"/>
        <w:autoSpaceDE/>
        <w:autoSpaceDN/>
        <w:bidi w:val="0"/>
        <w:adjustRightInd/>
        <w:snapToGrid/>
        <w:spacing w:line="360" w:lineRule="auto"/>
        <w:ind w:firstLine="420" w:firstLineChars="200"/>
        <w:jc w:val="both"/>
        <w:textAlignment w:val="auto"/>
        <w:rPr>
          <w:rFonts w:hint="eastAsia" w:eastAsia="宋体"/>
          <w:lang w:val="en-US" w:eastAsia="zh-CN"/>
        </w:rPr>
      </w:pPr>
      <w:r>
        <w:rPr>
          <w:rFonts w:hint="eastAsia" w:ascii="宋体" w:hAnsi="宋体"/>
          <w:szCs w:val="21"/>
        </w:rPr>
        <w:t>（4）免费提供后期相关建设项目的参考方案以及与其它相关系统设备的提供商合作，包括软硬件数据协议接口。</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十三、追加设备或服务处理：</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在合同履行时，甲方有权对合同中所列的设备及服务予以增加（不超过本合同金额的10%），但不对单价或其他的条款作任何改变。</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四</w:t>
      </w:r>
      <w:r>
        <w:rPr>
          <w:rFonts w:hint="eastAsia" w:ascii="宋体" w:hAnsi="宋体" w:eastAsia="宋体" w:cs="宋体"/>
          <w:b/>
          <w:sz w:val="21"/>
          <w:szCs w:val="21"/>
        </w:rPr>
        <w:t>、延期交货：</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履行合同过程中，如果乙方遇到不能按时交货或不能按时完成系统的安装、调试情况，应及时以书面形式将不能按时交货或不能按时完成系统的安装、调试情况的理由、延误时间通知甲方。甲方收到乙方的通知后，应进行分析，如果同意，可通过修改合同，酌情延长交货时间。</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2、如果乙方无正当理由拖延交货或不按时完成系统的安装、调试，将承担违约损失赔偿。</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五</w:t>
      </w:r>
      <w:r>
        <w:rPr>
          <w:rFonts w:hint="eastAsia" w:ascii="宋体" w:hAnsi="宋体" w:eastAsia="宋体" w:cs="宋体"/>
          <w:b/>
          <w:sz w:val="21"/>
          <w:szCs w:val="21"/>
        </w:rPr>
        <w:t>、违约责任：</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1、如乙方无法如期完成设备安装调试、前后台相关系统配置、项目验收等情况的，甲方可单方面解除本合同。乙方因未能如期提供相关服务或其他违约行为导致甲方解除合同的，乙方应向甲方支付合同额的10%作为违约金，如造成甲方损失超过违约金的，超出部分由乙方继续承担赔付责任</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2、若由于甲方的原因致使乙方不能按期安装调试完毕的，乙方不承担相应的违约责任。</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3、经甲乙双方友好协商同意，</w:t>
      </w:r>
      <w:r>
        <w:rPr>
          <w:rFonts w:hint="eastAsia" w:ascii="宋体" w:hAnsi="宋体" w:eastAsia="宋体" w:cs="宋体"/>
          <w:sz w:val="21"/>
          <w:szCs w:val="21"/>
        </w:rPr>
        <w:t>延期交货、安装调试、延期支付资金且无须罚款者可不受上述条款约束。</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4、在诉讼期间，除正在进行诉讼的部分外，本合同其它部分可继续执行。</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5、如果在甲方发出索赔通知后10天内，乙方未作答复，上述索赔应视为己被乙方接受。甲方有权在甲方需支付给乙方的合同金额中直接扣除。</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六</w:t>
      </w:r>
      <w:r>
        <w:rPr>
          <w:rFonts w:hint="eastAsia" w:ascii="宋体" w:hAnsi="宋体" w:eastAsia="宋体" w:cs="宋体"/>
          <w:b/>
          <w:sz w:val="21"/>
          <w:szCs w:val="21"/>
        </w:rPr>
        <w:t>、争议的解决：</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1、甲乙双方应通过友好协商，解决在执行本合同中所发生的或与本合同有关的一切争端，如果协商得不到解决，任何一方均可按《中华人民共和国</w:t>
      </w:r>
      <w:r>
        <w:rPr>
          <w:rFonts w:hint="eastAsia" w:ascii="宋体" w:hAnsi="宋体" w:eastAsia="宋体" w:cs="宋体"/>
          <w:sz w:val="21"/>
          <w:szCs w:val="21"/>
          <w:lang w:val="en-US" w:eastAsia="zh-CN"/>
        </w:rPr>
        <w:t>民法典</w:t>
      </w:r>
      <w:r>
        <w:rPr>
          <w:rFonts w:hint="eastAsia" w:ascii="宋体" w:hAnsi="宋体" w:eastAsia="宋体" w:cs="宋体"/>
          <w:sz w:val="21"/>
          <w:szCs w:val="21"/>
        </w:rPr>
        <w:t>》规定提交诉讼，诉讼应在甲方所在地进行。</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2、诉讼费应由败诉方负担。</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七</w:t>
      </w:r>
      <w:r>
        <w:rPr>
          <w:rFonts w:hint="eastAsia" w:ascii="宋体" w:hAnsi="宋体" w:eastAsia="宋体" w:cs="宋体"/>
          <w:b/>
          <w:sz w:val="21"/>
          <w:szCs w:val="21"/>
        </w:rPr>
        <w:t>、合同修改：</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合同条款的任何改动，均须由合同签署双方签署合同修改书或合同补充协议。该合同修改或补充被视为本合同的组成部分，具有与本合同同等法律效力。</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八</w:t>
      </w:r>
      <w:r>
        <w:rPr>
          <w:rFonts w:hint="eastAsia" w:ascii="宋体" w:hAnsi="宋体" w:eastAsia="宋体" w:cs="宋体"/>
          <w:b/>
          <w:sz w:val="21"/>
          <w:szCs w:val="21"/>
        </w:rPr>
        <w:t>、不可抗力的处理：</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2、不可抗力的事故发生后尽快通知另一方，将有关部门出具的证明文件用挂号信邮寄或派人送达另一方。</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十</w:t>
      </w:r>
      <w:r>
        <w:rPr>
          <w:rFonts w:hint="eastAsia" w:ascii="宋体" w:hAnsi="宋体" w:eastAsia="宋体" w:cs="宋体"/>
          <w:b/>
          <w:sz w:val="21"/>
          <w:szCs w:val="21"/>
          <w:lang w:val="en-US" w:eastAsia="zh-CN"/>
        </w:rPr>
        <w:t>九</w:t>
      </w:r>
      <w:r>
        <w:rPr>
          <w:rFonts w:hint="eastAsia" w:ascii="宋体" w:hAnsi="宋体" w:eastAsia="宋体" w:cs="宋体"/>
          <w:b/>
          <w:sz w:val="21"/>
          <w:szCs w:val="21"/>
        </w:rPr>
        <w:t>、适用法律：</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甲乙双方所订立的合同应按照中华人民共和国的法律进行解释。</w:t>
      </w:r>
    </w:p>
    <w:p>
      <w:pPr>
        <w:keepNext w:val="0"/>
        <w:keepLines w:val="0"/>
        <w:pageBreakBefore w:val="0"/>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二十</w:t>
      </w:r>
      <w:r>
        <w:rPr>
          <w:rFonts w:hint="eastAsia" w:ascii="宋体" w:hAnsi="宋体" w:eastAsia="宋体" w:cs="宋体"/>
          <w:b/>
          <w:sz w:val="21"/>
          <w:szCs w:val="21"/>
        </w:rPr>
        <w:t>、合同生效及其它</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1、合同经双方法定代表人或授权委托代理人签字并加盖单位公章后生效。</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2、合同执行中涉及采购资金和采购内容修改或补充的，须经财政部门审批，并签书面补充协议报财政部门备案，方可作为主合同不可分割的一部分。</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3、本合同未尽事宜，遵照《中华人民共和国</w:t>
      </w:r>
      <w:r>
        <w:rPr>
          <w:rFonts w:hint="eastAsia" w:ascii="宋体" w:hAnsi="宋体" w:eastAsia="宋体" w:cs="宋体"/>
          <w:sz w:val="21"/>
          <w:szCs w:val="21"/>
          <w:lang w:val="en-US" w:eastAsia="zh-CN"/>
        </w:rPr>
        <w:t>民法典</w:t>
      </w:r>
      <w:r>
        <w:rPr>
          <w:rFonts w:hint="eastAsia" w:ascii="宋体" w:hAnsi="宋体" w:eastAsia="宋体" w:cs="宋体"/>
          <w:sz w:val="21"/>
          <w:szCs w:val="21"/>
        </w:rPr>
        <w:t>》有关条文执行。</w:t>
      </w:r>
    </w:p>
    <w:p>
      <w:pPr>
        <w:keepNext w:val="0"/>
        <w:keepLines w:val="0"/>
        <w:pageBreakBefore w:val="0"/>
        <w:kinsoku/>
        <w:wordWrap/>
        <w:overflowPunct/>
        <w:topLinePunct w:val="0"/>
        <w:autoSpaceDE/>
        <w:autoSpaceDN/>
        <w:bidi w:val="0"/>
        <w:adjustRightInd/>
        <w:spacing w:line="360" w:lineRule="auto"/>
        <w:ind w:left="0" w:leftChars="0"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rPr>
        <w:t>4、本合同正本一式X份，具有同等法律效力，甲乙双方各执X份，</w:t>
      </w:r>
      <w:r>
        <w:rPr>
          <w:rFonts w:hint="eastAsia" w:ascii="宋体" w:hAnsi="宋体" w:eastAsia="宋体" w:cs="宋体"/>
          <w:sz w:val="21"/>
          <w:szCs w:val="21"/>
          <w:lang w:val="en-US" w:eastAsia="zh-CN"/>
        </w:rPr>
        <w:t>采购代理机构</w:t>
      </w:r>
      <w:r>
        <w:rPr>
          <w:rFonts w:hint="eastAsia" w:ascii="宋体" w:hAnsi="宋体" w:eastAsia="宋体" w:cs="宋体"/>
          <w:sz w:val="21"/>
          <w:szCs w:val="21"/>
        </w:rPr>
        <w:t>执1份。</w:t>
      </w:r>
    </w:p>
    <w:p>
      <w:pPr>
        <w:keepNext w:val="0"/>
        <w:keepLines w:val="0"/>
        <w:pageBreakBefore w:val="0"/>
        <w:kinsoku/>
        <w:wordWrap/>
        <w:overflowPunct/>
        <w:topLinePunct w:val="0"/>
        <w:autoSpaceDN/>
        <w:bidi w:val="0"/>
        <w:spacing w:line="360" w:lineRule="auto"/>
        <w:ind w:left="0" w:leftChars="0" w:right="0"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二十一</w:t>
      </w:r>
      <w:r>
        <w:rPr>
          <w:rFonts w:hint="eastAsia" w:ascii="宋体" w:hAnsi="宋体" w:eastAsia="宋体" w:cs="宋体"/>
          <w:b/>
          <w:bCs/>
          <w:sz w:val="21"/>
          <w:szCs w:val="21"/>
        </w:rPr>
        <w:t>、中小企业预留合同</w:t>
      </w:r>
    </w:p>
    <w:p>
      <w:pPr>
        <w:keepNext w:val="0"/>
        <w:keepLines w:val="0"/>
        <w:pageBreakBefore w:val="0"/>
        <w:kinsoku/>
        <w:wordWrap/>
        <w:overflowPunct/>
        <w:topLinePunct w:val="0"/>
        <w:autoSpaceDN/>
        <w:bidi w:val="0"/>
        <w:spacing w:line="360" w:lineRule="auto"/>
        <w:ind w:left="0" w:leftChars="0" w:right="0" w:firstLine="422" w:firstLineChars="200"/>
        <w:rPr>
          <w:rFonts w:hint="eastAsia"/>
        </w:rPr>
      </w:pPr>
      <w:r>
        <w:rPr>
          <w:rFonts w:hint="eastAsia" w:ascii="宋体" w:hAnsi="宋体" w:eastAsia="宋体" w:cs="宋体"/>
          <w:b/>
          <w:bCs/>
          <w:sz w:val="21"/>
          <w:szCs w:val="21"/>
        </w:rPr>
        <w:t>本采购合同为中小企业预留合同，联合协议（若有）或者分包意向协议（若有）为本采购合同的组成部分。</w:t>
      </w:r>
    </w:p>
    <w:p>
      <w:pPr>
        <w:spacing w:line="360" w:lineRule="auto"/>
        <w:ind w:firstLine="420" w:firstLineChars="200"/>
        <w:rPr>
          <w:rFonts w:hint="eastAsia" w:ascii="宋体" w:hAnsi="宋体" w:cs="宋体"/>
          <w:szCs w:val="21"/>
        </w:rPr>
      </w:pPr>
      <w:r>
        <w:rPr>
          <w:rFonts w:hint="eastAsia" w:ascii="宋体" w:hAnsi="宋体" w:cs="宋体"/>
          <w:szCs w:val="21"/>
        </w:rPr>
        <w:t xml:space="preserve">甲方：（盖章）                                 乙方：（盖章）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地址：                                         地址： </w:t>
      </w:r>
    </w:p>
    <w:p>
      <w:pPr>
        <w:spacing w:line="360" w:lineRule="auto"/>
        <w:ind w:firstLine="420" w:firstLineChars="200"/>
        <w:rPr>
          <w:rFonts w:hint="eastAsia" w:ascii="宋体" w:hAnsi="宋体" w:cs="宋体"/>
          <w:szCs w:val="21"/>
        </w:rPr>
      </w:pPr>
      <w:r>
        <w:rPr>
          <w:rFonts w:hint="eastAsia" w:ascii="宋体" w:hAnsi="宋体" w:cs="宋体"/>
          <w:szCs w:val="21"/>
        </w:rPr>
        <w:t>法定代表人或授权签字代表：（签字）             法定代表人或授权签字代表：（签字）</w:t>
      </w:r>
    </w:p>
    <w:p>
      <w:pPr>
        <w:spacing w:line="360" w:lineRule="auto"/>
        <w:ind w:firstLine="420" w:firstLineChars="200"/>
        <w:rPr>
          <w:rFonts w:hint="eastAsia" w:ascii="宋体" w:hAnsi="宋体" w:cs="宋体"/>
          <w:szCs w:val="21"/>
        </w:rPr>
      </w:pPr>
      <w:r>
        <w:rPr>
          <w:rFonts w:hint="eastAsia" w:ascii="宋体" w:hAnsi="宋体" w:cs="宋体"/>
          <w:szCs w:val="21"/>
        </w:rPr>
        <w:t>签订日期：   年  月  日                        签订日期：   年  月  日</w:t>
      </w:r>
    </w:p>
    <w:p>
      <w:pPr>
        <w:spacing w:line="360" w:lineRule="auto"/>
        <w:ind w:firstLine="420" w:firstLineChars="200"/>
        <w:rPr>
          <w:rFonts w:hint="eastAsia" w:ascii="宋体" w:hAnsi="宋体" w:cs="宋体"/>
          <w:szCs w:val="21"/>
        </w:rPr>
      </w:pPr>
      <w:r>
        <w:rPr>
          <w:rFonts w:hint="eastAsia" w:ascii="宋体" w:hAnsi="宋体" w:cs="宋体"/>
          <w:szCs w:val="21"/>
        </w:rPr>
        <w:t>甲方收款银行：                                 乙方收款银行：</w:t>
      </w:r>
    </w:p>
    <w:p>
      <w:pPr>
        <w:spacing w:line="360" w:lineRule="auto"/>
        <w:ind w:firstLine="420" w:firstLineChars="200"/>
        <w:rPr>
          <w:rFonts w:hint="eastAsia" w:ascii="宋体" w:hAnsi="宋体" w:cs="宋体"/>
          <w:szCs w:val="21"/>
        </w:rPr>
      </w:pPr>
      <w:r>
        <w:rPr>
          <w:rFonts w:hint="eastAsia" w:ascii="宋体" w:hAnsi="宋体" w:cs="宋体"/>
          <w:szCs w:val="21"/>
        </w:rPr>
        <w:t>甲方收款开户账号：                             乙方收款开户账号：</w:t>
      </w:r>
    </w:p>
    <w:p>
      <w:pPr>
        <w:spacing w:line="360" w:lineRule="auto"/>
        <w:contextualSpacing/>
        <w:rPr>
          <w:rFonts w:hint="eastAsia" w:ascii="宋体" w:hAnsi="宋体" w:cs="宋体"/>
          <w:szCs w:val="21"/>
        </w:rPr>
      </w:pPr>
    </w:p>
    <w:p>
      <w:pPr>
        <w:spacing w:line="360" w:lineRule="auto"/>
        <w:ind w:firstLine="420" w:firstLineChars="200"/>
        <w:contextualSpacing/>
        <w:rPr>
          <w:rFonts w:hint="eastAsia" w:ascii="宋体" w:hAnsi="宋体" w:cs="宋体"/>
          <w:szCs w:val="21"/>
        </w:rPr>
      </w:pPr>
      <w:r>
        <w:rPr>
          <w:rFonts w:hint="eastAsia" w:ascii="宋体" w:hAnsi="宋体" w:cs="宋体"/>
          <w:szCs w:val="21"/>
        </w:rPr>
        <w:t>鉴证方：（盖章）</w:t>
      </w:r>
    </w:p>
    <w:p>
      <w:pPr>
        <w:snapToGrid w:val="0"/>
        <w:spacing w:line="420" w:lineRule="atLeast"/>
        <w:rPr>
          <w:rFonts w:hint="eastAsia" w:ascii="宋体" w:cs="宋体"/>
          <w:color w:val="000000"/>
          <w:szCs w:val="21"/>
        </w:rPr>
      </w:pPr>
      <w:r>
        <w:rPr>
          <w:rFonts w:hint="eastAsia" w:ascii="宋体" w:cs="宋体"/>
          <w:color w:val="000000"/>
          <w:szCs w:val="21"/>
        </w:rPr>
        <w:t>注意事项：</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1</w:t>
      </w:r>
      <w:r>
        <w:rPr>
          <w:rFonts w:hint="eastAsia" w:ascii="宋体" w:cs="宋体"/>
          <w:color w:val="000000"/>
          <w:szCs w:val="21"/>
          <w:lang w:eastAsia="zh-CN"/>
        </w:rPr>
        <w:t>、</w:t>
      </w:r>
      <w:r>
        <w:rPr>
          <w:rFonts w:hint="eastAsia" w:ascii="宋体" w:cs="宋体"/>
          <w:color w:val="000000"/>
          <w:szCs w:val="21"/>
        </w:rPr>
        <w:t>用于政府采购信用融资的政府采购合同：</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（1）应当包含如下条款：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“第</w:t>
      </w:r>
      <w:r>
        <w:rPr>
          <w:rFonts w:hint="eastAsia" w:ascii="宋体" w:cs="宋体"/>
          <w:color w:val="000000"/>
          <w:szCs w:val="21"/>
          <w:u w:val="single"/>
        </w:rPr>
        <w:t xml:space="preserve">   </w:t>
      </w:r>
      <w:r>
        <w:rPr>
          <w:rFonts w:hint="eastAsia" w:ascii="宋体" w:cs="宋体"/>
          <w:color w:val="000000"/>
          <w:szCs w:val="21"/>
        </w:rPr>
        <w:t>条：政府采购合同贷款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本合同同时用于乙方向</w:t>
      </w:r>
      <w:r>
        <w:rPr>
          <w:rFonts w:hint="eastAsia" w:ascii="宋体" w:cs="宋体"/>
          <w:color w:val="000000"/>
          <w:szCs w:val="21"/>
          <w:u w:val="single"/>
        </w:rPr>
        <w:t xml:space="preserve">      </w:t>
      </w:r>
      <w:r>
        <w:rPr>
          <w:rFonts w:hint="eastAsia" w:ascii="宋体" w:cs="宋体"/>
          <w:color w:val="000000"/>
          <w:szCs w:val="21"/>
        </w:rPr>
        <w:t>银行（金融机构）申请政府采购信用贷款。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本合同一经签订，原则上不得更改乙方收款账户信息。确须更改的，乙方应取得原合同收款账户开户银行书面同意，否则修改后的合同不予备案，采购资金不予支付。”</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（2）中标供应商需确保政府采购合同的收款账户与融资银行开户账户一致。</w:t>
      </w:r>
    </w:p>
    <w:p>
      <w:pPr>
        <w:snapToGrid w:val="0"/>
        <w:spacing w:line="420" w:lineRule="atLeast"/>
        <w:ind w:firstLine="422" w:firstLineChars="200"/>
        <w:rPr>
          <w:rFonts w:hint="eastAsia" w:ascii="宋体" w:cs="宋体"/>
          <w:b/>
          <w:bCs/>
          <w:color w:val="000000"/>
          <w:szCs w:val="21"/>
        </w:rPr>
      </w:pPr>
      <w:r>
        <w:rPr>
          <w:rFonts w:hint="eastAsia" w:ascii="宋体" w:cs="宋体"/>
          <w:b/>
          <w:bCs/>
          <w:color w:val="000000"/>
          <w:szCs w:val="21"/>
        </w:rPr>
        <w:t>2</w:t>
      </w:r>
      <w:r>
        <w:rPr>
          <w:rFonts w:hint="eastAsia" w:ascii="宋体" w:cs="宋体"/>
          <w:b/>
          <w:bCs/>
          <w:color w:val="000000"/>
          <w:szCs w:val="21"/>
          <w:lang w:eastAsia="zh-CN"/>
        </w:rPr>
        <w:t>、</w:t>
      </w:r>
      <w:r>
        <w:rPr>
          <w:rFonts w:hint="eastAsia" w:ascii="宋体" w:cs="宋体"/>
          <w:b/>
          <w:bCs/>
          <w:color w:val="000000"/>
          <w:szCs w:val="21"/>
        </w:rPr>
        <w:t>依据《政府采购促进中小企业发展管理办法》（财库[2020]46号）规定享受扶持政策获得政府采购合同的，小微企业不得将合同分包给大中型企业，中型企业不得将合同分包给大型企业。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pacing w:line="360" w:lineRule="auto"/>
        <w:contextualSpacing/>
        <w:textAlignment w:val="auto"/>
        <w:rPr>
          <w:rFonts w:hint="eastAsia" w:ascii="宋体" w:hAnsi="宋体" w:cs="宋体"/>
          <w:szCs w:val="21"/>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p>
    <w:p>
      <w:pPr>
        <w:snapToGrid w:val="0"/>
        <w:spacing w:line="360" w:lineRule="auto"/>
        <w:jc w:val="center"/>
        <w:outlineLvl w:val="0"/>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第六章  投标文件组成</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投标文件由投标报价文件、资格证明文件、商务文件、技术文件组成。投标文件中涉及的有关内容均须提供合法有效的证明材料复印件。（复印件未加盖公章作无效处理，特别注明的除外，有▲标识的条款为必须提交的资料）</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1、投标报价文件部分</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（投标报价信息不得出现在资格证明、商务、技术文件中，否则将导致投标无效。）</w:t>
      </w:r>
    </w:p>
    <w:p>
      <w:pPr>
        <w:snapToGrid w:val="0"/>
        <w:spacing w:line="360" w:lineRule="auto"/>
        <w:ind w:firstLine="211" w:firstLineChars="100"/>
        <w:rPr>
          <w:rFonts w:hint="eastAsia" w:ascii="宋体" w:hAnsi="宋体" w:cs="宋体"/>
          <w:b/>
          <w:szCs w:val="21"/>
        </w:rPr>
      </w:pPr>
      <w:r>
        <w:rPr>
          <w:rFonts w:hint="eastAsia" w:ascii="宋体" w:hAnsi="宋体" w:cs="宋体"/>
          <w:b/>
          <w:szCs w:val="21"/>
        </w:rPr>
        <w:t>▲</w:t>
      </w:r>
      <w:r>
        <w:rPr>
          <w:rFonts w:hint="eastAsia" w:ascii="宋体" w:hAnsi="宋体" w:cs="宋体"/>
          <w:b/>
          <w:szCs w:val="21"/>
        </w:rPr>
        <w:t>1.1开标一览表；（格式一）</w:t>
      </w:r>
    </w:p>
    <w:p>
      <w:pPr>
        <w:snapToGrid w:val="0"/>
        <w:spacing w:line="360" w:lineRule="auto"/>
        <w:ind w:firstLine="211" w:firstLineChars="100"/>
        <w:rPr>
          <w:rFonts w:hint="eastAsia" w:ascii="宋体" w:hAnsi="宋体" w:cs="宋体"/>
          <w:b/>
          <w:szCs w:val="21"/>
        </w:rPr>
      </w:pPr>
      <w:r>
        <w:rPr>
          <w:rFonts w:hint="eastAsia" w:ascii="宋体" w:hAnsi="宋体" w:cs="宋体"/>
          <w:b/>
          <w:szCs w:val="21"/>
        </w:rPr>
        <w:t>▲</w:t>
      </w:r>
      <w:r>
        <w:rPr>
          <w:rFonts w:hint="eastAsia" w:ascii="宋体" w:hAnsi="宋体" w:cs="宋体"/>
          <w:b/>
          <w:szCs w:val="21"/>
        </w:rPr>
        <w:t>1.2报价明细表。（格式二）</w:t>
      </w:r>
    </w:p>
    <w:p>
      <w:pPr>
        <w:snapToGrid w:val="0"/>
        <w:spacing w:line="360" w:lineRule="auto"/>
        <w:ind w:firstLine="422" w:firstLineChars="200"/>
        <w:rPr>
          <w:rFonts w:hint="eastAsia" w:ascii="宋体" w:hAnsi="宋体" w:cs="宋体"/>
          <w:b/>
          <w:szCs w:val="21"/>
        </w:rPr>
      </w:pPr>
      <w:r>
        <w:rPr>
          <w:rFonts w:hint="eastAsia" w:ascii="宋体" w:hAnsi="宋体" w:cs="宋体"/>
          <w:b/>
          <w:szCs w:val="21"/>
          <w:lang w:val="en-US" w:eastAsia="zh-CN"/>
        </w:rPr>
        <w:t>1.3中小企业</w:t>
      </w:r>
      <w:r>
        <w:rPr>
          <w:rFonts w:hint="eastAsia" w:ascii="宋体" w:hAnsi="宋体" w:cs="宋体"/>
          <w:b/>
          <w:szCs w:val="21"/>
        </w:rPr>
        <w:t>相关证明文件</w:t>
      </w:r>
      <w:r>
        <w:rPr>
          <w:rFonts w:hint="eastAsia" w:ascii="宋体" w:hAnsi="宋体" w:cs="宋体"/>
          <w:b/>
          <w:szCs w:val="21"/>
          <w:lang w:eastAsia="zh-CN"/>
        </w:rPr>
        <w:t>（</w:t>
      </w:r>
      <w:r>
        <w:rPr>
          <w:rFonts w:hint="eastAsia" w:ascii="宋体" w:hAnsi="宋体" w:cs="宋体"/>
          <w:b/>
          <w:szCs w:val="21"/>
          <w:lang w:val="en-US" w:eastAsia="zh-CN"/>
        </w:rPr>
        <w:t>如有</w:t>
      </w:r>
      <w:r>
        <w:rPr>
          <w:rFonts w:hint="eastAsia" w:ascii="宋体" w:hAnsi="宋体" w:cs="宋体"/>
          <w:b/>
          <w:szCs w:val="21"/>
          <w:lang w:eastAsia="zh-CN"/>
        </w:rPr>
        <w:t>）</w:t>
      </w:r>
      <w:r>
        <w:rPr>
          <w:rFonts w:hint="eastAsia" w:ascii="宋体" w:hAnsi="宋体" w:cs="宋体"/>
          <w:b/>
          <w:szCs w:val="21"/>
        </w:rPr>
        <w:t>（符合以下三个子项中的任意一项要求即可）；</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lang w:val="en-US" w:eastAsia="zh-CN"/>
        </w:rPr>
        <w:t>1.3.1</w:t>
      </w:r>
      <w:r>
        <w:rPr>
          <w:rFonts w:hint="eastAsia" w:ascii="宋体" w:hAnsi="宋体" w:cs="宋体"/>
          <w:bCs/>
          <w:szCs w:val="21"/>
        </w:rPr>
        <w:t>中小企业：《中小企业声明函》；（格式三）</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lang w:val="en-US" w:eastAsia="zh-CN"/>
        </w:rPr>
        <w:t>1.3.2</w:t>
      </w:r>
      <w:r>
        <w:rPr>
          <w:rFonts w:hint="eastAsia" w:ascii="宋体" w:hAnsi="宋体" w:cs="宋体"/>
          <w:bCs/>
          <w:szCs w:val="21"/>
        </w:rPr>
        <w:t>监狱企业：由省级以上监狱管理局、戒毒管理局（含新疆生产建设兵团）出具的属于监狱企业的证明文件；</w:t>
      </w:r>
    </w:p>
    <w:p>
      <w:pPr>
        <w:snapToGrid w:val="0"/>
        <w:spacing w:line="360" w:lineRule="auto"/>
        <w:ind w:firstLine="420" w:firstLineChars="200"/>
        <w:rPr>
          <w:rFonts w:hint="eastAsia" w:eastAsia="宋体"/>
          <w:lang w:eastAsia="zh-CN"/>
        </w:rPr>
      </w:pPr>
      <w:r>
        <w:rPr>
          <w:rFonts w:hint="eastAsia" w:ascii="宋体" w:hAnsi="宋体" w:cs="宋体"/>
          <w:bCs/>
          <w:szCs w:val="21"/>
          <w:lang w:val="en-US" w:eastAsia="zh-CN"/>
        </w:rPr>
        <w:t>1.3.3</w:t>
      </w:r>
      <w:r>
        <w:rPr>
          <w:rFonts w:hint="eastAsia" w:ascii="宋体" w:hAnsi="宋体" w:cs="宋体"/>
          <w:bCs/>
          <w:szCs w:val="21"/>
        </w:rPr>
        <w:t>残疾人福利性单位：《残疾人福利性单位声明函》；（格式四</w:t>
      </w:r>
      <w:r>
        <w:rPr>
          <w:rFonts w:hint="eastAsia" w:ascii="宋体" w:hAnsi="宋体" w:cs="宋体"/>
          <w:bCs/>
          <w:szCs w:val="21"/>
          <w:lang w:eastAsia="zh-CN"/>
        </w:rPr>
        <w:t>）</w:t>
      </w:r>
    </w:p>
    <w:p>
      <w:pPr>
        <w:snapToGrid w:val="0"/>
        <w:spacing w:line="360" w:lineRule="auto"/>
        <w:ind w:firstLine="211" w:firstLineChars="100"/>
        <w:rPr>
          <w:rFonts w:hint="eastAsia" w:ascii="宋体" w:hAnsi="宋体" w:cs="宋体"/>
          <w:b/>
          <w:szCs w:val="21"/>
        </w:rPr>
      </w:pPr>
      <w:r>
        <w:rPr>
          <w:rFonts w:hint="eastAsia" w:ascii="宋体" w:hAnsi="宋体" w:cs="宋体"/>
          <w:b/>
          <w:szCs w:val="21"/>
        </w:rPr>
        <w:t>▲2、资格证明文件部分</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1</w:t>
      </w:r>
      <w:r>
        <w:rPr>
          <w:rFonts w:hint="eastAsia" w:ascii="宋体" w:hAnsi="宋体" w:cs="宋体"/>
          <w:b/>
          <w:szCs w:val="21"/>
        </w:rPr>
        <w:t>投标人 “多证合一”的营业执照复印件；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2</w:t>
      </w:r>
      <w:r>
        <w:rPr>
          <w:rFonts w:hint="eastAsia" w:ascii="宋体" w:hAnsi="宋体" w:cs="宋体"/>
          <w:b/>
          <w:szCs w:val="21"/>
        </w:rPr>
        <w:t>投标人财务状况相关报告相关材料；（主要为资产负债表，利润表等）；</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3</w:t>
      </w:r>
      <w:r>
        <w:rPr>
          <w:rFonts w:hint="eastAsia" w:ascii="宋体" w:hAnsi="宋体" w:cs="宋体"/>
          <w:b/>
          <w:szCs w:val="21"/>
        </w:rPr>
        <w:t>投标人法定代表人身份证复印件；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4</w:t>
      </w:r>
      <w:r>
        <w:rPr>
          <w:rFonts w:hint="eastAsia" w:ascii="宋体" w:hAnsi="宋体" w:cs="宋体"/>
          <w:b/>
          <w:szCs w:val="21"/>
        </w:rPr>
        <w:t>投标函；（格式五）</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5</w:t>
      </w:r>
      <w:r>
        <w:rPr>
          <w:rFonts w:hint="eastAsia" w:ascii="宋体" w:hAnsi="宋体" w:cs="宋体"/>
          <w:b/>
          <w:szCs w:val="21"/>
        </w:rPr>
        <w:t>法定代表人授权函，非法定代表人参加投标时提供；（格式六）</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hint="eastAsia" w:ascii="宋体" w:hAnsi="宋体" w:cs="宋体"/>
          <w:b/>
          <w:szCs w:val="21"/>
          <w:lang w:val="en-US" w:eastAsia="zh-CN"/>
        </w:rPr>
        <w:t>6</w:t>
      </w:r>
      <w:r>
        <w:rPr>
          <w:rFonts w:hint="eastAsia" w:ascii="宋体" w:hAnsi="宋体" w:cs="宋体"/>
          <w:b/>
          <w:szCs w:val="21"/>
        </w:rPr>
        <w:t>投标人代表身份证复印件，非法定代表人参加投标时提供</w:t>
      </w:r>
      <w:r>
        <w:rPr>
          <w:rFonts w:ascii="宋体" w:hAnsi="宋体" w:cs="宋体"/>
          <w:b/>
          <w:szCs w:val="21"/>
        </w:rPr>
        <w:t>。</w:t>
      </w:r>
    </w:p>
    <w:p>
      <w:pPr>
        <w:snapToGrid w:val="0"/>
        <w:spacing w:line="360" w:lineRule="auto"/>
        <w:ind w:firstLine="211" w:firstLineChars="100"/>
        <w:rPr>
          <w:rFonts w:hint="eastAsia" w:ascii="宋体" w:hAnsi="宋体" w:cs="宋体"/>
          <w:b/>
          <w:szCs w:val="21"/>
          <w:highlight w:val="none"/>
        </w:rPr>
      </w:pPr>
      <w:r>
        <w:rPr>
          <w:rFonts w:hint="eastAsia" w:ascii="宋体" w:hAnsi="宋体" w:cs="宋体"/>
          <w:b/>
          <w:szCs w:val="21"/>
          <w:highlight w:val="none"/>
        </w:rPr>
        <w:t>3、商务技术文件部分</w:t>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3.1评分标准页码索引；（建议制作）</w:t>
      </w:r>
    </w:p>
    <w:p>
      <w:pPr>
        <w:keepNext w:val="0"/>
        <w:keepLines w:val="0"/>
        <w:pageBreakBefore w:val="0"/>
        <w:widowControl w:val="0"/>
        <w:kinsoku/>
        <w:wordWrap/>
        <w:overflowPunct/>
        <w:topLinePunct w:val="0"/>
        <w:autoSpaceDE/>
        <w:autoSpaceDN/>
        <w:bidi w:val="0"/>
        <w:adjustRightInd/>
        <w:snapToGrid w:val="0"/>
        <w:spacing w:line="360" w:lineRule="auto"/>
        <w:ind w:firstLine="210" w:firstLineChars="100"/>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▲3.2投标产品清单表；（格式七）</w:t>
      </w:r>
    </w:p>
    <w:p>
      <w:pPr>
        <w:keepNext w:val="0"/>
        <w:keepLines w:val="0"/>
        <w:pageBreakBefore w:val="0"/>
        <w:widowControl w:val="0"/>
        <w:kinsoku/>
        <w:wordWrap/>
        <w:overflowPunct/>
        <w:topLinePunct w:val="0"/>
        <w:autoSpaceDE/>
        <w:autoSpaceDN/>
        <w:bidi w:val="0"/>
        <w:adjustRightInd/>
        <w:snapToGrid w:val="0"/>
        <w:spacing w:line="360" w:lineRule="auto"/>
        <w:ind w:firstLine="210" w:firstLineChars="100"/>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▲3.3投标产品技术参数偏离表；（格式八）</w:t>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3.4投标人简介；</w:t>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3.5投标人相关证书；</w:t>
      </w:r>
      <w:r>
        <w:rPr>
          <w:rFonts w:hint="eastAsia" w:ascii="宋体" w:hAnsi="宋体" w:eastAsia="宋体" w:cs="宋体"/>
          <w:bCs/>
          <w:szCs w:val="21"/>
          <w:lang w:val="en-US" w:eastAsia="zh-CN"/>
        </w:rPr>
        <w:tab/>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3.6投标人相关业绩；（格式九）</w:t>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3.7投标人拟派项目团队；（格式十）</w:t>
      </w:r>
    </w:p>
    <w:p>
      <w:pPr>
        <w:snapToGrid w:val="0"/>
        <w:spacing w:line="360" w:lineRule="auto"/>
        <w:ind w:firstLine="211" w:firstLineChars="100"/>
        <w:rPr>
          <w:rFonts w:hint="default" w:ascii="宋体" w:hAnsi="宋体" w:eastAsia="宋体" w:cs="宋体"/>
          <w:bCs/>
          <w:szCs w:val="21"/>
          <w:lang w:val="en-US" w:eastAsia="zh-CN"/>
        </w:rPr>
      </w:pPr>
      <w:r>
        <w:rPr>
          <w:rFonts w:hint="eastAsia" w:ascii="宋体" w:hAnsi="宋体" w:cs="宋体"/>
          <w:b/>
          <w:szCs w:val="21"/>
        </w:rPr>
        <w:t>▲</w:t>
      </w:r>
      <w:r>
        <w:rPr>
          <w:rFonts w:hint="eastAsia" w:ascii="宋体" w:hAnsi="宋体" w:eastAsia="宋体" w:cs="宋体"/>
          <w:bCs/>
          <w:szCs w:val="21"/>
          <w:lang w:val="en-US" w:eastAsia="zh-CN"/>
        </w:rPr>
        <w:t>3.8投标人商务技术承诺书；（格式十一）</w:t>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3.9投标人的相关方案；</w:t>
      </w:r>
      <w:r>
        <w:rPr>
          <w:rFonts w:hint="eastAsia" w:ascii="宋体" w:hAnsi="宋体" w:eastAsia="宋体" w:cs="宋体"/>
          <w:bCs/>
          <w:szCs w:val="21"/>
          <w:lang w:val="en-US" w:eastAsia="zh-CN"/>
        </w:rPr>
        <w:tab/>
      </w:r>
      <w:r>
        <w:rPr>
          <w:rFonts w:hint="eastAsia" w:ascii="宋体" w:hAnsi="宋体" w:eastAsia="宋体" w:cs="宋体"/>
          <w:bCs/>
          <w:szCs w:val="21"/>
          <w:lang w:val="en-US" w:eastAsia="zh-CN"/>
        </w:rPr>
        <w:tab/>
      </w:r>
    </w:p>
    <w:p>
      <w:pPr>
        <w:snapToGrid w:val="0"/>
        <w:spacing w:line="360" w:lineRule="auto"/>
        <w:ind w:firstLine="420" w:firstLineChars="200"/>
        <w:rPr>
          <w:rFonts w:hint="eastAsia" w:ascii="宋体" w:hAnsi="宋体" w:eastAsia="宋体" w:cs="宋体"/>
          <w:bCs/>
          <w:szCs w:val="21"/>
          <w:lang w:val="en-US" w:eastAsia="zh-CN"/>
        </w:rPr>
      </w:pPr>
      <w:r>
        <w:rPr>
          <w:rFonts w:hint="eastAsia" w:ascii="宋体" w:hAnsi="宋体" w:eastAsia="宋体" w:cs="宋体"/>
          <w:bCs/>
          <w:szCs w:val="21"/>
          <w:lang w:val="en-US" w:eastAsia="zh-CN"/>
        </w:rPr>
        <w:t>3.10本招标文件要求提供的和投标人认为需要提供的其它说明和资料/文件。</w:t>
      </w:r>
    </w:p>
    <w:p>
      <w:pPr>
        <w:snapToGrid w:val="0"/>
        <w:spacing w:line="360" w:lineRule="auto"/>
        <w:ind w:firstLine="422" w:firstLineChars="200"/>
        <w:jc w:val="center"/>
        <w:rPr>
          <w:rFonts w:hint="eastAsia" w:ascii="宋体" w:hAnsi="宋体" w:cs="宋体"/>
          <w:b/>
          <w:sz w:val="28"/>
          <w:szCs w:val="28"/>
        </w:rPr>
      </w:pPr>
      <w:r>
        <w:rPr>
          <w:rFonts w:hint="eastAsia" w:ascii="宋体" w:hAnsi="宋体" w:cs="宋体"/>
          <w:b/>
          <w:bCs/>
          <w:szCs w:val="21"/>
        </w:rPr>
        <w:br w:type="page"/>
      </w:r>
      <w:r>
        <w:rPr>
          <w:rFonts w:hint="eastAsia"/>
          <w:b/>
          <w:bCs/>
          <w:sz w:val="24"/>
          <w:szCs w:val="24"/>
        </w:rPr>
        <w:t>投标文件格式</w:t>
      </w:r>
    </w:p>
    <w:p>
      <w:pPr>
        <w:snapToGrid w:val="0"/>
        <w:spacing w:before="50" w:after="50"/>
        <w:rPr>
          <w:rFonts w:hint="eastAsia" w:ascii="宋体" w:hAnsi="宋体" w:cs="宋体"/>
          <w:b/>
          <w:spacing w:val="20"/>
          <w:sz w:val="24"/>
          <w:szCs w:val="24"/>
        </w:rPr>
      </w:pPr>
      <w:r>
        <w:rPr>
          <w:rFonts w:hint="eastAsia" w:ascii="宋体" w:hAnsi="宋体" w:cs="宋体"/>
          <w:b/>
          <w:spacing w:val="20"/>
          <w:sz w:val="24"/>
          <w:szCs w:val="24"/>
        </w:rPr>
        <w:t>格式一、开标一览表</w:t>
      </w:r>
    </w:p>
    <w:p>
      <w:pPr>
        <w:snapToGrid w:val="0"/>
        <w:spacing w:before="50" w:after="50"/>
        <w:rPr>
          <w:rFonts w:hint="eastAsia" w:ascii="宋体" w:hAnsi="宋体" w:cs="宋体"/>
          <w:b/>
          <w:spacing w:val="20"/>
          <w:sz w:val="24"/>
          <w:szCs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64"/>
        <w:gridCol w:w="7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2464" w:type="dxa"/>
            <w:noWrap w:val="0"/>
            <w:vAlign w:val="center"/>
          </w:tcPr>
          <w:p>
            <w:pPr>
              <w:spacing w:before="240" w:after="240"/>
              <w:jc w:val="center"/>
              <w:rPr>
                <w:rFonts w:hint="eastAsia" w:ascii="宋体" w:hAnsi="宋体" w:cs="宋体"/>
                <w:sz w:val="24"/>
                <w:szCs w:val="24"/>
              </w:rPr>
            </w:pPr>
            <w:r>
              <w:rPr>
                <w:rFonts w:hint="eastAsia" w:ascii="宋体" w:hAnsi="宋体" w:cs="宋体"/>
                <w:sz w:val="24"/>
                <w:szCs w:val="24"/>
              </w:rPr>
              <w:t>项目名称</w:t>
            </w:r>
          </w:p>
        </w:tc>
        <w:tc>
          <w:tcPr>
            <w:tcW w:w="7322" w:type="dxa"/>
            <w:noWrap w:val="0"/>
            <w:vAlign w:val="center"/>
          </w:tcPr>
          <w:p>
            <w:pPr>
              <w:spacing w:before="240" w:after="240"/>
              <w:jc w:val="center"/>
              <w:rPr>
                <w:rFonts w:hint="eastAsia" w:ascii="宋体" w:hAnsi="宋体" w:cs="宋体"/>
                <w:b/>
                <w:sz w:val="24"/>
                <w:szCs w:val="24"/>
              </w:rPr>
            </w:pPr>
            <w:r>
              <w:rPr>
                <w:rFonts w:hint="eastAsia" w:ascii="宋体" w:hAnsi="宋体" w:eastAsia="宋体" w:cs="宋体"/>
                <w:sz w:val="24"/>
                <w:szCs w:val="24"/>
                <w:lang w:val="en-US" w:eastAsia="zh-CN"/>
              </w:rPr>
              <w:t>岱山县小长涂“未来社区”建设项目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2464" w:type="dxa"/>
            <w:noWrap w:val="0"/>
            <w:vAlign w:val="center"/>
          </w:tcPr>
          <w:p>
            <w:pPr>
              <w:spacing w:before="240" w:after="240"/>
              <w:jc w:val="center"/>
              <w:rPr>
                <w:rFonts w:hint="eastAsia" w:ascii="宋体" w:hAnsi="宋体" w:cs="宋体"/>
                <w:sz w:val="24"/>
                <w:szCs w:val="24"/>
              </w:rPr>
            </w:pPr>
            <w:r>
              <w:rPr>
                <w:rFonts w:hint="eastAsia" w:ascii="宋体" w:hAnsi="宋体" w:cs="宋体"/>
                <w:sz w:val="24"/>
                <w:szCs w:val="24"/>
              </w:rPr>
              <w:t>投标内容</w:t>
            </w:r>
          </w:p>
        </w:tc>
        <w:tc>
          <w:tcPr>
            <w:tcW w:w="7322" w:type="dxa"/>
            <w:noWrap w:val="0"/>
            <w:vAlign w:val="center"/>
          </w:tcPr>
          <w:p>
            <w:pPr>
              <w:spacing w:before="240" w:after="240"/>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小长涂“未来社区”建设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7" w:hRule="atLeast"/>
          <w:jc w:val="center"/>
        </w:trPr>
        <w:tc>
          <w:tcPr>
            <w:tcW w:w="2464" w:type="dxa"/>
            <w:noWrap w:val="0"/>
            <w:vAlign w:val="center"/>
          </w:tcPr>
          <w:p>
            <w:pPr>
              <w:spacing w:before="240" w:after="240"/>
              <w:jc w:val="center"/>
              <w:rPr>
                <w:rFonts w:hint="eastAsia" w:ascii="宋体" w:hAnsi="宋体" w:cs="宋体"/>
                <w:sz w:val="24"/>
                <w:szCs w:val="24"/>
              </w:rPr>
            </w:pPr>
            <w:r>
              <w:rPr>
                <w:rFonts w:hint="eastAsia" w:ascii="宋体" w:hAnsi="宋体" w:cs="宋体"/>
                <w:sz w:val="24"/>
                <w:szCs w:val="24"/>
              </w:rPr>
              <w:t>投标总价（元）</w:t>
            </w:r>
          </w:p>
        </w:tc>
        <w:tc>
          <w:tcPr>
            <w:tcW w:w="7322" w:type="dxa"/>
            <w:noWrap w:val="0"/>
            <w:vAlign w:val="center"/>
          </w:tcPr>
          <w:p>
            <w:pPr>
              <w:spacing w:before="240" w:after="240"/>
              <w:jc w:val="center"/>
              <w:rPr>
                <w:rFonts w:hint="eastAsia" w:ascii="宋体" w:hAnsi="宋体" w:cs="宋体"/>
                <w:sz w:val="24"/>
                <w:szCs w:val="24"/>
              </w:rPr>
            </w:pPr>
            <w:r>
              <w:rPr>
                <w:rFonts w:hint="eastAsia" w:ascii="宋体" w:hAnsi="宋体" w:cs="宋体"/>
                <w:sz w:val="24"/>
                <w:szCs w:val="24"/>
              </w:rPr>
              <w:t>大写：                   小写：</w:t>
            </w:r>
          </w:p>
        </w:tc>
      </w:tr>
    </w:tbl>
    <w:p>
      <w:pPr>
        <w:spacing w:line="360" w:lineRule="auto"/>
        <w:ind w:firstLine="424" w:firstLineChars="177"/>
        <w:rPr>
          <w:rFonts w:hint="eastAsia" w:ascii="宋体" w:hAnsi="宋体" w:cs="宋体"/>
          <w:sz w:val="24"/>
          <w:szCs w:val="24"/>
        </w:rPr>
      </w:pPr>
    </w:p>
    <w:p>
      <w:pPr>
        <w:pStyle w:val="2"/>
        <w:rPr>
          <w:rFonts w:hint="eastAsia" w:ascii="宋体" w:hAnsi="宋体" w:cs="宋体"/>
          <w:sz w:val="24"/>
          <w:szCs w:val="2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r>
        <w:rPr>
          <w:rFonts w:hint="eastAsia" w:ascii="宋体" w:hAnsi="宋体" w:cs="宋体"/>
          <w:sz w:val="24"/>
          <w:szCs w:val="24"/>
        </w:rPr>
        <w:t>投标人代表：</w:t>
      </w:r>
      <w:r>
        <w:rPr>
          <w:rFonts w:hint="eastAsia" w:ascii="宋体" w:hAnsi="宋体" w:cs="宋体"/>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8"/>
          <w:szCs w:val="28"/>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napToGrid w:val="0"/>
        <w:spacing w:before="50" w:after="50"/>
        <w:rPr>
          <w:rFonts w:hint="eastAsia" w:ascii="宋体" w:hAnsi="宋体" w:cs="宋体"/>
          <w:b/>
          <w:spacing w:val="20"/>
          <w:szCs w:val="21"/>
        </w:rPr>
      </w:pPr>
    </w:p>
    <w:p>
      <w:pPr>
        <w:snapToGrid w:val="0"/>
        <w:spacing w:before="50" w:after="50"/>
        <w:rPr>
          <w:rFonts w:hint="eastAsia" w:ascii="宋体" w:hAnsi="宋体" w:cs="宋体"/>
          <w:b/>
          <w:spacing w:val="20"/>
          <w:szCs w:val="21"/>
        </w:rPr>
      </w:pPr>
    </w:p>
    <w:p>
      <w:pPr>
        <w:spacing w:line="360" w:lineRule="auto"/>
        <w:rPr>
          <w:rFonts w:hint="default" w:ascii="宋体" w:hAnsi="宋体" w:eastAsia="宋体" w:cs="宋体"/>
          <w:sz w:val="24"/>
          <w:szCs w:val="24"/>
          <w:lang w:val="en-US" w:eastAsia="zh-CN"/>
        </w:rPr>
      </w:pPr>
      <w:r>
        <w:rPr>
          <w:rFonts w:hint="eastAsia" w:ascii="宋体" w:hAnsi="宋体" w:cs="宋体"/>
          <w:b/>
          <w:sz w:val="24"/>
          <w:szCs w:val="24"/>
        </w:rPr>
        <w:br w:type="page"/>
      </w:r>
      <w:r>
        <w:rPr>
          <w:rFonts w:hint="eastAsia" w:ascii="宋体" w:hAnsi="宋体" w:cs="宋体"/>
          <w:b/>
          <w:sz w:val="24"/>
          <w:szCs w:val="24"/>
        </w:rPr>
        <w:t>格式二、报价明细表</w:t>
      </w:r>
      <w:r>
        <w:rPr>
          <w:rFonts w:hint="eastAsia" w:ascii="宋体" w:hAnsi="宋体" w:cs="宋体"/>
          <w:sz w:val="24"/>
          <w:szCs w:val="24"/>
          <w:lang w:val="en-US" w:eastAsia="zh-CN"/>
        </w:rPr>
        <w:t xml:space="preserve">    </w:t>
      </w:r>
    </w:p>
    <w:tbl>
      <w:tblPr>
        <w:tblStyle w:val="25"/>
        <w:tblW w:w="5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5000" w:type="pct"/>
            <w:noWrap w:val="0"/>
            <w:vAlign w:val="center"/>
          </w:tcPr>
          <w:tbl>
            <w:tblPr>
              <w:tblStyle w:val="25"/>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7"/>
              <w:gridCol w:w="979"/>
              <w:gridCol w:w="308"/>
              <w:gridCol w:w="628"/>
              <w:gridCol w:w="785"/>
              <w:gridCol w:w="985"/>
              <w:gridCol w:w="401"/>
              <w:gridCol w:w="995"/>
              <w:gridCol w:w="884"/>
              <w:gridCol w:w="886"/>
              <w:gridCol w:w="844"/>
              <w:gridCol w:w="85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000" w:type="pct"/>
                  <w:gridSpan w:val="13"/>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序号</w:t>
                  </w:r>
                </w:p>
              </w:tc>
              <w:tc>
                <w:tcPr>
                  <w:tcW w:w="48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板块名称</w:t>
                  </w:r>
                </w:p>
              </w:tc>
              <w:tc>
                <w:tcPr>
                  <w:tcW w:w="855"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设备名称</w:t>
                  </w: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功能</w:t>
                  </w:r>
                </w:p>
              </w:tc>
              <w:tc>
                <w:tcPr>
                  <w:tcW w:w="494"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型号</w:t>
                  </w: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开发者</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总价（元）</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48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855"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94"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48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855"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88"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94"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7"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小计</w:t>
                  </w:r>
                </w:p>
              </w:tc>
              <w:tc>
                <w:tcPr>
                  <w:tcW w:w="3712" w:type="pct"/>
                  <w:gridSpan w:val="9"/>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000" w:type="pct"/>
                  <w:gridSpan w:val="13"/>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序号</w:t>
                  </w:r>
                </w:p>
              </w:tc>
              <w:tc>
                <w:tcPr>
                  <w:tcW w:w="63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板块名称</w:t>
                  </w:r>
                </w:p>
              </w:tc>
              <w:tc>
                <w:tcPr>
                  <w:tcW w:w="1390"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设备名称</w:t>
                  </w:r>
                </w:p>
              </w:tc>
              <w:tc>
                <w:tcPr>
                  <w:tcW w:w="93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型号</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总价（元）</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63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1390"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3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63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1390"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3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3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287"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小计</w:t>
                  </w:r>
                </w:p>
              </w:tc>
              <w:tc>
                <w:tcPr>
                  <w:tcW w:w="3712" w:type="pct"/>
                  <w:gridSpan w:val="9"/>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000" w:type="pct"/>
                  <w:gridSpan w:val="13"/>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三</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其他</w:t>
                  </w:r>
                  <w:r>
                    <w:rPr>
                      <w:rFonts w:hint="eastAsia" w:ascii="宋体" w:hAnsi="宋体" w:eastAsia="宋体" w:cs="宋体"/>
                      <w:b/>
                      <w:bCs/>
                      <w:color w:val="000000"/>
                      <w:sz w:val="24"/>
                      <w:szCs w:val="24"/>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830"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板块名称</w:t>
                  </w:r>
                </w:p>
              </w:tc>
              <w:tc>
                <w:tcPr>
                  <w:tcW w:w="69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数量/单位</w:t>
                  </w:r>
                </w:p>
              </w:tc>
              <w:tc>
                <w:tcPr>
                  <w:tcW w:w="87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型号</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总价（元）</w:t>
                  </w: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830"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9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87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3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830"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9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87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22"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287"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小计</w:t>
                  </w:r>
                </w:p>
              </w:tc>
              <w:tc>
                <w:tcPr>
                  <w:tcW w:w="3712" w:type="pct"/>
                  <w:gridSpan w:val="9"/>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5000" w:type="pct"/>
                  <w:gridSpan w:val="13"/>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合计（小写）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5000" w:type="pct"/>
                  <w:gridSpan w:val="13"/>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合计（大写）</w:t>
                  </w:r>
                </w:p>
              </w:tc>
            </w:tr>
          </w:tbl>
          <w:p>
            <w:pPr>
              <w:jc w:val="center"/>
              <w:rPr>
                <w:rFonts w:hint="eastAsia" w:ascii="宋体" w:hAnsi="宋体" w:cs="宋体"/>
                <w:sz w:val="24"/>
                <w:szCs w:val="24"/>
              </w:rPr>
            </w:pPr>
          </w:p>
        </w:tc>
      </w:tr>
    </w:tbl>
    <w:p>
      <w:pPr>
        <w:spacing w:line="360" w:lineRule="auto"/>
        <w:rPr>
          <w:rFonts w:hint="eastAsia" w:ascii="宋体" w:hAnsi="宋体" w:cs="宋体"/>
          <w:sz w:val="24"/>
          <w:szCs w:val="24"/>
        </w:rPr>
      </w:pPr>
      <w:r>
        <w:rPr>
          <w:rFonts w:hint="eastAsia" w:ascii="宋体" w:hAnsi="宋体" w:cs="宋体"/>
          <w:sz w:val="24"/>
          <w:szCs w:val="24"/>
        </w:rPr>
        <w:t>注：合计价格须与开标一览表投标总价一致。</w:t>
      </w:r>
    </w:p>
    <w:p>
      <w:pPr>
        <w:keepNext w:val="0"/>
        <w:keepLines w:val="0"/>
        <w:pageBreakBefore w:val="0"/>
        <w:widowControl w:val="0"/>
        <w:kinsoku/>
        <w:wordWrap/>
        <w:overflowPunct/>
        <w:topLinePunct w:val="0"/>
        <w:autoSpaceDE/>
        <w:autoSpaceDN/>
        <w:bidi w:val="0"/>
        <w:adjustRightInd/>
        <w:spacing w:line="480" w:lineRule="auto"/>
        <w:textAlignment w:val="auto"/>
        <w:rPr>
          <w:rFonts w:hint="default" w:ascii="宋体" w:hAnsi="宋体" w:eastAsia="宋体" w:cs="宋体"/>
          <w:sz w:val="24"/>
          <w:szCs w:val="24"/>
          <w:lang w:val="en-US" w:eastAsia="zh-CN"/>
        </w:rPr>
      </w:pPr>
      <w:r>
        <w:rPr>
          <w:rFonts w:hint="eastAsia" w:ascii="宋体" w:hAnsi="宋体" w:cs="宋体"/>
          <w:b/>
          <w:bCs/>
          <w:sz w:val="24"/>
          <w:szCs w:val="24"/>
          <w:lang w:val="en-US" w:eastAsia="zh-CN"/>
        </w:rPr>
        <w:t>（</w:t>
      </w:r>
      <w:r>
        <w:rPr>
          <w:rFonts w:hint="eastAsia" w:ascii="宋体" w:hAnsi="宋体" w:cs="宋体"/>
          <w:b/>
          <w:bCs/>
          <w:sz w:val="24"/>
          <w:szCs w:val="24"/>
          <w:lang w:val="en-US" w:eastAsia="zh-CN"/>
        </w:rPr>
        <w:t>下页为签字盖章页</w:t>
      </w:r>
      <w:r>
        <w:rPr>
          <w:rFonts w:hint="eastAsia" w:ascii="宋体" w:hAnsi="宋体" w:cs="宋体"/>
          <w:b/>
          <w:bCs/>
          <w:sz w:val="24"/>
          <w:szCs w:val="24"/>
          <w:lang w:val="en-US" w:eastAsia="zh-CN"/>
        </w:rPr>
        <w:t>）</w:t>
      </w:r>
    </w:p>
    <w:p>
      <w:pPr>
        <w:keepNext w:val="0"/>
        <w:keepLines w:val="0"/>
        <w:pageBreakBefore w:val="0"/>
        <w:widowControl w:val="0"/>
        <w:kinsoku/>
        <w:wordWrap/>
        <w:overflowPunct/>
        <w:topLinePunct w:val="0"/>
        <w:autoSpaceDE/>
        <w:autoSpaceDN/>
        <w:bidi w:val="0"/>
        <w:adjustRightInd/>
        <w:spacing w:line="480" w:lineRule="auto"/>
        <w:textAlignment w:val="auto"/>
        <w:rPr>
          <w:rFonts w:hint="eastAsia" w:ascii="宋体" w:hAnsi="宋体" w:cs="宋体"/>
          <w:sz w:val="24"/>
          <w:szCs w:val="24"/>
          <w:u w:val="single"/>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pacing w:line="480" w:lineRule="auto"/>
        <w:textAlignment w:val="auto"/>
        <w:rPr>
          <w:rFonts w:hint="eastAsia" w:ascii="宋体" w:hAnsi="宋体" w:cs="宋体"/>
          <w:sz w:val="24"/>
          <w:szCs w:val="24"/>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spacing w:val="20"/>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napToGrid w:val="0"/>
        <w:spacing w:before="50" w:after="156" w:afterLines="50"/>
        <w:jc w:val="left"/>
        <w:rPr>
          <w:rFonts w:hint="eastAsia" w:ascii="宋体" w:hAnsi="宋体" w:cs="宋体"/>
          <w:b/>
          <w:sz w:val="24"/>
          <w:szCs w:val="24"/>
        </w:rPr>
      </w:pPr>
      <w:r>
        <w:rPr>
          <w:rFonts w:hint="eastAsia" w:ascii="宋体" w:hAnsi="宋体" w:cs="宋体"/>
          <w:b/>
          <w:szCs w:val="21"/>
        </w:rPr>
        <w:br w:type="page"/>
      </w:r>
      <w:r>
        <w:rPr>
          <w:rFonts w:hint="eastAsia" w:ascii="宋体" w:hAnsi="宋体" w:cs="宋体"/>
          <w:b/>
          <w:sz w:val="24"/>
          <w:szCs w:val="24"/>
        </w:rPr>
        <w:t>格式三、中小企业声明函</w:t>
      </w:r>
    </w:p>
    <w:p>
      <w:pPr>
        <w:widowControl/>
        <w:jc w:val="center"/>
        <w:rPr>
          <w:sz w:val="24"/>
          <w:szCs w:val="24"/>
        </w:rPr>
      </w:pPr>
      <w:r>
        <w:rPr>
          <w:rFonts w:hint="eastAsia" w:ascii="宋体" w:hAnsi="宋体" w:cs="宋体"/>
          <w:b/>
          <w:color w:val="000000"/>
          <w:kern w:val="0"/>
          <w:sz w:val="24"/>
          <w:szCs w:val="24"/>
          <w:lang w:bidi="ar"/>
        </w:rPr>
        <w:t>中小企业声明函（货物）</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本公司郑重声明，根据《政府采购促进中小企业发展管理办法》（财库﹝2020﹞46 号）的规定，本公司参加</w:t>
      </w:r>
      <w:r>
        <w:rPr>
          <w:rFonts w:hint="eastAsia" w:ascii="宋体" w:hAnsi="宋体" w:cs="宋体"/>
          <w:color w:val="000000"/>
          <w:kern w:val="0"/>
          <w:sz w:val="24"/>
          <w:szCs w:val="24"/>
          <w:u w:val="single"/>
          <w:lang w:bidi="ar"/>
        </w:rPr>
        <w:t>（单位名称）</w:t>
      </w:r>
      <w:r>
        <w:rPr>
          <w:rFonts w:hint="eastAsia" w:ascii="宋体" w:hAnsi="宋体" w:cs="宋体"/>
          <w:color w:val="000000"/>
          <w:kern w:val="0"/>
          <w:sz w:val="24"/>
          <w:szCs w:val="24"/>
          <w:lang w:bidi="ar"/>
        </w:rPr>
        <w:t>的</w:t>
      </w:r>
      <w:r>
        <w:rPr>
          <w:rFonts w:hint="eastAsia" w:ascii="宋体" w:hAnsi="宋体" w:cs="宋体"/>
          <w:color w:val="000000"/>
          <w:kern w:val="0"/>
          <w:sz w:val="24"/>
          <w:szCs w:val="24"/>
          <w:u w:val="single"/>
          <w:lang w:bidi="ar"/>
        </w:rPr>
        <w:t>（项目名称）</w:t>
      </w:r>
      <w:r>
        <w:rPr>
          <w:rFonts w:hint="eastAsia" w:ascii="宋体" w:hAnsi="宋体" w:cs="宋体"/>
          <w:color w:val="000000"/>
          <w:kern w:val="0"/>
          <w:sz w:val="24"/>
          <w:szCs w:val="24"/>
          <w:lang w:bidi="ar"/>
        </w:rPr>
        <w:t>采购活动，提供的货物全部由符合政策要求的中小企业制造。相关企业的具体情况如下：</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u w:val="single"/>
          <w:lang w:bidi="ar"/>
        </w:rPr>
        <w:t>（标的名称）</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（采购文件中明确的所属行业）行业</w:t>
      </w:r>
      <w:r>
        <w:rPr>
          <w:rFonts w:hint="eastAsia" w:ascii="宋体" w:hAnsi="宋体" w:cs="宋体"/>
          <w:color w:val="000000"/>
          <w:kern w:val="0"/>
          <w:sz w:val="24"/>
          <w:szCs w:val="24"/>
          <w:lang w:bidi="ar"/>
        </w:rPr>
        <w:t>；制造商为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2.</w:t>
      </w:r>
      <w:r>
        <w:rPr>
          <w:rFonts w:hint="eastAsia" w:ascii="宋体" w:hAnsi="宋体" w:cs="宋体"/>
          <w:color w:val="000000"/>
          <w:kern w:val="0"/>
          <w:sz w:val="24"/>
          <w:szCs w:val="24"/>
          <w:u w:val="single"/>
          <w:lang w:bidi="ar"/>
        </w:rPr>
        <w:t>（标的名称）</w:t>
      </w:r>
      <w:r>
        <w:rPr>
          <w:rFonts w:hint="eastAsia" w:ascii="宋体" w:hAnsi="宋体" w:cs="宋体"/>
          <w:color w:val="000000"/>
          <w:kern w:val="0"/>
          <w:sz w:val="24"/>
          <w:szCs w:val="24"/>
          <w:lang w:bidi="ar"/>
        </w:rPr>
        <w:t>，属于</w:t>
      </w:r>
      <w:r>
        <w:rPr>
          <w:rFonts w:hint="eastAsia" w:ascii="宋体" w:hAnsi="宋体" w:cs="宋体"/>
          <w:color w:val="000000"/>
          <w:kern w:val="0"/>
          <w:sz w:val="24"/>
          <w:szCs w:val="24"/>
          <w:u w:val="single"/>
          <w:lang w:bidi="ar"/>
        </w:rPr>
        <w:t>（采购文件中明确的所属行业）行业</w:t>
      </w:r>
      <w:r>
        <w:rPr>
          <w:rFonts w:hint="eastAsia" w:ascii="宋体" w:hAnsi="宋体" w:cs="宋体"/>
          <w:color w:val="000000"/>
          <w:kern w:val="0"/>
          <w:sz w:val="24"/>
          <w:szCs w:val="24"/>
          <w:lang w:bidi="ar"/>
        </w:rPr>
        <w:t>；制造商为</w:t>
      </w:r>
      <w:r>
        <w:rPr>
          <w:rFonts w:hint="eastAsia" w:ascii="宋体" w:hAnsi="宋体" w:cs="宋体"/>
          <w:color w:val="000000"/>
          <w:kern w:val="0"/>
          <w:sz w:val="24"/>
          <w:szCs w:val="24"/>
          <w:u w:val="single"/>
          <w:lang w:bidi="ar"/>
        </w:rPr>
        <w:t>（企业名称）</w:t>
      </w:r>
      <w:r>
        <w:rPr>
          <w:rFonts w:hint="eastAsia" w:ascii="宋体" w:hAnsi="宋体" w:cs="宋体"/>
          <w:color w:val="000000"/>
          <w:kern w:val="0"/>
          <w:sz w:val="24"/>
          <w:szCs w:val="24"/>
          <w:lang w:bidi="ar"/>
        </w:rPr>
        <w:t>，从业人员</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人，营业收入为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万元，资产总额为</w:t>
      </w:r>
      <w:r>
        <w:rPr>
          <w:rFonts w:hint="eastAsia" w:ascii="宋体" w:hAnsi="宋体" w:cs="宋体"/>
          <w:color w:val="000000"/>
          <w:kern w:val="0"/>
          <w:sz w:val="24"/>
          <w:szCs w:val="24"/>
          <w:u w:val="single"/>
          <w:lang w:bidi="ar"/>
        </w:rPr>
        <w:t xml:space="preserve">    </w:t>
      </w:r>
      <w:r>
        <w:rPr>
          <w:rFonts w:hint="eastAsia" w:ascii="宋体" w:hAnsi="宋体" w:cs="宋体"/>
          <w:color w:val="000000"/>
          <w:kern w:val="0"/>
          <w:sz w:val="24"/>
          <w:szCs w:val="24"/>
          <w:lang w:bidi="ar"/>
        </w:rPr>
        <w:t>万元，属于</w:t>
      </w:r>
      <w:r>
        <w:rPr>
          <w:rFonts w:hint="eastAsia" w:ascii="宋体" w:hAnsi="宋体" w:cs="宋体"/>
          <w:color w:val="000000"/>
          <w:kern w:val="0"/>
          <w:sz w:val="24"/>
          <w:szCs w:val="24"/>
          <w:u w:val="single"/>
          <w:lang w:bidi="ar"/>
        </w:rPr>
        <w:t>（中型企业、小型企业、微型企业）</w:t>
      </w:r>
      <w:r>
        <w:rPr>
          <w:rFonts w:hint="eastAsia" w:ascii="宋体" w:hAnsi="宋体" w:cs="宋体"/>
          <w:color w:val="000000"/>
          <w:kern w:val="0"/>
          <w:sz w:val="24"/>
          <w:szCs w:val="24"/>
          <w:lang w:bidi="ar"/>
        </w:rPr>
        <w:t xml:space="preserve">； </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以上企业，不属于大企业的分支机构，不存在控股股东为大企业的情形，也不存在与大企业的负责人为同一人的情形。</w:t>
      </w:r>
    </w:p>
    <w:p>
      <w:pPr>
        <w:widowControl/>
        <w:spacing w:line="480" w:lineRule="auto"/>
        <w:ind w:firstLine="480" w:firstLineChars="200"/>
        <w:rPr>
          <w:rFonts w:hint="eastAsia" w:ascii="宋体" w:hAnsi="宋体" w:cs="宋体"/>
          <w:sz w:val="24"/>
          <w:szCs w:val="24"/>
        </w:rPr>
      </w:pPr>
      <w:r>
        <w:rPr>
          <w:rFonts w:hint="eastAsia" w:ascii="宋体" w:hAnsi="宋体" w:cs="宋体"/>
          <w:color w:val="000000"/>
          <w:kern w:val="0"/>
          <w:sz w:val="24"/>
          <w:szCs w:val="24"/>
          <w:lang w:bidi="ar"/>
        </w:rPr>
        <w:t xml:space="preserve">本企业对上述声明内容的真实性负责。如有虚假，将依法承担相应责任。 </w:t>
      </w:r>
    </w:p>
    <w:p>
      <w:pPr>
        <w:widowControl/>
        <w:spacing w:line="480" w:lineRule="auto"/>
        <w:ind w:firstLine="2880" w:firstLineChars="1200"/>
        <w:rPr>
          <w:rFonts w:hint="eastAsia" w:ascii="宋体" w:hAnsi="宋体" w:cs="宋体"/>
          <w:sz w:val="24"/>
          <w:szCs w:val="24"/>
        </w:rPr>
      </w:pPr>
      <w:r>
        <w:rPr>
          <w:rFonts w:hint="eastAsia" w:ascii="宋体" w:hAnsi="宋体" w:cs="宋体"/>
          <w:color w:val="000000"/>
          <w:kern w:val="0"/>
          <w:sz w:val="24"/>
          <w:szCs w:val="24"/>
          <w:lang w:bidi="ar"/>
        </w:rPr>
        <w:t xml:space="preserve">企业名称（盖章）： </w:t>
      </w:r>
    </w:p>
    <w:p>
      <w:pPr>
        <w:widowControl/>
        <w:spacing w:line="480" w:lineRule="auto"/>
        <w:ind w:firstLine="2880" w:firstLineChars="1200"/>
        <w:rPr>
          <w:rFonts w:hint="eastAsia" w:ascii="宋体" w:hAnsi="宋体" w:cs="宋体"/>
          <w:sz w:val="24"/>
          <w:szCs w:val="24"/>
        </w:rPr>
      </w:pPr>
      <w:r>
        <w:rPr>
          <w:rFonts w:hint="eastAsia" w:ascii="宋体" w:hAnsi="宋体" w:cs="宋体"/>
          <w:color w:val="000000"/>
          <w:kern w:val="0"/>
          <w:sz w:val="24"/>
          <w:szCs w:val="24"/>
          <w:lang w:bidi="ar"/>
        </w:rPr>
        <w:t xml:space="preserve">日 期： </w:t>
      </w:r>
    </w:p>
    <w:p>
      <w:pPr>
        <w:spacing w:line="360" w:lineRule="auto"/>
        <w:rPr>
          <w:rFonts w:hint="eastAsia" w:ascii="宋体" w:hAnsi="宋体" w:cs="宋体"/>
          <w:b/>
          <w:spacing w:val="20"/>
          <w:sz w:val="24"/>
          <w:szCs w:val="24"/>
        </w:rPr>
      </w:pPr>
      <w:r>
        <w:rPr>
          <w:rFonts w:hint="eastAsia" w:ascii="宋体" w:hAnsi="宋体" w:cs="宋体"/>
          <w:b/>
          <w:spacing w:val="20"/>
          <w:sz w:val="24"/>
          <w:szCs w:val="24"/>
        </w:rPr>
        <w:t>注：1.从业人员、营业收入、资产总额填报上一年度数据，无上一年度数据的新成立企业可不填报。</w:t>
      </w: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2.中标、成交供应商享受《政府采购促进中小企业发展管理办法》（财库[2020]46号）规定的中小企业扶持政策的，《中小企业声明函》随中标、成交结果公开。</w:t>
      </w: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4.本项目采购标的对应的中小企业划分标准所属行业：工业。</w:t>
      </w:r>
    </w:p>
    <w:p>
      <w:pPr>
        <w:snapToGrid w:val="0"/>
        <w:spacing w:before="50" w:after="156" w:afterLines="50"/>
        <w:jc w:val="left"/>
        <w:rPr>
          <w:rFonts w:hint="eastAsia" w:ascii="宋体" w:hAnsi="宋体" w:cs="宋体"/>
          <w:b/>
          <w:sz w:val="24"/>
          <w:szCs w:val="24"/>
        </w:rPr>
      </w:pPr>
      <w:r>
        <w:rPr>
          <w:rFonts w:hint="eastAsia" w:ascii="宋体" w:hAnsi="宋体" w:cs="宋体"/>
          <w:b/>
          <w:szCs w:val="21"/>
        </w:rPr>
        <w:br w:type="page"/>
      </w:r>
      <w:r>
        <w:rPr>
          <w:rFonts w:hint="eastAsia" w:ascii="宋体" w:hAnsi="宋体" w:cs="宋体"/>
          <w:b/>
          <w:sz w:val="24"/>
          <w:szCs w:val="24"/>
        </w:rPr>
        <w:t>格式四、</w:t>
      </w:r>
      <w:bookmarkStart w:id="10" w:name="OLE_LINK13"/>
      <w:bookmarkStart w:id="11" w:name="OLE_LINK14"/>
      <w:r>
        <w:rPr>
          <w:rFonts w:hint="eastAsia" w:ascii="宋体" w:hAnsi="宋体" w:cs="宋体"/>
          <w:b/>
          <w:bCs/>
          <w:sz w:val="24"/>
          <w:szCs w:val="24"/>
        </w:rPr>
        <w:t>残疾人福利性单位声明函</w:t>
      </w:r>
    </w:p>
    <w:bookmarkEnd w:id="10"/>
    <w:bookmarkEnd w:id="11"/>
    <w:p>
      <w:pPr>
        <w:widowControl/>
        <w:spacing w:line="588" w:lineRule="atLeast"/>
        <w:jc w:val="center"/>
        <w:rPr>
          <w:rFonts w:hint="eastAsia" w:ascii="宋体" w:hAnsi="宋体" w:cs="宋体"/>
          <w:b/>
          <w:spacing w:val="6"/>
          <w:kern w:val="0"/>
          <w:sz w:val="24"/>
          <w:szCs w:val="24"/>
        </w:rPr>
      </w:pPr>
      <w:r>
        <w:rPr>
          <w:rFonts w:hint="eastAsia" w:ascii="宋体" w:hAnsi="宋体" w:cs="宋体"/>
          <w:b/>
          <w:spacing w:val="6"/>
          <w:kern w:val="0"/>
          <w:sz w:val="24"/>
          <w:szCs w:val="24"/>
        </w:rPr>
        <w:t>残疾人福利性单位声明函（货物）</w:t>
      </w:r>
    </w:p>
    <w:p>
      <w:pPr>
        <w:widowControl/>
        <w:spacing w:before="312" w:beforeLines="100" w:line="500" w:lineRule="exact"/>
        <w:ind w:firstLine="601"/>
        <w:rPr>
          <w:rFonts w:hint="eastAsia" w:ascii="宋体" w:hAnsi="宋体" w:cs="宋体"/>
          <w:sz w:val="24"/>
          <w:szCs w:val="24"/>
        </w:rPr>
      </w:pPr>
      <w:r>
        <w:rPr>
          <w:rFonts w:hint="eastAsia" w:ascii="宋体" w:hAnsi="宋体" w:cs="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hint="eastAsia" w:ascii="宋体" w:hAnsi="宋体" w:cs="宋体"/>
          <w:sz w:val="24"/>
          <w:szCs w:val="24"/>
        </w:rPr>
      </w:pPr>
      <w:r>
        <w:rPr>
          <w:rFonts w:hint="eastAsia" w:ascii="宋体" w:hAnsi="宋体" w:cs="宋体"/>
          <w:sz w:val="24"/>
          <w:szCs w:val="24"/>
        </w:rPr>
        <w:t>本单位对上述声明的真实性负责。如有虚假，将依法承担相应责任。</w:t>
      </w:r>
    </w:p>
    <w:p>
      <w:pPr>
        <w:widowControl/>
        <w:spacing w:line="500" w:lineRule="exact"/>
        <w:rPr>
          <w:rFonts w:hint="eastAsia" w:ascii="宋体" w:hAnsi="宋体" w:cs="宋体"/>
          <w:spacing w:val="6"/>
          <w:kern w:val="0"/>
          <w:sz w:val="24"/>
          <w:szCs w:val="24"/>
        </w:rPr>
      </w:pPr>
    </w:p>
    <w:p>
      <w:pPr>
        <w:widowControl/>
        <w:spacing w:line="500" w:lineRule="exact"/>
        <w:ind w:right="1560" w:firstLine="600"/>
        <w:jc w:val="center"/>
        <w:rPr>
          <w:rFonts w:hint="eastAsia" w:ascii="宋体" w:hAnsi="宋体" w:cs="宋体"/>
          <w:sz w:val="24"/>
          <w:szCs w:val="24"/>
        </w:rPr>
      </w:pPr>
      <w:r>
        <w:rPr>
          <w:rFonts w:hint="eastAsia" w:ascii="宋体" w:hAnsi="宋体" w:cs="宋体"/>
          <w:spacing w:val="6"/>
          <w:kern w:val="0"/>
          <w:sz w:val="24"/>
          <w:szCs w:val="24"/>
        </w:rPr>
        <w:t xml:space="preserve">               </w:t>
      </w:r>
      <w:r>
        <w:rPr>
          <w:rFonts w:hint="eastAsia" w:ascii="宋体" w:hAnsi="宋体" w:cs="宋体"/>
          <w:sz w:val="24"/>
          <w:szCs w:val="24"/>
        </w:rPr>
        <w:t>单位名称（盖章）：</w:t>
      </w:r>
    </w:p>
    <w:p>
      <w:pPr>
        <w:widowControl/>
        <w:spacing w:line="500" w:lineRule="exact"/>
        <w:ind w:right="1560" w:firstLine="600"/>
        <w:jc w:val="center"/>
        <w:rPr>
          <w:rFonts w:hint="eastAsia" w:ascii="宋体" w:hAnsi="宋体" w:cs="宋体"/>
          <w:sz w:val="24"/>
          <w:szCs w:val="24"/>
        </w:rPr>
      </w:pPr>
      <w:r>
        <w:rPr>
          <w:rFonts w:hint="eastAsia" w:ascii="宋体" w:hAnsi="宋体" w:cs="宋体"/>
          <w:sz w:val="24"/>
          <w:szCs w:val="24"/>
        </w:rPr>
        <w:t xml:space="preserve">       日  期：</w:t>
      </w:r>
    </w:p>
    <w:p>
      <w:pPr>
        <w:spacing w:before="312" w:beforeLines="100" w:line="440" w:lineRule="atLeast"/>
        <w:ind w:firstLine="504" w:firstLineChars="200"/>
        <w:rPr>
          <w:rFonts w:hint="eastAsia" w:ascii="宋体" w:hAnsi="宋体" w:cs="宋体"/>
          <w:spacing w:val="6"/>
          <w:sz w:val="24"/>
          <w:szCs w:val="24"/>
        </w:rPr>
      </w:pPr>
    </w:p>
    <w:p>
      <w:pPr>
        <w:spacing w:before="312" w:beforeLines="100" w:line="440" w:lineRule="atLeast"/>
        <w:ind w:firstLine="504" w:firstLineChars="200"/>
        <w:rPr>
          <w:rFonts w:hint="eastAsia" w:ascii="宋体" w:hAnsi="宋体" w:cs="宋体"/>
          <w:spacing w:val="6"/>
          <w:sz w:val="24"/>
          <w:szCs w:val="24"/>
        </w:rPr>
      </w:pPr>
    </w:p>
    <w:p>
      <w:pPr>
        <w:spacing w:line="360" w:lineRule="auto"/>
        <w:rPr>
          <w:rFonts w:hint="eastAsia" w:ascii="宋体" w:hAnsi="宋体" w:cs="宋体"/>
          <w:b/>
          <w:spacing w:val="20"/>
          <w:sz w:val="24"/>
          <w:szCs w:val="24"/>
        </w:rPr>
      </w:pPr>
      <w:r>
        <w:rPr>
          <w:rFonts w:hint="eastAsia" w:ascii="宋体" w:hAnsi="宋体" w:cs="宋体"/>
          <w:b/>
          <w:spacing w:val="20"/>
          <w:sz w:val="24"/>
          <w:szCs w:val="24"/>
        </w:rPr>
        <w:t>注：</w:t>
      </w:r>
    </w:p>
    <w:p>
      <w:pPr>
        <w:snapToGrid w:val="0"/>
        <w:spacing w:line="360" w:lineRule="auto"/>
        <w:ind w:firstLine="482" w:firstLineChars="200"/>
        <w:jc w:val="left"/>
        <w:rPr>
          <w:rFonts w:hint="eastAsia" w:ascii="宋体" w:hAnsi="宋体" w:cs="宋体"/>
          <w:b/>
          <w:sz w:val="24"/>
          <w:szCs w:val="24"/>
        </w:rPr>
      </w:pPr>
      <w:r>
        <w:rPr>
          <w:rFonts w:hint="eastAsia" w:ascii="宋体" w:hAnsi="宋体" w:cs="宋体"/>
          <w:b/>
          <w:sz w:val="24"/>
          <w:szCs w:val="24"/>
        </w:rPr>
        <w:t>1.中标、成交供应商为残疾人福利性单位的，《残疾人福利性单位声明函》随中标、成交结果同时公告，接受社会监督。</w:t>
      </w:r>
    </w:p>
    <w:p>
      <w:pPr>
        <w:snapToGrid w:val="0"/>
        <w:spacing w:line="360" w:lineRule="auto"/>
        <w:ind w:firstLine="482" w:firstLineChars="200"/>
        <w:jc w:val="left"/>
        <w:rPr>
          <w:rFonts w:hint="eastAsia" w:ascii="宋体" w:hAnsi="宋体" w:cs="宋体"/>
          <w:b/>
          <w:sz w:val="24"/>
          <w:szCs w:val="24"/>
        </w:rPr>
      </w:pPr>
      <w:r>
        <w:rPr>
          <w:rFonts w:hint="eastAsia" w:ascii="宋体" w:hAnsi="宋体" w:cs="宋体"/>
          <w:b/>
          <w:sz w:val="24"/>
          <w:szCs w:val="24"/>
        </w:rPr>
        <w:t>2.供应商提供的《残疾人福利性单位声明函》与事实不符的，依照《政府采购法》第七十七条第一款的规定追究法律责任。</w:t>
      </w:r>
    </w:p>
    <w:p>
      <w:pPr>
        <w:spacing w:line="360" w:lineRule="auto"/>
        <w:rPr>
          <w:rFonts w:hint="eastAsia" w:ascii="宋体" w:hAnsi="宋体" w:cs="宋体"/>
          <w:sz w:val="24"/>
          <w:szCs w:val="24"/>
        </w:rPr>
      </w:pPr>
      <w:r>
        <w:rPr>
          <w:rFonts w:hint="eastAsia" w:ascii="宋体" w:hAnsi="宋体" w:cs="宋体"/>
          <w:b/>
          <w:spacing w:val="20"/>
          <w:szCs w:val="21"/>
        </w:rPr>
        <w:br w:type="page"/>
      </w:r>
      <w:r>
        <w:rPr>
          <w:rFonts w:hint="eastAsia" w:ascii="宋体" w:hAnsi="宋体" w:cs="宋体"/>
          <w:b/>
          <w:spacing w:val="20"/>
          <w:sz w:val="24"/>
          <w:szCs w:val="24"/>
        </w:rPr>
        <w:t>格式五、投标函</w:t>
      </w:r>
    </w:p>
    <w:p>
      <w:pPr>
        <w:spacing w:line="360" w:lineRule="auto"/>
        <w:jc w:val="left"/>
        <w:rPr>
          <w:rFonts w:hint="eastAsia" w:ascii="宋体" w:hAnsi="宋体" w:eastAsia="宋体" w:cs="宋体"/>
          <w:sz w:val="21"/>
          <w:szCs w:val="21"/>
          <w:lang w:eastAsia="zh-CN"/>
        </w:rPr>
      </w:pPr>
      <w:r>
        <w:rPr>
          <w:rFonts w:hint="eastAsia" w:ascii="宋体" w:hAnsi="宋体" w:eastAsia="宋体" w:cs="宋体"/>
          <w:spacing w:val="-4"/>
          <w:sz w:val="21"/>
          <w:szCs w:val="21"/>
        </w:rPr>
        <w:t>致：</w:t>
      </w:r>
      <w:r>
        <w:rPr>
          <w:rFonts w:hint="eastAsia" w:ascii="宋体" w:hAnsi="宋体" w:eastAsia="宋体" w:cs="宋体"/>
          <w:spacing w:val="-4"/>
          <w:sz w:val="21"/>
          <w:szCs w:val="21"/>
          <w:lang w:eastAsia="zh-CN"/>
        </w:rPr>
        <w:t>岱山县大数据管理中心</w:t>
      </w:r>
    </w:p>
    <w:p>
      <w:pPr>
        <w:spacing w:line="360" w:lineRule="auto"/>
        <w:ind w:firstLine="420" w:firstLineChars="200"/>
        <w:jc w:val="left"/>
        <w:rPr>
          <w:rFonts w:hint="eastAsia" w:ascii="宋体" w:hAnsi="宋体" w:eastAsia="宋体" w:cs="宋体"/>
          <w:spacing w:val="-4"/>
          <w:sz w:val="21"/>
          <w:szCs w:val="21"/>
        </w:rPr>
      </w:pPr>
      <w:r>
        <w:rPr>
          <w:rFonts w:hint="eastAsia" w:ascii="宋体" w:hAnsi="宋体" w:eastAsia="宋体" w:cs="宋体"/>
          <w:sz w:val="21"/>
          <w:szCs w:val="21"/>
        </w:rPr>
        <w:t>中金招标有限责任公司</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我方</w:t>
      </w:r>
      <w:r>
        <w:rPr>
          <w:rFonts w:hint="eastAsia" w:ascii="宋体" w:hAnsi="宋体" w:eastAsia="宋体" w:cs="宋体"/>
          <w:b/>
          <w:sz w:val="21"/>
          <w:szCs w:val="21"/>
          <w:u w:val="single"/>
        </w:rPr>
        <w:t>（投标人名称）</w:t>
      </w:r>
      <w:r>
        <w:rPr>
          <w:rFonts w:hint="eastAsia" w:ascii="宋体" w:hAnsi="宋体" w:eastAsia="宋体" w:cs="宋体"/>
          <w:sz w:val="21"/>
          <w:szCs w:val="21"/>
        </w:rPr>
        <w:t>已详细审查了</w:t>
      </w:r>
      <w:r>
        <w:rPr>
          <w:rFonts w:hint="eastAsia" w:ascii="宋体" w:hAnsi="宋体" w:eastAsia="宋体" w:cs="宋体"/>
          <w:b/>
          <w:sz w:val="21"/>
          <w:szCs w:val="21"/>
          <w:u w:val="single"/>
        </w:rPr>
        <w:t xml:space="preserve">（项目编号）（项目名称）    </w:t>
      </w:r>
      <w:r>
        <w:rPr>
          <w:rFonts w:hint="eastAsia" w:ascii="宋体" w:hAnsi="宋体" w:eastAsia="宋体" w:cs="宋体"/>
          <w:sz w:val="21"/>
          <w:szCs w:val="21"/>
        </w:rPr>
        <w:t>的招标文件及其相关补充文件</w:t>
      </w:r>
      <w:r>
        <w:rPr>
          <w:rFonts w:hint="eastAsia" w:ascii="宋体" w:hAnsi="宋体" w:eastAsia="宋体" w:cs="宋体"/>
          <w:b/>
          <w:sz w:val="21"/>
          <w:szCs w:val="21"/>
        </w:rPr>
        <w:t>（若有）</w:t>
      </w:r>
      <w:r>
        <w:rPr>
          <w:rFonts w:hint="eastAsia" w:ascii="宋体" w:hAnsi="宋体" w:eastAsia="宋体" w:cs="宋体"/>
          <w:sz w:val="21"/>
          <w:szCs w:val="21"/>
        </w:rPr>
        <w:t>，并正式授权我公司的</w:t>
      </w:r>
      <w:r>
        <w:rPr>
          <w:rFonts w:hint="eastAsia" w:ascii="宋体" w:hAnsi="宋体" w:eastAsia="宋体" w:cs="宋体"/>
          <w:b/>
          <w:sz w:val="21"/>
          <w:szCs w:val="21"/>
          <w:u w:val="single"/>
        </w:rPr>
        <w:t>（被授权人姓名）</w:t>
      </w:r>
      <w:r>
        <w:rPr>
          <w:rFonts w:hint="eastAsia" w:ascii="宋体" w:hAnsi="宋体" w:eastAsia="宋体" w:cs="宋体"/>
          <w:sz w:val="21"/>
          <w:szCs w:val="21"/>
        </w:rPr>
        <w:t>以本公司名义，全权代表我方自愿参加上述采购项目的投标，现就有关事项向采购代理机构郑重承诺如下：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1、我方已详细审查了招标文件的全部内容及其相关补充文件</w:t>
      </w:r>
      <w:r>
        <w:rPr>
          <w:rFonts w:hint="eastAsia" w:ascii="宋体" w:hAnsi="宋体" w:eastAsia="宋体" w:cs="宋体"/>
          <w:b/>
          <w:sz w:val="21"/>
          <w:szCs w:val="21"/>
        </w:rPr>
        <w:t>（若有）</w:t>
      </w:r>
      <w:r>
        <w:rPr>
          <w:rFonts w:hint="eastAsia" w:ascii="宋体" w:hAnsi="宋体" w:eastAsia="宋体" w:cs="宋体"/>
          <w:sz w:val="21"/>
          <w:szCs w:val="21"/>
        </w:rPr>
        <w:t>，并完全清晰理解全部内容及相关的补充文件</w:t>
      </w:r>
      <w:r>
        <w:rPr>
          <w:rFonts w:hint="eastAsia" w:ascii="宋体" w:hAnsi="宋体" w:eastAsia="宋体" w:cs="宋体"/>
          <w:b/>
          <w:sz w:val="21"/>
          <w:szCs w:val="21"/>
        </w:rPr>
        <w:t>（若有）</w:t>
      </w:r>
      <w:r>
        <w:rPr>
          <w:rFonts w:hint="eastAsia" w:ascii="宋体" w:hAnsi="宋体" w:eastAsia="宋体" w:cs="宋体"/>
          <w:sz w:val="21"/>
          <w:szCs w:val="21"/>
        </w:rPr>
        <w:t>，不存在任何误解之处，同意放弃提出异议和质疑的权利。</w:t>
      </w:r>
    </w:p>
    <w:p>
      <w:pPr>
        <w:spacing w:line="360" w:lineRule="auto"/>
        <w:ind w:firstLine="404" w:firstLineChars="200"/>
        <w:jc w:val="left"/>
        <w:rPr>
          <w:rFonts w:hint="eastAsia" w:ascii="宋体" w:hAnsi="宋体" w:eastAsia="宋体" w:cs="宋体"/>
          <w:spacing w:val="-4"/>
          <w:sz w:val="21"/>
          <w:szCs w:val="21"/>
        </w:rPr>
      </w:pPr>
      <w:r>
        <w:rPr>
          <w:rFonts w:hint="eastAsia" w:ascii="宋体" w:hAnsi="宋体" w:eastAsia="宋体" w:cs="宋体"/>
          <w:spacing w:val="-4"/>
          <w:sz w:val="21"/>
          <w:szCs w:val="21"/>
        </w:rPr>
        <w:t>2、我方遵守《中华人民共和国政府采购法》及相关法律法规的规定。同意招标文件中所提到的无效标条款，并服从有关开标现场的会议纪律。否则，同意被废除投标资格。</w:t>
      </w:r>
    </w:p>
    <w:p>
      <w:pPr>
        <w:spacing w:line="360" w:lineRule="auto"/>
        <w:ind w:firstLine="404" w:firstLineChars="200"/>
        <w:rPr>
          <w:rFonts w:hint="eastAsia" w:ascii="宋体" w:hAnsi="宋体" w:eastAsia="宋体" w:cs="宋体"/>
          <w:spacing w:val="-4"/>
          <w:sz w:val="21"/>
          <w:szCs w:val="21"/>
        </w:rPr>
      </w:pPr>
      <w:r>
        <w:rPr>
          <w:rFonts w:hint="eastAsia" w:ascii="宋体" w:hAnsi="宋体" w:eastAsia="宋体" w:cs="宋体"/>
          <w:spacing w:val="-4"/>
          <w:sz w:val="21"/>
          <w:szCs w:val="21"/>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04" w:firstLineChars="200"/>
        <w:rPr>
          <w:rFonts w:hint="eastAsia" w:ascii="宋体" w:hAnsi="宋体" w:eastAsia="宋体" w:cs="宋体"/>
          <w:spacing w:val="-4"/>
          <w:sz w:val="21"/>
          <w:szCs w:val="21"/>
        </w:rPr>
      </w:pPr>
      <w:r>
        <w:rPr>
          <w:rFonts w:hint="eastAsia" w:ascii="宋体" w:hAnsi="宋体" w:eastAsia="宋体" w:cs="宋体"/>
          <w:spacing w:val="-4"/>
          <w:sz w:val="21"/>
          <w:szCs w:val="21"/>
        </w:rPr>
        <w:t>4、我方所提供的一次性投标报价具有充分的合理性和准确性，保证不存在低于成本的恶意报价行为，同时清楚理解到报价最低并非意味着必定获得合同授予资格。</w:t>
      </w:r>
    </w:p>
    <w:p>
      <w:pPr>
        <w:spacing w:line="360" w:lineRule="auto"/>
        <w:ind w:firstLine="404" w:firstLineChars="200"/>
        <w:rPr>
          <w:rFonts w:hint="eastAsia" w:ascii="宋体" w:hAnsi="宋体" w:eastAsia="宋体" w:cs="宋体"/>
          <w:spacing w:val="-4"/>
          <w:sz w:val="21"/>
          <w:szCs w:val="21"/>
        </w:rPr>
      </w:pPr>
      <w:r>
        <w:rPr>
          <w:rFonts w:hint="eastAsia" w:ascii="宋体" w:hAnsi="宋体" w:eastAsia="宋体" w:cs="宋体"/>
          <w:spacing w:val="-4"/>
          <w:sz w:val="21"/>
          <w:szCs w:val="21"/>
        </w:rPr>
        <w:t>5、投标有效期为自开标之日起</w:t>
      </w:r>
      <w:r>
        <w:rPr>
          <w:rFonts w:hint="eastAsia" w:ascii="宋体" w:hAnsi="宋体" w:eastAsia="宋体" w:cs="宋体"/>
          <w:spacing w:val="-4"/>
          <w:sz w:val="21"/>
          <w:szCs w:val="21"/>
          <w:u w:val="single"/>
        </w:rPr>
        <w:t>90</w:t>
      </w:r>
      <w:r>
        <w:rPr>
          <w:rFonts w:hint="eastAsia" w:ascii="宋体" w:hAnsi="宋体" w:eastAsia="宋体" w:cs="宋体"/>
          <w:spacing w:val="-4"/>
          <w:sz w:val="21"/>
          <w:szCs w:val="21"/>
        </w:rPr>
        <w:t>天内，如在投标有效期内撤回投标，我方同意被废除投标资格。</w:t>
      </w:r>
    </w:p>
    <w:p>
      <w:pPr>
        <w:spacing w:line="360" w:lineRule="auto"/>
        <w:ind w:firstLine="404" w:firstLineChars="200"/>
        <w:jc w:val="left"/>
        <w:rPr>
          <w:rFonts w:hint="eastAsia" w:ascii="宋体" w:hAnsi="宋体" w:eastAsia="宋体" w:cs="宋体"/>
          <w:spacing w:val="-4"/>
          <w:sz w:val="21"/>
          <w:szCs w:val="21"/>
        </w:rPr>
      </w:pPr>
      <w:r>
        <w:rPr>
          <w:rFonts w:hint="eastAsia" w:ascii="宋体" w:hAnsi="宋体" w:eastAsia="宋体" w:cs="宋体"/>
          <w:spacing w:val="-4"/>
          <w:sz w:val="21"/>
          <w:szCs w:val="21"/>
        </w:rPr>
        <w:t>6、我方承诺参加本次政府采购活动前3年内在经营活动中没有重大违法记录。</w:t>
      </w:r>
    </w:p>
    <w:p>
      <w:pPr>
        <w:spacing w:line="360" w:lineRule="auto"/>
        <w:ind w:firstLine="404" w:firstLineChars="200"/>
        <w:rPr>
          <w:rFonts w:hint="eastAsia" w:ascii="宋体" w:hAnsi="宋体" w:eastAsia="宋体" w:cs="宋体"/>
          <w:spacing w:val="-4"/>
          <w:sz w:val="21"/>
          <w:szCs w:val="21"/>
        </w:rPr>
      </w:pPr>
      <w:r>
        <w:rPr>
          <w:rFonts w:hint="eastAsia" w:ascii="宋体" w:hAnsi="宋体" w:eastAsia="宋体" w:cs="宋体"/>
          <w:spacing w:val="-4"/>
          <w:sz w:val="21"/>
          <w:szCs w:val="21"/>
        </w:rPr>
        <w:t>7、我方承诺具备履行合同所必需的设备和专业技术能力。</w:t>
      </w:r>
    </w:p>
    <w:p>
      <w:pPr>
        <w:spacing w:line="360" w:lineRule="auto"/>
        <w:ind w:firstLine="404" w:firstLineChars="200"/>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8、合同签订后</w:t>
      </w:r>
      <w:r>
        <w:rPr>
          <w:rFonts w:hint="eastAsia" w:ascii="宋体" w:hAnsi="宋体" w:eastAsia="宋体" w:cs="宋体"/>
          <w:spacing w:val="-4"/>
          <w:sz w:val="21"/>
          <w:szCs w:val="21"/>
          <w:u w:val="single"/>
          <w:lang w:val="en-US" w:eastAsia="zh-CN"/>
        </w:rPr>
        <w:t xml:space="preserve">     </w:t>
      </w:r>
      <w:r>
        <w:rPr>
          <w:rFonts w:hint="eastAsia" w:ascii="宋体" w:hAnsi="宋体" w:eastAsia="宋体" w:cs="宋体"/>
          <w:spacing w:val="-4"/>
          <w:sz w:val="21"/>
          <w:szCs w:val="21"/>
          <w:lang w:val="en-US" w:eastAsia="zh-CN"/>
        </w:rPr>
        <w:t>天内交付使用并通过初验，试运行</w:t>
      </w:r>
      <w:r>
        <w:rPr>
          <w:rFonts w:hint="eastAsia" w:ascii="宋体" w:hAnsi="宋体" w:eastAsia="宋体" w:cs="宋体"/>
          <w:spacing w:val="-4"/>
          <w:sz w:val="21"/>
          <w:szCs w:val="21"/>
          <w:u w:val="single"/>
          <w:lang w:val="en-US" w:eastAsia="zh-CN"/>
        </w:rPr>
        <w:t xml:space="preserve">    </w:t>
      </w:r>
      <w:r>
        <w:rPr>
          <w:rFonts w:hint="eastAsia" w:ascii="宋体" w:hAnsi="宋体" w:eastAsia="宋体" w:cs="宋体"/>
          <w:spacing w:val="-4"/>
          <w:sz w:val="21"/>
          <w:szCs w:val="21"/>
          <w:lang w:val="en-US" w:eastAsia="zh-CN"/>
        </w:rPr>
        <w:t>个月无任何问题的配合采购人进行项目终验。</w:t>
      </w:r>
    </w:p>
    <w:p>
      <w:pPr>
        <w:spacing w:line="360" w:lineRule="auto"/>
        <w:ind w:firstLine="404" w:firstLineChars="200"/>
        <w:jc w:val="left"/>
        <w:rPr>
          <w:rFonts w:hint="eastAsia" w:ascii="宋体" w:hAnsi="宋体" w:eastAsia="宋体" w:cs="宋体"/>
          <w:spacing w:val="-4"/>
          <w:sz w:val="21"/>
          <w:szCs w:val="21"/>
          <w:lang w:eastAsia="zh-CN"/>
        </w:rPr>
      </w:pPr>
      <w:r>
        <w:rPr>
          <w:rFonts w:hint="eastAsia" w:ascii="宋体" w:hAnsi="宋体" w:eastAsia="宋体" w:cs="宋体"/>
          <w:spacing w:val="-4"/>
          <w:sz w:val="21"/>
          <w:szCs w:val="21"/>
          <w:lang w:val="en-US" w:eastAsia="zh-CN"/>
        </w:rPr>
        <w:t>9、</w:t>
      </w:r>
      <w:r>
        <w:rPr>
          <w:rFonts w:hint="eastAsia" w:ascii="宋体" w:hAnsi="宋体" w:eastAsia="宋体" w:cs="宋体"/>
          <w:spacing w:val="-4"/>
          <w:sz w:val="21"/>
          <w:szCs w:val="21"/>
        </w:rPr>
        <w:t>对采购人的验收工作，中标人须按采购人要求进行配合工作并提供相应的验收资料</w:t>
      </w:r>
      <w:r>
        <w:rPr>
          <w:rFonts w:hint="eastAsia" w:ascii="宋体" w:hAnsi="宋体" w:eastAsia="宋体" w:cs="宋体"/>
          <w:spacing w:val="-4"/>
          <w:sz w:val="21"/>
          <w:szCs w:val="21"/>
          <w:lang w:eastAsia="zh-CN"/>
        </w:rPr>
        <w:t>。</w:t>
      </w:r>
    </w:p>
    <w:p>
      <w:pPr>
        <w:spacing w:line="360" w:lineRule="auto"/>
        <w:ind w:firstLine="404" w:firstLineChars="200"/>
        <w:jc w:val="left"/>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10、我方承诺本项目的清单包括了所有的设备、链路费、视频存储及所涉及的服务等，无偿提供视频监控接入至岱山县智能物联感知平台，视频监控存储接入至岱山县城市大脑视频云存储。</w:t>
      </w:r>
    </w:p>
    <w:p>
      <w:pPr>
        <w:spacing w:line="360" w:lineRule="auto"/>
        <w:ind w:firstLine="404" w:firstLineChars="200"/>
        <w:jc w:val="left"/>
        <w:rPr>
          <w:rFonts w:hint="eastAsia"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11、我方承诺中标后</w:t>
      </w:r>
      <w:r>
        <w:rPr>
          <w:rFonts w:hint="eastAsia" w:ascii="宋体" w:hAnsi="宋体" w:eastAsia="宋体" w:cs="宋体"/>
          <w:spacing w:val="-4"/>
          <w:sz w:val="21"/>
          <w:szCs w:val="21"/>
          <w:u w:val="none"/>
          <w:lang w:val="en-US" w:eastAsia="zh-CN"/>
        </w:rPr>
        <w:t>7</w:t>
      </w:r>
      <w:r>
        <w:rPr>
          <w:rFonts w:hint="eastAsia" w:ascii="宋体" w:hAnsi="宋体" w:eastAsia="宋体" w:cs="宋体"/>
          <w:spacing w:val="-4"/>
          <w:sz w:val="21"/>
          <w:szCs w:val="21"/>
          <w:lang w:val="en-US" w:eastAsia="zh-CN"/>
        </w:rPr>
        <w:t>个工作日内提供所投设备针对本项目的质保函原件（加盖原厂公章）。</w:t>
      </w:r>
    </w:p>
    <w:p>
      <w:pPr>
        <w:spacing w:line="360" w:lineRule="auto"/>
        <w:ind w:firstLine="404" w:firstLineChars="200"/>
        <w:jc w:val="left"/>
        <w:rPr>
          <w:rFonts w:hint="eastAsia" w:ascii="宋体" w:hAnsi="宋体" w:eastAsia="宋体" w:cs="宋体"/>
          <w:spacing w:val="-4"/>
          <w:sz w:val="21"/>
          <w:szCs w:val="21"/>
        </w:rPr>
      </w:pPr>
      <w:r>
        <w:rPr>
          <w:rFonts w:hint="eastAsia" w:ascii="宋体" w:hAnsi="宋体" w:eastAsia="宋体" w:cs="宋体"/>
          <w:spacing w:val="-4"/>
          <w:sz w:val="21"/>
          <w:szCs w:val="21"/>
          <w:lang w:val="en-US" w:eastAsia="zh-CN"/>
        </w:rPr>
        <w:t>12、我方承诺提供</w:t>
      </w:r>
      <w:r>
        <w:rPr>
          <w:rFonts w:hint="eastAsia" w:ascii="宋体" w:hAnsi="宋体" w:eastAsia="宋体" w:cs="宋体"/>
          <w:spacing w:val="-4"/>
          <w:sz w:val="21"/>
          <w:szCs w:val="21"/>
          <w:u w:val="single"/>
          <w:lang w:val="en-US" w:eastAsia="zh-CN"/>
        </w:rPr>
        <w:t xml:space="preserve">      </w:t>
      </w:r>
      <w:r>
        <w:rPr>
          <w:rFonts w:hint="eastAsia" w:ascii="宋体" w:hAnsi="宋体" w:eastAsia="宋体" w:cs="宋体"/>
          <w:spacing w:val="-4"/>
          <w:sz w:val="21"/>
          <w:szCs w:val="21"/>
          <w:lang w:val="en-US" w:eastAsia="zh-CN"/>
        </w:rPr>
        <w:t>年整体质保时间。</w:t>
      </w:r>
    </w:p>
    <w:p>
      <w:pPr>
        <w:spacing w:line="480" w:lineRule="auto"/>
        <w:ind w:firstLine="404" w:firstLineChars="200"/>
        <w:jc w:val="left"/>
        <w:rPr>
          <w:rFonts w:hint="eastAsia" w:ascii="宋体" w:hAnsi="宋体" w:eastAsia="宋体" w:cs="宋体"/>
          <w:spacing w:val="-4"/>
          <w:sz w:val="21"/>
          <w:szCs w:val="21"/>
        </w:rPr>
      </w:pPr>
    </w:p>
    <w:p>
      <w:pPr>
        <w:spacing w:line="480" w:lineRule="auto"/>
        <w:ind w:firstLine="404" w:firstLineChars="200"/>
        <w:jc w:val="left"/>
        <w:rPr>
          <w:rFonts w:hint="eastAsia" w:ascii="宋体" w:hAnsi="宋体" w:eastAsia="宋体" w:cs="宋体"/>
          <w:spacing w:val="-4"/>
          <w:sz w:val="21"/>
          <w:szCs w:val="21"/>
        </w:rPr>
      </w:pPr>
      <w:r>
        <w:rPr>
          <w:rFonts w:hint="eastAsia" w:ascii="宋体" w:hAnsi="宋体" w:eastAsia="宋体" w:cs="宋体"/>
          <w:spacing w:val="-4"/>
          <w:sz w:val="21"/>
          <w:szCs w:val="21"/>
        </w:rPr>
        <w:t>投标人名称：</w:t>
      </w:r>
      <w:r>
        <w:rPr>
          <w:rFonts w:hint="eastAsia" w:ascii="宋体" w:hAnsi="宋体" w:eastAsia="宋体" w:cs="宋体"/>
          <w:spacing w:val="20"/>
          <w:sz w:val="21"/>
          <w:szCs w:val="21"/>
          <w:u w:val="single"/>
        </w:rPr>
        <w:t xml:space="preserve">                  </w:t>
      </w:r>
      <w:r>
        <w:rPr>
          <w:rFonts w:hint="eastAsia" w:ascii="宋体" w:hAnsi="宋体" w:eastAsia="宋体" w:cs="宋体"/>
          <w:spacing w:val="-4"/>
          <w:sz w:val="21"/>
          <w:szCs w:val="21"/>
        </w:rPr>
        <w:t xml:space="preserve">（加盖公章） </w:t>
      </w:r>
    </w:p>
    <w:p>
      <w:pPr>
        <w:spacing w:line="480" w:lineRule="auto"/>
        <w:ind w:firstLine="404" w:firstLineChars="200"/>
        <w:rPr>
          <w:rFonts w:hint="eastAsia" w:ascii="宋体" w:hAnsi="宋体" w:eastAsia="宋体" w:cs="宋体"/>
          <w:sz w:val="21"/>
          <w:szCs w:val="21"/>
        </w:rPr>
      </w:pPr>
      <w:r>
        <w:rPr>
          <w:rFonts w:hint="eastAsia" w:ascii="宋体" w:hAnsi="宋体" w:eastAsia="宋体" w:cs="宋体"/>
          <w:spacing w:val="-4"/>
          <w:sz w:val="21"/>
          <w:szCs w:val="21"/>
        </w:rPr>
        <w:t>法定代表人</w:t>
      </w:r>
      <w:r>
        <w:rPr>
          <w:rFonts w:hint="eastAsia" w:ascii="宋体" w:hAnsi="宋体" w:eastAsia="宋体" w:cs="宋体"/>
          <w:sz w:val="21"/>
          <w:szCs w:val="21"/>
        </w:rPr>
        <w:t>：</w:t>
      </w:r>
      <w:r>
        <w:rPr>
          <w:rFonts w:hint="eastAsia" w:ascii="宋体" w:hAnsi="宋体" w:eastAsia="宋体" w:cs="宋体"/>
          <w:b/>
          <w:spacing w:val="20"/>
          <w:sz w:val="21"/>
          <w:szCs w:val="21"/>
          <w:u w:val="single"/>
        </w:rPr>
        <w:t xml:space="preserve">                  </w:t>
      </w:r>
      <w:r>
        <w:rPr>
          <w:rFonts w:hint="eastAsia" w:ascii="宋体" w:hAnsi="宋体" w:eastAsia="宋体" w:cs="宋体"/>
          <w:sz w:val="21"/>
          <w:szCs w:val="21"/>
        </w:rPr>
        <w:t>（签字或盖章）</w:t>
      </w:r>
    </w:p>
    <w:p>
      <w:pPr>
        <w:spacing w:line="480" w:lineRule="auto"/>
        <w:ind w:firstLine="404" w:firstLineChars="200"/>
        <w:jc w:val="left"/>
        <w:rPr>
          <w:rFonts w:hint="eastAsia" w:ascii="宋体" w:hAnsi="宋体" w:eastAsia="宋体" w:cs="宋体"/>
          <w:spacing w:val="-4"/>
          <w:sz w:val="21"/>
          <w:szCs w:val="21"/>
        </w:rPr>
      </w:pPr>
      <w:r>
        <w:rPr>
          <w:rFonts w:hint="eastAsia" w:ascii="宋体" w:hAnsi="宋体" w:eastAsia="宋体" w:cs="宋体"/>
          <w:spacing w:val="-4"/>
          <w:sz w:val="21"/>
          <w:szCs w:val="21"/>
        </w:rPr>
        <w:t>投标人代表：</w:t>
      </w:r>
      <w:r>
        <w:rPr>
          <w:rFonts w:hint="eastAsia" w:ascii="宋体" w:hAnsi="宋体" w:eastAsia="宋体" w:cs="宋体"/>
          <w:spacing w:val="20"/>
          <w:sz w:val="21"/>
          <w:szCs w:val="21"/>
          <w:u w:val="single"/>
        </w:rPr>
        <w:t xml:space="preserve">                  </w:t>
      </w:r>
      <w:r>
        <w:rPr>
          <w:rFonts w:hint="eastAsia" w:ascii="宋体" w:hAnsi="宋体" w:eastAsia="宋体" w:cs="宋体"/>
          <w:spacing w:val="-4"/>
          <w:sz w:val="21"/>
          <w:szCs w:val="21"/>
        </w:rPr>
        <w:t xml:space="preserve">（签字） </w:t>
      </w:r>
    </w:p>
    <w:p>
      <w:pPr>
        <w:spacing w:line="480" w:lineRule="auto"/>
        <w:ind w:firstLine="404" w:firstLineChars="200"/>
        <w:rPr>
          <w:rFonts w:hint="eastAsia" w:ascii="宋体" w:hAnsi="宋体" w:eastAsia="宋体" w:cs="宋体"/>
          <w:spacing w:val="20"/>
          <w:sz w:val="21"/>
          <w:szCs w:val="21"/>
          <w:u w:val="single"/>
        </w:rPr>
      </w:pPr>
      <w:r>
        <w:rPr>
          <w:rFonts w:hint="eastAsia" w:ascii="宋体" w:hAnsi="宋体" w:eastAsia="宋体" w:cs="宋体"/>
          <w:spacing w:val="-4"/>
          <w:sz w:val="21"/>
          <w:szCs w:val="21"/>
        </w:rPr>
        <w:t>投标人地址：</w:t>
      </w:r>
      <w:r>
        <w:rPr>
          <w:rFonts w:hint="eastAsia" w:ascii="宋体" w:hAnsi="宋体" w:eastAsia="宋体" w:cs="宋体"/>
          <w:spacing w:val="20"/>
          <w:sz w:val="21"/>
          <w:szCs w:val="21"/>
          <w:u w:val="single"/>
        </w:rPr>
        <w:t xml:space="preserve">                  </w:t>
      </w:r>
    </w:p>
    <w:p>
      <w:pPr>
        <w:spacing w:line="480" w:lineRule="auto"/>
        <w:ind w:firstLine="404" w:firstLineChars="200"/>
        <w:rPr>
          <w:rFonts w:hint="eastAsia" w:ascii="宋体" w:hAnsi="宋体" w:eastAsia="宋体" w:cs="宋体"/>
          <w:sz w:val="21"/>
          <w:szCs w:val="21"/>
        </w:rPr>
      </w:pPr>
      <w:r>
        <w:rPr>
          <w:rFonts w:hint="eastAsia" w:ascii="宋体" w:hAnsi="宋体" w:eastAsia="宋体" w:cs="宋体"/>
          <w:spacing w:val="-4"/>
          <w:sz w:val="21"/>
          <w:szCs w:val="21"/>
        </w:rPr>
        <w:t>日期：</w:t>
      </w:r>
      <w:r>
        <w:rPr>
          <w:rFonts w:hint="eastAsia" w:ascii="宋体" w:hAnsi="宋体" w:eastAsia="宋体" w:cs="宋体"/>
          <w:spacing w:val="-4"/>
          <w:sz w:val="21"/>
          <w:szCs w:val="21"/>
          <w:u w:val="single"/>
        </w:rPr>
        <w:t xml:space="preserve">     </w:t>
      </w:r>
      <w:r>
        <w:rPr>
          <w:rFonts w:hint="eastAsia" w:ascii="宋体" w:hAnsi="宋体" w:eastAsia="宋体" w:cs="宋体"/>
          <w:spacing w:val="-4"/>
          <w:sz w:val="21"/>
          <w:szCs w:val="21"/>
        </w:rPr>
        <w:t>年</w:t>
      </w:r>
      <w:r>
        <w:rPr>
          <w:rFonts w:hint="eastAsia" w:ascii="宋体" w:hAnsi="宋体" w:eastAsia="宋体" w:cs="宋体"/>
          <w:spacing w:val="-4"/>
          <w:sz w:val="21"/>
          <w:szCs w:val="21"/>
          <w:u w:val="single"/>
        </w:rPr>
        <w:t xml:space="preserve">    </w:t>
      </w:r>
      <w:r>
        <w:rPr>
          <w:rFonts w:hint="eastAsia" w:ascii="宋体" w:hAnsi="宋体" w:eastAsia="宋体" w:cs="宋体"/>
          <w:spacing w:val="-4"/>
          <w:sz w:val="21"/>
          <w:szCs w:val="21"/>
        </w:rPr>
        <w:t>月</w:t>
      </w:r>
      <w:r>
        <w:rPr>
          <w:rFonts w:hint="eastAsia" w:ascii="宋体" w:hAnsi="宋体" w:eastAsia="宋体" w:cs="宋体"/>
          <w:spacing w:val="-4"/>
          <w:sz w:val="21"/>
          <w:szCs w:val="21"/>
          <w:u w:val="single"/>
        </w:rPr>
        <w:t xml:space="preserve">   </w:t>
      </w:r>
      <w:r>
        <w:rPr>
          <w:rFonts w:hint="eastAsia" w:ascii="宋体" w:hAnsi="宋体" w:eastAsia="宋体" w:cs="宋体"/>
          <w:spacing w:val="-4"/>
          <w:sz w:val="21"/>
          <w:szCs w:val="21"/>
        </w:rPr>
        <w:t xml:space="preserve">日 </w:t>
      </w:r>
    </w:p>
    <w:p>
      <w:pPr>
        <w:spacing w:line="360" w:lineRule="auto"/>
        <w:jc w:val="left"/>
        <w:rPr>
          <w:rFonts w:hint="eastAsia" w:ascii="宋体" w:hAnsi="宋体" w:cs="宋体"/>
          <w:b/>
          <w:sz w:val="24"/>
          <w:szCs w:val="24"/>
        </w:rPr>
      </w:pPr>
      <w:r>
        <w:rPr>
          <w:rFonts w:hint="eastAsia" w:ascii="宋体" w:hAnsi="宋体" w:cs="宋体"/>
          <w:b/>
          <w:spacing w:val="20"/>
          <w:szCs w:val="21"/>
        </w:rPr>
        <w:br w:type="page"/>
      </w:r>
      <w:r>
        <w:rPr>
          <w:rFonts w:hint="eastAsia" w:ascii="宋体" w:hAnsi="宋体" w:cs="宋体"/>
          <w:b/>
          <w:spacing w:val="20"/>
          <w:sz w:val="24"/>
          <w:szCs w:val="24"/>
        </w:rPr>
        <w:t>格式六、法定代表人授权函</w:t>
      </w:r>
    </w:p>
    <w:p>
      <w:pPr>
        <w:spacing w:line="360" w:lineRule="auto"/>
        <w:jc w:val="left"/>
        <w:rPr>
          <w:rFonts w:hint="eastAsia" w:ascii="宋体" w:hAnsi="宋体" w:eastAsia="宋体" w:cs="宋体"/>
          <w:spacing w:val="-4"/>
          <w:sz w:val="24"/>
          <w:szCs w:val="24"/>
          <w:lang w:eastAsia="zh-CN"/>
        </w:rPr>
      </w:pPr>
      <w:r>
        <w:rPr>
          <w:rFonts w:hint="eastAsia" w:ascii="宋体" w:hAnsi="宋体" w:cs="宋体"/>
          <w:spacing w:val="-4"/>
          <w:sz w:val="24"/>
          <w:szCs w:val="24"/>
        </w:rPr>
        <w:t>致：</w:t>
      </w:r>
      <w:r>
        <w:rPr>
          <w:rFonts w:hint="eastAsia" w:ascii="宋体" w:hAnsi="宋体" w:cs="宋体"/>
          <w:spacing w:val="-4"/>
          <w:sz w:val="24"/>
          <w:szCs w:val="24"/>
          <w:lang w:eastAsia="zh-CN"/>
        </w:rPr>
        <w:t>岱山县大数据管理中心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中金招标有限责任公司</w:t>
      </w:r>
    </w:p>
    <w:p>
      <w:pPr>
        <w:spacing w:line="360" w:lineRule="auto"/>
        <w:ind w:firstLine="464" w:firstLineChars="200"/>
        <w:jc w:val="left"/>
        <w:rPr>
          <w:rFonts w:hint="eastAsia" w:ascii="宋体" w:hAnsi="宋体" w:cs="宋体"/>
          <w:spacing w:val="-4"/>
          <w:sz w:val="24"/>
          <w:szCs w:val="24"/>
        </w:rPr>
      </w:pPr>
      <w:r>
        <w:rPr>
          <w:rFonts w:hint="eastAsia" w:ascii="宋体" w:hAnsi="宋体" w:cs="宋体"/>
          <w:spacing w:val="-4"/>
          <w:sz w:val="24"/>
          <w:szCs w:val="24"/>
        </w:rPr>
        <w:t>我</w:t>
      </w:r>
      <w:r>
        <w:rPr>
          <w:rFonts w:hint="eastAsia" w:ascii="宋体" w:hAnsi="宋体" w:cs="宋体"/>
          <w:spacing w:val="-4"/>
          <w:sz w:val="24"/>
          <w:szCs w:val="24"/>
          <w:u w:val="single"/>
        </w:rPr>
        <w:t xml:space="preserve">              </w:t>
      </w:r>
      <w:r>
        <w:rPr>
          <w:rFonts w:hint="eastAsia" w:ascii="宋体" w:hAnsi="宋体" w:cs="宋体"/>
          <w:spacing w:val="-4"/>
          <w:sz w:val="24"/>
          <w:szCs w:val="24"/>
        </w:rPr>
        <w:t>（姓名）系</w:t>
      </w:r>
      <w:r>
        <w:rPr>
          <w:rFonts w:hint="eastAsia" w:ascii="宋体" w:hAnsi="宋体" w:cs="宋体"/>
          <w:spacing w:val="-4"/>
          <w:sz w:val="24"/>
          <w:szCs w:val="24"/>
          <w:u w:val="single"/>
        </w:rPr>
        <w:t xml:space="preserve">             </w:t>
      </w:r>
      <w:r>
        <w:rPr>
          <w:rFonts w:hint="eastAsia" w:ascii="宋体" w:hAnsi="宋体" w:cs="宋体"/>
          <w:spacing w:val="-4"/>
          <w:sz w:val="24"/>
          <w:szCs w:val="24"/>
        </w:rPr>
        <w:t>（投标人名称）的法定代表人，现授权委托本单位在职职工</w:t>
      </w:r>
      <w:r>
        <w:rPr>
          <w:rFonts w:hint="eastAsia" w:ascii="宋体" w:hAnsi="宋体" w:cs="宋体"/>
          <w:spacing w:val="-4"/>
          <w:sz w:val="24"/>
          <w:szCs w:val="24"/>
          <w:u w:val="single"/>
        </w:rPr>
        <w:t xml:space="preserve">                   </w:t>
      </w:r>
      <w:r>
        <w:rPr>
          <w:rFonts w:hint="eastAsia" w:ascii="宋体" w:hAnsi="宋体" w:cs="宋体"/>
          <w:spacing w:val="-4"/>
          <w:sz w:val="24"/>
          <w:szCs w:val="24"/>
        </w:rPr>
        <w:t>（姓名）(身份证号码：</w:t>
      </w:r>
      <w:r>
        <w:rPr>
          <w:rFonts w:hint="eastAsia" w:ascii="宋体" w:hAnsi="宋体" w:cs="宋体"/>
          <w:spacing w:val="-4"/>
          <w:sz w:val="24"/>
          <w:szCs w:val="24"/>
          <w:u w:val="single"/>
        </w:rPr>
        <w:t xml:space="preserve">                                </w:t>
      </w:r>
      <w:r>
        <w:rPr>
          <w:rFonts w:hint="eastAsia" w:ascii="宋体" w:hAnsi="宋体" w:cs="宋体"/>
          <w:spacing w:val="-4"/>
          <w:sz w:val="24"/>
          <w:szCs w:val="24"/>
        </w:rPr>
        <w:t>)以我方的名义参加</w:t>
      </w:r>
      <w:r>
        <w:rPr>
          <w:rFonts w:hint="eastAsia" w:ascii="宋体" w:hAnsi="宋体" w:cs="宋体"/>
          <w:spacing w:val="-4"/>
          <w:sz w:val="24"/>
          <w:szCs w:val="24"/>
          <w:u w:val="single"/>
        </w:rPr>
        <w:t xml:space="preserve">                           </w:t>
      </w:r>
      <w:r>
        <w:rPr>
          <w:rFonts w:hint="eastAsia" w:ascii="宋体" w:hAnsi="宋体" w:cs="宋体"/>
          <w:spacing w:val="-4"/>
          <w:sz w:val="24"/>
          <w:szCs w:val="24"/>
        </w:rPr>
        <w:t>（项目名称）（项目编号）的投标活动，并代表我方全权办理针对上述项目的投标、开标、评标、签约等具体事务和签署相关文件。</w:t>
      </w:r>
    </w:p>
    <w:p>
      <w:pPr>
        <w:spacing w:line="360" w:lineRule="auto"/>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我方对被授权人的签名负全部责任。</w:t>
      </w:r>
    </w:p>
    <w:p>
      <w:pPr>
        <w:spacing w:line="360" w:lineRule="auto"/>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在撤销授权的书面通知以前，本授权函一直有效。被授权人在授权函有效期内签署的所有文件不因授权的撤销而失效。</w:t>
      </w:r>
    </w:p>
    <w:p>
      <w:pPr>
        <w:spacing w:line="360" w:lineRule="auto"/>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被授权人无转委托权，特此委托。</w:t>
      </w:r>
    </w:p>
    <w:p>
      <w:pPr>
        <w:spacing w:line="360" w:lineRule="auto"/>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 xml:space="preserve">被授权人（签字）：                           法定代表人（签字或盖章）：          </w:t>
      </w:r>
    </w:p>
    <w:p>
      <w:pPr>
        <w:spacing w:line="360" w:lineRule="auto"/>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 xml:space="preserve">被授权人联系电话：                          </w:t>
      </w:r>
      <w:r>
        <w:rPr>
          <w:rFonts w:ascii="宋体" w:hAnsi="宋体" w:cs="宋体"/>
          <w:spacing w:val="-4"/>
          <w:sz w:val="24"/>
          <w:szCs w:val="24"/>
        </w:rPr>
        <w:t xml:space="preserve"> </w:t>
      </w:r>
      <w:r>
        <w:rPr>
          <w:rFonts w:hint="eastAsia" w:ascii="宋体" w:hAnsi="宋体" w:cs="宋体"/>
          <w:spacing w:val="-4"/>
          <w:sz w:val="24"/>
          <w:szCs w:val="24"/>
        </w:rPr>
        <w:t>法定代表人联系电话：</w:t>
      </w:r>
    </w:p>
    <w:p>
      <w:pPr>
        <w:spacing w:line="360" w:lineRule="auto"/>
        <w:ind w:right="-89" w:firstLine="5104" w:firstLineChars="2200"/>
        <w:jc w:val="left"/>
        <w:rPr>
          <w:rFonts w:hint="eastAsia" w:ascii="宋体" w:hAnsi="宋体" w:cs="宋体"/>
          <w:spacing w:val="-4"/>
          <w:sz w:val="24"/>
          <w:szCs w:val="24"/>
        </w:rPr>
      </w:pPr>
    </w:p>
    <w:p>
      <w:pPr>
        <w:spacing w:line="360" w:lineRule="auto"/>
        <w:ind w:right="-89" w:firstLine="5104" w:firstLineChars="2200"/>
        <w:jc w:val="left"/>
        <w:rPr>
          <w:rFonts w:hint="eastAsia" w:ascii="宋体" w:hAnsi="宋体" w:cs="宋体"/>
          <w:spacing w:val="-4"/>
          <w:sz w:val="24"/>
          <w:szCs w:val="24"/>
        </w:rPr>
      </w:pPr>
    </w:p>
    <w:p>
      <w:pPr>
        <w:spacing w:line="360" w:lineRule="auto"/>
        <w:ind w:right="-89" w:firstLine="5104" w:firstLineChars="2200"/>
        <w:jc w:val="left"/>
        <w:rPr>
          <w:rFonts w:hint="eastAsia" w:ascii="宋体" w:hAnsi="宋体" w:cs="宋体"/>
          <w:spacing w:val="-4"/>
          <w:sz w:val="24"/>
          <w:szCs w:val="24"/>
        </w:rPr>
      </w:pPr>
      <w:r>
        <w:rPr>
          <w:rFonts w:hint="eastAsia" w:ascii="宋体" w:hAnsi="宋体" w:cs="宋体"/>
          <w:spacing w:val="-4"/>
          <w:sz w:val="24"/>
          <w:szCs w:val="24"/>
        </w:rPr>
        <w:t xml:space="preserve">                      投标人公章：</w:t>
      </w:r>
    </w:p>
    <w:p>
      <w:pPr>
        <w:spacing w:line="360" w:lineRule="auto"/>
        <w:rPr>
          <w:rFonts w:hint="eastAsia" w:ascii="宋体" w:hAnsi="宋体" w:cs="宋体"/>
          <w:spacing w:val="-4"/>
          <w:sz w:val="24"/>
          <w:szCs w:val="24"/>
        </w:rPr>
      </w:pPr>
      <w:r>
        <w:rPr>
          <w:rFonts w:hint="eastAsia" w:ascii="宋体" w:hAnsi="宋体" w:cs="宋体"/>
          <w:spacing w:val="-4"/>
          <w:sz w:val="24"/>
          <w:szCs w:val="24"/>
        </w:rPr>
        <w:t xml:space="preserve">                                                                   </w:t>
      </w:r>
      <w:r>
        <w:rPr>
          <w:rFonts w:hint="eastAsia" w:ascii="宋体" w:hAnsi="宋体" w:cs="宋体"/>
          <w:spacing w:val="-4"/>
          <w:sz w:val="24"/>
          <w:szCs w:val="24"/>
          <w:u w:val="single"/>
        </w:rPr>
        <w:t xml:space="preserve">     </w:t>
      </w:r>
      <w:r>
        <w:rPr>
          <w:rFonts w:hint="eastAsia" w:ascii="宋体" w:hAnsi="宋体" w:cs="宋体"/>
          <w:spacing w:val="-4"/>
          <w:sz w:val="24"/>
          <w:szCs w:val="24"/>
        </w:rPr>
        <w:t xml:space="preserve"> 年</w:t>
      </w:r>
      <w:r>
        <w:rPr>
          <w:rFonts w:hint="eastAsia" w:ascii="宋体" w:hAnsi="宋体" w:cs="宋体"/>
          <w:spacing w:val="-4"/>
          <w:sz w:val="24"/>
          <w:szCs w:val="24"/>
          <w:u w:val="single"/>
        </w:rPr>
        <w:t xml:space="preserve">    </w:t>
      </w:r>
      <w:r>
        <w:rPr>
          <w:rFonts w:hint="eastAsia" w:ascii="宋体" w:hAnsi="宋体" w:cs="宋体"/>
          <w:spacing w:val="-4"/>
          <w:sz w:val="24"/>
          <w:szCs w:val="24"/>
        </w:rPr>
        <w:t>月</w:t>
      </w:r>
      <w:r>
        <w:rPr>
          <w:rFonts w:hint="eastAsia" w:ascii="宋体" w:hAnsi="宋体" w:cs="宋体"/>
          <w:spacing w:val="-4"/>
          <w:sz w:val="24"/>
          <w:szCs w:val="24"/>
          <w:u w:val="single"/>
        </w:rPr>
        <w:t xml:space="preserve">    </w:t>
      </w:r>
      <w:r>
        <w:rPr>
          <w:rFonts w:hint="eastAsia" w:ascii="宋体" w:hAnsi="宋体" w:cs="宋体"/>
          <w:spacing w:val="-4"/>
          <w:sz w:val="24"/>
          <w:szCs w:val="24"/>
        </w:rPr>
        <w:t>日</w:t>
      </w:r>
    </w:p>
    <w:p>
      <w:pPr>
        <w:spacing w:line="360" w:lineRule="auto"/>
        <w:rPr>
          <w:rFonts w:hint="eastAsia" w:ascii="宋体" w:hAnsi="宋体" w:cs="宋体"/>
          <w:spacing w:val="-4"/>
          <w:szCs w:val="21"/>
        </w:rPr>
      </w:pPr>
    </w:p>
    <w:p>
      <w:pPr>
        <w:adjustRightInd w:val="0"/>
        <w:spacing w:line="360" w:lineRule="auto"/>
        <w:textAlignment w:val="baseline"/>
        <w:rPr>
          <w:rFonts w:hint="eastAsia" w:ascii="宋体" w:hAnsi="宋体" w:cs="宋体"/>
          <w:b/>
          <w:spacing w:val="20"/>
          <w:szCs w:val="21"/>
        </w:rPr>
      </w:pPr>
    </w:p>
    <w:p>
      <w:pPr>
        <w:adjustRightInd w:val="0"/>
        <w:spacing w:line="360" w:lineRule="auto"/>
        <w:textAlignment w:val="baseline"/>
        <w:rPr>
          <w:rFonts w:hint="eastAsia" w:ascii="宋体" w:hAnsi="宋体" w:cs="宋体"/>
          <w:b/>
          <w:spacing w:val="20"/>
          <w:kern w:val="0"/>
          <w:szCs w:val="21"/>
        </w:rPr>
      </w:pPr>
    </w:p>
    <w:p>
      <w:pPr>
        <w:snapToGrid w:val="0"/>
        <w:spacing w:line="360" w:lineRule="auto"/>
        <w:ind w:firstLine="415" w:firstLineChars="198"/>
        <w:rPr>
          <w:rFonts w:hint="eastAsia" w:ascii="宋体" w:hAnsi="宋体" w:cs="宋体"/>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spacing w:line="360" w:lineRule="auto"/>
        <w:rPr>
          <w:rFonts w:hint="eastAsia" w:ascii="宋体" w:hAnsi="宋体" w:cs="宋体"/>
          <w:b/>
          <w:szCs w:val="21"/>
        </w:rPr>
      </w:pPr>
    </w:p>
    <w:p>
      <w:pPr>
        <w:snapToGrid w:val="0"/>
        <w:spacing w:line="360" w:lineRule="auto"/>
        <w:rPr>
          <w:rFonts w:hint="eastAsia"/>
        </w:rPr>
      </w:pPr>
      <w:r>
        <w:rPr>
          <w:rFonts w:hint="eastAsia" w:ascii="宋体" w:hAnsi="宋体" w:cs="宋体"/>
          <w:b/>
          <w:sz w:val="24"/>
          <w:szCs w:val="24"/>
        </w:rPr>
        <w:t>格式七、投标产品清单表</w:t>
      </w:r>
    </w:p>
    <w:tbl>
      <w:tblPr>
        <w:tblStyle w:val="25"/>
        <w:tblW w:w="5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2"/>
        <w:gridCol w:w="1137"/>
        <w:gridCol w:w="926"/>
        <w:gridCol w:w="822"/>
        <w:gridCol w:w="2"/>
        <w:gridCol w:w="759"/>
        <w:gridCol w:w="994"/>
        <w:gridCol w:w="513"/>
        <w:gridCol w:w="517"/>
        <w:gridCol w:w="382"/>
        <w:gridCol w:w="573"/>
        <w:gridCol w:w="567"/>
        <w:gridCol w:w="836"/>
        <w:gridCol w:w="44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000" w:type="pct"/>
            <w:gridSpan w:val="15"/>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序号</w:t>
            </w:r>
          </w:p>
        </w:tc>
        <w:tc>
          <w:tcPr>
            <w:tcW w:w="55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板块名称</w:t>
            </w:r>
          </w:p>
        </w:tc>
        <w:tc>
          <w:tcPr>
            <w:tcW w:w="855"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设备名称</w:t>
            </w:r>
          </w:p>
        </w:tc>
        <w:tc>
          <w:tcPr>
            <w:tcW w:w="858"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功能</w:t>
            </w:r>
          </w:p>
        </w:tc>
        <w:tc>
          <w:tcPr>
            <w:tcW w:w="69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数量/单位</w:t>
            </w:r>
          </w:p>
        </w:tc>
        <w:tc>
          <w:tcPr>
            <w:tcW w:w="557"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生产厂家\开发者</w:t>
            </w:r>
          </w:p>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及其产地</w:t>
            </w:r>
          </w:p>
        </w:tc>
        <w:tc>
          <w:tcPr>
            <w:tcW w:w="62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品牌型号</w:t>
            </w: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55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855"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858"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9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57"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2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55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856"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857"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9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57"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62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5000" w:type="pct"/>
            <w:gridSpan w:val="15"/>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序号</w:t>
            </w:r>
          </w:p>
        </w:tc>
        <w:tc>
          <w:tcPr>
            <w:tcW w:w="100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板块名称</w:t>
            </w:r>
          </w:p>
        </w:tc>
        <w:tc>
          <w:tcPr>
            <w:tcW w:w="1511"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设备名称</w:t>
            </w:r>
          </w:p>
        </w:tc>
        <w:tc>
          <w:tcPr>
            <w:tcW w:w="72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数量/单位</w:t>
            </w:r>
          </w:p>
        </w:tc>
        <w:tc>
          <w:tcPr>
            <w:tcW w:w="90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品牌型号</w:t>
            </w: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00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1511"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72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0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1009"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rPr>
            </w:pPr>
          </w:p>
        </w:tc>
        <w:tc>
          <w:tcPr>
            <w:tcW w:w="1511"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72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01"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547"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000" w:type="pct"/>
            <w:gridSpan w:val="15"/>
            <w:noWrap w:val="0"/>
            <w:vAlign w:val="center"/>
          </w:tcPr>
          <w:p>
            <w:pPr>
              <w:keepNext w:val="0"/>
              <w:keepLines w:val="0"/>
              <w:pageBreakBefore w:val="0"/>
              <w:widowControl w:val="0"/>
              <w:kinsoku/>
              <w:wordWrap/>
              <w:overflowPunct/>
              <w:topLinePunct w:val="0"/>
              <w:autoSpaceDE/>
              <w:autoSpaceDN/>
              <w:bidi w:val="0"/>
              <w:adjustRightInd/>
              <w:spacing w:line="480" w:lineRule="auto"/>
              <w:jc w:val="lef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三</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其他</w:t>
            </w:r>
            <w:r>
              <w:rPr>
                <w:rFonts w:hint="eastAsia" w:ascii="宋体" w:hAnsi="宋体" w:eastAsia="宋体" w:cs="宋体"/>
                <w:b/>
                <w:bCs/>
                <w:color w:val="000000"/>
                <w:sz w:val="24"/>
                <w:szCs w:val="24"/>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783"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rPr>
              <w:t>板块名称</w:t>
            </w:r>
          </w:p>
        </w:tc>
        <w:tc>
          <w:tcPr>
            <w:tcW w:w="99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数量/单位</w:t>
            </w:r>
          </w:p>
        </w:tc>
        <w:tc>
          <w:tcPr>
            <w:tcW w:w="1153"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品牌型号</w:t>
            </w: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783"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9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153"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30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783" w:type="pct"/>
            <w:gridSpan w:val="5"/>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990" w:type="pct"/>
            <w:gridSpan w:val="3"/>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1153" w:type="pct"/>
            <w:gridSpan w:val="4"/>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c>
          <w:tcPr>
            <w:tcW w:w="763" w:type="pct"/>
            <w:gridSpan w:val="2"/>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eastAsia="宋体" w:cs="宋体"/>
                <w:sz w:val="24"/>
                <w:szCs w:val="24"/>
                <w:lang w:val="en-US" w:eastAsia="zh-CN"/>
              </w:rPr>
            </w:pPr>
          </w:p>
        </w:tc>
      </w:tr>
    </w:tbl>
    <w:p>
      <w:pPr>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注：根据第二章采购需求三、采购清单进行填写。</w:t>
      </w:r>
    </w:p>
    <w:p>
      <w:pPr>
        <w:spacing w:line="360" w:lineRule="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宋体" w:hAnsi="宋体" w:cs="宋体"/>
          <w:sz w:val="24"/>
          <w:szCs w:val="24"/>
          <w:u w:val="single"/>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int="eastAsia" w:ascii="宋体" w:hAnsi="宋体" w:cs="宋体"/>
          <w:spacing w:val="20"/>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rPr>
      </w:pPr>
      <w:r>
        <w:rPr>
          <w:rFonts w:hint="eastAsia" w:ascii="宋体" w:hAnsi="宋体" w:cs="宋体"/>
          <w:b/>
          <w:sz w:val="24"/>
          <w:szCs w:val="24"/>
        </w:rPr>
        <w:t>格式八、投标产品技术参数偏离表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527"/>
        <w:gridCol w:w="291"/>
        <w:gridCol w:w="633"/>
        <w:gridCol w:w="950"/>
        <w:gridCol w:w="384"/>
        <w:gridCol w:w="783"/>
        <w:gridCol w:w="1863"/>
        <w:gridCol w:w="140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b/>
                <w:bCs/>
                <w:spacing w:val="-4"/>
                <w:sz w:val="24"/>
                <w:szCs w:val="24"/>
              </w:rPr>
            </w:pPr>
            <w:r>
              <w:rPr>
                <w:rFonts w:hint="eastAsia" w:ascii="宋体" w:hAnsi="宋体" w:eastAsia="宋体" w:cs="宋体"/>
                <w:b/>
                <w:bCs/>
                <w:color w:val="000000"/>
                <w:sz w:val="21"/>
                <w:szCs w:val="21"/>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pacing w:val="-4"/>
                <w:sz w:val="24"/>
                <w:szCs w:val="24"/>
              </w:rPr>
            </w:pPr>
            <w:r>
              <w:rPr>
                <w:rFonts w:hint="eastAsia" w:ascii="宋体" w:hAnsi="宋体" w:cs="宋体"/>
                <w:b/>
                <w:bCs/>
                <w:spacing w:val="-4"/>
                <w:sz w:val="24"/>
                <w:szCs w:val="24"/>
              </w:rPr>
              <w:t>序号</w:t>
            </w:r>
          </w:p>
        </w:tc>
        <w:tc>
          <w:tcPr>
            <w:tcW w:w="75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宋体" w:hAnsi="宋体" w:eastAsia="宋体" w:cs="宋体"/>
                <w:b/>
                <w:bCs/>
                <w:spacing w:val="-4"/>
                <w:sz w:val="24"/>
                <w:szCs w:val="24"/>
                <w:lang w:val="en-US" w:eastAsia="zh-CN"/>
              </w:rPr>
            </w:pPr>
            <w:r>
              <w:rPr>
                <w:rFonts w:hint="eastAsia" w:ascii="宋体" w:hAnsi="宋体" w:cs="宋体"/>
                <w:b/>
                <w:bCs/>
                <w:spacing w:val="-4"/>
                <w:sz w:val="24"/>
                <w:szCs w:val="24"/>
                <w:lang w:val="en-US" w:eastAsia="zh-CN"/>
              </w:rPr>
              <w:t>板块</w:t>
            </w:r>
            <w:r>
              <w:rPr>
                <w:rFonts w:hint="eastAsia" w:ascii="宋体" w:hAnsi="宋体" w:cs="宋体"/>
                <w:b/>
                <w:bCs/>
                <w:spacing w:val="-4"/>
                <w:sz w:val="24"/>
                <w:szCs w:val="24"/>
                <w:lang w:val="en-US" w:eastAsia="zh-CN"/>
              </w:rPr>
              <w:t>名称</w:t>
            </w:r>
          </w:p>
        </w:tc>
        <w:tc>
          <w:tcPr>
            <w:tcW w:w="45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宋体" w:hAnsi="宋体" w:eastAsia="宋体" w:cs="宋体"/>
                <w:b/>
                <w:bCs/>
                <w:spacing w:val="-4"/>
                <w:sz w:val="24"/>
                <w:szCs w:val="24"/>
                <w:lang w:val="en-US" w:eastAsia="zh-CN"/>
              </w:rPr>
            </w:pPr>
            <w:r>
              <w:rPr>
                <w:rFonts w:hint="eastAsia" w:ascii="宋体" w:hAnsi="宋体" w:cs="宋体"/>
                <w:b/>
                <w:bCs/>
                <w:spacing w:val="-4"/>
                <w:sz w:val="24"/>
                <w:szCs w:val="24"/>
                <w:lang w:val="en-US" w:eastAsia="zh-CN"/>
              </w:rPr>
              <w:t>模块名称</w:t>
            </w:r>
          </w:p>
        </w:tc>
        <w:tc>
          <w:tcPr>
            <w:tcW w:w="658"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pacing w:val="-4"/>
                <w:sz w:val="24"/>
                <w:szCs w:val="24"/>
                <w:lang w:eastAsia="zh-CN"/>
              </w:rPr>
            </w:pPr>
            <w:r>
              <w:rPr>
                <w:rFonts w:hint="eastAsia" w:ascii="宋体" w:hAnsi="宋体" w:cs="宋体"/>
                <w:b/>
                <w:bCs/>
                <w:spacing w:val="-4"/>
                <w:sz w:val="24"/>
                <w:szCs w:val="24"/>
                <w:lang w:val="en-US" w:eastAsia="zh-CN"/>
              </w:rPr>
              <w:t>功能</w:t>
            </w:r>
          </w:p>
        </w:tc>
        <w:tc>
          <w:tcPr>
            <w:tcW w:w="386"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default" w:ascii="宋体" w:hAnsi="宋体" w:cs="宋体"/>
                <w:b/>
                <w:bCs/>
                <w:spacing w:val="-4"/>
                <w:sz w:val="24"/>
                <w:szCs w:val="24"/>
                <w:lang w:val="en-US" w:eastAsia="zh-CN"/>
              </w:rPr>
            </w:pPr>
            <w:r>
              <w:rPr>
                <w:rFonts w:hint="eastAsia" w:ascii="宋体" w:hAnsi="宋体" w:cs="宋体"/>
                <w:b/>
                <w:bCs/>
                <w:spacing w:val="-4"/>
                <w:sz w:val="24"/>
                <w:szCs w:val="24"/>
                <w:lang w:val="en-US" w:eastAsia="zh-CN"/>
              </w:rPr>
              <w:t>品牌型号</w:t>
            </w: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spacing w:val="-4"/>
                <w:sz w:val="24"/>
                <w:szCs w:val="24"/>
              </w:rPr>
            </w:pPr>
            <w:r>
              <w:rPr>
                <w:rFonts w:hint="eastAsia" w:ascii="宋体" w:hAnsi="宋体" w:cs="宋体"/>
                <w:b/>
                <w:bCs/>
                <w:spacing w:val="-4"/>
                <w:sz w:val="24"/>
                <w:szCs w:val="24"/>
              </w:rPr>
              <w:t>招标文件所需技术参数及性能说明</w:t>
            </w: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所投技术参数及性能说明</w:t>
            </w: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b/>
                <w:bCs/>
                <w:spacing w:val="-4"/>
                <w:sz w:val="24"/>
                <w:szCs w:val="24"/>
              </w:rPr>
            </w:pPr>
            <w:r>
              <w:rPr>
                <w:rFonts w:hint="eastAsia" w:ascii="宋体" w:hAnsi="宋体" w:cs="宋体"/>
                <w:b/>
                <w:bCs/>
                <w:spacing w:val="-4"/>
                <w:sz w:val="24"/>
                <w:szCs w:val="24"/>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5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45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658"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386"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正偏离/符合/负偏离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5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45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658"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386"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 w:val="24"/>
                <w:szCs w:val="24"/>
              </w:rPr>
            </w:pPr>
            <w:r>
              <w:rPr>
                <w:rFonts w:hint="eastAsia" w:ascii="宋体" w:hAnsi="宋体" w:eastAsia="宋体" w:cs="宋体"/>
                <w:b/>
                <w:bCs/>
                <w:color w:val="000000"/>
                <w:sz w:val="21"/>
                <w:szCs w:val="21"/>
              </w:rPr>
              <w:t>二、硬件部分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序号</w:t>
            </w:r>
          </w:p>
        </w:tc>
        <w:tc>
          <w:tcPr>
            <w:tcW w:w="896"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lang w:val="en-US" w:eastAsia="zh-CN"/>
              </w:rPr>
              <w:t>板块名称</w:t>
            </w:r>
          </w:p>
        </w:tc>
        <w:tc>
          <w:tcPr>
            <w:tcW w:w="781"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lang w:val="en-US" w:eastAsia="zh-CN"/>
              </w:rPr>
              <w:t>设备名称</w:t>
            </w:r>
          </w:p>
        </w:tc>
        <w:tc>
          <w:tcPr>
            <w:tcW w:w="57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lang w:val="en-US" w:eastAsia="zh-CN"/>
              </w:rPr>
              <w:t>品牌型号</w:t>
            </w: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r>
              <w:rPr>
                <w:rFonts w:hint="eastAsia" w:ascii="宋体" w:hAnsi="宋体" w:cs="宋体"/>
                <w:b/>
                <w:bCs/>
                <w:spacing w:val="-4"/>
                <w:sz w:val="24"/>
                <w:szCs w:val="24"/>
              </w:rPr>
              <w:t>招标文件所需技术参数及性能说明</w:t>
            </w: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所投技术参数及性能说明</w:t>
            </w: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lang w:val="en-US" w:eastAsia="zh-CN"/>
              </w:rPr>
            </w:pPr>
          </w:p>
        </w:tc>
        <w:tc>
          <w:tcPr>
            <w:tcW w:w="896"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1"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57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lang w:val="en-US" w:eastAsia="zh-CN"/>
              </w:rPr>
            </w:pPr>
          </w:p>
        </w:tc>
        <w:tc>
          <w:tcPr>
            <w:tcW w:w="896"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1"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575" w:type="pct"/>
            <w:gridSpan w:val="2"/>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00" w:type="pct"/>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 w:val="24"/>
                <w:szCs w:val="24"/>
              </w:rPr>
            </w:pPr>
            <w:r>
              <w:rPr>
                <w:rFonts w:hint="eastAsia" w:ascii="宋体" w:hAnsi="宋体" w:eastAsia="宋体" w:cs="宋体"/>
                <w:b/>
                <w:bCs/>
                <w:color w:val="000000"/>
                <w:sz w:val="21"/>
                <w:szCs w:val="21"/>
                <w:lang w:val="en-US" w:eastAsia="zh-CN"/>
              </w:rPr>
              <w:t>三、其他部分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序号</w:t>
            </w:r>
          </w:p>
        </w:tc>
        <w:tc>
          <w:tcPr>
            <w:tcW w:w="1209"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lang w:val="en-US" w:eastAsia="zh-CN"/>
              </w:rPr>
              <w:t>板块名称</w:t>
            </w:r>
          </w:p>
        </w:tc>
        <w:tc>
          <w:tcPr>
            <w:tcW w:w="1044"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lang w:val="en-US" w:eastAsia="zh-CN"/>
              </w:rPr>
              <w:t>品牌型号</w:t>
            </w: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r>
              <w:rPr>
                <w:rFonts w:hint="eastAsia" w:ascii="宋体" w:hAnsi="宋体" w:cs="宋体"/>
                <w:b/>
                <w:bCs/>
                <w:spacing w:val="-4"/>
                <w:sz w:val="24"/>
                <w:szCs w:val="24"/>
              </w:rPr>
              <w:t>招标文件所需技术参数及性能说明</w:t>
            </w: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所投技术参数及性能说明</w:t>
            </w: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r>
              <w:rPr>
                <w:rFonts w:hint="eastAsia" w:ascii="宋体" w:hAnsi="宋体" w:cs="宋体"/>
                <w:b/>
                <w:bCs/>
                <w:spacing w:val="-4"/>
                <w:sz w:val="24"/>
                <w:szCs w:val="24"/>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1209"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1044"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1209"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1044" w:type="pct"/>
            <w:gridSpan w:val="3"/>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919"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kern w:val="0"/>
                <w:sz w:val="24"/>
                <w:szCs w:val="24"/>
              </w:rPr>
            </w:pPr>
          </w:p>
        </w:tc>
        <w:tc>
          <w:tcPr>
            <w:tcW w:w="693"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c>
          <w:tcPr>
            <w:tcW w:w="780" w:type="pct"/>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 w:val="24"/>
                <w:szCs w:val="24"/>
              </w:rPr>
            </w:pPr>
          </w:p>
        </w:tc>
      </w:tr>
    </w:tbl>
    <w:p>
      <w:pPr>
        <w:spacing w:line="360" w:lineRule="auto"/>
        <w:rPr>
          <w:rFonts w:hint="eastAsia" w:ascii="宋体" w:hAnsi="宋体" w:cs="宋体"/>
          <w:sz w:val="24"/>
          <w:szCs w:val="24"/>
        </w:rPr>
      </w:pPr>
      <w:r>
        <w:rPr>
          <w:rFonts w:hint="eastAsia" w:ascii="宋体" w:hAnsi="宋体" w:cs="宋体"/>
          <w:b/>
          <w:bCs/>
          <w:sz w:val="24"/>
          <w:szCs w:val="24"/>
          <w:lang w:val="en-US" w:eastAsia="zh-CN"/>
        </w:rPr>
        <w:t>注：根据第二章采购需求四、详细参数进行填写。</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hint="eastAsia" w:ascii="宋体" w:hAnsi="宋体" w:cs="宋体"/>
          <w:b/>
          <w:szCs w:val="21"/>
        </w:rPr>
      </w:pPr>
    </w:p>
    <w:p>
      <w:pPr>
        <w:keepNext w:val="0"/>
        <w:keepLines w:val="0"/>
        <w:pageBreakBefore w:val="0"/>
        <w:widowControl w:val="0"/>
        <w:kinsoku/>
        <w:wordWrap/>
        <w:overflowPunct/>
        <w:topLinePunct w:val="0"/>
        <w:autoSpaceDE/>
        <w:autoSpaceDN/>
        <w:bidi w:val="0"/>
        <w:adjustRightInd/>
        <w:spacing w:line="480" w:lineRule="auto"/>
        <w:textAlignment w:val="auto"/>
        <w:rPr>
          <w:rFonts w:hint="eastAsia"/>
        </w:rPr>
      </w:pPr>
      <w:r>
        <w:rPr>
          <w:rFonts w:hint="eastAsia" w:ascii="宋体" w:hAnsi="宋体" w:cs="宋体"/>
          <w:b/>
          <w:szCs w:val="21"/>
        </w:rPr>
        <w:br w:type="page"/>
      </w:r>
      <w:r>
        <w:rPr>
          <w:rFonts w:hint="eastAsia" w:ascii="宋体" w:hAnsi="宋体" w:cs="宋体"/>
          <w:b/>
          <w:sz w:val="24"/>
          <w:szCs w:val="24"/>
        </w:rPr>
        <w:t>格式九、相关业绩</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645"/>
        <w:gridCol w:w="3440"/>
        <w:gridCol w:w="1266"/>
        <w:gridCol w:w="1645"/>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cs="宋体"/>
                <w:b/>
                <w:sz w:val="24"/>
                <w:szCs w:val="24"/>
              </w:rPr>
            </w:pPr>
            <w:r>
              <w:rPr>
                <w:rFonts w:hint="eastAsia" w:ascii="宋体" w:hAnsi="宋体" w:cs="宋体"/>
                <w:b/>
                <w:sz w:val="24"/>
                <w:szCs w:val="24"/>
              </w:rPr>
              <w:t>序号</w:t>
            </w:r>
          </w:p>
        </w:tc>
        <w:tc>
          <w:tcPr>
            <w:tcW w:w="81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cs="宋体"/>
                <w:b/>
                <w:sz w:val="24"/>
                <w:szCs w:val="24"/>
              </w:rPr>
            </w:pPr>
            <w:r>
              <w:rPr>
                <w:rFonts w:hint="eastAsia" w:ascii="宋体" w:hAnsi="宋体" w:cs="宋体"/>
                <w:b/>
                <w:sz w:val="24"/>
                <w:szCs w:val="24"/>
              </w:rPr>
              <w:t>业主名称</w:t>
            </w:r>
          </w:p>
        </w:tc>
        <w:tc>
          <w:tcPr>
            <w:tcW w:w="1696"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cs="宋体"/>
                <w:b/>
                <w:sz w:val="24"/>
                <w:szCs w:val="24"/>
              </w:rPr>
            </w:pPr>
            <w:r>
              <w:rPr>
                <w:rFonts w:hint="eastAsia" w:ascii="宋体" w:hAnsi="宋体" w:cs="宋体"/>
                <w:b/>
                <w:sz w:val="24"/>
                <w:szCs w:val="24"/>
              </w:rPr>
              <w:t>项目名称</w:t>
            </w:r>
          </w:p>
        </w:tc>
        <w:tc>
          <w:tcPr>
            <w:tcW w:w="624"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cs="宋体"/>
                <w:b/>
                <w:sz w:val="24"/>
                <w:szCs w:val="24"/>
              </w:rPr>
            </w:pPr>
            <w:r>
              <w:rPr>
                <w:rFonts w:hint="eastAsia" w:ascii="宋体" w:hAnsi="宋体" w:cs="宋体"/>
                <w:b/>
                <w:sz w:val="24"/>
                <w:szCs w:val="24"/>
              </w:rPr>
              <w:t>签订日期</w:t>
            </w:r>
          </w:p>
        </w:tc>
        <w:tc>
          <w:tcPr>
            <w:tcW w:w="811" w:type="pct"/>
            <w:noWrap w:val="0"/>
            <w:vAlign w:val="center"/>
          </w:tcPr>
          <w:p>
            <w:pPr>
              <w:keepNext w:val="0"/>
              <w:keepLines w:val="0"/>
              <w:pageBreakBefore w:val="0"/>
              <w:widowControl w:val="0"/>
              <w:kinsoku/>
              <w:wordWrap/>
              <w:overflowPunct/>
              <w:topLinePunct w:val="0"/>
              <w:autoSpaceDE/>
              <w:autoSpaceDN/>
              <w:bidi w:val="0"/>
              <w:adjustRightInd/>
              <w:spacing w:line="480" w:lineRule="auto"/>
              <w:jc w:val="center"/>
              <w:textAlignment w:val="auto"/>
              <w:rPr>
                <w:rFonts w:hint="eastAsia" w:ascii="宋体" w:hAnsi="宋体" w:cs="宋体"/>
                <w:b/>
                <w:sz w:val="24"/>
                <w:szCs w:val="24"/>
              </w:rPr>
            </w:pPr>
            <w:r>
              <w:rPr>
                <w:rFonts w:hint="eastAsia" w:ascii="宋体" w:hAnsi="宋体" w:cs="宋体"/>
                <w:b/>
                <w:sz w:val="24"/>
                <w:szCs w:val="24"/>
              </w:rPr>
              <w:t>业主联系人及联系方式</w:t>
            </w:r>
          </w:p>
        </w:tc>
        <w:tc>
          <w:tcPr>
            <w:tcW w:w="556" w:type="pct"/>
            <w:noWrap w:val="0"/>
            <w:vAlign w:val="center"/>
          </w:tcPr>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宋体" w:hAnsi="宋体" w:cs="宋体"/>
                <w:b/>
                <w:sz w:val="24"/>
                <w:szCs w:val="24"/>
              </w:rPr>
            </w:pPr>
            <w:r>
              <w:rPr>
                <w:rFonts w:hint="eastAsia" w:ascii="宋体" w:hAnsi="宋体" w:cs="宋体"/>
                <w:b/>
                <w:sz w:val="24"/>
                <w:szCs w:val="24"/>
              </w:rPr>
              <w:t>附件</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宋体" w:hAnsi="宋体" w:cs="宋体"/>
                <w:b/>
                <w:sz w:val="24"/>
                <w:szCs w:val="24"/>
              </w:rPr>
            </w:pPr>
            <w:r>
              <w:rPr>
                <w:rFonts w:hint="eastAsia" w:ascii="宋体" w:hAnsi="宋体" w:cs="宋体"/>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99"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1696" w:type="pct"/>
            <w:noWrap w:val="0"/>
            <w:vAlign w:val="top"/>
          </w:tcPr>
          <w:p>
            <w:pPr>
              <w:spacing w:line="360" w:lineRule="auto"/>
              <w:rPr>
                <w:rFonts w:hint="eastAsia" w:ascii="宋体" w:hAnsi="宋体" w:cs="宋体"/>
                <w:b/>
                <w:sz w:val="24"/>
                <w:szCs w:val="24"/>
              </w:rPr>
            </w:pPr>
          </w:p>
        </w:tc>
        <w:tc>
          <w:tcPr>
            <w:tcW w:w="624"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556" w:type="pct"/>
            <w:noWrap w:val="0"/>
            <w:vAlign w:val="top"/>
          </w:tcPr>
          <w:p>
            <w:pPr>
              <w:spacing w:line="360" w:lineRule="auto"/>
              <w:rPr>
                <w:rFonts w:hint="eastAsia"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499"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1696" w:type="pct"/>
            <w:noWrap w:val="0"/>
            <w:vAlign w:val="top"/>
          </w:tcPr>
          <w:p>
            <w:pPr>
              <w:spacing w:line="360" w:lineRule="auto"/>
              <w:rPr>
                <w:rFonts w:hint="eastAsia" w:ascii="宋体" w:hAnsi="宋体" w:cs="宋体"/>
                <w:b/>
                <w:sz w:val="24"/>
                <w:szCs w:val="24"/>
              </w:rPr>
            </w:pPr>
          </w:p>
        </w:tc>
        <w:tc>
          <w:tcPr>
            <w:tcW w:w="624"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556" w:type="pct"/>
            <w:noWrap w:val="0"/>
            <w:vAlign w:val="top"/>
          </w:tcPr>
          <w:p>
            <w:pPr>
              <w:spacing w:line="360" w:lineRule="auto"/>
              <w:rPr>
                <w:rFonts w:hint="eastAsia"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99"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1696" w:type="pct"/>
            <w:noWrap w:val="0"/>
            <w:vAlign w:val="top"/>
          </w:tcPr>
          <w:p>
            <w:pPr>
              <w:spacing w:line="360" w:lineRule="auto"/>
              <w:rPr>
                <w:rFonts w:hint="eastAsia" w:ascii="宋体" w:hAnsi="宋体" w:cs="宋体"/>
                <w:b/>
                <w:sz w:val="24"/>
                <w:szCs w:val="24"/>
              </w:rPr>
            </w:pPr>
          </w:p>
        </w:tc>
        <w:tc>
          <w:tcPr>
            <w:tcW w:w="624" w:type="pct"/>
            <w:noWrap w:val="0"/>
            <w:vAlign w:val="top"/>
          </w:tcPr>
          <w:p>
            <w:pPr>
              <w:spacing w:line="360" w:lineRule="auto"/>
              <w:rPr>
                <w:rFonts w:hint="eastAsia" w:ascii="宋体" w:hAnsi="宋体" w:cs="宋体"/>
                <w:b/>
                <w:sz w:val="24"/>
                <w:szCs w:val="24"/>
              </w:rPr>
            </w:pPr>
          </w:p>
        </w:tc>
        <w:tc>
          <w:tcPr>
            <w:tcW w:w="811" w:type="pct"/>
            <w:noWrap w:val="0"/>
            <w:vAlign w:val="top"/>
          </w:tcPr>
          <w:p>
            <w:pPr>
              <w:spacing w:line="360" w:lineRule="auto"/>
              <w:rPr>
                <w:rFonts w:hint="eastAsia" w:ascii="宋体" w:hAnsi="宋体" w:cs="宋体"/>
                <w:b/>
                <w:sz w:val="24"/>
                <w:szCs w:val="24"/>
              </w:rPr>
            </w:pPr>
          </w:p>
        </w:tc>
        <w:tc>
          <w:tcPr>
            <w:tcW w:w="556" w:type="pct"/>
            <w:noWrap w:val="0"/>
            <w:vAlign w:val="top"/>
          </w:tcPr>
          <w:p>
            <w:pPr>
              <w:spacing w:line="360" w:lineRule="auto"/>
              <w:rPr>
                <w:rFonts w:hint="eastAsia" w:ascii="宋体" w:hAnsi="宋体" w:cs="宋体"/>
                <w:b/>
                <w:sz w:val="24"/>
                <w:szCs w:val="24"/>
              </w:rPr>
            </w:pPr>
          </w:p>
        </w:tc>
      </w:tr>
    </w:tbl>
    <w:p>
      <w:pPr>
        <w:spacing w:line="360" w:lineRule="auto"/>
        <w:ind w:firstLine="487" w:firstLineChars="202"/>
        <w:rPr>
          <w:rFonts w:hint="eastAsia" w:ascii="宋体" w:hAnsi="宋体" w:cs="宋体"/>
          <w:b/>
          <w:sz w:val="24"/>
          <w:szCs w:val="24"/>
        </w:rPr>
      </w:pPr>
    </w:p>
    <w:p>
      <w:pPr>
        <w:pStyle w:val="2"/>
        <w:rPr>
          <w:rFonts w:hint="eastAsia"/>
        </w:rPr>
      </w:pPr>
    </w:p>
    <w:p>
      <w:pPr>
        <w:spacing w:line="360" w:lineRule="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u w:val="single"/>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napToGrid w:val="0"/>
        <w:spacing w:before="50" w:after="156" w:afterLines="50"/>
        <w:jc w:val="left"/>
        <w:rPr>
          <w:rFonts w:hint="eastAsia" w:ascii="宋体" w:cs="宋体"/>
          <w:b/>
          <w:bCs/>
          <w:sz w:val="24"/>
          <w:szCs w:val="24"/>
        </w:rPr>
      </w:pPr>
    </w:p>
    <w:p>
      <w:pPr>
        <w:snapToGrid w:val="0"/>
        <w:spacing w:before="50" w:after="156" w:afterLines="50"/>
        <w:jc w:val="left"/>
        <w:rPr>
          <w:rFonts w:hint="default" w:ascii="宋体" w:eastAsia="宋体" w:cs="宋体"/>
          <w:b/>
          <w:bCs/>
          <w:sz w:val="24"/>
          <w:szCs w:val="24"/>
          <w:lang w:val="en-US" w:eastAsia="zh-CN"/>
        </w:rPr>
      </w:pPr>
      <w:r>
        <w:rPr>
          <w:rFonts w:hint="eastAsia" w:ascii="宋体" w:cs="宋体"/>
          <w:b/>
          <w:bCs/>
          <w:sz w:val="24"/>
          <w:szCs w:val="24"/>
          <w:lang w:val="en-US" w:eastAsia="zh-CN"/>
        </w:rPr>
        <w:br w:type="page"/>
      </w:r>
      <w:r>
        <w:rPr>
          <w:rFonts w:hint="eastAsia" w:ascii="宋体" w:cs="宋体"/>
          <w:b/>
          <w:bCs/>
          <w:sz w:val="24"/>
          <w:szCs w:val="24"/>
          <w:lang w:val="en-US" w:eastAsia="zh-CN"/>
        </w:rPr>
        <w:t>格式十、拟派项目团队</w:t>
      </w:r>
    </w:p>
    <w:tbl>
      <w:tblPr>
        <w:tblStyle w:val="25"/>
        <w:tblW w:w="0" w:type="auto"/>
        <w:jc w:val="center"/>
        <w:tblLayout w:type="fixed"/>
        <w:tblCellMar>
          <w:top w:w="57" w:type="dxa"/>
          <w:left w:w="57" w:type="dxa"/>
          <w:bottom w:w="57" w:type="dxa"/>
          <w:right w:w="57" w:type="dxa"/>
        </w:tblCellMar>
      </w:tblPr>
      <w:tblGrid>
        <w:gridCol w:w="589"/>
        <w:gridCol w:w="1303"/>
        <w:gridCol w:w="709"/>
        <w:gridCol w:w="850"/>
        <w:gridCol w:w="851"/>
        <w:gridCol w:w="992"/>
        <w:gridCol w:w="1134"/>
        <w:gridCol w:w="851"/>
        <w:gridCol w:w="1275"/>
        <w:gridCol w:w="1418"/>
      </w:tblGrid>
      <w:tr>
        <w:tblPrEx>
          <w:tblCellMar>
            <w:top w:w="57" w:type="dxa"/>
            <w:left w:w="57" w:type="dxa"/>
            <w:bottom w:w="57" w:type="dxa"/>
            <w:right w:w="57" w:type="dxa"/>
          </w:tblCellMar>
        </w:tblPrEx>
        <w:trPr>
          <w:cantSplit/>
          <w:trHeight w:val="529" w:hRule="atLeast"/>
          <w:jc w:val="center"/>
        </w:trPr>
        <w:tc>
          <w:tcPr>
            <w:tcW w:w="58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序号</w:t>
            </w:r>
          </w:p>
        </w:tc>
        <w:tc>
          <w:tcPr>
            <w:tcW w:w="130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姓 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性别</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年龄</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学 历</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证书</w:t>
            </w:r>
          </w:p>
          <w:p>
            <w:pPr>
              <w:spacing w:line="360" w:lineRule="auto"/>
              <w:jc w:val="center"/>
              <w:rPr>
                <w:rFonts w:ascii="宋体" w:hAnsi="宋体"/>
                <w:sz w:val="24"/>
                <w:szCs w:val="24"/>
              </w:rPr>
            </w:pPr>
            <w:r>
              <w:rPr>
                <w:rFonts w:hint="eastAsia" w:ascii="宋体" w:hAnsi="宋体"/>
                <w:sz w:val="24"/>
                <w:szCs w:val="24"/>
              </w:rPr>
              <w:t>名称</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证书编号</w:t>
            </w:r>
          </w:p>
        </w:tc>
        <w:tc>
          <w:tcPr>
            <w:tcW w:w="851"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职称</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拟任本项目职务</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sz w:val="24"/>
                <w:szCs w:val="24"/>
              </w:rPr>
            </w:pPr>
            <w:r>
              <w:rPr>
                <w:rFonts w:ascii="宋体" w:hAnsi="宋体"/>
                <w:sz w:val="24"/>
                <w:szCs w:val="24"/>
              </w:rPr>
              <w:t>备注</w:t>
            </w:r>
          </w:p>
        </w:tc>
      </w:tr>
      <w:tr>
        <w:tblPrEx>
          <w:tblCellMar>
            <w:top w:w="57" w:type="dxa"/>
            <w:left w:w="57" w:type="dxa"/>
            <w:bottom w:w="57" w:type="dxa"/>
            <w:right w:w="57" w:type="dxa"/>
          </w:tblCellMar>
        </w:tblPrEx>
        <w:trPr>
          <w:cantSplit/>
          <w:trHeight w:val="1022"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1</w:t>
            </w: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r>
      <w:tr>
        <w:tblPrEx>
          <w:tblCellMar>
            <w:top w:w="57" w:type="dxa"/>
            <w:left w:w="57" w:type="dxa"/>
            <w:bottom w:w="57" w:type="dxa"/>
            <w:right w:w="57" w:type="dxa"/>
          </w:tblCellMar>
        </w:tblPrEx>
        <w:trPr>
          <w:cantSplit/>
          <w:trHeight w:val="955"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2</w:t>
            </w: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r>
      <w:tr>
        <w:tblPrEx>
          <w:tblCellMar>
            <w:top w:w="57" w:type="dxa"/>
            <w:left w:w="57" w:type="dxa"/>
            <w:bottom w:w="57" w:type="dxa"/>
            <w:right w:w="57" w:type="dxa"/>
          </w:tblCellMar>
        </w:tblPrEx>
        <w:trPr>
          <w:cantSplit/>
          <w:trHeight w:val="1066"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3</w:t>
            </w: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r>
              <w:rPr>
                <w:rFonts w:hint="eastAsia" w:ascii="宋体" w:hAnsi="宋体"/>
                <w:sz w:val="24"/>
                <w:szCs w:val="24"/>
              </w:rPr>
              <w:t>......</w:t>
            </w: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360" w:lineRule="auto"/>
              <w:jc w:val="center"/>
              <w:rPr>
                <w:rFonts w:ascii="宋体" w:hAnsi="宋体"/>
                <w:sz w:val="24"/>
                <w:szCs w:val="24"/>
              </w:rPr>
            </w:pPr>
          </w:p>
        </w:tc>
      </w:tr>
    </w:tbl>
    <w:p>
      <w:pPr>
        <w:snapToGrid w:val="0"/>
        <w:spacing w:before="50" w:after="156" w:afterLines="50"/>
        <w:jc w:val="left"/>
        <w:rPr>
          <w:rFonts w:hint="eastAsia" w:ascii="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rPr>
          <w:rFonts w:hint="eastAsia" w:ascii="宋体" w:cs="宋体"/>
          <w:b/>
          <w:bCs/>
          <w:sz w:val="24"/>
          <w:szCs w:val="24"/>
        </w:rPr>
      </w:pPr>
      <w:r>
        <w:rPr>
          <w:rFonts w:hint="eastAsia" w:ascii="宋体" w:cs="宋体"/>
          <w:b/>
          <w:bCs/>
          <w:sz w:val="24"/>
          <w:szCs w:val="24"/>
          <w:lang w:val="en-US" w:eastAsia="zh-CN"/>
        </w:rPr>
        <w:t>注</w:t>
      </w:r>
      <w:r>
        <w:rPr>
          <w:rFonts w:hint="eastAsia" w:ascii="宋体" w:cs="宋体"/>
          <w:b/>
          <w:bCs/>
          <w:sz w:val="24"/>
          <w:szCs w:val="24"/>
        </w:rPr>
        <w:t>：1</w:t>
      </w:r>
      <w:r>
        <w:rPr>
          <w:rFonts w:hint="eastAsia" w:ascii="宋体" w:cs="宋体"/>
          <w:b/>
          <w:bCs/>
          <w:sz w:val="24"/>
          <w:szCs w:val="24"/>
          <w:lang w:eastAsia="zh-CN"/>
        </w:rPr>
        <w:t>、</w:t>
      </w:r>
      <w:r>
        <w:rPr>
          <w:rFonts w:hint="eastAsia" w:ascii="宋体" w:cs="宋体"/>
          <w:b/>
          <w:bCs/>
          <w:sz w:val="24"/>
          <w:szCs w:val="24"/>
        </w:rPr>
        <w:t>在填写时，如本表格不适合投标单位的实际情况，可根据本表格式自行划表填写。</w:t>
      </w:r>
    </w:p>
    <w:p>
      <w:pPr>
        <w:keepNext w:val="0"/>
        <w:keepLines w:val="0"/>
        <w:pageBreakBefore w:val="0"/>
        <w:widowControl w:val="0"/>
        <w:kinsoku/>
        <w:wordWrap/>
        <w:overflowPunct/>
        <w:topLinePunct w:val="0"/>
        <w:autoSpaceDE/>
        <w:autoSpaceDN/>
        <w:bidi w:val="0"/>
        <w:adjustRightInd/>
        <w:snapToGrid w:val="0"/>
        <w:spacing w:line="480" w:lineRule="auto"/>
        <w:ind w:firstLine="482" w:firstLineChars="200"/>
        <w:jc w:val="both"/>
        <w:textAlignment w:val="auto"/>
        <w:rPr>
          <w:rFonts w:hint="eastAsia" w:ascii="宋体" w:cs="宋体"/>
          <w:b/>
          <w:bCs/>
          <w:sz w:val="24"/>
          <w:szCs w:val="24"/>
        </w:rPr>
      </w:pPr>
      <w:r>
        <w:rPr>
          <w:rFonts w:hint="eastAsia" w:ascii="宋体" w:cs="宋体"/>
          <w:b/>
          <w:bCs/>
          <w:sz w:val="24"/>
          <w:szCs w:val="24"/>
        </w:rPr>
        <w:t>2</w:t>
      </w:r>
      <w:r>
        <w:rPr>
          <w:rFonts w:hint="eastAsia" w:ascii="宋体" w:cs="宋体"/>
          <w:b/>
          <w:bCs/>
          <w:sz w:val="24"/>
          <w:szCs w:val="24"/>
          <w:lang w:eastAsia="zh-CN"/>
        </w:rPr>
        <w:t>、</w:t>
      </w:r>
      <w:r>
        <w:rPr>
          <w:rFonts w:hint="eastAsia" w:ascii="宋体" w:cs="宋体"/>
          <w:b/>
          <w:bCs/>
          <w:sz w:val="24"/>
          <w:szCs w:val="24"/>
        </w:rPr>
        <w:t>需附人员学历证书、专业证书、职称证书、投标人为其缴纳的社保证明等相关证明材料扫描件。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u w:val="single"/>
        </w:rPr>
      </w:pPr>
      <w:r>
        <w:rPr>
          <w:rFonts w:hint="eastAsia" w:ascii="宋体" w:hAnsi="宋体" w:cs="宋体"/>
          <w:sz w:val="24"/>
          <w:szCs w:val="24"/>
        </w:rPr>
        <w:t>投标人名称：</w:t>
      </w:r>
      <w:r>
        <w:rPr>
          <w:rFonts w:hint="eastAsia" w:ascii="宋体" w:hAnsi="宋体" w:cs="宋体"/>
          <w:b/>
          <w:spacing w:val="20"/>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pacing w:val="-4"/>
          <w:sz w:val="24"/>
          <w:szCs w:val="24"/>
        </w:rPr>
        <w:t>投标人代表</w:t>
      </w:r>
      <w:r>
        <w:rPr>
          <w:rFonts w:hint="eastAsia" w:ascii="宋体" w:hAnsi="宋体" w:cs="宋体"/>
          <w:sz w:val="24"/>
          <w:szCs w:val="24"/>
        </w:rPr>
        <w:t>：</w:t>
      </w:r>
      <w:r>
        <w:rPr>
          <w:rFonts w:hint="eastAsia" w:ascii="宋体" w:hAnsi="宋体" w:cs="宋体"/>
          <w:b/>
          <w:spacing w:val="20"/>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pacing w:val="20"/>
          <w:sz w:val="24"/>
          <w:szCs w:val="24"/>
        </w:rPr>
        <w:t>日期：</w:t>
      </w:r>
      <w:r>
        <w:rPr>
          <w:rFonts w:hint="eastAsia" w:ascii="宋体" w:hAnsi="宋体" w:cs="宋体"/>
          <w:spacing w:val="20"/>
          <w:sz w:val="24"/>
          <w:szCs w:val="24"/>
          <w:u w:val="single"/>
        </w:rPr>
        <w:t xml:space="preserve">    </w:t>
      </w:r>
      <w:r>
        <w:rPr>
          <w:rFonts w:hint="eastAsia" w:ascii="宋体" w:hAnsi="宋体" w:cs="宋体"/>
          <w:spacing w:val="20"/>
          <w:sz w:val="24"/>
          <w:szCs w:val="24"/>
        </w:rPr>
        <w:t>年</w:t>
      </w:r>
      <w:r>
        <w:rPr>
          <w:rFonts w:hint="eastAsia" w:ascii="宋体" w:hAnsi="宋体" w:cs="宋体"/>
          <w:spacing w:val="20"/>
          <w:sz w:val="24"/>
          <w:szCs w:val="24"/>
          <w:u w:val="single"/>
        </w:rPr>
        <w:t xml:space="preserve">   </w:t>
      </w:r>
      <w:r>
        <w:rPr>
          <w:rFonts w:hint="eastAsia" w:ascii="宋体" w:hAnsi="宋体" w:cs="宋体"/>
          <w:spacing w:val="20"/>
          <w:sz w:val="24"/>
          <w:szCs w:val="24"/>
        </w:rPr>
        <w:t>月</w:t>
      </w:r>
      <w:r>
        <w:rPr>
          <w:rFonts w:hint="eastAsia" w:ascii="宋体" w:hAnsi="宋体" w:cs="宋体"/>
          <w:spacing w:val="20"/>
          <w:sz w:val="24"/>
          <w:szCs w:val="24"/>
          <w:u w:val="single"/>
        </w:rPr>
        <w:t xml:space="preserve">   </w:t>
      </w:r>
      <w:r>
        <w:rPr>
          <w:rFonts w:hint="eastAsia" w:ascii="宋体" w:hAnsi="宋体" w:cs="宋体"/>
          <w:spacing w:val="20"/>
          <w:sz w:val="24"/>
          <w:szCs w:val="24"/>
        </w:rPr>
        <w:t>日</w:t>
      </w:r>
    </w:p>
    <w:p>
      <w:pPr>
        <w:snapToGrid w:val="0"/>
        <w:spacing w:before="50" w:after="156" w:afterLines="50"/>
        <w:jc w:val="left"/>
        <w:rPr>
          <w:rFonts w:hint="eastAsia" w:ascii="宋体" w:hAnsi="宋体"/>
          <w:b/>
          <w:sz w:val="24"/>
          <w:szCs w:val="24"/>
        </w:rPr>
      </w:pPr>
      <w:r>
        <w:rPr>
          <w:rFonts w:hint="eastAsia" w:ascii="宋体" w:cs="宋体"/>
          <w:b/>
          <w:bCs/>
          <w:sz w:val="24"/>
          <w:szCs w:val="24"/>
          <w:lang w:val="en-US" w:eastAsia="zh-CN"/>
        </w:rPr>
        <w:br w:type="page"/>
      </w:r>
      <w:r>
        <w:rPr>
          <w:rFonts w:hint="eastAsia" w:ascii="宋体" w:cs="宋体"/>
          <w:b/>
          <w:bCs/>
          <w:sz w:val="24"/>
          <w:szCs w:val="24"/>
          <w:lang w:val="en-US" w:eastAsia="zh-CN"/>
        </w:rPr>
        <w:t>格式十一：</w:t>
      </w:r>
      <w:r>
        <w:rPr>
          <w:rFonts w:hint="eastAsia" w:ascii="宋体" w:hAnsi="宋体"/>
          <w:b/>
          <w:sz w:val="24"/>
          <w:szCs w:val="24"/>
        </w:rPr>
        <w:t>投标人</w:t>
      </w:r>
      <w:r>
        <w:rPr>
          <w:rFonts w:hint="eastAsia" w:ascii="宋体" w:hAnsi="宋体"/>
          <w:b/>
          <w:sz w:val="24"/>
          <w:szCs w:val="24"/>
          <w:lang w:val="en-US" w:eastAsia="zh-CN"/>
        </w:rPr>
        <w:t>商务技术</w:t>
      </w:r>
      <w:r>
        <w:rPr>
          <w:rFonts w:hint="eastAsia" w:ascii="宋体" w:hAnsi="宋体"/>
          <w:b/>
          <w:sz w:val="24"/>
          <w:szCs w:val="24"/>
        </w:rPr>
        <w:t>承诺书</w:t>
      </w:r>
    </w:p>
    <w:p>
      <w:pPr>
        <w:pStyle w:val="6"/>
        <w:jc w:val="center"/>
        <w:rPr>
          <w:rFonts w:ascii="宋体" w:hAnsi="宋体" w:eastAsia="宋体"/>
          <w:lang w:val="zh-CN"/>
        </w:rPr>
      </w:pPr>
      <w:r>
        <w:rPr>
          <w:rFonts w:hint="eastAsia" w:ascii="宋体" w:hAnsi="宋体" w:eastAsia="宋体"/>
          <w:lang w:val="zh-CN"/>
        </w:rPr>
        <w:t>投标人</w:t>
      </w:r>
      <w:r>
        <w:rPr>
          <w:rFonts w:hint="eastAsia" w:ascii="宋体" w:hAnsi="宋体" w:eastAsia="宋体" w:cs="宋体"/>
          <w:szCs w:val="21"/>
          <w:lang w:val="en-US" w:eastAsia="zh-CN"/>
        </w:rPr>
        <w:t>商务技术</w:t>
      </w:r>
      <w:r>
        <w:rPr>
          <w:rFonts w:hint="eastAsia" w:ascii="宋体" w:hAnsi="宋体" w:eastAsia="宋体" w:cs="宋体"/>
          <w:szCs w:val="21"/>
        </w:rPr>
        <w:t>承诺书</w:t>
      </w:r>
    </w:p>
    <w:p>
      <w:pPr>
        <w:rPr>
          <w:rFonts w:ascii="宋体" w:hAnsi="宋体"/>
          <w:lang w:val="zh-CN"/>
        </w:rPr>
      </w:pPr>
    </w:p>
    <w:p>
      <w:pPr>
        <w:pStyle w:val="6"/>
        <w:spacing w:before="0" w:after="0" w:line="480" w:lineRule="auto"/>
        <w:rPr>
          <w:rFonts w:ascii="宋体" w:hAnsi="宋体" w:eastAsia="宋体"/>
          <w:b w:val="0"/>
          <w:bCs/>
          <w:sz w:val="24"/>
          <w:szCs w:val="24"/>
        </w:rPr>
      </w:pPr>
      <w:r>
        <w:rPr>
          <w:rFonts w:hint="eastAsia" w:ascii="宋体" w:hAnsi="宋体" w:eastAsia="宋体"/>
          <w:b w:val="0"/>
          <w:bCs/>
          <w:sz w:val="24"/>
          <w:szCs w:val="24"/>
        </w:rPr>
        <w:t>致：岱山县大数据管理中心</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根据全省数字化改革的要求，结合岱山县城市大脑的标准进行本项目建设，</w:t>
      </w:r>
      <w:r>
        <w:rPr>
          <w:rFonts w:hint="eastAsia" w:ascii="宋体" w:hAnsi="宋体" w:eastAsia="宋体" w:cs="宋体"/>
          <w:sz w:val="24"/>
          <w:szCs w:val="24"/>
          <w:lang w:val="en-US" w:eastAsia="zh-CN"/>
        </w:rPr>
        <w:t>我单位</w:t>
      </w:r>
      <w:r>
        <w:rPr>
          <w:rFonts w:hint="eastAsia" w:ascii="宋体" w:hAnsi="宋体" w:eastAsia="宋体" w:cs="宋体"/>
          <w:sz w:val="24"/>
          <w:szCs w:val="24"/>
          <w:lang w:val="zh-CN" w:eastAsia="zh-CN"/>
        </w:rPr>
        <w:t>承诺，一但出现与要求和标准相违背的内容，作</w:t>
      </w:r>
      <w:r>
        <w:rPr>
          <w:rFonts w:hint="eastAsia" w:ascii="宋体" w:hAnsi="宋体" w:eastAsia="宋体" w:cs="宋体"/>
          <w:sz w:val="24"/>
          <w:szCs w:val="24"/>
          <w:lang w:val="en-US" w:eastAsia="zh-CN"/>
        </w:rPr>
        <w:t>无效投标</w:t>
      </w:r>
      <w:r>
        <w:rPr>
          <w:rFonts w:hint="eastAsia" w:ascii="宋体" w:hAnsi="宋体" w:eastAsia="宋体" w:cs="宋体"/>
          <w:sz w:val="24"/>
          <w:szCs w:val="24"/>
          <w:lang w:val="zh-CN" w:eastAsia="zh-CN"/>
        </w:rPr>
        <w:t>处理，造成损失由</w:t>
      </w:r>
      <w:r>
        <w:rPr>
          <w:rFonts w:hint="eastAsia" w:ascii="宋体" w:hAnsi="宋体" w:eastAsia="宋体" w:cs="宋体"/>
          <w:sz w:val="24"/>
          <w:szCs w:val="24"/>
          <w:lang w:val="en-US" w:eastAsia="zh-CN"/>
        </w:rPr>
        <w:t>我单位</w:t>
      </w:r>
      <w:r>
        <w:rPr>
          <w:rFonts w:hint="eastAsia" w:ascii="宋体" w:hAnsi="宋体" w:eastAsia="宋体" w:cs="宋体"/>
          <w:sz w:val="24"/>
          <w:szCs w:val="24"/>
          <w:lang w:val="zh-CN" w:eastAsia="zh-CN"/>
        </w:rPr>
        <w:t>全权承担；</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我单位承诺</w:t>
      </w:r>
      <w:r>
        <w:rPr>
          <w:rFonts w:hint="eastAsia" w:ascii="宋体" w:hAnsi="宋体" w:eastAsia="宋体" w:cs="宋体"/>
          <w:sz w:val="24"/>
          <w:szCs w:val="24"/>
          <w:lang w:val="zh-CN" w:eastAsia="zh-CN"/>
        </w:rPr>
        <w:t>与岱山县城市大脑-数字治理大联动平台</w:t>
      </w:r>
      <w:r>
        <w:rPr>
          <w:rFonts w:hint="eastAsia" w:ascii="宋体" w:hAnsi="宋体" w:eastAsia="宋体" w:cs="宋体"/>
          <w:sz w:val="24"/>
          <w:szCs w:val="24"/>
          <w:lang w:val="en-US" w:eastAsia="zh-CN"/>
        </w:rPr>
        <w:t>实现无缝对接；</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sz w:val="24"/>
          <w:szCs w:val="24"/>
          <w:lang w:val="en-US" w:eastAsia="zh-CN"/>
        </w:rPr>
        <w:t>我单位承诺</w:t>
      </w:r>
      <w:r>
        <w:rPr>
          <w:rFonts w:hint="eastAsia" w:ascii="宋体" w:hAnsi="宋体" w:eastAsia="宋体" w:cs="宋体"/>
          <w:b w:val="0"/>
          <w:bCs w:val="0"/>
          <w:color w:val="000000"/>
          <w:sz w:val="24"/>
          <w:szCs w:val="24"/>
          <w:lang w:val="en-US" w:eastAsia="zh-CN"/>
        </w:rPr>
        <w:t>与</w:t>
      </w:r>
      <w:r>
        <w:rPr>
          <w:rFonts w:hint="eastAsia" w:ascii="宋体" w:hAnsi="宋体" w:eastAsia="宋体" w:cs="宋体"/>
          <w:b w:val="0"/>
          <w:bCs w:val="0"/>
          <w:color w:val="000000"/>
          <w:sz w:val="24"/>
          <w:szCs w:val="24"/>
        </w:rPr>
        <w:t>岱山县城市大脑-智能物联感知平台标准SDK接口</w:t>
      </w:r>
      <w:r>
        <w:rPr>
          <w:rFonts w:hint="eastAsia" w:ascii="宋体" w:hAnsi="宋体" w:eastAsia="宋体" w:cs="宋体"/>
          <w:b w:val="0"/>
          <w:bCs w:val="0"/>
          <w:color w:val="000000"/>
          <w:sz w:val="24"/>
          <w:szCs w:val="24"/>
          <w:lang w:val="en-US" w:eastAsia="zh-CN"/>
        </w:rPr>
        <w:t>实现无缝对接</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包括资源同步、组织同步</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我单位承诺岱山县城市大脑的县级自建组件-GIS公共服务平台实现无缝对接；</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我单位承诺</w:t>
      </w:r>
      <w:r>
        <w:rPr>
          <w:rFonts w:hint="eastAsia" w:ascii="宋体" w:hAnsi="宋体" w:eastAsia="宋体" w:cs="宋体"/>
          <w:b w:val="0"/>
          <w:bCs w:val="0"/>
          <w:color w:val="000000"/>
          <w:sz w:val="24"/>
          <w:szCs w:val="24"/>
          <w:lang w:val="en-US" w:eastAsia="zh-CN"/>
        </w:rPr>
        <w:t>与岱山县一体化智能化公共数据平台的</w:t>
      </w:r>
      <w:r>
        <w:rPr>
          <w:rFonts w:hint="eastAsia" w:ascii="宋体" w:hAnsi="宋体" w:eastAsia="宋体" w:cs="宋体"/>
          <w:b w:val="0"/>
          <w:bCs w:val="0"/>
          <w:kern w:val="2"/>
          <w:sz w:val="24"/>
          <w:szCs w:val="24"/>
          <w:lang w:val="en-US" w:eastAsia="zh-CN" w:bidi="ar-SA"/>
        </w:rPr>
        <w:t>数据（包含省市回流数据和本地已归集的数据）</w:t>
      </w:r>
      <w:r>
        <w:rPr>
          <w:rFonts w:hint="eastAsia" w:ascii="宋体" w:hAnsi="宋体" w:eastAsia="宋体" w:cs="宋体"/>
          <w:b w:val="0"/>
          <w:bCs w:val="0"/>
          <w:color w:val="000000"/>
          <w:sz w:val="24"/>
          <w:szCs w:val="24"/>
          <w:lang w:val="en-US" w:eastAsia="zh-CN"/>
        </w:rPr>
        <w:t>实现无缝对接；</w:t>
      </w:r>
    </w:p>
    <w:p>
      <w:pPr>
        <w:keepNext w:val="0"/>
        <w:keepLines w:val="0"/>
        <w:pageBreakBefore w:val="0"/>
        <w:widowControl w:val="0"/>
        <w:numPr>
          <w:ilvl w:val="0"/>
          <w:numId w:val="46"/>
        </w:numPr>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val="0"/>
        <w:autoSpaceDN w:val="0"/>
        <w:bidi w:val="0"/>
        <w:adjustRightInd w:val="0"/>
        <w:snapToGrid/>
        <w:spacing w:line="360" w:lineRule="auto"/>
        <w:ind w:firstLine="480" w:firstLineChars="200"/>
        <w:jc w:val="left"/>
        <w:textAlignment w:val="auto"/>
        <w:rPr>
          <w:rFonts w:hint="eastAsia"/>
          <w:lang w:val="en-US" w:eastAsia="zh-CN"/>
        </w:rPr>
      </w:pPr>
      <w:r>
        <w:rPr>
          <w:rFonts w:hint="eastAsia" w:ascii="宋体" w:hAnsi="宋体" w:eastAsia="宋体" w:cs="宋体"/>
          <w:b w:val="0"/>
          <w:bCs w:val="0"/>
          <w:color w:val="000000"/>
          <w:sz w:val="24"/>
          <w:szCs w:val="24"/>
          <w:lang w:val="en-US" w:eastAsia="zh-CN"/>
        </w:rPr>
        <w:t>我方承诺</w:t>
      </w:r>
      <w:r>
        <w:rPr>
          <w:rFonts w:hint="eastAsia"/>
          <w:sz w:val="24"/>
          <w:szCs w:val="24"/>
          <w:lang w:val="en-US" w:eastAsia="zh-CN"/>
        </w:rPr>
        <w:t>在舟山市政务云二级节点进行管理云平台的申请、部署，以及相关网络安全的部署工作。</w:t>
      </w:r>
    </w:p>
    <w:p>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pacing w:line="360" w:lineRule="auto"/>
        <w:jc w:val="left"/>
        <w:rPr>
          <w:rFonts w:ascii="宋体" w:hAnsi="宋体" w:cs="仿宋_GB2312"/>
          <w:sz w:val="24"/>
          <w:szCs w:val="24"/>
          <w:lang w:val="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（加盖公章）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z w:val="24"/>
          <w:szCs w:val="24"/>
        </w:rPr>
        <w:t>投标人代表：</w:t>
      </w:r>
      <w:r>
        <w:rPr>
          <w:rFonts w:hint="eastAsia" w:ascii="宋体" w:hAnsi="宋体" w:cs="宋体"/>
          <w:sz w:val="24"/>
          <w:szCs w:val="24"/>
          <w:u w:val="single"/>
        </w:rPr>
        <w:t xml:space="preserve">                </w:t>
      </w:r>
      <w:r>
        <w:rPr>
          <w:rFonts w:hint="eastAsia" w:ascii="宋体" w:hAnsi="宋体" w:cs="宋体"/>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napToGrid w:val="0"/>
        <w:spacing w:before="50" w:after="156" w:afterLines="50"/>
        <w:jc w:val="left"/>
        <w:rPr>
          <w:rFonts w:hint="eastAsia" w:ascii="宋体" w:cs="宋体"/>
          <w:b/>
          <w:bCs/>
          <w:sz w:val="24"/>
          <w:szCs w:val="24"/>
        </w:rPr>
      </w:pPr>
      <w:r>
        <w:rPr>
          <w:rFonts w:hint="eastAsia" w:ascii="宋体" w:cs="宋体"/>
          <w:b/>
          <w:bCs/>
          <w:sz w:val="24"/>
          <w:szCs w:val="24"/>
        </w:rPr>
        <w:br w:type="page"/>
      </w:r>
      <w:r>
        <w:rPr>
          <w:rFonts w:hint="eastAsia" w:ascii="宋体" w:cs="宋体"/>
          <w:b/>
          <w:bCs/>
          <w:sz w:val="24"/>
          <w:szCs w:val="24"/>
        </w:rPr>
        <w:t>格式十</w:t>
      </w:r>
      <w:r>
        <w:rPr>
          <w:rFonts w:hint="eastAsia" w:ascii="宋体" w:cs="宋体"/>
          <w:b/>
          <w:bCs/>
          <w:sz w:val="24"/>
          <w:szCs w:val="24"/>
          <w:lang w:val="en-US" w:eastAsia="zh-CN"/>
        </w:rPr>
        <w:t>二</w:t>
      </w:r>
      <w:r>
        <w:rPr>
          <w:rFonts w:hint="eastAsia" w:ascii="宋体" w:cs="宋体"/>
          <w:b/>
          <w:bCs/>
          <w:sz w:val="24"/>
          <w:szCs w:val="24"/>
        </w:rPr>
        <w:t>、质疑函（范本）</w:t>
      </w:r>
    </w:p>
    <w:p>
      <w:pPr>
        <w:spacing w:line="360" w:lineRule="auto"/>
        <w:jc w:val="center"/>
        <w:rPr>
          <w:rFonts w:ascii="宋体" w:hAnsi="宋体"/>
          <w:sz w:val="24"/>
          <w:szCs w:val="24"/>
        </w:rPr>
      </w:pPr>
      <w:r>
        <w:rPr>
          <w:rFonts w:hint="eastAsia" w:ascii="宋体" w:hAnsi="宋体"/>
          <w:sz w:val="24"/>
          <w:szCs w:val="24"/>
        </w:rPr>
        <w:t>质疑函（范本）</w:t>
      </w:r>
    </w:p>
    <w:p>
      <w:pPr>
        <w:widowControl/>
        <w:spacing w:before="100" w:beforeAutospacing="1" w:after="100" w:afterAutospacing="1" w:line="276"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质疑供应商：</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地址：</w:t>
      </w:r>
      <w:r>
        <w:rPr>
          <w:rFonts w:hint="eastAsia" w:ascii="宋体" w:hAnsi="宋体" w:cs="Calibri"/>
          <w:kern w:val="0"/>
          <w:sz w:val="24"/>
          <w:szCs w:val="24"/>
          <w:u w:val="single"/>
          <w:shd w:val="clear" w:color="auto" w:fill="FFFFFF"/>
          <w:lang w:bidi="ar"/>
        </w:rPr>
        <w:t xml:space="preserve">                                                             </w:t>
      </w:r>
      <w:r>
        <w:rPr>
          <w:rFonts w:hint="eastAsia" w:ascii="宋体" w:hAnsi="宋体" w:cs="仿宋"/>
          <w:kern w:val="0"/>
          <w:sz w:val="24"/>
          <w:szCs w:val="24"/>
          <w:shd w:val="clear" w:color="auto" w:fill="FFFFFF"/>
          <w:lang w:bidi="ar"/>
        </w:rPr>
        <w:t>邮编：</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 w:val="24"/>
          <w:szCs w:val="24"/>
          <w:u w:val="single"/>
          <w:shd w:val="clear" w:color="auto" w:fill="FFFFFF"/>
          <w:lang w:bidi="ar"/>
        </w:rPr>
      </w:pPr>
      <w:r>
        <w:rPr>
          <w:rFonts w:hint="eastAsia" w:ascii="宋体" w:hAnsi="宋体" w:cs="仿宋"/>
          <w:kern w:val="0"/>
          <w:sz w:val="24"/>
          <w:szCs w:val="24"/>
          <w:shd w:val="clear" w:color="auto" w:fill="FFFFFF"/>
          <w:lang w:bidi="ar"/>
        </w:rPr>
        <w:t>联系人：</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联系电话：</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 w:val="24"/>
          <w:szCs w:val="24"/>
          <w:u w:val="single"/>
          <w:shd w:val="clear" w:color="auto" w:fill="FFFFFF"/>
          <w:lang w:bidi="ar"/>
        </w:rPr>
      </w:pPr>
      <w:r>
        <w:rPr>
          <w:rFonts w:hint="eastAsia" w:ascii="宋体" w:hAnsi="宋体" w:cs="仿宋"/>
          <w:kern w:val="0"/>
          <w:sz w:val="24"/>
          <w:szCs w:val="24"/>
          <w:shd w:val="clear" w:color="auto" w:fill="FFFFFF"/>
          <w:lang w:bidi="ar"/>
        </w:rPr>
        <w:t>授权代表：</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联系电话：</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地址：</w:t>
      </w:r>
      <w:r>
        <w:rPr>
          <w:rFonts w:hint="eastAsia" w:ascii="宋体" w:hAnsi="宋体" w:cs="Calibri"/>
          <w:kern w:val="0"/>
          <w:sz w:val="24"/>
          <w:szCs w:val="24"/>
          <w:u w:val="single"/>
          <w:shd w:val="clear" w:color="auto" w:fill="FFFFFF"/>
          <w:lang w:bidi="ar"/>
        </w:rPr>
        <w:t xml:space="preserve">                                                             </w:t>
      </w:r>
      <w:r>
        <w:rPr>
          <w:rFonts w:hint="eastAsia" w:ascii="宋体" w:hAnsi="宋体" w:cs="仿宋"/>
          <w:kern w:val="0"/>
          <w:sz w:val="24"/>
          <w:szCs w:val="24"/>
          <w:shd w:val="clear" w:color="auto" w:fill="FFFFFF"/>
          <w:lang w:bidi="ar"/>
        </w:rPr>
        <w:t>邮编：</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黑体"/>
          <w:kern w:val="0"/>
          <w:sz w:val="24"/>
          <w:szCs w:val="24"/>
          <w:shd w:val="clear" w:color="auto" w:fill="FFFFFF"/>
          <w:lang w:bidi="ar"/>
        </w:rPr>
      </w:pPr>
    </w:p>
    <w:p>
      <w:pPr>
        <w:widowControl/>
        <w:spacing w:before="100" w:beforeAutospacing="1" w:after="100" w:afterAutospacing="1" w:line="360" w:lineRule="auto"/>
        <w:jc w:val="left"/>
        <w:rPr>
          <w:rFonts w:hint="eastAsia" w:ascii="宋体" w:hAnsi="宋体" w:cs="宋体"/>
          <w:sz w:val="24"/>
          <w:szCs w:val="24"/>
        </w:rPr>
      </w:pPr>
      <w:r>
        <w:rPr>
          <w:rFonts w:ascii="宋体" w:hAnsi="宋体" w:cs="黑体"/>
          <w:kern w:val="0"/>
          <w:sz w:val="24"/>
          <w:szCs w:val="24"/>
          <w:shd w:val="clear" w:color="auto" w:fill="FFFFFF"/>
          <w:lang w:bidi="ar"/>
        </w:rPr>
        <w:t>二、质疑项目基本情况</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质疑项目的名称：</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质疑项目的编号：</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采购人名称：</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采购文件获取日期：</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黑体"/>
          <w:kern w:val="0"/>
          <w:sz w:val="24"/>
          <w:szCs w:val="24"/>
          <w:shd w:val="clear" w:color="auto" w:fill="FFFFFF"/>
          <w:lang w:bidi="ar"/>
        </w:rPr>
        <w:t>三、质疑事项具体内容</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质疑事项1：</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事实依据：</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法律依据：</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质疑事项2</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仿宋"/>
          <w:kern w:val="0"/>
          <w:sz w:val="24"/>
          <w:szCs w:val="24"/>
          <w:shd w:val="clear" w:color="auto" w:fill="FFFFFF"/>
          <w:lang w:bidi="ar"/>
        </w:rPr>
        <w:t>……</w:t>
      </w: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黑体"/>
          <w:kern w:val="0"/>
          <w:sz w:val="24"/>
          <w:szCs w:val="24"/>
          <w:shd w:val="clear" w:color="auto" w:fill="FFFFFF"/>
          <w:lang w:bidi="ar"/>
        </w:rPr>
        <w:t>四、与质疑事项相关的质疑请求</w:t>
      </w:r>
    </w:p>
    <w:p>
      <w:pPr>
        <w:widowControl/>
        <w:spacing w:before="100" w:beforeAutospacing="1" w:after="100" w:afterAutospacing="1" w:line="360" w:lineRule="auto"/>
        <w:jc w:val="left"/>
        <w:rPr>
          <w:rFonts w:hint="eastAsia" w:ascii="宋体" w:hAnsi="宋体" w:cs="Calibri"/>
          <w:kern w:val="0"/>
          <w:sz w:val="24"/>
          <w:szCs w:val="24"/>
          <w:u w:val="single"/>
          <w:shd w:val="clear" w:color="auto" w:fill="FFFFFF"/>
          <w:lang w:bidi="ar"/>
        </w:rPr>
      </w:pPr>
      <w:r>
        <w:rPr>
          <w:rFonts w:hint="eastAsia" w:ascii="宋体" w:hAnsi="宋体" w:cs="仿宋"/>
          <w:kern w:val="0"/>
          <w:sz w:val="24"/>
          <w:szCs w:val="24"/>
          <w:shd w:val="clear" w:color="auto" w:fill="FFFFFF"/>
          <w:lang w:bidi="ar"/>
        </w:rPr>
        <w:t>请求：</w:t>
      </w:r>
      <w:r>
        <w:rPr>
          <w:rFonts w:hint="eastAsia" w:ascii="宋体" w:hAnsi="宋体" w:cs="Calibri"/>
          <w:kern w:val="0"/>
          <w:sz w:val="24"/>
          <w:szCs w:val="24"/>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 w:val="24"/>
          <w:szCs w:val="24"/>
        </w:rPr>
      </w:pPr>
    </w:p>
    <w:p>
      <w:pPr>
        <w:widowControl/>
        <w:spacing w:before="100" w:beforeAutospacing="1" w:after="100" w:afterAutospacing="1" w:line="360" w:lineRule="auto"/>
        <w:jc w:val="left"/>
        <w:rPr>
          <w:rFonts w:ascii="宋体" w:hAnsi="宋体" w:cs="仿宋_GB2312"/>
          <w:kern w:val="0"/>
          <w:sz w:val="24"/>
          <w:szCs w:val="24"/>
          <w:shd w:val="clear" w:color="auto" w:fill="FFFFFF"/>
          <w:lang w:bidi="ar"/>
        </w:rPr>
      </w:pPr>
      <w:r>
        <w:rPr>
          <w:rFonts w:ascii="宋体" w:hAnsi="宋体" w:cs="仿宋_GB2312"/>
          <w:kern w:val="0"/>
          <w:sz w:val="24"/>
          <w:szCs w:val="24"/>
          <w:shd w:val="clear" w:color="auto" w:fill="FFFFFF"/>
          <w:lang w:bidi="ar"/>
        </w:rPr>
        <w:t>签字(签章)：</w:t>
      </w:r>
    </w:p>
    <w:p>
      <w:pPr>
        <w:widowControl/>
        <w:spacing w:before="100" w:beforeAutospacing="1" w:after="100" w:afterAutospacing="1" w:line="360" w:lineRule="auto"/>
        <w:jc w:val="left"/>
        <w:rPr>
          <w:rFonts w:hint="eastAsia" w:ascii="宋体" w:hAnsi="宋体" w:cs="宋体"/>
          <w:sz w:val="24"/>
          <w:szCs w:val="24"/>
        </w:rPr>
      </w:pPr>
      <w:r>
        <w:rPr>
          <w:rFonts w:ascii="宋体" w:hAnsi="宋体" w:cs="仿宋_GB2312"/>
          <w:kern w:val="0"/>
          <w:sz w:val="24"/>
          <w:szCs w:val="24"/>
          <w:shd w:val="clear" w:color="auto" w:fill="FFFFFF"/>
          <w:lang w:bidi="ar"/>
        </w:rPr>
        <w:t>公章：</w:t>
      </w:r>
    </w:p>
    <w:p>
      <w:pPr>
        <w:widowControl/>
        <w:spacing w:before="100" w:beforeAutospacing="1" w:after="100" w:afterAutospacing="1" w:line="360" w:lineRule="auto"/>
        <w:jc w:val="left"/>
        <w:rPr>
          <w:rFonts w:hint="eastAsia" w:ascii="宋体" w:hAnsi="宋体" w:cs="Calibri"/>
          <w:kern w:val="0"/>
          <w:sz w:val="24"/>
          <w:szCs w:val="24"/>
          <w:shd w:val="clear" w:color="auto" w:fill="FFFFFF"/>
          <w:lang w:bidi="ar"/>
        </w:rPr>
      </w:pPr>
      <w:r>
        <w:rPr>
          <w:rFonts w:ascii="宋体" w:hAnsi="宋体" w:cs="仿宋_GB2312"/>
          <w:kern w:val="0"/>
          <w:sz w:val="24"/>
          <w:szCs w:val="24"/>
          <w:shd w:val="clear" w:color="auto" w:fill="FFFFFF"/>
          <w:lang w:bidi="ar"/>
        </w:rPr>
        <w:t>日期：</w:t>
      </w:r>
    </w:p>
    <w:p>
      <w:pPr>
        <w:widowControl/>
        <w:spacing w:before="100" w:beforeAutospacing="1" w:after="100" w:afterAutospacing="1" w:line="360" w:lineRule="auto"/>
        <w:jc w:val="left"/>
        <w:rPr>
          <w:rFonts w:hint="eastAsia" w:ascii="宋体" w:hAnsi="宋体" w:cs="宋体"/>
          <w:sz w:val="24"/>
          <w:szCs w:val="24"/>
        </w:rPr>
      </w:pPr>
    </w:p>
    <w:p>
      <w:pPr>
        <w:widowControl/>
        <w:spacing w:before="100" w:beforeAutospacing="1" w:after="100" w:afterAutospacing="1" w:line="360" w:lineRule="auto"/>
        <w:jc w:val="left"/>
        <w:rPr>
          <w:rFonts w:hint="eastAsia" w:ascii="宋体" w:hAnsi="宋体" w:cs="宋体"/>
          <w:sz w:val="24"/>
          <w:szCs w:val="24"/>
        </w:rPr>
      </w:pPr>
      <w:r>
        <w:rPr>
          <w:rFonts w:hint="eastAsia" w:ascii="宋体" w:hAnsi="宋体" w:cs="黑体"/>
          <w:b/>
          <w:kern w:val="0"/>
          <w:sz w:val="24"/>
          <w:szCs w:val="24"/>
          <w:shd w:val="clear" w:color="auto" w:fill="FFFFFF"/>
          <w:lang w:bidi="ar"/>
        </w:rPr>
        <w:t>质疑函制作说明：</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1.供应商提出质疑时，应提交质疑函和必要的证明材料。</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3.质疑供应商若对项目的某一</w:t>
      </w:r>
      <w:r>
        <w:rPr>
          <w:rFonts w:hint="eastAsia" w:ascii="宋体" w:hAnsi="宋体" w:cs="仿宋_GB2312"/>
          <w:kern w:val="0"/>
          <w:sz w:val="24"/>
          <w:szCs w:val="24"/>
          <w:shd w:val="clear" w:color="auto" w:fill="FFFFFF"/>
          <w:lang w:bidi="ar"/>
        </w:rPr>
        <w:t>标项</w:t>
      </w:r>
      <w:r>
        <w:rPr>
          <w:rFonts w:ascii="宋体" w:hAnsi="宋体" w:cs="仿宋_GB2312"/>
          <w:kern w:val="0"/>
          <w:sz w:val="24"/>
          <w:szCs w:val="24"/>
          <w:shd w:val="clear" w:color="auto" w:fill="FFFFFF"/>
          <w:lang w:bidi="ar"/>
        </w:rPr>
        <w:t>进行质疑，质疑函中应列明具体</w:t>
      </w:r>
      <w:r>
        <w:rPr>
          <w:rFonts w:hint="eastAsia" w:ascii="宋体" w:hAnsi="宋体" w:cs="仿宋_GB2312"/>
          <w:kern w:val="0"/>
          <w:sz w:val="24"/>
          <w:szCs w:val="24"/>
          <w:shd w:val="clear" w:color="auto" w:fill="FFFFFF"/>
          <w:lang w:bidi="ar"/>
        </w:rPr>
        <w:t>标项</w:t>
      </w:r>
      <w:r>
        <w:rPr>
          <w:rFonts w:ascii="宋体" w:hAnsi="宋体" w:cs="仿宋_GB2312"/>
          <w:kern w:val="0"/>
          <w:sz w:val="24"/>
          <w:szCs w:val="24"/>
          <w:shd w:val="clear" w:color="auto" w:fill="FFFFFF"/>
          <w:lang w:bidi="ar"/>
        </w:rPr>
        <w:t>。</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4.质疑函的质疑事项应具体、明确，并有必要的事实依据和法律依据。</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5.质疑函的质疑请求应与质疑事项相关。</w:t>
      </w:r>
    </w:p>
    <w:p>
      <w:pPr>
        <w:widowControl/>
        <w:spacing w:before="100" w:beforeAutospacing="1" w:after="100" w:afterAutospacing="1" w:line="360" w:lineRule="auto"/>
        <w:ind w:firstLine="640"/>
        <w:jc w:val="left"/>
        <w:rPr>
          <w:rFonts w:hint="eastAsia" w:ascii="宋体" w:hAnsi="宋体" w:cs="宋体"/>
          <w:sz w:val="24"/>
          <w:szCs w:val="24"/>
        </w:rPr>
      </w:pPr>
      <w:r>
        <w:rPr>
          <w:rFonts w:ascii="宋体" w:hAnsi="宋体" w:cs="仿宋_GB2312"/>
          <w:kern w:val="0"/>
          <w:sz w:val="24"/>
          <w:szCs w:val="24"/>
          <w:shd w:val="clear" w:color="auto" w:fill="FFFFFF"/>
          <w:lang w:bidi="ar"/>
        </w:rPr>
        <w:t>6.质疑供应商为自然人的，质疑函应由本人签字；质疑供应商为法人或者其他组织的，质疑函应由法定代表人、主要负责人，或者其授权代表签字或者盖章，并加盖公章。</w:t>
      </w:r>
    </w:p>
    <w:p>
      <w:pPr>
        <w:pStyle w:val="13"/>
        <w:snapToGrid w:val="0"/>
        <w:spacing w:line="360" w:lineRule="auto"/>
        <w:rPr>
          <w:rFonts w:hint="eastAsia" w:hAnsi="宋体" w:eastAsia="宋体" w:cs="宋体"/>
          <w:sz w:val="21"/>
          <w:szCs w:val="21"/>
        </w:rPr>
      </w:pPr>
    </w:p>
    <w:sectPr>
      <w:pgSz w:w="11906" w:h="16838"/>
      <w:pgMar w:top="1531" w:right="992" w:bottom="737" w:left="992" w:header="851" w:footer="58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kern w:val="0"/>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84</w:t>
                          </w:r>
                          <w:r>
                            <w:t>页</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EzGjJd4BAAC/AwAADgAAAGRycy9lMm9Eb2MueG1srVNLjhMxEN0jcQfL e+JOhFDUSmcERIOQECANHMBxu9OW/FOVk+5wALgBKzbsOVfOQbk/GRg2s2DTXS6XX733XN7c9M6y kwY0wVd8uSg4016F2vhDxT9/un225gyT9LW0weuKnzXym+3TJ5sulnoV2mBrDYxAPJZdrHibUiyF QNVqJ3ERova02QRwMtESDqIG2RG6s2JVFC9EF6COEJRGpOxu3OQTIjwGMDSNUXoX1NFpn0ZU0FYm koStici3A9um0Sp9aBrUidmKk9I0fKkJxfv8FduNLA8gY2vUREE+hsIDTU4aT02vUDuZJDuC+QfK GQUBQ5MWKjgxChkcIRXL4oE3d62MetBCVmO8mo7/D1a9P30EZmqaBM68dHThl+/fLj9+XX5+Zcvn 2Z8uYklld5EKU/8q9Ll2yiMls+y+AZf/JIjRPrl7vrqr+8RUPrRerdcFbSnamxeEI+6PR8D0RgfH clBxoOsbXJWnd5jG0rkkd/Ph1lhLeVla/1eCMHNGZO4jxxylft9PxPehPpMeegfUpw3whbOOpqDi noaeM/vWk8l5YOYA5mA/B9IrOljxxNkYvk7jYB0jmEM7jFomhfHlMRHTQUCmMfae2NG9DhZMM5gH 58/1UHX/7ra/AV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ATMaMl3gEAAL8DAAAOAAAAAAAA AAEAIAAAAB4BAABkcnMvZTJvRG9jLnhtbFBLBQYAAAAABgAGAFkBAABuBQAAAAA= ">
              <v:fill on="f" focussize="0,0"/>
              <v:stroke on="f"/>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84</w:t>
                    </w:r>
                    <w: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rPr>
    </w:pPr>
    <w:r>
      <w:rPr>
        <w:rFonts w:hint="eastAsia" w:ascii="宋体"/>
      </w:rPr>
      <w:drawing>
        <wp:inline distT="0" distB="0" distL="114300" distR="114300">
          <wp:extent cx="1602105" cy="293370"/>
          <wp:effectExtent l="0" t="0" r="17145" b="1143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1602105" cy="293370"/>
                  </a:xfrm>
                  <a:prstGeom prst="rect">
                    <a:avLst/>
                  </a:prstGeom>
                  <a:noFill/>
                  <a:ln>
                    <a:noFill/>
                  </a:ln>
                </pic:spPr>
              </pic:pic>
            </a:graphicData>
          </a:graphic>
        </wp:inline>
      </w:drawing>
    </w:r>
    <w:r>
      <w:rPr>
        <w:rFonts w:hint="eastAsia" w:ascii="宋体"/>
      </w:rPr>
      <w:t xml:space="preserve">                 </w:t>
    </w:r>
    <w:r>
      <w:rPr>
        <w:rFonts w:hint="eastAsia" w:ascii="宋体"/>
        <w:lang w:val="en-US" w:eastAsia="zh-CN"/>
      </w:rPr>
      <w:t xml:space="preserve">  </w:t>
    </w:r>
    <w:r>
      <w:rPr>
        <w:rFonts w:hint="eastAsia" w:ascii="宋体"/>
      </w:rPr>
      <w:t xml:space="preserve"> </w:t>
    </w:r>
    <w:r>
      <w:rPr>
        <w:rFonts w:hint="eastAsia" w:ascii="宋体"/>
        <w:lang w:val="en-US" w:eastAsia="zh-CN"/>
      </w:rPr>
      <w:t xml:space="preserve">                              岱山县小长涂“未来社区”建设项目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r>
      <w:rPr>
        <w:rFonts w:hint="eastAsia" w:asci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ECA1F"/>
    <w:multiLevelType w:val="singleLevel"/>
    <w:tmpl w:val="8F3ECA1F"/>
    <w:lvl w:ilvl="0" w:tentative="0">
      <w:start w:val="1"/>
      <w:numFmt w:val="decimal"/>
      <w:suff w:val="nothing"/>
      <w:lvlText w:val="%1、"/>
      <w:lvlJc w:val="left"/>
      <w:rPr>
        <w:rFonts w:hint="default" w:ascii="宋体" w:hAnsi="宋体" w:eastAsia="宋体" w:cs="宋体"/>
        <w:sz w:val="21"/>
        <w:szCs w:val="21"/>
      </w:rPr>
    </w:lvl>
  </w:abstractNum>
  <w:abstractNum w:abstractNumId="1">
    <w:nsid w:val="963BE5AC"/>
    <w:multiLevelType w:val="singleLevel"/>
    <w:tmpl w:val="963BE5AC"/>
    <w:lvl w:ilvl="0" w:tentative="0">
      <w:start w:val="1"/>
      <w:numFmt w:val="decimal"/>
      <w:suff w:val="nothing"/>
      <w:lvlText w:val="%1、"/>
      <w:lvlJc w:val="left"/>
      <w:rPr>
        <w:rFonts w:hint="default" w:ascii="宋体" w:hAnsi="宋体" w:eastAsia="宋体" w:cs="宋体"/>
        <w:sz w:val="21"/>
        <w:szCs w:val="21"/>
      </w:rPr>
    </w:lvl>
  </w:abstractNum>
  <w:abstractNum w:abstractNumId="2">
    <w:nsid w:val="9EE03BA0"/>
    <w:multiLevelType w:val="singleLevel"/>
    <w:tmpl w:val="9EE03BA0"/>
    <w:lvl w:ilvl="0" w:tentative="0">
      <w:start w:val="1"/>
      <w:numFmt w:val="decimal"/>
      <w:suff w:val="nothing"/>
      <w:lvlText w:val="%1、"/>
      <w:lvlJc w:val="left"/>
      <w:rPr>
        <w:rFonts w:hint="default" w:ascii="宋体" w:hAnsi="宋体" w:eastAsia="宋体" w:cs="宋体"/>
        <w:sz w:val="21"/>
        <w:szCs w:val="21"/>
      </w:rPr>
    </w:lvl>
  </w:abstractNum>
  <w:abstractNum w:abstractNumId="3">
    <w:nsid w:val="9F6531A3"/>
    <w:multiLevelType w:val="singleLevel"/>
    <w:tmpl w:val="9F6531A3"/>
    <w:lvl w:ilvl="0" w:tentative="0">
      <w:start w:val="1"/>
      <w:numFmt w:val="decimal"/>
      <w:suff w:val="nothing"/>
      <w:lvlText w:val="%1、"/>
      <w:lvlJc w:val="left"/>
      <w:rPr>
        <w:rFonts w:hint="default" w:ascii="宋体" w:hAnsi="宋体" w:eastAsia="宋体" w:cs="宋体"/>
        <w:sz w:val="21"/>
        <w:szCs w:val="21"/>
      </w:rPr>
    </w:lvl>
  </w:abstractNum>
  <w:abstractNum w:abstractNumId="4">
    <w:nsid w:val="A151CF81"/>
    <w:multiLevelType w:val="singleLevel"/>
    <w:tmpl w:val="A151CF81"/>
    <w:lvl w:ilvl="0" w:tentative="0">
      <w:start w:val="1"/>
      <w:numFmt w:val="decimal"/>
      <w:suff w:val="nothing"/>
      <w:lvlText w:val="%1、"/>
      <w:lvlJc w:val="left"/>
      <w:rPr>
        <w:rFonts w:hint="default" w:ascii="宋体" w:hAnsi="宋体" w:eastAsia="宋体" w:cs="宋体"/>
        <w:sz w:val="21"/>
        <w:szCs w:val="21"/>
      </w:rPr>
    </w:lvl>
  </w:abstractNum>
  <w:abstractNum w:abstractNumId="5">
    <w:nsid w:val="A1A4012A"/>
    <w:multiLevelType w:val="singleLevel"/>
    <w:tmpl w:val="A1A4012A"/>
    <w:lvl w:ilvl="0" w:tentative="0">
      <w:start w:val="1"/>
      <w:numFmt w:val="decimal"/>
      <w:suff w:val="nothing"/>
      <w:lvlText w:val="%1、"/>
      <w:lvlJc w:val="left"/>
      <w:rPr>
        <w:rFonts w:hint="default" w:ascii="宋体" w:hAnsi="宋体" w:eastAsia="宋体" w:cs="宋体"/>
        <w:sz w:val="21"/>
        <w:szCs w:val="21"/>
      </w:rPr>
    </w:lvl>
  </w:abstractNum>
  <w:abstractNum w:abstractNumId="6">
    <w:nsid w:val="B5D1D486"/>
    <w:multiLevelType w:val="singleLevel"/>
    <w:tmpl w:val="B5D1D486"/>
    <w:lvl w:ilvl="0" w:tentative="0">
      <w:start w:val="1"/>
      <w:numFmt w:val="decimal"/>
      <w:suff w:val="nothing"/>
      <w:lvlText w:val="%1、"/>
      <w:lvlJc w:val="left"/>
      <w:rPr>
        <w:rFonts w:hint="default" w:ascii="宋体" w:hAnsi="宋体" w:eastAsia="宋体" w:cs="宋体"/>
        <w:b w:val="0"/>
        <w:bCs w:val="0"/>
        <w:sz w:val="21"/>
        <w:szCs w:val="21"/>
      </w:rPr>
    </w:lvl>
  </w:abstractNum>
  <w:abstractNum w:abstractNumId="7">
    <w:nsid w:val="BA2FF472"/>
    <w:multiLevelType w:val="singleLevel"/>
    <w:tmpl w:val="BA2FF472"/>
    <w:lvl w:ilvl="0" w:tentative="0">
      <w:start w:val="1"/>
      <w:numFmt w:val="decimal"/>
      <w:suff w:val="nothing"/>
      <w:lvlText w:val="%1、"/>
      <w:lvlJc w:val="left"/>
      <w:rPr>
        <w:rFonts w:hint="default" w:ascii="宋体" w:hAnsi="宋体" w:eastAsia="宋体" w:cs="宋体"/>
        <w:sz w:val="21"/>
        <w:szCs w:val="21"/>
      </w:rPr>
    </w:lvl>
  </w:abstractNum>
  <w:abstractNum w:abstractNumId="8">
    <w:nsid w:val="BB523E23"/>
    <w:multiLevelType w:val="singleLevel"/>
    <w:tmpl w:val="BB523E23"/>
    <w:lvl w:ilvl="0" w:tentative="0">
      <w:start w:val="1"/>
      <w:numFmt w:val="decimal"/>
      <w:suff w:val="nothing"/>
      <w:lvlText w:val="%1、"/>
      <w:lvlJc w:val="left"/>
      <w:rPr>
        <w:rFonts w:hint="default" w:ascii="宋体" w:hAnsi="宋体" w:eastAsia="宋体" w:cs="宋体"/>
        <w:sz w:val="21"/>
        <w:szCs w:val="21"/>
      </w:rPr>
    </w:lvl>
  </w:abstractNum>
  <w:abstractNum w:abstractNumId="9">
    <w:nsid w:val="CD6F220A"/>
    <w:multiLevelType w:val="singleLevel"/>
    <w:tmpl w:val="CD6F220A"/>
    <w:lvl w:ilvl="0" w:tentative="0">
      <w:start w:val="1"/>
      <w:numFmt w:val="decimal"/>
      <w:suff w:val="nothing"/>
      <w:lvlText w:val="%1、"/>
      <w:lvlJc w:val="left"/>
      <w:rPr>
        <w:rFonts w:hint="default" w:ascii="宋体" w:hAnsi="宋体" w:eastAsia="宋体" w:cs="宋体"/>
        <w:sz w:val="21"/>
        <w:szCs w:val="21"/>
      </w:rPr>
    </w:lvl>
  </w:abstractNum>
  <w:abstractNum w:abstractNumId="10">
    <w:nsid w:val="D47CEDFB"/>
    <w:multiLevelType w:val="singleLevel"/>
    <w:tmpl w:val="D47CEDFB"/>
    <w:lvl w:ilvl="0" w:tentative="0">
      <w:start w:val="1"/>
      <w:numFmt w:val="decimal"/>
      <w:suff w:val="nothing"/>
      <w:lvlText w:val="%1、"/>
      <w:lvlJc w:val="left"/>
      <w:rPr>
        <w:rFonts w:hint="default" w:ascii="宋体" w:hAnsi="宋体" w:eastAsia="宋体" w:cs="宋体"/>
        <w:b w:val="0"/>
        <w:bCs w:val="0"/>
        <w:sz w:val="21"/>
        <w:szCs w:val="21"/>
      </w:rPr>
    </w:lvl>
  </w:abstractNum>
  <w:abstractNum w:abstractNumId="11">
    <w:nsid w:val="D6B6A906"/>
    <w:multiLevelType w:val="singleLevel"/>
    <w:tmpl w:val="D6B6A906"/>
    <w:lvl w:ilvl="0" w:tentative="0">
      <w:start w:val="1"/>
      <w:numFmt w:val="decimal"/>
      <w:suff w:val="nothing"/>
      <w:lvlText w:val="%1、"/>
      <w:lvlJc w:val="left"/>
      <w:rPr>
        <w:rFonts w:hint="default" w:ascii="宋体" w:hAnsi="宋体" w:eastAsia="宋体" w:cs="宋体"/>
        <w:sz w:val="21"/>
        <w:szCs w:val="21"/>
      </w:rPr>
    </w:lvl>
  </w:abstractNum>
  <w:abstractNum w:abstractNumId="12">
    <w:nsid w:val="D9B40BFE"/>
    <w:multiLevelType w:val="singleLevel"/>
    <w:tmpl w:val="D9B40BFE"/>
    <w:lvl w:ilvl="0" w:tentative="0">
      <w:start w:val="1"/>
      <w:numFmt w:val="decimal"/>
      <w:suff w:val="nothing"/>
      <w:lvlText w:val="%1、"/>
      <w:lvlJc w:val="left"/>
      <w:rPr>
        <w:rFonts w:hint="default" w:ascii="宋体" w:hAnsi="宋体" w:eastAsia="宋体" w:cs="宋体"/>
        <w:sz w:val="21"/>
        <w:szCs w:val="21"/>
      </w:rPr>
    </w:lvl>
  </w:abstractNum>
  <w:abstractNum w:abstractNumId="13">
    <w:nsid w:val="DE8A0CDE"/>
    <w:multiLevelType w:val="singleLevel"/>
    <w:tmpl w:val="DE8A0CDE"/>
    <w:lvl w:ilvl="0" w:tentative="0">
      <w:start w:val="1"/>
      <w:numFmt w:val="decimal"/>
      <w:suff w:val="nothing"/>
      <w:lvlText w:val="%1、"/>
      <w:lvlJc w:val="left"/>
      <w:rPr>
        <w:rFonts w:hint="default" w:ascii="宋体" w:hAnsi="宋体" w:eastAsia="宋体" w:cs="宋体"/>
        <w:sz w:val="24"/>
        <w:szCs w:val="24"/>
      </w:rPr>
    </w:lvl>
  </w:abstractNum>
  <w:abstractNum w:abstractNumId="14">
    <w:nsid w:val="E1472ABE"/>
    <w:multiLevelType w:val="singleLevel"/>
    <w:tmpl w:val="E1472ABE"/>
    <w:lvl w:ilvl="0" w:tentative="0">
      <w:start w:val="1"/>
      <w:numFmt w:val="decimal"/>
      <w:suff w:val="nothing"/>
      <w:lvlText w:val="%1、"/>
      <w:lvlJc w:val="left"/>
      <w:rPr>
        <w:rFonts w:hint="default" w:ascii="宋体" w:hAnsi="宋体" w:eastAsia="宋体" w:cs="宋体"/>
        <w:sz w:val="21"/>
        <w:szCs w:val="21"/>
      </w:rPr>
    </w:lvl>
  </w:abstractNum>
  <w:abstractNum w:abstractNumId="15">
    <w:nsid w:val="E712955E"/>
    <w:multiLevelType w:val="singleLevel"/>
    <w:tmpl w:val="E712955E"/>
    <w:lvl w:ilvl="0" w:tentative="0">
      <w:start w:val="1"/>
      <w:numFmt w:val="decimal"/>
      <w:suff w:val="nothing"/>
      <w:lvlText w:val="%1、"/>
      <w:lvlJc w:val="left"/>
      <w:rPr>
        <w:rFonts w:hint="default" w:ascii="宋体" w:hAnsi="宋体" w:eastAsia="宋体" w:cs="宋体"/>
        <w:sz w:val="21"/>
        <w:szCs w:val="21"/>
      </w:rPr>
    </w:lvl>
  </w:abstractNum>
  <w:abstractNum w:abstractNumId="16">
    <w:nsid w:val="EE4A3842"/>
    <w:multiLevelType w:val="singleLevel"/>
    <w:tmpl w:val="EE4A3842"/>
    <w:lvl w:ilvl="0" w:tentative="0">
      <w:start w:val="1"/>
      <w:numFmt w:val="decimal"/>
      <w:suff w:val="nothing"/>
      <w:lvlText w:val="%1、"/>
      <w:lvlJc w:val="left"/>
      <w:rPr>
        <w:rFonts w:hint="default" w:ascii="宋体" w:hAnsi="宋体" w:eastAsia="宋体" w:cs="宋体"/>
        <w:sz w:val="21"/>
        <w:szCs w:val="21"/>
      </w:rPr>
    </w:lvl>
  </w:abstractNum>
  <w:abstractNum w:abstractNumId="17">
    <w:nsid w:val="F020544D"/>
    <w:multiLevelType w:val="singleLevel"/>
    <w:tmpl w:val="F020544D"/>
    <w:lvl w:ilvl="0" w:tentative="0">
      <w:start w:val="1"/>
      <w:numFmt w:val="decimal"/>
      <w:suff w:val="nothing"/>
      <w:lvlText w:val="%1、"/>
      <w:lvlJc w:val="left"/>
      <w:rPr>
        <w:rFonts w:hint="default" w:ascii="宋体" w:hAnsi="宋体" w:eastAsia="宋体" w:cs="宋体"/>
        <w:sz w:val="21"/>
        <w:szCs w:val="21"/>
      </w:rPr>
    </w:lvl>
  </w:abstractNum>
  <w:abstractNum w:abstractNumId="18">
    <w:nsid w:val="F4E92C30"/>
    <w:multiLevelType w:val="singleLevel"/>
    <w:tmpl w:val="F4E92C30"/>
    <w:lvl w:ilvl="0" w:tentative="0">
      <w:start w:val="1"/>
      <w:numFmt w:val="decimal"/>
      <w:suff w:val="nothing"/>
      <w:lvlText w:val="%1、"/>
      <w:lvlJc w:val="left"/>
      <w:rPr>
        <w:rFonts w:hint="default" w:ascii="宋体" w:hAnsi="宋体" w:eastAsia="宋体" w:cs="宋体"/>
        <w:sz w:val="21"/>
        <w:szCs w:val="21"/>
      </w:rPr>
    </w:lvl>
  </w:abstractNum>
  <w:abstractNum w:abstractNumId="19">
    <w:nsid w:val="F5742C4C"/>
    <w:multiLevelType w:val="singleLevel"/>
    <w:tmpl w:val="F5742C4C"/>
    <w:lvl w:ilvl="0" w:tentative="0">
      <w:start w:val="1"/>
      <w:numFmt w:val="decimal"/>
      <w:suff w:val="nothing"/>
      <w:lvlText w:val="%1、"/>
      <w:lvlJc w:val="left"/>
      <w:rPr>
        <w:rFonts w:hint="default" w:ascii="宋体" w:hAnsi="宋体" w:eastAsia="宋体" w:cs="宋体"/>
        <w:sz w:val="21"/>
        <w:szCs w:val="21"/>
      </w:rPr>
    </w:lvl>
  </w:abstractNum>
  <w:abstractNum w:abstractNumId="20">
    <w:nsid w:val="F693552C"/>
    <w:multiLevelType w:val="singleLevel"/>
    <w:tmpl w:val="F693552C"/>
    <w:lvl w:ilvl="0" w:tentative="0">
      <w:start w:val="1"/>
      <w:numFmt w:val="decimal"/>
      <w:suff w:val="nothing"/>
      <w:lvlText w:val="%1、"/>
      <w:lvlJc w:val="left"/>
      <w:rPr>
        <w:rFonts w:hint="default" w:ascii="宋体" w:hAnsi="宋体" w:eastAsia="宋体" w:cs="宋体"/>
        <w:sz w:val="21"/>
        <w:szCs w:val="21"/>
      </w:rPr>
    </w:lvl>
  </w:abstractNum>
  <w:abstractNum w:abstractNumId="21">
    <w:nsid w:val="FBFDC6C5"/>
    <w:multiLevelType w:val="singleLevel"/>
    <w:tmpl w:val="FBFDC6C5"/>
    <w:lvl w:ilvl="0" w:tentative="0">
      <w:start w:val="1"/>
      <w:numFmt w:val="decimal"/>
      <w:suff w:val="nothing"/>
      <w:lvlText w:val="%1、"/>
      <w:lvlJc w:val="left"/>
      <w:rPr>
        <w:rFonts w:hint="default" w:ascii="宋体" w:hAnsi="宋体" w:eastAsia="宋体" w:cs="宋体"/>
        <w:sz w:val="21"/>
        <w:szCs w:val="21"/>
      </w:rPr>
    </w:lvl>
  </w:abstractNum>
  <w:abstractNum w:abstractNumId="22">
    <w:nsid w:val="FF2B1EE5"/>
    <w:multiLevelType w:val="singleLevel"/>
    <w:tmpl w:val="FF2B1EE5"/>
    <w:lvl w:ilvl="0" w:tentative="0">
      <w:start w:val="1"/>
      <w:numFmt w:val="decimal"/>
      <w:suff w:val="nothing"/>
      <w:lvlText w:val="%1、"/>
      <w:lvlJc w:val="left"/>
      <w:rPr>
        <w:rFonts w:hint="default" w:ascii="宋体" w:hAnsi="宋体" w:eastAsia="宋体" w:cs="宋体"/>
        <w:sz w:val="21"/>
        <w:szCs w:val="21"/>
      </w:rPr>
    </w:lvl>
  </w:abstractNum>
  <w:abstractNum w:abstractNumId="23">
    <w:nsid w:val="FFC43DCD"/>
    <w:multiLevelType w:val="singleLevel"/>
    <w:tmpl w:val="FFC43DCD"/>
    <w:lvl w:ilvl="0" w:tentative="0">
      <w:start w:val="1"/>
      <w:numFmt w:val="decimal"/>
      <w:suff w:val="nothing"/>
      <w:lvlText w:val="%1、"/>
      <w:lvlJc w:val="left"/>
      <w:rPr>
        <w:rFonts w:hint="default" w:ascii="宋体" w:hAnsi="宋体" w:eastAsia="宋体" w:cs="宋体"/>
        <w:sz w:val="21"/>
        <w:szCs w:val="21"/>
      </w:rPr>
    </w:lvl>
  </w:abstractNum>
  <w:abstractNum w:abstractNumId="24">
    <w:nsid w:val="FFE1567F"/>
    <w:multiLevelType w:val="singleLevel"/>
    <w:tmpl w:val="FFE1567F"/>
    <w:lvl w:ilvl="0" w:tentative="0">
      <w:start w:val="1"/>
      <w:numFmt w:val="decimal"/>
      <w:suff w:val="nothing"/>
      <w:lvlText w:val="%1、"/>
      <w:lvlJc w:val="left"/>
      <w:rPr>
        <w:rFonts w:hint="default" w:ascii="宋体" w:hAnsi="宋体" w:eastAsia="宋体" w:cs="宋体"/>
        <w:sz w:val="21"/>
        <w:szCs w:val="21"/>
      </w:rPr>
    </w:lvl>
  </w:abstractNum>
  <w:abstractNum w:abstractNumId="25">
    <w:nsid w:val="00EF200B"/>
    <w:multiLevelType w:val="singleLevel"/>
    <w:tmpl w:val="00EF200B"/>
    <w:lvl w:ilvl="0" w:tentative="0">
      <w:start w:val="1"/>
      <w:numFmt w:val="decimal"/>
      <w:suff w:val="nothing"/>
      <w:lvlText w:val="%1、"/>
      <w:lvlJc w:val="left"/>
      <w:rPr>
        <w:rFonts w:hint="default" w:ascii="宋体" w:hAnsi="宋体" w:eastAsia="宋体" w:cs="宋体"/>
        <w:sz w:val="21"/>
        <w:szCs w:val="21"/>
      </w:rPr>
    </w:lvl>
  </w:abstractNum>
  <w:abstractNum w:abstractNumId="26">
    <w:nsid w:val="03AB1E55"/>
    <w:multiLevelType w:val="singleLevel"/>
    <w:tmpl w:val="03AB1E55"/>
    <w:lvl w:ilvl="0" w:tentative="0">
      <w:start w:val="1"/>
      <w:numFmt w:val="decimal"/>
      <w:suff w:val="nothing"/>
      <w:lvlText w:val="%1、"/>
      <w:lvlJc w:val="left"/>
      <w:rPr>
        <w:rFonts w:hint="default" w:ascii="宋体" w:hAnsi="宋体" w:eastAsia="宋体" w:cs="宋体"/>
        <w:sz w:val="21"/>
        <w:szCs w:val="21"/>
      </w:rPr>
    </w:lvl>
  </w:abstractNum>
  <w:abstractNum w:abstractNumId="27">
    <w:nsid w:val="05EA0042"/>
    <w:multiLevelType w:val="singleLevel"/>
    <w:tmpl w:val="05EA0042"/>
    <w:lvl w:ilvl="0" w:tentative="0">
      <w:start w:val="1"/>
      <w:numFmt w:val="decimal"/>
      <w:suff w:val="nothing"/>
      <w:lvlText w:val="%1、"/>
      <w:lvlJc w:val="left"/>
      <w:rPr>
        <w:rFonts w:hint="default" w:ascii="宋体" w:hAnsi="宋体" w:eastAsia="宋体" w:cs="宋体"/>
        <w:sz w:val="21"/>
        <w:szCs w:val="21"/>
      </w:rPr>
    </w:lvl>
  </w:abstractNum>
  <w:abstractNum w:abstractNumId="28">
    <w:nsid w:val="10A9A31D"/>
    <w:multiLevelType w:val="singleLevel"/>
    <w:tmpl w:val="10A9A31D"/>
    <w:lvl w:ilvl="0" w:tentative="0">
      <w:start w:val="1"/>
      <w:numFmt w:val="decimal"/>
      <w:suff w:val="nothing"/>
      <w:lvlText w:val="%1、"/>
      <w:lvlJc w:val="left"/>
      <w:rPr>
        <w:rFonts w:hint="default" w:ascii="宋体" w:hAnsi="宋体" w:eastAsia="宋体" w:cs="宋体"/>
        <w:sz w:val="21"/>
        <w:szCs w:val="21"/>
      </w:rPr>
    </w:lvl>
  </w:abstractNum>
  <w:abstractNum w:abstractNumId="29">
    <w:nsid w:val="174F2DB6"/>
    <w:multiLevelType w:val="singleLevel"/>
    <w:tmpl w:val="174F2DB6"/>
    <w:lvl w:ilvl="0" w:tentative="0">
      <w:start w:val="1"/>
      <w:numFmt w:val="decimal"/>
      <w:suff w:val="nothing"/>
      <w:lvlText w:val="%1、"/>
      <w:lvlJc w:val="left"/>
      <w:rPr>
        <w:rFonts w:hint="default" w:ascii="宋体" w:hAnsi="宋体" w:eastAsia="宋体" w:cs="宋体"/>
        <w:sz w:val="21"/>
        <w:szCs w:val="21"/>
      </w:rPr>
    </w:lvl>
  </w:abstractNum>
  <w:abstractNum w:abstractNumId="30">
    <w:nsid w:val="187EC5E3"/>
    <w:multiLevelType w:val="singleLevel"/>
    <w:tmpl w:val="187EC5E3"/>
    <w:lvl w:ilvl="0" w:tentative="0">
      <w:start w:val="1"/>
      <w:numFmt w:val="decimal"/>
      <w:suff w:val="nothing"/>
      <w:lvlText w:val="%1、"/>
      <w:lvlJc w:val="left"/>
      <w:rPr>
        <w:rFonts w:hint="default" w:ascii="宋体" w:hAnsi="宋体" w:eastAsia="宋体" w:cs="宋体"/>
        <w:sz w:val="21"/>
        <w:szCs w:val="21"/>
      </w:rPr>
    </w:lvl>
  </w:abstractNum>
  <w:abstractNum w:abstractNumId="31">
    <w:nsid w:val="2689F980"/>
    <w:multiLevelType w:val="singleLevel"/>
    <w:tmpl w:val="2689F980"/>
    <w:lvl w:ilvl="0" w:tentative="0">
      <w:start w:val="1"/>
      <w:numFmt w:val="decimal"/>
      <w:suff w:val="nothing"/>
      <w:lvlText w:val="%1、"/>
      <w:lvlJc w:val="left"/>
      <w:rPr>
        <w:rFonts w:hint="default" w:ascii="宋体" w:hAnsi="宋体" w:eastAsia="宋体" w:cs="宋体"/>
        <w:sz w:val="21"/>
        <w:szCs w:val="21"/>
      </w:rPr>
    </w:lvl>
  </w:abstractNum>
  <w:abstractNum w:abstractNumId="32">
    <w:nsid w:val="2FFEF350"/>
    <w:multiLevelType w:val="singleLevel"/>
    <w:tmpl w:val="2FFEF350"/>
    <w:lvl w:ilvl="0" w:tentative="0">
      <w:start w:val="1"/>
      <w:numFmt w:val="decimal"/>
      <w:suff w:val="nothing"/>
      <w:lvlText w:val="%1、"/>
      <w:lvlJc w:val="left"/>
      <w:rPr>
        <w:rFonts w:hint="default" w:ascii="宋体" w:hAnsi="宋体" w:eastAsia="宋体" w:cs="宋体"/>
        <w:sz w:val="21"/>
        <w:szCs w:val="21"/>
      </w:rPr>
    </w:lvl>
  </w:abstractNum>
  <w:abstractNum w:abstractNumId="33">
    <w:nsid w:val="3807DAB4"/>
    <w:multiLevelType w:val="singleLevel"/>
    <w:tmpl w:val="3807DAB4"/>
    <w:lvl w:ilvl="0" w:tentative="0">
      <w:start w:val="1"/>
      <w:numFmt w:val="decimal"/>
      <w:suff w:val="nothing"/>
      <w:lvlText w:val="%1、"/>
      <w:lvlJc w:val="left"/>
      <w:rPr>
        <w:rFonts w:hint="default" w:ascii="宋体" w:hAnsi="宋体" w:eastAsia="宋体" w:cs="宋体"/>
        <w:sz w:val="21"/>
        <w:szCs w:val="21"/>
      </w:rPr>
    </w:lvl>
  </w:abstractNum>
  <w:abstractNum w:abstractNumId="34">
    <w:nsid w:val="39EB5C7D"/>
    <w:multiLevelType w:val="singleLevel"/>
    <w:tmpl w:val="39EB5C7D"/>
    <w:lvl w:ilvl="0" w:tentative="0">
      <w:start w:val="1"/>
      <w:numFmt w:val="decimal"/>
      <w:suff w:val="nothing"/>
      <w:lvlText w:val="%1、"/>
      <w:lvlJc w:val="left"/>
      <w:rPr>
        <w:rFonts w:hint="default" w:ascii="宋体" w:hAnsi="宋体" w:eastAsia="宋体" w:cs="宋体"/>
        <w:sz w:val="21"/>
        <w:szCs w:val="21"/>
      </w:rPr>
    </w:lvl>
  </w:abstractNum>
  <w:abstractNum w:abstractNumId="35">
    <w:nsid w:val="453ECD5C"/>
    <w:multiLevelType w:val="singleLevel"/>
    <w:tmpl w:val="453ECD5C"/>
    <w:lvl w:ilvl="0" w:tentative="0">
      <w:start w:val="1"/>
      <w:numFmt w:val="decimal"/>
      <w:suff w:val="nothing"/>
      <w:lvlText w:val="%1、"/>
      <w:lvlJc w:val="left"/>
      <w:rPr>
        <w:rFonts w:hint="default" w:ascii="宋体" w:hAnsi="宋体" w:eastAsia="宋体" w:cs="宋体"/>
        <w:sz w:val="21"/>
        <w:szCs w:val="21"/>
      </w:rPr>
    </w:lvl>
  </w:abstractNum>
  <w:abstractNum w:abstractNumId="36">
    <w:nsid w:val="49AF59C2"/>
    <w:multiLevelType w:val="singleLevel"/>
    <w:tmpl w:val="49AF59C2"/>
    <w:lvl w:ilvl="0" w:tentative="0">
      <w:start w:val="1"/>
      <w:numFmt w:val="decimal"/>
      <w:suff w:val="nothing"/>
      <w:lvlText w:val="%1、"/>
      <w:lvlJc w:val="left"/>
      <w:rPr>
        <w:rFonts w:hint="default" w:ascii="宋体" w:hAnsi="宋体" w:eastAsia="宋体" w:cs="宋体"/>
        <w:sz w:val="21"/>
        <w:szCs w:val="21"/>
      </w:rPr>
    </w:lvl>
  </w:abstractNum>
  <w:abstractNum w:abstractNumId="37">
    <w:nsid w:val="4A7E3058"/>
    <w:multiLevelType w:val="singleLevel"/>
    <w:tmpl w:val="4A7E3058"/>
    <w:lvl w:ilvl="0" w:tentative="0">
      <w:start w:val="1"/>
      <w:numFmt w:val="decimal"/>
      <w:suff w:val="nothing"/>
      <w:lvlText w:val="%1、"/>
      <w:lvlJc w:val="left"/>
      <w:rPr>
        <w:rFonts w:hint="default" w:ascii="宋体" w:hAnsi="宋体" w:eastAsia="宋体" w:cs="宋体"/>
        <w:sz w:val="21"/>
        <w:szCs w:val="21"/>
      </w:rPr>
    </w:lvl>
  </w:abstractNum>
  <w:abstractNum w:abstractNumId="38">
    <w:nsid w:val="4ED0445E"/>
    <w:multiLevelType w:val="singleLevel"/>
    <w:tmpl w:val="4ED0445E"/>
    <w:lvl w:ilvl="0" w:tentative="0">
      <w:start w:val="1"/>
      <w:numFmt w:val="decimal"/>
      <w:suff w:val="nothing"/>
      <w:lvlText w:val="%1、"/>
      <w:lvlJc w:val="left"/>
      <w:rPr>
        <w:rFonts w:hint="default" w:ascii="宋体" w:hAnsi="宋体" w:eastAsia="宋体" w:cs="宋体"/>
        <w:b w:val="0"/>
        <w:bCs w:val="0"/>
        <w:sz w:val="21"/>
        <w:szCs w:val="21"/>
      </w:rPr>
    </w:lvl>
  </w:abstractNum>
  <w:abstractNum w:abstractNumId="39">
    <w:nsid w:val="53FF7F84"/>
    <w:multiLevelType w:val="singleLevel"/>
    <w:tmpl w:val="53FF7F84"/>
    <w:lvl w:ilvl="0" w:tentative="0">
      <w:start w:val="1"/>
      <w:numFmt w:val="decimal"/>
      <w:suff w:val="nothing"/>
      <w:lvlText w:val="%1、"/>
      <w:lvlJc w:val="left"/>
    </w:lvl>
  </w:abstractNum>
  <w:abstractNum w:abstractNumId="40">
    <w:nsid w:val="549F0E7F"/>
    <w:multiLevelType w:val="singleLevel"/>
    <w:tmpl w:val="549F0E7F"/>
    <w:lvl w:ilvl="0" w:tentative="0">
      <w:start w:val="1"/>
      <w:numFmt w:val="decimal"/>
      <w:suff w:val="nothing"/>
      <w:lvlText w:val="%1、"/>
      <w:lvlJc w:val="left"/>
    </w:lvl>
  </w:abstractNum>
  <w:abstractNum w:abstractNumId="41">
    <w:nsid w:val="56315629"/>
    <w:multiLevelType w:val="singleLevel"/>
    <w:tmpl w:val="56315629"/>
    <w:lvl w:ilvl="0" w:tentative="0">
      <w:start w:val="1"/>
      <w:numFmt w:val="decimal"/>
      <w:suff w:val="nothing"/>
      <w:lvlText w:val="%1、"/>
      <w:lvlJc w:val="left"/>
      <w:rPr>
        <w:rFonts w:hint="default" w:ascii="宋体" w:hAnsi="宋体" w:eastAsia="宋体" w:cs="宋体"/>
        <w:sz w:val="21"/>
        <w:szCs w:val="21"/>
      </w:rPr>
    </w:lvl>
  </w:abstractNum>
  <w:abstractNum w:abstractNumId="42">
    <w:nsid w:val="6CDDD666"/>
    <w:multiLevelType w:val="singleLevel"/>
    <w:tmpl w:val="6CDDD666"/>
    <w:lvl w:ilvl="0" w:tentative="0">
      <w:start w:val="1"/>
      <w:numFmt w:val="decimal"/>
      <w:suff w:val="nothing"/>
      <w:lvlText w:val="%1、"/>
      <w:lvlJc w:val="left"/>
      <w:rPr>
        <w:rFonts w:hint="default" w:ascii="宋体" w:hAnsi="宋体" w:eastAsia="宋体" w:cs="宋体"/>
        <w:sz w:val="21"/>
        <w:szCs w:val="21"/>
      </w:rPr>
    </w:lvl>
  </w:abstractNum>
  <w:abstractNum w:abstractNumId="43">
    <w:nsid w:val="75C289F0"/>
    <w:multiLevelType w:val="singleLevel"/>
    <w:tmpl w:val="75C289F0"/>
    <w:lvl w:ilvl="0" w:tentative="0">
      <w:start w:val="1"/>
      <w:numFmt w:val="decimal"/>
      <w:suff w:val="nothing"/>
      <w:lvlText w:val="%1、"/>
      <w:lvlJc w:val="left"/>
      <w:rPr>
        <w:rFonts w:hint="default" w:ascii="宋体" w:hAnsi="宋体" w:eastAsia="宋体" w:cs="宋体"/>
        <w:sz w:val="21"/>
        <w:szCs w:val="21"/>
      </w:rPr>
    </w:lvl>
  </w:abstractNum>
  <w:abstractNum w:abstractNumId="44">
    <w:nsid w:val="79B50591"/>
    <w:multiLevelType w:val="singleLevel"/>
    <w:tmpl w:val="79B50591"/>
    <w:lvl w:ilvl="0" w:tentative="0">
      <w:start w:val="1"/>
      <w:numFmt w:val="decimal"/>
      <w:suff w:val="nothing"/>
      <w:lvlText w:val="%1、"/>
      <w:lvlJc w:val="left"/>
      <w:rPr>
        <w:rFonts w:hint="default" w:ascii="宋体" w:hAnsi="宋体" w:eastAsia="宋体" w:cs="宋体"/>
        <w:sz w:val="21"/>
        <w:szCs w:val="21"/>
      </w:rPr>
    </w:lvl>
  </w:abstractNum>
  <w:abstractNum w:abstractNumId="45">
    <w:nsid w:val="7C8CF9FA"/>
    <w:multiLevelType w:val="singleLevel"/>
    <w:tmpl w:val="7C8CF9FA"/>
    <w:lvl w:ilvl="0" w:tentative="0">
      <w:start w:val="1"/>
      <w:numFmt w:val="decimal"/>
      <w:suff w:val="nothing"/>
      <w:lvlText w:val="%1、"/>
      <w:lvlJc w:val="left"/>
      <w:rPr>
        <w:rFonts w:hint="default" w:ascii="宋体" w:hAnsi="宋体" w:eastAsia="宋体" w:cs="宋体"/>
        <w:sz w:val="21"/>
        <w:szCs w:val="21"/>
      </w:rPr>
    </w:lvl>
  </w:abstractNum>
  <w:num w:numId="1">
    <w:abstractNumId w:val="23"/>
  </w:num>
  <w:num w:numId="2">
    <w:abstractNumId w:val="0"/>
  </w:num>
  <w:num w:numId="3">
    <w:abstractNumId w:val="45"/>
  </w:num>
  <w:num w:numId="4">
    <w:abstractNumId w:val="20"/>
  </w:num>
  <w:num w:numId="5">
    <w:abstractNumId w:val="12"/>
  </w:num>
  <w:num w:numId="6">
    <w:abstractNumId w:val="31"/>
  </w:num>
  <w:num w:numId="7">
    <w:abstractNumId w:val="37"/>
  </w:num>
  <w:num w:numId="8">
    <w:abstractNumId w:val="34"/>
  </w:num>
  <w:num w:numId="9">
    <w:abstractNumId w:val="3"/>
  </w:num>
  <w:num w:numId="10">
    <w:abstractNumId w:val="2"/>
  </w:num>
  <w:num w:numId="11">
    <w:abstractNumId w:val="41"/>
  </w:num>
  <w:num w:numId="12">
    <w:abstractNumId w:val="44"/>
  </w:num>
  <w:num w:numId="13">
    <w:abstractNumId w:val="21"/>
  </w:num>
  <w:num w:numId="14">
    <w:abstractNumId w:val="9"/>
  </w:num>
  <w:num w:numId="15">
    <w:abstractNumId w:val="36"/>
  </w:num>
  <w:num w:numId="16">
    <w:abstractNumId w:val="1"/>
  </w:num>
  <w:num w:numId="17">
    <w:abstractNumId w:val="22"/>
  </w:num>
  <w:num w:numId="18">
    <w:abstractNumId w:val="40"/>
  </w:num>
  <w:num w:numId="19">
    <w:abstractNumId w:val="5"/>
  </w:num>
  <w:num w:numId="20">
    <w:abstractNumId w:val="18"/>
  </w:num>
  <w:num w:numId="21">
    <w:abstractNumId w:val="30"/>
  </w:num>
  <w:num w:numId="22">
    <w:abstractNumId w:val="25"/>
  </w:num>
  <w:num w:numId="23">
    <w:abstractNumId w:val="16"/>
  </w:num>
  <w:num w:numId="24">
    <w:abstractNumId w:val="27"/>
  </w:num>
  <w:num w:numId="25">
    <w:abstractNumId w:val="33"/>
  </w:num>
  <w:num w:numId="26">
    <w:abstractNumId w:val="28"/>
  </w:num>
  <w:num w:numId="27">
    <w:abstractNumId w:val="15"/>
  </w:num>
  <w:num w:numId="28">
    <w:abstractNumId w:val="42"/>
  </w:num>
  <w:num w:numId="29">
    <w:abstractNumId w:val="29"/>
  </w:num>
  <w:num w:numId="30">
    <w:abstractNumId w:val="17"/>
  </w:num>
  <w:num w:numId="31">
    <w:abstractNumId w:val="7"/>
  </w:num>
  <w:num w:numId="32">
    <w:abstractNumId w:val="11"/>
  </w:num>
  <w:num w:numId="33">
    <w:abstractNumId w:val="32"/>
  </w:num>
  <w:num w:numId="34">
    <w:abstractNumId w:val="35"/>
  </w:num>
  <w:num w:numId="35">
    <w:abstractNumId w:val="43"/>
  </w:num>
  <w:num w:numId="36">
    <w:abstractNumId w:val="19"/>
  </w:num>
  <w:num w:numId="37">
    <w:abstractNumId w:val="4"/>
  </w:num>
  <w:num w:numId="38">
    <w:abstractNumId w:val="39"/>
  </w:num>
  <w:num w:numId="39">
    <w:abstractNumId w:val="14"/>
  </w:num>
  <w:num w:numId="40">
    <w:abstractNumId w:val="24"/>
  </w:num>
  <w:num w:numId="41">
    <w:abstractNumId w:val="6"/>
  </w:num>
  <w:num w:numId="42">
    <w:abstractNumId w:val="10"/>
  </w:num>
  <w:num w:numId="43">
    <w:abstractNumId w:val="8"/>
  </w:num>
  <w:num w:numId="44">
    <w:abstractNumId w:val="38"/>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E"/>
    <w:rsid w:val="00000DA0"/>
    <w:rsid w:val="0000107B"/>
    <w:rsid w:val="00001255"/>
    <w:rsid w:val="00001351"/>
    <w:rsid w:val="00001616"/>
    <w:rsid w:val="00002240"/>
    <w:rsid w:val="0000249F"/>
    <w:rsid w:val="000036AE"/>
    <w:rsid w:val="000053DD"/>
    <w:rsid w:val="000067D2"/>
    <w:rsid w:val="00006CD5"/>
    <w:rsid w:val="00010275"/>
    <w:rsid w:val="00011F5B"/>
    <w:rsid w:val="00012FC0"/>
    <w:rsid w:val="000131FB"/>
    <w:rsid w:val="00013F7B"/>
    <w:rsid w:val="000148CF"/>
    <w:rsid w:val="000150F2"/>
    <w:rsid w:val="00015267"/>
    <w:rsid w:val="00015B00"/>
    <w:rsid w:val="000161B6"/>
    <w:rsid w:val="00020487"/>
    <w:rsid w:val="00021229"/>
    <w:rsid w:val="00021CDE"/>
    <w:rsid w:val="00021CF2"/>
    <w:rsid w:val="000225BC"/>
    <w:rsid w:val="00022EFA"/>
    <w:rsid w:val="00023C49"/>
    <w:rsid w:val="00023E4C"/>
    <w:rsid w:val="0002452C"/>
    <w:rsid w:val="000260AD"/>
    <w:rsid w:val="000265C2"/>
    <w:rsid w:val="00026CC2"/>
    <w:rsid w:val="000273C7"/>
    <w:rsid w:val="00027CC8"/>
    <w:rsid w:val="00027CEC"/>
    <w:rsid w:val="00027D38"/>
    <w:rsid w:val="000303E1"/>
    <w:rsid w:val="00030AD8"/>
    <w:rsid w:val="000317CA"/>
    <w:rsid w:val="0003181C"/>
    <w:rsid w:val="00032134"/>
    <w:rsid w:val="000325CE"/>
    <w:rsid w:val="0003329B"/>
    <w:rsid w:val="00033641"/>
    <w:rsid w:val="00034D19"/>
    <w:rsid w:val="0003660B"/>
    <w:rsid w:val="000369D2"/>
    <w:rsid w:val="00037EE2"/>
    <w:rsid w:val="000407B3"/>
    <w:rsid w:val="0004111B"/>
    <w:rsid w:val="000415B1"/>
    <w:rsid w:val="00041BE4"/>
    <w:rsid w:val="0004279E"/>
    <w:rsid w:val="0004335D"/>
    <w:rsid w:val="00043AC8"/>
    <w:rsid w:val="00044AE2"/>
    <w:rsid w:val="00044B3F"/>
    <w:rsid w:val="00045883"/>
    <w:rsid w:val="00046374"/>
    <w:rsid w:val="00047114"/>
    <w:rsid w:val="0005095B"/>
    <w:rsid w:val="00050DEE"/>
    <w:rsid w:val="000516E3"/>
    <w:rsid w:val="00051B80"/>
    <w:rsid w:val="00052F70"/>
    <w:rsid w:val="00053F58"/>
    <w:rsid w:val="0005415C"/>
    <w:rsid w:val="00055835"/>
    <w:rsid w:val="00055B9A"/>
    <w:rsid w:val="00055C01"/>
    <w:rsid w:val="00055DD9"/>
    <w:rsid w:val="000566FC"/>
    <w:rsid w:val="00057A16"/>
    <w:rsid w:val="000601BC"/>
    <w:rsid w:val="0006107F"/>
    <w:rsid w:val="00061AE1"/>
    <w:rsid w:val="00061B2C"/>
    <w:rsid w:val="00063583"/>
    <w:rsid w:val="00064447"/>
    <w:rsid w:val="00064E63"/>
    <w:rsid w:val="00065112"/>
    <w:rsid w:val="00065300"/>
    <w:rsid w:val="0006586E"/>
    <w:rsid w:val="00065C18"/>
    <w:rsid w:val="00066224"/>
    <w:rsid w:val="000668F7"/>
    <w:rsid w:val="00067BAD"/>
    <w:rsid w:val="00070E4F"/>
    <w:rsid w:val="00070F6C"/>
    <w:rsid w:val="0007335F"/>
    <w:rsid w:val="000735C6"/>
    <w:rsid w:val="00074E0B"/>
    <w:rsid w:val="00074E62"/>
    <w:rsid w:val="00074FAC"/>
    <w:rsid w:val="00075588"/>
    <w:rsid w:val="0007669B"/>
    <w:rsid w:val="00076754"/>
    <w:rsid w:val="00077441"/>
    <w:rsid w:val="000779FD"/>
    <w:rsid w:val="0008040C"/>
    <w:rsid w:val="00080D08"/>
    <w:rsid w:val="00081A6F"/>
    <w:rsid w:val="00081C6F"/>
    <w:rsid w:val="00083162"/>
    <w:rsid w:val="000839AD"/>
    <w:rsid w:val="00083C5C"/>
    <w:rsid w:val="00085105"/>
    <w:rsid w:val="00086507"/>
    <w:rsid w:val="00086933"/>
    <w:rsid w:val="00086EEC"/>
    <w:rsid w:val="00087E11"/>
    <w:rsid w:val="00090784"/>
    <w:rsid w:val="000911CB"/>
    <w:rsid w:val="00091498"/>
    <w:rsid w:val="00091A59"/>
    <w:rsid w:val="00091E8E"/>
    <w:rsid w:val="0009261A"/>
    <w:rsid w:val="00094603"/>
    <w:rsid w:val="00094871"/>
    <w:rsid w:val="00096762"/>
    <w:rsid w:val="00096E45"/>
    <w:rsid w:val="00096F0A"/>
    <w:rsid w:val="00097D22"/>
    <w:rsid w:val="00097F86"/>
    <w:rsid w:val="000A0344"/>
    <w:rsid w:val="000A0956"/>
    <w:rsid w:val="000A0A54"/>
    <w:rsid w:val="000A0D2D"/>
    <w:rsid w:val="000A147D"/>
    <w:rsid w:val="000A258D"/>
    <w:rsid w:val="000A2631"/>
    <w:rsid w:val="000A40BB"/>
    <w:rsid w:val="000A4221"/>
    <w:rsid w:val="000A4912"/>
    <w:rsid w:val="000A4A6F"/>
    <w:rsid w:val="000A4C96"/>
    <w:rsid w:val="000A566A"/>
    <w:rsid w:val="000A59AD"/>
    <w:rsid w:val="000A5FA5"/>
    <w:rsid w:val="000A693E"/>
    <w:rsid w:val="000B0ECA"/>
    <w:rsid w:val="000B1196"/>
    <w:rsid w:val="000B123C"/>
    <w:rsid w:val="000B1E98"/>
    <w:rsid w:val="000B28DB"/>
    <w:rsid w:val="000B2A5F"/>
    <w:rsid w:val="000B2EA7"/>
    <w:rsid w:val="000B46A2"/>
    <w:rsid w:val="000B4979"/>
    <w:rsid w:val="000B4C39"/>
    <w:rsid w:val="000B7447"/>
    <w:rsid w:val="000B7738"/>
    <w:rsid w:val="000C021F"/>
    <w:rsid w:val="000C0E70"/>
    <w:rsid w:val="000C16D6"/>
    <w:rsid w:val="000C1DC6"/>
    <w:rsid w:val="000C4808"/>
    <w:rsid w:val="000C48DE"/>
    <w:rsid w:val="000C4B01"/>
    <w:rsid w:val="000C5A51"/>
    <w:rsid w:val="000C783F"/>
    <w:rsid w:val="000C7CF8"/>
    <w:rsid w:val="000D130E"/>
    <w:rsid w:val="000D1459"/>
    <w:rsid w:val="000D1936"/>
    <w:rsid w:val="000D1AA4"/>
    <w:rsid w:val="000D1DF0"/>
    <w:rsid w:val="000D291A"/>
    <w:rsid w:val="000D2B33"/>
    <w:rsid w:val="000D32EC"/>
    <w:rsid w:val="000D33F2"/>
    <w:rsid w:val="000D3438"/>
    <w:rsid w:val="000D3A03"/>
    <w:rsid w:val="000D4477"/>
    <w:rsid w:val="000D5E43"/>
    <w:rsid w:val="000D750F"/>
    <w:rsid w:val="000D79EB"/>
    <w:rsid w:val="000D7AF8"/>
    <w:rsid w:val="000D7E24"/>
    <w:rsid w:val="000E028B"/>
    <w:rsid w:val="000E02F2"/>
    <w:rsid w:val="000E1E85"/>
    <w:rsid w:val="000E2837"/>
    <w:rsid w:val="000E2BC0"/>
    <w:rsid w:val="000E3EEF"/>
    <w:rsid w:val="000E416C"/>
    <w:rsid w:val="000E56DE"/>
    <w:rsid w:val="000E706B"/>
    <w:rsid w:val="000F02E6"/>
    <w:rsid w:val="000F0550"/>
    <w:rsid w:val="000F1074"/>
    <w:rsid w:val="000F13AF"/>
    <w:rsid w:val="000F2A94"/>
    <w:rsid w:val="000F2E5E"/>
    <w:rsid w:val="000F421C"/>
    <w:rsid w:val="000F4472"/>
    <w:rsid w:val="000F4C37"/>
    <w:rsid w:val="000F4F94"/>
    <w:rsid w:val="000F55ED"/>
    <w:rsid w:val="000F5680"/>
    <w:rsid w:val="000F5897"/>
    <w:rsid w:val="000F6027"/>
    <w:rsid w:val="000F6E50"/>
    <w:rsid w:val="001007C1"/>
    <w:rsid w:val="00101001"/>
    <w:rsid w:val="00101417"/>
    <w:rsid w:val="00102CD6"/>
    <w:rsid w:val="00103EDC"/>
    <w:rsid w:val="00103FBC"/>
    <w:rsid w:val="00105C54"/>
    <w:rsid w:val="001062C4"/>
    <w:rsid w:val="0010669E"/>
    <w:rsid w:val="00107048"/>
    <w:rsid w:val="0010765D"/>
    <w:rsid w:val="00107E23"/>
    <w:rsid w:val="00110878"/>
    <w:rsid w:val="00111204"/>
    <w:rsid w:val="001113A5"/>
    <w:rsid w:val="00111D5D"/>
    <w:rsid w:val="00112791"/>
    <w:rsid w:val="0011355D"/>
    <w:rsid w:val="0011384C"/>
    <w:rsid w:val="0011396E"/>
    <w:rsid w:val="00113E4C"/>
    <w:rsid w:val="00113FC6"/>
    <w:rsid w:val="0011495F"/>
    <w:rsid w:val="00115E32"/>
    <w:rsid w:val="0011602B"/>
    <w:rsid w:val="00116541"/>
    <w:rsid w:val="001172A3"/>
    <w:rsid w:val="00120EEE"/>
    <w:rsid w:val="00120F3A"/>
    <w:rsid w:val="00121115"/>
    <w:rsid w:val="001223F9"/>
    <w:rsid w:val="00122D30"/>
    <w:rsid w:val="00122D3E"/>
    <w:rsid w:val="00123169"/>
    <w:rsid w:val="001232C5"/>
    <w:rsid w:val="00124AFE"/>
    <w:rsid w:val="00124EF7"/>
    <w:rsid w:val="001258CD"/>
    <w:rsid w:val="00125A10"/>
    <w:rsid w:val="00126051"/>
    <w:rsid w:val="0012621D"/>
    <w:rsid w:val="00126F03"/>
    <w:rsid w:val="0012782B"/>
    <w:rsid w:val="00131683"/>
    <w:rsid w:val="00131B3F"/>
    <w:rsid w:val="00132E4D"/>
    <w:rsid w:val="00133D3A"/>
    <w:rsid w:val="00133F40"/>
    <w:rsid w:val="00135C96"/>
    <w:rsid w:val="00136020"/>
    <w:rsid w:val="001363C1"/>
    <w:rsid w:val="001375A8"/>
    <w:rsid w:val="00141886"/>
    <w:rsid w:val="00143FF7"/>
    <w:rsid w:val="00145C0D"/>
    <w:rsid w:val="001464CC"/>
    <w:rsid w:val="00146A29"/>
    <w:rsid w:val="00146B1C"/>
    <w:rsid w:val="00150017"/>
    <w:rsid w:val="001504B3"/>
    <w:rsid w:val="0015086E"/>
    <w:rsid w:val="00150F5B"/>
    <w:rsid w:val="00150FD2"/>
    <w:rsid w:val="001517FA"/>
    <w:rsid w:val="001526CD"/>
    <w:rsid w:val="0015311C"/>
    <w:rsid w:val="001538AB"/>
    <w:rsid w:val="00153ACA"/>
    <w:rsid w:val="001543EB"/>
    <w:rsid w:val="0015506F"/>
    <w:rsid w:val="00155A65"/>
    <w:rsid w:val="00155F0F"/>
    <w:rsid w:val="0015624B"/>
    <w:rsid w:val="00156900"/>
    <w:rsid w:val="00156A6A"/>
    <w:rsid w:val="00156AD8"/>
    <w:rsid w:val="00156B04"/>
    <w:rsid w:val="00157751"/>
    <w:rsid w:val="00157978"/>
    <w:rsid w:val="0016017E"/>
    <w:rsid w:val="00160802"/>
    <w:rsid w:val="00163495"/>
    <w:rsid w:val="00163779"/>
    <w:rsid w:val="0016455C"/>
    <w:rsid w:val="00165846"/>
    <w:rsid w:val="00165BBD"/>
    <w:rsid w:val="00165C2B"/>
    <w:rsid w:val="00166238"/>
    <w:rsid w:val="001670C9"/>
    <w:rsid w:val="00167C19"/>
    <w:rsid w:val="00170FBD"/>
    <w:rsid w:val="00170FE9"/>
    <w:rsid w:val="001716ED"/>
    <w:rsid w:val="0017193F"/>
    <w:rsid w:val="00171E07"/>
    <w:rsid w:val="00171E68"/>
    <w:rsid w:val="00172AB0"/>
    <w:rsid w:val="00172EC3"/>
    <w:rsid w:val="00173114"/>
    <w:rsid w:val="00174BF0"/>
    <w:rsid w:val="00174CD8"/>
    <w:rsid w:val="001756D5"/>
    <w:rsid w:val="00175E3B"/>
    <w:rsid w:val="001766C9"/>
    <w:rsid w:val="001777BF"/>
    <w:rsid w:val="0018014D"/>
    <w:rsid w:val="00180445"/>
    <w:rsid w:val="001811B0"/>
    <w:rsid w:val="00181604"/>
    <w:rsid w:val="0018175C"/>
    <w:rsid w:val="001822EE"/>
    <w:rsid w:val="001839A5"/>
    <w:rsid w:val="00183DFE"/>
    <w:rsid w:val="0018435A"/>
    <w:rsid w:val="00186E86"/>
    <w:rsid w:val="00191A11"/>
    <w:rsid w:val="00191BAF"/>
    <w:rsid w:val="00193AF0"/>
    <w:rsid w:val="00193D77"/>
    <w:rsid w:val="00196D89"/>
    <w:rsid w:val="00196E1C"/>
    <w:rsid w:val="00197723"/>
    <w:rsid w:val="001A06DA"/>
    <w:rsid w:val="001A0C59"/>
    <w:rsid w:val="001A0CC2"/>
    <w:rsid w:val="001A0D8E"/>
    <w:rsid w:val="001A11C6"/>
    <w:rsid w:val="001A12B0"/>
    <w:rsid w:val="001A174D"/>
    <w:rsid w:val="001A1A69"/>
    <w:rsid w:val="001A26B9"/>
    <w:rsid w:val="001A2735"/>
    <w:rsid w:val="001A302D"/>
    <w:rsid w:val="001A4ED4"/>
    <w:rsid w:val="001A5A17"/>
    <w:rsid w:val="001A6013"/>
    <w:rsid w:val="001A60CD"/>
    <w:rsid w:val="001A6EE2"/>
    <w:rsid w:val="001A7817"/>
    <w:rsid w:val="001B0139"/>
    <w:rsid w:val="001B0528"/>
    <w:rsid w:val="001B1FF0"/>
    <w:rsid w:val="001B3018"/>
    <w:rsid w:val="001B37FC"/>
    <w:rsid w:val="001B3C2A"/>
    <w:rsid w:val="001B3E80"/>
    <w:rsid w:val="001B4EE8"/>
    <w:rsid w:val="001B5DD2"/>
    <w:rsid w:val="001B6AB2"/>
    <w:rsid w:val="001B700B"/>
    <w:rsid w:val="001C0AE0"/>
    <w:rsid w:val="001C10E7"/>
    <w:rsid w:val="001C1A4D"/>
    <w:rsid w:val="001C2753"/>
    <w:rsid w:val="001C2C2A"/>
    <w:rsid w:val="001C2C3B"/>
    <w:rsid w:val="001C3751"/>
    <w:rsid w:val="001C39CD"/>
    <w:rsid w:val="001C4002"/>
    <w:rsid w:val="001C44E0"/>
    <w:rsid w:val="001C45A6"/>
    <w:rsid w:val="001C46EA"/>
    <w:rsid w:val="001C57FE"/>
    <w:rsid w:val="001C62BD"/>
    <w:rsid w:val="001C6CAA"/>
    <w:rsid w:val="001C7CDF"/>
    <w:rsid w:val="001D063F"/>
    <w:rsid w:val="001D158D"/>
    <w:rsid w:val="001D1953"/>
    <w:rsid w:val="001D1C72"/>
    <w:rsid w:val="001D308A"/>
    <w:rsid w:val="001D34F9"/>
    <w:rsid w:val="001D35AA"/>
    <w:rsid w:val="001D39A1"/>
    <w:rsid w:val="001D4145"/>
    <w:rsid w:val="001D5538"/>
    <w:rsid w:val="001D6CC5"/>
    <w:rsid w:val="001D75C1"/>
    <w:rsid w:val="001D7BAA"/>
    <w:rsid w:val="001D7BB5"/>
    <w:rsid w:val="001E1A83"/>
    <w:rsid w:val="001E1E4B"/>
    <w:rsid w:val="001E27F2"/>
    <w:rsid w:val="001E2A03"/>
    <w:rsid w:val="001E4836"/>
    <w:rsid w:val="001E489E"/>
    <w:rsid w:val="001E4DD3"/>
    <w:rsid w:val="001E6C80"/>
    <w:rsid w:val="001E6F65"/>
    <w:rsid w:val="001E72E4"/>
    <w:rsid w:val="001E77DC"/>
    <w:rsid w:val="001F1468"/>
    <w:rsid w:val="001F2C36"/>
    <w:rsid w:val="001F2E29"/>
    <w:rsid w:val="001F32E1"/>
    <w:rsid w:val="001F5049"/>
    <w:rsid w:val="001F57E8"/>
    <w:rsid w:val="001F73E3"/>
    <w:rsid w:val="00200B8A"/>
    <w:rsid w:val="00202BAD"/>
    <w:rsid w:val="002033B0"/>
    <w:rsid w:val="00203813"/>
    <w:rsid w:val="00203CBD"/>
    <w:rsid w:val="00204173"/>
    <w:rsid w:val="00204255"/>
    <w:rsid w:val="00204E0B"/>
    <w:rsid w:val="0020572E"/>
    <w:rsid w:val="002074C7"/>
    <w:rsid w:val="002076B2"/>
    <w:rsid w:val="002077D4"/>
    <w:rsid w:val="00210917"/>
    <w:rsid w:val="002109CC"/>
    <w:rsid w:val="00210A2F"/>
    <w:rsid w:val="00210C93"/>
    <w:rsid w:val="00210FF5"/>
    <w:rsid w:val="00211F2E"/>
    <w:rsid w:val="002121FB"/>
    <w:rsid w:val="002131E2"/>
    <w:rsid w:val="002132F3"/>
    <w:rsid w:val="00213854"/>
    <w:rsid w:val="0021389D"/>
    <w:rsid w:val="00215118"/>
    <w:rsid w:val="00215256"/>
    <w:rsid w:val="002153EE"/>
    <w:rsid w:val="00215753"/>
    <w:rsid w:val="00216140"/>
    <w:rsid w:val="00217077"/>
    <w:rsid w:val="00217D2C"/>
    <w:rsid w:val="00220417"/>
    <w:rsid w:val="002214F8"/>
    <w:rsid w:val="00221800"/>
    <w:rsid w:val="002219DE"/>
    <w:rsid w:val="00221E2B"/>
    <w:rsid w:val="00222143"/>
    <w:rsid w:val="00222549"/>
    <w:rsid w:val="0022331B"/>
    <w:rsid w:val="002234D2"/>
    <w:rsid w:val="00223D20"/>
    <w:rsid w:val="002245E7"/>
    <w:rsid w:val="00225ED0"/>
    <w:rsid w:val="00232FE0"/>
    <w:rsid w:val="0023434B"/>
    <w:rsid w:val="0023487B"/>
    <w:rsid w:val="00234B90"/>
    <w:rsid w:val="00234DDF"/>
    <w:rsid w:val="00235302"/>
    <w:rsid w:val="0023545C"/>
    <w:rsid w:val="00235928"/>
    <w:rsid w:val="002362B4"/>
    <w:rsid w:val="0023667C"/>
    <w:rsid w:val="002367A2"/>
    <w:rsid w:val="00236B19"/>
    <w:rsid w:val="00237206"/>
    <w:rsid w:val="00237FF3"/>
    <w:rsid w:val="0024050C"/>
    <w:rsid w:val="002416B2"/>
    <w:rsid w:val="00241D30"/>
    <w:rsid w:val="00242A57"/>
    <w:rsid w:val="002458CA"/>
    <w:rsid w:val="00245F3C"/>
    <w:rsid w:val="0024774E"/>
    <w:rsid w:val="002478C0"/>
    <w:rsid w:val="00247A3F"/>
    <w:rsid w:val="00247CD9"/>
    <w:rsid w:val="00250461"/>
    <w:rsid w:val="002509F6"/>
    <w:rsid w:val="00252F64"/>
    <w:rsid w:val="002549ED"/>
    <w:rsid w:val="00254A27"/>
    <w:rsid w:val="00254C17"/>
    <w:rsid w:val="00255555"/>
    <w:rsid w:val="00255BF9"/>
    <w:rsid w:val="00256489"/>
    <w:rsid w:val="0025677D"/>
    <w:rsid w:val="00256852"/>
    <w:rsid w:val="00257583"/>
    <w:rsid w:val="00257B9B"/>
    <w:rsid w:val="00257C06"/>
    <w:rsid w:val="002600B8"/>
    <w:rsid w:val="00260567"/>
    <w:rsid w:val="002613F0"/>
    <w:rsid w:val="0026184C"/>
    <w:rsid w:val="00262C3E"/>
    <w:rsid w:val="00263D21"/>
    <w:rsid w:val="00265BF6"/>
    <w:rsid w:val="00267758"/>
    <w:rsid w:val="00267846"/>
    <w:rsid w:val="00267917"/>
    <w:rsid w:val="00270ABA"/>
    <w:rsid w:val="00270AC8"/>
    <w:rsid w:val="00270BEF"/>
    <w:rsid w:val="00271361"/>
    <w:rsid w:val="00272DBA"/>
    <w:rsid w:val="00273D91"/>
    <w:rsid w:val="00275801"/>
    <w:rsid w:val="00276E78"/>
    <w:rsid w:val="00277869"/>
    <w:rsid w:val="00277FAD"/>
    <w:rsid w:val="00280E3D"/>
    <w:rsid w:val="00281426"/>
    <w:rsid w:val="00282A91"/>
    <w:rsid w:val="00282EDB"/>
    <w:rsid w:val="002839B4"/>
    <w:rsid w:val="00284A1F"/>
    <w:rsid w:val="00284B14"/>
    <w:rsid w:val="002855A8"/>
    <w:rsid w:val="002858CB"/>
    <w:rsid w:val="00285F68"/>
    <w:rsid w:val="002865E2"/>
    <w:rsid w:val="00287327"/>
    <w:rsid w:val="00287CC0"/>
    <w:rsid w:val="00287D61"/>
    <w:rsid w:val="00287F07"/>
    <w:rsid w:val="0029021B"/>
    <w:rsid w:val="00290724"/>
    <w:rsid w:val="00290767"/>
    <w:rsid w:val="00291273"/>
    <w:rsid w:val="0029289B"/>
    <w:rsid w:val="002935DA"/>
    <w:rsid w:val="00294734"/>
    <w:rsid w:val="00294C4F"/>
    <w:rsid w:val="0029596A"/>
    <w:rsid w:val="00297B9B"/>
    <w:rsid w:val="002A0A4D"/>
    <w:rsid w:val="002A143F"/>
    <w:rsid w:val="002A23F6"/>
    <w:rsid w:val="002A27AE"/>
    <w:rsid w:val="002A33CA"/>
    <w:rsid w:val="002A407B"/>
    <w:rsid w:val="002A40F4"/>
    <w:rsid w:val="002A4F61"/>
    <w:rsid w:val="002A5107"/>
    <w:rsid w:val="002A51D8"/>
    <w:rsid w:val="002A51F8"/>
    <w:rsid w:val="002A5465"/>
    <w:rsid w:val="002A56B4"/>
    <w:rsid w:val="002A6BF4"/>
    <w:rsid w:val="002A7308"/>
    <w:rsid w:val="002A787A"/>
    <w:rsid w:val="002B0084"/>
    <w:rsid w:val="002B0A91"/>
    <w:rsid w:val="002B0EFE"/>
    <w:rsid w:val="002B1551"/>
    <w:rsid w:val="002B1AA7"/>
    <w:rsid w:val="002B2125"/>
    <w:rsid w:val="002B2987"/>
    <w:rsid w:val="002B44A7"/>
    <w:rsid w:val="002B4F2E"/>
    <w:rsid w:val="002B5515"/>
    <w:rsid w:val="002B6782"/>
    <w:rsid w:val="002B6A7C"/>
    <w:rsid w:val="002B6AA8"/>
    <w:rsid w:val="002C01E9"/>
    <w:rsid w:val="002C49B8"/>
    <w:rsid w:val="002C4CBD"/>
    <w:rsid w:val="002C4F37"/>
    <w:rsid w:val="002C595B"/>
    <w:rsid w:val="002C68F3"/>
    <w:rsid w:val="002D0FFF"/>
    <w:rsid w:val="002D19BE"/>
    <w:rsid w:val="002D1CFB"/>
    <w:rsid w:val="002D255E"/>
    <w:rsid w:val="002D2A23"/>
    <w:rsid w:val="002D2B25"/>
    <w:rsid w:val="002D2E0E"/>
    <w:rsid w:val="002D307A"/>
    <w:rsid w:val="002D371F"/>
    <w:rsid w:val="002D3AA3"/>
    <w:rsid w:val="002D54A2"/>
    <w:rsid w:val="002D68BE"/>
    <w:rsid w:val="002D759B"/>
    <w:rsid w:val="002D7D28"/>
    <w:rsid w:val="002E12A6"/>
    <w:rsid w:val="002E207D"/>
    <w:rsid w:val="002E2385"/>
    <w:rsid w:val="002E3A85"/>
    <w:rsid w:val="002E459C"/>
    <w:rsid w:val="002E4F10"/>
    <w:rsid w:val="002E5AE6"/>
    <w:rsid w:val="002E5B85"/>
    <w:rsid w:val="002F0DC9"/>
    <w:rsid w:val="002F142C"/>
    <w:rsid w:val="002F167A"/>
    <w:rsid w:val="002F1C69"/>
    <w:rsid w:val="002F1DA5"/>
    <w:rsid w:val="002F1FD6"/>
    <w:rsid w:val="002F21B8"/>
    <w:rsid w:val="002F2219"/>
    <w:rsid w:val="002F27E5"/>
    <w:rsid w:val="002F2931"/>
    <w:rsid w:val="002F39BA"/>
    <w:rsid w:val="002F425E"/>
    <w:rsid w:val="002F5531"/>
    <w:rsid w:val="002F55C4"/>
    <w:rsid w:val="002F5DBB"/>
    <w:rsid w:val="002F6266"/>
    <w:rsid w:val="002F6F34"/>
    <w:rsid w:val="002F7004"/>
    <w:rsid w:val="002F7C47"/>
    <w:rsid w:val="003004C0"/>
    <w:rsid w:val="003016A8"/>
    <w:rsid w:val="0030369D"/>
    <w:rsid w:val="00303D1E"/>
    <w:rsid w:val="003052B5"/>
    <w:rsid w:val="0030654F"/>
    <w:rsid w:val="00307176"/>
    <w:rsid w:val="00307C2B"/>
    <w:rsid w:val="0031128C"/>
    <w:rsid w:val="00311354"/>
    <w:rsid w:val="0031207F"/>
    <w:rsid w:val="00312A64"/>
    <w:rsid w:val="00312B07"/>
    <w:rsid w:val="00312C5E"/>
    <w:rsid w:val="00314869"/>
    <w:rsid w:val="00315039"/>
    <w:rsid w:val="003151F1"/>
    <w:rsid w:val="003156AE"/>
    <w:rsid w:val="00315782"/>
    <w:rsid w:val="00316D79"/>
    <w:rsid w:val="00317701"/>
    <w:rsid w:val="00317DFB"/>
    <w:rsid w:val="0032014A"/>
    <w:rsid w:val="00320BB5"/>
    <w:rsid w:val="00320E91"/>
    <w:rsid w:val="00321187"/>
    <w:rsid w:val="00322AC0"/>
    <w:rsid w:val="00322EB5"/>
    <w:rsid w:val="0032419F"/>
    <w:rsid w:val="00324515"/>
    <w:rsid w:val="00325465"/>
    <w:rsid w:val="00325DA0"/>
    <w:rsid w:val="00326083"/>
    <w:rsid w:val="0032642C"/>
    <w:rsid w:val="00327877"/>
    <w:rsid w:val="003304FC"/>
    <w:rsid w:val="0033072C"/>
    <w:rsid w:val="00332221"/>
    <w:rsid w:val="003327BC"/>
    <w:rsid w:val="00332FD6"/>
    <w:rsid w:val="00333CC4"/>
    <w:rsid w:val="00333FCA"/>
    <w:rsid w:val="0033425E"/>
    <w:rsid w:val="00334543"/>
    <w:rsid w:val="00335037"/>
    <w:rsid w:val="003361AE"/>
    <w:rsid w:val="00336C5A"/>
    <w:rsid w:val="00337523"/>
    <w:rsid w:val="00337B9F"/>
    <w:rsid w:val="003401CF"/>
    <w:rsid w:val="003401F3"/>
    <w:rsid w:val="00340FEB"/>
    <w:rsid w:val="0034131D"/>
    <w:rsid w:val="00341441"/>
    <w:rsid w:val="00341A4A"/>
    <w:rsid w:val="00341AF8"/>
    <w:rsid w:val="00342E67"/>
    <w:rsid w:val="003432E0"/>
    <w:rsid w:val="003445A6"/>
    <w:rsid w:val="00345011"/>
    <w:rsid w:val="00345641"/>
    <w:rsid w:val="00345DF5"/>
    <w:rsid w:val="00345FC9"/>
    <w:rsid w:val="003478E0"/>
    <w:rsid w:val="003516BA"/>
    <w:rsid w:val="00351820"/>
    <w:rsid w:val="00351D4D"/>
    <w:rsid w:val="003529BE"/>
    <w:rsid w:val="00353221"/>
    <w:rsid w:val="003538C4"/>
    <w:rsid w:val="003538CF"/>
    <w:rsid w:val="0035394B"/>
    <w:rsid w:val="00353C85"/>
    <w:rsid w:val="0035411A"/>
    <w:rsid w:val="0035478C"/>
    <w:rsid w:val="00354A83"/>
    <w:rsid w:val="00354C6E"/>
    <w:rsid w:val="003553E5"/>
    <w:rsid w:val="003564AB"/>
    <w:rsid w:val="00356676"/>
    <w:rsid w:val="00356AD4"/>
    <w:rsid w:val="00357928"/>
    <w:rsid w:val="00360699"/>
    <w:rsid w:val="00360913"/>
    <w:rsid w:val="00360D67"/>
    <w:rsid w:val="0036126C"/>
    <w:rsid w:val="00361720"/>
    <w:rsid w:val="00361CAE"/>
    <w:rsid w:val="003637A5"/>
    <w:rsid w:val="003638A9"/>
    <w:rsid w:val="003648B6"/>
    <w:rsid w:val="00366A21"/>
    <w:rsid w:val="00366ED4"/>
    <w:rsid w:val="00367079"/>
    <w:rsid w:val="00370695"/>
    <w:rsid w:val="003711A1"/>
    <w:rsid w:val="00371AC2"/>
    <w:rsid w:val="00371E7B"/>
    <w:rsid w:val="00372D2E"/>
    <w:rsid w:val="00373488"/>
    <w:rsid w:val="00373B32"/>
    <w:rsid w:val="00373B73"/>
    <w:rsid w:val="003740C9"/>
    <w:rsid w:val="00375269"/>
    <w:rsid w:val="00375369"/>
    <w:rsid w:val="00375E48"/>
    <w:rsid w:val="00376C94"/>
    <w:rsid w:val="00377A80"/>
    <w:rsid w:val="00377AD2"/>
    <w:rsid w:val="00377D7E"/>
    <w:rsid w:val="0038009B"/>
    <w:rsid w:val="00380A86"/>
    <w:rsid w:val="00382058"/>
    <w:rsid w:val="003827E3"/>
    <w:rsid w:val="00382AA2"/>
    <w:rsid w:val="00383172"/>
    <w:rsid w:val="003847DC"/>
    <w:rsid w:val="00390A14"/>
    <w:rsid w:val="003916DE"/>
    <w:rsid w:val="00391B33"/>
    <w:rsid w:val="0039215F"/>
    <w:rsid w:val="00392486"/>
    <w:rsid w:val="0039593F"/>
    <w:rsid w:val="003A018D"/>
    <w:rsid w:val="003A060E"/>
    <w:rsid w:val="003A07D1"/>
    <w:rsid w:val="003A15E4"/>
    <w:rsid w:val="003A19DF"/>
    <w:rsid w:val="003A1A79"/>
    <w:rsid w:val="003A26FB"/>
    <w:rsid w:val="003A2C91"/>
    <w:rsid w:val="003A3B63"/>
    <w:rsid w:val="003A3CDF"/>
    <w:rsid w:val="003A50D4"/>
    <w:rsid w:val="003A5854"/>
    <w:rsid w:val="003A5FCF"/>
    <w:rsid w:val="003B06D3"/>
    <w:rsid w:val="003B1E64"/>
    <w:rsid w:val="003B2DD8"/>
    <w:rsid w:val="003B483E"/>
    <w:rsid w:val="003B4C85"/>
    <w:rsid w:val="003B5149"/>
    <w:rsid w:val="003B736A"/>
    <w:rsid w:val="003C04C3"/>
    <w:rsid w:val="003C16A3"/>
    <w:rsid w:val="003C1722"/>
    <w:rsid w:val="003C31BC"/>
    <w:rsid w:val="003C3482"/>
    <w:rsid w:val="003C50C9"/>
    <w:rsid w:val="003C5F35"/>
    <w:rsid w:val="003C5FCB"/>
    <w:rsid w:val="003C7AD3"/>
    <w:rsid w:val="003C7FF6"/>
    <w:rsid w:val="003D0389"/>
    <w:rsid w:val="003D073E"/>
    <w:rsid w:val="003D0B4C"/>
    <w:rsid w:val="003D1763"/>
    <w:rsid w:val="003D1CA3"/>
    <w:rsid w:val="003D2180"/>
    <w:rsid w:val="003D236F"/>
    <w:rsid w:val="003D421B"/>
    <w:rsid w:val="003D53D1"/>
    <w:rsid w:val="003D5C1F"/>
    <w:rsid w:val="003D61C1"/>
    <w:rsid w:val="003D6EA3"/>
    <w:rsid w:val="003E00F6"/>
    <w:rsid w:val="003E020A"/>
    <w:rsid w:val="003E09D5"/>
    <w:rsid w:val="003E2D93"/>
    <w:rsid w:val="003E3B68"/>
    <w:rsid w:val="003E461C"/>
    <w:rsid w:val="003E646C"/>
    <w:rsid w:val="003E78A4"/>
    <w:rsid w:val="003E7D84"/>
    <w:rsid w:val="003E7FAF"/>
    <w:rsid w:val="003F06A1"/>
    <w:rsid w:val="003F0CA2"/>
    <w:rsid w:val="003F0D00"/>
    <w:rsid w:val="003F0D5D"/>
    <w:rsid w:val="003F1C31"/>
    <w:rsid w:val="003F247F"/>
    <w:rsid w:val="003F287E"/>
    <w:rsid w:val="003F3ACD"/>
    <w:rsid w:val="003F498F"/>
    <w:rsid w:val="003F533D"/>
    <w:rsid w:val="003F54CB"/>
    <w:rsid w:val="003F6578"/>
    <w:rsid w:val="003F65BC"/>
    <w:rsid w:val="003F771B"/>
    <w:rsid w:val="004000E0"/>
    <w:rsid w:val="004006B3"/>
    <w:rsid w:val="00400784"/>
    <w:rsid w:val="00400CA4"/>
    <w:rsid w:val="00400FD2"/>
    <w:rsid w:val="00401676"/>
    <w:rsid w:val="004022E5"/>
    <w:rsid w:val="00402AEA"/>
    <w:rsid w:val="00404FFE"/>
    <w:rsid w:val="00405FF7"/>
    <w:rsid w:val="00406167"/>
    <w:rsid w:val="00406758"/>
    <w:rsid w:val="004074BA"/>
    <w:rsid w:val="00407D4B"/>
    <w:rsid w:val="004107B7"/>
    <w:rsid w:val="00410AF7"/>
    <w:rsid w:val="004114B0"/>
    <w:rsid w:val="004122A8"/>
    <w:rsid w:val="00413CD3"/>
    <w:rsid w:val="00413DDA"/>
    <w:rsid w:val="00414E41"/>
    <w:rsid w:val="004156DD"/>
    <w:rsid w:val="004156FF"/>
    <w:rsid w:val="00415A34"/>
    <w:rsid w:val="00415B66"/>
    <w:rsid w:val="004169C1"/>
    <w:rsid w:val="00416DAC"/>
    <w:rsid w:val="00417314"/>
    <w:rsid w:val="00417C69"/>
    <w:rsid w:val="00420792"/>
    <w:rsid w:val="0042094D"/>
    <w:rsid w:val="00421108"/>
    <w:rsid w:val="004228CF"/>
    <w:rsid w:val="004233F5"/>
    <w:rsid w:val="00423638"/>
    <w:rsid w:val="00423920"/>
    <w:rsid w:val="0042395D"/>
    <w:rsid w:val="00423E04"/>
    <w:rsid w:val="004244A9"/>
    <w:rsid w:val="0042490A"/>
    <w:rsid w:val="004253BD"/>
    <w:rsid w:val="00425977"/>
    <w:rsid w:val="004260C1"/>
    <w:rsid w:val="004268E4"/>
    <w:rsid w:val="0043100F"/>
    <w:rsid w:val="004317E9"/>
    <w:rsid w:val="00431C92"/>
    <w:rsid w:val="00432F83"/>
    <w:rsid w:val="00433C5E"/>
    <w:rsid w:val="00433CC9"/>
    <w:rsid w:val="00434814"/>
    <w:rsid w:val="00434E86"/>
    <w:rsid w:val="00435A7C"/>
    <w:rsid w:val="00435DFB"/>
    <w:rsid w:val="00435FB9"/>
    <w:rsid w:val="00436B91"/>
    <w:rsid w:val="00441796"/>
    <w:rsid w:val="00443054"/>
    <w:rsid w:val="00444670"/>
    <w:rsid w:val="00444714"/>
    <w:rsid w:val="00444922"/>
    <w:rsid w:val="00444D36"/>
    <w:rsid w:val="004455F2"/>
    <w:rsid w:val="00446AAA"/>
    <w:rsid w:val="0045089C"/>
    <w:rsid w:val="004513AF"/>
    <w:rsid w:val="0045200D"/>
    <w:rsid w:val="00452A57"/>
    <w:rsid w:val="004537CC"/>
    <w:rsid w:val="004542B6"/>
    <w:rsid w:val="00454D8F"/>
    <w:rsid w:val="0045532A"/>
    <w:rsid w:val="004559F0"/>
    <w:rsid w:val="00457476"/>
    <w:rsid w:val="004576C3"/>
    <w:rsid w:val="00457A68"/>
    <w:rsid w:val="00457DA6"/>
    <w:rsid w:val="00461CF9"/>
    <w:rsid w:val="00463360"/>
    <w:rsid w:val="00463831"/>
    <w:rsid w:val="00463CD7"/>
    <w:rsid w:val="00464A12"/>
    <w:rsid w:val="00465688"/>
    <w:rsid w:val="00466FA9"/>
    <w:rsid w:val="004678CE"/>
    <w:rsid w:val="00471A96"/>
    <w:rsid w:val="00471B20"/>
    <w:rsid w:val="00472B4F"/>
    <w:rsid w:val="00473D97"/>
    <w:rsid w:val="00473DBD"/>
    <w:rsid w:val="00474317"/>
    <w:rsid w:val="004748C5"/>
    <w:rsid w:val="00474C0A"/>
    <w:rsid w:val="0047541A"/>
    <w:rsid w:val="0047549D"/>
    <w:rsid w:val="004757A0"/>
    <w:rsid w:val="00476392"/>
    <w:rsid w:val="004771A9"/>
    <w:rsid w:val="0047779B"/>
    <w:rsid w:val="00477D77"/>
    <w:rsid w:val="0048017D"/>
    <w:rsid w:val="00480CE0"/>
    <w:rsid w:val="00480F5D"/>
    <w:rsid w:val="00481577"/>
    <w:rsid w:val="00483E22"/>
    <w:rsid w:val="00484835"/>
    <w:rsid w:val="00484931"/>
    <w:rsid w:val="00484DA3"/>
    <w:rsid w:val="0048502E"/>
    <w:rsid w:val="0048664D"/>
    <w:rsid w:val="00487B00"/>
    <w:rsid w:val="00487EE5"/>
    <w:rsid w:val="004903FD"/>
    <w:rsid w:val="00490645"/>
    <w:rsid w:val="0049084B"/>
    <w:rsid w:val="0049203C"/>
    <w:rsid w:val="0049250A"/>
    <w:rsid w:val="00492C8F"/>
    <w:rsid w:val="00493F47"/>
    <w:rsid w:val="004951C5"/>
    <w:rsid w:val="004960D5"/>
    <w:rsid w:val="004963AD"/>
    <w:rsid w:val="00496949"/>
    <w:rsid w:val="0049717B"/>
    <w:rsid w:val="0049728C"/>
    <w:rsid w:val="00497437"/>
    <w:rsid w:val="00497C57"/>
    <w:rsid w:val="004A0CB9"/>
    <w:rsid w:val="004A334D"/>
    <w:rsid w:val="004A33D3"/>
    <w:rsid w:val="004A3805"/>
    <w:rsid w:val="004A38F6"/>
    <w:rsid w:val="004A46D4"/>
    <w:rsid w:val="004A5077"/>
    <w:rsid w:val="004A5EA1"/>
    <w:rsid w:val="004A5EB2"/>
    <w:rsid w:val="004A6038"/>
    <w:rsid w:val="004A6150"/>
    <w:rsid w:val="004A74E8"/>
    <w:rsid w:val="004A7B81"/>
    <w:rsid w:val="004B0BEA"/>
    <w:rsid w:val="004B0EAA"/>
    <w:rsid w:val="004B1029"/>
    <w:rsid w:val="004B21C0"/>
    <w:rsid w:val="004B2F0E"/>
    <w:rsid w:val="004B3151"/>
    <w:rsid w:val="004B3E6A"/>
    <w:rsid w:val="004B4C30"/>
    <w:rsid w:val="004B5716"/>
    <w:rsid w:val="004B587A"/>
    <w:rsid w:val="004B5F87"/>
    <w:rsid w:val="004B6317"/>
    <w:rsid w:val="004B6F83"/>
    <w:rsid w:val="004B7F74"/>
    <w:rsid w:val="004C0306"/>
    <w:rsid w:val="004C0428"/>
    <w:rsid w:val="004C0640"/>
    <w:rsid w:val="004C0919"/>
    <w:rsid w:val="004C09D9"/>
    <w:rsid w:val="004C0F2F"/>
    <w:rsid w:val="004C1522"/>
    <w:rsid w:val="004C2111"/>
    <w:rsid w:val="004C27D8"/>
    <w:rsid w:val="004C4283"/>
    <w:rsid w:val="004C45CB"/>
    <w:rsid w:val="004C49BA"/>
    <w:rsid w:val="004C517F"/>
    <w:rsid w:val="004C51B9"/>
    <w:rsid w:val="004C5250"/>
    <w:rsid w:val="004C526E"/>
    <w:rsid w:val="004C5293"/>
    <w:rsid w:val="004C5FF1"/>
    <w:rsid w:val="004C6BC5"/>
    <w:rsid w:val="004C73FD"/>
    <w:rsid w:val="004D10FC"/>
    <w:rsid w:val="004D2CED"/>
    <w:rsid w:val="004D2D38"/>
    <w:rsid w:val="004D35E5"/>
    <w:rsid w:val="004D3EAC"/>
    <w:rsid w:val="004D4263"/>
    <w:rsid w:val="004D47EA"/>
    <w:rsid w:val="004D4CE9"/>
    <w:rsid w:val="004D6673"/>
    <w:rsid w:val="004D781C"/>
    <w:rsid w:val="004E0B5F"/>
    <w:rsid w:val="004E15D5"/>
    <w:rsid w:val="004E1768"/>
    <w:rsid w:val="004E295D"/>
    <w:rsid w:val="004E2B00"/>
    <w:rsid w:val="004E306B"/>
    <w:rsid w:val="004E33C3"/>
    <w:rsid w:val="004E4054"/>
    <w:rsid w:val="004E5240"/>
    <w:rsid w:val="004E6FCF"/>
    <w:rsid w:val="004E7336"/>
    <w:rsid w:val="004F0711"/>
    <w:rsid w:val="004F094C"/>
    <w:rsid w:val="004F0FBF"/>
    <w:rsid w:val="004F2C39"/>
    <w:rsid w:val="004F34A8"/>
    <w:rsid w:val="004F361E"/>
    <w:rsid w:val="004F38E6"/>
    <w:rsid w:val="004F3B51"/>
    <w:rsid w:val="004F3C21"/>
    <w:rsid w:val="004F4E0B"/>
    <w:rsid w:val="004F50B7"/>
    <w:rsid w:val="004F51DE"/>
    <w:rsid w:val="004F5522"/>
    <w:rsid w:val="004F567B"/>
    <w:rsid w:val="004F59CA"/>
    <w:rsid w:val="004F61A2"/>
    <w:rsid w:val="004F6217"/>
    <w:rsid w:val="004F6E63"/>
    <w:rsid w:val="004F6F73"/>
    <w:rsid w:val="004F76F7"/>
    <w:rsid w:val="00500405"/>
    <w:rsid w:val="005006C9"/>
    <w:rsid w:val="005014E8"/>
    <w:rsid w:val="005025E7"/>
    <w:rsid w:val="00502832"/>
    <w:rsid w:val="00502B6A"/>
    <w:rsid w:val="0050338F"/>
    <w:rsid w:val="005047D6"/>
    <w:rsid w:val="005050E1"/>
    <w:rsid w:val="00505997"/>
    <w:rsid w:val="00505CBF"/>
    <w:rsid w:val="005060D0"/>
    <w:rsid w:val="005064BC"/>
    <w:rsid w:val="00506725"/>
    <w:rsid w:val="00507386"/>
    <w:rsid w:val="005073EF"/>
    <w:rsid w:val="00510049"/>
    <w:rsid w:val="00510645"/>
    <w:rsid w:val="0051183C"/>
    <w:rsid w:val="00511A97"/>
    <w:rsid w:val="00512B55"/>
    <w:rsid w:val="00513DE8"/>
    <w:rsid w:val="00513FBD"/>
    <w:rsid w:val="00515A0E"/>
    <w:rsid w:val="00516030"/>
    <w:rsid w:val="005200FB"/>
    <w:rsid w:val="00520459"/>
    <w:rsid w:val="005207F6"/>
    <w:rsid w:val="00520FB2"/>
    <w:rsid w:val="00521563"/>
    <w:rsid w:val="00521BED"/>
    <w:rsid w:val="00521F94"/>
    <w:rsid w:val="00523D80"/>
    <w:rsid w:val="00524565"/>
    <w:rsid w:val="005246FB"/>
    <w:rsid w:val="005249E3"/>
    <w:rsid w:val="00525A86"/>
    <w:rsid w:val="0052613D"/>
    <w:rsid w:val="005262E2"/>
    <w:rsid w:val="005264F8"/>
    <w:rsid w:val="00526ADE"/>
    <w:rsid w:val="0052710A"/>
    <w:rsid w:val="00530EC7"/>
    <w:rsid w:val="00531BEE"/>
    <w:rsid w:val="00531E06"/>
    <w:rsid w:val="0053240B"/>
    <w:rsid w:val="00532A36"/>
    <w:rsid w:val="00532F8A"/>
    <w:rsid w:val="00533622"/>
    <w:rsid w:val="00533899"/>
    <w:rsid w:val="0053434A"/>
    <w:rsid w:val="00535762"/>
    <w:rsid w:val="00535DEF"/>
    <w:rsid w:val="00537069"/>
    <w:rsid w:val="00540025"/>
    <w:rsid w:val="0054015D"/>
    <w:rsid w:val="005412EE"/>
    <w:rsid w:val="00541D23"/>
    <w:rsid w:val="00543D14"/>
    <w:rsid w:val="005444CA"/>
    <w:rsid w:val="00544F85"/>
    <w:rsid w:val="00545293"/>
    <w:rsid w:val="00545565"/>
    <w:rsid w:val="00546038"/>
    <w:rsid w:val="00546343"/>
    <w:rsid w:val="0054687B"/>
    <w:rsid w:val="005477FA"/>
    <w:rsid w:val="00547A44"/>
    <w:rsid w:val="00547C05"/>
    <w:rsid w:val="00550B3C"/>
    <w:rsid w:val="005518FA"/>
    <w:rsid w:val="00551952"/>
    <w:rsid w:val="00551B51"/>
    <w:rsid w:val="0055214C"/>
    <w:rsid w:val="00552A19"/>
    <w:rsid w:val="00553D3E"/>
    <w:rsid w:val="00553D47"/>
    <w:rsid w:val="0055443C"/>
    <w:rsid w:val="00554990"/>
    <w:rsid w:val="00554AB3"/>
    <w:rsid w:val="00556D8C"/>
    <w:rsid w:val="00556DDB"/>
    <w:rsid w:val="00556E0A"/>
    <w:rsid w:val="0055787B"/>
    <w:rsid w:val="00560B97"/>
    <w:rsid w:val="00560EE4"/>
    <w:rsid w:val="0056126A"/>
    <w:rsid w:val="00562046"/>
    <w:rsid w:val="005639C3"/>
    <w:rsid w:val="005645DA"/>
    <w:rsid w:val="00564D75"/>
    <w:rsid w:val="00565B91"/>
    <w:rsid w:val="00565E66"/>
    <w:rsid w:val="00565FB1"/>
    <w:rsid w:val="00566479"/>
    <w:rsid w:val="00566E53"/>
    <w:rsid w:val="005674FB"/>
    <w:rsid w:val="005710E6"/>
    <w:rsid w:val="00571D7C"/>
    <w:rsid w:val="00571FD2"/>
    <w:rsid w:val="0057477A"/>
    <w:rsid w:val="00575360"/>
    <w:rsid w:val="005754AC"/>
    <w:rsid w:val="00576111"/>
    <w:rsid w:val="005800DE"/>
    <w:rsid w:val="005809E3"/>
    <w:rsid w:val="005810FE"/>
    <w:rsid w:val="00581C05"/>
    <w:rsid w:val="005826A4"/>
    <w:rsid w:val="00582A41"/>
    <w:rsid w:val="00582B6E"/>
    <w:rsid w:val="00584270"/>
    <w:rsid w:val="005847BC"/>
    <w:rsid w:val="00584C94"/>
    <w:rsid w:val="00584D21"/>
    <w:rsid w:val="005851D0"/>
    <w:rsid w:val="00585A86"/>
    <w:rsid w:val="005860E4"/>
    <w:rsid w:val="00587B89"/>
    <w:rsid w:val="00587EC3"/>
    <w:rsid w:val="00591F70"/>
    <w:rsid w:val="00592210"/>
    <w:rsid w:val="00592724"/>
    <w:rsid w:val="0059380A"/>
    <w:rsid w:val="00593B36"/>
    <w:rsid w:val="00594524"/>
    <w:rsid w:val="005947D2"/>
    <w:rsid w:val="005965AA"/>
    <w:rsid w:val="00596F5B"/>
    <w:rsid w:val="005976A6"/>
    <w:rsid w:val="005977CE"/>
    <w:rsid w:val="005979F2"/>
    <w:rsid w:val="005A00BC"/>
    <w:rsid w:val="005A053C"/>
    <w:rsid w:val="005A08E2"/>
    <w:rsid w:val="005A10AD"/>
    <w:rsid w:val="005A17C1"/>
    <w:rsid w:val="005A42B3"/>
    <w:rsid w:val="005A453B"/>
    <w:rsid w:val="005A485D"/>
    <w:rsid w:val="005A569C"/>
    <w:rsid w:val="005A7B38"/>
    <w:rsid w:val="005B0E97"/>
    <w:rsid w:val="005B1512"/>
    <w:rsid w:val="005B2691"/>
    <w:rsid w:val="005B30FB"/>
    <w:rsid w:val="005B3245"/>
    <w:rsid w:val="005B328A"/>
    <w:rsid w:val="005B6345"/>
    <w:rsid w:val="005B6DD2"/>
    <w:rsid w:val="005B6F56"/>
    <w:rsid w:val="005B6F5A"/>
    <w:rsid w:val="005B709A"/>
    <w:rsid w:val="005B7331"/>
    <w:rsid w:val="005B79EF"/>
    <w:rsid w:val="005B7B2A"/>
    <w:rsid w:val="005C01C6"/>
    <w:rsid w:val="005C0B7A"/>
    <w:rsid w:val="005C0FAB"/>
    <w:rsid w:val="005C2B1C"/>
    <w:rsid w:val="005C3632"/>
    <w:rsid w:val="005C4125"/>
    <w:rsid w:val="005C4587"/>
    <w:rsid w:val="005C6EDC"/>
    <w:rsid w:val="005D1B3A"/>
    <w:rsid w:val="005D1E11"/>
    <w:rsid w:val="005D1E58"/>
    <w:rsid w:val="005D1FBF"/>
    <w:rsid w:val="005D28DF"/>
    <w:rsid w:val="005D454A"/>
    <w:rsid w:val="005D4821"/>
    <w:rsid w:val="005D4CA4"/>
    <w:rsid w:val="005D5B24"/>
    <w:rsid w:val="005D672F"/>
    <w:rsid w:val="005D750A"/>
    <w:rsid w:val="005D7AC9"/>
    <w:rsid w:val="005E033A"/>
    <w:rsid w:val="005E0941"/>
    <w:rsid w:val="005E09C7"/>
    <w:rsid w:val="005E1A5B"/>
    <w:rsid w:val="005E231B"/>
    <w:rsid w:val="005E2725"/>
    <w:rsid w:val="005E307C"/>
    <w:rsid w:val="005E36C4"/>
    <w:rsid w:val="005E647A"/>
    <w:rsid w:val="005E654B"/>
    <w:rsid w:val="005E6A86"/>
    <w:rsid w:val="005E6B00"/>
    <w:rsid w:val="005E708C"/>
    <w:rsid w:val="005E712E"/>
    <w:rsid w:val="005E79F5"/>
    <w:rsid w:val="005E7D01"/>
    <w:rsid w:val="005F11AA"/>
    <w:rsid w:val="005F1919"/>
    <w:rsid w:val="005F1D5C"/>
    <w:rsid w:val="005F232F"/>
    <w:rsid w:val="005F321F"/>
    <w:rsid w:val="005F4EBD"/>
    <w:rsid w:val="005F530B"/>
    <w:rsid w:val="005F590F"/>
    <w:rsid w:val="005F623C"/>
    <w:rsid w:val="005F6525"/>
    <w:rsid w:val="005F7BC5"/>
    <w:rsid w:val="006003D7"/>
    <w:rsid w:val="00600BB5"/>
    <w:rsid w:val="006014DB"/>
    <w:rsid w:val="006042FA"/>
    <w:rsid w:val="0060635D"/>
    <w:rsid w:val="00607924"/>
    <w:rsid w:val="006108EE"/>
    <w:rsid w:val="00611C7D"/>
    <w:rsid w:val="006121E6"/>
    <w:rsid w:val="00614CD6"/>
    <w:rsid w:val="00615A26"/>
    <w:rsid w:val="00615A2E"/>
    <w:rsid w:val="00620EE4"/>
    <w:rsid w:val="00623A9C"/>
    <w:rsid w:val="0062428C"/>
    <w:rsid w:val="0062429B"/>
    <w:rsid w:val="00624805"/>
    <w:rsid w:val="00625A02"/>
    <w:rsid w:val="00625AE7"/>
    <w:rsid w:val="00630415"/>
    <w:rsid w:val="006325C7"/>
    <w:rsid w:val="00633139"/>
    <w:rsid w:val="0063358D"/>
    <w:rsid w:val="006345CE"/>
    <w:rsid w:val="006353B1"/>
    <w:rsid w:val="006354F8"/>
    <w:rsid w:val="00637C2D"/>
    <w:rsid w:val="00640B08"/>
    <w:rsid w:val="00641F45"/>
    <w:rsid w:val="00642CC9"/>
    <w:rsid w:val="00644079"/>
    <w:rsid w:val="00644124"/>
    <w:rsid w:val="0064422E"/>
    <w:rsid w:val="00644768"/>
    <w:rsid w:val="00645926"/>
    <w:rsid w:val="0064648C"/>
    <w:rsid w:val="00646B58"/>
    <w:rsid w:val="00646BEB"/>
    <w:rsid w:val="00646CCB"/>
    <w:rsid w:val="00646E28"/>
    <w:rsid w:val="0065199F"/>
    <w:rsid w:val="006521B2"/>
    <w:rsid w:val="006532B4"/>
    <w:rsid w:val="0065351F"/>
    <w:rsid w:val="00653DAD"/>
    <w:rsid w:val="00656339"/>
    <w:rsid w:val="0065675E"/>
    <w:rsid w:val="00657030"/>
    <w:rsid w:val="006608F1"/>
    <w:rsid w:val="00660B06"/>
    <w:rsid w:val="00660C1B"/>
    <w:rsid w:val="00660E5B"/>
    <w:rsid w:val="0066192D"/>
    <w:rsid w:val="00662C01"/>
    <w:rsid w:val="00663874"/>
    <w:rsid w:val="00663B24"/>
    <w:rsid w:val="00664167"/>
    <w:rsid w:val="00664EE2"/>
    <w:rsid w:val="00664EE4"/>
    <w:rsid w:val="00665365"/>
    <w:rsid w:val="00665C01"/>
    <w:rsid w:val="00665D6C"/>
    <w:rsid w:val="0066697F"/>
    <w:rsid w:val="006675A7"/>
    <w:rsid w:val="00667C59"/>
    <w:rsid w:val="0067002C"/>
    <w:rsid w:val="00670AEB"/>
    <w:rsid w:val="00670BB2"/>
    <w:rsid w:val="00670D99"/>
    <w:rsid w:val="00671837"/>
    <w:rsid w:val="00672D7C"/>
    <w:rsid w:val="00673AF8"/>
    <w:rsid w:val="00673B28"/>
    <w:rsid w:val="006741D7"/>
    <w:rsid w:val="00674F70"/>
    <w:rsid w:val="00675836"/>
    <w:rsid w:val="00675F43"/>
    <w:rsid w:val="00677315"/>
    <w:rsid w:val="00677720"/>
    <w:rsid w:val="00680304"/>
    <w:rsid w:val="00680AF4"/>
    <w:rsid w:val="006811EF"/>
    <w:rsid w:val="0068124D"/>
    <w:rsid w:val="00681E06"/>
    <w:rsid w:val="00681F3E"/>
    <w:rsid w:val="00682612"/>
    <w:rsid w:val="0068332B"/>
    <w:rsid w:val="00683A3A"/>
    <w:rsid w:val="00683DF4"/>
    <w:rsid w:val="00683F6B"/>
    <w:rsid w:val="006841B2"/>
    <w:rsid w:val="006851B1"/>
    <w:rsid w:val="0068575A"/>
    <w:rsid w:val="00685792"/>
    <w:rsid w:val="00685C63"/>
    <w:rsid w:val="006863DE"/>
    <w:rsid w:val="00686729"/>
    <w:rsid w:val="00687549"/>
    <w:rsid w:val="006879C6"/>
    <w:rsid w:val="00687C33"/>
    <w:rsid w:val="00693567"/>
    <w:rsid w:val="006936A2"/>
    <w:rsid w:val="00693826"/>
    <w:rsid w:val="00694C49"/>
    <w:rsid w:val="00694F01"/>
    <w:rsid w:val="006954FE"/>
    <w:rsid w:val="006955B0"/>
    <w:rsid w:val="006960E4"/>
    <w:rsid w:val="00696202"/>
    <w:rsid w:val="00696451"/>
    <w:rsid w:val="0069745E"/>
    <w:rsid w:val="006974A5"/>
    <w:rsid w:val="00697815"/>
    <w:rsid w:val="00697E55"/>
    <w:rsid w:val="00697F65"/>
    <w:rsid w:val="006A01AD"/>
    <w:rsid w:val="006A1957"/>
    <w:rsid w:val="006A29F4"/>
    <w:rsid w:val="006A2CB0"/>
    <w:rsid w:val="006A35D9"/>
    <w:rsid w:val="006A38D8"/>
    <w:rsid w:val="006A409E"/>
    <w:rsid w:val="006A42E4"/>
    <w:rsid w:val="006A48A0"/>
    <w:rsid w:val="006A49AE"/>
    <w:rsid w:val="006A4C36"/>
    <w:rsid w:val="006A4E0B"/>
    <w:rsid w:val="006A5922"/>
    <w:rsid w:val="006A5BDE"/>
    <w:rsid w:val="006A72DB"/>
    <w:rsid w:val="006B02B6"/>
    <w:rsid w:val="006B0C53"/>
    <w:rsid w:val="006B0CAA"/>
    <w:rsid w:val="006B12C4"/>
    <w:rsid w:val="006B140F"/>
    <w:rsid w:val="006B22E3"/>
    <w:rsid w:val="006B25FF"/>
    <w:rsid w:val="006B2655"/>
    <w:rsid w:val="006B2E16"/>
    <w:rsid w:val="006B33B9"/>
    <w:rsid w:val="006B3A47"/>
    <w:rsid w:val="006B47E3"/>
    <w:rsid w:val="006B488E"/>
    <w:rsid w:val="006B4A48"/>
    <w:rsid w:val="006B4BB5"/>
    <w:rsid w:val="006B5229"/>
    <w:rsid w:val="006B531B"/>
    <w:rsid w:val="006B670E"/>
    <w:rsid w:val="006B703C"/>
    <w:rsid w:val="006B7D34"/>
    <w:rsid w:val="006B7F0A"/>
    <w:rsid w:val="006C120F"/>
    <w:rsid w:val="006C1937"/>
    <w:rsid w:val="006C27E7"/>
    <w:rsid w:val="006C4B00"/>
    <w:rsid w:val="006C553A"/>
    <w:rsid w:val="006C5A9C"/>
    <w:rsid w:val="006C5FB5"/>
    <w:rsid w:val="006C62C2"/>
    <w:rsid w:val="006C66F7"/>
    <w:rsid w:val="006D0EA1"/>
    <w:rsid w:val="006D1D39"/>
    <w:rsid w:val="006D247B"/>
    <w:rsid w:val="006D2641"/>
    <w:rsid w:val="006D3A34"/>
    <w:rsid w:val="006D47E5"/>
    <w:rsid w:val="006D5035"/>
    <w:rsid w:val="006D5977"/>
    <w:rsid w:val="006D5CC1"/>
    <w:rsid w:val="006D64BD"/>
    <w:rsid w:val="006D670E"/>
    <w:rsid w:val="006D749F"/>
    <w:rsid w:val="006D7971"/>
    <w:rsid w:val="006D7E3B"/>
    <w:rsid w:val="006E075F"/>
    <w:rsid w:val="006E0F7E"/>
    <w:rsid w:val="006E10A3"/>
    <w:rsid w:val="006E20FB"/>
    <w:rsid w:val="006E23CE"/>
    <w:rsid w:val="006E2C5D"/>
    <w:rsid w:val="006E2F60"/>
    <w:rsid w:val="006E30F9"/>
    <w:rsid w:val="006E37D9"/>
    <w:rsid w:val="006E3A3C"/>
    <w:rsid w:val="006E3AB7"/>
    <w:rsid w:val="006E573E"/>
    <w:rsid w:val="006E7A2C"/>
    <w:rsid w:val="006F0DC7"/>
    <w:rsid w:val="006F2037"/>
    <w:rsid w:val="006F3688"/>
    <w:rsid w:val="006F6F59"/>
    <w:rsid w:val="006F7B4D"/>
    <w:rsid w:val="00700CFE"/>
    <w:rsid w:val="0070166C"/>
    <w:rsid w:val="0070179E"/>
    <w:rsid w:val="0070369F"/>
    <w:rsid w:val="0070413A"/>
    <w:rsid w:val="00704DDE"/>
    <w:rsid w:val="00704F07"/>
    <w:rsid w:val="007057DA"/>
    <w:rsid w:val="007064A9"/>
    <w:rsid w:val="00706BF8"/>
    <w:rsid w:val="00706F65"/>
    <w:rsid w:val="00713786"/>
    <w:rsid w:val="00714375"/>
    <w:rsid w:val="007150E0"/>
    <w:rsid w:val="0071570C"/>
    <w:rsid w:val="00716231"/>
    <w:rsid w:val="00716581"/>
    <w:rsid w:val="0071668F"/>
    <w:rsid w:val="00720741"/>
    <w:rsid w:val="00721CDE"/>
    <w:rsid w:val="0072397A"/>
    <w:rsid w:val="00723F5C"/>
    <w:rsid w:val="007248A2"/>
    <w:rsid w:val="00725BD0"/>
    <w:rsid w:val="007260FC"/>
    <w:rsid w:val="00726990"/>
    <w:rsid w:val="00726C7F"/>
    <w:rsid w:val="00727E80"/>
    <w:rsid w:val="007300B0"/>
    <w:rsid w:val="00730C03"/>
    <w:rsid w:val="007318FD"/>
    <w:rsid w:val="00731FF9"/>
    <w:rsid w:val="00732C61"/>
    <w:rsid w:val="0073344D"/>
    <w:rsid w:val="00735043"/>
    <w:rsid w:val="0073551E"/>
    <w:rsid w:val="00735886"/>
    <w:rsid w:val="007369F5"/>
    <w:rsid w:val="00736BF7"/>
    <w:rsid w:val="0073763A"/>
    <w:rsid w:val="0073783F"/>
    <w:rsid w:val="0074005B"/>
    <w:rsid w:val="00741379"/>
    <w:rsid w:val="00741518"/>
    <w:rsid w:val="0074192F"/>
    <w:rsid w:val="00741C93"/>
    <w:rsid w:val="00741EFF"/>
    <w:rsid w:val="007432EA"/>
    <w:rsid w:val="00743517"/>
    <w:rsid w:val="00744442"/>
    <w:rsid w:val="00745253"/>
    <w:rsid w:val="00745AA1"/>
    <w:rsid w:val="00745BB9"/>
    <w:rsid w:val="0074643A"/>
    <w:rsid w:val="00747049"/>
    <w:rsid w:val="00747412"/>
    <w:rsid w:val="007476D2"/>
    <w:rsid w:val="00747972"/>
    <w:rsid w:val="00747D83"/>
    <w:rsid w:val="007509EF"/>
    <w:rsid w:val="00750D6E"/>
    <w:rsid w:val="00751ADB"/>
    <w:rsid w:val="00754F83"/>
    <w:rsid w:val="007555E4"/>
    <w:rsid w:val="00756074"/>
    <w:rsid w:val="00756F56"/>
    <w:rsid w:val="00757C04"/>
    <w:rsid w:val="00757CCB"/>
    <w:rsid w:val="007612AA"/>
    <w:rsid w:val="0076179F"/>
    <w:rsid w:val="00761866"/>
    <w:rsid w:val="007619FB"/>
    <w:rsid w:val="00761BE9"/>
    <w:rsid w:val="007626BD"/>
    <w:rsid w:val="00765666"/>
    <w:rsid w:val="007657DA"/>
    <w:rsid w:val="00766053"/>
    <w:rsid w:val="00766FA8"/>
    <w:rsid w:val="007703FE"/>
    <w:rsid w:val="00770B14"/>
    <w:rsid w:val="00771928"/>
    <w:rsid w:val="00771B62"/>
    <w:rsid w:val="00773AFA"/>
    <w:rsid w:val="0077449D"/>
    <w:rsid w:val="00774A2E"/>
    <w:rsid w:val="0078270A"/>
    <w:rsid w:val="00782FD6"/>
    <w:rsid w:val="00783AA6"/>
    <w:rsid w:val="00783BE7"/>
    <w:rsid w:val="00783EC5"/>
    <w:rsid w:val="007856F9"/>
    <w:rsid w:val="0078571B"/>
    <w:rsid w:val="00785D24"/>
    <w:rsid w:val="007865C4"/>
    <w:rsid w:val="00787650"/>
    <w:rsid w:val="00787B67"/>
    <w:rsid w:val="00790169"/>
    <w:rsid w:val="007913AE"/>
    <w:rsid w:val="0079236F"/>
    <w:rsid w:val="0079247D"/>
    <w:rsid w:val="007928E4"/>
    <w:rsid w:val="00793A0F"/>
    <w:rsid w:val="00796E2A"/>
    <w:rsid w:val="007A05E0"/>
    <w:rsid w:val="007A0C45"/>
    <w:rsid w:val="007A1061"/>
    <w:rsid w:val="007A2386"/>
    <w:rsid w:val="007A3F71"/>
    <w:rsid w:val="007A4712"/>
    <w:rsid w:val="007A703C"/>
    <w:rsid w:val="007A70ED"/>
    <w:rsid w:val="007B015F"/>
    <w:rsid w:val="007B0ECE"/>
    <w:rsid w:val="007B1EC1"/>
    <w:rsid w:val="007B3A08"/>
    <w:rsid w:val="007B4552"/>
    <w:rsid w:val="007B57F7"/>
    <w:rsid w:val="007B5E79"/>
    <w:rsid w:val="007B63C0"/>
    <w:rsid w:val="007B6CE6"/>
    <w:rsid w:val="007B7A72"/>
    <w:rsid w:val="007B7EA9"/>
    <w:rsid w:val="007B7F48"/>
    <w:rsid w:val="007C0C22"/>
    <w:rsid w:val="007C224F"/>
    <w:rsid w:val="007C2EFE"/>
    <w:rsid w:val="007C31F6"/>
    <w:rsid w:val="007C3D21"/>
    <w:rsid w:val="007C4906"/>
    <w:rsid w:val="007C4AA7"/>
    <w:rsid w:val="007C4CD5"/>
    <w:rsid w:val="007C505A"/>
    <w:rsid w:val="007C5632"/>
    <w:rsid w:val="007C5AA4"/>
    <w:rsid w:val="007C5D27"/>
    <w:rsid w:val="007C6900"/>
    <w:rsid w:val="007C786E"/>
    <w:rsid w:val="007C7F40"/>
    <w:rsid w:val="007D03F9"/>
    <w:rsid w:val="007D0D37"/>
    <w:rsid w:val="007D0DF3"/>
    <w:rsid w:val="007D24BF"/>
    <w:rsid w:val="007D273A"/>
    <w:rsid w:val="007D278B"/>
    <w:rsid w:val="007D2B30"/>
    <w:rsid w:val="007D45B8"/>
    <w:rsid w:val="007D4860"/>
    <w:rsid w:val="007D4885"/>
    <w:rsid w:val="007D4E72"/>
    <w:rsid w:val="007D6970"/>
    <w:rsid w:val="007E0C4D"/>
    <w:rsid w:val="007E0FF4"/>
    <w:rsid w:val="007E1A2D"/>
    <w:rsid w:val="007E3DE8"/>
    <w:rsid w:val="007E4194"/>
    <w:rsid w:val="007E45E0"/>
    <w:rsid w:val="007E49AE"/>
    <w:rsid w:val="007E4D96"/>
    <w:rsid w:val="007E4DFA"/>
    <w:rsid w:val="007E4EAF"/>
    <w:rsid w:val="007E5712"/>
    <w:rsid w:val="007E5AA3"/>
    <w:rsid w:val="007E6098"/>
    <w:rsid w:val="007E7615"/>
    <w:rsid w:val="007F0441"/>
    <w:rsid w:val="007F2FD1"/>
    <w:rsid w:val="007F45BE"/>
    <w:rsid w:val="007F4620"/>
    <w:rsid w:val="007F4B0E"/>
    <w:rsid w:val="007F4C67"/>
    <w:rsid w:val="007F52DF"/>
    <w:rsid w:val="007F5C8E"/>
    <w:rsid w:val="007F67F8"/>
    <w:rsid w:val="00800658"/>
    <w:rsid w:val="00801357"/>
    <w:rsid w:val="00801EB4"/>
    <w:rsid w:val="00802D21"/>
    <w:rsid w:val="00804137"/>
    <w:rsid w:val="00804285"/>
    <w:rsid w:val="00804C56"/>
    <w:rsid w:val="0080506B"/>
    <w:rsid w:val="00805370"/>
    <w:rsid w:val="008067E0"/>
    <w:rsid w:val="00806EE5"/>
    <w:rsid w:val="008103B5"/>
    <w:rsid w:val="00813BC7"/>
    <w:rsid w:val="0081594D"/>
    <w:rsid w:val="00815B55"/>
    <w:rsid w:val="00815C56"/>
    <w:rsid w:val="00816250"/>
    <w:rsid w:val="00816AE5"/>
    <w:rsid w:val="00817711"/>
    <w:rsid w:val="00820522"/>
    <w:rsid w:val="00821544"/>
    <w:rsid w:val="008215CB"/>
    <w:rsid w:val="00821660"/>
    <w:rsid w:val="008218A6"/>
    <w:rsid w:val="0082272D"/>
    <w:rsid w:val="008227E3"/>
    <w:rsid w:val="008236B6"/>
    <w:rsid w:val="00823B78"/>
    <w:rsid w:val="00823D73"/>
    <w:rsid w:val="008240C2"/>
    <w:rsid w:val="00824428"/>
    <w:rsid w:val="00824ABE"/>
    <w:rsid w:val="008255BA"/>
    <w:rsid w:val="00825F0C"/>
    <w:rsid w:val="00826E27"/>
    <w:rsid w:val="00826EFD"/>
    <w:rsid w:val="008270C2"/>
    <w:rsid w:val="00827615"/>
    <w:rsid w:val="00827776"/>
    <w:rsid w:val="00830492"/>
    <w:rsid w:val="00830AED"/>
    <w:rsid w:val="008329E9"/>
    <w:rsid w:val="00832C00"/>
    <w:rsid w:val="008338DD"/>
    <w:rsid w:val="00834DE7"/>
    <w:rsid w:val="0083522C"/>
    <w:rsid w:val="008355D8"/>
    <w:rsid w:val="00835AC1"/>
    <w:rsid w:val="00836B07"/>
    <w:rsid w:val="0084018A"/>
    <w:rsid w:val="00841383"/>
    <w:rsid w:val="008416EC"/>
    <w:rsid w:val="008425EF"/>
    <w:rsid w:val="008427F7"/>
    <w:rsid w:val="008429B9"/>
    <w:rsid w:val="00842A3D"/>
    <w:rsid w:val="00843761"/>
    <w:rsid w:val="008446B6"/>
    <w:rsid w:val="0084540C"/>
    <w:rsid w:val="00847521"/>
    <w:rsid w:val="0084775A"/>
    <w:rsid w:val="00850323"/>
    <w:rsid w:val="00850874"/>
    <w:rsid w:val="00850CE9"/>
    <w:rsid w:val="00851001"/>
    <w:rsid w:val="008537D4"/>
    <w:rsid w:val="00855618"/>
    <w:rsid w:val="0085593E"/>
    <w:rsid w:val="00855AAA"/>
    <w:rsid w:val="00856168"/>
    <w:rsid w:val="00857114"/>
    <w:rsid w:val="0086039B"/>
    <w:rsid w:val="008608B6"/>
    <w:rsid w:val="00860F3C"/>
    <w:rsid w:val="00861146"/>
    <w:rsid w:val="00861399"/>
    <w:rsid w:val="00862ECE"/>
    <w:rsid w:val="0086354A"/>
    <w:rsid w:val="00864057"/>
    <w:rsid w:val="00864BF5"/>
    <w:rsid w:val="00867175"/>
    <w:rsid w:val="00867DAD"/>
    <w:rsid w:val="008702A6"/>
    <w:rsid w:val="008711F2"/>
    <w:rsid w:val="00872768"/>
    <w:rsid w:val="00872D74"/>
    <w:rsid w:val="0087300E"/>
    <w:rsid w:val="00873027"/>
    <w:rsid w:val="0087317C"/>
    <w:rsid w:val="00873B6A"/>
    <w:rsid w:val="00874155"/>
    <w:rsid w:val="0087498C"/>
    <w:rsid w:val="008749EA"/>
    <w:rsid w:val="008754C8"/>
    <w:rsid w:val="00875E33"/>
    <w:rsid w:val="00876282"/>
    <w:rsid w:val="0087684C"/>
    <w:rsid w:val="008778F3"/>
    <w:rsid w:val="008802FC"/>
    <w:rsid w:val="008808D8"/>
    <w:rsid w:val="00880C48"/>
    <w:rsid w:val="00880F2D"/>
    <w:rsid w:val="008812F3"/>
    <w:rsid w:val="00881A77"/>
    <w:rsid w:val="00881DDE"/>
    <w:rsid w:val="00882945"/>
    <w:rsid w:val="00883B74"/>
    <w:rsid w:val="00883D71"/>
    <w:rsid w:val="00886573"/>
    <w:rsid w:val="00886FCD"/>
    <w:rsid w:val="008872DC"/>
    <w:rsid w:val="0088764A"/>
    <w:rsid w:val="00887C5F"/>
    <w:rsid w:val="00891E82"/>
    <w:rsid w:val="008922D8"/>
    <w:rsid w:val="008925E0"/>
    <w:rsid w:val="00892BA5"/>
    <w:rsid w:val="008938A4"/>
    <w:rsid w:val="00893E42"/>
    <w:rsid w:val="00895C2D"/>
    <w:rsid w:val="0089605C"/>
    <w:rsid w:val="00897372"/>
    <w:rsid w:val="008A2C93"/>
    <w:rsid w:val="008A4E00"/>
    <w:rsid w:val="008A56BD"/>
    <w:rsid w:val="008A5FA4"/>
    <w:rsid w:val="008A6619"/>
    <w:rsid w:val="008A69C9"/>
    <w:rsid w:val="008A6ADE"/>
    <w:rsid w:val="008A6D39"/>
    <w:rsid w:val="008A7591"/>
    <w:rsid w:val="008B0B9E"/>
    <w:rsid w:val="008B1293"/>
    <w:rsid w:val="008B1B8A"/>
    <w:rsid w:val="008B29AD"/>
    <w:rsid w:val="008B4011"/>
    <w:rsid w:val="008B4106"/>
    <w:rsid w:val="008B422E"/>
    <w:rsid w:val="008B4941"/>
    <w:rsid w:val="008B49AF"/>
    <w:rsid w:val="008B4BB7"/>
    <w:rsid w:val="008B7172"/>
    <w:rsid w:val="008B75C7"/>
    <w:rsid w:val="008B78D9"/>
    <w:rsid w:val="008C013E"/>
    <w:rsid w:val="008C01FD"/>
    <w:rsid w:val="008C02ED"/>
    <w:rsid w:val="008C0E05"/>
    <w:rsid w:val="008C0EC4"/>
    <w:rsid w:val="008C10BE"/>
    <w:rsid w:val="008C2868"/>
    <w:rsid w:val="008C2A1D"/>
    <w:rsid w:val="008C2FE9"/>
    <w:rsid w:val="008C3394"/>
    <w:rsid w:val="008C3658"/>
    <w:rsid w:val="008C3EC4"/>
    <w:rsid w:val="008C49EC"/>
    <w:rsid w:val="008C4B84"/>
    <w:rsid w:val="008C6A51"/>
    <w:rsid w:val="008C6E51"/>
    <w:rsid w:val="008D138D"/>
    <w:rsid w:val="008D1B58"/>
    <w:rsid w:val="008D1F0A"/>
    <w:rsid w:val="008D29EF"/>
    <w:rsid w:val="008D2F73"/>
    <w:rsid w:val="008D3DA9"/>
    <w:rsid w:val="008D3E9A"/>
    <w:rsid w:val="008D45FC"/>
    <w:rsid w:val="008D5CBA"/>
    <w:rsid w:val="008D744B"/>
    <w:rsid w:val="008E0D26"/>
    <w:rsid w:val="008E1472"/>
    <w:rsid w:val="008E1D82"/>
    <w:rsid w:val="008E2181"/>
    <w:rsid w:val="008E21AE"/>
    <w:rsid w:val="008E2EDB"/>
    <w:rsid w:val="008E311D"/>
    <w:rsid w:val="008E35EB"/>
    <w:rsid w:val="008E42AE"/>
    <w:rsid w:val="008E46A6"/>
    <w:rsid w:val="008E474D"/>
    <w:rsid w:val="008E4D7B"/>
    <w:rsid w:val="008E510F"/>
    <w:rsid w:val="008E56A7"/>
    <w:rsid w:val="008E5973"/>
    <w:rsid w:val="008E5A90"/>
    <w:rsid w:val="008E681A"/>
    <w:rsid w:val="008E732C"/>
    <w:rsid w:val="008E777D"/>
    <w:rsid w:val="008F0C20"/>
    <w:rsid w:val="008F170E"/>
    <w:rsid w:val="008F1DB7"/>
    <w:rsid w:val="008F263F"/>
    <w:rsid w:val="008F5B67"/>
    <w:rsid w:val="008F6E60"/>
    <w:rsid w:val="008F7329"/>
    <w:rsid w:val="008F76CC"/>
    <w:rsid w:val="008F782E"/>
    <w:rsid w:val="00903446"/>
    <w:rsid w:val="00903B1C"/>
    <w:rsid w:val="009077E7"/>
    <w:rsid w:val="009100C1"/>
    <w:rsid w:val="0091029F"/>
    <w:rsid w:val="00910948"/>
    <w:rsid w:val="00910AA5"/>
    <w:rsid w:val="00910B90"/>
    <w:rsid w:val="00911456"/>
    <w:rsid w:val="00911AE9"/>
    <w:rsid w:val="009133FC"/>
    <w:rsid w:val="009143D9"/>
    <w:rsid w:val="009147B3"/>
    <w:rsid w:val="009169F4"/>
    <w:rsid w:val="009171C5"/>
    <w:rsid w:val="00917FB9"/>
    <w:rsid w:val="00920B87"/>
    <w:rsid w:val="00920FD2"/>
    <w:rsid w:val="0092154F"/>
    <w:rsid w:val="009223B2"/>
    <w:rsid w:val="00922C9F"/>
    <w:rsid w:val="00923126"/>
    <w:rsid w:val="00923261"/>
    <w:rsid w:val="00923A7F"/>
    <w:rsid w:val="00924410"/>
    <w:rsid w:val="00924546"/>
    <w:rsid w:val="00925052"/>
    <w:rsid w:val="00926263"/>
    <w:rsid w:val="009262E9"/>
    <w:rsid w:val="009267D8"/>
    <w:rsid w:val="0092695C"/>
    <w:rsid w:val="00926BDC"/>
    <w:rsid w:val="00926D50"/>
    <w:rsid w:val="00930227"/>
    <w:rsid w:val="00931041"/>
    <w:rsid w:val="0093112A"/>
    <w:rsid w:val="009316BF"/>
    <w:rsid w:val="00931ACB"/>
    <w:rsid w:val="009323B9"/>
    <w:rsid w:val="00932D57"/>
    <w:rsid w:val="00932F88"/>
    <w:rsid w:val="009334CB"/>
    <w:rsid w:val="009358FD"/>
    <w:rsid w:val="0093685C"/>
    <w:rsid w:val="00936CD4"/>
    <w:rsid w:val="0093747B"/>
    <w:rsid w:val="00937ADD"/>
    <w:rsid w:val="00937B20"/>
    <w:rsid w:val="0094020D"/>
    <w:rsid w:val="009408AC"/>
    <w:rsid w:val="009409DE"/>
    <w:rsid w:val="0094232B"/>
    <w:rsid w:val="00942EEB"/>
    <w:rsid w:val="00943993"/>
    <w:rsid w:val="00943DBD"/>
    <w:rsid w:val="009440F9"/>
    <w:rsid w:val="00944DBA"/>
    <w:rsid w:val="0094564A"/>
    <w:rsid w:val="00945728"/>
    <w:rsid w:val="00945F5F"/>
    <w:rsid w:val="009466A0"/>
    <w:rsid w:val="00946806"/>
    <w:rsid w:val="0094685F"/>
    <w:rsid w:val="00946C22"/>
    <w:rsid w:val="00950AF3"/>
    <w:rsid w:val="009515F5"/>
    <w:rsid w:val="00952669"/>
    <w:rsid w:val="00952AC3"/>
    <w:rsid w:val="009532DF"/>
    <w:rsid w:val="00953431"/>
    <w:rsid w:val="0095348C"/>
    <w:rsid w:val="009534F1"/>
    <w:rsid w:val="00954629"/>
    <w:rsid w:val="0095511A"/>
    <w:rsid w:val="00955BC3"/>
    <w:rsid w:val="0095616F"/>
    <w:rsid w:val="009571A3"/>
    <w:rsid w:val="009614B1"/>
    <w:rsid w:val="00961F83"/>
    <w:rsid w:val="0096340A"/>
    <w:rsid w:val="00963E79"/>
    <w:rsid w:val="00965ABF"/>
    <w:rsid w:val="00965E11"/>
    <w:rsid w:val="0097064A"/>
    <w:rsid w:val="00970C52"/>
    <w:rsid w:val="00970C88"/>
    <w:rsid w:val="00972F12"/>
    <w:rsid w:val="0097469A"/>
    <w:rsid w:val="00975A7B"/>
    <w:rsid w:val="00976F29"/>
    <w:rsid w:val="0097761F"/>
    <w:rsid w:val="00980380"/>
    <w:rsid w:val="00980FC1"/>
    <w:rsid w:val="00982031"/>
    <w:rsid w:val="00983408"/>
    <w:rsid w:val="00983CC6"/>
    <w:rsid w:val="00984903"/>
    <w:rsid w:val="00984BDD"/>
    <w:rsid w:val="00984CDA"/>
    <w:rsid w:val="00984F9C"/>
    <w:rsid w:val="009862CF"/>
    <w:rsid w:val="00986C7D"/>
    <w:rsid w:val="00986E75"/>
    <w:rsid w:val="00987995"/>
    <w:rsid w:val="00990909"/>
    <w:rsid w:val="00990DAE"/>
    <w:rsid w:val="00991978"/>
    <w:rsid w:val="0099252A"/>
    <w:rsid w:val="00993824"/>
    <w:rsid w:val="00994C63"/>
    <w:rsid w:val="00995BA0"/>
    <w:rsid w:val="009965F7"/>
    <w:rsid w:val="0099662F"/>
    <w:rsid w:val="009A04D3"/>
    <w:rsid w:val="009A07BE"/>
    <w:rsid w:val="009A23D0"/>
    <w:rsid w:val="009A55A8"/>
    <w:rsid w:val="009A59C2"/>
    <w:rsid w:val="009A59DD"/>
    <w:rsid w:val="009A6C67"/>
    <w:rsid w:val="009A766B"/>
    <w:rsid w:val="009A77C5"/>
    <w:rsid w:val="009A799A"/>
    <w:rsid w:val="009B03FC"/>
    <w:rsid w:val="009B065A"/>
    <w:rsid w:val="009B0D5F"/>
    <w:rsid w:val="009B10C7"/>
    <w:rsid w:val="009B1CF6"/>
    <w:rsid w:val="009B2260"/>
    <w:rsid w:val="009B2491"/>
    <w:rsid w:val="009B3573"/>
    <w:rsid w:val="009B3B52"/>
    <w:rsid w:val="009B48DA"/>
    <w:rsid w:val="009B505B"/>
    <w:rsid w:val="009B6659"/>
    <w:rsid w:val="009B7888"/>
    <w:rsid w:val="009B79E4"/>
    <w:rsid w:val="009C0B67"/>
    <w:rsid w:val="009C0DCA"/>
    <w:rsid w:val="009C16E3"/>
    <w:rsid w:val="009C1C9C"/>
    <w:rsid w:val="009C2838"/>
    <w:rsid w:val="009C2877"/>
    <w:rsid w:val="009C3C63"/>
    <w:rsid w:val="009C47F4"/>
    <w:rsid w:val="009C48B3"/>
    <w:rsid w:val="009C4911"/>
    <w:rsid w:val="009C5600"/>
    <w:rsid w:val="009C5796"/>
    <w:rsid w:val="009C6442"/>
    <w:rsid w:val="009C65D5"/>
    <w:rsid w:val="009C6B72"/>
    <w:rsid w:val="009C7188"/>
    <w:rsid w:val="009C7865"/>
    <w:rsid w:val="009D00D8"/>
    <w:rsid w:val="009D1334"/>
    <w:rsid w:val="009D1C72"/>
    <w:rsid w:val="009D1D9C"/>
    <w:rsid w:val="009D21A2"/>
    <w:rsid w:val="009D24D4"/>
    <w:rsid w:val="009D2521"/>
    <w:rsid w:val="009D27B2"/>
    <w:rsid w:val="009D2D08"/>
    <w:rsid w:val="009D2ED5"/>
    <w:rsid w:val="009D4F3F"/>
    <w:rsid w:val="009D5DDE"/>
    <w:rsid w:val="009D61A5"/>
    <w:rsid w:val="009D66DE"/>
    <w:rsid w:val="009D71C7"/>
    <w:rsid w:val="009D79B4"/>
    <w:rsid w:val="009D7E26"/>
    <w:rsid w:val="009D7E68"/>
    <w:rsid w:val="009E042D"/>
    <w:rsid w:val="009E06AB"/>
    <w:rsid w:val="009E1DEB"/>
    <w:rsid w:val="009E2896"/>
    <w:rsid w:val="009E3160"/>
    <w:rsid w:val="009E5536"/>
    <w:rsid w:val="009E56BA"/>
    <w:rsid w:val="009E5B96"/>
    <w:rsid w:val="009E63AF"/>
    <w:rsid w:val="009E7008"/>
    <w:rsid w:val="009E74C2"/>
    <w:rsid w:val="009E769C"/>
    <w:rsid w:val="009F0E77"/>
    <w:rsid w:val="009F0E8A"/>
    <w:rsid w:val="009F1367"/>
    <w:rsid w:val="009F1410"/>
    <w:rsid w:val="009F1B26"/>
    <w:rsid w:val="009F1DC9"/>
    <w:rsid w:val="009F2F2A"/>
    <w:rsid w:val="009F3BE9"/>
    <w:rsid w:val="009F58A7"/>
    <w:rsid w:val="009F61D7"/>
    <w:rsid w:val="009F6358"/>
    <w:rsid w:val="009F75CE"/>
    <w:rsid w:val="009F790B"/>
    <w:rsid w:val="009F7DA3"/>
    <w:rsid w:val="00A0095D"/>
    <w:rsid w:val="00A00976"/>
    <w:rsid w:val="00A00B1B"/>
    <w:rsid w:val="00A01847"/>
    <w:rsid w:val="00A020DC"/>
    <w:rsid w:val="00A02FF4"/>
    <w:rsid w:val="00A033E6"/>
    <w:rsid w:val="00A0406E"/>
    <w:rsid w:val="00A04C6C"/>
    <w:rsid w:val="00A05436"/>
    <w:rsid w:val="00A06924"/>
    <w:rsid w:val="00A07C15"/>
    <w:rsid w:val="00A104A5"/>
    <w:rsid w:val="00A112FF"/>
    <w:rsid w:val="00A12893"/>
    <w:rsid w:val="00A13881"/>
    <w:rsid w:val="00A13E52"/>
    <w:rsid w:val="00A144F2"/>
    <w:rsid w:val="00A14D04"/>
    <w:rsid w:val="00A15766"/>
    <w:rsid w:val="00A16E61"/>
    <w:rsid w:val="00A17B22"/>
    <w:rsid w:val="00A2064B"/>
    <w:rsid w:val="00A20B06"/>
    <w:rsid w:val="00A211B8"/>
    <w:rsid w:val="00A21E94"/>
    <w:rsid w:val="00A2325F"/>
    <w:rsid w:val="00A235A2"/>
    <w:rsid w:val="00A23749"/>
    <w:rsid w:val="00A24359"/>
    <w:rsid w:val="00A24594"/>
    <w:rsid w:val="00A25CCE"/>
    <w:rsid w:val="00A27AE0"/>
    <w:rsid w:val="00A30ED6"/>
    <w:rsid w:val="00A311E1"/>
    <w:rsid w:val="00A31DCE"/>
    <w:rsid w:val="00A33DEB"/>
    <w:rsid w:val="00A3401E"/>
    <w:rsid w:val="00A3445F"/>
    <w:rsid w:val="00A3507E"/>
    <w:rsid w:val="00A35471"/>
    <w:rsid w:val="00A35C4F"/>
    <w:rsid w:val="00A36880"/>
    <w:rsid w:val="00A36C44"/>
    <w:rsid w:val="00A377E9"/>
    <w:rsid w:val="00A40A4A"/>
    <w:rsid w:val="00A40E64"/>
    <w:rsid w:val="00A415C2"/>
    <w:rsid w:val="00A42685"/>
    <w:rsid w:val="00A42B99"/>
    <w:rsid w:val="00A4304F"/>
    <w:rsid w:val="00A439DD"/>
    <w:rsid w:val="00A43AC6"/>
    <w:rsid w:val="00A43B1E"/>
    <w:rsid w:val="00A447F7"/>
    <w:rsid w:val="00A44D01"/>
    <w:rsid w:val="00A44F96"/>
    <w:rsid w:val="00A45F9C"/>
    <w:rsid w:val="00A46B1A"/>
    <w:rsid w:val="00A46E38"/>
    <w:rsid w:val="00A50737"/>
    <w:rsid w:val="00A5104D"/>
    <w:rsid w:val="00A51B26"/>
    <w:rsid w:val="00A51CC4"/>
    <w:rsid w:val="00A51F48"/>
    <w:rsid w:val="00A5281F"/>
    <w:rsid w:val="00A52935"/>
    <w:rsid w:val="00A53466"/>
    <w:rsid w:val="00A536F5"/>
    <w:rsid w:val="00A53D38"/>
    <w:rsid w:val="00A544D8"/>
    <w:rsid w:val="00A54787"/>
    <w:rsid w:val="00A54BE6"/>
    <w:rsid w:val="00A55239"/>
    <w:rsid w:val="00A56355"/>
    <w:rsid w:val="00A565C8"/>
    <w:rsid w:val="00A57351"/>
    <w:rsid w:val="00A609DC"/>
    <w:rsid w:val="00A60CC6"/>
    <w:rsid w:val="00A61388"/>
    <w:rsid w:val="00A61AA8"/>
    <w:rsid w:val="00A61CE3"/>
    <w:rsid w:val="00A630D2"/>
    <w:rsid w:val="00A6445E"/>
    <w:rsid w:val="00A644BD"/>
    <w:rsid w:val="00A64FAE"/>
    <w:rsid w:val="00A65287"/>
    <w:rsid w:val="00A65746"/>
    <w:rsid w:val="00A65755"/>
    <w:rsid w:val="00A673AB"/>
    <w:rsid w:val="00A67AEE"/>
    <w:rsid w:val="00A70085"/>
    <w:rsid w:val="00A70B72"/>
    <w:rsid w:val="00A73508"/>
    <w:rsid w:val="00A74965"/>
    <w:rsid w:val="00A7712E"/>
    <w:rsid w:val="00A7741B"/>
    <w:rsid w:val="00A77C3D"/>
    <w:rsid w:val="00A80A0E"/>
    <w:rsid w:val="00A81DE9"/>
    <w:rsid w:val="00A81FF7"/>
    <w:rsid w:val="00A822EC"/>
    <w:rsid w:val="00A835F5"/>
    <w:rsid w:val="00A836A9"/>
    <w:rsid w:val="00A8507C"/>
    <w:rsid w:val="00A852C4"/>
    <w:rsid w:val="00A85519"/>
    <w:rsid w:val="00A867E6"/>
    <w:rsid w:val="00A87811"/>
    <w:rsid w:val="00A8791C"/>
    <w:rsid w:val="00A87EF0"/>
    <w:rsid w:val="00A91CF7"/>
    <w:rsid w:val="00A92250"/>
    <w:rsid w:val="00A94429"/>
    <w:rsid w:val="00A948BF"/>
    <w:rsid w:val="00A9556B"/>
    <w:rsid w:val="00A95637"/>
    <w:rsid w:val="00A95B87"/>
    <w:rsid w:val="00A95F7B"/>
    <w:rsid w:val="00A967D3"/>
    <w:rsid w:val="00A9709B"/>
    <w:rsid w:val="00A97AEC"/>
    <w:rsid w:val="00AA01F7"/>
    <w:rsid w:val="00AA165D"/>
    <w:rsid w:val="00AA1E21"/>
    <w:rsid w:val="00AA1FF5"/>
    <w:rsid w:val="00AA2D9D"/>
    <w:rsid w:val="00AA39B0"/>
    <w:rsid w:val="00AA3DD7"/>
    <w:rsid w:val="00AA75D4"/>
    <w:rsid w:val="00AA75DC"/>
    <w:rsid w:val="00AA79A1"/>
    <w:rsid w:val="00AA7E4C"/>
    <w:rsid w:val="00AB0310"/>
    <w:rsid w:val="00AB1856"/>
    <w:rsid w:val="00AB2572"/>
    <w:rsid w:val="00AB3785"/>
    <w:rsid w:val="00AB3C22"/>
    <w:rsid w:val="00AB4721"/>
    <w:rsid w:val="00AB4D1E"/>
    <w:rsid w:val="00AB5FF8"/>
    <w:rsid w:val="00AB6091"/>
    <w:rsid w:val="00AB7618"/>
    <w:rsid w:val="00AB7DA0"/>
    <w:rsid w:val="00AC03B1"/>
    <w:rsid w:val="00AC03BE"/>
    <w:rsid w:val="00AC0A86"/>
    <w:rsid w:val="00AC0C5D"/>
    <w:rsid w:val="00AC27D8"/>
    <w:rsid w:val="00AC3A6A"/>
    <w:rsid w:val="00AC3B94"/>
    <w:rsid w:val="00AC44F8"/>
    <w:rsid w:val="00AC4B70"/>
    <w:rsid w:val="00AC598D"/>
    <w:rsid w:val="00AC5A1C"/>
    <w:rsid w:val="00AC5A68"/>
    <w:rsid w:val="00AC6F82"/>
    <w:rsid w:val="00AC739B"/>
    <w:rsid w:val="00AC7E75"/>
    <w:rsid w:val="00AC7FC5"/>
    <w:rsid w:val="00AD0AE8"/>
    <w:rsid w:val="00AD1251"/>
    <w:rsid w:val="00AD2C66"/>
    <w:rsid w:val="00AD3BA1"/>
    <w:rsid w:val="00AD4D9F"/>
    <w:rsid w:val="00AD4FF5"/>
    <w:rsid w:val="00AD566F"/>
    <w:rsid w:val="00AD617C"/>
    <w:rsid w:val="00AD682C"/>
    <w:rsid w:val="00AD6DD7"/>
    <w:rsid w:val="00AD6F97"/>
    <w:rsid w:val="00AD7BC4"/>
    <w:rsid w:val="00AD7DDF"/>
    <w:rsid w:val="00AE07DA"/>
    <w:rsid w:val="00AE10AC"/>
    <w:rsid w:val="00AE1597"/>
    <w:rsid w:val="00AE1A74"/>
    <w:rsid w:val="00AE2077"/>
    <w:rsid w:val="00AE303D"/>
    <w:rsid w:val="00AE415B"/>
    <w:rsid w:val="00AE49C9"/>
    <w:rsid w:val="00AE4ACB"/>
    <w:rsid w:val="00AE5755"/>
    <w:rsid w:val="00AE5B84"/>
    <w:rsid w:val="00AE7EC6"/>
    <w:rsid w:val="00AF0E9D"/>
    <w:rsid w:val="00AF1F5D"/>
    <w:rsid w:val="00AF2034"/>
    <w:rsid w:val="00AF2BD4"/>
    <w:rsid w:val="00AF2D1E"/>
    <w:rsid w:val="00AF3ADA"/>
    <w:rsid w:val="00AF3C92"/>
    <w:rsid w:val="00AF4979"/>
    <w:rsid w:val="00AF4AEF"/>
    <w:rsid w:val="00AF51FC"/>
    <w:rsid w:val="00AF599A"/>
    <w:rsid w:val="00AF5C74"/>
    <w:rsid w:val="00AF5F82"/>
    <w:rsid w:val="00AF6CB0"/>
    <w:rsid w:val="00AF6F2E"/>
    <w:rsid w:val="00AF72C6"/>
    <w:rsid w:val="00B01423"/>
    <w:rsid w:val="00B02412"/>
    <w:rsid w:val="00B02819"/>
    <w:rsid w:val="00B04704"/>
    <w:rsid w:val="00B053FF"/>
    <w:rsid w:val="00B05C17"/>
    <w:rsid w:val="00B061AF"/>
    <w:rsid w:val="00B07342"/>
    <w:rsid w:val="00B07ABF"/>
    <w:rsid w:val="00B10719"/>
    <w:rsid w:val="00B108A4"/>
    <w:rsid w:val="00B11046"/>
    <w:rsid w:val="00B11217"/>
    <w:rsid w:val="00B1139B"/>
    <w:rsid w:val="00B11B9A"/>
    <w:rsid w:val="00B11EE4"/>
    <w:rsid w:val="00B13DD8"/>
    <w:rsid w:val="00B14687"/>
    <w:rsid w:val="00B146B3"/>
    <w:rsid w:val="00B15452"/>
    <w:rsid w:val="00B1623A"/>
    <w:rsid w:val="00B170C9"/>
    <w:rsid w:val="00B17A39"/>
    <w:rsid w:val="00B21476"/>
    <w:rsid w:val="00B21935"/>
    <w:rsid w:val="00B21E3A"/>
    <w:rsid w:val="00B21F7F"/>
    <w:rsid w:val="00B23FEC"/>
    <w:rsid w:val="00B2470C"/>
    <w:rsid w:val="00B256BE"/>
    <w:rsid w:val="00B25EB9"/>
    <w:rsid w:val="00B275AD"/>
    <w:rsid w:val="00B3078E"/>
    <w:rsid w:val="00B3110C"/>
    <w:rsid w:val="00B31509"/>
    <w:rsid w:val="00B31A60"/>
    <w:rsid w:val="00B31BB3"/>
    <w:rsid w:val="00B325F4"/>
    <w:rsid w:val="00B3321A"/>
    <w:rsid w:val="00B33916"/>
    <w:rsid w:val="00B33C9D"/>
    <w:rsid w:val="00B344F9"/>
    <w:rsid w:val="00B35095"/>
    <w:rsid w:val="00B3605A"/>
    <w:rsid w:val="00B36A9C"/>
    <w:rsid w:val="00B36FEA"/>
    <w:rsid w:val="00B37743"/>
    <w:rsid w:val="00B3775A"/>
    <w:rsid w:val="00B3776A"/>
    <w:rsid w:val="00B402CD"/>
    <w:rsid w:val="00B406BE"/>
    <w:rsid w:val="00B41924"/>
    <w:rsid w:val="00B41C8E"/>
    <w:rsid w:val="00B42F98"/>
    <w:rsid w:val="00B43372"/>
    <w:rsid w:val="00B43E2B"/>
    <w:rsid w:val="00B44736"/>
    <w:rsid w:val="00B4592C"/>
    <w:rsid w:val="00B4698C"/>
    <w:rsid w:val="00B476FB"/>
    <w:rsid w:val="00B5238D"/>
    <w:rsid w:val="00B52D24"/>
    <w:rsid w:val="00B53753"/>
    <w:rsid w:val="00B53BCA"/>
    <w:rsid w:val="00B54AE0"/>
    <w:rsid w:val="00B54C2F"/>
    <w:rsid w:val="00B56112"/>
    <w:rsid w:val="00B566D5"/>
    <w:rsid w:val="00B56FFC"/>
    <w:rsid w:val="00B60ACA"/>
    <w:rsid w:val="00B61F8E"/>
    <w:rsid w:val="00B620AF"/>
    <w:rsid w:val="00B6246D"/>
    <w:rsid w:val="00B624D6"/>
    <w:rsid w:val="00B62813"/>
    <w:rsid w:val="00B62D29"/>
    <w:rsid w:val="00B6413E"/>
    <w:rsid w:val="00B642D8"/>
    <w:rsid w:val="00B647A9"/>
    <w:rsid w:val="00B65C18"/>
    <w:rsid w:val="00B66520"/>
    <w:rsid w:val="00B669AD"/>
    <w:rsid w:val="00B6797B"/>
    <w:rsid w:val="00B70AE3"/>
    <w:rsid w:val="00B71780"/>
    <w:rsid w:val="00B7272F"/>
    <w:rsid w:val="00B72EDB"/>
    <w:rsid w:val="00B7339A"/>
    <w:rsid w:val="00B739EC"/>
    <w:rsid w:val="00B73C6D"/>
    <w:rsid w:val="00B74C1D"/>
    <w:rsid w:val="00B7564E"/>
    <w:rsid w:val="00B75BF2"/>
    <w:rsid w:val="00B765B3"/>
    <w:rsid w:val="00B76B79"/>
    <w:rsid w:val="00B76BDB"/>
    <w:rsid w:val="00B777C2"/>
    <w:rsid w:val="00B77EBA"/>
    <w:rsid w:val="00B77F92"/>
    <w:rsid w:val="00B82084"/>
    <w:rsid w:val="00B8307A"/>
    <w:rsid w:val="00B83807"/>
    <w:rsid w:val="00B848F8"/>
    <w:rsid w:val="00B84A39"/>
    <w:rsid w:val="00B8529F"/>
    <w:rsid w:val="00B85639"/>
    <w:rsid w:val="00B85C69"/>
    <w:rsid w:val="00B86607"/>
    <w:rsid w:val="00B8681B"/>
    <w:rsid w:val="00B90614"/>
    <w:rsid w:val="00B9075C"/>
    <w:rsid w:val="00B90F81"/>
    <w:rsid w:val="00B921D7"/>
    <w:rsid w:val="00B922AE"/>
    <w:rsid w:val="00B926AF"/>
    <w:rsid w:val="00B92C76"/>
    <w:rsid w:val="00B95099"/>
    <w:rsid w:val="00B9582E"/>
    <w:rsid w:val="00B96949"/>
    <w:rsid w:val="00B97053"/>
    <w:rsid w:val="00B9730E"/>
    <w:rsid w:val="00B97F42"/>
    <w:rsid w:val="00BA0519"/>
    <w:rsid w:val="00BA0C39"/>
    <w:rsid w:val="00BA1CB2"/>
    <w:rsid w:val="00BA1CB9"/>
    <w:rsid w:val="00BA395A"/>
    <w:rsid w:val="00BA40B7"/>
    <w:rsid w:val="00BA4397"/>
    <w:rsid w:val="00BA47B3"/>
    <w:rsid w:val="00BA538C"/>
    <w:rsid w:val="00BA581E"/>
    <w:rsid w:val="00BA5860"/>
    <w:rsid w:val="00BA6E9D"/>
    <w:rsid w:val="00BA721D"/>
    <w:rsid w:val="00BA7B0E"/>
    <w:rsid w:val="00BB00D2"/>
    <w:rsid w:val="00BB01D5"/>
    <w:rsid w:val="00BB020F"/>
    <w:rsid w:val="00BB06AF"/>
    <w:rsid w:val="00BB1793"/>
    <w:rsid w:val="00BB253B"/>
    <w:rsid w:val="00BB3C74"/>
    <w:rsid w:val="00BB46AD"/>
    <w:rsid w:val="00BB572D"/>
    <w:rsid w:val="00BB7003"/>
    <w:rsid w:val="00BB734A"/>
    <w:rsid w:val="00BB7974"/>
    <w:rsid w:val="00BC03CA"/>
    <w:rsid w:val="00BC0A06"/>
    <w:rsid w:val="00BC0D6E"/>
    <w:rsid w:val="00BC1CA0"/>
    <w:rsid w:val="00BC2486"/>
    <w:rsid w:val="00BC273A"/>
    <w:rsid w:val="00BC28A4"/>
    <w:rsid w:val="00BC2A74"/>
    <w:rsid w:val="00BC3D28"/>
    <w:rsid w:val="00BC4638"/>
    <w:rsid w:val="00BC49D8"/>
    <w:rsid w:val="00BC49EA"/>
    <w:rsid w:val="00BC5355"/>
    <w:rsid w:val="00BC6C48"/>
    <w:rsid w:val="00BC6F10"/>
    <w:rsid w:val="00BC7189"/>
    <w:rsid w:val="00BC74D7"/>
    <w:rsid w:val="00BD016F"/>
    <w:rsid w:val="00BD0C9F"/>
    <w:rsid w:val="00BD1165"/>
    <w:rsid w:val="00BD1461"/>
    <w:rsid w:val="00BD1DD9"/>
    <w:rsid w:val="00BD2B19"/>
    <w:rsid w:val="00BD2C07"/>
    <w:rsid w:val="00BD2D14"/>
    <w:rsid w:val="00BD3A45"/>
    <w:rsid w:val="00BD49E8"/>
    <w:rsid w:val="00BD5064"/>
    <w:rsid w:val="00BD5385"/>
    <w:rsid w:val="00BD6D2C"/>
    <w:rsid w:val="00BD726A"/>
    <w:rsid w:val="00BE079A"/>
    <w:rsid w:val="00BE08D9"/>
    <w:rsid w:val="00BE0BA2"/>
    <w:rsid w:val="00BE1888"/>
    <w:rsid w:val="00BE19B0"/>
    <w:rsid w:val="00BE2085"/>
    <w:rsid w:val="00BE27CC"/>
    <w:rsid w:val="00BE2D84"/>
    <w:rsid w:val="00BE2F95"/>
    <w:rsid w:val="00BE4AAB"/>
    <w:rsid w:val="00BE4F39"/>
    <w:rsid w:val="00BE692F"/>
    <w:rsid w:val="00BF0216"/>
    <w:rsid w:val="00BF0845"/>
    <w:rsid w:val="00BF08D2"/>
    <w:rsid w:val="00BF24B7"/>
    <w:rsid w:val="00BF270E"/>
    <w:rsid w:val="00BF340F"/>
    <w:rsid w:val="00BF37A7"/>
    <w:rsid w:val="00BF3B3A"/>
    <w:rsid w:val="00BF41D3"/>
    <w:rsid w:val="00BF4863"/>
    <w:rsid w:val="00BF7065"/>
    <w:rsid w:val="00BF78BE"/>
    <w:rsid w:val="00C003A2"/>
    <w:rsid w:val="00C00C4F"/>
    <w:rsid w:val="00C00C87"/>
    <w:rsid w:val="00C015A6"/>
    <w:rsid w:val="00C016D8"/>
    <w:rsid w:val="00C01DB2"/>
    <w:rsid w:val="00C02974"/>
    <w:rsid w:val="00C03225"/>
    <w:rsid w:val="00C05375"/>
    <w:rsid w:val="00C062C5"/>
    <w:rsid w:val="00C07260"/>
    <w:rsid w:val="00C07985"/>
    <w:rsid w:val="00C1011C"/>
    <w:rsid w:val="00C101D7"/>
    <w:rsid w:val="00C10D85"/>
    <w:rsid w:val="00C12974"/>
    <w:rsid w:val="00C12BD7"/>
    <w:rsid w:val="00C13D3A"/>
    <w:rsid w:val="00C1508A"/>
    <w:rsid w:val="00C1539D"/>
    <w:rsid w:val="00C158F5"/>
    <w:rsid w:val="00C1604C"/>
    <w:rsid w:val="00C16674"/>
    <w:rsid w:val="00C16891"/>
    <w:rsid w:val="00C170A7"/>
    <w:rsid w:val="00C179A2"/>
    <w:rsid w:val="00C20A57"/>
    <w:rsid w:val="00C21113"/>
    <w:rsid w:val="00C21987"/>
    <w:rsid w:val="00C2198E"/>
    <w:rsid w:val="00C21FD9"/>
    <w:rsid w:val="00C22557"/>
    <w:rsid w:val="00C22DAD"/>
    <w:rsid w:val="00C230ED"/>
    <w:rsid w:val="00C23766"/>
    <w:rsid w:val="00C24F95"/>
    <w:rsid w:val="00C25079"/>
    <w:rsid w:val="00C255D1"/>
    <w:rsid w:val="00C25C1D"/>
    <w:rsid w:val="00C2606D"/>
    <w:rsid w:val="00C319AF"/>
    <w:rsid w:val="00C3232D"/>
    <w:rsid w:val="00C3257C"/>
    <w:rsid w:val="00C330FF"/>
    <w:rsid w:val="00C3378F"/>
    <w:rsid w:val="00C3381F"/>
    <w:rsid w:val="00C34CFD"/>
    <w:rsid w:val="00C35391"/>
    <w:rsid w:val="00C35F5F"/>
    <w:rsid w:val="00C37E01"/>
    <w:rsid w:val="00C400B5"/>
    <w:rsid w:val="00C40158"/>
    <w:rsid w:val="00C40B78"/>
    <w:rsid w:val="00C412CC"/>
    <w:rsid w:val="00C43115"/>
    <w:rsid w:val="00C431BE"/>
    <w:rsid w:val="00C435FA"/>
    <w:rsid w:val="00C44600"/>
    <w:rsid w:val="00C453AD"/>
    <w:rsid w:val="00C4602D"/>
    <w:rsid w:val="00C4621D"/>
    <w:rsid w:val="00C471D3"/>
    <w:rsid w:val="00C47527"/>
    <w:rsid w:val="00C5077A"/>
    <w:rsid w:val="00C50A6A"/>
    <w:rsid w:val="00C50DB7"/>
    <w:rsid w:val="00C51460"/>
    <w:rsid w:val="00C51AA5"/>
    <w:rsid w:val="00C524AC"/>
    <w:rsid w:val="00C5351F"/>
    <w:rsid w:val="00C53E40"/>
    <w:rsid w:val="00C5465D"/>
    <w:rsid w:val="00C557EE"/>
    <w:rsid w:val="00C55CA5"/>
    <w:rsid w:val="00C5685B"/>
    <w:rsid w:val="00C570A2"/>
    <w:rsid w:val="00C60664"/>
    <w:rsid w:val="00C60B61"/>
    <w:rsid w:val="00C61574"/>
    <w:rsid w:val="00C645E2"/>
    <w:rsid w:val="00C65232"/>
    <w:rsid w:val="00C6674B"/>
    <w:rsid w:val="00C67D1F"/>
    <w:rsid w:val="00C67E5D"/>
    <w:rsid w:val="00C702C1"/>
    <w:rsid w:val="00C703AD"/>
    <w:rsid w:val="00C70B20"/>
    <w:rsid w:val="00C70C3A"/>
    <w:rsid w:val="00C70E1C"/>
    <w:rsid w:val="00C722A1"/>
    <w:rsid w:val="00C74E37"/>
    <w:rsid w:val="00C80AEE"/>
    <w:rsid w:val="00C811FC"/>
    <w:rsid w:val="00C8233D"/>
    <w:rsid w:val="00C82440"/>
    <w:rsid w:val="00C82535"/>
    <w:rsid w:val="00C831D5"/>
    <w:rsid w:val="00C83411"/>
    <w:rsid w:val="00C836C7"/>
    <w:rsid w:val="00C83B76"/>
    <w:rsid w:val="00C84CDC"/>
    <w:rsid w:val="00C8560A"/>
    <w:rsid w:val="00C86A40"/>
    <w:rsid w:val="00C87407"/>
    <w:rsid w:val="00C8745F"/>
    <w:rsid w:val="00C875F8"/>
    <w:rsid w:val="00C8767B"/>
    <w:rsid w:val="00C87DA2"/>
    <w:rsid w:val="00C87F28"/>
    <w:rsid w:val="00C903DA"/>
    <w:rsid w:val="00C903FF"/>
    <w:rsid w:val="00C90714"/>
    <w:rsid w:val="00C915AF"/>
    <w:rsid w:val="00C91B3D"/>
    <w:rsid w:val="00C92CA1"/>
    <w:rsid w:val="00C92D64"/>
    <w:rsid w:val="00C93592"/>
    <w:rsid w:val="00C93CD2"/>
    <w:rsid w:val="00C94291"/>
    <w:rsid w:val="00C94306"/>
    <w:rsid w:val="00C948A7"/>
    <w:rsid w:val="00C958C3"/>
    <w:rsid w:val="00C9724B"/>
    <w:rsid w:val="00C97F4B"/>
    <w:rsid w:val="00CA065D"/>
    <w:rsid w:val="00CA1923"/>
    <w:rsid w:val="00CA34EE"/>
    <w:rsid w:val="00CA3D48"/>
    <w:rsid w:val="00CA40E2"/>
    <w:rsid w:val="00CA522B"/>
    <w:rsid w:val="00CA5C73"/>
    <w:rsid w:val="00CA5D02"/>
    <w:rsid w:val="00CA5EC8"/>
    <w:rsid w:val="00CA61F4"/>
    <w:rsid w:val="00CA745E"/>
    <w:rsid w:val="00CB001A"/>
    <w:rsid w:val="00CB00B8"/>
    <w:rsid w:val="00CB168A"/>
    <w:rsid w:val="00CB1717"/>
    <w:rsid w:val="00CB1924"/>
    <w:rsid w:val="00CB1E5F"/>
    <w:rsid w:val="00CB1F2D"/>
    <w:rsid w:val="00CB2DD0"/>
    <w:rsid w:val="00CB4755"/>
    <w:rsid w:val="00CB480B"/>
    <w:rsid w:val="00CB6057"/>
    <w:rsid w:val="00CB68FB"/>
    <w:rsid w:val="00CB6FC3"/>
    <w:rsid w:val="00CB74EF"/>
    <w:rsid w:val="00CB7772"/>
    <w:rsid w:val="00CB7FC7"/>
    <w:rsid w:val="00CC24F6"/>
    <w:rsid w:val="00CC3590"/>
    <w:rsid w:val="00CC3B30"/>
    <w:rsid w:val="00CC5D7C"/>
    <w:rsid w:val="00CC7BD3"/>
    <w:rsid w:val="00CD0D5A"/>
    <w:rsid w:val="00CD197F"/>
    <w:rsid w:val="00CD2980"/>
    <w:rsid w:val="00CD2DCB"/>
    <w:rsid w:val="00CD2FB3"/>
    <w:rsid w:val="00CD379D"/>
    <w:rsid w:val="00CD3AF1"/>
    <w:rsid w:val="00CD3E4D"/>
    <w:rsid w:val="00CD55CC"/>
    <w:rsid w:val="00CD573B"/>
    <w:rsid w:val="00CD5BAD"/>
    <w:rsid w:val="00CD601C"/>
    <w:rsid w:val="00CD625A"/>
    <w:rsid w:val="00CD65AB"/>
    <w:rsid w:val="00CD6B64"/>
    <w:rsid w:val="00CD6C75"/>
    <w:rsid w:val="00CD721B"/>
    <w:rsid w:val="00CD7DAB"/>
    <w:rsid w:val="00CE00F6"/>
    <w:rsid w:val="00CE05E7"/>
    <w:rsid w:val="00CE09F6"/>
    <w:rsid w:val="00CE12E9"/>
    <w:rsid w:val="00CE14AC"/>
    <w:rsid w:val="00CE1C09"/>
    <w:rsid w:val="00CE2153"/>
    <w:rsid w:val="00CE39C1"/>
    <w:rsid w:val="00CE4239"/>
    <w:rsid w:val="00CE53E8"/>
    <w:rsid w:val="00CE56EB"/>
    <w:rsid w:val="00CE6352"/>
    <w:rsid w:val="00CE73FB"/>
    <w:rsid w:val="00CE797F"/>
    <w:rsid w:val="00CF05F7"/>
    <w:rsid w:val="00CF0633"/>
    <w:rsid w:val="00CF1865"/>
    <w:rsid w:val="00CF2991"/>
    <w:rsid w:val="00CF38DD"/>
    <w:rsid w:val="00CF42F7"/>
    <w:rsid w:val="00CF5902"/>
    <w:rsid w:val="00CF687B"/>
    <w:rsid w:val="00CF74D4"/>
    <w:rsid w:val="00CF7A8E"/>
    <w:rsid w:val="00D00A46"/>
    <w:rsid w:val="00D012A4"/>
    <w:rsid w:val="00D0299D"/>
    <w:rsid w:val="00D02A0C"/>
    <w:rsid w:val="00D02B25"/>
    <w:rsid w:val="00D03721"/>
    <w:rsid w:val="00D042F0"/>
    <w:rsid w:val="00D0508F"/>
    <w:rsid w:val="00D057A7"/>
    <w:rsid w:val="00D061DB"/>
    <w:rsid w:val="00D06B5C"/>
    <w:rsid w:val="00D0748E"/>
    <w:rsid w:val="00D07887"/>
    <w:rsid w:val="00D07BCE"/>
    <w:rsid w:val="00D10939"/>
    <w:rsid w:val="00D10FCD"/>
    <w:rsid w:val="00D11349"/>
    <w:rsid w:val="00D12A55"/>
    <w:rsid w:val="00D13EF9"/>
    <w:rsid w:val="00D14B83"/>
    <w:rsid w:val="00D1515B"/>
    <w:rsid w:val="00D15241"/>
    <w:rsid w:val="00D15C25"/>
    <w:rsid w:val="00D17D9F"/>
    <w:rsid w:val="00D17DA4"/>
    <w:rsid w:val="00D224DB"/>
    <w:rsid w:val="00D25381"/>
    <w:rsid w:val="00D255D5"/>
    <w:rsid w:val="00D259ED"/>
    <w:rsid w:val="00D2635B"/>
    <w:rsid w:val="00D27035"/>
    <w:rsid w:val="00D27B65"/>
    <w:rsid w:val="00D301AC"/>
    <w:rsid w:val="00D30442"/>
    <w:rsid w:val="00D3057F"/>
    <w:rsid w:val="00D31B03"/>
    <w:rsid w:val="00D31D63"/>
    <w:rsid w:val="00D325E7"/>
    <w:rsid w:val="00D33081"/>
    <w:rsid w:val="00D339DE"/>
    <w:rsid w:val="00D33CC9"/>
    <w:rsid w:val="00D34424"/>
    <w:rsid w:val="00D34801"/>
    <w:rsid w:val="00D3618F"/>
    <w:rsid w:val="00D37E51"/>
    <w:rsid w:val="00D43629"/>
    <w:rsid w:val="00D437C2"/>
    <w:rsid w:val="00D44664"/>
    <w:rsid w:val="00D458B9"/>
    <w:rsid w:val="00D46FFD"/>
    <w:rsid w:val="00D47089"/>
    <w:rsid w:val="00D47AA5"/>
    <w:rsid w:val="00D503E7"/>
    <w:rsid w:val="00D50F43"/>
    <w:rsid w:val="00D520F2"/>
    <w:rsid w:val="00D52F51"/>
    <w:rsid w:val="00D53320"/>
    <w:rsid w:val="00D54177"/>
    <w:rsid w:val="00D54216"/>
    <w:rsid w:val="00D556D8"/>
    <w:rsid w:val="00D56D74"/>
    <w:rsid w:val="00D60A41"/>
    <w:rsid w:val="00D61205"/>
    <w:rsid w:val="00D61CB8"/>
    <w:rsid w:val="00D6271F"/>
    <w:rsid w:val="00D634F9"/>
    <w:rsid w:val="00D6395F"/>
    <w:rsid w:val="00D640A7"/>
    <w:rsid w:val="00D642F1"/>
    <w:rsid w:val="00D65276"/>
    <w:rsid w:val="00D65D01"/>
    <w:rsid w:val="00D65D48"/>
    <w:rsid w:val="00D65E3C"/>
    <w:rsid w:val="00D65E53"/>
    <w:rsid w:val="00D66050"/>
    <w:rsid w:val="00D6750A"/>
    <w:rsid w:val="00D67F1A"/>
    <w:rsid w:val="00D67FE9"/>
    <w:rsid w:val="00D7098C"/>
    <w:rsid w:val="00D71B07"/>
    <w:rsid w:val="00D72629"/>
    <w:rsid w:val="00D732C5"/>
    <w:rsid w:val="00D7385D"/>
    <w:rsid w:val="00D752A6"/>
    <w:rsid w:val="00D756E7"/>
    <w:rsid w:val="00D759D1"/>
    <w:rsid w:val="00D76453"/>
    <w:rsid w:val="00D76723"/>
    <w:rsid w:val="00D76EAA"/>
    <w:rsid w:val="00D7720D"/>
    <w:rsid w:val="00D77743"/>
    <w:rsid w:val="00D77933"/>
    <w:rsid w:val="00D809A8"/>
    <w:rsid w:val="00D80ACF"/>
    <w:rsid w:val="00D80F74"/>
    <w:rsid w:val="00D81544"/>
    <w:rsid w:val="00D818B2"/>
    <w:rsid w:val="00D8272A"/>
    <w:rsid w:val="00D8290B"/>
    <w:rsid w:val="00D82CF1"/>
    <w:rsid w:val="00D82E97"/>
    <w:rsid w:val="00D8348B"/>
    <w:rsid w:val="00D8385F"/>
    <w:rsid w:val="00D850ED"/>
    <w:rsid w:val="00D85A1D"/>
    <w:rsid w:val="00D865A8"/>
    <w:rsid w:val="00D86C5C"/>
    <w:rsid w:val="00D8761B"/>
    <w:rsid w:val="00D8771E"/>
    <w:rsid w:val="00D8777D"/>
    <w:rsid w:val="00D90103"/>
    <w:rsid w:val="00D906F8"/>
    <w:rsid w:val="00D914C7"/>
    <w:rsid w:val="00D93172"/>
    <w:rsid w:val="00D9595D"/>
    <w:rsid w:val="00D95CE1"/>
    <w:rsid w:val="00D9673D"/>
    <w:rsid w:val="00D96B4F"/>
    <w:rsid w:val="00D97451"/>
    <w:rsid w:val="00DA02E4"/>
    <w:rsid w:val="00DA11A4"/>
    <w:rsid w:val="00DA16F7"/>
    <w:rsid w:val="00DA17EC"/>
    <w:rsid w:val="00DA1F4D"/>
    <w:rsid w:val="00DA26A6"/>
    <w:rsid w:val="00DA2BF0"/>
    <w:rsid w:val="00DA31DC"/>
    <w:rsid w:val="00DA3C22"/>
    <w:rsid w:val="00DA5849"/>
    <w:rsid w:val="00DA5D0A"/>
    <w:rsid w:val="00DA6052"/>
    <w:rsid w:val="00DA6AF4"/>
    <w:rsid w:val="00DA6B0C"/>
    <w:rsid w:val="00DA7F27"/>
    <w:rsid w:val="00DB078E"/>
    <w:rsid w:val="00DB2172"/>
    <w:rsid w:val="00DB25FA"/>
    <w:rsid w:val="00DB2F07"/>
    <w:rsid w:val="00DB3059"/>
    <w:rsid w:val="00DB3280"/>
    <w:rsid w:val="00DB42D4"/>
    <w:rsid w:val="00DB44B2"/>
    <w:rsid w:val="00DB5571"/>
    <w:rsid w:val="00DB55CF"/>
    <w:rsid w:val="00DB6704"/>
    <w:rsid w:val="00DB6C9F"/>
    <w:rsid w:val="00DB6D9B"/>
    <w:rsid w:val="00DB6F89"/>
    <w:rsid w:val="00DC08D5"/>
    <w:rsid w:val="00DC1B53"/>
    <w:rsid w:val="00DC3471"/>
    <w:rsid w:val="00DC525E"/>
    <w:rsid w:val="00DC5B42"/>
    <w:rsid w:val="00DC680D"/>
    <w:rsid w:val="00DC68C7"/>
    <w:rsid w:val="00DC77EB"/>
    <w:rsid w:val="00DC7C57"/>
    <w:rsid w:val="00DD05AD"/>
    <w:rsid w:val="00DD11B3"/>
    <w:rsid w:val="00DD1401"/>
    <w:rsid w:val="00DD14E3"/>
    <w:rsid w:val="00DD1F4A"/>
    <w:rsid w:val="00DD1F9F"/>
    <w:rsid w:val="00DD2891"/>
    <w:rsid w:val="00DD3316"/>
    <w:rsid w:val="00DD3B19"/>
    <w:rsid w:val="00DD5EB4"/>
    <w:rsid w:val="00DD6E30"/>
    <w:rsid w:val="00DD751F"/>
    <w:rsid w:val="00DE06BA"/>
    <w:rsid w:val="00DE0750"/>
    <w:rsid w:val="00DE1A22"/>
    <w:rsid w:val="00DE1C5C"/>
    <w:rsid w:val="00DE2939"/>
    <w:rsid w:val="00DE4615"/>
    <w:rsid w:val="00DE4CB3"/>
    <w:rsid w:val="00DE53E5"/>
    <w:rsid w:val="00DE5AC3"/>
    <w:rsid w:val="00DE6B87"/>
    <w:rsid w:val="00DE75A7"/>
    <w:rsid w:val="00DF0B5A"/>
    <w:rsid w:val="00DF139F"/>
    <w:rsid w:val="00DF1BAD"/>
    <w:rsid w:val="00DF362B"/>
    <w:rsid w:val="00DF397B"/>
    <w:rsid w:val="00DF3DBD"/>
    <w:rsid w:val="00DF504D"/>
    <w:rsid w:val="00DF63C0"/>
    <w:rsid w:val="00DF64BF"/>
    <w:rsid w:val="00DF7583"/>
    <w:rsid w:val="00DF7656"/>
    <w:rsid w:val="00E000DE"/>
    <w:rsid w:val="00E00332"/>
    <w:rsid w:val="00E00997"/>
    <w:rsid w:val="00E00A92"/>
    <w:rsid w:val="00E00FAB"/>
    <w:rsid w:val="00E032EF"/>
    <w:rsid w:val="00E03506"/>
    <w:rsid w:val="00E0403D"/>
    <w:rsid w:val="00E04986"/>
    <w:rsid w:val="00E04A9D"/>
    <w:rsid w:val="00E04BFC"/>
    <w:rsid w:val="00E05502"/>
    <w:rsid w:val="00E0596A"/>
    <w:rsid w:val="00E0667E"/>
    <w:rsid w:val="00E077AF"/>
    <w:rsid w:val="00E07BAD"/>
    <w:rsid w:val="00E07BE1"/>
    <w:rsid w:val="00E10309"/>
    <w:rsid w:val="00E106CB"/>
    <w:rsid w:val="00E120EF"/>
    <w:rsid w:val="00E12274"/>
    <w:rsid w:val="00E137A5"/>
    <w:rsid w:val="00E13E96"/>
    <w:rsid w:val="00E1414F"/>
    <w:rsid w:val="00E1471B"/>
    <w:rsid w:val="00E14D56"/>
    <w:rsid w:val="00E15861"/>
    <w:rsid w:val="00E162F3"/>
    <w:rsid w:val="00E167CF"/>
    <w:rsid w:val="00E16DAC"/>
    <w:rsid w:val="00E20C11"/>
    <w:rsid w:val="00E2184A"/>
    <w:rsid w:val="00E2213B"/>
    <w:rsid w:val="00E249B8"/>
    <w:rsid w:val="00E24DAA"/>
    <w:rsid w:val="00E251BC"/>
    <w:rsid w:val="00E251D6"/>
    <w:rsid w:val="00E25454"/>
    <w:rsid w:val="00E25AA0"/>
    <w:rsid w:val="00E26A84"/>
    <w:rsid w:val="00E27C21"/>
    <w:rsid w:val="00E27D25"/>
    <w:rsid w:val="00E3018E"/>
    <w:rsid w:val="00E30884"/>
    <w:rsid w:val="00E31751"/>
    <w:rsid w:val="00E31B16"/>
    <w:rsid w:val="00E31E49"/>
    <w:rsid w:val="00E31FAE"/>
    <w:rsid w:val="00E32E1C"/>
    <w:rsid w:val="00E36165"/>
    <w:rsid w:val="00E36423"/>
    <w:rsid w:val="00E41920"/>
    <w:rsid w:val="00E42CE3"/>
    <w:rsid w:val="00E42F7F"/>
    <w:rsid w:val="00E438D6"/>
    <w:rsid w:val="00E43E5A"/>
    <w:rsid w:val="00E44F8E"/>
    <w:rsid w:val="00E46463"/>
    <w:rsid w:val="00E473C0"/>
    <w:rsid w:val="00E47804"/>
    <w:rsid w:val="00E47DE4"/>
    <w:rsid w:val="00E513DD"/>
    <w:rsid w:val="00E51C1E"/>
    <w:rsid w:val="00E51DCB"/>
    <w:rsid w:val="00E52D69"/>
    <w:rsid w:val="00E547CC"/>
    <w:rsid w:val="00E55277"/>
    <w:rsid w:val="00E5770B"/>
    <w:rsid w:val="00E5779A"/>
    <w:rsid w:val="00E60295"/>
    <w:rsid w:val="00E60650"/>
    <w:rsid w:val="00E6117C"/>
    <w:rsid w:val="00E61685"/>
    <w:rsid w:val="00E620CE"/>
    <w:rsid w:val="00E629F8"/>
    <w:rsid w:val="00E63105"/>
    <w:rsid w:val="00E6314E"/>
    <w:rsid w:val="00E633EC"/>
    <w:rsid w:val="00E63D6E"/>
    <w:rsid w:val="00E63DFE"/>
    <w:rsid w:val="00E645CA"/>
    <w:rsid w:val="00E64B4D"/>
    <w:rsid w:val="00E653FF"/>
    <w:rsid w:val="00E65971"/>
    <w:rsid w:val="00E66B0A"/>
    <w:rsid w:val="00E67314"/>
    <w:rsid w:val="00E70152"/>
    <w:rsid w:val="00E706BE"/>
    <w:rsid w:val="00E7266A"/>
    <w:rsid w:val="00E72B52"/>
    <w:rsid w:val="00E72D2D"/>
    <w:rsid w:val="00E73168"/>
    <w:rsid w:val="00E736C3"/>
    <w:rsid w:val="00E74641"/>
    <w:rsid w:val="00E74B22"/>
    <w:rsid w:val="00E74F37"/>
    <w:rsid w:val="00E775B5"/>
    <w:rsid w:val="00E77958"/>
    <w:rsid w:val="00E810C0"/>
    <w:rsid w:val="00E8178E"/>
    <w:rsid w:val="00E81E2A"/>
    <w:rsid w:val="00E83545"/>
    <w:rsid w:val="00E83BAA"/>
    <w:rsid w:val="00E84012"/>
    <w:rsid w:val="00E8535A"/>
    <w:rsid w:val="00E8547B"/>
    <w:rsid w:val="00E86593"/>
    <w:rsid w:val="00E86CC5"/>
    <w:rsid w:val="00E86E17"/>
    <w:rsid w:val="00E8702A"/>
    <w:rsid w:val="00E87305"/>
    <w:rsid w:val="00E87AB9"/>
    <w:rsid w:val="00E87F66"/>
    <w:rsid w:val="00E9114D"/>
    <w:rsid w:val="00E9127F"/>
    <w:rsid w:val="00E9168F"/>
    <w:rsid w:val="00E923DC"/>
    <w:rsid w:val="00E92AAC"/>
    <w:rsid w:val="00E92C43"/>
    <w:rsid w:val="00E93129"/>
    <w:rsid w:val="00E94166"/>
    <w:rsid w:val="00E9554D"/>
    <w:rsid w:val="00E9598A"/>
    <w:rsid w:val="00E975AF"/>
    <w:rsid w:val="00E9793A"/>
    <w:rsid w:val="00EA137D"/>
    <w:rsid w:val="00EA276D"/>
    <w:rsid w:val="00EA340D"/>
    <w:rsid w:val="00EA3EF7"/>
    <w:rsid w:val="00EA4426"/>
    <w:rsid w:val="00EA5999"/>
    <w:rsid w:val="00EA62B3"/>
    <w:rsid w:val="00EA63B3"/>
    <w:rsid w:val="00EA65F2"/>
    <w:rsid w:val="00EA6795"/>
    <w:rsid w:val="00EA6A80"/>
    <w:rsid w:val="00EA6EE3"/>
    <w:rsid w:val="00EA7666"/>
    <w:rsid w:val="00EA7C92"/>
    <w:rsid w:val="00EA7FC1"/>
    <w:rsid w:val="00EB0BD3"/>
    <w:rsid w:val="00EB0E92"/>
    <w:rsid w:val="00EB0F3C"/>
    <w:rsid w:val="00EB1A00"/>
    <w:rsid w:val="00EB1E2D"/>
    <w:rsid w:val="00EB1EFB"/>
    <w:rsid w:val="00EB2FDB"/>
    <w:rsid w:val="00EB4CA2"/>
    <w:rsid w:val="00EB5E63"/>
    <w:rsid w:val="00EB6BF8"/>
    <w:rsid w:val="00EB72BD"/>
    <w:rsid w:val="00EC1767"/>
    <w:rsid w:val="00EC302F"/>
    <w:rsid w:val="00EC4597"/>
    <w:rsid w:val="00EC4D86"/>
    <w:rsid w:val="00EC533A"/>
    <w:rsid w:val="00EC5369"/>
    <w:rsid w:val="00EC711C"/>
    <w:rsid w:val="00EC76E1"/>
    <w:rsid w:val="00ED183A"/>
    <w:rsid w:val="00ED2FF4"/>
    <w:rsid w:val="00ED37FE"/>
    <w:rsid w:val="00ED452A"/>
    <w:rsid w:val="00ED45D8"/>
    <w:rsid w:val="00ED46BE"/>
    <w:rsid w:val="00ED489D"/>
    <w:rsid w:val="00ED4B23"/>
    <w:rsid w:val="00ED55E0"/>
    <w:rsid w:val="00ED64C2"/>
    <w:rsid w:val="00ED7388"/>
    <w:rsid w:val="00ED7D95"/>
    <w:rsid w:val="00EE08EA"/>
    <w:rsid w:val="00EE2EB8"/>
    <w:rsid w:val="00EE3118"/>
    <w:rsid w:val="00EE410F"/>
    <w:rsid w:val="00EE4944"/>
    <w:rsid w:val="00EE5643"/>
    <w:rsid w:val="00EE5DAF"/>
    <w:rsid w:val="00EE60C0"/>
    <w:rsid w:val="00EE6A96"/>
    <w:rsid w:val="00EE7D0D"/>
    <w:rsid w:val="00EF0040"/>
    <w:rsid w:val="00EF0CE7"/>
    <w:rsid w:val="00EF18C0"/>
    <w:rsid w:val="00EF23BB"/>
    <w:rsid w:val="00EF3B2F"/>
    <w:rsid w:val="00EF48E9"/>
    <w:rsid w:val="00EF4CDF"/>
    <w:rsid w:val="00EF58A2"/>
    <w:rsid w:val="00EF6A1C"/>
    <w:rsid w:val="00EF7589"/>
    <w:rsid w:val="00EF75AD"/>
    <w:rsid w:val="00EF79A7"/>
    <w:rsid w:val="00EF7EEF"/>
    <w:rsid w:val="00F00643"/>
    <w:rsid w:val="00F007D0"/>
    <w:rsid w:val="00F00EDE"/>
    <w:rsid w:val="00F01400"/>
    <w:rsid w:val="00F0189E"/>
    <w:rsid w:val="00F02C6E"/>
    <w:rsid w:val="00F04B43"/>
    <w:rsid w:val="00F04E7D"/>
    <w:rsid w:val="00F05C46"/>
    <w:rsid w:val="00F05C5E"/>
    <w:rsid w:val="00F062A8"/>
    <w:rsid w:val="00F06479"/>
    <w:rsid w:val="00F07D23"/>
    <w:rsid w:val="00F07E9A"/>
    <w:rsid w:val="00F10544"/>
    <w:rsid w:val="00F10B94"/>
    <w:rsid w:val="00F1121E"/>
    <w:rsid w:val="00F116C2"/>
    <w:rsid w:val="00F1194E"/>
    <w:rsid w:val="00F11F9B"/>
    <w:rsid w:val="00F12832"/>
    <w:rsid w:val="00F12861"/>
    <w:rsid w:val="00F12C74"/>
    <w:rsid w:val="00F13F1B"/>
    <w:rsid w:val="00F14021"/>
    <w:rsid w:val="00F14394"/>
    <w:rsid w:val="00F151A7"/>
    <w:rsid w:val="00F15CA1"/>
    <w:rsid w:val="00F16B71"/>
    <w:rsid w:val="00F175C6"/>
    <w:rsid w:val="00F21212"/>
    <w:rsid w:val="00F2145D"/>
    <w:rsid w:val="00F21666"/>
    <w:rsid w:val="00F23179"/>
    <w:rsid w:val="00F25647"/>
    <w:rsid w:val="00F25802"/>
    <w:rsid w:val="00F2718A"/>
    <w:rsid w:val="00F276DD"/>
    <w:rsid w:val="00F300E5"/>
    <w:rsid w:val="00F302E9"/>
    <w:rsid w:val="00F30E37"/>
    <w:rsid w:val="00F31DD6"/>
    <w:rsid w:val="00F32D9D"/>
    <w:rsid w:val="00F332D8"/>
    <w:rsid w:val="00F336A0"/>
    <w:rsid w:val="00F363C3"/>
    <w:rsid w:val="00F36D66"/>
    <w:rsid w:val="00F405B4"/>
    <w:rsid w:val="00F405D9"/>
    <w:rsid w:val="00F40B0B"/>
    <w:rsid w:val="00F40B79"/>
    <w:rsid w:val="00F40D47"/>
    <w:rsid w:val="00F40FC0"/>
    <w:rsid w:val="00F42045"/>
    <w:rsid w:val="00F42F5A"/>
    <w:rsid w:val="00F4316A"/>
    <w:rsid w:val="00F43FB4"/>
    <w:rsid w:val="00F44571"/>
    <w:rsid w:val="00F44DEA"/>
    <w:rsid w:val="00F45146"/>
    <w:rsid w:val="00F4641D"/>
    <w:rsid w:val="00F470B6"/>
    <w:rsid w:val="00F47655"/>
    <w:rsid w:val="00F47670"/>
    <w:rsid w:val="00F47B8A"/>
    <w:rsid w:val="00F47CAA"/>
    <w:rsid w:val="00F50163"/>
    <w:rsid w:val="00F507A9"/>
    <w:rsid w:val="00F51634"/>
    <w:rsid w:val="00F52257"/>
    <w:rsid w:val="00F534E9"/>
    <w:rsid w:val="00F538D8"/>
    <w:rsid w:val="00F53F45"/>
    <w:rsid w:val="00F54310"/>
    <w:rsid w:val="00F60849"/>
    <w:rsid w:val="00F6151C"/>
    <w:rsid w:val="00F6197D"/>
    <w:rsid w:val="00F629BD"/>
    <w:rsid w:val="00F63227"/>
    <w:rsid w:val="00F6356E"/>
    <w:rsid w:val="00F63807"/>
    <w:rsid w:val="00F63FD8"/>
    <w:rsid w:val="00F649F2"/>
    <w:rsid w:val="00F65319"/>
    <w:rsid w:val="00F6564F"/>
    <w:rsid w:val="00F65AAF"/>
    <w:rsid w:val="00F65D71"/>
    <w:rsid w:val="00F6636E"/>
    <w:rsid w:val="00F66F02"/>
    <w:rsid w:val="00F70CAE"/>
    <w:rsid w:val="00F71247"/>
    <w:rsid w:val="00F72D89"/>
    <w:rsid w:val="00F74D7E"/>
    <w:rsid w:val="00F74EF3"/>
    <w:rsid w:val="00F7620D"/>
    <w:rsid w:val="00F7687B"/>
    <w:rsid w:val="00F776C2"/>
    <w:rsid w:val="00F77A9B"/>
    <w:rsid w:val="00F80122"/>
    <w:rsid w:val="00F81CB4"/>
    <w:rsid w:val="00F82907"/>
    <w:rsid w:val="00F82C76"/>
    <w:rsid w:val="00F83BB4"/>
    <w:rsid w:val="00F85571"/>
    <w:rsid w:val="00F85A26"/>
    <w:rsid w:val="00F87057"/>
    <w:rsid w:val="00F8727D"/>
    <w:rsid w:val="00F87FAC"/>
    <w:rsid w:val="00F906CC"/>
    <w:rsid w:val="00F90EE3"/>
    <w:rsid w:val="00F92259"/>
    <w:rsid w:val="00F9231B"/>
    <w:rsid w:val="00F92326"/>
    <w:rsid w:val="00F93E3F"/>
    <w:rsid w:val="00F9582D"/>
    <w:rsid w:val="00F95BC8"/>
    <w:rsid w:val="00F97511"/>
    <w:rsid w:val="00F9768E"/>
    <w:rsid w:val="00FA2B7C"/>
    <w:rsid w:val="00FA314C"/>
    <w:rsid w:val="00FA39CF"/>
    <w:rsid w:val="00FA5388"/>
    <w:rsid w:val="00FA6420"/>
    <w:rsid w:val="00FA71B2"/>
    <w:rsid w:val="00FA71FF"/>
    <w:rsid w:val="00FA75D1"/>
    <w:rsid w:val="00FA78C8"/>
    <w:rsid w:val="00FA7FD2"/>
    <w:rsid w:val="00FB02F2"/>
    <w:rsid w:val="00FB2169"/>
    <w:rsid w:val="00FB4183"/>
    <w:rsid w:val="00FB5BBE"/>
    <w:rsid w:val="00FB6BEC"/>
    <w:rsid w:val="00FB7876"/>
    <w:rsid w:val="00FB7E3D"/>
    <w:rsid w:val="00FC00B1"/>
    <w:rsid w:val="00FC05A3"/>
    <w:rsid w:val="00FC0E29"/>
    <w:rsid w:val="00FC0E42"/>
    <w:rsid w:val="00FC1180"/>
    <w:rsid w:val="00FC119D"/>
    <w:rsid w:val="00FC2C49"/>
    <w:rsid w:val="00FC354D"/>
    <w:rsid w:val="00FC3A62"/>
    <w:rsid w:val="00FC3B40"/>
    <w:rsid w:val="00FC3F05"/>
    <w:rsid w:val="00FC47A6"/>
    <w:rsid w:val="00FC53E9"/>
    <w:rsid w:val="00FC6E46"/>
    <w:rsid w:val="00FC704D"/>
    <w:rsid w:val="00FC71F0"/>
    <w:rsid w:val="00FC723D"/>
    <w:rsid w:val="00FC7C50"/>
    <w:rsid w:val="00FD0230"/>
    <w:rsid w:val="00FD0265"/>
    <w:rsid w:val="00FD0B8C"/>
    <w:rsid w:val="00FD177F"/>
    <w:rsid w:val="00FD1976"/>
    <w:rsid w:val="00FD1E19"/>
    <w:rsid w:val="00FD237C"/>
    <w:rsid w:val="00FD251D"/>
    <w:rsid w:val="00FD3056"/>
    <w:rsid w:val="00FD3D91"/>
    <w:rsid w:val="00FD4A18"/>
    <w:rsid w:val="00FD6C6B"/>
    <w:rsid w:val="00FD7C34"/>
    <w:rsid w:val="00FD7E2A"/>
    <w:rsid w:val="00FE00B7"/>
    <w:rsid w:val="00FE0287"/>
    <w:rsid w:val="00FE076D"/>
    <w:rsid w:val="00FE1134"/>
    <w:rsid w:val="00FE1ADB"/>
    <w:rsid w:val="00FE2A63"/>
    <w:rsid w:val="00FE2BF2"/>
    <w:rsid w:val="00FE3892"/>
    <w:rsid w:val="00FE39FC"/>
    <w:rsid w:val="00FE3AB2"/>
    <w:rsid w:val="00FE3E05"/>
    <w:rsid w:val="00FE4176"/>
    <w:rsid w:val="00FE4474"/>
    <w:rsid w:val="00FE5721"/>
    <w:rsid w:val="00FE6D8B"/>
    <w:rsid w:val="00FE72EE"/>
    <w:rsid w:val="00FE76C8"/>
    <w:rsid w:val="00FE77CC"/>
    <w:rsid w:val="00FF1DFD"/>
    <w:rsid w:val="00FF2ABA"/>
    <w:rsid w:val="00FF3967"/>
    <w:rsid w:val="00FF3EE4"/>
    <w:rsid w:val="00FF4058"/>
    <w:rsid w:val="00FF4534"/>
    <w:rsid w:val="00FF4886"/>
    <w:rsid w:val="00FF4F4C"/>
    <w:rsid w:val="00FF53A9"/>
    <w:rsid w:val="00FF53EE"/>
    <w:rsid w:val="00FF6BCA"/>
    <w:rsid w:val="010057A7"/>
    <w:rsid w:val="010F2882"/>
    <w:rsid w:val="01247755"/>
    <w:rsid w:val="01303F65"/>
    <w:rsid w:val="013A09C4"/>
    <w:rsid w:val="014C5266"/>
    <w:rsid w:val="01683BB5"/>
    <w:rsid w:val="018351D3"/>
    <w:rsid w:val="018710A3"/>
    <w:rsid w:val="01A7086A"/>
    <w:rsid w:val="01A93A5A"/>
    <w:rsid w:val="01AD7D01"/>
    <w:rsid w:val="01E462AD"/>
    <w:rsid w:val="02060918"/>
    <w:rsid w:val="02293759"/>
    <w:rsid w:val="02C32F68"/>
    <w:rsid w:val="02F21EEB"/>
    <w:rsid w:val="02FA132F"/>
    <w:rsid w:val="03470120"/>
    <w:rsid w:val="034D4DD8"/>
    <w:rsid w:val="035D7D75"/>
    <w:rsid w:val="035E5F74"/>
    <w:rsid w:val="0365592C"/>
    <w:rsid w:val="036B7E52"/>
    <w:rsid w:val="0372035D"/>
    <w:rsid w:val="03831553"/>
    <w:rsid w:val="03ED2838"/>
    <w:rsid w:val="04302795"/>
    <w:rsid w:val="043729FA"/>
    <w:rsid w:val="04591A2E"/>
    <w:rsid w:val="0461422D"/>
    <w:rsid w:val="046E7456"/>
    <w:rsid w:val="04826CFA"/>
    <w:rsid w:val="04976926"/>
    <w:rsid w:val="04A05494"/>
    <w:rsid w:val="04A9499D"/>
    <w:rsid w:val="04B45435"/>
    <w:rsid w:val="04D55D13"/>
    <w:rsid w:val="04DC666C"/>
    <w:rsid w:val="04EC78FC"/>
    <w:rsid w:val="04FF46D6"/>
    <w:rsid w:val="05301C5F"/>
    <w:rsid w:val="05447943"/>
    <w:rsid w:val="054D67F1"/>
    <w:rsid w:val="057A69BF"/>
    <w:rsid w:val="057B0E62"/>
    <w:rsid w:val="0580785F"/>
    <w:rsid w:val="05CB0E27"/>
    <w:rsid w:val="05CC0218"/>
    <w:rsid w:val="05D05124"/>
    <w:rsid w:val="05F33C03"/>
    <w:rsid w:val="05FD32D2"/>
    <w:rsid w:val="0608114D"/>
    <w:rsid w:val="063C7A07"/>
    <w:rsid w:val="065036EF"/>
    <w:rsid w:val="066F5174"/>
    <w:rsid w:val="06706E5D"/>
    <w:rsid w:val="06792D62"/>
    <w:rsid w:val="06904C89"/>
    <w:rsid w:val="06A238AF"/>
    <w:rsid w:val="06AD4DCE"/>
    <w:rsid w:val="06D84107"/>
    <w:rsid w:val="06DA6645"/>
    <w:rsid w:val="06E930F9"/>
    <w:rsid w:val="070E1192"/>
    <w:rsid w:val="07265ECA"/>
    <w:rsid w:val="076707A0"/>
    <w:rsid w:val="07761B42"/>
    <w:rsid w:val="07981A91"/>
    <w:rsid w:val="079B4158"/>
    <w:rsid w:val="07AC389C"/>
    <w:rsid w:val="07CB2146"/>
    <w:rsid w:val="07CE525D"/>
    <w:rsid w:val="07CF512D"/>
    <w:rsid w:val="07D04F64"/>
    <w:rsid w:val="07E17544"/>
    <w:rsid w:val="080001B0"/>
    <w:rsid w:val="0806636F"/>
    <w:rsid w:val="080E5F49"/>
    <w:rsid w:val="081661AF"/>
    <w:rsid w:val="08664345"/>
    <w:rsid w:val="08723626"/>
    <w:rsid w:val="089C5B28"/>
    <w:rsid w:val="08CE3215"/>
    <w:rsid w:val="08FE4DC1"/>
    <w:rsid w:val="090C2147"/>
    <w:rsid w:val="0927512D"/>
    <w:rsid w:val="09573866"/>
    <w:rsid w:val="0960347E"/>
    <w:rsid w:val="09652590"/>
    <w:rsid w:val="097653E7"/>
    <w:rsid w:val="097C0DEA"/>
    <w:rsid w:val="097E16AA"/>
    <w:rsid w:val="09917881"/>
    <w:rsid w:val="099536FE"/>
    <w:rsid w:val="09F92B47"/>
    <w:rsid w:val="0A0E2098"/>
    <w:rsid w:val="0A9E1855"/>
    <w:rsid w:val="0AAB0902"/>
    <w:rsid w:val="0AB079D6"/>
    <w:rsid w:val="0AE4227C"/>
    <w:rsid w:val="0AE77A0C"/>
    <w:rsid w:val="0AE81B19"/>
    <w:rsid w:val="0AFB755B"/>
    <w:rsid w:val="0B046039"/>
    <w:rsid w:val="0B6A78FF"/>
    <w:rsid w:val="0B821434"/>
    <w:rsid w:val="0BC40744"/>
    <w:rsid w:val="0BDC1CE9"/>
    <w:rsid w:val="0BDC46A3"/>
    <w:rsid w:val="0C0B6D68"/>
    <w:rsid w:val="0C0C3F82"/>
    <w:rsid w:val="0C1A3D59"/>
    <w:rsid w:val="0C257B40"/>
    <w:rsid w:val="0C2C064B"/>
    <w:rsid w:val="0C3E34A5"/>
    <w:rsid w:val="0C546315"/>
    <w:rsid w:val="0C812DED"/>
    <w:rsid w:val="0C950BA6"/>
    <w:rsid w:val="0CAF695A"/>
    <w:rsid w:val="0CB12611"/>
    <w:rsid w:val="0CEF2175"/>
    <w:rsid w:val="0D124D83"/>
    <w:rsid w:val="0D203DB4"/>
    <w:rsid w:val="0D2E24AB"/>
    <w:rsid w:val="0D422A1C"/>
    <w:rsid w:val="0D434BB0"/>
    <w:rsid w:val="0D4E642E"/>
    <w:rsid w:val="0D5D17E3"/>
    <w:rsid w:val="0D5E1D12"/>
    <w:rsid w:val="0D8C68E2"/>
    <w:rsid w:val="0D9943EA"/>
    <w:rsid w:val="0DB545D2"/>
    <w:rsid w:val="0DC7118E"/>
    <w:rsid w:val="0DE5659B"/>
    <w:rsid w:val="0DE56FE8"/>
    <w:rsid w:val="0DED34C2"/>
    <w:rsid w:val="0DF47AE0"/>
    <w:rsid w:val="0E1E3AB1"/>
    <w:rsid w:val="0E245078"/>
    <w:rsid w:val="0E331822"/>
    <w:rsid w:val="0E5B7068"/>
    <w:rsid w:val="0E671431"/>
    <w:rsid w:val="0E710B71"/>
    <w:rsid w:val="0EB72DE1"/>
    <w:rsid w:val="0ED42113"/>
    <w:rsid w:val="0ED6340D"/>
    <w:rsid w:val="0EF04DE5"/>
    <w:rsid w:val="0EFF43BA"/>
    <w:rsid w:val="0F092CD6"/>
    <w:rsid w:val="0F143963"/>
    <w:rsid w:val="0F4425B0"/>
    <w:rsid w:val="0F5B6AB1"/>
    <w:rsid w:val="0F777651"/>
    <w:rsid w:val="0F7A203F"/>
    <w:rsid w:val="0FA37114"/>
    <w:rsid w:val="0FDA39D7"/>
    <w:rsid w:val="100C34AE"/>
    <w:rsid w:val="100D5F57"/>
    <w:rsid w:val="10454916"/>
    <w:rsid w:val="105C6197"/>
    <w:rsid w:val="10672A16"/>
    <w:rsid w:val="107F13A6"/>
    <w:rsid w:val="10A76C07"/>
    <w:rsid w:val="10B4070D"/>
    <w:rsid w:val="10C20616"/>
    <w:rsid w:val="10E832B4"/>
    <w:rsid w:val="10EA3953"/>
    <w:rsid w:val="111369C6"/>
    <w:rsid w:val="111934E7"/>
    <w:rsid w:val="112172C2"/>
    <w:rsid w:val="114D7618"/>
    <w:rsid w:val="11527F92"/>
    <w:rsid w:val="116F6BC1"/>
    <w:rsid w:val="1186449F"/>
    <w:rsid w:val="11983D3E"/>
    <w:rsid w:val="11AE39F8"/>
    <w:rsid w:val="11C53F61"/>
    <w:rsid w:val="11F8380E"/>
    <w:rsid w:val="11F93D82"/>
    <w:rsid w:val="121767DB"/>
    <w:rsid w:val="12445E42"/>
    <w:rsid w:val="12465C21"/>
    <w:rsid w:val="12550B18"/>
    <w:rsid w:val="12663BE0"/>
    <w:rsid w:val="12735753"/>
    <w:rsid w:val="12A95E1D"/>
    <w:rsid w:val="12CA084D"/>
    <w:rsid w:val="12DE6746"/>
    <w:rsid w:val="130E11A0"/>
    <w:rsid w:val="133D6799"/>
    <w:rsid w:val="136007E7"/>
    <w:rsid w:val="136E327B"/>
    <w:rsid w:val="1387472C"/>
    <w:rsid w:val="13A07738"/>
    <w:rsid w:val="13AB36C5"/>
    <w:rsid w:val="13B43589"/>
    <w:rsid w:val="13BB0808"/>
    <w:rsid w:val="13BC175F"/>
    <w:rsid w:val="14060571"/>
    <w:rsid w:val="1426082A"/>
    <w:rsid w:val="145A5FD6"/>
    <w:rsid w:val="14B856A7"/>
    <w:rsid w:val="14DE0C0F"/>
    <w:rsid w:val="14EE1A04"/>
    <w:rsid w:val="14F134BB"/>
    <w:rsid w:val="15367333"/>
    <w:rsid w:val="153C255C"/>
    <w:rsid w:val="154304FD"/>
    <w:rsid w:val="154923E9"/>
    <w:rsid w:val="154D048A"/>
    <w:rsid w:val="156952E9"/>
    <w:rsid w:val="157D32D4"/>
    <w:rsid w:val="15924B9F"/>
    <w:rsid w:val="15957D8F"/>
    <w:rsid w:val="15BD5E7C"/>
    <w:rsid w:val="15DA10CC"/>
    <w:rsid w:val="15EA37AE"/>
    <w:rsid w:val="1606775E"/>
    <w:rsid w:val="16462E87"/>
    <w:rsid w:val="169F561C"/>
    <w:rsid w:val="16A90C06"/>
    <w:rsid w:val="16BC04A0"/>
    <w:rsid w:val="16C8192A"/>
    <w:rsid w:val="171A332F"/>
    <w:rsid w:val="17251EAC"/>
    <w:rsid w:val="172F5A62"/>
    <w:rsid w:val="174602F3"/>
    <w:rsid w:val="174B3433"/>
    <w:rsid w:val="175201A4"/>
    <w:rsid w:val="17581F6D"/>
    <w:rsid w:val="177A1481"/>
    <w:rsid w:val="177B2B64"/>
    <w:rsid w:val="177F7413"/>
    <w:rsid w:val="17844E8E"/>
    <w:rsid w:val="179914B3"/>
    <w:rsid w:val="17A116AE"/>
    <w:rsid w:val="17B33E4D"/>
    <w:rsid w:val="17D252F9"/>
    <w:rsid w:val="17EF5266"/>
    <w:rsid w:val="18071B33"/>
    <w:rsid w:val="180E5A00"/>
    <w:rsid w:val="181B2BBC"/>
    <w:rsid w:val="181B53C4"/>
    <w:rsid w:val="183F3519"/>
    <w:rsid w:val="1841459E"/>
    <w:rsid w:val="184A01D4"/>
    <w:rsid w:val="186F7BC5"/>
    <w:rsid w:val="188C47E4"/>
    <w:rsid w:val="189039E8"/>
    <w:rsid w:val="18B157FE"/>
    <w:rsid w:val="18D32F39"/>
    <w:rsid w:val="18ED10F1"/>
    <w:rsid w:val="190C0277"/>
    <w:rsid w:val="19104A6E"/>
    <w:rsid w:val="194818B4"/>
    <w:rsid w:val="195C2DAE"/>
    <w:rsid w:val="196846B9"/>
    <w:rsid w:val="1979599D"/>
    <w:rsid w:val="19A65C35"/>
    <w:rsid w:val="19A86CE9"/>
    <w:rsid w:val="19C72EE6"/>
    <w:rsid w:val="19D55685"/>
    <w:rsid w:val="19D63097"/>
    <w:rsid w:val="1A0D2A4A"/>
    <w:rsid w:val="1A2F6045"/>
    <w:rsid w:val="1A400204"/>
    <w:rsid w:val="1A4C2D0F"/>
    <w:rsid w:val="1A685EB8"/>
    <w:rsid w:val="1A817DEA"/>
    <w:rsid w:val="1A977783"/>
    <w:rsid w:val="1A994D33"/>
    <w:rsid w:val="1ABE7DC8"/>
    <w:rsid w:val="1AD35B55"/>
    <w:rsid w:val="1ADF0FED"/>
    <w:rsid w:val="1B253887"/>
    <w:rsid w:val="1B571741"/>
    <w:rsid w:val="1B6F33E5"/>
    <w:rsid w:val="1B754484"/>
    <w:rsid w:val="1B7F2276"/>
    <w:rsid w:val="1B871004"/>
    <w:rsid w:val="1B963FA6"/>
    <w:rsid w:val="1B9B5BFE"/>
    <w:rsid w:val="1BA94E24"/>
    <w:rsid w:val="1BB362E2"/>
    <w:rsid w:val="1BBA15EF"/>
    <w:rsid w:val="1BC162E8"/>
    <w:rsid w:val="1BD83779"/>
    <w:rsid w:val="1C000FBC"/>
    <w:rsid w:val="1C010D1D"/>
    <w:rsid w:val="1C154BFE"/>
    <w:rsid w:val="1C240502"/>
    <w:rsid w:val="1C282F6F"/>
    <w:rsid w:val="1C3B4A23"/>
    <w:rsid w:val="1C57773B"/>
    <w:rsid w:val="1C762B3D"/>
    <w:rsid w:val="1C8D776B"/>
    <w:rsid w:val="1CA0383F"/>
    <w:rsid w:val="1CCC1EBA"/>
    <w:rsid w:val="1CFB7BD4"/>
    <w:rsid w:val="1D1D4E2E"/>
    <w:rsid w:val="1D52669D"/>
    <w:rsid w:val="1D5E4918"/>
    <w:rsid w:val="1D8645B5"/>
    <w:rsid w:val="1DB753E9"/>
    <w:rsid w:val="1DBA2E2E"/>
    <w:rsid w:val="1DBB1C42"/>
    <w:rsid w:val="1DE103FA"/>
    <w:rsid w:val="1DE72F8B"/>
    <w:rsid w:val="1DF41671"/>
    <w:rsid w:val="1E2E6377"/>
    <w:rsid w:val="1E3104EB"/>
    <w:rsid w:val="1E6D128D"/>
    <w:rsid w:val="1E722C69"/>
    <w:rsid w:val="1EB072B1"/>
    <w:rsid w:val="1EB50BBD"/>
    <w:rsid w:val="1EBF28F1"/>
    <w:rsid w:val="1EC06BEC"/>
    <w:rsid w:val="1F5B5733"/>
    <w:rsid w:val="1F5F2F92"/>
    <w:rsid w:val="1F677541"/>
    <w:rsid w:val="1F6F5384"/>
    <w:rsid w:val="1FA31C4E"/>
    <w:rsid w:val="1FAA1EEE"/>
    <w:rsid w:val="1FB20C2C"/>
    <w:rsid w:val="1FCD35E0"/>
    <w:rsid w:val="1FD02EE8"/>
    <w:rsid w:val="1FD2597E"/>
    <w:rsid w:val="1FF20FA0"/>
    <w:rsid w:val="1FFF6B0A"/>
    <w:rsid w:val="2004034F"/>
    <w:rsid w:val="200B13E8"/>
    <w:rsid w:val="201E1EB2"/>
    <w:rsid w:val="203F0AAD"/>
    <w:rsid w:val="204149C1"/>
    <w:rsid w:val="2044159C"/>
    <w:rsid w:val="20492558"/>
    <w:rsid w:val="205E38F0"/>
    <w:rsid w:val="2075089D"/>
    <w:rsid w:val="20AA0500"/>
    <w:rsid w:val="20AD3BEB"/>
    <w:rsid w:val="20C22BC7"/>
    <w:rsid w:val="210920EF"/>
    <w:rsid w:val="21392153"/>
    <w:rsid w:val="213D3995"/>
    <w:rsid w:val="213E63DA"/>
    <w:rsid w:val="21514B5B"/>
    <w:rsid w:val="217F7026"/>
    <w:rsid w:val="21992531"/>
    <w:rsid w:val="21A4757C"/>
    <w:rsid w:val="21BD7A67"/>
    <w:rsid w:val="21D132BC"/>
    <w:rsid w:val="21D2478C"/>
    <w:rsid w:val="21F0010E"/>
    <w:rsid w:val="222535A1"/>
    <w:rsid w:val="2253337B"/>
    <w:rsid w:val="22753104"/>
    <w:rsid w:val="22A50CDA"/>
    <w:rsid w:val="22C54964"/>
    <w:rsid w:val="22F310EC"/>
    <w:rsid w:val="230B3186"/>
    <w:rsid w:val="232A7F55"/>
    <w:rsid w:val="232E17C5"/>
    <w:rsid w:val="2363312E"/>
    <w:rsid w:val="236E7FC9"/>
    <w:rsid w:val="23704814"/>
    <w:rsid w:val="237F3F46"/>
    <w:rsid w:val="23A835D3"/>
    <w:rsid w:val="23DF4103"/>
    <w:rsid w:val="24055FBC"/>
    <w:rsid w:val="241271DB"/>
    <w:rsid w:val="242F013F"/>
    <w:rsid w:val="24381601"/>
    <w:rsid w:val="24944FF6"/>
    <w:rsid w:val="2498033F"/>
    <w:rsid w:val="249C22E1"/>
    <w:rsid w:val="251E464F"/>
    <w:rsid w:val="25493364"/>
    <w:rsid w:val="254F7A0F"/>
    <w:rsid w:val="255C378E"/>
    <w:rsid w:val="258A22CD"/>
    <w:rsid w:val="258C2F14"/>
    <w:rsid w:val="259C58FE"/>
    <w:rsid w:val="25B152B5"/>
    <w:rsid w:val="25B862D0"/>
    <w:rsid w:val="25CB3A81"/>
    <w:rsid w:val="25F9257C"/>
    <w:rsid w:val="262C5C6D"/>
    <w:rsid w:val="265D48E5"/>
    <w:rsid w:val="266F480A"/>
    <w:rsid w:val="267C47C3"/>
    <w:rsid w:val="267D1FC5"/>
    <w:rsid w:val="26805560"/>
    <w:rsid w:val="26A71D59"/>
    <w:rsid w:val="26C14A80"/>
    <w:rsid w:val="26CA79B1"/>
    <w:rsid w:val="26CD31AF"/>
    <w:rsid w:val="26E36DA9"/>
    <w:rsid w:val="270D444F"/>
    <w:rsid w:val="271916C3"/>
    <w:rsid w:val="273A24AE"/>
    <w:rsid w:val="27456DDA"/>
    <w:rsid w:val="274704F7"/>
    <w:rsid w:val="27506187"/>
    <w:rsid w:val="27512C81"/>
    <w:rsid w:val="27591CFC"/>
    <w:rsid w:val="276F63C2"/>
    <w:rsid w:val="276F6648"/>
    <w:rsid w:val="27703BAC"/>
    <w:rsid w:val="27816204"/>
    <w:rsid w:val="278909E9"/>
    <w:rsid w:val="278D77E9"/>
    <w:rsid w:val="27900E5F"/>
    <w:rsid w:val="27B039C8"/>
    <w:rsid w:val="27CB356E"/>
    <w:rsid w:val="27DB14E9"/>
    <w:rsid w:val="27E63708"/>
    <w:rsid w:val="27F95DF6"/>
    <w:rsid w:val="27FC68FC"/>
    <w:rsid w:val="28015AEC"/>
    <w:rsid w:val="280B7F29"/>
    <w:rsid w:val="281F6326"/>
    <w:rsid w:val="28242737"/>
    <w:rsid w:val="286F6445"/>
    <w:rsid w:val="2880029E"/>
    <w:rsid w:val="28872154"/>
    <w:rsid w:val="28AD4E25"/>
    <w:rsid w:val="28B214EF"/>
    <w:rsid w:val="28F8088B"/>
    <w:rsid w:val="290D4165"/>
    <w:rsid w:val="291E414A"/>
    <w:rsid w:val="292661E0"/>
    <w:rsid w:val="29326F94"/>
    <w:rsid w:val="293A5C24"/>
    <w:rsid w:val="29496672"/>
    <w:rsid w:val="29704239"/>
    <w:rsid w:val="299710B2"/>
    <w:rsid w:val="29C03002"/>
    <w:rsid w:val="29C341ED"/>
    <w:rsid w:val="29D17C06"/>
    <w:rsid w:val="29D3340F"/>
    <w:rsid w:val="29E13C7C"/>
    <w:rsid w:val="29E26806"/>
    <w:rsid w:val="29F4710C"/>
    <w:rsid w:val="29FF0B07"/>
    <w:rsid w:val="2A0E00CA"/>
    <w:rsid w:val="2A2D064F"/>
    <w:rsid w:val="2A497078"/>
    <w:rsid w:val="2A4B3C6C"/>
    <w:rsid w:val="2A615D77"/>
    <w:rsid w:val="2A630D17"/>
    <w:rsid w:val="2A791B21"/>
    <w:rsid w:val="2A87357D"/>
    <w:rsid w:val="2AA5169E"/>
    <w:rsid w:val="2AE57AC4"/>
    <w:rsid w:val="2AED38FF"/>
    <w:rsid w:val="2AF13218"/>
    <w:rsid w:val="2AFD3174"/>
    <w:rsid w:val="2B1E5D60"/>
    <w:rsid w:val="2B5934AE"/>
    <w:rsid w:val="2B626BBA"/>
    <w:rsid w:val="2B7A5423"/>
    <w:rsid w:val="2B7F51D7"/>
    <w:rsid w:val="2B853CF9"/>
    <w:rsid w:val="2B914B5D"/>
    <w:rsid w:val="2BA9469B"/>
    <w:rsid w:val="2BE529C4"/>
    <w:rsid w:val="2BF544D2"/>
    <w:rsid w:val="2C3D1CE0"/>
    <w:rsid w:val="2C9E0649"/>
    <w:rsid w:val="2CBC5FB0"/>
    <w:rsid w:val="2CD17CCF"/>
    <w:rsid w:val="2CF81347"/>
    <w:rsid w:val="2D0F4D53"/>
    <w:rsid w:val="2D1C517B"/>
    <w:rsid w:val="2D2824B2"/>
    <w:rsid w:val="2D355A17"/>
    <w:rsid w:val="2D6138B7"/>
    <w:rsid w:val="2D666BF9"/>
    <w:rsid w:val="2D833B32"/>
    <w:rsid w:val="2D896548"/>
    <w:rsid w:val="2D917EAF"/>
    <w:rsid w:val="2DB0030F"/>
    <w:rsid w:val="2DCA0BF2"/>
    <w:rsid w:val="2DD02FC8"/>
    <w:rsid w:val="2DE55A1E"/>
    <w:rsid w:val="2E002321"/>
    <w:rsid w:val="2E1C647D"/>
    <w:rsid w:val="2E3C37AA"/>
    <w:rsid w:val="2E3F37FA"/>
    <w:rsid w:val="2E414B35"/>
    <w:rsid w:val="2E580F8F"/>
    <w:rsid w:val="2E8639C6"/>
    <w:rsid w:val="2EB81807"/>
    <w:rsid w:val="2EC47A74"/>
    <w:rsid w:val="2ED9015F"/>
    <w:rsid w:val="2EDB7001"/>
    <w:rsid w:val="2F5E5535"/>
    <w:rsid w:val="2F7F38EF"/>
    <w:rsid w:val="2F841DC0"/>
    <w:rsid w:val="2FAB044B"/>
    <w:rsid w:val="2FD81C8D"/>
    <w:rsid w:val="2FDD7AA8"/>
    <w:rsid w:val="2FDF05E9"/>
    <w:rsid w:val="302A451F"/>
    <w:rsid w:val="302E0A39"/>
    <w:rsid w:val="30407780"/>
    <w:rsid w:val="305A76AB"/>
    <w:rsid w:val="30841252"/>
    <w:rsid w:val="30AE5D9B"/>
    <w:rsid w:val="30BD5A46"/>
    <w:rsid w:val="30C670C4"/>
    <w:rsid w:val="30CA166B"/>
    <w:rsid w:val="30E87423"/>
    <w:rsid w:val="30ED1101"/>
    <w:rsid w:val="30F72E6E"/>
    <w:rsid w:val="30F857B9"/>
    <w:rsid w:val="31170894"/>
    <w:rsid w:val="313A36E5"/>
    <w:rsid w:val="314F6742"/>
    <w:rsid w:val="31554AE7"/>
    <w:rsid w:val="315C7F7F"/>
    <w:rsid w:val="31785A4E"/>
    <w:rsid w:val="31CF2D29"/>
    <w:rsid w:val="31E82675"/>
    <w:rsid w:val="31FE41EC"/>
    <w:rsid w:val="321E6DA8"/>
    <w:rsid w:val="32280685"/>
    <w:rsid w:val="324E222E"/>
    <w:rsid w:val="325869D8"/>
    <w:rsid w:val="326D7BCF"/>
    <w:rsid w:val="327A6BD0"/>
    <w:rsid w:val="32832ED6"/>
    <w:rsid w:val="32AC1117"/>
    <w:rsid w:val="32C31B6B"/>
    <w:rsid w:val="32D45531"/>
    <w:rsid w:val="32D96982"/>
    <w:rsid w:val="33050AAD"/>
    <w:rsid w:val="33116608"/>
    <w:rsid w:val="332C3F79"/>
    <w:rsid w:val="33392236"/>
    <w:rsid w:val="334530F3"/>
    <w:rsid w:val="336E02D4"/>
    <w:rsid w:val="33861D25"/>
    <w:rsid w:val="33C32064"/>
    <w:rsid w:val="33C96CCF"/>
    <w:rsid w:val="33D1513C"/>
    <w:rsid w:val="33E97899"/>
    <w:rsid w:val="33EF1DDB"/>
    <w:rsid w:val="33F04971"/>
    <w:rsid w:val="33F30E32"/>
    <w:rsid w:val="33F85143"/>
    <w:rsid w:val="340505DC"/>
    <w:rsid w:val="342041F4"/>
    <w:rsid w:val="34270AC1"/>
    <w:rsid w:val="342927FC"/>
    <w:rsid w:val="343F154C"/>
    <w:rsid w:val="344469FD"/>
    <w:rsid w:val="34562F70"/>
    <w:rsid w:val="347E3539"/>
    <w:rsid w:val="34830369"/>
    <w:rsid w:val="350D407B"/>
    <w:rsid w:val="351C0A51"/>
    <w:rsid w:val="354503F4"/>
    <w:rsid w:val="35453CE8"/>
    <w:rsid w:val="35841377"/>
    <w:rsid w:val="358B3C8E"/>
    <w:rsid w:val="358F1EC3"/>
    <w:rsid w:val="359A09ED"/>
    <w:rsid w:val="35AA1BCA"/>
    <w:rsid w:val="35B33563"/>
    <w:rsid w:val="35BC4AB2"/>
    <w:rsid w:val="35E936E6"/>
    <w:rsid w:val="35EB0A3D"/>
    <w:rsid w:val="35FA1982"/>
    <w:rsid w:val="35FE2F69"/>
    <w:rsid w:val="35FF12E2"/>
    <w:rsid w:val="360C3486"/>
    <w:rsid w:val="36441F53"/>
    <w:rsid w:val="364C0351"/>
    <w:rsid w:val="367E53BD"/>
    <w:rsid w:val="368559A2"/>
    <w:rsid w:val="36995CF0"/>
    <w:rsid w:val="36B15DF4"/>
    <w:rsid w:val="36C070E9"/>
    <w:rsid w:val="36D121F1"/>
    <w:rsid w:val="37237201"/>
    <w:rsid w:val="37383C9E"/>
    <w:rsid w:val="375A58F9"/>
    <w:rsid w:val="376D0505"/>
    <w:rsid w:val="376D4567"/>
    <w:rsid w:val="37965470"/>
    <w:rsid w:val="37A058ED"/>
    <w:rsid w:val="37B07E7F"/>
    <w:rsid w:val="37B1241A"/>
    <w:rsid w:val="37D56240"/>
    <w:rsid w:val="37E17558"/>
    <w:rsid w:val="37F609F5"/>
    <w:rsid w:val="38142EE2"/>
    <w:rsid w:val="382D35E2"/>
    <w:rsid w:val="383E613C"/>
    <w:rsid w:val="387F6F98"/>
    <w:rsid w:val="38890DD2"/>
    <w:rsid w:val="38A914AA"/>
    <w:rsid w:val="38AC2771"/>
    <w:rsid w:val="38CF1737"/>
    <w:rsid w:val="38EB788B"/>
    <w:rsid w:val="38EE54CC"/>
    <w:rsid w:val="391477F6"/>
    <w:rsid w:val="3937628D"/>
    <w:rsid w:val="397054D7"/>
    <w:rsid w:val="397131B7"/>
    <w:rsid w:val="39C616EE"/>
    <w:rsid w:val="39D178FD"/>
    <w:rsid w:val="39D20836"/>
    <w:rsid w:val="39E55C79"/>
    <w:rsid w:val="39F529BD"/>
    <w:rsid w:val="39FC3CDD"/>
    <w:rsid w:val="3A0337F4"/>
    <w:rsid w:val="3A0E4A66"/>
    <w:rsid w:val="3A0F5041"/>
    <w:rsid w:val="3A4458BD"/>
    <w:rsid w:val="3A49697E"/>
    <w:rsid w:val="3A57248F"/>
    <w:rsid w:val="3A5930B4"/>
    <w:rsid w:val="3AAA1FCB"/>
    <w:rsid w:val="3AC22C8F"/>
    <w:rsid w:val="3B401F9F"/>
    <w:rsid w:val="3B596F6F"/>
    <w:rsid w:val="3B703203"/>
    <w:rsid w:val="3B754CFB"/>
    <w:rsid w:val="3B8770EE"/>
    <w:rsid w:val="3B91770A"/>
    <w:rsid w:val="3B951E85"/>
    <w:rsid w:val="3B967E52"/>
    <w:rsid w:val="3BB56FEB"/>
    <w:rsid w:val="3BD76595"/>
    <w:rsid w:val="3C1C1508"/>
    <w:rsid w:val="3C266A0E"/>
    <w:rsid w:val="3C404ADE"/>
    <w:rsid w:val="3C4D6189"/>
    <w:rsid w:val="3C85139E"/>
    <w:rsid w:val="3C8E7AB6"/>
    <w:rsid w:val="3CB30A45"/>
    <w:rsid w:val="3CC84549"/>
    <w:rsid w:val="3D080961"/>
    <w:rsid w:val="3D2321D5"/>
    <w:rsid w:val="3D631D18"/>
    <w:rsid w:val="3D9B0FF3"/>
    <w:rsid w:val="3D9E12A1"/>
    <w:rsid w:val="3DB836BF"/>
    <w:rsid w:val="3DBF54D1"/>
    <w:rsid w:val="3DD0070F"/>
    <w:rsid w:val="3DD0314B"/>
    <w:rsid w:val="3DD24540"/>
    <w:rsid w:val="3DE11624"/>
    <w:rsid w:val="3DFA21F0"/>
    <w:rsid w:val="3DFF6D97"/>
    <w:rsid w:val="3E0A6273"/>
    <w:rsid w:val="3E4C2268"/>
    <w:rsid w:val="3E5D2E08"/>
    <w:rsid w:val="3E65120B"/>
    <w:rsid w:val="3E6825AB"/>
    <w:rsid w:val="3E990BCE"/>
    <w:rsid w:val="3EA74100"/>
    <w:rsid w:val="3EC4153C"/>
    <w:rsid w:val="3ED71CC0"/>
    <w:rsid w:val="3EE43339"/>
    <w:rsid w:val="3F0C16B6"/>
    <w:rsid w:val="3F373E09"/>
    <w:rsid w:val="3F396430"/>
    <w:rsid w:val="3F3D51AB"/>
    <w:rsid w:val="3F46049A"/>
    <w:rsid w:val="3F483449"/>
    <w:rsid w:val="3F4C559B"/>
    <w:rsid w:val="3F80503B"/>
    <w:rsid w:val="3F8C483D"/>
    <w:rsid w:val="3F9738B9"/>
    <w:rsid w:val="3FA91189"/>
    <w:rsid w:val="3FB54320"/>
    <w:rsid w:val="3FD40286"/>
    <w:rsid w:val="3FD85B95"/>
    <w:rsid w:val="3FE1730C"/>
    <w:rsid w:val="40006203"/>
    <w:rsid w:val="401A0A3D"/>
    <w:rsid w:val="4025470B"/>
    <w:rsid w:val="402E0D38"/>
    <w:rsid w:val="40355480"/>
    <w:rsid w:val="404439DB"/>
    <w:rsid w:val="40457334"/>
    <w:rsid w:val="404A1C06"/>
    <w:rsid w:val="405E6311"/>
    <w:rsid w:val="40805696"/>
    <w:rsid w:val="40945BD7"/>
    <w:rsid w:val="40C07E55"/>
    <w:rsid w:val="410406EE"/>
    <w:rsid w:val="411A2CA9"/>
    <w:rsid w:val="411C1CDD"/>
    <w:rsid w:val="4159217C"/>
    <w:rsid w:val="418A2F70"/>
    <w:rsid w:val="41963683"/>
    <w:rsid w:val="41AA597E"/>
    <w:rsid w:val="41BD7303"/>
    <w:rsid w:val="421D3B80"/>
    <w:rsid w:val="421E197A"/>
    <w:rsid w:val="42553004"/>
    <w:rsid w:val="428B1BDB"/>
    <w:rsid w:val="428E0BC9"/>
    <w:rsid w:val="429121FE"/>
    <w:rsid w:val="42E6012C"/>
    <w:rsid w:val="42E63401"/>
    <w:rsid w:val="42F33C51"/>
    <w:rsid w:val="4324415B"/>
    <w:rsid w:val="432B2BDD"/>
    <w:rsid w:val="433B24A0"/>
    <w:rsid w:val="434C6777"/>
    <w:rsid w:val="438172BC"/>
    <w:rsid w:val="438D7205"/>
    <w:rsid w:val="43A31501"/>
    <w:rsid w:val="43A51A0F"/>
    <w:rsid w:val="43A63ED9"/>
    <w:rsid w:val="43CA4ED5"/>
    <w:rsid w:val="43D3039E"/>
    <w:rsid w:val="440F5CB7"/>
    <w:rsid w:val="4410164C"/>
    <w:rsid w:val="4421190E"/>
    <w:rsid w:val="44387A96"/>
    <w:rsid w:val="443F6059"/>
    <w:rsid w:val="4440389E"/>
    <w:rsid w:val="44404FD8"/>
    <w:rsid w:val="44467B33"/>
    <w:rsid w:val="44471594"/>
    <w:rsid w:val="44507687"/>
    <w:rsid w:val="44510394"/>
    <w:rsid w:val="446108C6"/>
    <w:rsid w:val="44983E14"/>
    <w:rsid w:val="44D101C0"/>
    <w:rsid w:val="44D37D84"/>
    <w:rsid w:val="44E7070D"/>
    <w:rsid w:val="44E96140"/>
    <w:rsid w:val="45151EC2"/>
    <w:rsid w:val="452D6EC8"/>
    <w:rsid w:val="452E7CA8"/>
    <w:rsid w:val="455D6C0E"/>
    <w:rsid w:val="456237E3"/>
    <w:rsid w:val="45646473"/>
    <w:rsid w:val="45674650"/>
    <w:rsid w:val="45996092"/>
    <w:rsid w:val="45A20D7F"/>
    <w:rsid w:val="45A96BB7"/>
    <w:rsid w:val="45B70AB6"/>
    <w:rsid w:val="45BE1896"/>
    <w:rsid w:val="45C374F7"/>
    <w:rsid w:val="45CF5588"/>
    <w:rsid w:val="45FD2A9F"/>
    <w:rsid w:val="46185997"/>
    <w:rsid w:val="46480C46"/>
    <w:rsid w:val="464E5B22"/>
    <w:rsid w:val="465719BA"/>
    <w:rsid w:val="466A2D2D"/>
    <w:rsid w:val="468B7A13"/>
    <w:rsid w:val="46C21532"/>
    <w:rsid w:val="46C53057"/>
    <w:rsid w:val="46DD6135"/>
    <w:rsid w:val="47037BFD"/>
    <w:rsid w:val="470D6DF4"/>
    <w:rsid w:val="471609FC"/>
    <w:rsid w:val="473F2635"/>
    <w:rsid w:val="4753398A"/>
    <w:rsid w:val="47537F64"/>
    <w:rsid w:val="476676F8"/>
    <w:rsid w:val="477E64CE"/>
    <w:rsid w:val="478A2625"/>
    <w:rsid w:val="478D0FC4"/>
    <w:rsid w:val="47995509"/>
    <w:rsid w:val="47BA075C"/>
    <w:rsid w:val="47BE498F"/>
    <w:rsid w:val="47DA3EE6"/>
    <w:rsid w:val="47E80D20"/>
    <w:rsid w:val="47F66132"/>
    <w:rsid w:val="47FE205C"/>
    <w:rsid w:val="48064ED6"/>
    <w:rsid w:val="48286180"/>
    <w:rsid w:val="4843730A"/>
    <w:rsid w:val="484E10BE"/>
    <w:rsid w:val="485F529B"/>
    <w:rsid w:val="48662799"/>
    <w:rsid w:val="48897354"/>
    <w:rsid w:val="48945E7F"/>
    <w:rsid w:val="489770C9"/>
    <w:rsid w:val="48CB623B"/>
    <w:rsid w:val="490D0375"/>
    <w:rsid w:val="490F4371"/>
    <w:rsid w:val="4953099D"/>
    <w:rsid w:val="495D5A00"/>
    <w:rsid w:val="49656C49"/>
    <w:rsid w:val="4989236D"/>
    <w:rsid w:val="49D6259B"/>
    <w:rsid w:val="49D62DD0"/>
    <w:rsid w:val="49DF7B2A"/>
    <w:rsid w:val="49ED3805"/>
    <w:rsid w:val="49F444EB"/>
    <w:rsid w:val="4A285F26"/>
    <w:rsid w:val="4A300C6A"/>
    <w:rsid w:val="4A3029FF"/>
    <w:rsid w:val="4A495F64"/>
    <w:rsid w:val="4A5F5DCB"/>
    <w:rsid w:val="4A6361B0"/>
    <w:rsid w:val="4A6D5817"/>
    <w:rsid w:val="4A6D5A21"/>
    <w:rsid w:val="4A764CF9"/>
    <w:rsid w:val="4A780E6E"/>
    <w:rsid w:val="4A7D61F3"/>
    <w:rsid w:val="4A9C4AA6"/>
    <w:rsid w:val="4AC13BA7"/>
    <w:rsid w:val="4AD43CC2"/>
    <w:rsid w:val="4B03568E"/>
    <w:rsid w:val="4B073250"/>
    <w:rsid w:val="4B157281"/>
    <w:rsid w:val="4B1B4D9A"/>
    <w:rsid w:val="4B244692"/>
    <w:rsid w:val="4B43338C"/>
    <w:rsid w:val="4B596AA2"/>
    <w:rsid w:val="4B6865B5"/>
    <w:rsid w:val="4B8455EB"/>
    <w:rsid w:val="4B845D24"/>
    <w:rsid w:val="4B8D7E48"/>
    <w:rsid w:val="4BBA1147"/>
    <w:rsid w:val="4BDC5F6B"/>
    <w:rsid w:val="4C037012"/>
    <w:rsid w:val="4C2C12C3"/>
    <w:rsid w:val="4C3008D0"/>
    <w:rsid w:val="4C3679C6"/>
    <w:rsid w:val="4C390B55"/>
    <w:rsid w:val="4C5C5F9D"/>
    <w:rsid w:val="4C75532B"/>
    <w:rsid w:val="4C7A5603"/>
    <w:rsid w:val="4C8111CA"/>
    <w:rsid w:val="4C8220ED"/>
    <w:rsid w:val="4C961F41"/>
    <w:rsid w:val="4CA334F9"/>
    <w:rsid w:val="4CAB4709"/>
    <w:rsid w:val="4CCF5635"/>
    <w:rsid w:val="4CD27DDB"/>
    <w:rsid w:val="4CD951A0"/>
    <w:rsid w:val="4CE05184"/>
    <w:rsid w:val="4CE524B9"/>
    <w:rsid w:val="4CE61651"/>
    <w:rsid w:val="4CF2752F"/>
    <w:rsid w:val="4D271487"/>
    <w:rsid w:val="4D2A7EDF"/>
    <w:rsid w:val="4D2B58BF"/>
    <w:rsid w:val="4D2E3A04"/>
    <w:rsid w:val="4D4030BE"/>
    <w:rsid w:val="4D890E9D"/>
    <w:rsid w:val="4D8F7DD5"/>
    <w:rsid w:val="4D901638"/>
    <w:rsid w:val="4D9F6363"/>
    <w:rsid w:val="4DD80CDF"/>
    <w:rsid w:val="4DDF6B8F"/>
    <w:rsid w:val="4DF236E4"/>
    <w:rsid w:val="4DF75681"/>
    <w:rsid w:val="4DFA0703"/>
    <w:rsid w:val="4E67354A"/>
    <w:rsid w:val="4E73266B"/>
    <w:rsid w:val="4E7929BA"/>
    <w:rsid w:val="4E7B6778"/>
    <w:rsid w:val="4EA847B3"/>
    <w:rsid w:val="4ED15497"/>
    <w:rsid w:val="4ED4741A"/>
    <w:rsid w:val="4EEE643C"/>
    <w:rsid w:val="4EEF4A17"/>
    <w:rsid w:val="4EFD28C2"/>
    <w:rsid w:val="4F3B2DCB"/>
    <w:rsid w:val="4F3C0C95"/>
    <w:rsid w:val="4F7D3F49"/>
    <w:rsid w:val="4F8B50E7"/>
    <w:rsid w:val="4FB72C7A"/>
    <w:rsid w:val="4FC4795B"/>
    <w:rsid w:val="4FD25C82"/>
    <w:rsid w:val="4FD6135A"/>
    <w:rsid w:val="4FE00F0B"/>
    <w:rsid w:val="4FF379A4"/>
    <w:rsid w:val="4FFF16B7"/>
    <w:rsid w:val="500217A5"/>
    <w:rsid w:val="50220E8F"/>
    <w:rsid w:val="50500572"/>
    <w:rsid w:val="505C064C"/>
    <w:rsid w:val="50693ADF"/>
    <w:rsid w:val="506D5405"/>
    <w:rsid w:val="50950C9A"/>
    <w:rsid w:val="50AC4899"/>
    <w:rsid w:val="50CF36DF"/>
    <w:rsid w:val="50E920BD"/>
    <w:rsid w:val="50EE3B03"/>
    <w:rsid w:val="50F82A75"/>
    <w:rsid w:val="51053257"/>
    <w:rsid w:val="51634A9A"/>
    <w:rsid w:val="517073FB"/>
    <w:rsid w:val="51852DBA"/>
    <w:rsid w:val="518E3D0C"/>
    <w:rsid w:val="51906CB3"/>
    <w:rsid w:val="51A947E6"/>
    <w:rsid w:val="51D9122E"/>
    <w:rsid w:val="51ED697F"/>
    <w:rsid w:val="51FB5766"/>
    <w:rsid w:val="52003972"/>
    <w:rsid w:val="5201513B"/>
    <w:rsid w:val="52047653"/>
    <w:rsid w:val="52384E06"/>
    <w:rsid w:val="52387C4A"/>
    <w:rsid w:val="52535BCC"/>
    <w:rsid w:val="52623D08"/>
    <w:rsid w:val="52757A71"/>
    <w:rsid w:val="527C7722"/>
    <w:rsid w:val="52863AC7"/>
    <w:rsid w:val="52BF212E"/>
    <w:rsid w:val="52F6155C"/>
    <w:rsid w:val="52F9655C"/>
    <w:rsid w:val="531460EC"/>
    <w:rsid w:val="5315385C"/>
    <w:rsid w:val="531600F1"/>
    <w:rsid w:val="533162A1"/>
    <w:rsid w:val="5342491C"/>
    <w:rsid w:val="53A06ACE"/>
    <w:rsid w:val="53B86A58"/>
    <w:rsid w:val="53C072FC"/>
    <w:rsid w:val="53C56D73"/>
    <w:rsid w:val="53CC7CB4"/>
    <w:rsid w:val="53D233D8"/>
    <w:rsid w:val="53DD44AD"/>
    <w:rsid w:val="53E002AC"/>
    <w:rsid w:val="53FF5EFB"/>
    <w:rsid w:val="54217E20"/>
    <w:rsid w:val="542875FB"/>
    <w:rsid w:val="544822BD"/>
    <w:rsid w:val="548A0CB0"/>
    <w:rsid w:val="54AF5270"/>
    <w:rsid w:val="54B1543D"/>
    <w:rsid w:val="54C27769"/>
    <w:rsid w:val="54C4350C"/>
    <w:rsid w:val="55157F87"/>
    <w:rsid w:val="5519173E"/>
    <w:rsid w:val="5534121F"/>
    <w:rsid w:val="55390B69"/>
    <w:rsid w:val="553B71F6"/>
    <w:rsid w:val="553F1E51"/>
    <w:rsid w:val="5579725C"/>
    <w:rsid w:val="55890B98"/>
    <w:rsid w:val="559F30F0"/>
    <w:rsid w:val="55A84BFE"/>
    <w:rsid w:val="55B45F63"/>
    <w:rsid w:val="55B90C0A"/>
    <w:rsid w:val="55D63591"/>
    <w:rsid w:val="560A087F"/>
    <w:rsid w:val="56122C31"/>
    <w:rsid w:val="561974BB"/>
    <w:rsid w:val="56281E78"/>
    <w:rsid w:val="562A4387"/>
    <w:rsid w:val="56334986"/>
    <w:rsid w:val="56394FFE"/>
    <w:rsid w:val="56533581"/>
    <w:rsid w:val="56556A86"/>
    <w:rsid w:val="565A2E32"/>
    <w:rsid w:val="568858B4"/>
    <w:rsid w:val="56AE6CD3"/>
    <w:rsid w:val="56CE0807"/>
    <w:rsid w:val="56CF1ADE"/>
    <w:rsid w:val="56FA2C95"/>
    <w:rsid w:val="57075BF9"/>
    <w:rsid w:val="57082B77"/>
    <w:rsid w:val="57172D90"/>
    <w:rsid w:val="57260DE0"/>
    <w:rsid w:val="57313A9F"/>
    <w:rsid w:val="57386662"/>
    <w:rsid w:val="574F03D9"/>
    <w:rsid w:val="576F699C"/>
    <w:rsid w:val="57850AAF"/>
    <w:rsid w:val="57A21B1B"/>
    <w:rsid w:val="57AD6121"/>
    <w:rsid w:val="57BC62D0"/>
    <w:rsid w:val="57DB7459"/>
    <w:rsid w:val="58290DC5"/>
    <w:rsid w:val="583170EE"/>
    <w:rsid w:val="58527FC8"/>
    <w:rsid w:val="58647470"/>
    <w:rsid w:val="58723020"/>
    <w:rsid w:val="587303D7"/>
    <w:rsid w:val="58806C98"/>
    <w:rsid w:val="58961943"/>
    <w:rsid w:val="58B45DE2"/>
    <w:rsid w:val="58CB0566"/>
    <w:rsid w:val="58D411FE"/>
    <w:rsid w:val="58E40C92"/>
    <w:rsid w:val="590E217B"/>
    <w:rsid w:val="59121580"/>
    <w:rsid w:val="59A41CA5"/>
    <w:rsid w:val="59A801F0"/>
    <w:rsid w:val="59B2180F"/>
    <w:rsid w:val="59CC6F66"/>
    <w:rsid w:val="59F82FAA"/>
    <w:rsid w:val="59FA6DBB"/>
    <w:rsid w:val="5A2F034B"/>
    <w:rsid w:val="5A334CA4"/>
    <w:rsid w:val="5A4C460E"/>
    <w:rsid w:val="5A4D497B"/>
    <w:rsid w:val="5A874A8D"/>
    <w:rsid w:val="5A97386D"/>
    <w:rsid w:val="5A9A2F72"/>
    <w:rsid w:val="5AB250D9"/>
    <w:rsid w:val="5AB44254"/>
    <w:rsid w:val="5ABB4FF8"/>
    <w:rsid w:val="5B2A3919"/>
    <w:rsid w:val="5B351435"/>
    <w:rsid w:val="5B691FD4"/>
    <w:rsid w:val="5B926846"/>
    <w:rsid w:val="5BA57414"/>
    <w:rsid w:val="5BB8544A"/>
    <w:rsid w:val="5C1C73FB"/>
    <w:rsid w:val="5C2A2C70"/>
    <w:rsid w:val="5C51394C"/>
    <w:rsid w:val="5C72662A"/>
    <w:rsid w:val="5C960E86"/>
    <w:rsid w:val="5CC15D47"/>
    <w:rsid w:val="5CDE7166"/>
    <w:rsid w:val="5CE23177"/>
    <w:rsid w:val="5CE86B44"/>
    <w:rsid w:val="5CFD25D5"/>
    <w:rsid w:val="5D033BE7"/>
    <w:rsid w:val="5D2B4537"/>
    <w:rsid w:val="5D3C2E5D"/>
    <w:rsid w:val="5D604509"/>
    <w:rsid w:val="5D703211"/>
    <w:rsid w:val="5D9E1D99"/>
    <w:rsid w:val="5DAD470E"/>
    <w:rsid w:val="5DC85EB7"/>
    <w:rsid w:val="5DD33B7E"/>
    <w:rsid w:val="5DE03167"/>
    <w:rsid w:val="5DFC0FC1"/>
    <w:rsid w:val="5E135FCC"/>
    <w:rsid w:val="5E8D672F"/>
    <w:rsid w:val="5E9138DC"/>
    <w:rsid w:val="5EC461DB"/>
    <w:rsid w:val="5EC64E6D"/>
    <w:rsid w:val="5EE44A5F"/>
    <w:rsid w:val="5EEB1665"/>
    <w:rsid w:val="5F2A0360"/>
    <w:rsid w:val="5F3D3A6B"/>
    <w:rsid w:val="5F635AAB"/>
    <w:rsid w:val="5FB223E4"/>
    <w:rsid w:val="5FB34363"/>
    <w:rsid w:val="5FCB0E07"/>
    <w:rsid w:val="5FD62FEA"/>
    <w:rsid w:val="5FDD424F"/>
    <w:rsid w:val="5FDF6B44"/>
    <w:rsid w:val="5FF13B6D"/>
    <w:rsid w:val="5FF31011"/>
    <w:rsid w:val="600F52EB"/>
    <w:rsid w:val="60152B0C"/>
    <w:rsid w:val="603424E2"/>
    <w:rsid w:val="608655C1"/>
    <w:rsid w:val="609465DD"/>
    <w:rsid w:val="60A10BD7"/>
    <w:rsid w:val="6127216E"/>
    <w:rsid w:val="612826A2"/>
    <w:rsid w:val="614B240F"/>
    <w:rsid w:val="61767A26"/>
    <w:rsid w:val="61A41EF3"/>
    <w:rsid w:val="61E80983"/>
    <w:rsid w:val="61EF14EF"/>
    <w:rsid w:val="624400E6"/>
    <w:rsid w:val="62567799"/>
    <w:rsid w:val="627574D8"/>
    <w:rsid w:val="62812FAA"/>
    <w:rsid w:val="62903706"/>
    <w:rsid w:val="629358D4"/>
    <w:rsid w:val="62AC1B8A"/>
    <w:rsid w:val="62BC587D"/>
    <w:rsid w:val="62C13140"/>
    <w:rsid w:val="62C570C0"/>
    <w:rsid w:val="62D17FA8"/>
    <w:rsid w:val="62EB02B5"/>
    <w:rsid w:val="62EB04C8"/>
    <w:rsid w:val="62F77154"/>
    <w:rsid w:val="630F0EC2"/>
    <w:rsid w:val="6318550E"/>
    <w:rsid w:val="63353BCF"/>
    <w:rsid w:val="637D1ECB"/>
    <w:rsid w:val="63BA052F"/>
    <w:rsid w:val="63BE0AD3"/>
    <w:rsid w:val="63F221BC"/>
    <w:rsid w:val="63F6567C"/>
    <w:rsid w:val="64032C6B"/>
    <w:rsid w:val="64087A7B"/>
    <w:rsid w:val="640B57D3"/>
    <w:rsid w:val="641A5836"/>
    <w:rsid w:val="6432180C"/>
    <w:rsid w:val="64421735"/>
    <w:rsid w:val="64585427"/>
    <w:rsid w:val="645B2788"/>
    <w:rsid w:val="646F5CE5"/>
    <w:rsid w:val="6477726A"/>
    <w:rsid w:val="64B72E0C"/>
    <w:rsid w:val="64B86B2D"/>
    <w:rsid w:val="64CB244A"/>
    <w:rsid w:val="64E31C9A"/>
    <w:rsid w:val="64FE0A7A"/>
    <w:rsid w:val="65036497"/>
    <w:rsid w:val="652D26C7"/>
    <w:rsid w:val="65571136"/>
    <w:rsid w:val="65585F78"/>
    <w:rsid w:val="65604F99"/>
    <w:rsid w:val="65682F42"/>
    <w:rsid w:val="6584208A"/>
    <w:rsid w:val="65947981"/>
    <w:rsid w:val="659A1FB5"/>
    <w:rsid w:val="659A4539"/>
    <w:rsid w:val="65C32871"/>
    <w:rsid w:val="65C328EA"/>
    <w:rsid w:val="65D51FB2"/>
    <w:rsid w:val="65DA4CF7"/>
    <w:rsid w:val="65DF0CA7"/>
    <w:rsid w:val="65E24BB0"/>
    <w:rsid w:val="66014227"/>
    <w:rsid w:val="660C7630"/>
    <w:rsid w:val="660E3E13"/>
    <w:rsid w:val="661C5600"/>
    <w:rsid w:val="66206B4D"/>
    <w:rsid w:val="66530A5C"/>
    <w:rsid w:val="665836A7"/>
    <w:rsid w:val="667E108E"/>
    <w:rsid w:val="66B34699"/>
    <w:rsid w:val="66C34609"/>
    <w:rsid w:val="67187ECE"/>
    <w:rsid w:val="6727739D"/>
    <w:rsid w:val="67320624"/>
    <w:rsid w:val="673E76D0"/>
    <w:rsid w:val="67504513"/>
    <w:rsid w:val="677C68AC"/>
    <w:rsid w:val="67A16DDF"/>
    <w:rsid w:val="67AD71F1"/>
    <w:rsid w:val="67B558B7"/>
    <w:rsid w:val="67B96881"/>
    <w:rsid w:val="680A12F6"/>
    <w:rsid w:val="682928D9"/>
    <w:rsid w:val="683318FD"/>
    <w:rsid w:val="68694A1F"/>
    <w:rsid w:val="68727727"/>
    <w:rsid w:val="68786E71"/>
    <w:rsid w:val="688B4389"/>
    <w:rsid w:val="68A0671B"/>
    <w:rsid w:val="68B93CC3"/>
    <w:rsid w:val="68B960C7"/>
    <w:rsid w:val="68FE23F7"/>
    <w:rsid w:val="692C1C8F"/>
    <w:rsid w:val="69320D51"/>
    <w:rsid w:val="69384D87"/>
    <w:rsid w:val="69452AD1"/>
    <w:rsid w:val="694B590C"/>
    <w:rsid w:val="694F16CF"/>
    <w:rsid w:val="696B2CBA"/>
    <w:rsid w:val="696F7F2A"/>
    <w:rsid w:val="69817BF8"/>
    <w:rsid w:val="698B577F"/>
    <w:rsid w:val="69972F92"/>
    <w:rsid w:val="69981827"/>
    <w:rsid w:val="69A60607"/>
    <w:rsid w:val="69B87748"/>
    <w:rsid w:val="6A426C8D"/>
    <w:rsid w:val="6A68006A"/>
    <w:rsid w:val="6A6A371E"/>
    <w:rsid w:val="6A6E1944"/>
    <w:rsid w:val="6A8F1412"/>
    <w:rsid w:val="6A903551"/>
    <w:rsid w:val="6A944812"/>
    <w:rsid w:val="6A9F203B"/>
    <w:rsid w:val="6ADE3F6B"/>
    <w:rsid w:val="6AFF3CC9"/>
    <w:rsid w:val="6B0B793A"/>
    <w:rsid w:val="6B132234"/>
    <w:rsid w:val="6B3A4183"/>
    <w:rsid w:val="6B4610E1"/>
    <w:rsid w:val="6B7B079E"/>
    <w:rsid w:val="6B7E1823"/>
    <w:rsid w:val="6BA12017"/>
    <w:rsid w:val="6BA55399"/>
    <w:rsid w:val="6BBC293F"/>
    <w:rsid w:val="6BC97482"/>
    <w:rsid w:val="6BDA2FAE"/>
    <w:rsid w:val="6BDE7AE6"/>
    <w:rsid w:val="6BEF1E2F"/>
    <w:rsid w:val="6BFC50BC"/>
    <w:rsid w:val="6C11344C"/>
    <w:rsid w:val="6C380E3A"/>
    <w:rsid w:val="6C4F06C1"/>
    <w:rsid w:val="6C680298"/>
    <w:rsid w:val="6C6D5838"/>
    <w:rsid w:val="6C7B0CBE"/>
    <w:rsid w:val="6C8A5926"/>
    <w:rsid w:val="6C952553"/>
    <w:rsid w:val="6C9F051B"/>
    <w:rsid w:val="6CC22FFA"/>
    <w:rsid w:val="6CC74771"/>
    <w:rsid w:val="6CF879DA"/>
    <w:rsid w:val="6CFE2E1D"/>
    <w:rsid w:val="6D127849"/>
    <w:rsid w:val="6D207157"/>
    <w:rsid w:val="6D3E5422"/>
    <w:rsid w:val="6D55344D"/>
    <w:rsid w:val="6D7B66EA"/>
    <w:rsid w:val="6D7C5122"/>
    <w:rsid w:val="6DB51690"/>
    <w:rsid w:val="6DCA1943"/>
    <w:rsid w:val="6DCB4E90"/>
    <w:rsid w:val="6DDE5E7F"/>
    <w:rsid w:val="6DE555D6"/>
    <w:rsid w:val="6DED0138"/>
    <w:rsid w:val="6DF74044"/>
    <w:rsid w:val="6E090523"/>
    <w:rsid w:val="6E205FD6"/>
    <w:rsid w:val="6E2F26AE"/>
    <w:rsid w:val="6E471F93"/>
    <w:rsid w:val="6E5E7234"/>
    <w:rsid w:val="6E6F2871"/>
    <w:rsid w:val="6E7921E8"/>
    <w:rsid w:val="6E7C4B4A"/>
    <w:rsid w:val="6E871171"/>
    <w:rsid w:val="6E8941F3"/>
    <w:rsid w:val="6E8F4904"/>
    <w:rsid w:val="6E9F5E9B"/>
    <w:rsid w:val="6EAA17BE"/>
    <w:rsid w:val="6EB8323D"/>
    <w:rsid w:val="6EEB3AF6"/>
    <w:rsid w:val="6EEE4ED9"/>
    <w:rsid w:val="6F222A98"/>
    <w:rsid w:val="6F523436"/>
    <w:rsid w:val="6F7166F6"/>
    <w:rsid w:val="6F933322"/>
    <w:rsid w:val="6F940239"/>
    <w:rsid w:val="6FA27D4C"/>
    <w:rsid w:val="6FB241F8"/>
    <w:rsid w:val="6FC013AF"/>
    <w:rsid w:val="6FCC5990"/>
    <w:rsid w:val="6FD31471"/>
    <w:rsid w:val="6FDC4FC3"/>
    <w:rsid w:val="6FFB7662"/>
    <w:rsid w:val="70094ED2"/>
    <w:rsid w:val="70570FF5"/>
    <w:rsid w:val="70894A34"/>
    <w:rsid w:val="709C1327"/>
    <w:rsid w:val="70AF0B0E"/>
    <w:rsid w:val="710A3193"/>
    <w:rsid w:val="711102D2"/>
    <w:rsid w:val="713C6FC6"/>
    <w:rsid w:val="71535404"/>
    <w:rsid w:val="715541A6"/>
    <w:rsid w:val="717B05A6"/>
    <w:rsid w:val="71840E5C"/>
    <w:rsid w:val="7184489C"/>
    <w:rsid w:val="71902AE4"/>
    <w:rsid w:val="71A73234"/>
    <w:rsid w:val="71B06E02"/>
    <w:rsid w:val="71D912D4"/>
    <w:rsid w:val="71F20DEA"/>
    <w:rsid w:val="720A303B"/>
    <w:rsid w:val="7229032E"/>
    <w:rsid w:val="723430FA"/>
    <w:rsid w:val="72357A4A"/>
    <w:rsid w:val="72953F04"/>
    <w:rsid w:val="72B27CB2"/>
    <w:rsid w:val="72CA1C8E"/>
    <w:rsid w:val="72F62DED"/>
    <w:rsid w:val="72FD7994"/>
    <w:rsid w:val="730078FC"/>
    <w:rsid w:val="730A3E35"/>
    <w:rsid w:val="731B32C3"/>
    <w:rsid w:val="733A5DD6"/>
    <w:rsid w:val="733B309E"/>
    <w:rsid w:val="73892A07"/>
    <w:rsid w:val="738C335A"/>
    <w:rsid w:val="73CA5314"/>
    <w:rsid w:val="73D24CA1"/>
    <w:rsid w:val="73DF7FDA"/>
    <w:rsid w:val="742C2582"/>
    <w:rsid w:val="747D0BA1"/>
    <w:rsid w:val="74835319"/>
    <w:rsid w:val="74A01E17"/>
    <w:rsid w:val="74C70189"/>
    <w:rsid w:val="74C84547"/>
    <w:rsid w:val="74CE2B0B"/>
    <w:rsid w:val="74F35FA9"/>
    <w:rsid w:val="751A3921"/>
    <w:rsid w:val="75341056"/>
    <w:rsid w:val="75506001"/>
    <w:rsid w:val="755A2348"/>
    <w:rsid w:val="755D5A0A"/>
    <w:rsid w:val="756D3B06"/>
    <w:rsid w:val="75724C91"/>
    <w:rsid w:val="75752FAA"/>
    <w:rsid w:val="7587423B"/>
    <w:rsid w:val="758A609D"/>
    <w:rsid w:val="759C3C2D"/>
    <w:rsid w:val="759E1D8F"/>
    <w:rsid w:val="75A35A28"/>
    <w:rsid w:val="75B81F99"/>
    <w:rsid w:val="75DE1737"/>
    <w:rsid w:val="75FA20BE"/>
    <w:rsid w:val="75FF7F78"/>
    <w:rsid w:val="76003BE2"/>
    <w:rsid w:val="7618178E"/>
    <w:rsid w:val="76343CA5"/>
    <w:rsid w:val="763D4F16"/>
    <w:rsid w:val="76635A18"/>
    <w:rsid w:val="768704C9"/>
    <w:rsid w:val="769C0E3E"/>
    <w:rsid w:val="76AF60AC"/>
    <w:rsid w:val="76B145E2"/>
    <w:rsid w:val="76BC4508"/>
    <w:rsid w:val="76F26DE2"/>
    <w:rsid w:val="7733706B"/>
    <w:rsid w:val="773A0EE5"/>
    <w:rsid w:val="773D6684"/>
    <w:rsid w:val="77653B81"/>
    <w:rsid w:val="7769030A"/>
    <w:rsid w:val="77877C60"/>
    <w:rsid w:val="77BA0EA6"/>
    <w:rsid w:val="77C2448A"/>
    <w:rsid w:val="77C822DD"/>
    <w:rsid w:val="781836F9"/>
    <w:rsid w:val="782563B0"/>
    <w:rsid w:val="78374B57"/>
    <w:rsid w:val="784126A6"/>
    <w:rsid w:val="784A3CD3"/>
    <w:rsid w:val="78615480"/>
    <w:rsid w:val="78812164"/>
    <w:rsid w:val="788C2661"/>
    <w:rsid w:val="78A703AF"/>
    <w:rsid w:val="78AC1E9F"/>
    <w:rsid w:val="78FC3F71"/>
    <w:rsid w:val="79063F3E"/>
    <w:rsid w:val="792E189B"/>
    <w:rsid w:val="793309B4"/>
    <w:rsid w:val="79493484"/>
    <w:rsid w:val="795D308D"/>
    <w:rsid w:val="79673400"/>
    <w:rsid w:val="796850A8"/>
    <w:rsid w:val="79AC79FB"/>
    <w:rsid w:val="79AD1192"/>
    <w:rsid w:val="79FE700A"/>
    <w:rsid w:val="7A02599B"/>
    <w:rsid w:val="7A1547FF"/>
    <w:rsid w:val="7A481EBA"/>
    <w:rsid w:val="7A5507C4"/>
    <w:rsid w:val="7A652B57"/>
    <w:rsid w:val="7A8B1C79"/>
    <w:rsid w:val="7A9F1116"/>
    <w:rsid w:val="7AB42307"/>
    <w:rsid w:val="7ACD1F36"/>
    <w:rsid w:val="7AD62AFA"/>
    <w:rsid w:val="7AFA5C24"/>
    <w:rsid w:val="7B097BDE"/>
    <w:rsid w:val="7B376C34"/>
    <w:rsid w:val="7B3A0A78"/>
    <w:rsid w:val="7B484A08"/>
    <w:rsid w:val="7B675BAF"/>
    <w:rsid w:val="7B6C2665"/>
    <w:rsid w:val="7BA65D51"/>
    <w:rsid w:val="7BBF53C8"/>
    <w:rsid w:val="7BC37918"/>
    <w:rsid w:val="7BC44B32"/>
    <w:rsid w:val="7BC90C1C"/>
    <w:rsid w:val="7BD16478"/>
    <w:rsid w:val="7BDD0E17"/>
    <w:rsid w:val="7BDE611C"/>
    <w:rsid w:val="7BE85E4B"/>
    <w:rsid w:val="7C021D23"/>
    <w:rsid w:val="7C0750B2"/>
    <w:rsid w:val="7C0C4CCC"/>
    <w:rsid w:val="7C15390B"/>
    <w:rsid w:val="7C1B3232"/>
    <w:rsid w:val="7C602641"/>
    <w:rsid w:val="7CB138FF"/>
    <w:rsid w:val="7CDC699E"/>
    <w:rsid w:val="7D1563E6"/>
    <w:rsid w:val="7D3E0B18"/>
    <w:rsid w:val="7D3E70D3"/>
    <w:rsid w:val="7D5C3EB4"/>
    <w:rsid w:val="7D5F0804"/>
    <w:rsid w:val="7D663E6F"/>
    <w:rsid w:val="7D71615B"/>
    <w:rsid w:val="7D7D4F9C"/>
    <w:rsid w:val="7D912F29"/>
    <w:rsid w:val="7DB14677"/>
    <w:rsid w:val="7DBD0F25"/>
    <w:rsid w:val="7DC5730E"/>
    <w:rsid w:val="7DCA57F6"/>
    <w:rsid w:val="7DD64891"/>
    <w:rsid w:val="7DD73BA6"/>
    <w:rsid w:val="7DD74E45"/>
    <w:rsid w:val="7E1C6248"/>
    <w:rsid w:val="7E2B5B66"/>
    <w:rsid w:val="7E3D6F9A"/>
    <w:rsid w:val="7E5514BB"/>
    <w:rsid w:val="7E704832"/>
    <w:rsid w:val="7E761F9C"/>
    <w:rsid w:val="7E800C15"/>
    <w:rsid w:val="7E8F2119"/>
    <w:rsid w:val="7E953617"/>
    <w:rsid w:val="7EAF7554"/>
    <w:rsid w:val="7EB52A0D"/>
    <w:rsid w:val="7EF1686D"/>
    <w:rsid w:val="7F0A4EC1"/>
    <w:rsid w:val="7F171A2C"/>
    <w:rsid w:val="7F2A7F3B"/>
    <w:rsid w:val="7F3E07EB"/>
    <w:rsid w:val="7F593177"/>
    <w:rsid w:val="7F96147F"/>
    <w:rsid w:val="7F9711EC"/>
    <w:rsid w:val="7F9814CA"/>
    <w:rsid w:val="7FB004FC"/>
    <w:rsid w:val="7FB53A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5">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6"/>
    <w:qFormat/>
    <w:uiPriority w:val="0"/>
    <w:pPr>
      <w:keepNext/>
      <w:keepLines/>
      <w:spacing w:before="260" w:after="260" w:line="412" w:lineRule="auto"/>
      <w:outlineLvl w:val="1"/>
    </w:pPr>
    <w:rPr>
      <w:rFonts w:ascii="Arial" w:hAnsi="Arial" w:eastAsia="??"/>
      <w:b/>
      <w:sz w:val="32"/>
      <w:szCs w:val="28"/>
    </w:rPr>
  </w:style>
  <w:style w:type="paragraph" w:styleId="7">
    <w:name w:val="heading 3"/>
    <w:basedOn w:val="1"/>
    <w:next w:val="1"/>
    <w:qFormat/>
    <w:uiPriority w:val="0"/>
    <w:pPr>
      <w:keepNext/>
      <w:keepLines/>
      <w:autoSpaceDE w:val="0"/>
      <w:autoSpaceDN w:val="0"/>
      <w:adjustRightInd w:val="0"/>
      <w:spacing w:before="360" w:after="120"/>
      <w:jc w:val="left"/>
      <w:outlineLvl w:val="2"/>
    </w:pPr>
    <w:rPr>
      <w:rFonts w:ascii="宋体" w:hAnsi="Tahoma"/>
      <w:b/>
      <w:kern w:val="0"/>
      <w:sz w:val="24"/>
      <w:szCs w:val="20"/>
      <w:u w:val="single"/>
    </w:rPr>
  </w:style>
  <w:style w:type="character" w:default="1" w:styleId="27">
    <w:name w:val="Default Paragraph Font"/>
    <w:semiHidden/>
    <w:uiPriority w:val="0"/>
  </w:style>
  <w:style w:type="table" w:default="1" w:styleId="25">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25"/>
      <w:tblCellMar>
        <w:top w:w="0" w:type="dxa"/>
        <w:left w:w="108" w:type="dxa"/>
        <w:bottom w:w="0" w:type="dxa"/>
        <w:right w:w="108" w:type="dxa"/>
      </w:tblCellMar>
    </w:tblPr>
  </w:style>
  <w:style w:type="paragraph" w:styleId="2">
    <w:name w:val="Body Text First Indent 2"/>
    <w:basedOn w:val="3"/>
    <w:next w:val="1"/>
    <w:link w:val="34"/>
    <w:uiPriority w:val="0"/>
    <w:pPr>
      <w:ind w:firstLine="420" w:firstLineChars="200"/>
    </w:pPr>
  </w:style>
  <w:style w:type="paragraph" w:styleId="3">
    <w:name w:val="Body Text Indent"/>
    <w:basedOn w:val="1"/>
    <w:next w:val="4"/>
    <w:link w:val="33"/>
    <w:uiPriority w:val="0"/>
    <w:pPr>
      <w:spacing w:after="120"/>
      <w:ind w:left="420" w:leftChars="200"/>
    </w:pPr>
  </w:style>
  <w:style w:type="paragraph" w:styleId="4">
    <w:name w:val="Normal Indent"/>
    <w:basedOn w:val="1"/>
    <w:next w:val="1"/>
    <w:uiPriority w:val="0"/>
    <w:pPr>
      <w:spacing w:line="300" w:lineRule="auto"/>
      <w:ind w:firstLine="420"/>
    </w:pPr>
  </w:style>
  <w:style w:type="paragraph" w:styleId="8">
    <w:name w:val="List Number"/>
    <w:basedOn w:val="1"/>
    <w:uiPriority w:val="0"/>
    <w:pPr>
      <w:widowControl/>
      <w:tabs>
        <w:tab w:val="left" w:pos="360"/>
        <w:tab w:val="left" w:pos="454"/>
        <w:tab w:val="left" w:pos="720"/>
      </w:tabs>
      <w:spacing w:after="156" w:afterLines="50"/>
      <w:ind w:left="454" w:hanging="284"/>
      <w:jc w:val="left"/>
    </w:pPr>
    <w:rPr>
      <w:kern w:val="0"/>
      <w:sz w:val="24"/>
    </w:rPr>
  </w:style>
  <w:style w:type="paragraph" w:styleId="9">
    <w:name w:val="annotation text"/>
    <w:basedOn w:val="1"/>
    <w:link w:val="37"/>
    <w:uiPriority w:val="0"/>
    <w:pPr>
      <w:jc w:val="left"/>
    </w:pPr>
    <w:rPr>
      <w:szCs w:val="24"/>
    </w:rPr>
  </w:style>
  <w:style w:type="paragraph" w:styleId="10">
    <w:name w:val="Body Text"/>
    <w:basedOn w:val="1"/>
    <w:next w:val="11"/>
    <w:link w:val="38"/>
    <w:uiPriority w:val="0"/>
    <w:pPr>
      <w:spacing w:after="120"/>
    </w:pPr>
    <w:rPr>
      <w:rFonts w:eastAsia="??"/>
      <w:sz w:val="28"/>
      <w:szCs w:val="28"/>
    </w:rPr>
  </w:style>
  <w:style w:type="paragraph" w:styleId="11">
    <w:name w:val="Body Text First Indent"/>
    <w:basedOn w:val="10"/>
    <w:next w:val="1"/>
    <w:qFormat/>
    <w:uiPriority w:val="0"/>
    <w:pPr>
      <w:spacing w:after="120"/>
      <w:ind w:firstLine="420" w:firstLineChars="100"/>
    </w:pPr>
    <w:rPr>
      <w:rFonts w:eastAsia="??"/>
      <w:szCs w:val="24"/>
    </w:rPr>
  </w:style>
  <w:style w:type="paragraph" w:styleId="12">
    <w:name w:val="Block Text"/>
    <w:basedOn w:val="1"/>
    <w:qFormat/>
    <w:uiPriority w:val="0"/>
    <w:pPr>
      <w:adjustRightInd w:val="0"/>
      <w:spacing w:line="300" w:lineRule="auto"/>
      <w:ind w:left="958" w:rightChars="-120"/>
      <w:jc w:val="left"/>
    </w:pPr>
    <w:rPr>
      <w:rFonts w:ascii="宋体" w:hAnsi="宋体"/>
      <w:sz w:val="28"/>
    </w:rPr>
  </w:style>
  <w:style w:type="paragraph" w:styleId="13">
    <w:name w:val="Plain Text"/>
    <w:basedOn w:val="1"/>
    <w:next w:val="1"/>
    <w:link w:val="39"/>
    <w:qFormat/>
    <w:uiPriority w:val="0"/>
    <w:rPr>
      <w:rFonts w:ascii="宋体" w:hAnsi="Courier New" w:eastAsia="仿宋_GB2312"/>
      <w:sz w:val="30"/>
    </w:rPr>
  </w:style>
  <w:style w:type="paragraph" w:styleId="14">
    <w:name w:val="Body Text Indent 2"/>
    <w:basedOn w:val="1"/>
    <w:link w:val="40"/>
    <w:uiPriority w:val="0"/>
    <w:pPr>
      <w:spacing w:line="500" w:lineRule="exact"/>
      <w:ind w:left="105" w:firstLine="465" w:firstLineChars="166"/>
    </w:pPr>
    <w:rPr>
      <w:sz w:val="28"/>
    </w:rPr>
  </w:style>
  <w:style w:type="paragraph" w:styleId="15">
    <w:name w:val="Balloon Text"/>
    <w:basedOn w:val="1"/>
    <w:link w:val="41"/>
    <w:uiPriority w:val="0"/>
    <w:rPr>
      <w:sz w:val="18"/>
      <w:szCs w:val="18"/>
    </w:rPr>
  </w:style>
  <w:style w:type="paragraph" w:styleId="16">
    <w:name w:val="footer"/>
    <w:basedOn w:val="1"/>
    <w:next w:val="17"/>
    <w:link w:val="42"/>
    <w:uiPriority w:val="99"/>
    <w:pPr>
      <w:tabs>
        <w:tab w:val="center" w:pos="4153"/>
        <w:tab w:val="right" w:pos="8306"/>
      </w:tabs>
      <w:snapToGrid w:val="0"/>
      <w:jc w:val="left"/>
    </w:pPr>
    <w:rPr>
      <w:sz w:val="18"/>
      <w:szCs w:val="18"/>
    </w:rPr>
  </w:style>
  <w:style w:type="paragraph" w:styleId="17">
    <w:name w:val="toc 2"/>
    <w:basedOn w:val="1"/>
    <w:next w:val="1"/>
    <w:qFormat/>
    <w:uiPriority w:val="39"/>
    <w:pPr>
      <w:tabs>
        <w:tab w:val="right" w:leader="middleDot" w:pos="8948"/>
      </w:tabs>
      <w:spacing w:before="60" w:after="60"/>
      <w:ind w:left="210"/>
    </w:pPr>
    <w:rPr>
      <w:smallCaps/>
    </w:rPr>
  </w:style>
  <w:style w:type="paragraph" w:styleId="18">
    <w:name w:val="header"/>
    <w:basedOn w:val="1"/>
    <w:link w:val="43"/>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uiPriority w:val="0"/>
    <w:pPr>
      <w:ind w:left="200" w:hanging="200" w:hangingChars="200"/>
    </w:pPr>
  </w:style>
  <w:style w:type="paragraph" w:styleId="20">
    <w:name w:val="toc 6"/>
    <w:basedOn w:val="1"/>
    <w:next w:val="1"/>
    <w:uiPriority w:val="0"/>
    <w:pPr>
      <w:ind w:left="1000" w:leftChars="1000"/>
    </w:pPr>
  </w:style>
  <w:style w:type="paragraph" w:styleId="21">
    <w:name w:val="Body Text Indent 3"/>
    <w:basedOn w:val="1"/>
    <w:link w:val="44"/>
    <w:uiPriority w:val="0"/>
    <w:pPr>
      <w:spacing w:after="120"/>
      <w:ind w:left="420" w:leftChars="200"/>
    </w:pPr>
    <w:rPr>
      <w:sz w:val="16"/>
      <w:szCs w:val="16"/>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link w:val="45"/>
    <w:qFormat/>
    <w:uiPriority w:val="0"/>
    <w:pPr>
      <w:jc w:val="center"/>
    </w:pPr>
    <w:rPr>
      <w:rFonts w:ascii="Calibri" w:hAnsi="Calibri"/>
      <w:sz w:val="30"/>
      <w:szCs w:val="30"/>
    </w:rPr>
  </w:style>
  <w:style w:type="paragraph" w:styleId="24">
    <w:name w:val="annotation subject"/>
    <w:basedOn w:val="9"/>
    <w:next w:val="9"/>
    <w:link w:val="46"/>
    <w:uiPriority w:val="0"/>
    <w:rPr>
      <w:b/>
      <w:bCs/>
    </w:rPr>
  </w:style>
  <w:style w:type="table" w:styleId="26">
    <w:name w:val="Table Grid"/>
    <w:basedOn w:val="25"/>
    <w:uiPriority w:val="99"/>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2"/>
    <w:rPr>
      <w:b/>
      <w:bCs/>
    </w:rPr>
  </w:style>
  <w:style w:type="character" w:styleId="29">
    <w:name w:val="page number"/>
    <w:uiPriority w:val="0"/>
  </w:style>
  <w:style w:type="character" w:styleId="30">
    <w:name w:val="Hyperlink"/>
    <w:uiPriority w:val="0"/>
    <w:rPr>
      <w:color w:val="0000FF"/>
      <w:u w:val="single"/>
    </w:rPr>
  </w:style>
  <w:style w:type="character" w:styleId="31">
    <w:name w:val="annotation reference"/>
    <w:uiPriority w:val="0"/>
    <w:rPr>
      <w:sz w:val="21"/>
      <w:szCs w:val="21"/>
    </w:rPr>
  </w:style>
  <w:style w:type="character" w:styleId="32">
    <w:name w:val="HTML Sample"/>
    <w:uiPriority w:val="0"/>
    <w:rPr>
      <w:rFonts w:ascii="Courier New" w:hAnsi="Courier New"/>
    </w:rPr>
  </w:style>
  <w:style w:type="character" w:customStyle="1" w:styleId="33">
    <w:name w:val="正文文本缩进 字符"/>
    <w:link w:val="3"/>
    <w:uiPriority w:val="0"/>
    <w:rPr>
      <w:kern w:val="2"/>
      <w:sz w:val="21"/>
    </w:rPr>
  </w:style>
  <w:style w:type="character" w:customStyle="1" w:styleId="34">
    <w:name w:val="正文文本首行缩进 2 字符"/>
    <w:link w:val="2"/>
    <w:uiPriority w:val="0"/>
  </w:style>
  <w:style w:type="character" w:customStyle="1" w:styleId="35">
    <w:name w:val="标题 1 字符"/>
    <w:link w:val="5"/>
    <w:qFormat/>
    <w:uiPriority w:val="9"/>
    <w:rPr>
      <w:b/>
      <w:bCs/>
      <w:kern w:val="44"/>
      <w:sz w:val="44"/>
      <w:szCs w:val="44"/>
    </w:rPr>
  </w:style>
  <w:style w:type="character" w:customStyle="1" w:styleId="36">
    <w:name w:val="标题 2 字符"/>
    <w:link w:val="6"/>
    <w:uiPriority w:val="0"/>
    <w:rPr>
      <w:rFonts w:ascii="Arial" w:hAnsi="Arial" w:eastAsia="??"/>
      <w:b/>
      <w:kern w:val="2"/>
      <w:sz w:val="32"/>
      <w:szCs w:val="28"/>
      <w:lang w:val="en-US" w:eastAsia="zh-CN" w:bidi="ar-SA"/>
    </w:rPr>
  </w:style>
  <w:style w:type="character" w:customStyle="1" w:styleId="37">
    <w:name w:val="批注文字 字符"/>
    <w:link w:val="9"/>
    <w:uiPriority w:val="0"/>
    <w:rPr>
      <w:kern w:val="2"/>
      <w:sz w:val="21"/>
      <w:szCs w:val="24"/>
    </w:rPr>
  </w:style>
  <w:style w:type="character" w:customStyle="1" w:styleId="38">
    <w:name w:val="正文文本 字符"/>
    <w:link w:val="10"/>
    <w:uiPriority w:val="0"/>
    <w:rPr>
      <w:rFonts w:eastAsia="??"/>
      <w:kern w:val="2"/>
      <w:sz w:val="28"/>
      <w:szCs w:val="28"/>
      <w:lang w:val="en-US" w:eastAsia="zh-CN" w:bidi="ar-SA"/>
    </w:rPr>
  </w:style>
  <w:style w:type="character" w:customStyle="1" w:styleId="39">
    <w:name w:val="纯文本 字符"/>
    <w:link w:val="13"/>
    <w:qFormat/>
    <w:uiPriority w:val="0"/>
    <w:rPr>
      <w:rFonts w:ascii="宋体" w:hAnsi="Courier New" w:eastAsia="仿宋_GB2312"/>
      <w:kern w:val="2"/>
      <w:sz w:val="30"/>
      <w:lang w:val="en-US" w:eastAsia="zh-CN" w:bidi="ar-SA"/>
    </w:rPr>
  </w:style>
  <w:style w:type="character" w:customStyle="1" w:styleId="40">
    <w:name w:val="正文文本缩进 2 字符"/>
    <w:link w:val="14"/>
    <w:uiPriority w:val="0"/>
    <w:rPr>
      <w:kern w:val="2"/>
      <w:sz w:val="28"/>
    </w:rPr>
  </w:style>
  <w:style w:type="character" w:customStyle="1" w:styleId="41">
    <w:name w:val="批注框文本 字符"/>
    <w:link w:val="15"/>
    <w:uiPriority w:val="0"/>
    <w:rPr>
      <w:kern w:val="2"/>
      <w:sz w:val="18"/>
      <w:szCs w:val="18"/>
    </w:rPr>
  </w:style>
  <w:style w:type="character" w:customStyle="1" w:styleId="42">
    <w:name w:val="页脚 字符"/>
    <w:link w:val="16"/>
    <w:uiPriority w:val="99"/>
    <w:rPr>
      <w:kern w:val="2"/>
      <w:sz w:val="18"/>
      <w:szCs w:val="18"/>
    </w:rPr>
  </w:style>
  <w:style w:type="character" w:customStyle="1" w:styleId="43">
    <w:name w:val="页眉 字符"/>
    <w:link w:val="18"/>
    <w:uiPriority w:val="99"/>
    <w:rPr>
      <w:kern w:val="2"/>
      <w:sz w:val="18"/>
      <w:szCs w:val="18"/>
    </w:rPr>
  </w:style>
  <w:style w:type="character" w:customStyle="1" w:styleId="44">
    <w:name w:val="正文文本缩进 3 字符"/>
    <w:link w:val="21"/>
    <w:uiPriority w:val="0"/>
    <w:rPr>
      <w:kern w:val="2"/>
      <w:sz w:val="16"/>
      <w:szCs w:val="16"/>
    </w:rPr>
  </w:style>
  <w:style w:type="character" w:customStyle="1" w:styleId="45">
    <w:name w:val="标题 字符"/>
    <w:link w:val="23"/>
    <w:uiPriority w:val="0"/>
    <w:rPr>
      <w:rFonts w:ascii="Calibri" w:hAnsi="Calibri"/>
      <w:kern w:val="2"/>
      <w:sz w:val="30"/>
      <w:szCs w:val="30"/>
    </w:rPr>
  </w:style>
  <w:style w:type="character" w:customStyle="1" w:styleId="46">
    <w:name w:val="批注主题 字符"/>
    <w:link w:val="24"/>
    <w:uiPriority w:val="0"/>
    <w:rPr>
      <w:b/>
      <w:bCs/>
      <w:kern w:val="2"/>
      <w:sz w:val="21"/>
      <w:szCs w:val="24"/>
    </w:rPr>
  </w:style>
  <w:style w:type="paragraph" w:customStyle="1" w:styleId="47">
    <w:name w:val="表格文字"/>
    <w:basedOn w:val="13"/>
    <w:next w:val="10"/>
    <w:qFormat/>
    <w:uiPriority w:val="0"/>
    <w:pPr>
      <w:adjustRightInd w:val="0"/>
      <w:spacing w:line="420" w:lineRule="atLeast"/>
      <w:textAlignment w:val="baseline"/>
    </w:pPr>
    <w:rPr>
      <w:rFonts w:ascii="Calibri" w:hAnsi="Calibri"/>
      <w:sz w:val="28"/>
    </w:rPr>
  </w:style>
  <w:style w:type="character" w:customStyle="1" w:styleId="48">
    <w:name w:val="apple-style-span"/>
    <w:uiPriority w:val="0"/>
    <w:rPr>
      <w:rFonts w:ascii="Tahoma" w:hAnsi="Tahoma"/>
      <w:sz w:val="24"/>
      <w:szCs w:val="20"/>
    </w:rPr>
  </w:style>
  <w:style w:type="character" w:customStyle="1" w:styleId="49">
    <w:name w:val="font51"/>
    <w:uiPriority w:val="0"/>
    <w:rPr>
      <w:rFonts w:hint="eastAsia" w:ascii="宋体" w:hAnsi="宋体" w:eastAsia="宋体" w:cs="宋体"/>
      <w:color w:val="000000"/>
      <w:sz w:val="22"/>
      <w:szCs w:val="22"/>
      <w:u w:val="none"/>
    </w:rPr>
  </w:style>
  <w:style w:type="character" w:customStyle="1" w:styleId="50">
    <w:name w:val="NormalCharacter"/>
    <w:uiPriority w:val="0"/>
    <w:rPr>
      <w:rFonts w:ascii="Calibri" w:hAnsi="Calibri" w:eastAsia="宋体"/>
    </w:rPr>
  </w:style>
  <w:style w:type="character" w:customStyle="1" w:styleId="51">
    <w:name w:val="font01"/>
    <w:uiPriority w:val="0"/>
    <w:rPr>
      <w:rFonts w:hint="eastAsia" w:ascii="宋体" w:hAnsi="宋体" w:eastAsia="宋体" w:cs="宋体"/>
      <w:b/>
      <w:color w:val="000000"/>
      <w:sz w:val="40"/>
      <w:szCs w:val="40"/>
      <w:u w:val="none"/>
    </w:rPr>
  </w:style>
  <w:style w:type="character" w:customStyle="1" w:styleId="52">
    <w:name w:val="font91"/>
    <w:uiPriority w:val="0"/>
    <w:rPr>
      <w:rFonts w:hint="eastAsia" w:ascii="宋体" w:hAnsi="宋体" w:eastAsia="宋体" w:cs="宋体"/>
      <w:color w:val="000000"/>
      <w:sz w:val="20"/>
      <w:szCs w:val="20"/>
      <w:u w:val="none"/>
    </w:rPr>
  </w:style>
  <w:style w:type="character" w:customStyle="1" w:styleId="53">
    <w:name w:val="font11"/>
    <w:uiPriority w:val="0"/>
    <w:rPr>
      <w:rFonts w:hint="eastAsia" w:ascii="宋体" w:hAnsi="宋体" w:eastAsia="宋体" w:cs="宋体"/>
      <w:b/>
      <w:color w:val="000000"/>
      <w:sz w:val="22"/>
      <w:szCs w:val="22"/>
      <w:u w:val="none"/>
    </w:rPr>
  </w:style>
  <w:style w:type="character" w:customStyle="1" w:styleId="54">
    <w:name w:val="font112"/>
    <w:uiPriority w:val="0"/>
    <w:rPr>
      <w:rFonts w:hint="eastAsia" w:ascii="宋体" w:hAnsi="宋体" w:eastAsia="宋体" w:cs="宋体"/>
      <w:color w:val="000000"/>
      <w:sz w:val="22"/>
      <w:szCs w:val="22"/>
      <w:u w:val="none"/>
    </w:rPr>
  </w:style>
  <w:style w:type="character" w:customStyle="1" w:styleId="55">
    <w:name w:val="font61"/>
    <w:uiPriority w:val="0"/>
    <w:rPr>
      <w:rFonts w:hint="default" w:ascii="Times New Roman" w:hAnsi="Times New Roman" w:cs="Times New Roman"/>
      <w:color w:val="000000"/>
      <w:sz w:val="20"/>
      <w:szCs w:val="20"/>
      <w:u w:val="none"/>
    </w:rPr>
  </w:style>
  <w:style w:type="character" w:customStyle="1" w:styleId="56">
    <w:name w:val="font81"/>
    <w:uiPriority w:val="0"/>
    <w:rPr>
      <w:rFonts w:hint="eastAsia" w:ascii="宋体" w:hAnsi="宋体" w:eastAsia="宋体" w:cs="宋体"/>
      <w:color w:val="000000"/>
      <w:sz w:val="20"/>
      <w:szCs w:val="20"/>
      <w:u w:val="none"/>
    </w:rPr>
  </w:style>
  <w:style w:type="character" w:customStyle="1" w:styleId="57">
    <w:name w:val=" Char Char7"/>
    <w:uiPriority w:val="0"/>
    <w:rPr>
      <w:rFonts w:ascii="??" w:hAnsi="??" w:eastAsia="??" w:cs="宋体"/>
      <w:kern w:val="2"/>
      <w:sz w:val="24"/>
      <w:szCs w:val="28"/>
    </w:rPr>
  </w:style>
  <w:style w:type="character" w:customStyle="1" w:styleId="58">
    <w:name w:val="font71"/>
    <w:uiPriority w:val="0"/>
    <w:rPr>
      <w:rFonts w:ascii="Arial" w:hAnsi="Arial" w:cs="Arial"/>
      <w:color w:val="000000"/>
      <w:sz w:val="20"/>
      <w:szCs w:val="20"/>
      <w:u w:val="none"/>
    </w:rPr>
  </w:style>
  <w:style w:type="paragraph" w:customStyle="1" w:styleId="59">
    <w:name w:val="中等深浅列表 2 - 强调文字颜色 41"/>
    <w:basedOn w:val="1"/>
    <w:qFormat/>
    <w:uiPriority w:val="34"/>
    <w:pPr>
      <w:ind w:firstLine="420" w:firstLineChars="200"/>
    </w:pPr>
    <w:rPr>
      <w:rFonts w:ascii="Calibri" w:hAnsi="Calibri"/>
      <w:szCs w:val="22"/>
    </w:rPr>
  </w:style>
  <w:style w:type="paragraph" w:customStyle="1" w:styleId="60">
    <w:name w:val="正文样式"/>
    <w:basedOn w:val="1"/>
    <w:qFormat/>
    <w:uiPriority w:val="0"/>
    <w:pPr>
      <w:spacing w:before="156" w:beforeLines="50" w:line="312" w:lineRule="auto"/>
      <w:ind w:firstLine="200" w:firstLineChars="200"/>
    </w:pPr>
    <w:rPr>
      <w:rFonts w:ascii="Calibri" w:hAnsi="Calibri"/>
      <w:sz w:val="24"/>
      <w:szCs w:val="24"/>
    </w:rPr>
  </w:style>
  <w:style w:type="paragraph" w:customStyle="1" w:styleId="61">
    <w:name w:val="p16"/>
    <w:basedOn w:val="1"/>
    <w:uiPriority w:val="0"/>
    <w:pPr>
      <w:widowControl/>
    </w:pPr>
    <w:rPr>
      <w:rFonts w:ascii="宋体" w:hAnsi="宋体" w:cs="宋体"/>
      <w:kern w:val="0"/>
      <w:sz w:val="30"/>
      <w:szCs w:val="30"/>
    </w:rPr>
  </w:style>
  <w:style w:type="paragraph" w:customStyle="1" w:styleId="62">
    <w:name w:val="_Style 8"/>
    <w:basedOn w:val="1"/>
    <w:next w:val="63"/>
    <w:qFormat/>
    <w:uiPriority w:val="34"/>
    <w:pPr>
      <w:widowControl w:val="0"/>
      <w:ind w:firstLine="420" w:firstLineChars="200"/>
      <w:jc w:val="both"/>
    </w:pPr>
    <w:rPr>
      <w:rFonts w:ascii="Calibri" w:hAnsi="Calibri" w:cs="Times New Roman"/>
      <w:kern w:val="2"/>
      <w:sz w:val="21"/>
      <w:szCs w:val="22"/>
    </w:rPr>
  </w:style>
  <w:style w:type="paragraph" w:styleId="63">
    <w:name w:val="List Paragraph"/>
    <w:basedOn w:val="1"/>
    <w:qFormat/>
    <w:uiPriority w:val="34"/>
    <w:pPr>
      <w:autoSpaceDE w:val="0"/>
      <w:autoSpaceDN w:val="0"/>
      <w:adjustRightInd w:val="0"/>
      <w:ind w:firstLine="200" w:firstLineChars="200"/>
      <w:jc w:val="left"/>
    </w:pPr>
    <w:rPr>
      <w:rFonts w:eastAsia="??"/>
      <w:kern w:val="0"/>
      <w:sz w:val="24"/>
      <w:szCs w:val="24"/>
    </w:rPr>
  </w:style>
  <w:style w:type="paragraph" w:customStyle="1" w:styleId="64">
    <w:name w:val="书籍标题1"/>
    <w:basedOn w:val="1"/>
    <w:next w:val="1"/>
    <w:uiPriority w:val="0"/>
    <w:pPr>
      <w:pageBreakBefore/>
      <w:widowControl/>
      <w:tabs>
        <w:tab w:val="left" w:pos="360"/>
      </w:tabs>
      <w:spacing w:before="624" w:beforeLines="200" w:after="624" w:afterLines="200"/>
      <w:ind w:hanging="360"/>
      <w:jc w:val="center"/>
      <w:outlineLvl w:val="0"/>
    </w:pPr>
    <w:rPr>
      <w:rFonts w:eastAsia="黑体"/>
      <w:b/>
      <w:bCs/>
      <w:spacing w:val="20"/>
      <w:kern w:val="44"/>
      <w:sz w:val="44"/>
    </w:rPr>
  </w:style>
  <w:style w:type="paragraph" w:customStyle="1" w:styleId="65">
    <w:name w:val="newnewnew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6">
    <w:name w:val="Default Text"/>
    <w:basedOn w:val="1"/>
    <w:uiPriority w:val="0"/>
    <w:pPr>
      <w:widowControl/>
      <w:overflowPunct w:val="0"/>
      <w:autoSpaceDE w:val="0"/>
      <w:autoSpaceDN w:val="0"/>
      <w:adjustRightInd w:val="0"/>
      <w:jc w:val="left"/>
      <w:textAlignment w:val="baseline"/>
    </w:pPr>
    <w:rPr>
      <w:kern w:val="0"/>
      <w:sz w:val="24"/>
      <w:lang/>
    </w:rPr>
  </w:style>
  <w:style w:type="paragraph" w:customStyle="1" w:styleId="67">
    <w:name w:val="Normal"/>
    <w:uiPriority w:val="0"/>
    <w:pPr>
      <w:jc w:val="both"/>
    </w:pPr>
    <w:rPr>
      <w:rFonts w:ascii="Calibri" w:hAnsi="Calibri" w:cs="宋体"/>
      <w:kern w:val="2"/>
      <w:sz w:val="21"/>
      <w:szCs w:val="21"/>
      <w:lang w:val="en-US" w:eastAsia="zh-CN" w:bidi="ar-SA"/>
    </w:rPr>
  </w:style>
  <w:style w:type="paragraph" w:customStyle="1" w:styleId="68">
    <w:name w:val="new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9">
    <w:name w:val="列出段落1"/>
    <w:basedOn w:val="1"/>
    <w:qFormat/>
    <w:uiPriority w:val="0"/>
    <w:pPr>
      <w:ind w:firstLine="420" w:firstLineChars="200"/>
    </w:pPr>
    <w:rPr>
      <w:rFonts w:ascii="Calibri" w:hAnsi="Calibri"/>
      <w:szCs w:val="22"/>
    </w:rPr>
  </w:style>
  <w:style w:type="paragraph" w:customStyle="1" w:styleId="70">
    <w:name w:val="4"/>
    <w:basedOn w:val="1"/>
    <w:uiPriority w:val="0"/>
    <w:pPr>
      <w:widowControl/>
      <w:spacing w:before="100" w:beforeAutospacing="1" w:after="100" w:afterAutospacing="1"/>
      <w:jc w:val="left"/>
    </w:pPr>
    <w:rPr>
      <w:rFonts w:ascii="宋体" w:hAnsi="宋体" w:cs="宋体"/>
      <w:kern w:val="0"/>
      <w:sz w:val="24"/>
    </w:rPr>
  </w:style>
  <w:style w:type="paragraph" w:customStyle="1" w:styleId="71">
    <w:name w:val="Body text|1"/>
    <w:basedOn w:val="1"/>
    <w:qFormat/>
    <w:uiPriority w:val="0"/>
    <w:pPr>
      <w:widowControl w:val="0"/>
      <w:shd w:val="clear" w:color="auto" w:fill="auto"/>
      <w:spacing w:line="413" w:lineRule="auto"/>
    </w:pPr>
    <w:rPr>
      <w:rFonts w:ascii="宋体" w:hAnsi="宋体" w:eastAsia="宋体" w:cs="宋体"/>
      <w:sz w:val="20"/>
      <w:szCs w:val="20"/>
      <w:u w:val="none"/>
      <w:shd w:val="clear" w:color="auto" w:fill="auto"/>
      <w:lang w:val="zh-CN" w:eastAsia="zh-CN" w:bidi="zh-CN"/>
    </w:rPr>
  </w:style>
  <w:style w:type="paragraph" w:customStyle="1" w:styleId="72">
    <w:name w:val="xl35"/>
    <w:basedOn w:val="1"/>
    <w:uiPriority w:val="0"/>
    <w:pPr>
      <w:widowControl/>
      <w:spacing w:before="100" w:beforeAutospacing="1" w:after="100" w:afterAutospacing="1"/>
      <w:jc w:val="right"/>
      <w:textAlignment w:val="center"/>
    </w:pPr>
    <w:rPr>
      <w:rFonts w:ascii="宋体" w:hAnsi="宋体"/>
      <w:kern w:val="0"/>
      <w:sz w:val="18"/>
    </w:rPr>
  </w:style>
  <w:style w:type="paragraph" w:customStyle="1" w:styleId="73">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74">
    <w:name w:val="List Paragraph"/>
    <w:basedOn w:val="1"/>
    <w:qFormat/>
    <w:uiPriority w:val="34"/>
    <w:pPr>
      <w:ind w:firstLine="420" w:firstLineChars="200"/>
    </w:pPr>
  </w:style>
  <w:style w:type="paragraph" w:customStyle="1" w:styleId="75">
    <w:name w:val="reader-word-layer reader-word-s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6">
    <w:name w:val="font5"/>
    <w:basedOn w:val="1"/>
    <w:uiPriority w:val="0"/>
    <w:pPr>
      <w:widowControl/>
      <w:spacing w:before="100" w:beforeAutospacing="1" w:after="100" w:afterAutospacing="1"/>
      <w:jc w:val="left"/>
    </w:pPr>
    <w:rPr>
      <w:rFonts w:hint="eastAsia" w:ascii="宋体" w:hAnsi="宋体"/>
      <w:kern w:val="0"/>
      <w:sz w:val="18"/>
    </w:rPr>
  </w:style>
  <w:style w:type="paragraph" w:customStyle="1" w:styleId="77">
    <w:name w:val="正文文本缩进1"/>
    <w:basedOn w:val="1"/>
    <w:qFormat/>
    <w:uiPriority w:val="0"/>
    <w:pPr>
      <w:ind w:firstLine="200"/>
    </w:pPr>
    <w:rPr>
      <w:rFonts w:ascii="仿宋_GB2312" w:eastAsia="仿宋_GB2312"/>
      <w:sz w:val="32"/>
    </w:rPr>
  </w:style>
  <w:style w:type="paragraph" w:customStyle="1" w:styleId="78">
    <w:name w:val="Char"/>
    <w:basedOn w:val="1"/>
    <w:uiPriority w:val="0"/>
    <w:rPr>
      <w:szCs w:val="24"/>
    </w:rPr>
  </w:style>
  <w:style w:type="paragraph" w:customStyle="1" w:styleId="79">
    <w:name w:val="_Style 3"/>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80">
    <w:name w:val="Default"/>
    <w:qFormat/>
    <w:uiPriority w:val="0"/>
    <w:pPr>
      <w:widowControl w:val="0"/>
      <w:autoSpaceDE w:val="0"/>
      <w:autoSpaceDN w:val="0"/>
      <w:adjustRightInd w:val="0"/>
    </w:pPr>
    <w:rPr>
      <w:color w:val="000000"/>
      <w:sz w:val="24"/>
      <w:szCs w:val="24"/>
      <w:lang w:val="en-US" w:eastAsia="zh-CN" w:bidi="ar-SA"/>
    </w:rPr>
  </w:style>
  <w:style w:type="paragraph" w:customStyle="1" w:styleId="81">
    <w:name w:val="xl30"/>
    <w:basedOn w:val="1"/>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2">
    <w:name w:val="正文首行缩进 21"/>
    <w:basedOn w:val="77"/>
    <w:qFormat/>
    <w:uiPriority w:val="0"/>
    <w:pPr>
      <w:ind w:firstLine="420"/>
    </w:pPr>
  </w:style>
  <w:style w:type="paragraph" w:customStyle="1" w:styleId="83">
    <w:name w:val="[Normal]"/>
    <w:qFormat/>
    <w:uiPriority w:val="0"/>
    <w:rPr>
      <w:rFonts w:ascii="宋体" w:hAnsi="宋体"/>
      <w:sz w:val="24"/>
      <w:szCs w:val="22"/>
      <w:lang w:val="zh-CN" w:eastAsia="zh-CN" w:bidi="ar-SA"/>
    </w:rPr>
  </w:style>
  <w:style w:type="paragraph" w:customStyle="1" w:styleId="84">
    <w:name w:val="p0"/>
    <w:basedOn w:val="1"/>
    <w:uiPriority w:val="0"/>
    <w:pPr>
      <w:widowControl/>
    </w:pPr>
    <w:rPr>
      <w:kern w:val="0"/>
      <w:szCs w:val="21"/>
    </w:rPr>
  </w:style>
  <w:style w:type="table" w:customStyle="1" w:styleId="85">
    <w:name w:val="网格型1"/>
    <w:basedOn w:val="25"/>
    <w:uiPriority w:val="59"/>
    <w:rPr>
      <w:rFonts w:ascii="Calibri" w:hAnsi="Calibri" w:cs="宋体"/>
      <w:kern w:val="2"/>
      <w:sz w:val="21"/>
      <w:szCs w:val="22"/>
    </w:rPr>
    <w:tblPr>
      <w:tblStyle w:val="2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6">
    <w:name w:val="Table Paragraph"/>
    <w:basedOn w:val="1"/>
    <w:qFormat/>
    <w:uiPriority w:val="1"/>
    <w:rPr>
      <w:rFonts w:ascii="宋体" w:hAnsi="宋体" w:eastAsia="宋体" w:cs="宋体"/>
      <w:lang w:val="zh-CN" w:eastAsia="zh-CN" w:bidi="zh-CN"/>
    </w:rPr>
  </w:style>
  <w:style w:type="paragraph" w:customStyle="1" w:styleId="87">
    <w:name w:val="正文（首行缩进2字符）"/>
    <w:basedOn w:val="1"/>
    <w:qFormat/>
    <w:uiPriority w:val="0"/>
    <w:pPr>
      <w:spacing w:line="360" w:lineRule="auto"/>
      <w:ind w:firstLine="420" w:firstLineChars="200"/>
    </w:pPr>
    <w:rPr>
      <w:szCs w:val="21"/>
    </w:rPr>
  </w:style>
  <w:style w:type="paragraph" w:customStyle="1" w:styleId="88">
    <w:name w:val="无间隔1"/>
    <w:qFormat/>
    <w:uiPriority w:val="0"/>
    <w:pPr>
      <w:widowControl w:val="0"/>
      <w:jc w:val="both"/>
    </w:pPr>
    <w:rPr>
      <w:rFonts w:ascii="Times New Roman" w:hAnsi="Times New Roman" w:eastAsia="Times New Roman" w:cs="Calibri"/>
      <w:kern w:val="2"/>
      <w:sz w:val="21"/>
      <w:szCs w:val="22"/>
      <w:lang w:val="en-US" w:eastAsia="zh-CN" w:bidi="ar-SA"/>
    </w:rPr>
  </w:style>
  <w:style w:type="paragraph" w:customStyle="1" w:styleId="89">
    <w:name w:val="BodyText"/>
    <w:basedOn w:val="1"/>
    <w:next w:val="90"/>
    <w:qFormat/>
    <w:uiPriority w:val="0"/>
    <w:pPr>
      <w:spacing w:after="120"/>
    </w:pPr>
    <w:rPr>
      <w:sz w:val="28"/>
    </w:rPr>
  </w:style>
  <w:style w:type="paragraph" w:customStyle="1" w:styleId="90">
    <w:name w:val="BodyText1I"/>
    <w:basedOn w:val="89"/>
    <w:qFormat/>
    <w:uiPriority w:val="0"/>
    <w:pPr>
      <w:spacing w:line="360" w:lineRule="auto"/>
      <w:ind w:firstLine="200" w:firstLineChars="200"/>
      <w:jc w:val="left"/>
    </w:pPr>
    <w:rPr>
      <w:rFonts w:cs="Times New Roman"/>
      <w:bCs/>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6357</Words>
  <Characters>36236</Characters>
  <Lines>1</Lines>
  <Paragraphs>1</Paragraphs>
  <TotalTime>0</TotalTime>
  <ScaleCrop>false</ScaleCrop>
  <LinksUpToDate>false</LinksUpToDate>
  <CharactersWithSpaces>42508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2020-04-22T06:04:00Z</dcterms:created>
  <dc:creator>Administrator</dc:creator>
  <cp:lastModifiedBy>WPS_1701756769</cp:lastModifiedBy>
  <cp:lastPrinted>2021-10-28T07:28:55Z</cp:lastPrinted>
  <dcterms:modified xsi:type="dcterms:W3CDTF">2024-02-22T09:43:53Z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4AED423455634C8DBD3AD8827BF9CA0F_13</vt:lpwstr>
  </property>
</Properties>
</file>